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DAD54">
      <w:pPr>
        <w:tabs>
          <w:tab w:val="left" w:pos="3449"/>
        </w:tabs>
        <w:spacing w:line="360" w:lineRule="auto"/>
        <w:jc w:val="center"/>
        <w:rPr>
          <w:rFonts w:hint="eastAsia" w:ascii="宋体" w:hAnsi="宋体"/>
          <w:b/>
          <w:bCs/>
          <w:sz w:val="48"/>
          <w:szCs w:val="48"/>
        </w:rPr>
      </w:pPr>
      <w:r>
        <w:rPr>
          <w:rFonts w:hint="eastAsia" w:ascii="宋体" w:hAnsi="宋体"/>
          <w:b/>
          <w:bCs/>
          <w:sz w:val="48"/>
          <w:szCs w:val="48"/>
        </w:rPr>
        <w:t>2024年（第五期）嘉兴经济技术开发区公共资金竞争性存放项目</w:t>
      </w:r>
    </w:p>
    <w:p w14:paraId="080B21AF">
      <w:pPr>
        <w:spacing w:before="156" w:beforeLines="50" w:line="360" w:lineRule="auto"/>
        <w:jc w:val="center"/>
        <w:rPr>
          <w:rFonts w:hint="eastAsia" w:ascii="宋体" w:hAnsi="宋体"/>
          <w:b/>
          <w:sz w:val="48"/>
          <w:szCs w:val="48"/>
        </w:rPr>
      </w:pPr>
    </w:p>
    <w:p w14:paraId="7EFA228E">
      <w:pPr>
        <w:spacing w:before="156" w:beforeLines="50" w:line="360" w:lineRule="auto"/>
        <w:jc w:val="center"/>
        <w:rPr>
          <w:rFonts w:hint="eastAsia" w:ascii="宋体" w:hAnsi="宋体"/>
          <w:b/>
          <w:sz w:val="72"/>
          <w:szCs w:val="72"/>
        </w:rPr>
      </w:pPr>
      <w:r>
        <w:rPr>
          <w:rFonts w:hint="eastAsia" w:ascii="宋体" w:hAnsi="宋体"/>
          <w:b/>
          <w:sz w:val="72"/>
          <w:szCs w:val="72"/>
        </w:rPr>
        <w:t>公</w:t>
      </w:r>
    </w:p>
    <w:p w14:paraId="094C3A88">
      <w:pPr>
        <w:spacing w:before="156" w:beforeLines="50" w:line="360" w:lineRule="auto"/>
        <w:jc w:val="center"/>
        <w:rPr>
          <w:rFonts w:hint="eastAsia" w:ascii="宋体" w:hAnsi="宋体"/>
          <w:b/>
          <w:sz w:val="72"/>
          <w:szCs w:val="72"/>
        </w:rPr>
      </w:pPr>
      <w:r>
        <w:rPr>
          <w:rFonts w:hint="eastAsia" w:ascii="宋体" w:hAnsi="宋体"/>
          <w:b/>
          <w:sz w:val="72"/>
          <w:szCs w:val="72"/>
        </w:rPr>
        <w:t>开</w:t>
      </w:r>
    </w:p>
    <w:p w14:paraId="22C048BE">
      <w:pPr>
        <w:spacing w:before="156" w:beforeLines="50" w:line="360" w:lineRule="auto"/>
        <w:jc w:val="center"/>
        <w:rPr>
          <w:rFonts w:hint="eastAsia" w:ascii="宋体" w:hAnsi="宋体"/>
          <w:b/>
          <w:sz w:val="72"/>
          <w:szCs w:val="72"/>
        </w:rPr>
      </w:pPr>
      <w:r>
        <w:rPr>
          <w:rFonts w:hint="eastAsia" w:ascii="宋体" w:hAnsi="宋体"/>
          <w:b/>
          <w:sz w:val="72"/>
          <w:szCs w:val="72"/>
        </w:rPr>
        <w:t>招</w:t>
      </w:r>
    </w:p>
    <w:p w14:paraId="61A3A9C2">
      <w:pPr>
        <w:spacing w:before="156" w:beforeLines="50" w:line="360" w:lineRule="auto"/>
        <w:jc w:val="center"/>
        <w:rPr>
          <w:rFonts w:hint="eastAsia" w:ascii="宋体" w:hAnsi="宋体"/>
          <w:b/>
          <w:sz w:val="72"/>
          <w:szCs w:val="72"/>
        </w:rPr>
      </w:pPr>
      <w:r>
        <w:rPr>
          <w:rFonts w:hint="eastAsia" w:ascii="宋体" w:hAnsi="宋体"/>
          <w:b/>
          <w:sz w:val="72"/>
          <w:szCs w:val="72"/>
        </w:rPr>
        <w:t>标</w:t>
      </w:r>
    </w:p>
    <w:p w14:paraId="2F1F77B8">
      <w:pPr>
        <w:spacing w:before="156" w:beforeLines="50" w:line="360" w:lineRule="auto"/>
        <w:jc w:val="center"/>
        <w:rPr>
          <w:rFonts w:hint="eastAsia" w:ascii="宋体" w:hAnsi="宋体"/>
          <w:b/>
          <w:sz w:val="72"/>
          <w:szCs w:val="72"/>
        </w:rPr>
      </w:pPr>
      <w:r>
        <w:rPr>
          <w:rFonts w:hint="eastAsia" w:ascii="宋体" w:hAnsi="宋体"/>
          <w:b/>
          <w:sz w:val="72"/>
          <w:szCs w:val="72"/>
        </w:rPr>
        <w:t>文</w:t>
      </w:r>
    </w:p>
    <w:p w14:paraId="27876729">
      <w:pPr>
        <w:spacing w:before="156" w:beforeLines="50" w:line="360" w:lineRule="auto"/>
        <w:jc w:val="center"/>
        <w:rPr>
          <w:rFonts w:hint="eastAsia" w:ascii="宋体" w:hAnsi="宋体"/>
          <w:b/>
          <w:sz w:val="72"/>
          <w:szCs w:val="72"/>
        </w:rPr>
      </w:pPr>
      <w:r>
        <w:rPr>
          <w:rFonts w:hint="eastAsia" w:ascii="宋体" w:hAnsi="宋体"/>
          <w:b/>
          <w:sz w:val="72"/>
          <w:szCs w:val="72"/>
        </w:rPr>
        <w:t>件</w:t>
      </w:r>
    </w:p>
    <w:p w14:paraId="6BA0AD6E">
      <w:pPr>
        <w:spacing w:before="156" w:beforeLines="50" w:line="360" w:lineRule="auto"/>
        <w:ind w:firstLine="1440" w:firstLineChars="478"/>
        <w:jc w:val="center"/>
        <w:rPr>
          <w:rFonts w:hint="eastAsia" w:ascii="宋体" w:hAnsi="宋体"/>
          <w:b/>
          <w:sz w:val="30"/>
          <w:szCs w:val="30"/>
        </w:rPr>
      </w:pPr>
    </w:p>
    <w:p w14:paraId="5F5EA56F">
      <w:pPr>
        <w:pStyle w:val="22"/>
        <w:snapToGrid w:val="0"/>
        <w:spacing w:before="156" w:after="156" w:line="360" w:lineRule="auto"/>
        <w:ind w:firstLine="1343" w:firstLineChars="446"/>
        <w:rPr>
          <w:rFonts w:hint="eastAsia" w:hAnsi="宋体"/>
          <w:b/>
          <w:bCs/>
          <w:sz w:val="30"/>
          <w:szCs w:val="30"/>
        </w:rPr>
      </w:pPr>
      <w:r>
        <w:rPr>
          <w:rFonts w:hint="eastAsia" w:hAnsi="宋体"/>
          <w:b/>
          <w:bCs/>
          <w:sz w:val="30"/>
          <w:szCs w:val="30"/>
        </w:rPr>
        <w:t>项目编号：定存（2024）05</w:t>
      </w:r>
    </w:p>
    <w:p w14:paraId="1AFAD751">
      <w:pPr>
        <w:pStyle w:val="22"/>
        <w:snapToGrid w:val="0"/>
        <w:spacing w:before="156" w:after="156" w:line="360" w:lineRule="auto"/>
        <w:ind w:firstLine="1343" w:firstLineChars="446"/>
        <w:rPr>
          <w:rFonts w:hint="eastAsia" w:hAnsi="宋体"/>
          <w:b/>
          <w:bCs/>
          <w:sz w:val="30"/>
          <w:szCs w:val="30"/>
        </w:rPr>
      </w:pPr>
      <w:r>
        <w:rPr>
          <w:rFonts w:hint="eastAsia" w:hAnsi="宋体"/>
          <w:b/>
          <w:bCs/>
          <w:sz w:val="30"/>
          <w:szCs w:val="30"/>
        </w:rPr>
        <w:t>招标单位：嘉兴经济技术开发区行政事业单位</w:t>
      </w:r>
    </w:p>
    <w:p w14:paraId="38BDD5D0">
      <w:pPr>
        <w:pStyle w:val="22"/>
        <w:snapToGrid w:val="0"/>
        <w:spacing w:before="156" w:after="156" w:line="360" w:lineRule="auto"/>
        <w:ind w:firstLine="1343" w:firstLineChars="446"/>
        <w:rPr>
          <w:rFonts w:hint="eastAsia" w:hAnsi="宋体"/>
          <w:b/>
          <w:bCs/>
          <w:sz w:val="30"/>
          <w:szCs w:val="30"/>
        </w:rPr>
      </w:pPr>
      <w:r>
        <w:rPr>
          <w:rFonts w:hint="eastAsia" w:hAnsi="宋体"/>
          <w:b/>
          <w:bCs/>
          <w:sz w:val="30"/>
          <w:szCs w:val="30"/>
        </w:rPr>
        <w:t>招标组织单位：嘉兴经济技术开发区财政金融部</w:t>
      </w:r>
    </w:p>
    <w:p w14:paraId="1F51B14F">
      <w:pPr>
        <w:pStyle w:val="22"/>
        <w:snapToGrid w:val="0"/>
        <w:spacing w:before="156" w:after="156" w:line="360" w:lineRule="auto"/>
        <w:ind w:firstLine="1343" w:firstLineChars="446"/>
        <w:rPr>
          <w:rFonts w:hint="eastAsia" w:hAnsi="宋体"/>
          <w:b/>
          <w:bCs/>
          <w:sz w:val="30"/>
          <w:szCs w:val="30"/>
        </w:rPr>
      </w:pPr>
      <w:r>
        <w:rPr>
          <w:rFonts w:hint="eastAsia" w:hAnsi="宋体"/>
          <w:b/>
          <w:bCs/>
          <w:sz w:val="30"/>
          <w:szCs w:val="30"/>
        </w:rPr>
        <w:t>代理机构：嘉兴市千秋工程咨询有限公司</w:t>
      </w:r>
    </w:p>
    <w:p w14:paraId="6C84DFFF">
      <w:pPr>
        <w:snapToGrid w:val="0"/>
        <w:spacing w:before="156" w:beforeLines="50" w:line="360" w:lineRule="auto"/>
        <w:jc w:val="center"/>
        <w:rPr>
          <w:rFonts w:hint="eastAsia" w:asciiTheme="minorEastAsia" w:hAnsiTheme="minorEastAsia" w:eastAsiaTheme="minorEastAsia" w:cstheme="majorBidi"/>
          <w:kern w:val="28"/>
          <w:sz w:val="32"/>
          <w:szCs w:val="32"/>
        </w:rPr>
      </w:pPr>
      <w:r>
        <w:rPr>
          <w:rFonts w:ascii="宋体" w:hAnsi="宋体"/>
          <w:b/>
          <w:bCs/>
          <w:w w:val="95"/>
          <w:sz w:val="30"/>
          <w:szCs w:val="30"/>
        </w:rPr>
        <w:t>20</w:t>
      </w:r>
      <w:r>
        <w:rPr>
          <w:rFonts w:hint="eastAsia" w:ascii="宋体" w:hAnsi="宋体"/>
          <w:b/>
          <w:bCs/>
          <w:w w:val="95"/>
          <w:sz w:val="30"/>
          <w:szCs w:val="30"/>
        </w:rPr>
        <w:t>2</w:t>
      </w:r>
      <w:r>
        <w:rPr>
          <w:rFonts w:ascii="宋体" w:hAnsi="宋体"/>
          <w:b/>
          <w:bCs/>
          <w:w w:val="95"/>
          <w:sz w:val="30"/>
          <w:szCs w:val="30"/>
        </w:rPr>
        <w:t>4年</w:t>
      </w:r>
      <w:r>
        <w:rPr>
          <w:rFonts w:hint="eastAsia" w:asciiTheme="minorEastAsia" w:hAnsiTheme="minorEastAsia" w:eastAsiaTheme="minorEastAsia"/>
          <w:b/>
          <w:bCs/>
          <w:w w:val="95"/>
          <w:sz w:val="30"/>
          <w:szCs w:val="30"/>
        </w:rPr>
        <w:t>12</w:t>
      </w:r>
      <w:r>
        <w:rPr>
          <w:rFonts w:ascii="宋体" w:hAnsi="宋体"/>
          <w:b/>
          <w:bCs/>
          <w:w w:val="95"/>
          <w:sz w:val="30"/>
          <w:szCs w:val="30"/>
        </w:rPr>
        <w:t>月</w:t>
      </w:r>
      <w:r>
        <w:rPr>
          <w:rFonts w:hint="eastAsia" w:ascii="宋体" w:hAnsi="宋体"/>
          <w:b/>
          <w:bCs/>
          <w:w w:val="95"/>
          <w:sz w:val="30"/>
          <w:szCs w:val="30"/>
        </w:rPr>
        <w:t>24</w:t>
      </w:r>
      <w:r>
        <w:rPr>
          <w:rFonts w:ascii="宋体" w:hAnsi="宋体"/>
          <w:b/>
          <w:bCs/>
          <w:w w:val="95"/>
          <w:sz w:val="30"/>
          <w:szCs w:val="30"/>
        </w:rPr>
        <w:t>日</w:t>
      </w:r>
    </w:p>
    <w:p w14:paraId="7655B839">
      <w:pPr>
        <w:spacing w:line="360" w:lineRule="auto"/>
        <w:rPr>
          <w:rFonts w:hint="eastAsia" w:asciiTheme="minorEastAsia" w:hAnsiTheme="minorEastAsia" w:eastAsiaTheme="minorEastAsia" w:cstheme="majorBidi"/>
          <w:kern w:val="28"/>
          <w:sz w:val="32"/>
          <w:szCs w:val="32"/>
        </w:rPr>
        <w:sectPr>
          <w:footerReference r:id="rId6" w:type="first"/>
          <w:headerReference r:id="rId3" w:type="default"/>
          <w:footerReference r:id="rId4" w:type="default"/>
          <w:footerReference r:id="rId5" w:type="even"/>
          <w:pgSz w:w="11907" w:h="16840"/>
          <w:pgMar w:top="1440" w:right="1797" w:bottom="1440" w:left="1797" w:header="851" w:footer="851" w:gutter="0"/>
          <w:pgNumType w:start="1"/>
          <w:cols w:space="425" w:num="1"/>
          <w:titlePg/>
          <w:docGrid w:type="lines" w:linePitch="312" w:charSpace="0"/>
        </w:sectPr>
      </w:pPr>
    </w:p>
    <w:p w14:paraId="5844EA64">
      <w:pPr>
        <w:tabs>
          <w:tab w:val="left" w:pos="1440"/>
        </w:tabs>
        <w:spacing w:line="360" w:lineRule="auto"/>
        <w:rPr>
          <w:rFonts w:hint="eastAsia" w:asciiTheme="minorEastAsia" w:hAnsiTheme="minorEastAsia" w:eastAsiaTheme="minorEastAsia" w:cstheme="majorBidi"/>
          <w:kern w:val="28"/>
          <w:sz w:val="28"/>
          <w:szCs w:val="28"/>
        </w:rPr>
      </w:pPr>
      <w:r>
        <w:rPr>
          <w:rFonts w:asciiTheme="minorEastAsia" w:hAnsiTheme="minorEastAsia" w:eastAsiaTheme="minorEastAsia" w:cstheme="majorBidi"/>
          <w:kern w:val="28"/>
          <w:sz w:val="28"/>
          <w:szCs w:val="28"/>
        </w:rPr>
        <w:tab/>
      </w:r>
    </w:p>
    <w:sdt>
      <w:sdtPr>
        <w:rPr>
          <w:rFonts w:cs="Times New Roman" w:asciiTheme="minorEastAsia" w:hAnsiTheme="minorEastAsia" w:eastAsiaTheme="minorEastAsia"/>
          <w:b w:val="0"/>
          <w:bCs w:val="0"/>
          <w:color w:val="auto"/>
          <w:kern w:val="2"/>
          <w:sz w:val="21"/>
          <w:szCs w:val="24"/>
          <w:lang w:val="zh-CN"/>
        </w:rPr>
        <w:id w:val="95592265"/>
      </w:sdtPr>
      <w:sdtEndPr>
        <w:rPr>
          <w:rFonts w:cs="Times New Roman" w:asciiTheme="minorEastAsia" w:hAnsiTheme="minorEastAsia" w:eastAsiaTheme="minorEastAsia"/>
          <w:b w:val="0"/>
          <w:bCs w:val="0"/>
          <w:color w:val="auto"/>
          <w:kern w:val="2"/>
          <w:sz w:val="21"/>
          <w:szCs w:val="24"/>
          <w:lang w:val="en-US"/>
        </w:rPr>
      </w:sdtEndPr>
      <w:sdtContent>
        <w:p w14:paraId="11F39843">
          <w:pPr>
            <w:pStyle w:val="87"/>
            <w:spacing w:line="360" w:lineRule="auto"/>
            <w:jc w:val="center"/>
            <w:rPr>
              <w:rFonts w:hint="eastAsia" w:asciiTheme="minorEastAsia" w:hAnsiTheme="minorEastAsia" w:eastAsiaTheme="minorEastAsia"/>
              <w:color w:val="auto"/>
            </w:rPr>
          </w:pPr>
          <w:r>
            <w:rPr>
              <w:rFonts w:asciiTheme="minorEastAsia" w:hAnsiTheme="minorEastAsia" w:eastAsiaTheme="minorEastAsia"/>
              <w:color w:val="auto"/>
              <w:lang w:val="zh-CN"/>
            </w:rPr>
            <w:t>目录</w:t>
          </w:r>
        </w:p>
        <w:p w14:paraId="143D1FDE">
          <w:pPr>
            <w:pStyle w:val="28"/>
            <w:tabs>
              <w:tab w:val="right" w:leader="dot" w:pos="8303"/>
            </w:tabs>
            <w:spacing w:line="360" w:lineRule="auto"/>
            <w:rPr>
              <w:rFonts w:hint="eastAsia" w:asciiTheme="minorEastAsia" w:hAnsiTheme="minorEastAsia" w:eastAsiaTheme="minorEastAsia" w:cstheme="minorBidi"/>
              <w:szCs w:val="22"/>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"_Toc98019223" </w:instrText>
          </w:r>
          <w:r>
            <w:fldChar w:fldCharType="separate"/>
          </w:r>
          <w:r>
            <w:rPr>
              <w:rStyle w:val="45"/>
              <w:rFonts w:hint="eastAsia" w:asciiTheme="minorEastAsia" w:hAnsiTheme="minorEastAsia" w:eastAsiaTheme="minorEastAsia"/>
              <w:color w:val="auto"/>
            </w:rPr>
            <w:t>第一章 公开招标公告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_Toc98019223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47B13064">
          <w:pPr>
            <w:pStyle w:val="28"/>
            <w:tabs>
              <w:tab w:val="right" w:leader="dot" w:pos="8303"/>
            </w:tabs>
            <w:spacing w:line="360" w:lineRule="auto"/>
            <w:rPr>
              <w:rFonts w:hint="eastAsia" w:asciiTheme="minorEastAsia" w:hAnsiTheme="minorEastAsia" w:eastAsiaTheme="minorEastAsia" w:cstheme="minorBidi"/>
              <w:szCs w:val="22"/>
            </w:rPr>
          </w:pPr>
          <w:r>
            <w:fldChar w:fldCharType="begin"/>
          </w:r>
          <w:r>
            <w:instrText xml:space="preserve"> HYPERLINK \l "_Toc98019233" </w:instrText>
          </w:r>
          <w:r>
            <w:fldChar w:fldCharType="separate"/>
          </w:r>
          <w:r>
            <w:rPr>
              <w:rStyle w:val="45"/>
              <w:rFonts w:hint="eastAsia" w:asciiTheme="minorEastAsia" w:hAnsiTheme="minorEastAsia" w:eastAsiaTheme="minorEastAsia"/>
              <w:color w:val="auto"/>
            </w:rPr>
            <w:t>第二章 招标需求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_Toc98019233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70396361">
          <w:pPr>
            <w:pStyle w:val="28"/>
            <w:tabs>
              <w:tab w:val="right" w:leader="dot" w:pos="8303"/>
            </w:tabs>
            <w:spacing w:line="360" w:lineRule="auto"/>
            <w:rPr>
              <w:rFonts w:hint="eastAsia" w:asciiTheme="minorEastAsia" w:hAnsiTheme="minorEastAsia" w:eastAsiaTheme="minorEastAsia" w:cstheme="minorBidi"/>
              <w:szCs w:val="22"/>
            </w:rPr>
          </w:pPr>
          <w:r>
            <w:fldChar w:fldCharType="begin"/>
          </w:r>
          <w:r>
            <w:instrText xml:space="preserve"> HYPERLINK \l "_Toc98019234" </w:instrText>
          </w:r>
          <w:r>
            <w:fldChar w:fldCharType="separate"/>
          </w:r>
          <w:r>
            <w:rPr>
              <w:rStyle w:val="45"/>
              <w:rFonts w:hint="eastAsia" w:asciiTheme="minorEastAsia" w:hAnsiTheme="minorEastAsia" w:eastAsiaTheme="minorEastAsia"/>
              <w:color w:val="auto"/>
            </w:rPr>
            <w:t>第三章 投标人须知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_Toc98019234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14:paraId="71D95754">
          <w:pPr>
            <w:pStyle w:val="28"/>
            <w:tabs>
              <w:tab w:val="right" w:leader="dot" w:pos="8303"/>
            </w:tabs>
            <w:spacing w:line="360" w:lineRule="auto"/>
            <w:rPr>
              <w:rFonts w:hint="eastAsia" w:asciiTheme="minorEastAsia" w:hAnsiTheme="minorEastAsia" w:eastAsiaTheme="minorEastAsia" w:cstheme="minorBidi"/>
              <w:szCs w:val="22"/>
            </w:rPr>
          </w:pPr>
          <w:r>
            <w:fldChar w:fldCharType="begin"/>
          </w:r>
          <w:r>
            <w:instrText xml:space="preserve"> HYPERLINK \l "_Toc98019286" </w:instrText>
          </w:r>
          <w:r>
            <w:fldChar w:fldCharType="separate"/>
          </w:r>
          <w:r>
            <w:rPr>
              <w:rStyle w:val="45"/>
              <w:rFonts w:hint="eastAsia" w:asciiTheme="minorEastAsia" w:hAnsiTheme="minorEastAsia" w:eastAsiaTheme="minorEastAsia"/>
              <w:color w:val="auto"/>
            </w:rPr>
            <w:t>第四章 评标办法及评分标准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_Toc98019286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14:paraId="1129F464">
          <w:pPr>
            <w:pStyle w:val="28"/>
            <w:tabs>
              <w:tab w:val="right" w:leader="dot" w:pos="8303"/>
            </w:tabs>
            <w:spacing w:line="360" w:lineRule="auto"/>
            <w:rPr>
              <w:rFonts w:hint="eastAsia" w:asciiTheme="minorEastAsia" w:hAnsiTheme="minorEastAsia" w:eastAsiaTheme="minorEastAsia" w:cstheme="minorBidi"/>
              <w:szCs w:val="22"/>
            </w:rPr>
          </w:pPr>
          <w:r>
            <w:fldChar w:fldCharType="begin"/>
          </w:r>
          <w:r>
            <w:instrText xml:space="preserve"> HYPERLINK \l "_Toc98019294" </w:instrText>
          </w:r>
          <w:r>
            <w:fldChar w:fldCharType="separate"/>
          </w:r>
          <w:r>
            <w:rPr>
              <w:rStyle w:val="45"/>
              <w:rFonts w:hint="eastAsia" w:asciiTheme="minorEastAsia" w:hAnsiTheme="minorEastAsia" w:eastAsiaTheme="minorEastAsia"/>
              <w:color w:val="auto"/>
            </w:rPr>
            <w:t>第五章 协议主要条款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_Toc98019294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14:paraId="24F94AAA">
          <w:pPr>
            <w:pStyle w:val="28"/>
            <w:tabs>
              <w:tab w:val="right" w:leader="dot" w:pos="8303"/>
            </w:tabs>
            <w:spacing w:line="360" w:lineRule="auto"/>
            <w:rPr>
              <w:rFonts w:hint="eastAsia" w:asciiTheme="minorEastAsia" w:hAnsiTheme="minorEastAsia" w:eastAsiaTheme="minorEastAsia" w:cstheme="minorBidi"/>
              <w:szCs w:val="22"/>
            </w:rPr>
          </w:pPr>
          <w:r>
            <w:fldChar w:fldCharType="begin"/>
          </w:r>
          <w:r>
            <w:instrText xml:space="preserve"> HYPERLINK \l "_Toc98019297" </w:instrText>
          </w:r>
          <w:r>
            <w:fldChar w:fldCharType="separate"/>
          </w:r>
          <w:r>
            <w:rPr>
              <w:rStyle w:val="45"/>
              <w:rFonts w:hint="eastAsia" w:asciiTheme="minorEastAsia" w:hAnsiTheme="minorEastAsia" w:eastAsiaTheme="minorEastAsia"/>
              <w:color w:val="auto"/>
            </w:rPr>
            <w:t>第六章 投标文件格式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_Toc98019297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14:paraId="1D6B9911">
          <w:pPr>
            <w:spacing w:line="360" w:lineRule="auto"/>
            <w:rPr>
              <w:rFonts w:hint="eastAsia" w:asciiTheme="minorEastAsia" w:hAnsiTheme="minorEastAsia" w:eastAsiaTheme="minorEastAsia"/>
            </w:rPr>
          </w:pPr>
          <w:r>
            <w:rPr>
              <w:rFonts w:asciiTheme="minorEastAsia" w:hAnsiTheme="minorEastAsia" w:eastAsiaTheme="minorEastAsia"/>
            </w:rPr>
            <w:fldChar w:fldCharType="end"/>
          </w:r>
        </w:p>
      </w:sdtContent>
    </w:sdt>
    <w:p w14:paraId="22C22D43">
      <w:pPr>
        <w:tabs>
          <w:tab w:val="left" w:pos="3960"/>
          <w:tab w:val="left" w:pos="5554"/>
        </w:tabs>
        <w:spacing w:line="360" w:lineRule="auto"/>
        <w:rPr>
          <w:rFonts w:hint="eastAsia" w:asciiTheme="minorEastAsia" w:hAnsiTheme="minorEastAsia" w:eastAsiaTheme="minorEastAsia" w:cstheme="majorBidi"/>
          <w:kern w:val="28"/>
          <w:sz w:val="32"/>
          <w:szCs w:val="32"/>
        </w:rPr>
      </w:pPr>
      <w:r>
        <w:rPr>
          <w:rFonts w:asciiTheme="minorEastAsia" w:hAnsiTheme="minorEastAsia" w:eastAsiaTheme="minorEastAsia" w:cstheme="majorBidi"/>
          <w:kern w:val="28"/>
          <w:sz w:val="32"/>
          <w:szCs w:val="32"/>
        </w:rPr>
        <w:tab/>
      </w:r>
      <w:r>
        <w:rPr>
          <w:rFonts w:asciiTheme="minorEastAsia" w:hAnsiTheme="minorEastAsia" w:eastAsiaTheme="minorEastAsia" w:cstheme="majorBidi"/>
          <w:kern w:val="28"/>
          <w:sz w:val="32"/>
          <w:szCs w:val="32"/>
        </w:rPr>
        <w:tab/>
      </w:r>
    </w:p>
    <w:p w14:paraId="24398E91">
      <w:pPr>
        <w:spacing w:line="360" w:lineRule="auto"/>
        <w:rPr>
          <w:rFonts w:hint="eastAsia" w:asciiTheme="minorEastAsia" w:hAnsiTheme="minorEastAsia" w:eastAsiaTheme="minorEastAsia" w:cstheme="majorBidi"/>
          <w:kern w:val="28"/>
          <w:sz w:val="32"/>
          <w:szCs w:val="32"/>
        </w:rPr>
      </w:pPr>
    </w:p>
    <w:p w14:paraId="3A1263E9">
      <w:pPr>
        <w:pStyle w:val="36"/>
        <w:spacing w:line="360" w:lineRule="auto"/>
        <w:outlineLvl w:val="9"/>
        <w:rPr>
          <w:rFonts w:hint="eastAsia" w:asciiTheme="minorEastAsia" w:hAnsiTheme="minorEastAsia" w:eastAsiaTheme="minorEastAsia"/>
        </w:rPr>
      </w:pPr>
      <w:bookmarkStart w:id="0" w:name="_Toc11650166"/>
      <w:bookmarkStart w:id="1" w:name="_Toc9342476"/>
    </w:p>
    <w:p w14:paraId="6640D0ED">
      <w:pPr>
        <w:widowControl/>
        <w:spacing w:line="360" w:lineRule="auto"/>
        <w:jc w:val="left"/>
        <w:rPr>
          <w:rFonts w:hint="eastAsia" w:asciiTheme="minorEastAsia" w:hAnsiTheme="minorEastAsia" w:eastAsiaTheme="minorEastAsia"/>
          <w:b/>
          <w:bCs/>
          <w:sz w:val="32"/>
          <w:szCs w:val="32"/>
        </w:rPr>
      </w:pPr>
      <w:r>
        <w:rPr>
          <w:rFonts w:asciiTheme="minorEastAsia" w:hAnsiTheme="minorEastAsia" w:eastAsiaTheme="minorEastAsia"/>
        </w:rPr>
        <w:br w:type="page"/>
      </w:r>
    </w:p>
    <w:p w14:paraId="395EC62A">
      <w:pPr>
        <w:pStyle w:val="36"/>
        <w:numPr>
          <w:ilvl w:val="0"/>
          <w:numId w:val="3"/>
        </w:numPr>
        <w:spacing w:line="360" w:lineRule="auto"/>
        <w:rPr>
          <w:rFonts w:hint="eastAsia" w:asciiTheme="minorEastAsia" w:hAnsiTheme="minorEastAsia" w:eastAsiaTheme="minorEastAsia"/>
        </w:rPr>
      </w:pPr>
      <w:bookmarkStart w:id="2" w:name="_Toc98019223"/>
      <w:bookmarkStart w:id="3" w:name="_Hlk104999974"/>
      <w:bookmarkStart w:id="4" w:name="_Hlk152078683"/>
      <w:r>
        <w:rPr>
          <w:rFonts w:hint="eastAsia" w:asciiTheme="minorEastAsia" w:hAnsiTheme="minorEastAsia" w:eastAsiaTheme="minorEastAsia"/>
        </w:rPr>
        <w:t>公开招标公告</w:t>
      </w:r>
      <w:bookmarkEnd w:id="0"/>
      <w:bookmarkEnd w:id="1"/>
      <w:bookmarkEnd w:id="2"/>
    </w:p>
    <w:bookmarkEnd w:id="3"/>
    <w:p w14:paraId="239AEEE5">
      <w:pPr>
        <w:snapToGrid w:val="0"/>
        <w:spacing w:line="360" w:lineRule="auto"/>
        <w:ind w:firstLine="420" w:firstLineChars="200"/>
        <w:rPr>
          <w:rFonts w:hint="eastAsia" w:asciiTheme="minorEastAsia" w:hAnsiTheme="minorEastAsia" w:eastAsiaTheme="minorEastAsia"/>
          <w:szCs w:val="21"/>
        </w:rPr>
      </w:pPr>
      <w:bookmarkStart w:id="5" w:name="_Toc9342477"/>
      <w:bookmarkStart w:id="6" w:name="_Toc11650167"/>
      <w:r>
        <w:rPr>
          <w:rFonts w:hint="eastAsia" w:asciiTheme="minorEastAsia" w:hAnsiTheme="minorEastAsia" w:eastAsiaTheme="minorEastAsia"/>
          <w:szCs w:val="21"/>
        </w:rPr>
        <w:t>根据相关法律规定，</w:t>
      </w:r>
      <w:r>
        <w:rPr>
          <w:rFonts w:hint="eastAsia" w:cs="宋体" w:asciiTheme="minorEastAsia" w:hAnsiTheme="minorEastAsia" w:eastAsiaTheme="minorEastAsia"/>
          <w:szCs w:val="21"/>
        </w:rPr>
        <w:t>嘉兴市千秋工程咨询有限公司</w:t>
      </w:r>
      <w:r>
        <w:rPr>
          <w:rFonts w:hint="eastAsia" w:asciiTheme="minorEastAsia" w:hAnsiTheme="minorEastAsia" w:eastAsiaTheme="minorEastAsia"/>
          <w:szCs w:val="21"/>
        </w:rPr>
        <w:t>受嘉兴经济技术开发区财政金融部委托，就下列项目进行公开招标，特邀请国内合格的投标人前来投标，现将有关事项公告如下：</w:t>
      </w:r>
    </w:p>
    <w:p w14:paraId="12890F11">
      <w:pPr>
        <w:pStyle w:val="3"/>
        <w:numPr>
          <w:ilvl w:val="0"/>
          <w:numId w:val="4"/>
        </w:numPr>
        <w:spacing w:before="0" w:after="0" w:line="360" w:lineRule="auto"/>
        <w:ind w:firstLine="422" w:firstLineChars="200"/>
        <w:rPr>
          <w:rFonts w:hint="eastAsia" w:asciiTheme="minorEastAsia" w:hAnsiTheme="minorEastAsia" w:eastAsiaTheme="minorEastAsia"/>
          <w:szCs w:val="21"/>
        </w:rPr>
      </w:pPr>
      <w:bookmarkStart w:id="7" w:name="_Toc98019224"/>
      <w:r>
        <w:rPr>
          <w:rFonts w:hint="eastAsia" w:asciiTheme="minorEastAsia" w:hAnsiTheme="minorEastAsia" w:eastAsiaTheme="minorEastAsia"/>
          <w:szCs w:val="21"/>
        </w:rPr>
        <w:t>项目编号：</w:t>
      </w:r>
      <w:bookmarkEnd w:id="7"/>
      <w:r>
        <w:rPr>
          <w:rFonts w:hint="eastAsia" w:ascii="宋体" w:hAnsi="宋体" w:eastAsia="宋体"/>
          <w:b w:val="0"/>
          <w:bCs w:val="0"/>
          <w:szCs w:val="21"/>
        </w:rPr>
        <w:t>定存（2024）05</w:t>
      </w:r>
    </w:p>
    <w:p w14:paraId="2D4C7A86">
      <w:pPr>
        <w:pStyle w:val="3"/>
        <w:numPr>
          <w:ilvl w:val="0"/>
          <w:numId w:val="4"/>
        </w:numPr>
        <w:spacing w:before="0" w:after="0" w:line="360" w:lineRule="auto"/>
        <w:ind w:firstLine="422" w:firstLineChars="200"/>
        <w:rPr>
          <w:rFonts w:hint="eastAsia" w:asciiTheme="minorEastAsia" w:hAnsiTheme="minorEastAsia" w:eastAsiaTheme="minorEastAsia"/>
          <w:szCs w:val="21"/>
        </w:rPr>
      </w:pPr>
      <w:bookmarkStart w:id="8" w:name="_Toc98019225"/>
      <w:r>
        <w:rPr>
          <w:rFonts w:hint="eastAsia" w:asciiTheme="minorEastAsia" w:hAnsiTheme="minorEastAsia" w:eastAsiaTheme="minorEastAsia"/>
          <w:szCs w:val="21"/>
        </w:rPr>
        <w:t>招标方式：</w:t>
      </w:r>
      <w:r>
        <w:rPr>
          <w:rFonts w:hint="eastAsia" w:asciiTheme="minorEastAsia" w:hAnsiTheme="minorEastAsia" w:eastAsiaTheme="minorEastAsia"/>
          <w:b w:val="0"/>
          <w:szCs w:val="21"/>
        </w:rPr>
        <w:t>公开招标</w:t>
      </w:r>
      <w:bookmarkEnd w:id="8"/>
    </w:p>
    <w:p w14:paraId="55178D38">
      <w:pPr>
        <w:pStyle w:val="3"/>
        <w:numPr>
          <w:ilvl w:val="0"/>
          <w:numId w:val="4"/>
        </w:numPr>
        <w:spacing w:before="0" w:after="0" w:line="360" w:lineRule="auto"/>
        <w:ind w:firstLine="422" w:firstLineChars="200"/>
        <w:rPr>
          <w:rFonts w:hint="eastAsia" w:asciiTheme="minorEastAsia" w:hAnsiTheme="minorEastAsia" w:eastAsiaTheme="minorEastAsia"/>
          <w:szCs w:val="21"/>
        </w:rPr>
      </w:pPr>
      <w:bookmarkStart w:id="9" w:name="_Toc98019226"/>
      <w:r>
        <w:rPr>
          <w:rFonts w:hint="eastAsia" w:asciiTheme="minorEastAsia" w:hAnsiTheme="minorEastAsia" w:eastAsiaTheme="minorEastAsia"/>
          <w:szCs w:val="21"/>
        </w:rPr>
        <w:t>招标项目：</w:t>
      </w:r>
      <w:r>
        <w:rPr>
          <w:rFonts w:hint="eastAsia" w:asciiTheme="minorEastAsia" w:hAnsiTheme="minorEastAsia" w:eastAsiaTheme="minorEastAsia"/>
          <w:b w:val="0"/>
          <w:szCs w:val="21"/>
        </w:rPr>
        <w:t>2024年（第五期）嘉兴经济技术开发区公共资金竞争性存放项目</w:t>
      </w:r>
      <w:bookmarkEnd w:id="9"/>
    </w:p>
    <w:p w14:paraId="31CC2290">
      <w:pPr>
        <w:pStyle w:val="3"/>
        <w:numPr>
          <w:ilvl w:val="0"/>
          <w:numId w:val="4"/>
        </w:numPr>
        <w:spacing w:before="0" w:after="0" w:line="360" w:lineRule="auto"/>
        <w:ind w:firstLine="422" w:firstLineChars="200"/>
        <w:rPr>
          <w:rFonts w:hint="eastAsia" w:asciiTheme="minorEastAsia" w:hAnsiTheme="minorEastAsia" w:eastAsiaTheme="minorEastAsia"/>
          <w:szCs w:val="21"/>
        </w:rPr>
      </w:pPr>
      <w:bookmarkStart w:id="10" w:name="_Toc98019227"/>
      <w:r>
        <w:rPr>
          <w:rFonts w:hint="eastAsia" w:asciiTheme="minorEastAsia" w:hAnsiTheme="minorEastAsia" w:eastAsiaTheme="minorEastAsia"/>
          <w:szCs w:val="21"/>
        </w:rPr>
        <w:t>招标内容：</w:t>
      </w:r>
      <w:bookmarkEnd w:id="10"/>
      <w:r>
        <w:rPr>
          <w:rFonts w:hint="eastAsia" w:asciiTheme="minorEastAsia" w:hAnsiTheme="minorEastAsia" w:eastAsiaTheme="minorEastAsia"/>
          <w:szCs w:val="21"/>
        </w:rPr>
        <w:tab/>
      </w:r>
    </w:p>
    <w:tbl>
      <w:tblPr>
        <w:tblStyle w:val="39"/>
        <w:tblW w:w="5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3"/>
        <w:gridCol w:w="2841"/>
      </w:tblGrid>
      <w:tr w14:paraId="0642B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3" w:type="dxa"/>
            <w:shd w:val="clear" w:color="auto" w:fill="auto"/>
            <w:vAlign w:val="center"/>
          </w:tcPr>
          <w:p w14:paraId="3C11B96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金额（万元）</w:t>
            </w:r>
          </w:p>
        </w:tc>
        <w:tc>
          <w:tcPr>
            <w:tcW w:w="2841" w:type="dxa"/>
            <w:shd w:val="clear" w:color="auto" w:fill="auto"/>
            <w:vAlign w:val="center"/>
          </w:tcPr>
          <w:p w14:paraId="19E13E2D">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存期</w:t>
            </w:r>
          </w:p>
        </w:tc>
      </w:tr>
      <w:tr w14:paraId="2A28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3" w:type="dxa"/>
            <w:shd w:val="clear" w:color="auto" w:fill="auto"/>
          </w:tcPr>
          <w:p w14:paraId="6BFB4CC5">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37600</w:t>
            </w:r>
          </w:p>
        </w:tc>
        <w:tc>
          <w:tcPr>
            <w:tcW w:w="2841" w:type="dxa"/>
            <w:shd w:val="clear" w:color="auto" w:fill="auto"/>
            <w:vAlign w:val="center"/>
          </w:tcPr>
          <w:p w14:paraId="334CAC36">
            <w:pPr>
              <w:spacing w:line="360" w:lineRule="auto"/>
              <w:jc w:val="center"/>
              <w:rPr>
                <w:rFonts w:hint="eastAsia" w:asciiTheme="minorEastAsia" w:hAnsiTheme="minorEastAsia" w:eastAsiaTheme="minorEastAsia"/>
                <w:szCs w:val="21"/>
              </w:rPr>
            </w:pPr>
            <w:r>
              <w:rPr>
                <w:rFonts w:hint="eastAsia" w:ascii="宋体" w:hAnsi="宋体"/>
                <w:szCs w:val="21"/>
              </w:rPr>
              <w:t>3个月</w:t>
            </w:r>
          </w:p>
        </w:tc>
      </w:tr>
    </w:tbl>
    <w:p w14:paraId="0DFABD6D">
      <w:pPr>
        <w:pStyle w:val="3"/>
        <w:numPr>
          <w:ilvl w:val="0"/>
          <w:numId w:val="4"/>
        </w:numPr>
        <w:spacing w:before="0" w:after="0" w:line="360" w:lineRule="auto"/>
        <w:ind w:firstLine="422" w:firstLineChars="200"/>
        <w:rPr>
          <w:rFonts w:hint="eastAsia" w:asciiTheme="minorEastAsia" w:hAnsiTheme="minorEastAsia" w:eastAsiaTheme="minorEastAsia"/>
          <w:szCs w:val="21"/>
        </w:rPr>
      </w:pPr>
      <w:bookmarkStart w:id="11" w:name="_Toc98019228"/>
      <w:r>
        <w:rPr>
          <w:rFonts w:hint="eastAsia" w:asciiTheme="minorEastAsia" w:hAnsiTheme="minorEastAsia" w:eastAsiaTheme="minorEastAsia"/>
          <w:szCs w:val="21"/>
        </w:rPr>
        <w:t>合格投标人的资格要求</w:t>
      </w:r>
      <w:bookmarkEnd w:id="11"/>
    </w:p>
    <w:p w14:paraId="31E15E18">
      <w:pPr>
        <w:numPr>
          <w:ilvl w:val="0"/>
          <w:numId w:val="5"/>
        </w:numPr>
        <w:spacing w:line="360" w:lineRule="auto"/>
        <w:ind w:left="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在嘉兴市本级设有经办机构；</w:t>
      </w:r>
    </w:p>
    <w:p w14:paraId="5BDE2D33">
      <w:pPr>
        <w:numPr>
          <w:ilvl w:val="0"/>
          <w:numId w:val="5"/>
        </w:numPr>
        <w:spacing w:line="360" w:lineRule="auto"/>
        <w:ind w:left="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依法开展经营活动，内部管理机制健全，具有较强的风险控制能力，近3年内在经营活动中无重大违法违规记录、未发生金融风险及重大违约事件；</w:t>
      </w:r>
    </w:p>
    <w:p w14:paraId="0C0D792C">
      <w:pPr>
        <w:numPr>
          <w:ilvl w:val="0"/>
          <w:numId w:val="5"/>
        </w:numPr>
        <w:spacing w:line="360" w:lineRule="auto"/>
        <w:ind w:left="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纳入监管评级的银行，人行嘉兴市中心支行上年度综合评价达到Ｂ级及以上。不纳入人民银行评级范围的银行不受此条款限制。</w:t>
      </w:r>
    </w:p>
    <w:p w14:paraId="01806BA1">
      <w:pPr>
        <w:pStyle w:val="3"/>
        <w:numPr>
          <w:ilvl w:val="0"/>
          <w:numId w:val="4"/>
        </w:numPr>
        <w:spacing w:before="0" w:after="0" w:line="360" w:lineRule="auto"/>
        <w:ind w:firstLine="422" w:firstLineChars="200"/>
        <w:rPr>
          <w:rFonts w:hint="eastAsia" w:asciiTheme="minorEastAsia" w:hAnsiTheme="minorEastAsia" w:eastAsiaTheme="minorEastAsia"/>
          <w:szCs w:val="21"/>
        </w:rPr>
      </w:pPr>
      <w:bookmarkStart w:id="12" w:name="_Toc98019229"/>
      <w:r>
        <w:rPr>
          <w:rFonts w:hint="eastAsia" w:asciiTheme="minorEastAsia" w:hAnsiTheme="minorEastAsia" w:eastAsiaTheme="minorEastAsia"/>
          <w:szCs w:val="21"/>
        </w:rPr>
        <w:t>招标文件的获取：</w:t>
      </w:r>
      <w:bookmarkEnd w:id="12"/>
    </w:p>
    <w:p w14:paraId="2FB65BA0">
      <w:pPr>
        <w:pStyle w:val="62"/>
        <w:numPr>
          <w:ilvl w:val="0"/>
          <w:numId w:val="6"/>
        </w:numPr>
        <w:snapToGrid w:val="0"/>
        <w:spacing w:line="360" w:lineRule="auto"/>
        <w:ind w:left="0" w:firstLine="472" w:firstLineChars="225"/>
        <w:rPr>
          <w:rFonts w:hint="eastAsia" w:cs="Arial" w:asciiTheme="minorEastAsia" w:hAnsiTheme="minorEastAsia" w:eastAsiaTheme="minorEastAsia"/>
          <w:szCs w:val="21"/>
        </w:rPr>
      </w:pPr>
      <w:r>
        <w:rPr>
          <w:rFonts w:hint="eastAsia" w:cs="Arial" w:asciiTheme="minorEastAsia" w:hAnsiTheme="minorEastAsia" w:eastAsiaTheme="minorEastAsia"/>
          <w:bCs/>
          <w:szCs w:val="21"/>
        </w:rPr>
        <w:t>获取</w:t>
      </w:r>
      <w:r>
        <w:rPr>
          <w:rFonts w:hint="eastAsia" w:cs="Arial" w:asciiTheme="minorEastAsia" w:hAnsiTheme="minorEastAsia" w:eastAsiaTheme="minorEastAsia"/>
          <w:szCs w:val="21"/>
        </w:rPr>
        <w:t>方式（网站下载）</w:t>
      </w:r>
      <w:r>
        <w:rPr>
          <w:rFonts w:cs="Arial" w:asciiTheme="minorEastAsia" w:hAnsiTheme="minorEastAsia" w:eastAsiaTheme="minorEastAsia"/>
          <w:szCs w:val="21"/>
        </w:rPr>
        <w:t>：</w:t>
      </w:r>
      <w:r>
        <w:rPr>
          <w:rFonts w:hint="eastAsia" w:cs="Arial" w:asciiTheme="minorEastAsia" w:hAnsiTheme="minorEastAsia" w:eastAsiaTheme="minorEastAsia"/>
          <w:szCs w:val="21"/>
        </w:rPr>
        <w:t>浙江政府采购网（</w:t>
      </w:r>
      <w:r>
        <w:fldChar w:fldCharType="begin"/>
      </w:r>
      <w:r>
        <w:instrText xml:space="preserve"> HYPERLINK "https://zfcg.czt.zj.gov.cn/" </w:instrText>
      </w:r>
      <w:r>
        <w:fldChar w:fldCharType="separate"/>
      </w:r>
      <w:r>
        <w:rPr>
          <w:rStyle w:val="45"/>
          <w:rFonts w:cs="Arial" w:asciiTheme="minorEastAsia" w:hAnsiTheme="minorEastAsia" w:eastAsiaTheme="minorEastAsia"/>
          <w:color w:val="auto"/>
          <w:szCs w:val="21"/>
        </w:rPr>
        <w:t>https://zfcg.czt.zj.gov.cn/</w:t>
      </w:r>
      <w:r>
        <w:rPr>
          <w:rStyle w:val="45"/>
          <w:rFonts w:cs="Arial" w:asciiTheme="minorEastAsia" w:hAnsiTheme="minorEastAsia" w:eastAsiaTheme="minorEastAsia"/>
          <w:color w:val="auto"/>
          <w:szCs w:val="21"/>
        </w:rPr>
        <w:fldChar w:fldCharType="end"/>
      </w:r>
      <w:r>
        <w:rPr>
          <w:rFonts w:hint="eastAsia" w:cs="Arial" w:asciiTheme="minorEastAsia" w:hAnsiTheme="minorEastAsia" w:eastAsiaTheme="minorEastAsia"/>
          <w:szCs w:val="21"/>
        </w:rPr>
        <w:t>）、国家级嘉兴经济技术开发区 嘉兴国际商务区网</w:t>
      </w:r>
      <w:r>
        <w:rPr>
          <w:rStyle w:val="45"/>
          <w:rFonts w:hint="eastAsia" w:asciiTheme="minorEastAsia" w:hAnsiTheme="minorEastAsia" w:eastAsiaTheme="minorEastAsia"/>
          <w:color w:val="auto"/>
          <w:szCs w:val="21"/>
        </w:rPr>
        <w:t>（</w:t>
      </w:r>
      <w:r>
        <w:fldChar w:fldCharType="begin"/>
      </w:r>
      <w:r>
        <w:instrText xml:space="preserve"> HYPERLINK "http://jxedz.jiaxing.gov.cn/" </w:instrText>
      </w:r>
      <w:r>
        <w:fldChar w:fldCharType="separate"/>
      </w:r>
      <w:r>
        <w:rPr>
          <w:rStyle w:val="45"/>
          <w:rFonts w:cs="Arial" w:asciiTheme="minorEastAsia" w:hAnsiTheme="minorEastAsia" w:eastAsiaTheme="minorEastAsia"/>
          <w:color w:val="auto"/>
          <w:szCs w:val="21"/>
        </w:rPr>
        <w:t>http://jxedz.jiaxing.gov.cn/</w:t>
      </w:r>
      <w:r>
        <w:rPr>
          <w:rStyle w:val="45"/>
          <w:rFonts w:cs="Arial" w:asciiTheme="minorEastAsia" w:hAnsiTheme="minorEastAsia" w:eastAsiaTheme="minorEastAsia"/>
          <w:color w:val="auto"/>
          <w:szCs w:val="21"/>
        </w:rPr>
        <w:fldChar w:fldCharType="end"/>
      </w:r>
      <w:r>
        <w:rPr>
          <w:rStyle w:val="45"/>
          <w:rFonts w:hint="eastAsia" w:cs="Arial" w:asciiTheme="minorEastAsia" w:hAnsiTheme="minorEastAsia" w:eastAsiaTheme="minorEastAsia"/>
          <w:color w:val="auto"/>
          <w:szCs w:val="21"/>
        </w:rPr>
        <w:t>)</w:t>
      </w:r>
      <w:r>
        <w:rPr>
          <w:rFonts w:hint="eastAsia" w:cs="Arial" w:asciiTheme="minorEastAsia" w:hAnsiTheme="minorEastAsia" w:eastAsiaTheme="minorEastAsia"/>
          <w:szCs w:val="21"/>
        </w:rPr>
        <w:t>。</w:t>
      </w:r>
    </w:p>
    <w:p w14:paraId="101756FB">
      <w:pPr>
        <w:pStyle w:val="62"/>
        <w:numPr>
          <w:ilvl w:val="0"/>
          <w:numId w:val="6"/>
        </w:numPr>
        <w:snapToGrid w:val="0"/>
        <w:spacing w:line="360" w:lineRule="auto"/>
        <w:ind w:left="0" w:firstLine="472" w:firstLineChars="225"/>
        <w:rPr>
          <w:rFonts w:hint="eastAsia" w:cs="Arial" w:asciiTheme="minorEastAsia" w:hAnsiTheme="minorEastAsia" w:eastAsiaTheme="minorEastAsia"/>
          <w:szCs w:val="21"/>
        </w:rPr>
      </w:pPr>
      <w:r>
        <w:rPr>
          <w:rFonts w:cs="Arial" w:asciiTheme="minorEastAsia" w:hAnsiTheme="minorEastAsia" w:eastAsiaTheme="minorEastAsia"/>
          <w:szCs w:val="21"/>
        </w:rPr>
        <w:t>招标文件</w:t>
      </w:r>
      <w:r>
        <w:rPr>
          <w:rFonts w:hint="eastAsia" w:cs="Arial" w:asciiTheme="minorEastAsia" w:hAnsiTheme="minorEastAsia" w:eastAsiaTheme="minorEastAsia"/>
          <w:szCs w:val="21"/>
        </w:rPr>
        <w:t>免费下载</w:t>
      </w:r>
      <w:r>
        <w:rPr>
          <w:rFonts w:cs="Arial" w:asciiTheme="minorEastAsia" w:hAnsiTheme="minorEastAsia" w:eastAsiaTheme="minorEastAsia"/>
          <w:szCs w:val="21"/>
        </w:rPr>
        <w:t>。</w:t>
      </w:r>
    </w:p>
    <w:p w14:paraId="7D7067FB">
      <w:pPr>
        <w:pStyle w:val="3"/>
        <w:numPr>
          <w:ilvl w:val="0"/>
          <w:numId w:val="4"/>
        </w:numPr>
        <w:spacing w:before="0" w:after="0" w:line="360" w:lineRule="auto"/>
        <w:ind w:firstLine="422" w:firstLineChars="200"/>
        <w:rPr>
          <w:rFonts w:hint="eastAsia" w:asciiTheme="minorEastAsia" w:hAnsiTheme="minorEastAsia" w:eastAsiaTheme="minorEastAsia"/>
        </w:rPr>
      </w:pPr>
      <w:bookmarkStart w:id="13" w:name="_Toc98019230"/>
      <w:r>
        <w:rPr>
          <w:rFonts w:hint="eastAsia" w:asciiTheme="minorEastAsia" w:hAnsiTheme="minorEastAsia" w:eastAsiaTheme="minorEastAsia"/>
          <w:szCs w:val="21"/>
        </w:rPr>
        <w:t>报名：</w:t>
      </w:r>
      <w:bookmarkEnd w:id="13"/>
    </w:p>
    <w:p w14:paraId="538C71CE">
      <w:pPr>
        <w:snapToGrid w:val="0"/>
        <w:spacing w:line="360" w:lineRule="auto"/>
        <w:ind w:firstLine="422" w:firstLineChars="200"/>
        <w:rPr>
          <w:rFonts w:hint="eastAsia" w:cs="Arial" w:asciiTheme="minorEastAsia" w:hAnsiTheme="minorEastAsia" w:eastAsiaTheme="minorEastAsia"/>
          <w:szCs w:val="21"/>
        </w:rPr>
      </w:pPr>
      <w:r>
        <w:rPr>
          <w:rFonts w:hint="eastAsia" w:cs="Arial" w:asciiTheme="minorEastAsia" w:hAnsiTheme="minorEastAsia" w:eastAsiaTheme="minorEastAsia"/>
          <w:b/>
          <w:bCs/>
          <w:szCs w:val="21"/>
        </w:rPr>
        <w:t>报名时间：</w:t>
      </w:r>
      <w:r>
        <w:rPr>
          <w:rFonts w:hint="eastAsia" w:cs="Arial" w:asciiTheme="minorEastAsia" w:hAnsiTheme="minorEastAsia" w:eastAsiaTheme="minorEastAsia"/>
          <w:bCs/>
          <w:szCs w:val="21"/>
          <w:u w:val="single"/>
        </w:rPr>
        <w:t>202</w:t>
      </w:r>
      <w:r>
        <w:rPr>
          <w:rFonts w:cs="Arial" w:asciiTheme="minorEastAsia" w:hAnsiTheme="minorEastAsia" w:eastAsiaTheme="minorEastAsia"/>
          <w:bCs/>
          <w:szCs w:val="21"/>
          <w:u w:val="single"/>
        </w:rPr>
        <w:t>4</w:t>
      </w:r>
      <w:r>
        <w:rPr>
          <w:rFonts w:hint="eastAsia" w:cs="Arial" w:asciiTheme="minorEastAsia" w:hAnsiTheme="minorEastAsia" w:eastAsiaTheme="minorEastAsia"/>
          <w:szCs w:val="21"/>
          <w:u w:val="single"/>
        </w:rPr>
        <w:t>年12月24日</w:t>
      </w:r>
      <w:r>
        <w:rPr>
          <w:rFonts w:hint="eastAsia" w:cs="Arial" w:asciiTheme="minorEastAsia" w:hAnsiTheme="minorEastAsia" w:eastAsiaTheme="minorEastAsia"/>
          <w:szCs w:val="21"/>
        </w:rPr>
        <w:t>至</w:t>
      </w:r>
      <w:r>
        <w:rPr>
          <w:rFonts w:hint="eastAsia" w:cs="Arial" w:asciiTheme="minorEastAsia" w:hAnsiTheme="minorEastAsia" w:eastAsiaTheme="minorEastAsia"/>
          <w:szCs w:val="21"/>
          <w:u w:val="single"/>
        </w:rPr>
        <w:t>2025年01月13日09：30</w:t>
      </w:r>
      <w:r>
        <w:rPr>
          <w:rFonts w:hint="eastAsia" w:cs="Arial" w:asciiTheme="minorEastAsia" w:hAnsiTheme="minorEastAsia" w:eastAsiaTheme="minorEastAsia"/>
          <w:szCs w:val="21"/>
        </w:rPr>
        <w:t>。</w:t>
      </w:r>
    </w:p>
    <w:p w14:paraId="42C3C480">
      <w:pPr>
        <w:snapToGrid w:val="0"/>
        <w:spacing w:line="360" w:lineRule="auto"/>
        <w:ind w:firstLine="422" w:firstLineChars="200"/>
        <w:rPr>
          <w:rFonts w:hint="eastAsia" w:cs="Arial" w:asciiTheme="minorEastAsia" w:hAnsiTheme="minorEastAsia" w:eastAsiaTheme="minorEastAsia"/>
          <w:szCs w:val="21"/>
        </w:rPr>
      </w:pPr>
      <w:r>
        <w:rPr>
          <w:rFonts w:hint="eastAsia" w:asciiTheme="minorEastAsia" w:hAnsiTheme="minorEastAsia" w:eastAsiaTheme="minorEastAsia"/>
          <w:b/>
          <w:szCs w:val="21"/>
        </w:rPr>
        <w:t>报名方式：</w:t>
      </w:r>
      <w:r>
        <w:rPr>
          <w:rFonts w:hint="eastAsia" w:asciiTheme="minorEastAsia" w:hAnsiTheme="minorEastAsia" w:eastAsiaTheme="minorEastAsia"/>
          <w:szCs w:val="21"/>
        </w:rPr>
        <w:t>本项目实行</w:t>
      </w:r>
      <w:r>
        <w:rPr>
          <w:rFonts w:hint="eastAsia" w:asciiTheme="minorEastAsia" w:hAnsiTheme="minorEastAsia" w:eastAsiaTheme="minorEastAsia"/>
          <w:szCs w:val="21"/>
          <w:u w:val="single"/>
        </w:rPr>
        <w:t>网上</w:t>
      </w:r>
      <w:r>
        <w:rPr>
          <w:rFonts w:hint="eastAsia" w:asciiTheme="minorEastAsia" w:hAnsiTheme="minorEastAsia" w:eastAsiaTheme="minorEastAsia"/>
          <w:szCs w:val="21"/>
        </w:rPr>
        <w:t>报名。报名银行登录政府采购云平台（</w:t>
      </w:r>
      <w:r>
        <w:fldChar w:fldCharType="begin"/>
      </w:r>
      <w:r>
        <w:instrText xml:space="preserve"> HYPERLINK "https://login.zcygov.cn/user-login/" \l "/login" </w:instrText>
      </w:r>
      <w:r>
        <w:fldChar w:fldCharType="separate"/>
      </w:r>
      <w:r>
        <w:rPr>
          <w:rStyle w:val="45"/>
          <w:rFonts w:asciiTheme="minorEastAsia" w:hAnsiTheme="minorEastAsia" w:eastAsiaTheme="minorEastAsia"/>
          <w:color w:val="auto"/>
          <w:szCs w:val="21"/>
        </w:rPr>
        <w:t>https://login.zcygov.cn/user-login/#/login</w:t>
      </w:r>
      <w:r>
        <w:rPr>
          <w:rStyle w:val="45"/>
          <w:rFonts w:asciiTheme="minorEastAsia" w:hAnsiTheme="minorEastAsia" w:eastAsiaTheme="minorEastAsia"/>
          <w:color w:val="auto"/>
          <w:szCs w:val="21"/>
        </w:rPr>
        <w:fldChar w:fldCharType="end"/>
      </w:r>
      <w:r>
        <w:rPr>
          <w:rFonts w:hint="eastAsia" w:asciiTheme="minorEastAsia" w:hAnsiTheme="minorEastAsia" w:eastAsiaTheme="minorEastAsia"/>
          <w:szCs w:val="21"/>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57A056D3">
      <w:pPr>
        <w:snapToGrid w:val="0"/>
        <w:spacing w:line="360" w:lineRule="auto"/>
        <w:ind w:firstLine="422" w:firstLineChars="200"/>
        <w:rPr>
          <w:rFonts w:hint="eastAsia" w:cs="Arial" w:asciiTheme="minorEastAsia" w:hAnsiTheme="minorEastAsia" w:eastAsiaTheme="minorEastAsia"/>
          <w:b/>
          <w:bCs/>
          <w:szCs w:val="21"/>
        </w:rPr>
      </w:pPr>
      <w:r>
        <w:rPr>
          <w:rFonts w:hint="eastAsia" w:cs="Arial" w:asciiTheme="minorEastAsia" w:hAnsiTheme="minorEastAsia" w:eastAsiaTheme="minorEastAsia"/>
          <w:b/>
          <w:bCs/>
          <w:szCs w:val="21"/>
        </w:rPr>
        <w:t>报名应提供以下资料：</w:t>
      </w:r>
    </w:p>
    <w:p w14:paraId="34ABAAE1">
      <w:pPr>
        <w:snapToGrid w:val="0"/>
        <w:spacing w:line="360" w:lineRule="auto"/>
        <w:ind w:firstLine="472" w:firstLineChars="225"/>
        <w:rPr>
          <w:rFonts w:hint="eastAsia" w:cs="Arial" w:asciiTheme="minorEastAsia" w:hAnsiTheme="minorEastAsia" w:eastAsiaTheme="minorEastAsia"/>
          <w:szCs w:val="21"/>
        </w:rPr>
      </w:pPr>
      <w:r>
        <w:rPr>
          <w:rFonts w:cs="Arial" w:asciiTheme="minorEastAsia" w:hAnsiTheme="minorEastAsia" w:eastAsiaTheme="minorEastAsia"/>
          <w:szCs w:val="21"/>
        </w:rPr>
        <w:t>1</w:t>
      </w:r>
      <w:r>
        <w:rPr>
          <w:rFonts w:hint="eastAsia" w:cs="Arial" w:asciiTheme="minorEastAsia" w:hAnsiTheme="minorEastAsia" w:eastAsiaTheme="minorEastAsia"/>
          <w:szCs w:val="21"/>
        </w:rPr>
        <w:t>.</w:t>
      </w:r>
      <w:r>
        <w:rPr>
          <w:rFonts w:cs="Arial" w:asciiTheme="minorEastAsia" w:hAnsiTheme="minorEastAsia" w:eastAsiaTheme="minorEastAsia"/>
          <w:szCs w:val="21"/>
        </w:rPr>
        <w:t>经有关部门年检通过的企业法人营业执照</w:t>
      </w:r>
      <w:r>
        <w:rPr>
          <w:rFonts w:hint="eastAsia" w:cs="Arial" w:asciiTheme="minorEastAsia" w:hAnsiTheme="minorEastAsia" w:eastAsiaTheme="minorEastAsia"/>
          <w:szCs w:val="21"/>
        </w:rPr>
        <w:t>副本</w:t>
      </w:r>
      <w:r>
        <w:rPr>
          <w:rFonts w:cs="Arial" w:asciiTheme="minorEastAsia" w:hAnsiTheme="minorEastAsia" w:eastAsiaTheme="minorEastAsia"/>
          <w:szCs w:val="21"/>
        </w:rPr>
        <w:t>复印件</w:t>
      </w:r>
      <w:r>
        <w:rPr>
          <w:rFonts w:hint="eastAsia" w:cs="Arial" w:asciiTheme="minorEastAsia" w:hAnsiTheme="minorEastAsia" w:eastAsiaTheme="minorEastAsia"/>
          <w:szCs w:val="21"/>
        </w:rPr>
        <w:t>（加盖单位公章）</w:t>
      </w:r>
      <w:r>
        <w:rPr>
          <w:rFonts w:cs="Arial" w:asciiTheme="minorEastAsia" w:hAnsiTheme="minorEastAsia" w:eastAsiaTheme="minorEastAsia"/>
          <w:szCs w:val="21"/>
        </w:rPr>
        <w:t>；</w:t>
      </w:r>
    </w:p>
    <w:p w14:paraId="50579426">
      <w:pPr>
        <w:snapToGrid w:val="0"/>
        <w:spacing w:line="360" w:lineRule="auto"/>
        <w:ind w:firstLine="472" w:firstLineChars="225"/>
        <w:rPr>
          <w:rFonts w:hint="eastAsia"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w:t>
      </w:r>
      <w:r>
        <w:rPr>
          <w:rFonts w:cs="Arial" w:asciiTheme="minorEastAsia" w:hAnsiTheme="minorEastAsia" w:eastAsiaTheme="minorEastAsia"/>
          <w:szCs w:val="21"/>
        </w:rPr>
        <w:t>报名人</w:t>
      </w:r>
      <w:r>
        <w:rPr>
          <w:rFonts w:hint="eastAsia" w:cs="Arial" w:asciiTheme="minorEastAsia" w:hAnsiTheme="minorEastAsia" w:eastAsiaTheme="minorEastAsia"/>
          <w:szCs w:val="21"/>
        </w:rPr>
        <w:t>有效</w:t>
      </w:r>
      <w:r>
        <w:rPr>
          <w:rFonts w:cs="Arial" w:asciiTheme="minorEastAsia" w:hAnsiTheme="minorEastAsia" w:eastAsiaTheme="minorEastAsia"/>
          <w:szCs w:val="21"/>
        </w:rPr>
        <w:t>身份证</w:t>
      </w:r>
      <w:r>
        <w:rPr>
          <w:rFonts w:hint="eastAsia" w:cs="Arial" w:asciiTheme="minorEastAsia" w:hAnsiTheme="minorEastAsia" w:eastAsiaTheme="minorEastAsia"/>
          <w:szCs w:val="21"/>
        </w:rPr>
        <w:t>件</w:t>
      </w:r>
      <w:r>
        <w:rPr>
          <w:rFonts w:cs="Arial" w:asciiTheme="minorEastAsia" w:hAnsiTheme="minorEastAsia" w:eastAsiaTheme="minorEastAsia"/>
          <w:szCs w:val="21"/>
        </w:rPr>
        <w:t>复印件</w:t>
      </w:r>
      <w:r>
        <w:rPr>
          <w:rFonts w:hint="eastAsia" w:cs="Arial" w:asciiTheme="minorEastAsia" w:hAnsiTheme="minorEastAsia" w:eastAsiaTheme="minorEastAsia"/>
          <w:szCs w:val="21"/>
        </w:rPr>
        <w:t>（加盖单位公章）；</w:t>
      </w:r>
    </w:p>
    <w:p w14:paraId="649532D5">
      <w:pPr>
        <w:snapToGrid w:val="0"/>
        <w:spacing w:line="360" w:lineRule="auto"/>
        <w:ind w:firstLine="472" w:firstLineChars="225"/>
        <w:rPr>
          <w:rFonts w:hint="eastAsia" w:cs="Arial" w:asciiTheme="minorEastAsia" w:hAnsiTheme="minorEastAsia" w:eastAsiaTheme="minorEastAsia"/>
          <w:szCs w:val="21"/>
        </w:rPr>
      </w:pPr>
      <w:r>
        <w:rPr>
          <w:rFonts w:hint="eastAsia" w:cs="Arial" w:asciiTheme="minorEastAsia" w:hAnsiTheme="minorEastAsia" w:eastAsiaTheme="minorEastAsia"/>
          <w:szCs w:val="21"/>
        </w:rPr>
        <w:t>3.投标银行报名表（加盖单位公章）。</w:t>
      </w:r>
    </w:p>
    <w:p w14:paraId="3DDF2375">
      <w:pPr>
        <w:pStyle w:val="3"/>
        <w:numPr>
          <w:ilvl w:val="0"/>
          <w:numId w:val="4"/>
        </w:numPr>
        <w:spacing w:before="0" w:after="0" w:line="360"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投标方式、线下投标截止时间和网上投标</w:t>
      </w:r>
      <w:r>
        <w:rPr>
          <w:rFonts w:hint="eastAsia" w:asciiTheme="minorEastAsia" w:hAnsiTheme="minorEastAsia" w:eastAsiaTheme="minorEastAsia"/>
        </w:rPr>
        <w:t>起止时间</w:t>
      </w:r>
      <w:r>
        <w:rPr>
          <w:rFonts w:hint="eastAsia" w:asciiTheme="minorEastAsia" w:hAnsiTheme="minorEastAsia" w:eastAsiaTheme="minorEastAsia"/>
          <w:szCs w:val="21"/>
        </w:rPr>
        <w:t>：</w:t>
      </w:r>
    </w:p>
    <w:p w14:paraId="6F4145B2">
      <w:pPr>
        <w:spacing w:line="360" w:lineRule="auto"/>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本项目实行线下纸质投标叠加网上电子投标。线下纸质投标文件接收截止时间：</w:t>
      </w:r>
      <w:r>
        <w:rPr>
          <w:rFonts w:hint="eastAsia" w:cs="Arial" w:asciiTheme="minorEastAsia" w:hAnsiTheme="minorEastAsia" w:eastAsiaTheme="minorEastAsia"/>
          <w:szCs w:val="21"/>
        </w:rPr>
        <w:t>2025年01月13日14：00</w:t>
      </w:r>
      <w:r>
        <w:rPr>
          <w:rFonts w:hint="eastAsia" w:asciiTheme="minorEastAsia" w:hAnsiTheme="minorEastAsia" w:eastAsiaTheme="minorEastAsia"/>
          <w:szCs w:val="21"/>
        </w:rPr>
        <w:t>，未按时寄达或送达指定地点的，均视为自动放弃。网上电子投标投标人应于：</w:t>
      </w:r>
      <w:r>
        <w:rPr>
          <w:rFonts w:hint="eastAsia" w:cs="Arial" w:asciiTheme="minorEastAsia" w:hAnsiTheme="minorEastAsia" w:eastAsiaTheme="minorEastAsia"/>
          <w:szCs w:val="21"/>
        </w:rPr>
        <w:t>2025年01月13日14：00</w:t>
      </w:r>
      <w:r>
        <w:rPr>
          <w:rFonts w:hint="eastAsia" w:asciiTheme="minorEastAsia" w:hAnsiTheme="minorEastAsia" w:eastAsiaTheme="minorEastAsia"/>
          <w:szCs w:val="21"/>
        </w:rPr>
        <w:t>，登录政府采购云平台，进入招标系统，按规定进行投标。投标成功会接收短信通知，逾期投标视为未投标。</w:t>
      </w:r>
    </w:p>
    <w:p w14:paraId="2800D344">
      <w:pPr>
        <w:pStyle w:val="3"/>
        <w:numPr>
          <w:ilvl w:val="0"/>
          <w:numId w:val="4"/>
        </w:numPr>
        <w:spacing w:before="0" w:after="0" w:line="360"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szCs w:val="21"/>
        </w:rPr>
        <w:t>开标时间及地点：</w:t>
      </w:r>
    </w:p>
    <w:p w14:paraId="3657317D">
      <w:pPr>
        <w:snapToGrid w:val="0"/>
        <w:spacing w:line="360" w:lineRule="auto"/>
        <w:ind w:firstLine="308" w:firstLineChars="147"/>
        <w:rPr>
          <w:rFonts w:hint="eastAsia" w:cs="Arial" w:asciiTheme="minorEastAsia" w:hAnsiTheme="minorEastAsia" w:eastAsiaTheme="minorEastAsia"/>
          <w:szCs w:val="21"/>
        </w:rPr>
      </w:pPr>
      <w:r>
        <w:rPr>
          <w:rFonts w:hint="eastAsia" w:cs="Arial" w:asciiTheme="minorEastAsia" w:hAnsiTheme="minorEastAsia" w:eastAsiaTheme="minorEastAsia"/>
          <w:szCs w:val="21"/>
        </w:rPr>
        <w:t>本次招标将于在</w:t>
      </w:r>
      <w:r>
        <w:rPr>
          <w:rFonts w:hint="eastAsia" w:asciiTheme="minorEastAsia" w:hAnsiTheme="minorEastAsia" w:eastAsiaTheme="minorEastAsia"/>
          <w:szCs w:val="21"/>
        </w:rPr>
        <w:t>：</w:t>
      </w:r>
      <w:r>
        <w:rPr>
          <w:rFonts w:hint="eastAsia" w:cs="Arial" w:asciiTheme="minorEastAsia" w:hAnsiTheme="minorEastAsia" w:eastAsiaTheme="minorEastAsia"/>
          <w:szCs w:val="21"/>
        </w:rPr>
        <w:t>2025年01月13日14：00嘉兴市千秋工程咨询有限公司三号会议室（嘉兴市秀洲区新平路299号中禾广场23楼西侧）开标。</w:t>
      </w:r>
    </w:p>
    <w:p w14:paraId="0DED0F98">
      <w:pPr>
        <w:pStyle w:val="3"/>
        <w:numPr>
          <w:ilvl w:val="0"/>
          <w:numId w:val="4"/>
        </w:numPr>
        <w:spacing w:before="0" w:after="0" w:line="360" w:lineRule="auto"/>
        <w:ind w:firstLine="422" w:firstLineChars="200"/>
        <w:rPr>
          <w:rFonts w:hint="eastAsia" w:asciiTheme="minorEastAsia" w:hAnsiTheme="minorEastAsia" w:eastAsiaTheme="minorEastAsia"/>
          <w:szCs w:val="21"/>
        </w:rPr>
      </w:pPr>
      <w:bookmarkStart w:id="14" w:name="_Toc98019231"/>
      <w:r>
        <w:rPr>
          <w:rFonts w:hint="eastAsia" w:asciiTheme="minorEastAsia" w:hAnsiTheme="minorEastAsia" w:eastAsiaTheme="minorEastAsia"/>
          <w:szCs w:val="21"/>
        </w:rPr>
        <w:t>招标公告发布于：</w:t>
      </w:r>
      <w:bookmarkEnd w:id="14"/>
    </w:p>
    <w:p w14:paraId="1DAF3A14">
      <w:pPr>
        <w:snapToGrid w:val="0"/>
        <w:spacing w:line="360" w:lineRule="auto"/>
        <w:ind w:firstLine="420"/>
        <w:rPr>
          <w:rFonts w:hint="eastAsia" w:cs="Arial" w:asciiTheme="minorEastAsia" w:hAnsiTheme="minorEastAsia" w:eastAsiaTheme="minorEastAsia"/>
          <w:b/>
          <w:szCs w:val="21"/>
        </w:rPr>
      </w:pPr>
      <w:r>
        <w:rPr>
          <w:rFonts w:hint="eastAsia" w:cs="Arial" w:asciiTheme="minorEastAsia" w:hAnsiTheme="minorEastAsia" w:eastAsiaTheme="minorEastAsia"/>
          <w:szCs w:val="21"/>
        </w:rPr>
        <w:t>浙江政府采购网（</w:t>
      </w:r>
      <w:r>
        <w:fldChar w:fldCharType="begin"/>
      </w:r>
      <w:r>
        <w:instrText xml:space="preserve"> HYPERLINK "https://zfcg.czt.zj.gov.cn/" </w:instrText>
      </w:r>
      <w:r>
        <w:fldChar w:fldCharType="separate"/>
      </w:r>
      <w:r>
        <w:rPr>
          <w:rStyle w:val="45"/>
          <w:rFonts w:cs="Arial" w:asciiTheme="minorEastAsia" w:hAnsiTheme="minorEastAsia" w:eastAsiaTheme="minorEastAsia"/>
          <w:color w:val="auto"/>
          <w:szCs w:val="21"/>
        </w:rPr>
        <w:t>https://zfcg.czt.zj.gov.cn/</w:t>
      </w:r>
      <w:r>
        <w:rPr>
          <w:rStyle w:val="45"/>
          <w:rFonts w:cs="Arial" w:asciiTheme="minorEastAsia" w:hAnsiTheme="minorEastAsia" w:eastAsiaTheme="minorEastAsia"/>
          <w:color w:val="auto"/>
          <w:szCs w:val="21"/>
        </w:rPr>
        <w:fldChar w:fldCharType="end"/>
      </w:r>
      <w:r>
        <w:rPr>
          <w:rFonts w:hint="eastAsia" w:cs="Arial" w:asciiTheme="minorEastAsia" w:hAnsiTheme="minorEastAsia" w:eastAsiaTheme="minorEastAsia"/>
          <w:szCs w:val="21"/>
        </w:rPr>
        <w:t>）、国家级嘉兴经济技术开发区嘉兴国际商务区网</w:t>
      </w:r>
      <w:r>
        <w:rPr>
          <w:rStyle w:val="45"/>
          <w:rFonts w:hint="eastAsia" w:asciiTheme="minorEastAsia" w:hAnsiTheme="minorEastAsia" w:eastAsiaTheme="minorEastAsia"/>
          <w:color w:val="auto"/>
          <w:szCs w:val="21"/>
        </w:rPr>
        <w:t>（</w:t>
      </w:r>
      <w:r>
        <w:fldChar w:fldCharType="begin"/>
      </w:r>
      <w:r>
        <w:instrText xml:space="preserve"> HYPERLINK "http://jxedz.jiaxing.gov.cn/" </w:instrText>
      </w:r>
      <w:r>
        <w:fldChar w:fldCharType="separate"/>
      </w:r>
      <w:r>
        <w:rPr>
          <w:rStyle w:val="45"/>
          <w:rFonts w:cs="Arial" w:asciiTheme="minorEastAsia" w:hAnsiTheme="minorEastAsia" w:eastAsiaTheme="minorEastAsia"/>
          <w:color w:val="auto"/>
          <w:szCs w:val="21"/>
        </w:rPr>
        <w:t>http://jxedz.jiaxing.gov.cn/</w:t>
      </w:r>
      <w:r>
        <w:rPr>
          <w:rStyle w:val="45"/>
          <w:rFonts w:cs="Arial" w:asciiTheme="minorEastAsia" w:hAnsiTheme="minorEastAsia" w:eastAsiaTheme="minorEastAsia"/>
          <w:color w:val="auto"/>
          <w:szCs w:val="21"/>
        </w:rPr>
        <w:fldChar w:fldCharType="end"/>
      </w:r>
      <w:r>
        <w:rPr>
          <w:rStyle w:val="45"/>
          <w:rFonts w:hint="eastAsia" w:cs="Arial" w:asciiTheme="minorEastAsia" w:hAnsiTheme="minorEastAsia" w:eastAsiaTheme="minorEastAsia"/>
          <w:color w:val="auto"/>
          <w:szCs w:val="21"/>
        </w:rPr>
        <w:t>)</w:t>
      </w:r>
      <w:r>
        <w:rPr>
          <w:rStyle w:val="45"/>
          <w:rFonts w:hint="eastAsia" w:cs="Arial" w:asciiTheme="minorEastAsia" w:hAnsiTheme="minorEastAsia" w:eastAsiaTheme="minorEastAsia"/>
          <w:color w:val="auto"/>
          <w:szCs w:val="21"/>
          <w:u w:val="none"/>
        </w:rPr>
        <w:t>。</w:t>
      </w:r>
    </w:p>
    <w:p w14:paraId="46108EF4">
      <w:pPr>
        <w:pStyle w:val="3"/>
        <w:numPr>
          <w:ilvl w:val="0"/>
          <w:numId w:val="4"/>
        </w:numPr>
        <w:spacing w:before="0" w:after="0" w:line="360" w:lineRule="auto"/>
        <w:ind w:firstLine="422" w:firstLineChars="200"/>
        <w:rPr>
          <w:rFonts w:hint="eastAsia" w:asciiTheme="minorEastAsia" w:hAnsiTheme="minorEastAsia" w:eastAsiaTheme="minorEastAsia"/>
          <w:szCs w:val="21"/>
        </w:rPr>
      </w:pPr>
      <w:bookmarkStart w:id="15" w:name="_Toc98019232"/>
      <w:r>
        <w:rPr>
          <w:rFonts w:hint="eastAsia" w:asciiTheme="minorEastAsia" w:hAnsiTheme="minorEastAsia" w:eastAsiaTheme="minorEastAsia"/>
          <w:szCs w:val="21"/>
        </w:rPr>
        <w:t>业务咨询：</w:t>
      </w:r>
      <w:bookmarkEnd w:id="15"/>
    </w:p>
    <w:p w14:paraId="6CF270E3">
      <w:pPr>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嘉兴经济技术开发区财政金融部</w:t>
      </w:r>
    </w:p>
    <w:p w14:paraId="106BE61D">
      <w:pPr>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 xml:space="preserve">项目联系人：江伶丽     联系电话： </w:t>
      </w:r>
      <w:r>
        <w:rPr>
          <w:rFonts w:cs="Arial" w:asciiTheme="minorEastAsia" w:hAnsiTheme="minorEastAsia" w:eastAsiaTheme="minorEastAsia"/>
          <w:szCs w:val="21"/>
        </w:rPr>
        <w:t>0573-83677759</w:t>
      </w:r>
    </w:p>
    <w:p w14:paraId="04CDA21B">
      <w:pPr>
        <w:snapToGrid w:val="0"/>
        <w:spacing w:line="360" w:lineRule="auto"/>
        <w:ind w:firstLine="420"/>
        <w:rPr>
          <w:rFonts w:hint="eastAsia" w:cs="Arial" w:asciiTheme="minorEastAsia" w:hAnsiTheme="minorEastAsia" w:eastAsiaTheme="minorEastAsia"/>
          <w:bCs/>
          <w:szCs w:val="21"/>
        </w:rPr>
      </w:pPr>
      <w:r>
        <w:rPr>
          <w:rFonts w:hint="eastAsia" w:cs="Arial" w:asciiTheme="minorEastAsia" w:hAnsiTheme="minorEastAsia" w:eastAsiaTheme="minorEastAsia"/>
          <w:bCs/>
          <w:szCs w:val="21"/>
        </w:rPr>
        <w:t xml:space="preserve">嘉兴市千秋工程咨询有限公司  </w:t>
      </w:r>
    </w:p>
    <w:p w14:paraId="6DB9C466">
      <w:pPr>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 xml:space="preserve">联系人：项兴戟  章莉莉  </w:t>
      </w:r>
    </w:p>
    <w:p w14:paraId="58FFA5A3">
      <w:pPr>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联系电话：0573- 83705015   13605738567  13605735186</w:t>
      </w:r>
    </w:p>
    <w:p w14:paraId="46C62173">
      <w:pPr>
        <w:snapToGrid w:val="0"/>
        <w:spacing w:line="360" w:lineRule="auto"/>
        <w:ind w:left="238"/>
        <w:jc w:val="right"/>
        <w:rPr>
          <w:rFonts w:hint="eastAsia" w:cs="Arial" w:asciiTheme="minorEastAsia" w:hAnsiTheme="minorEastAsia" w:eastAsiaTheme="minorEastAsia"/>
          <w:szCs w:val="21"/>
        </w:rPr>
      </w:pPr>
      <w:r>
        <w:rPr>
          <w:rFonts w:hint="eastAsia" w:cs="Arial" w:asciiTheme="minorEastAsia" w:hAnsiTheme="minorEastAsia" w:eastAsiaTheme="minorEastAsia"/>
          <w:szCs w:val="21"/>
        </w:rPr>
        <w:t>嘉兴经济技术开发区财政金融部</w:t>
      </w:r>
    </w:p>
    <w:p w14:paraId="1AEEB3BB">
      <w:pPr>
        <w:snapToGrid w:val="0"/>
        <w:spacing w:line="360" w:lineRule="auto"/>
        <w:ind w:left="238"/>
        <w:jc w:val="right"/>
        <w:rPr>
          <w:rFonts w:hint="eastAsia" w:asciiTheme="minorEastAsia" w:hAnsiTheme="minorEastAsia" w:eastAsiaTheme="minorEastAsia"/>
          <w:szCs w:val="21"/>
        </w:rPr>
      </w:pPr>
      <w:r>
        <w:rPr>
          <w:rFonts w:hint="eastAsia" w:cs="Arial" w:asciiTheme="minorEastAsia" w:hAnsiTheme="minorEastAsia" w:eastAsiaTheme="minorEastAsia"/>
          <w:bCs/>
          <w:szCs w:val="21"/>
        </w:rPr>
        <w:t>嘉兴市千秋工程咨询有限公司</w:t>
      </w:r>
    </w:p>
    <w:p w14:paraId="3E77FD3D">
      <w:pPr>
        <w:wordWrap w:val="0"/>
        <w:spacing w:line="360" w:lineRule="auto"/>
        <w:ind w:right="-51"/>
        <w:jc w:val="right"/>
        <w:rPr>
          <w:rFonts w:hint="eastAsia" w:asciiTheme="minorEastAsia" w:hAnsiTheme="minorEastAsia" w:eastAsiaTheme="minorEastAsia"/>
        </w:rPr>
        <w:sectPr>
          <w:headerReference r:id="rId7" w:type="first"/>
          <w:footerReference r:id="rId8" w:type="first"/>
          <w:pgSz w:w="11907" w:h="16840"/>
          <w:pgMar w:top="1440" w:right="1797" w:bottom="1440" w:left="1797" w:header="851" w:footer="851" w:gutter="0"/>
          <w:pgNumType w:start="1"/>
          <w:cols w:space="425" w:num="1"/>
          <w:titlePg/>
          <w:docGrid w:type="lines" w:linePitch="312" w:charSpace="0"/>
        </w:sectPr>
      </w:pPr>
      <w:r>
        <w:rPr>
          <w:rFonts w:hint="eastAsia" w:asciiTheme="minorEastAsia" w:hAnsiTheme="minorEastAsia" w:eastAsiaTheme="minorEastAsia"/>
          <w:szCs w:val="21"/>
        </w:rPr>
        <w:t>202</w:t>
      </w:r>
      <w:r>
        <w:rPr>
          <w:rFonts w:asciiTheme="minorEastAsia" w:hAnsiTheme="minorEastAsia" w:eastAsiaTheme="minorEastAsia"/>
          <w:szCs w:val="21"/>
        </w:rPr>
        <w:t>4</w:t>
      </w:r>
      <w:r>
        <w:rPr>
          <w:rFonts w:hint="eastAsia" w:asciiTheme="minorEastAsia" w:hAnsiTheme="minorEastAsia" w:eastAsiaTheme="minorEastAsia"/>
          <w:szCs w:val="21"/>
        </w:rPr>
        <w:t>年12月24日</w:t>
      </w:r>
      <w:bookmarkEnd w:id="4"/>
    </w:p>
    <w:p w14:paraId="27E7B6FF">
      <w:pPr>
        <w:pStyle w:val="36"/>
        <w:numPr>
          <w:ilvl w:val="0"/>
          <w:numId w:val="3"/>
        </w:numPr>
        <w:spacing w:line="360" w:lineRule="auto"/>
        <w:rPr>
          <w:rFonts w:hint="eastAsia" w:asciiTheme="minorEastAsia" w:hAnsiTheme="minorEastAsia" w:eastAsiaTheme="minorEastAsia"/>
        </w:rPr>
      </w:pPr>
      <w:bookmarkStart w:id="16" w:name="_Toc98019233"/>
      <w:r>
        <w:rPr>
          <w:rFonts w:hint="eastAsia" w:asciiTheme="minorEastAsia" w:hAnsiTheme="minorEastAsia" w:eastAsiaTheme="minorEastAsia"/>
        </w:rPr>
        <w:t>招标需求</w:t>
      </w:r>
      <w:bookmarkEnd w:id="5"/>
      <w:bookmarkEnd w:id="6"/>
      <w:bookmarkEnd w:id="16"/>
    </w:p>
    <w:p w14:paraId="3939E15E">
      <w:pPr>
        <w:snapToGrid w:val="0"/>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本招标文件是</w:t>
      </w:r>
      <w:r>
        <w:rPr>
          <w:rFonts w:hint="eastAsia" w:asciiTheme="minorEastAsia" w:hAnsiTheme="minorEastAsia" w:eastAsiaTheme="minorEastAsia"/>
        </w:rPr>
        <w:t>2024年（第五期）嘉兴经济技术开发区公共资金竞争性存放项目</w:t>
      </w:r>
      <w:r>
        <w:rPr>
          <w:rFonts w:hint="eastAsia" w:asciiTheme="minorEastAsia" w:hAnsiTheme="minorEastAsia" w:eastAsiaTheme="minorEastAsia"/>
          <w:szCs w:val="21"/>
        </w:rPr>
        <w:t>的规范性文件，是投标人编制投标文件的依据。该文件解释权归招标组织单位，招标方式：公开招标。</w:t>
      </w:r>
    </w:p>
    <w:p w14:paraId="51BA4FCD">
      <w:pPr>
        <w:numPr>
          <w:ilvl w:val="0"/>
          <w:numId w:val="7"/>
        </w:num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招标文件、投标文件及其共同确定的补充文件是合同的有效组成部分，与合同具备同等的法律效力。</w:t>
      </w:r>
    </w:p>
    <w:p w14:paraId="279293F3">
      <w:pPr>
        <w:numPr>
          <w:ilvl w:val="0"/>
          <w:numId w:val="7"/>
        </w:num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人应按招标文件的要求提供投标文件，并保证所提供的全部资料的真实性，使其投标对招标文件做出实质性响应，否则，其投标将被拒绝。招标人保留进一步要求投标人补充提供有关材料的权利，拒绝提供补充材料或提供材料不真实，将被视为自动放弃投标资格。未报名者，投标无效。</w:t>
      </w:r>
    </w:p>
    <w:p w14:paraId="6A3356D8">
      <w:pPr>
        <w:numPr>
          <w:ilvl w:val="0"/>
          <w:numId w:val="7"/>
        </w:num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投标人应承担其在投标准备、编制、递交投标文件和签订合同协议书的整个过程中发生的一切费用而不论其投标结果如何。</w:t>
      </w:r>
    </w:p>
    <w:p w14:paraId="7F1F3ED4">
      <w:pPr>
        <w:numPr>
          <w:ilvl w:val="0"/>
          <w:numId w:val="7"/>
        </w:numPr>
        <w:snapToGrid w:val="0"/>
        <w:spacing w:line="360" w:lineRule="auto"/>
        <w:ind w:left="420" w:firstLine="0"/>
        <w:rPr>
          <w:rFonts w:hint="eastAsia" w:asciiTheme="minorEastAsia" w:hAnsiTheme="minorEastAsia" w:eastAsiaTheme="minorEastAsia"/>
          <w:szCs w:val="21"/>
        </w:rPr>
      </w:pPr>
      <w:r>
        <w:rPr>
          <w:rFonts w:hint="eastAsia" w:asciiTheme="minorEastAsia" w:hAnsiTheme="minorEastAsia" w:eastAsiaTheme="minorEastAsia"/>
          <w:szCs w:val="21"/>
        </w:rPr>
        <w:t>具体招标标的：</w:t>
      </w:r>
    </w:p>
    <w:tbl>
      <w:tblPr>
        <w:tblStyle w:val="39"/>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5079"/>
        <w:gridCol w:w="1441"/>
        <w:gridCol w:w="1762"/>
      </w:tblGrid>
      <w:tr w14:paraId="6527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3" w:type="dxa"/>
            <w:shd w:val="clear" w:color="auto" w:fill="auto"/>
            <w:vAlign w:val="center"/>
          </w:tcPr>
          <w:p w14:paraId="6FEA8578">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5079" w:type="dxa"/>
            <w:shd w:val="clear" w:color="auto" w:fill="auto"/>
            <w:vAlign w:val="center"/>
          </w:tcPr>
          <w:p w14:paraId="290E8CD1">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单位</w:t>
            </w:r>
          </w:p>
        </w:tc>
        <w:tc>
          <w:tcPr>
            <w:tcW w:w="1441" w:type="dxa"/>
            <w:shd w:val="clear" w:color="auto" w:fill="auto"/>
            <w:vAlign w:val="center"/>
          </w:tcPr>
          <w:p w14:paraId="79281F3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金额（万元）</w:t>
            </w:r>
          </w:p>
        </w:tc>
        <w:tc>
          <w:tcPr>
            <w:tcW w:w="1762" w:type="dxa"/>
            <w:shd w:val="clear" w:color="auto" w:fill="auto"/>
            <w:vAlign w:val="center"/>
          </w:tcPr>
          <w:p w14:paraId="26801F0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存期</w:t>
            </w:r>
          </w:p>
        </w:tc>
      </w:tr>
      <w:tr w14:paraId="6134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43" w:type="dxa"/>
            <w:shd w:val="clear" w:color="auto" w:fill="auto"/>
            <w:vAlign w:val="center"/>
          </w:tcPr>
          <w:p w14:paraId="25C03DE3">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5079" w:type="dxa"/>
            <w:shd w:val="clear" w:color="auto" w:fill="auto"/>
            <w:vAlign w:val="center"/>
          </w:tcPr>
          <w:p w14:paraId="4193C6F0">
            <w:pPr>
              <w:snapToGrid w:val="0"/>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嘉兴经济技术开发区财政局</w:t>
            </w:r>
          </w:p>
        </w:tc>
        <w:tc>
          <w:tcPr>
            <w:tcW w:w="1441" w:type="dxa"/>
            <w:shd w:val="clear" w:color="auto" w:fill="auto"/>
            <w:vAlign w:val="center"/>
          </w:tcPr>
          <w:p w14:paraId="14FFDD2C">
            <w:pPr>
              <w:snapToGrid w:val="0"/>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37600</w:t>
            </w:r>
          </w:p>
        </w:tc>
        <w:tc>
          <w:tcPr>
            <w:tcW w:w="1762" w:type="dxa"/>
            <w:shd w:val="clear" w:color="auto" w:fill="auto"/>
            <w:vAlign w:val="center"/>
          </w:tcPr>
          <w:p w14:paraId="37EB769C">
            <w:pPr>
              <w:snapToGrid w:val="0"/>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3个月</w:t>
            </w:r>
          </w:p>
        </w:tc>
      </w:tr>
      <w:tr w14:paraId="50F9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43" w:type="dxa"/>
            <w:shd w:val="clear" w:color="auto" w:fill="auto"/>
            <w:vAlign w:val="center"/>
          </w:tcPr>
          <w:p w14:paraId="18C84ECC">
            <w:pPr>
              <w:spacing w:line="360" w:lineRule="auto"/>
              <w:jc w:val="center"/>
              <w:rPr>
                <w:rFonts w:hint="eastAsia" w:asciiTheme="minorEastAsia" w:hAnsiTheme="minorEastAsia" w:eastAsiaTheme="minorEastAsia"/>
                <w:szCs w:val="21"/>
              </w:rPr>
            </w:pPr>
          </w:p>
        </w:tc>
        <w:tc>
          <w:tcPr>
            <w:tcW w:w="5079" w:type="dxa"/>
            <w:shd w:val="clear" w:color="auto" w:fill="auto"/>
            <w:vAlign w:val="center"/>
          </w:tcPr>
          <w:p w14:paraId="1A452335">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合计</w:t>
            </w:r>
          </w:p>
        </w:tc>
        <w:tc>
          <w:tcPr>
            <w:tcW w:w="1441" w:type="dxa"/>
            <w:shd w:val="clear" w:color="auto" w:fill="auto"/>
            <w:vAlign w:val="center"/>
          </w:tcPr>
          <w:p w14:paraId="3AD63AF2">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37600</w:t>
            </w:r>
          </w:p>
        </w:tc>
        <w:tc>
          <w:tcPr>
            <w:tcW w:w="1762" w:type="dxa"/>
            <w:shd w:val="clear" w:color="auto" w:fill="auto"/>
            <w:vAlign w:val="center"/>
          </w:tcPr>
          <w:p w14:paraId="6A4F8739">
            <w:pPr>
              <w:spacing w:line="360" w:lineRule="auto"/>
              <w:jc w:val="center"/>
              <w:rPr>
                <w:rFonts w:hint="eastAsia" w:asciiTheme="minorEastAsia" w:hAnsiTheme="minorEastAsia" w:eastAsiaTheme="minorEastAsia"/>
                <w:szCs w:val="21"/>
              </w:rPr>
            </w:pPr>
          </w:p>
        </w:tc>
      </w:tr>
    </w:tbl>
    <w:p w14:paraId="56ADC25E">
      <w:pPr>
        <w:numPr>
          <w:ilvl w:val="0"/>
          <w:numId w:val="7"/>
        </w:numPr>
        <w:snapToGrid w:val="0"/>
        <w:spacing w:line="360" w:lineRule="auto"/>
        <w:ind w:left="420" w:firstLine="0"/>
        <w:rPr>
          <w:rFonts w:hint="eastAsia" w:cs="Arial" w:asciiTheme="minorEastAsia" w:hAnsiTheme="minorEastAsia" w:eastAsiaTheme="minorEastAsia"/>
          <w:szCs w:val="21"/>
        </w:rPr>
      </w:pPr>
      <w:r>
        <w:rPr>
          <w:rFonts w:hint="eastAsia" w:cs="Arial" w:asciiTheme="minorEastAsia" w:hAnsiTheme="minorEastAsia" w:eastAsiaTheme="minorEastAsia"/>
          <w:szCs w:val="21"/>
        </w:rPr>
        <w:t>投标额规则</w:t>
      </w:r>
    </w:p>
    <w:p w14:paraId="44951DC7">
      <w:pPr>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份额设定为5份，按中标单位名次，第一名9000万元；第二8300</w:t>
      </w:r>
      <w:r>
        <w:rPr>
          <w:rFonts w:cs="Arial" w:asciiTheme="minorEastAsia" w:hAnsiTheme="minorEastAsia" w:eastAsiaTheme="minorEastAsia"/>
          <w:szCs w:val="21"/>
        </w:rPr>
        <w:t>万元</w:t>
      </w:r>
      <w:r>
        <w:rPr>
          <w:rFonts w:hint="eastAsia" w:cs="Arial" w:asciiTheme="minorEastAsia" w:hAnsiTheme="minorEastAsia" w:eastAsiaTheme="minorEastAsia"/>
          <w:szCs w:val="21"/>
        </w:rPr>
        <w:t>；第三名7500</w:t>
      </w:r>
      <w:r>
        <w:rPr>
          <w:rFonts w:cs="Arial" w:asciiTheme="minorEastAsia" w:hAnsiTheme="minorEastAsia" w:eastAsiaTheme="minorEastAsia"/>
          <w:szCs w:val="21"/>
        </w:rPr>
        <w:t>万元</w:t>
      </w:r>
      <w:r>
        <w:rPr>
          <w:rFonts w:hint="eastAsia" w:cs="Arial" w:asciiTheme="minorEastAsia" w:hAnsiTheme="minorEastAsia" w:eastAsiaTheme="minorEastAsia"/>
          <w:szCs w:val="21"/>
        </w:rPr>
        <w:t>；第四名6800</w:t>
      </w:r>
      <w:r>
        <w:rPr>
          <w:rFonts w:cs="Arial" w:asciiTheme="minorEastAsia" w:hAnsiTheme="minorEastAsia" w:eastAsiaTheme="minorEastAsia"/>
          <w:szCs w:val="21"/>
        </w:rPr>
        <w:t>万元</w:t>
      </w:r>
      <w:r>
        <w:rPr>
          <w:rFonts w:hint="eastAsia" w:cs="Arial" w:asciiTheme="minorEastAsia" w:hAnsiTheme="minorEastAsia" w:eastAsiaTheme="minorEastAsia"/>
          <w:szCs w:val="21"/>
        </w:rPr>
        <w:t>；第五名6000</w:t>
      </w:r>
      <w:r>
        <w:rPr>
          <w:rFonts w:cs="Arial" w:asciiTheme="minorEastAsia" w:hAnsiTheme="minorEastAsia" w:eastAsiaTheme="minorEastAsia"/>
          <w:szCs w:val="21"/>
        </w:rPr>
        <w:t>万元。</w:t>
      </w:r>
    </w:p>
    <w:p w14:paraId="4DC65DB4">
      <w:pPr>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每一投标银行最多可投标份数为1份。中标结果确定后存3个月定期，且一次招标一次存放完成。</w:t>
      </w:r>
    </w:p>
    <w:p w14:paraId="1B8DB1E9">
      <w:pPr>
        <w:pStyle w:val="36"/>
        <w:spacing w:line="360" w:lineRule="auto"/>
        <w:outlineLvl w:val="9"/>
        <w:rPr>
          <w:rFonts w:hint="eastAsia" w:asciiTheme="minorEastAsia" w:hAnsiTheme="minorEastAsia" w:eastAsiaTheme="minorEastAsia"/>
        </w:rPr>
        <w:sectPr>
          <w:pgSz w:w="11907" w:h="16840"/>
          <w:pgMar w:top="1440" w:right="1797" w:bottom="1440" w:left="1797" w:header="851" w:footer="851" w:gutter="0"/>
          <w:cols w:space="425" w:num="1"/>
          <w:titlePg/>
          <w:docGrid w:type="lines" w:linePitch="312" w:charSpace="0"/>
        </w:sectPr>
      </w:pPr>
      <w:bookmarkStart w:id="17" w:name="_Toc11650168"/>
      <w:bookmarkStart w:id="18" w:name="_Toc9342478"/>
    </w:p>
    <w:p w14:paraId="3F5855E5">
      <w:pPr>
        <w:pStyle w:val="36"/>
        <w:numPr>
          <w:ilvl w:val="0"/>
          <w:numId w:val="3"/>
        </w:numPr>
        <w:spacing w:line="360" w:lineRule="auto"/>
        <w:rPr>
          <w:rFonts w:hint="eastAsia" w:asciiTheme="minorEastAsia" w:hAnsiTheme="minorEastAsia" w:eastAsiaTheme="minorEastAsia"/>
        </w:rPr>
      </w:pPr>
      <w:bookmarkStart w:id="19" w:name="_Toc98019234"/>
      <w:r>
        <w:rPr>
          <w:rFonts w:hint="eastAsia" w:asciiTheme="minorEastAsia" w:hAnsiTheme="minorEastAsia" w:eastAsiaTheme="minorEastAsia"/>
        </w:rPr>
        <w:t>投标人须知</w:t>
      </w:r>
      <w:bookmarkEnd w:id="17"/>
      <w:bookmarkEnd w:id="18"/>
      <w:bookmarkEnd w:id="19"/>
    </w:p>
    <w:tbl>
      <w:tblPr>
        <w:tblStyle w:val="3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80"/>
      </w:tblGrid>
      <w:tr w14:paraId="13EBE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3AD752A">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8480" w:type="dxa"/>
            <w:tcBorders>
              <w:top w:val="single" w:color="auto" w:sz="4" w:space="0"/>
              <w:left w:val="single" w:color="auto" w:sz="4" w:space="0"/>
              <w:bottom w:val="single" w:color="auto" w:sz="4" w:space="0"/>
              <w:right w:val="single" w:color="auto" w:sz="4" w:space="0"/>
            </w:tcBorders>
            <w:vAlign w:val="center"/>
          </w:tcPr>
          <w:p w14:paraId="4F7E6AE1">
            <w:pPr>
              <w:snapToGrid w:val="0"/>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内容、要求</w:t>
            </w:r>
          </w:p>
        </w:tc>
      </w:tr>
      <w:tr w14:paraId="5237E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CACB4AC">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8480" w:type="dxa"/>
            <w:tcBorders>
              <w:top w:val="single" w:color="auto" w:sz="4" w:space="0"/>
              <w:left w:val="single" w:color="auto" w:sz="4" w:space="0"/>
              <w:bottom w:val="single" w:color="auto" w:sz="4" w:space="0"/>
              <w:right w:val="single" w:color="auto" w:sz="4" w:space="0"/>
            </w:tcBorders>
            <w:vAlign w:val="center"/>
          </w:tcPr>
          <w:p w14:paraId="6AF788BC">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rPr>
              <w:t>2024年（第五期）嘉兴经济技术开发区公共资金竞争性存放项目</w:t>
            </w:r>
          </w:p>
        </w:tc>
      </w:tr>
      <w:tr w14:paraId="17C0B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F2E37B1">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8480" w:type="dxa"/>
            <w:tcBorders>
              <w:top w:val="single" w:color="auto" w:sz="4" w:space="0"/>
              <w:left w:val="single" w:color="auto" w:sz="4" w:space="0"/>
              <w:bottom w:val="single" w:color="auto" w:sz="4" w:space="0"/>
              <w:right w:val="single" w:color="auto" w:sz="4" w:space="0"/>
            </w:tcBorders>
            <w:vAlign w:val="center"/>
          </w:tcPr>
          <w:p w14:paraId="31417C22">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招标内容：</w:t>
            </w:r>
            <w:r>
              <w:rPr>
                <w:rFonts w:hint="eastAsia" w:asciiTheme="minorEastAsia" w:hAnsiTheme="minorEastAsia" w:eastAsiaTheme="minorEastAsia"/>
              </w:rPr>
              <w:t>公款竞争性存放</w:t>
            </w:r>
            <w:r>
              <w:rPr>
                <w:rFonts w:hint="eastAsia" w:cs="Arial" w:asciiTheme="minorEastAsia" w:hAnsiTheme="minorEastAsia" w:eastAsiaTheme="minorEastAsia"/>
                <w:szCs w:val="21"/>
              </w:rPr>
              <w:t>。</w:t>
            </w:r>
          </w:p>
        </w:tc>
      </w:tr>
      <w:tr w14:paraId="7478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F48888B">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8480" w:type="dxa"/>
            <w:tcBorders>
              <w:top w:val="single" w:color="auto" w:sz="4" w:space="0"/>
              <w:left w:val="single" w:color="auto" w:sz="4" w:space="0"/>
              <w:bottom w:val="single" w:color="auto" w:sz="4" w:space="0"/>
              <w:right w:val="single" w:color="auto" w:sz="4" w:space="0"/>
            </w:tcBorders>
            <w:vAlign w:val="center"/>
          </w:tcPr>
          <w:p w14:paraId="6F4EA0E6">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投标报价及费用：</w:t>
            </w:r>
          </w:p>
          <w:p w14:paraId="2960B315">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1、本项目投标应以人民币报价；</w:t>
            </w:r>
          </w:p>
          <w:p w14:paraId="525B3256">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2、不论投标结果如何，投标人均应自行承担所有与投标有关的全部费用。</w:t>
            </w:r>
          </w:p>
        </w:tc>
      </w:tr>
      <w:tr w14:paraId="364D2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15228AA">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8480" w:type="dxa"/>
            <w:tcBorders>
              <w:top w:val="single" w:color="auto" w:sz="4" w:space="0"/>
              <w:left w:val="single" w:color="auto" w:sz="4" w:space="0"/>
              <w:bottom w:val="single" w:color="auto" w:sz="4" w:space="0"/>
              <w:right w:val="single" w:color="auto" w:sz="4" w:space="0"/>
            </w:tcBorders>
            <w:vAlign w:val="center"/>
          </w:tcPr>
          <w:p w14:paraId="2CA6DAA8">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投标人获取招标文件后，可与招标单位联系。</w:t>
            </w:r>
          </w:p>
        </w:tc>
      </w:tr>
      <w:tr w14:paraId="5311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73B9509">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8480" w:type="dxa"/>
            <w:tcBorders>
              <w:top w:val="single" w:color="auto" w:sz="4" w:space="0"/>
              <w:left w:val="single" w:color="auto" w:sz="4" w:space="0"/>
              <w:bottom w:val="single" w:color="auto" w:sz="4" w:space="0"/>
              <w:right w:val="single" w:color="auto" w:sz="4" w:space="0"/>
            </w:tcBorders>
            <w:vAlign w:val="center"/>
          </w:tcPr>
          <w:p w14:paraId="50FB82B5">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答疑与澄清：投标人应认真阅读本招标文件，发现其中有误或不理解的，投标人必须在2025年01月03日16时00分前以书面形式要求采购代理机构澄清，否则，由此产生的后果由投标人负责。</w:t>
            </w:r>
          </w:p>
        </w:tc>
      </w:tr>
      <w:tr w14:paraId="3E1E4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AE423AB">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8480" w:type="dxa"/>
            <w:tcBorders>
              <w:top w:val="single" w:color="auto" w:sz="4" w:space="0"/>
              <w:left w:val="single" w:color="auto" w:sz="4" w:space="0"/>
              <w:bottom w:val="single" w:color="auto" w:sz="4" w:space="0"/>
              <w:right w:val="single" w:color="auto" w:sz="4" w:space="0"/>
            </w:tcBorders>
            <w:vAlign w:val="center"/>
          </w:tcPr>
          <w:p w14:paraId="785CDC31">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线下投标文件组成：投标文件的资信技术文件和投标报价文件装订成一本，正本</w:t>
            </w:r>
            <w:r>
              <w:rPr>
                <w:rFonts w:hint="eastAsia" w:cs="Arial" w:asciiTheme="minorEastAsia" w:hAnsiTheme="minorEastAsia" w:eastAsiaTheme="minorEastAsia"/>
                <w:szCs w:val="21"/>
              </w:rPr>
              <w:t>1</w:t>
            </w:r>
            <w:r>
              <w:rPr>
                <w:rFonts w:hint="eastAsia" w:asciiTheme="minorEastAsia" w:hAnsiTheme="minorEastAsia" w:eastAsiaTheme="minorEastAsia"/>
                <w:szCs w:val="21"/>
              </w:rPr>
              <w:t>份副本</w:t>
            </w:r>
            <w:r>
              <w:rPr>
                <w:rFonts w:hint="eastAsia" w:cs="Arial" w:asciiTheme="minorEastAsia" w:hAnsiTheme="minorEastAsia" w:eastAsiaTheme="minorEastAsia"/>
                <w:szCs w:val="21"/>
              </w:rPr>
              <w:t>1</w:t>
            </w:r>
            <w:r>
              <w:rPr>
                <w:rFonts w:hint="eastAsia" w:asciiTheme="minorEastAsia" w:hAnsiTheme="minorEastAsia" w:eastAsiaTheme="minorEastAsia"/>
                <w:szCs w:val="21"/>
              </w:rPr>
              <w:t>份。</w:t>
            </w:r>
          </w:p>
        </w:tc>
      </w:tr>
      <w:tr w14:paraId="12A67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E608FD3">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7</w:t>
            </w:r>
          </w:p>
        </w:tc>
        <w:tc>
          <w:tcPr>
            <w:tcW w:w="8480" w:type="dxa"/>
            <w:tcBorders>
              <w:top w:val="single" w:color="auto" w:sz="4" w:space="0"/>
              <w:left w:val="single" w:color="auto" w:sz="4" w:space="0"/>
              <w:bottom w:val="single" w:color="auto" w:sz="4" w:space="0"/>
              <w:right w:val="single" w:color="auto" w:sz="4" w:space="0"/>
            </w:tcBorders>
            <w:vAlign w:val="center"/>
          </w:tcPr>
          <w:p w14:paraId="0D75B0F9">
            <w:pPr>
              <w:snapToGrid w:val="0"/>
              <w:spacing w:line="360" w:lineRule="auto"/>
              <w:rPr>
                <w:rFonts w:hint="eastAsia" w:cs="Arial" w:asciiTheme="minorEastAsia" w:hAnsiTheme="minorEastAsia" w:eastAsiaTheme="minorEastAsia"/>
                <w:szCs w:val="21"/>
              </w:rPr>
            </w:pPr>
            <w:r>
              <w:rPr>
                <w:rFonts w:hint="eastAsia" w:asciiTheme="minorEastAsia" w:hAnsiTheme="minorEastAsia" w:eastAsiaTheme="minorEastAsia"/>
                <w:szCs w:val="21"/>
              </w:rPr>
              <w:t>线下投标截止时间及地点：投标人应于：</w:t>
            </w:r>
            <w:r>
              <w:rPr>
                <w:rFonts w:hint="eastAsia" w:cs="Arial" w:asciiTheme="minorEastAsia" w:hAnsiTheme="minorEastAsia" w:eastAsiaTheme="minorEastAsia"/>
                <w:szCs w:val="21"/>
              </w:rPr>
              <w:t>2025年01月13日14：00</w:t>
            </w:r>
            <w:r>
              <w:rPr>
                <w:rFonts w:hint="eastAsia" w:asciiTheme="minorEastAsia" w:hAnsiTheme="minorEastAsia" w:eastAsiaTheme="minorEastAsia"/>
                <w:szCs w:val="21"/>
              </w:rPr>
              <w:t>前将纸质投标文件装袋密封后，通过邮寄快递（或直接送达）方式邮寄（或直接送达）至嘉兴市千秋工程咨询有限公司。密封袋上接缝处需加盖投标人单位公章。（注：①邮寄或直接送达地址：浙江省嘉兴市秀洲区新平路299号中禾广场23楼嘉兴市千秋工程咨询有限公司，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32872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9DDB6E3">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8</w:t>
            </w:r>
          </w:p>
        </w:tc>
        <w:tc>
          <w:tcPr>
            <w:tcW w:w="8480" w:type="dxa"/>
            <w:tcBorders>
              <w:top w:val="single" w:color="auto" w:sz="4" w:space="0"/>
              <w:left w:val="single" w:color="auto" w:sz="4" w:space="0"/>
              <w:bottom w:val="single" w:color="auto" w:sz="4" w:space="0"/>
              <w:right w:val="single" w:color="auto" w:sz="4" w:space="0"/>
            </w:tcBorders>
            <w:vAlign w:val="center"/>
          </w:tcPr>
          <w:p w14:paraId="69111FB4">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开标时间及地点：</w:t>
            </w:r>
            <w:r>
              <w:rPr>
                <w:rFonts w:hint="eastAsia" w:cs="Arial" w:asciiTheme="minorEastAsia" w:hAnsiTheme="minorEastAsia" w:eastAsiaTheme="minorEastAsia"/>
                <w:szCs w:val="21"/>
              </w:rPr>
              <w:t>2025年01月13日14：00在嘉兴市千秋工程咨询有限公司三号会议室（嘉兴市秀洲区新平路299号中禾广场23楼西侧）</w:t>
            </w:r>
            <w:r>
              <w:rPr>
                <w:rFonts w:hint="eastAsia" w:asciiTheme="minorEastAsia" w:hAnsiTheme="minorEastAsia" w:eastAsiaTheme="minorEastAsia"/>
                <w:szCs w:val="21"/>
              </w:rPr>
              <w:t>开</w:t>
            </w:r>
            <w:r>
              <w:rPr>
                <w:rFonts w:hint="eastAsia" w:cs="Arial" w:asciiTheme="minorEastAsia" w:hAnsiTheme="minorEastAsia" w:eastAsiaTheme="minorEastAsia"/>
                <w:szCs w:val="21"/>
              </w:rPr>
              <w:t>标。</w:t>
            </w:r>
            <w:r>
              <w:rPr>
                <w:rFonts w:hint="eastAsia" w:asciiTheme="minorEastAsia" w:hAnsiTheme="minorEastAsia" w:eastAsiaTheme="minorEastAsia"/>
                <w:kern w:val="0"/>
                <w:szCs w:val="21"/>
              </w:rPr>
              <w:t>本项目不要求投标人至开标现场参加开标及开启投标文件活动。</w:t>
            </w:r>
          </w:p>
        </w:tc>
      </w:tr>
      <w:tr w14:paraId="119B3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A680D6A">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9</w:t>
            </w:r>
          </w:p>
        </w:tc>
        <w:tc>
          <w:tcPr>
            <w:tcW w:w="8480" w:type="dxa"/>
            <w:tcBorders>
              <w:top w:val="single" w:color="auto" w:sz="4" w:space="0"/>
              <w:left w:val="single" w:color="auto" w:sz="4" w:space="0"/>
              <w:bottom w:val="single" w:color="auto" w:sz="4" w:space="0"/>
              <w:right w:val="single" w:color="auto" w:sz="4" w:space="0"/>
            </w:tcBorders>
            <w:vAlign w:val="center"/>
          </w:tcPr>
          <w:p w14:paraId="30B90BF1">
            <w:pPr>
              <w:autoSpaceDE w:val="0"/>
              <w:autoSpaceDN w:val="0"/>
              <w:snapToGrid w:val="0"/>
              <w:spacing w:line="360" w:lineRule="auto"/>
              <w:textAlignment w:val="bottom"/>
              <w:rPr>
                <w:rFonts w:hint="eastAsia" w:asciiTheme="minorEastAsia" w:hAnsiTheme="minorEastAsia" w:eastAsiaTheme="minorEastAsia"/>
                <w:szCs w:val="21"/>
              </w:rPr>
            </w:pPr>
            <w:r>
              <w:rPr>
                <w:rFonts w:hint="eastAsia" w:asciiTheme="minorEastAsia" w:hAnsiTheme="minorEastAsia" w:eastAsiaTheme="minorEastAsia"/>
                <w:szCs w:val="21"/>
              </w:rPr>
              <w:t>评标办法及评分标准：详见第四章。</w:t>
            </w:r>
          </w:p>
        </w:tc>
      </w:tr>
      <w:tr w14:paraId="25737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817A796">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8480" w:type="dxa"/>
            <w:tcBorders>
              <w:top w:val="single" w:color="auto" w:sz="4" w:space="0"/>
              <w:left w:val="single" w:color="auto" w:sz="4" w:space="0"/>
              <w:bottom w:val="single" w:color="auto" w:sz="4" w:space="0"/>
              <w:right w:val="single" w:color="auto" w:sz="4" w:space="0"/>
            </w:tcBorders>
            <w:vAlign w:val="center"/>
          </w:tcPr>
          <w:p w14:paraId="6F381F7B">
            <w:pPr>
              <w:autoSpaceDE w:val="0"/>
              <w:autoSpaceDN w:val="0"/>
              <w:snapToGrid w:val="0"/>
              <w:spacing w:line="360" w:lineRule="auto"/>
              <w:textAlignment w:val="bottom"/>
              <w:rPr>
                <w:rFonts w:hint="eastAsia" w:asciiTheme="minorEastAsia" w:hAnsiTheme="minorEastAsia" w:eastAsiaTheme="minorEastAsia"/>
                <w:szCs w:val="21"/>
              </w:rPr>
            </w:pPr>
            <w:r>
              <w:rPr>
                <w:rFonts w:hint="eastAsia" w:asciiTheme="minorEastAsia" w:hAnsiTheme="minorEastAsia" w:eastAsiaTheme="minorEastAsia"/>
                <w:szCs w:val="21"/>
              </w:rPr>
              <w:t>投标人只允许市级银行业金融机构由其管辖行做为唯一投标人，其分支机构不能做为投标人参加投标。</w:t>
            </w:r>
          </w:p>
        </w:tc>
      </w:tr>
      <w:tr w14:paraId="600D4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E1A9795">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11</w:t>
            </w:r>
          </w:p>
        </w:tc>
        <w:tc>
          <w:tcPr>
            <w:tcW w:w="8480" w:type="dxa"/>
            <w:tcBorders>
              <w:top w:val="single" w:color="auto" w:sz="4" w:space="0"/>
              <w:left w:val="single" w:color="auto" w:sz="4" w:space="0"/>
              <w:bottom w:val="single" w:color="auto" w:sz="4" w:space="0"/>
              <w:right w:val="single" w:color="auto" w:sz="4" w:space="0"/>
            </w:tcBorders>
            <w:vAlign w:val="center"/>
          </w:tcPr>
          <w:p w14:paraId="79CEE1D1">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评标结果公告：</w:t>
            </w:r>
            <w:r>
              <w:rPr>
                <w:rFonts w:hint="eastAsia" w:cs="Arial" w:asciiTheme="minorEastAsia" w:hAnsiTheme="minorEastAsia" w:eastAsiaTheme="minorEastAsia"/>
                <w:szCs w:val="21"/>
              </w:rPr>
              <w:t>浙江政府采购网（</w:t>
            </w:r>
            <w:r>
              <w:fldChar w:fldCharType="begin"/>
            </w:r>
            <w:r>
              <w:instrText xml:space="preserve"> HYPERLINK "https://zfcg.czt.zj.gov.cn/" </w:instrText>
            </w:r>
            <w:r>
              <w:fldChar w:fldCharType="separate"/>
            </w:r>
            <w:r>
              <w:rPr>
                <w:rStyle w:val="45"/>
                <w:rFonts w:cs="Arial" w:asciiTheme="minorEastAsia" w:hAnsiTheme="minorEastAsia" w:eastAsiaTheme="minorEastAsia"/>
                <w:color w:val="auto"/>
                <w:szCs w:val="21"/>
              </w:rPr>
              <w:t>https://zfcg.czt.zj.gov.cn/</w:t>
            </w:r>
            <w:r>
              <w:rPr>
                <w:rStyle w:val="45"/>
                <w:rFonts w:cs="Arial" w:asciiTheme="minorEastAsia" w:hAnsiTheme="minorEastAsia" w:eastAsiaTheme="minorEastAsia"/>
                <w:color w:val="auto"/>
                <w:szCs w:val="21"/>
              </w:rPr>
              <w:fldChar w:fldCharType="end"/>
            </w:r>
            <w:r>
              <w:rPr>
                <w:rFonts w:hint="eastAsia" w:cs="Arial" w:asciiTheme="minorEastAsia" w:hAnsiTheme="minorEastAsia" w:eastAsiaTheme="minorEastAsia"/>
                <w:szCs w:val="21"/>
              </w:rPr>
              <w:t>）、国家级嘉兴经济技术开发区 嘉兴国际商务区网</w:t>
            </w:r>
            <w:r>
              <w:rPr>
                <w:rStyle w:val="45"/>
                <w:rFonts w:hint="eastAsia" w:asciiTheme="minorEastAsia" w:hAnsiTheme="minorEastAsia" w:eastAsiaTheme="minorEastAsia"/>
                <w:color w:val="auto"/>
                <w:szCs w:val="21"/>
              </w:rPr>
              <w:t>（</w:t>
            </w:r>
            <w:r>
              <w:fldChar w:fldCharType="begin"/>
            </w:r>
            <w:r>
              <w:instrText xml:space="preserve"> HYPERLINK "http://jxedz.jiaxing.gov.cn/" </w:instrText>
            </w:r>
            <w:r>
              <w:fldChar w:fldCharType="separate"/>
            </w:r>
            <w:r>
              <w:rPr>
                <w:rStyle w:val="45"/>
                <w:rFonts w:cs="Arial" w:asciiTheme="minorEastAsia" w:hAnsiTheme="minorEastAsia" w:eastAsiaTheme="minorEastAsia"/>
                <w:color w:val="auto"/>
                <w:szCs w:val="21"/>
              </w:rPr>
              <w:t>http://jxedz.jiaxing.gov.cn/</w:t>
            </w:r>
            <w:r>
              <w:rPr>
                <w:rStyle w:val="45"/>
                <w:rFonts w:cs="Arial" w:asciiTheme="minorEastAsia" w:hAnsiTheme="minorEastAsia" w:eastAsiaTheme="minorEastAsia"/>
                <w:color w:val="auto"/>
                <w:szCs w:val="21"/>
              </w:rPr>
              <w:fldChar w:fldCharType="end"/>
            </w:r>
            <w:r>
              <w:rPr>
                <w:rStyle w:val="45"/>
                <w:rFonts w:hint="eastAsia" w:cs="Arial" w:asciiTheme="minorEastAsia" w:hAnsiTheme="minorEastAsia" w:eastAsiaTheme="minorEastAsia"/>
                <w:color w:val="auto"/>
                <w:szCs w:val="21"/>
              </w:rPr>
              <w:t>)</w:t>
            </w:r>
            <w:r>
              <w:rPr>
                <w:rFonts w:hint="eastAsia" w:asciiTheme="minorEastAsia" w:hAnsiTheme="minorEastAsia" w:eastAsiaTheme="minorEastAsia"/>
                <w:szCs w:val="21"/>
              </w:rPr>
              <w:t>。</w:t>
            </w:r>
          </w:p>
        </w:tc>
      </w:tr>
      <w:tr w14:paraId="6A5A2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A997DF6">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12</w:t>
            </w:r>
          </w:p>
        </w:tc>
        <w:tc>
          <w:tcPr>
            <w:tcW w:w="8480" w:type="dxa"/>
            <w:tcBorders>
              <w:top w:val="single" w:color="auto" w:sz="4" w:space="0"/>
              <w:left w:val="single" w:color="auto" w:sz="4" w:space="0"/>
              <w:bottom w:val="single" w:color="auto" w:sz="4" w:space="0"/>
              <w:right w:val="single" w:color="auto" w:sz="4" w:space="0"/>
            </w:tcBorders>
            <w:vAlign w:val="center"/>
          </w:tcPr>
          <w:p w14:paraId="45344463">
            <w:pPr>
              <w:autoSpaceDE w:val="0"/>
              <w:autoSpaceDN w:val="0"/>
              <w:snapToGrid w:val="0"/>
              <w:spacing w:line="360" w:lineRule="auto"/>
              <w:textAlignment w:val="bottom"/>
              <w:rPr>
                <w:rFonts w:hint="eastAsia" w:asciiTheme="minorEastAsia" w:hAnsiTheme="minorEastAsia" w:eastAsiaTheme="minorEastAsia"/>
                <w:szCs w:val="21"/>
              </w:rPr>
            </w:pPr>
            <w:r>
              <w:rPr>
                <w:rFonts w:hint="eastAsia" w:asciiTheme="minorEastAsia" w:hAnsiTheme="minorEastAsia" w:eastAsiaTheme="minorEastAsia"/>
                <w:szCs w:val="21"/>
              </w:rPr>
              <w:t>中标公告及中标通知书：评标结束后3日内，中标公告发布于上述媒体。</w:t>
            </w:r>
          </w:p>
        </w:tc>
      </w:tr>
      <w:tr w14:paraId="4D47D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F15B0CB">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13</w:t>
            </w:r>
          </w:p>
        </w:tc>
        <w:tc>
          <w:tcPr>
            <w:tcW w:w="8480" w:type="dxa"/>
            <w:tcBorders>
              <w:top w:val="single" w:color="auto" w:sz="4" w:space="0"/>
              <w:left w:val="single" w:color="auto" w:sz="4" w:space="0"/>
              <w:bottom w:val="single" w:color="auto" w:sz="4" w:space="0"/>
              <w:right w:val="single" w:color="auto" w:sz="4" w:space="0"/>
            </w:tcBorders>
            <w:vAlign w:val="center"/>
          </w:tcPr>
          <w:p w14:paraId="59DC8307">
            <w:pPr>
              <w:autoSpaceDE w:val="0"/>
              <w:autoSpaceDN w:val="0"/>
              <w:snapToGrid w:val="0"/>
              <w:spacing w:line="360" w:lineRule="auto"/>
              <w:textAlignment w:val="bottom"/>
              <w:rPr>
                <w:rFonts w:hint="eastAsia" w:asciiTheme="minorEastAsia" w:hAnsiTheme="minorEastAsia" w:eastAsiaTheme="minorEastAsia"/>
                <w:szCs w:val="21"/>
              </w:rPr>
            </w:pPr>
            <w:r>
              <w:rPr>
                <w:rFonts w:hint="eastAsia" w:asciiTheme="minorEastAsia" w:hAnsiTheme="minorEastAsia" w:eastAsiaTheme="minorEastAsia"/>
                <w:szCs w:val="21"/>
              </w:rPr>
              <w:t>签订合同时间：中标通知书发出后30日内。</w:t>
            </w:r>
          </w:p>
        </w:tc>
      </w:tr>
      <w:tr w14:paraId="53328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74BF0F1">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14</w:t>
            </w:r>
          </w:p>
        </w:tc>
        <w:tc>
          <w:tcPr>
            <w:tcW w:w="8480" w:type="dxa"/>
            <w:tcBorders>
              <w:top w:val="single" w:color="auto" w:sz="4" w:space="0"/>
              <w:left w:val="single" w:color="auto" w:sz="4" w:space="0"/>
              <w:bottom w:val="single" w:color="auto" w:sz="4" w:space="0"/>
              <w:right w:val="single" w:color="auto" w:sz="4" w:space="0"/>
            </w:tcBorders>
            <w:vAlign w:val="center"/>
          </w:tcPr>
          <w:p w14:paraId="63112896">
            <w:pPr>
              <w:autoSpaceDE w:val="0"/>
              <w:autoSpaceDN w:val="0"/>
              <w:snapToGrid w:val="0"/>
              <w:spacing w:line="360" w:lineRule="auto"/>
              <w:textAlignment w:val="bottom"/>
              <w:rPr>
                <w:rFonts w:hint="eastAsia" w:asciiTheme="minorEastAsia" w:hAnsiTheme="minorEastAsia" w:eastAsiaTheme="minorEastAsia"/>
                <w:szCs w:val="21"/>
              </w:rPr>
            </w:pPr>
            <w:r>
              <w:rPr>
                <w:rFonts w:hint="eastAsia" w:asciiTheme="minorEastAsia" w:hAnsiTheme="minorEastAsia" w:eastAsiaTheme="minorEastAsia"/>
                <w:szCs w:val="21"/>
              </w:rPr>
              <w:t>投标文件有效期：</w:t>
            </w:r>
            <w:r>
              <w:rPr>
                <w:rFonts w:hint="eastAsia" w:asciiTheme="minorEastAsia" w:hAnsiTheme="minorEastAsia" w:eastAsiaTheme="minorEastAsia"/>
                <w:szCs w:val="21"/>
                <w:u w:val="single"/>
              </w:rPr>
              <w:t xml:space="preserve"> 60 </w:t>
            </w:r>
            <w:r>
              <w:rPr>
                <w:rFonts w:hint="eastAsia" w:cs="Arial" w:asciiTheme="minorEastAsia" w:hAnsiTheme="minorEastAsia" w:eastAsiaTheme="minorEastAsia"/>
                <w:szCs w:val="21"/>
              </w:rPr>
              <w:t>天。</w:t>
            </w:r>
          </w:p>
        </w:tc>
      </w:tr>
      <w:tr w14:paraId="7A5C1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FAFE0DF">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15</w:t>
            </w:r>
          </w:p>
        </w:tc>
        <w:tc>
          <w:tcPr>
            <w:tcW w:w="8480" w:type="dxa"/>
            <w:tcBorders>
              <w:top w:val="single" w:color="auto" w:sz="4" w:space="0"/>
              <w:left w:val="single" w:color="auto" w:sz="4" w:space="0"/>
              <w:bottom w:val="single" w:color="auto" w:sz="4" w:space="0"/>
              <w:right w:val="single" w:color="auto" w:sz="4" w:space="0"/>
            </w:tcBorders>
            <w:vAlign w:val="center"/>
          </w:tcPr>
          <w:p w14:paraId="25469A49">
            <w:pPr>
              <w:autoSpaceDE w:val="0"/>
              <w:autoSpaceDN w:val="0"/>
              <w:snapToGrid w:val="0"/>
              <w:spacing w:line="360" w:lineRule="auto"/>
              <w:textAlignment w:val="bottom"/>
              <w:rPr>
                <w:rFonts w:hint="eastAsia" w:asciiTheme="minorEastAsia" w:hAnsiTheme="minorEastAsia" w:eastAsiaTheme="minorEastAsia"/>
                <w:szCs w:val="21"/>
              </w:rPr>
            </w:pPr>
            <w:r>
              <w:rPr>
                <w:rFonts w:hint="eastAsia" w:asciiTheme="minorEastAsia" w:hAnsiTheme="minorEastAsia" w:eastAsiaTheme="minorEastAsia"/>
                <w:szCs w:val="21"/>
              </w:rPr>
              <w:t>解释：本招标文件的解释权属于</w:t>
            </w:r>
            <w:r>
              <w:rPr>
                <w:rFonts w:hint="eastAsia" w:asciiTheme="minorEastAsia" w:hAnsiTheme="minorEastAsia" w:eastAsiaTheme="minorEastAsia"/>
                <w:b/>
                <w:bCs/>
                <w:szCs w:val="21"/>
              </w:rPr>
              <w:t>嘉兴经济技术开发区财政金融部。</w:t>
            </w:r>
          </w:p>
        </w:tc>
      </w:tr>
    </w:tbl>
    <w:p w14:paraId="145AF06D">
      <w:pPr>
        <w:widowControl/>
        <w:spacing w:line="360" w:lineRule="auto"/>
        <w:ind w:firstLine="422" w:firstLineChars="200"/>
        <w:jc w:val="left"/>
        <w:rPr>
          <w:rFonts w:hint="eastAsia" w:asciiTheme="minorEastAsia" w:hAnsiTheme="minorEastAsia" w:eastAsiaTheme="minorEastAsia"/>
          <w:b/>
          <w:szCs w:val="21"/>
        </w:rPr>
        <w:sectPr>
          <w:pgSz w:w="11907" w:h="16840"/>
          <w:pgMar w:top="1440" w:right="1797" w:bottom="1440" w:left="1797" w:header="851" w:footer="851" w:gutter="0"/>
          <w:cols w:space="425" w:num="1"/>
          <w:titlePg/>
          <w:docGrid w:type="lines" w:linePitch="312" w:charSpace="0"/>
        </w:sectPr>
      </w:pPr>
    </w:p>
    <w:p w14:paraId="7CA80C24">
      <w:pPr>
        <w:pStyle w:val="2"/>
        <w:numPr>
          <w:ilvl w:val="0"/>
          <w:numId w:val="8"/>
        </w:numPr>
        <w:spacing w:before="0" w:after="0" w:line="360" w:lineRule="auto"/>
        <w:ind w:firstLine="422" w:firstLineChars="200"/>
        <w:jc w:val="center"/>
        <w:rPr>
          <w:rFonts w:hint="eastAsia" w:cs="微软雅黑" w:asciiTheme="minorEastAsia" w:hAnsiTheme="minorEastAsia" w:eastAsiaTheme="minorEastAsia"/>
          <w:sz w:val="21"/>
          <w:szCs w:val="21"/>
        </w:rPr>
      </w:pPr>
      <w:bookmarkStart w:id="20" w:name="_Toc16633"/>
      <w:bookmarkStart w:id="21" w:name="_Toc98019235"/>
      <w:r>
        <w:rPr>
          <w:rFonts w:hint="eastAsia" w:cs="微软雅黑" w:asciiTheme="minorEastAsia" w:hAnsiTheme="minorEastAsia" w:eastAsiaTheme="minorEastAsia"/>
          <w:sz w:val="21"/>
          <w:szCs w:val="21"/>
        </w:rPr>
        <w:t>总  则</w:t>
      </w:r>
      <w:bookmarkEnd w:id="20"/>
      <w:bookmarkEnd w:id="21"/>
    </w:p>
    <w:p w14:paraId="65F47F4B">
      <w:pPr>
        <w:pStyle w:val="3"/>
        <w:numPr>
          <w:ilvl w:val="1"/>
          <w:numId w:val="9"/>
        </w:numPr>
        <w:spacing w:before="0" w:after="0" w:line="360" w:lineRule="auto"/>
        <w:ind w:firstLine="422" w:firstLineChars="200"/>
        <w:rPr>
          <w:rFonts w:hint="eastAsia" w:asciiTheme="minorEastAsia" w:hAnsiTheme="minorEastAsia" w:eastAsiaTheme="minorEastAsia"/>
        </w:rPr>
      </w:pPr>
      <w:bookmarkStart w:id="22" w:name="_Toc98019236"/>
      <w:bookmarkStart w:id="23" w:name="_Toc9342479"/>
      <w:bookmarkStart w:id="24" w:name="_Toc11650169"/>
      <w:r>
        <w:rPr>
          <w:rFonts w:hint="eastAsia" w:asciiTheme="minorEastAsia" w:hAnsiTheme="minorEastAsia" w:eastAsiaTheme="minorEastAsia"/>
        </w:rPr>
        <w:t>适用范围</w:t>
      </w:r>
      <w:bookmarkEnd w:id="22"/>
      <w:bookmarkEnd w:id="23"/>
      <w:bookmarkEnd w:id="24"/>
    </w:p>
    <w:p w14:paraId="3C35750D">
      <w:pPr>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本招标文件适用于2024年（第五期）嘉兴经济技术开发区公共资金竞争性存放项目的招标、投标、评标、定标、验收、合同履约、付款等行为（法律、法规另有规定的，从其规定）。</w:t>
      </w:r>
    </w:p>
    <w:p w14:paraId="4BEE4F9A">
      <w:pPr>
        <w:pStyle w:val="3"/>
        <w:numPr>
          <w:ilvl w:val="1"/>
          <w:numId w:val="9"/>
        </w:numPr>
        <w:spacing w:before="0" w:after="0" w:line="360" w:lineRule="auto"/>
        <w:ind w:firstLine="422" w:firstLineChars="200"/>
        <w:rPr>
          <w:rFonts w:hint="eastAsia" w:asciiTheme="minorEastAsia" w:hAnsiTheme="minorEastAsia" w:eastAsiaTheme="minorEastAsia"/>
        </w:rPr>
      </w:pPr>
      <w:bookmarkStart w:id="25" w:name="_Toc9342480"/>
      <w:bookmarkStart w:id="26" w:name="_Toc11650170"/>
      <w:bookmarkStart w:id="27" w:name="_Toc98019237"/>
      <w:r>
        <w:rPr>
          <w:rFonts w:hint="eastAsia" w:asciiTheme="minorEastAsia" w:hAnsiTheme="minorEastAsia" w:eastAsiaTheme="minorEastAsia"/>
        </w:rPr>
        <w:t>定义</w:t>
      </w:r>
      <w:bookmarkEnd w:id="25"/>
      <w:bookmarkEnd w:id="26"/>
      <w:bookmarkEnd w:id="27"/>
    </w:p>
    <w:p w14:paraId="25EC2C76">
      <w:pPr>
        <w:numPr>
          <w:ilvl w:val="0"/>
          <w:numId w:val="1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“招标人”系指组织本次招标的代理机构和存款单位。</w:t>
      </w:r>
    </w:p>
    <w:p w14:paraId="68BA94B2">
      <w:pPr>
        <w:numPr>
          <w:ilvl w:val="0"/>
          <w:numId w:val="1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“投标人”系指向招标方提交投标文件的银行业金融机构。</w:t>
      </w:r>
    </w:p>
    <w:p w14:paraId="7D2458BC">
      <w:pPr>
        <w:numPr>
          <w:ilvl w:val="0"/>
          <w:numId w:val="1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“产品”系指供方按招标文件规定，须向招标人提供的有关技术资料和材料。</w:t>
      </w:r>
    </w:p>
    <w:p w14:paraId="3F54028C">
      <w:pPr>
        <w:numPr>
          <w:ilvl w:val="0"/>
          <w:numId w:val="1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“服务”系指招标文件规定投标人须承担的其他类似的义务。</w:t>
      </w:r>
    </w:p>
    <w:p w14:paraId="17FDE7D5">
      <w:pPr>
        <w:numPr>
          <w:ilvl w:val="0"/>
          <w:numId w:val="1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“项目”系指投标人按招标文件规定向招标人提供的产品和服务。</w:t>
      </w:r>
    </w:p>
    <w:p w14:paraId="1691C9FD">
      <w:pPr>
        <w:numPr>
          <w:ilvl w:val="0"/>
          <w:numId w:val="1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“书面形式”包括信函、传真、电报等。</w:t>
      </w:r>
    </w:p>
    <w:p w14:paraId="203504BC">
      <w:pPr>
        <w:numPr>
          <w:ilvl w:val="0"/>
          <w:numId w:val="1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“▲”系指实质性要求条款。</w:t>
      </w:r>
    </w:p>
    <w:p w14:paraId="13C03743">
      <w:pPr>
        <w:pStyle w:val="3"/>
        <w:numPr>
          <w:ilvl w:val="1"/>
          <w:numId w:val="9"/>
        </w:numPr>
        <w:spacing w:before="0" w:after="0" w:line="360" w:lineRule="auto"/>
        <w:ind w:firstLine="422" w:firstLineChars="200"/>
        <w:rPr>
          <w:rFonts w:hint="eastAsia" w:asciiTheme="minorEastAsia" w:hAnsiTheme="minorEastAsia" w:eastAsiaTheme="minorEastAsia"/>
        </w:rPr>
      </w:pPr>
      <w:bookmarkStart w:id="28" w:name="_Toc9342481"/>
      <w:bookmarkStart w:id="29" w:name="_Toc11650171"/>
      <w:bookmarkStart w:id="30" w:name="_Toc98019238"/>
      <w:r>
        <w:rPr>
          <w:rFonts w:hint="eastAsia" w:asciiTheme="minorEastAsia" w:hAnsiTheme="minorEastAsia" w:eastAsiaTheme="minorEastAsia"/>
        </w:rPr>
        <w:t>招标方式</w:t>
      </w:r>
      <w:bookmarkEnd w:id="28"/>
      <w:bookmarkEnd w:id="29"/>
      <w:bookmarkEnd w:id="30"/>
    </w:p>
    <w:p w14:paraId="44A42688">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本次招标采用公开招标方式进行。</w:t>
      </w:r>
    </w:p>
    <w:p w14:paraId="597B36B7">
      <w:pPr>
        <w:pStyle w:val="3"/>
        <w:numPr>
          <w:ilvl w:val="1"/>
          <w:numId w:val="9"/>
        </w:numPr>
        <w:spacing w:before="0" w:after="0" w:line="360" w:lineRule="auto"/>
        <w:ind w:firstLine="422" w:firstLineChars="200"/>
        <w:rPr>
          <w:rFonts w:hint="eastAsia" w:asciiTheme="minorEastAsia" w:hAnsiTheme="minorEastAsia" w:eastAsiaTheme="minorEastAsia"/>
        </w:rPr>
      </w:pPr>
      <w:bookmarkStart w:id="31" w:name="_Toc9342482"/>
      <w:bookmarkStart w:id="32" w:name="_Toc11650172"/>
      <w:bookmarkStart w:id="33" w:name="_Toc98019239"/>
      <w:r>
        <w:rPr>
          <w:rFonts w:hint="eastAsia" w:asciiTheme="minorEastAsia" w:hAnsiTheme="minorEastAsia" w:eastAsiaTheme="minorEastAsia"/>
        </w:rPr>
        <w:t>投标委托</w:t>
      </w:r>
      <w:bookmarkEnd w:id="31"/>
      <w:bookmarkEnd w:id="32"/>
      <w:bookmarkEnd w:id="33"/>
    </w:p>
    <w:p w14:paraId="298CE0D5">
      <w:pPr>
        <w:pStyle w:val="18"/>
        <w:snapToGrid w:val="0"/>
        <w:spacing w:line="360" w:lineRule="auto"/>
        <w:ind w:firstLine="404" w:firstLineChars="20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如投标人代表不是法定代表人（负责人），须有法定代表人（负责人）出具的授权委托书（正本用原件，副本用复印件，格式见附件）。如果投标单位无法定代表人，则由单位负责人代替。</w:t>
      </w:r>
    </w:p>
    <w:p w14:paraId="39490E79">
      <w:pPr>
        <w:pStyle w:val="3"/>
        <w:numPr>
          <w:ilvl w:val="1"/>
          <w:numId w:val="9"/>
        </w:numPr>
        <w:spacing w:before="0" w:after="0" w:line="360" w:lineRule="auto"/>
        <w:ind w:firstLine="422" w:firstLineChars="200"/>
        <w:rPr>
          <w:rFonts w:hint="eastAsia" w:asciiTheme="minorEastAsia" w:hAnsiTheme="minorEastAsia" w:eastAsiaTheme="minorEastAsia"/>
        </w:rPr>
      </w:pPr>
      <w:bookmarkStart w:id="34" w:name="_Toc98019240"/>
      <w:bookmarkStart w:id="35" w:name="_Toc9342483"/>
      <w:bookmarkStart w:id="36" w:name="_Toc11650173"/>
      <w:r>
        <w:rPr>
          <w:rFonts w:hint="eastAsia" w:asciiTheme="minorEastAsia" w:hAnsiTheme="minorEastAsia" w:eastAsiaTheme="minorEastAsia"/>
        </w:rPr>
        <w:t>投标费用</w:t>
      </w:r>
      <w:bookmarkEnd w:id="34"/>
      <w:bookmarkEnd w:id="35"/>
      <w:bookmarkEnd w:id="36"/>
    </w:p>
    <w:p w14:paraId="2B26EEFA">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不论投标结果如何，投标人均应自行承担所有与投标有关的全部费用。</w:t>
      </w:r>
    </w:p>
    <w:p w14:paraId="6C284A40">
      <w:pPr>
        <w:pStyle w:val="3"/>
        <w:numPr>
          <w:ilvl w:val="1"/>
          <w:numId w:val="9"/>
        </w:numPr>
        <w:spacing w:before="0" w:after="0" w:line="360" w:lineRule="auto"/>
        <w:ind w:firstLine="422" w:firstLineChars="200"/>
        <w:rPr>
          <w:rFonts w:hint="eastAsia" w:asciiTheme="minorEastAsia" w:hAnsiTheme="minorEastAsia" w:eastAsiaTheme="minorEastAsia"/>
        </w:rPr>
      </w:pPr>
      <w:bookmarkStart w:id="37" w:name="_Toc98019241"/>
      <w:bookmarkStart w:id="38" w:name="_Toc11650174"/>
      <w:bookmarkStart w:id="39" w:name="_Toc9342484"/>
      <w:r>
        <w:rPr>
          <w:rFonts w:hint="eastAsia" w:asciiTheme="minorEastAsia" w:hAnsiTheme="minorEastAsia" w:eastAsiaTheme="minorEastAsia"/>
        </w:rPr>
        <w:t>特别说明：</w:t>
      </w:r>
      <w:bookmarkEnd w:id="37"/>
      <w:bookmarkEnd w:id="38"/>
      <w:bookmarkEnd w:id="39"/>
    </w:p>
    <w:p w14:paraId="59D55FBF">
      <w:pPr>
        <w:numPr>
          <w:ilvl w:val="0"/>
          <w:numId w:val="11"/>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▲投标人投标所使用的资格、信誉、荣誉、业绩与企业认证必须为投标单位所拥有。</w:t>
      </w:r>
    </w:p>
    <w:p w14:paraId="4008870F">
      <w:pPr>
        <w:numPr>
          <w:ilvl w:val="0"/>
          <w:numId w:val="11"/>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▲投标人应仔细阅读招标文件的所有内容，按照招标文件的要求提交投标文件，并对所提供的全部资料的真实性承担法律责任。</w:t>
      </w:r>
    </w:p>
    <w:p w14:paraId="75A34BA7">
      <w:pPr>
        <w:numPr>
          <w:ilvl w:val="0"/>
          <w:numId w:val="11"/>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投标人在投标活动中提供任何虚假材料,</w:t>
      </w:r>
      <w:r>
        <w:rPr>
          <w:rFonts w:hint="eastAsia" w:asciiTheme="minorEastAsia" w:hAnsiTheme="minorEastAsia" w:eastAsiaTheme="minorEastAsia"/>
          <w:szCs w:val="21"/>
        </w:rPr>
        <w:t>其投标无效，并依照(嘉开财[2018] 152号）文件及相关规定进行相应处罚。</w:t>
      </w:r>
    </w:p>
    <w:p w14:paraId="7018A6FB">
      <w:pPr>
        <w:pStyle w:val="3"/>
        <w:numPr>
          <w:ilvl w:val="1"/>
          <w:numId w:val="9"/>
        </w:numPr>
        <w:spacing w:before="0" w:after="0" w:line="360" w:lineRule="auto"/>
        <w:ind w:firstLine="422" w:firstLineChars="200"/>
        <w:rPr>
          <w:rFonts w:hint="eastAsia" w:asciiTheme="minorEastAsia" w:hAnsiTheme="minorEastAsia" w:eastAsiaTheme="minorEastAsia"/>
        </w:rPr>
      </w:pPr>
      <w:bookmarkStart w:id="40" w:name="_Toc98019242"/>
      <w:bookmarkStart w:id="41" w:name="_Toc9342485"/>
      <w:bookmarkStart w:id="42" w:name="_Toc11650175"/>
      <w:r>
        <w:rPr>
          <w:rFonts w:hint="eastAsia" w:asciiTheme="minorEastAsia" w:hAnsiTheme="minorEastAsia" w:eastAsiaTheme="minorEastAsia"/>
        </w:rPr>
        <w:t>质疑和投诉</w:t>
      </w:r>
      <w:bookmarkEnd w:id="40"/>
      <w:bookmarkEnd w:id="41"/>
      <w:bookmarkEnd w:id="42"/>
    </w:p>
    <w:p w14:paraId="09FEA4E0">
      <w:pPr>
        <w:numPr>
          <w:ilvl w:val="0"/>
          <w:numId w:val="12"/>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4557D45B">
      <w:pPr>
        <w:numPr>
          <w:ilvl w:val="0"/>
          <w:numId w:val="12"/>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9969C35">
      <w:pPr>
        <w:pStyle w:val="2"/>
        <w:numPr>
          <w:ilvl w:val="0"/>
          <w:numId w:val="8"/>
        </w:numPr>
        <w:spacing w:before="0" w:after="0" w:line="360" w:lineRule="auto"/>
        <w:ind w:firstLine="422" w:firstLineChars="200"/>
        <w:jc w:val="center"/>
        <w:rPr>
          <w:rFonts w:hint="eastAsia" w:cs="微软雅黑" w:asciiTheme="minorEastAsia" w:hAnsiTheme="minorEastAsia" w:eastAsiaTheme="minorEastAsia"/>
          <w:sz w:val="21"/>
          <w:szCs w:val="21"/>
        </w:rPr>
      </w:pPr>
      <w:bookmarkStart w:id="43" w:name="_Toc9342486"/>
      <w:bookmarkStart w:id="44" w:name="_Toc30613"/>
      <w:bookmarkStart w:id="45" w:name="_Toc98019243"/>
      <w:bookmarkStart w:id="46" w:name="_Toc11650176"/>
      <w:r>
        <w:rPr>
          <w:rFonts w:hint="eastAsia" w:cs="微软雅黑" w:asciiTheme="minorEastAsia" w:hAnsiTheme="minorEastAsia" w:eastAsiaTheme="minorEastAsia"/>
          <w:sz w:val="21"/>
          <w:szCs w:val="21"/>
        </w:rPr>
        <w:t>招标文件</w:t>
      </w:r>
      <w:bookmarkEnd w:id="43"/>
      <w:bookmarkEnd w:id="44"/>
      <w:bookmarkEnd w:id="45"/>
      <w:bookmarkEnd w:id="46"/>
    </w:p>
    <w:p w14:paraId="2A277B9E">
      <w:pPr>
        <w:pStyle w:val="3"/>
        <w:numPr>
          <w:ilvl w:val="1"/>
          <w:numId w:val="9"/>
        </w:numPr>
        <w:spacing w:before="0" w:after="0" w:line="360" w:lineRule="auto"/>
        <w:ind w:firstLine="422" w:firstLineChars="200"/>
        <w:rPr>
          <w:rFonts w:hint="eastAsia" w:asciiTheme="minorEastAsia" w:hAnsiTheme="minorEastAsia" w:eastAsiaTheme="minorEastAsia"/>
        </w:rPr>
      </w:pPr>
      <w:bookmarkStart w:id="47" w:name="_Toc98019244"/>
      <w:r>
        <w:rPr>
          <w:rFonts w:hint="eastAsia" w:asciiTheme="minorEastAsia" w:hAnsiTheme="minorEastAsia" w:eastAsiaTheme="minorEastAsia"/>
        </w:rPr>
        <w:t>招标文件的构成。本招标文件由以下部份组成：</w:t>
      </w:r>
      <w:bookmarkEnd w:id="47"/>
    </w:p>
    <w:p w14:paraId="5A2A2435">
      <w:pPr>
        <w:numPr>
          <w:ilvl w:val="0"/>
          <w:numId w:val="13"/>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招标公告</w:t>
      </w:r>
    </w:p>
    <w:p w14:paraId="3A6CB1FA">
      <w:pPr>
        <w:numPr>
          <w:ilvl w:val="0"/>
          <w:numId w:val="13"/>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招标需求</w:t>
      </w:r>
    </w:p>
    <w:p w14:paraId="4310D1F8">
      <w:pPr>
        <w:numPr>
          <w:ilvl w:val="0"/>
          <w:numId w:val="13"/>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投标人须知</w:t>
      </w:r>
    </w:p>
    <w:p w14:paraId="7E6FEC51">
      <w:pPr>
        <w:numPr>
          <w:ilvl w:val="0"/>
          <w:numId w:val="13"/>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评标办法及标准</w:t>
      </w:r>
    </w:p>
    <w:p w14:paraId="19B3C68E">
      <w:pPr>
        <w:numPr>
          <w:ilvl w:val="0"/>
          <w:numId w:val="13"/>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合同主要条款</w:t>
      </w:r>
    </w:p>
    <w:p w14:paraId="2C97C28F">
      <w:pPr>
        <w:numPr>
          <w:ilvl w:val="0"/>
          <w:numId w:val="13"/>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投标文件格式</w:t>
      </w:r>
    </w:p>
    <w:p w14:paraId="758B8652">
      <w:pPr>
        <w:numPr>
          <w:ilvl w:val="0"/>
          <w:numId w:val="13"/>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本项目招标文件的澄清、答复、修改、补充的内容（如有）</w:t>
      </w:r>
    </w:p>
    <w:p w14:paraId="5E406EEF">
      <w:pPr>
        <w:pStyle w:val="3"/>
        <w:numPr>
          <w:ilvl w:val="1"/>
          <w:numId w:val="9"/>
        </w:numPr>
        <w:spacing w:before="0" w:after="0" w:line="360" w:lineRule="auto"/>
        <w:ind w:firstLine="422" w:firstLineChars="200"/>
        <w:rPr>
          <w:rFonts w:hint="eastAsia" w:asciiTheme="minorEastAsia" w:hAnsiTheme="minorEastAsia" w:eastAsiaTheme="minorEastAsia"/>
        </w:rPr>
      </w:pPr>
      <w:bookmarkStart w:id="48" w:name="_Toc98019245"/>
      <w:r>
        <w:rPr>
          <w:rFonts w:hint="eastAsia" w:asciiTheme="minorEastAsia" w:hAnsiTheme="minorEastAsia" w:eastAsiaTheme="minorEastAsia"/>
        </w:rPr>
        <w:t>投标人的风险</w:t>
      </w:r>
      <w:bookmarkEnd w:id="48"/>
    </w:p>
    <w:p w14:paraId="0806F1C8">
      <w:pPr>
        <w:pStyle w:val="32"/>
        <w:spacing w:line="360" w:lineRule="auto"/>
        <w:ind w:firstLine="42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投标人没有按照招标文件要求提供全部资料，或者投标人没有对招标文件在各方面作出实质性响应是投标人的风险，并可能导致其投标被拒绝。</w:t>
      </w:r>
    </w:p>
    <w:p w14:paraId="307075A8">
      <w:pPr>
        <w:pStyle w:val="3"/>
        <w:numPr>
          <w:ilvl w:val="1"/>
          <w:numId w:val="9"/>
        </w:numPr>
        <w:spacing w:before="0" w:after="0" w:line="360" w:lineRule="auto"/>
        <w:ind w:firstLine="422" w:firstLineChars="200"/>
        <w:rPr>
          <w:rFonts w:hint="eastAsia" w:asciiTheme="minorEastAsia" w:hAnsiTheme="minorEastAsia" w:eastAsiaTheme="minorEastAsia"/>
        </w:rPr>
      </w:pPr>
      <w:bookmarkStart w:id="49" w:name="_Toc98019246"/>
      <w:r>
        <w:rPr>
          <w:rFonts w:hint="eastAsia" w:asciiTheme="minorEastAsia" w:hAnsiTheme="minorEastAsia" w:eastAsiaTheme="minorEastAsia"/>
        </w:rPr>
        <w:t>招标文件的澄清与修改</w:t>
      </w:r>
      <w:bookmarkEnd w:id="49"/>
    </w:p>
    <w:p w14:paraId="53A87FB0">
      <w:pPr>
        <w:numPr>
          <w:ilvl w:val="0"/>
          <w:numId w:val="14"/>
        </w:numPr>
        <w:tabs>
          <w:tab w:val="left" w:pos="709"/>
        </w:tabs>
        <w:snapToGrid w:val="0"/>
        <w:spacing w:line="360" w:lineRule="auto"/>
        <w:ind w:left="0" w:firstLine="420" w:firstLineChars="200"/>
        <w:jc w:val="left"/>
        <w:rPr>
          <w:rFonts w:hint="eastAsia" w:asciiTheme="minorEastAsia" w:hAnsiTheme="minorEastAsia" w:eastAsiaTheme="minorEastAsia"/>
          <w:szCs w:val="21"/>
        </w:rPr>
      </w:pPr>
      <w:bookmarkStart w:id="50" w:name="_Toc11650177"/>
      <w:bookmarkStart w:id="51" w:name="_Toc9342487"/>
      <w:r>
        <w:rPr>
          <w:rFonts w:hint="eastAsia" w:asciiTheme="minorEastAsia" w:hAnsiTheme="minorEastAsia" w:eastAsiaTheme="minorEastAsia"/>
          <w:szCs w:val="21"/>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书面形式通知投标人。</w:t>
      </w:r>
      <w:bookmarkEnd w:id="50"/>
      <w:bookmarkEnd w:id="51"/>
    </w:p>
    <w:p w14:paraId="0D9000FE">
      <w:pPr>
        <w:numPr>
          <w:ilvl w:val="0"/>
          <w:numId w:val="14"/>
        </w:numPr>
        <w:tabs>
          <w:tab w:val="left" w:pos="709"/>
        </w:tabs>
        <w:snapToGrid w:val="0"/>
        <w:spacing w:line="360" w:lineRule="auto"/>
        <w:ind w:left="0" w:firstLine="420" w:firstLineChars="200"/>
        <w:jc w:val="left"/>
        <w:rPr>
          <w:rFonts w:hint="eastAsia" w:asciiTheme="minorEastAsia" w:hAnsiTheme="minorEastAsia" w:eastAsiaTheme="minorEastAsia"/>
          <w:szCs w:val="21"/>
        </w:rPr>
      </w:pPr>
      <w:bookmarkStart w:id="52" w:name="_Toc11650178"/>
      <w:bookmarkStart w:id="53" w:name="_Toc9342488"/>
      <w:r>
        <w:rPr>
          <w:rFonts w:hint="eastAsia" w:asciiTheme="minorEastAsia" w:hAnsiTheme="minorEastAsia" w:eastAsiaTheme="minorEastAsia"/>
          <w:szCs w:val="21"/>
        </w:rPr>
        <w:t>招标文件澄清、答复、修改、补充的内容为招标文件的组成部分。当招标文件与招标文件的答复、澄清、修改、补充通知就同一内容的表述不一致时，以最后发出的为准。</w:t>
      </w:r>
      <w:bookmarkEnd w:id="52"/>
      <w:bookmarkEnd w:id="53"/>
    </w:p>
    <w:p w14:paraId="44743B42">
      <w:pPr>
        <w:numPr>
          <w:ilvl w:val="0"/>
          <w:numId w:val="14"/>
        </w:numPr>
        <w:tabs>
          <w:tab w:val="left" w:pos="709"/>
        </w:tabs>
        <w:snapToGrid w:val="0"/>
        <w:spacing w:line="360" w:lineRule="auto"/>
        <w:ind w:left="0" w:firstLine="420" w:firstLineChars="200"/>
        <w:jc w:val="left"/>
        <w:rPr>
          <w:rFonts w:hint="eastAsia" w:asciiTheme="minorEastAsia" w:hAnsiTheme="minorEastAsia" w:eastAsiaTheme="minorEastAsia"/>
          <w:szCs w:val="21"/>
        </w:rPr>
      </w:pPr>
      <w:bookmarkStart w:id="54" w:name="_Toc9342489"/>
      <w:bookmarkStart w:id="55" w:name="_Toc11650179"/>
      <w:r>
        <w:rPr>
          <w:rFonts w:hint="eastAsia" w:asciiTheme="minorEastAsia" w:hAnsiTheme="minorEastAsia" w:eastAsiaTheme="minorEastAsia"/>
          <w:szCs w:val="21"/>
        </w:rPr>
        <w:t>招标文件的澄清、答复、修改或补充都应该通过招标人以法定形式发布，存款单位没有通过招标人，不得擅自澄清、答复、修改或补充招标文件。</w:t>
      </w:r>
      <w:bookmarkEnd w:id="54"/>
      <w:bookmarkEnd w:id="55"/>
    </w:p>
    <w:p w14:paraId="488DD0A1">
      <w:pPr>
        <w:pStyle w:val="2"/>
        <w:numPr>
          <w:ilvl w:val="0"/>
          <w:numId w:val="8"/>
        </w:numPr>
        <w:spacing w:before="0" w:after="0" w:line="360" w:lineRule="auto"/>
        <w:ind w:firstLine="422" w:firstLineChars="200"/>
        <w:jc w:val="center"/>
        <w:rPr>
          <w:rFonts w:hint="eastAsia" w:cs="微软雅黑" w:asciiTheme="minorEastAsia" w:hAnsiTheme="minorEastAsia" w:eastAsiaTheme="minorEastAsia"/>
          <w:sz w:val="21"/>
          <w:szCs w:val="21"/>
        </w:rPr>
      </w:pPr>
      <w:bookmarkStart w:id="56" w:name="_Toc11650180"/>
      <w:bookmarkStart w:id="57" w:name="_Toc24216"/>
      <w:bookmarkStart w:id="58" w:name="_Toc9342490"/>
      <w:bookmarkStart w:id="59" w:name="_Toc98019247"/>
      <w:r>
        <w:rPr>
          <w:rFonts w:hint="eastAsia" w:cs="微软雅黑" w:asciiTheme="minorEastAsia" w:hAnsiTheme="minorEastAsia" w:eastAsiaTheme="minorEastAsia"/>
          <w:sz w:val="21"/>
          <w:szCs w:val="21"/>
        </w:rPr>
        <w:t>投标文件的编制</w:t>
      </w:r>
      <w:bookmarkEnd w:id="56"/>
      <w:bookmarkEnd w:id="57"/>
      <w:bookmarkEnd w:id="58"/>
      <w:bookmarkEnd w:id="59"/>
    </w:p>
    <w:p w14:paraId="00017BD6">
      <w:pPr>
        <w:pStyle w:val="3"/>
        <w:numPr>
          <w:ilvl w:val="1"/>
          <w:numId w:val="9"/>
        </w:numPr>
        <w:spacing w:before="0" w:after="0" w:line="360" w:lineRule="auto"/>
        <w:ind w:firstLine="422" w:firstLineChars="200"/>
        <w:rPr>
          <w:rFonts w:hint="eastAsia" w:asciiTheme="minorEastAsia" w:hAnsiTheme="minorEastAsia" w:eastAsiaTheme="minorEastAsia"/>
        </w:rPr>
      </w:pPr>
      <w:bookmarkStart w:id="60" w:name="_Toc9342491"/>
      <w:bookmarkStart w:id="61" w:name="_Toc98019248"/>
      <w:bookmarkStart w:id="62" w:name="_Toc11650181"/>
      <w:r>
        <w:rPr>
          <w:rFonts w:hint="eastAsia" w:asciiTheme="minorEastAsia" w:hAnsiTheme="minorEastAsia" w:eastAsiaTheme="minorEastAsia"/>
        </w:rPr>
        <w:t>投标文件的组成</w:t>
      </w:r>
      <w:bookmarkEnd w:id="60"/>
      <w:bookmarkEnd w:id="61"/>
      <w:bookmarkEnd w:id="62"/>
    </w:p>
    <w:p w14:paraId="7FA98028">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投标文件的资信技术文件和投标报价文件装订成一本。</w:t>
      </w:r>
    </w:p>
    <w:p w14:paraId="3C1FA7DE">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▲投标声明书（格式见附件）；</w:t>
      </w:r>
    </w:p>
    <w:p w14:paraId="44009DC5">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▲法定代表人（负责人）授权书(格式见附件)；</w:t>
      </w:r>
    </w:p>
    <w:p w14:paraId="6D9E2E01">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▲投标函（格式见附件）；</w:t>
      </w:r>
    </w:p>
    <w:p w14:paraId="7A37F1CD">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▲投标报价一览表（格式见附件）</w:t>
      </w:r>
    </w:p>
    <w:p w14:paraId="31546527">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人民银行评价材料 (复印件)；</w:t>
      </w:r>
    </w:p>
    <w:p w14:paraId="1F2DC2E6">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▲营业执照副本(复印件)；</w:t>
      </w:r>
    </w:p>
    <w:p w14:paraId="26CF4851">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▲《中华人民共和国金融许可证》（复印件）；</w:t>
      </w:r>
    </w:p>
    <w:p w14:paraId="212729C8">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廉政承诺书（格式见附件）；</w:t>
      </w:r>
    </w:p>
    <w:p w14:paraId="2D13E004">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拨备覆盖率、资本充足率数据（格式见附件）；</w:t>
      </w:r>
    </w:p>
    <w:p w14:paraId="046C6227">
      <w:pPr>
        <w:numPr>
          <w:ilvl w:val="0"/>
          <w:numId w:val="15"/>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投标人需提供的其他材料（格式自拟）。</w:t>
      </w:r>
    </w:p>
    <w:p w14:paraId="72789F87">
      <w:pPr>
        <w:pStyle w:val="3"/>
        <w:numPr>
          <w:ilvl w:val="1"/>
          <w:numId w:val="9"/>
        </w:numPr>
        <w:spacing w:before="0" w:after="0" w:line="360" w:lineRule="auto"/>
        <w:ind w:firstLine="422" w:firstLineChars="200"/>
        <w:rPr>
          <w:rFonts w:hint="eastAsia" w:asciiTheme="minorEastAsia" w:hAnsiTheme="minorEastAsia" w:eastAsiaTheme="minorEastAsia"/>
        </w:rPr>
      </w:pPr>
      <w:bookmarkStart w:id="63" w:name="_Toc11650182"/>
      <w:bookmarkStart w:id="64" w:name="_Toc9342492"/>
      <w:bookmarkStart w:id="65" w:name="_Toc98019249"/>
      <w:r>
        <w:rPr>
          <w:rFonts w:hint="eastAsia" w:asciiTheme="minorEastAsia" w:hAnsiTheme="minorEastAsia" w:eastAsiaTheme="minorEastAsia"/>
        </w:rPr>
        <w:t>投标文件的语言及计量</w:t>
      </w:r>
      <w:bookmarkEnd w:id="63"/>
      <w:bookmarkEnd w:id="64"/>
      <w:bookmarkEnd w:id="65"/>
    </w:p>
    <w:p w14:paraId="2842C52C">
      <w:pPr>
        <w:numPr>
          <w:ilvl w:val="0"/>
          <w:numId w:val="16"/>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▲投标文件以及投标方与招标方就有关投标事宜的所有来往函电，均应以中文汉语书写。除签名、盖章、专用名称等特殊情形外，以中文汉语以外的文字表述的投标文件视同未提供。</w:t>
      </w:r>
    </w:p>
    <w:p w14:paraId="6A62D46B">
      <w:pPr>
        <w:numPr>
          <w:ilvl w:val="0"/>
          <w:numId w:val="16"/>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▲投标计量单位，招标文件已有明确规定的，使用招标文件规定的计量单位；招标文件没有规定的，应采用中华人民共和国法定计量单位（货币单位：人民币元），否则视同未响应。</w:t>
      </w:r>
    </w:p>
    <w:p w14:paraId="2F173F19">
      <w:pPr>
        <w:pStyle w:val="3"/>
        <w:numPr>
          <w:ilvl w:val="1"/>
          <w:numId w:val="9"/>
        </w:numPr>
        <w:spacing w:before="0" w:after="0" w:line="360" w:lineRule="auto"/>
        <w:ind w:firstLine="422" w:firstLineChars="200"/>
        <w:rPr>
          <w:rFonts w:hint="eastAsia" w:asciiTheme="minorEastAsia" w:hAnsiTheme="minorEastAsia" w:eastAsiaTheme="minorEastAsia"/>
        </w:rPr>
      </w:pPr>
      <w:bookmarkStart w:id="66" w:name="_Toc11650183"/>
      <w:bookmarkStart w:id="67" w:name="_Toc9342493"/>
      <w:bookmarkStart w:id="68" w:name="_Toc98019250"/>
      <w:r>
        <w:rPr>
          <w:rFonts w:hint="eastAsia" w:asciiTheme="minorEastAsia" w:hAnsiTheme="minorEastAsia" w:eastAsiaTheme="minorEastAsia"/>
        </w:rPr>
        <w:t>投标报价</w:t>
      </w:r>
      <w:bookmarkEnd w:id="66"/>
      <w:bookmarkEnd w:id="67"/>
      <w:bookmarkEnd w:id="68"/>
    </w:p>
    <w:p w14:paraId="7F557A0F">
      <w:pPr>
        <w:numPr>
          <w:ilvl w:val="0"/>
          <w:numId w:val="17"/>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投标报价应按招标文件中相关附表格式填写。</w:t>
      </w:r>
    </w:p>
    <w:p w14:paraId="260E112F">
      <w:pPr>
        <w:numPr>
          <w:ilvl w:val="0"/>
          <w:numId w:val="17"/>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▲投标报价只允许有一个报价，有选择的报价将不予接受。</w:t>
      </w:r>
    </w:p>
    <w:p w14:paraId="7893C963">
      <w:pPr>
        <w:numPr>
          <w:ilvl w:val="0"/>
          <w:numId w:val="17"/>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投标人须充分了解项目全部风险，综合考虑投标报价。</w:t>
      </w:r>
    </w:p>
    <w:p w14:paraId="04466611">
      <w:pPr>
        <w:pStyle w:val="88"/>
        <w:numPr>
          <w:ilvl w:val="0"/>
          <w:numId w:val="17"/>
        </w:numPr>
        <w:ind w:left="0" w:firstLine="426" w:firstLineChars="0"/>
        <w:rPr>
          <w:rFonts w:hint="eastAsia" w:asciiTheme="minorEastAsia" w:hAnsiTheme="minorEastAsia" w:eastAsiaTheme="minorEastAsia"/>
          <w:b/>
          <w:szCs w:val="21"/>
          <w:highlight w:val="none"/>
          <w:shd w:val="pct10" w:color="auto" w:fill="FFFFFF"/>
        </w:rPr>
      </w:pPr>
      <w:r>
        <w:rPr>
          <w:rFonts w:hint="eastAsia" w:asciiTheme="minorEastAsia" w:hAnsiTheme="minorEastAsia" w:eastAsiaTheme="minorEastAsia"/>
          <w:szCs w:val="21"/>
          <w:highlight w:val="none"/>
        </w:rPr>
        <w:t>▲</w:t>
      </w:r>
      <w:r>
        <w:rPr>
          <w:rFonts w:hint="eastAsia" w:asciiTheme="minorEastAsia" w:hAnsiTheme="minorEastAsia" w:eastAsiaTheme="minorEastAsia"/>
          <w:b/>
          <w:szCs w:val="21"/>
          <w:highlight w:val="none"/>
          <w:shd w:val="pct10" w:color="auto" w:fill="FFFFFF"/>
        </w:rPr>
        <w:t>投标人报价不得违反国家利率政策和浙江省市场利率定价自律机制规定。</w:t>
      </w:r>
    </w:p>
    <w:p w14:paraId="72EC1001">
      <w:pPr>
        <w:numPr>
          <w:ilvl w:val="0"/>
          <w:numId w:val="17"/>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投标人提交可选择报价视为非实质性响应招标文件的要求，按无效标处理。</w:t>
      </w:r>
    </w:p>
    <w:p w14:paraId="5C750C1E">
      <w:pPr>
        <w:pStyle w:val="3"/>
        <w:numPr>
          <w:ilvl w:val="1"/>
          <w:numId w:val="9"/>
        </w:numPr>
        <w:spacing w:before="0" w:after="0" w:line="360" w:lineRule="auto"/>
        <w:ind w:firstLine="422" w:firstLineChars="200"/>
        <w:rPr>
          <w:rFonts w:hint="eastAsia" w:asciiTheme="minorEastAsia" w:hAnsiTheme="minorEastAsia" w:eastAsiaTheme="minorEastAsia"/>
        </w:rPr>
      </w:pPr>
      <w:bookmarkStart w:id="69" w:name="_Toc98019251"/>
      <w:r>
        <w:rPr>
          <w:rFonts w:hint="eastAsia" w:asciiTheme="minorEastAsia" w:hAnsiTheme="minorEastAsia" w:eastAsiaTheme="minorEastAsia"/>
        </w:rPr>
        <w:t>投标文件的有效期</w:t>
      </w:r>
      <w:bookmarkEnd w:id="69"/>
    </w:p>
    <w:p w14:paraId="27DC6299">
      <w:pPr>
        <w:numPr>
          <w:ilvl w:val="0"/>
          <w:numId w:val="18"/>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▲自投标截止日起60天投标文件应保持有效。有效期不足的投标文件将被拒绝。</w:t>
      </w:r>
    </w:p>
    <w:p w14:paraId="7BF4257F">
      <w:pPr>
        <w:numPr>
          <w:ilvl w:val="0"/>
          <w:numId w:val="18"/>
        </w:numPr>
        <w:snapToGrid w:val="0"/>
        <w:spacing w:line="360" w:lineRule="auto"/>
        <w:ind w:left="0" w:firstLine="420" w:firstLineChars="200"/>
        <w:jc w:val="left"/>
        <w:rPr>
          <w:rFonts w:hint="eastAsia" w:asciiTheme="minorEastAsia" w:hAnsiTheme="minorEastAsia" w:eastAsiaTheme="minorEastAsia"/>
          <w:szCs w:val="21"/>
        </w:rPr>
      </w:pPr>
      <w:bookmarkStart w:id="70" w:name="_Toc11650184"/>
      <w:bookmarkStart w:id="71" w:name="_Toc9342494"/>
      <w:r>
        <w:rPr>
          <w:rFonts w:hint="eastAsia" w:asciiTheme="minorEastAsia" w:hAnsiTheme="minorEastAsia" w:eastAsiaTheme="minorEastAsia"/>
          <w:szCs w:val="21"/>
        </w:rPr>
        <w:t>中标人的投标文件自开标之日起至合同履行完毕止均应保持有效。</w:t>
      </w:r>
      <w:bookmarkEnd w:id="70"/>
      <w:bookmarkEnd w:id="71"/>
    </w:p>
    <w:p w14:paraId="5836B15E">
      <w:pPr>
        <w:pStyle w:val="3"/>
        <w:numPr>
          <w:ilvl w:val="1"/>
          <w:numId w:val="9"/>
        </w:numPr>
        <w:spacing w:before="0" w:after="0" w:line="360" w:lineRule="auto"/>
        <w:ind w:firstLine="422" w:firstLineChars="200"/>
        <w:rPr>
          <w:rFonts w:hint="eastAsia" w:asciiTheme="minorEastAsia" w:hAnsiTheme="minorEastAsia" w:eastAsiaTheme="minorEastAsia"/>
        </w:rPr>
      </w:pPr>
      <w:bookmarkStart w:id="72" w:name="_Toc98019252"/>
      <w:r>
        <w:rPr>
          <w:rFonts w:hint="eastAsia" w:asciiTheme="minorEastAsia" w:hAnsiTheme="minorEastAsia" w:eastAsiaTheme="minorEastAsia"/>
        </w:rPr>
        <w:t>投标文件的签署和份数</w:t>
      </w:r>
      <w:bookmarkEnd w:id="72"/>
    </w:p>
    <w:p w14:paraId="3E2A2BF5">
      <w:pPr>
        <w:numPr>
          <w:ilvl w:val="0"/>
          <w:numId w:val="19"/>
        </w:numPr>
        <w:tabs>
          <w:tab w:val="left" w:pos="709"/>
        </w:tabs>
        <w:snapToGrid w:val="0"/>
        <w:spacing w:line="360" w:lineRule="auto"/>
        <w:ind w:left="0"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u w:val="single"/>
        </w:rPr>
        <w:t>线下纸质投标文件</w:t>
      </w:r>
      <w:r>
        <w:rPr>
          <w:rFonts w:asciiTheme="minorEastAsia" w:hAnsiTheme="minorEastAsia" w:eastAsiaTheme="minorEastAsia"/>
          <w:szCs w:val="21"/>
          <w:u w:val="single"/>
        </w:rPr>
        <w:t>正本一份和副本</w:t>
      </w:r>
      <w:r>
        <w:rPr>
          <w:rFonts w:hint="eastAsia" w:asciiTheme="minorEastAsia" w:hAnsiTheme="minorEastAsia" w:eastAsiaTheme="minorEastAsia"/>
          <w:szCs w:val="21"/>
          <w:u w:val="single"/>
        </w:rPr>
        <w:t>一份</w:t>
      </w:r>
      <w:r>
        <w:rPr>
          <w:rFonts w:hint="eastAsia" w:asciiTheme="minorEastAsia" w:hAnsiTheme="minorEastAsia" w:eastAsiaTheme="minorEastAsia"/>
          <w:szCs w:val="21"/>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69B7F74B">
      <w:pPr>
        <w:numPr>
          <w:ilvl w:val="0"/>
          <w:numId w:val="19"/>
        </w:numPr>
        <w:tabs>
          <w:tab w:val="left" w:pos="709"/>
        </w:tabs>
        <w:snapToGrid w:val="0"/>
        <w:spacing w:line="360" w:lineRule="auto"/>
        <w:ind w:left="0" w:firstLine="426" w:firstLineChars="202"/>
        <w:jc w:val="left"/>
        <w:rPr>
          <w:rFonts w:hint="eastAsia" w:asciiTheme="minorEastAsia" w:hAnsiTheme="minorEastAsia" w:eastAsiaTheme="minorEastAsia"/>
          <w:b/>
          <w:szCs w:val="21"/>
          <w:shd w:val="pct10" w:color="auto" w:fill="FFFFFF"/>
        </w:rPr>
      </w:pPr>
      <w:r>
        <w:rPr>
          <w:rFonts w:hint="eastAsia" w:asciiTheme="minorEastAsia" w:hAnsiTheme="minorEastAsia" w:eastAsiaTheme="minorEastAsia"/>
          <w:b/>
          <w:szCs w:val="21"/>
          <w:shd w:val="pct10" w:color="auto" w:fill="FFFFFF"/>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7B699033">
      <w:pPr>
        <w:numPr>
          <w:ilvl w:val="0"/>
          <w:numId w:val="19"/>
        </w:numPr>
        <w:tabs>
          <w:tab w:val="left" w:pos="709"/>
        </w:tabs>
        <w:snapToGrid w:val="0"/>
        <w:spacing w:line="360" w:lineRule="auto"/>
        <w:ind w:left="0"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▲网上电子投标文件按招标文件要求及招标系统流程、时间、格式上传。</w:t>
      </w:r>
    </w:p>
    <w:p w14:paraId="068F4337">
      <w:pPr>
        <w:pStyle w:val="3"/>
        <w:numPr>
          <w:ilvl w:val="1"/>
          <w:numId w:val="9"/>
        </w:numPr>
        <w:spacing w:before="0" w:after="0" w:line="360" w:lineRule="auto"/>
        <w:ind w:firstLine="422" w:firstLineChars="200"/>
        <w:rPr>
          <w:rFonts w:hint="eastAsia" w:asciiTheme="minorEastAsia" w:hAnsiTheme="minorEastAsia" w:eastAsiaTheme="minorEastAsia"/>
        </w:rPr>
      </w:pPr>
      <w:bookmarkStart w:id="73" w:name="_Toc98019253"/>
      <w:r>
        <w:rPr>
          <w:rFonts w:hint="eastAsia" w:asciiTheme="minorEastAsia" w:hAnsiTheme="minorEastAsia" w:eastAsiaTheme="minorEastAsia"/>
        </w:rPr>
        <w:t>投标文件的包装、递交、修改和撤回</w:t>
      </w:r>
      <w:bookmarkEnd w:id="73"/>
    </w:p>
    <w:p w14:paraId="5C7A705A">
      <w:pPr>
        <w:numPr>
          <w:ilvl w:val="0"/>
          <w:numId w:val="2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投标人的投标文件应密封封装。投标文件的包装封面上应注明投标人名称、投标人地址、投标文件名称、投标项目名称、项目编号，并加盖投标人公章。</w:t>
      </w:r>
    </w:p>
    <w:p w14:paraId="6B48B7B0">
      <w:pPr>
        <w:numPr>
          <w:ilvl w:val="0"/>
          <w:numId w:val="2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未按规定密封或标记的投标文件将被拒绝，由此造成投标文件被误投或提前拆封的风险由投标人承担。</w:t>
      </w:r>
    </w:p>
    <w:p w14:paraId="5F2AF204">
      <w:pPr>
        <w:numPr>
          <w:ilvl w:val="0"/>
          <w:numId w:val="20"/>
        </w:numPr>
        <w:tabs>
          <w:tab w:val="left" w:pos="709"/>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1A37B7BA">
      <w:pPr>
        <w:pStyle w:val="3"/>
        <w:numPr>
          <w:ilvl w:val="1"/>
          <w:numId w:val="9"/>
        </w:numPr>
        <w:spacing w:before="0" w:after="0" w:line="360" w:lineRule="auto"/>
        <w:ind w:firstLine="422" w:firstLineChars="200"/>
        <w:rPr>
          <w:rFonts w:hint="eastAsia" w:asciiTheme="minorEastAsia" w:hAnsiTheme="minorEastAsia" w:eastAsiaTheme="minorEastAsia"/>
        </w:rPr>
      </w:pPr>
      <w:bookmarkStart w:id="74" w:name="_Toc98019254"/>
      <w:r>
        <w:rPr>
          <w:rFonts w:hint="eastAsia" w:asciiTheme="minorEastAsia" w:hAnsiTheme="minorEastAsia" w:eastAsiaTheme="minorEastAsia"/>
        </w:rPr>
        <w:t>投标无效的情形</w:t>
      </w:r>
      <w:bookmarkEnd w:id="74"/>
    </w:p>
    <w:p w14:paraId="3CB7EADB">
      <w:pPr>
        <w:snapToGrid w:val="0"/>
        <w:spacing w:line="360" w:lineRule="auto"/>
        <w:ind w:firstLine="422" w:firstLineChars="200"/>
        <w:rPr>
          <w:rFonts w:hint="eastAsia" w:asciiTheme="minorEastAsia" w:hAnsiTheme="minorEastAsia" w:eastAsiaTheme="minorEastAsia"/>
          <w:bCs/>
          <w:szCs w:val="21"/>
        </w:rPr>
      </w:pPr>
      <w:r>
        <w:rPr>
          <w:rFonts w:hint="eastAsia" w:asciiTheme="minorEastAsia" w:hAnsiTheme="minorEastAsia" w:eastAsiaTheme="minorEastAsia"/>
          <w:b/>
          <w:bCs/>
          <w:szCs w:val="21"/>
        </w:rPr>
        <w:t>实质上没有响应招标文件要求的投标将被视为无效投标。</w:t>
      </w:r>
    </w:p>
    <w:p w14:paraId="2D4913E4">
      <w:pPr>
        <w:numPr>
          <w:ilvl w:val="0"/>
          <w:numId w:val="21"/>
        </w:numPr>
        <w:snapToGrid w:val="0"/>
        <w:spacing w:line="360" w:lineRule="auto"/>
        <w:ind w:left="0"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在符合性审查和商务评审时，如发现下列情形之一的，投标文件将被视为无效：</w:t>
      </w:r>
    </w:p>
    <w:p w14:paraId="28017549">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资格证明文件不全的，或者不符合招标文件标明的资格要求的；</w:t>
      </w:r>
    </w:p>
    <w:p w14:paraId="2A9A20B8">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投标文件无法定代表人（负责人）签字,或未提供法定代表人（负责人）授权委托书、投标声明书或者填写项目不齐全的；</w:t>
      </w:r>
    </w:p>
    <w:p w14:paraId="5C6E9AF1">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投标代表人未能出具身份证明或与法定代表人（负责人）授权委托人身份不符的； </w:t>
      </w:r>
    </w:p>
    <w:p w14:paraId="5279F8DE">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投标文件未按要求装订、格式不规范、项目不齐全或者内容虚假的；</w:t>
      </w:r>
    </w:p>
    <w:p w14:paraId="35423312">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投标文件的实质性内容意思表述不明确、前后矛盾或者使用计量单位不符合招标文件要求的（经评标委员会认定并允许其当场更正的笔误除外）；</w:t>
      </w:r>
    </w:p>
    <w:p w14:paraId="28962732">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未实质性响应招标文件要求的；</w:t>
      </w:r>
    </w:p>
    <w:p w14:paraId="104B5B1B">
      <w:pPr>
        <w:numPr>
          <w:ilvl w:val="0"/>
          <w:numId w:val="21"/>
        </w:numPr>
        <w:snapToGrid w:val="0"/>
        <w:spacing w:line="360" w:lineRule="auto"/>
        <w:ind w:left="0"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在技术评审时，如发现下列情形之一的，投标文件将被视为无效：</w:t>
      </w:r>
    </w:p>
    <w:p w14:paraId="4D9C1CCF">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投标文件标明的响应或偏离与事实不符或虚假投标的；</w:t>
      </w:r>
    </w:p>
    <w:p w14:paraId="668BBF55">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与招标文件中标“▲”的技术指标、主要功能项目发生实质性偏离的；</w:t>
      </w:r>
    </w:p>
    <w:p w14:paraId="17F54C0A">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投标技术方案不明确，存在一个或一个以上备选（替代）投标方案的；</w:t>
      </w:r>
    </w:p>
    <w:p w14:paraId="236C18C5">
      <w:pPr>
        <w:numPr>
          <w:ilvl w:val="0"/>
          <w:numId w:val="21"/>
        </w:numPr>
        <w:snapToGrid w:val="0"/>
        <w:spacing w:line="360" w:lineRule="auto"/>
        <w:ind w:left="0"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在报价评审时，如发现下列情形之一的，投标文件将被视为无效：</w:t>
      </w:r>
    </w:p>
    <w:p w14:paraId="465EB49A">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未提供投标报价表的；</w:t>
      </w:r>
    </w:p>
    <w:p w14:paraId="43B0F183">
      <w:pPr>
        <w:numPr>
          <w:ilvl w:val="1"/>
          <w:numId w:val="21"/>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投标报价方案不明确，存在一个或一个以上备选（替代）投标方案的；</w:t>
      </w:r>
    </w:p>
    <w:p w14:paraId="47EA3479">
      <w:pPr>
        <w:numPr>
          <w:ilvl w:val="1"/>
          <w:numId w:val="21"/>
        </w:numPr>
        <w:snapToGrid w:val="0"/>
        <w:spacing w:line="360" w:lineRule="auto"/>
        <w:ind w:left="0"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投标报价违反国家利率政策和浙江省市场利率定价自律机制规定的</w:t>
      </w:r>
      <w:r>
        <w:rPr>
          <w:rFonts w:hint="eastAsia" w:asciiTheme="minorEastAsia" w:hAnsiTheme="minorEastAsia" w:eastAsiaTheme="minorEastAsia"/>
          <w:szCs w:val="21"/>
          <w:highlight w:val="none"/>
          <w:lang w:eastAsia="zh-CN"/>
        </w:rPr>
        <w:t>。</w:t>
      </w:r>
    </w:p>
    <w:p w14:paraId="641FA43D">
      <w:pPr>
        <w:pStyle w:val="62"/>
        <w:numPr>
          <w:ilvl w:val="0"/>
          <w:numId w:val="21"/>
        </w:numPr>
        <w:snapToGrid w:val="0"/>
        <w:spacing w:line="360" w:lineRule="auto"/>
        <w:ind w:firstLine="1" w:firstLineChars="0"/>
        <w:rPr>
          <w:rFonts w:hint="eastAsia" w:asciiTheme="minorEastAsia" w:hAnsiTheme="minorEastAsia" w:eastAsiaTheme="minorEastAsia"/>
          <w:b/>
          <w:szCs w:val="21"/>
        </w:rPr>
      </w:pPr>
      <w:r>
        <w:rPr>
          <w:rFonts w:hint="eastAsia" w:asciiTheme="minorEastAsia" w:hAnsiTheme="minorEastAsia" w:eastAsiaTheme="minorEastAsia"/>
          <w:b/>
          <w:szCs w:val="21"/>
        </w:rPr>
        <w:t>被拒绝的投标文件为无效。</w:t>
      </w:r>
    </w:p>
    <w:p w14:paraId="3F9D9B42">
      <w:pPr>
        <w:pStyle w:val="62"/>
        <w:numPr>
          <w:ilvl w:val="0"/>
          <w:numId w:val="21"/>
        </w:numPr>
        <w:snapToGrid w:val="0"/>
        <w:spacing w:line="360" w:lineRule="auto"/>
        <w:ind w:firstLine="1" w:firstLineChars="0"/>
        <w:rPr>
          <w:rFonts w:hint="eastAsia" w:asciiTheme="minorEastAsia" w:hAnsiTheme="minorEastAsia" w:eastAsiaTheme="minorEastAsia"/>
          <w:b/>
          <w:szCs w:val="21"/>
        </w:rPr>
      </w:pPr>
      <w:r>
        <w:rPr>
          <w:rFonts w:hint="eastAsia" w:asciiTheme="minorEastAsia" w:hAnsiTheme="minorEastAsia" w:eastAsiaTheme="minorEastAsia"/>
          <w:b/>
          <w:szCs w:val="21"/>
        </w:rPr>
        <w:t>如网上投标文件与纸质投标文件不一致的，做无效标处理（因系统原因显示表述不一致的除外）。</w:t>
      </w:r>
    </w:p>
    <w:p w14:paraId="33B07C59">
      <w:pPr>
        <w:pStyle w:val="2"/>
        <w:numPr>
          <w:ilvl w:val="0"/>
          <w:numId w:val="8"/>
        </w:numPr>
        <w:spacing w:before="0" w:after="0" w:line="360" w:lineRule="auto"/>
        <w:ind w:firstLine="422" w:firstLineChars="200"/>
        <w:jc w:val="center"/>
        <w:rPr>
          <w:rFonts w:hint="eastAsia" w:cs="微软雅黑" w:asciiTheme="minorEastAsia" w:hAnsiTheme="minorEastAsia" w:eastAsiaTheme="minorEastAsia"/>
          <w:sz w:val="21"/>
          <w:szCs w:val="21"/>
        </w:rPr>
      </w:pPr>
      <w:bookmarkStart w:id="75" w:name="_Toc23544"/>
      <w:bookmarkStart w:id="76" w:name="_Toc98019255"/>
      <w:r>
        <w:rPr>
          <w:rFonts w:hint="eastAsia" w:cs="微软雅黑" w:asciiTheme="minorEastAsia" w:hAnsiTheme="minorEastAsia" w:eastAsiaTheme="minorEastAsia"/>
          <w:sz w:val="21"/>
          <w:szCs w:val="21"/>
        </w:rPr>
        <w:t>开标</w:t>
      </w:r>
      <w:bookmarkEnd w:id="75"/>
      <w:bookmarkEnd w:id="76"/>
    </w:p>
    <w:p w14:paraId="21C29BAE">
      <w:pPr>
        <w:pStyle w:val="3"/>
        <w:numPr>
          <w:ilvl w:val="0"/>
          <w:numId w:val="0"/>
        </w:numPr>
        <w:spacing w:before="0" w:after="0" w:line="360" w:lineRule="auto"/>
        <w:ind w:firstLine="424" w:firstLineChars="202"/>
        <w:rPr>
          <w:rFonts w:hint="eastAsia" w:asciiTheme="minorEastAsia" w:hAnsiTheme="minorEastAsia" w:eastAsiaTheme="minorEastAsia"/>
          <w:b w:val="0"/>
          <w:szCs w:val="21"/>
        </w:rPr>
      </w:pPr>
      <w:bookmarkStart w:id="77" w:name="_Toc98019262"/>
      <w:r>
        <w:rPr>
          <w:rFonts w:hint="eastAsia" w:asciiTheme="minorEastAsia" w:hAnsiTheme="minorEastAsia" w:eastAsiaTheme="minorEastAsia"/>
          <w:b w:val="0"/>
          <w:kern w:val="0"/>
          <w:szCs w:val="21"/>
        </w:rPr>
        <w:t>本项目不要求投标人至开标现场参加开标及开启投标文件活动。</w:t>
      </w:r>
      <w:r>
        <w:rPr>
          <w:rFonts w:hint="eastAsia" w:asciiTheme="minorEastAsia" w:hAnsiTheme="minorEastAsia" w:eastAsiaTheme="minorEastAsia"/>
          <w:b w:val="0"/>
          <w:szCs w:val="21"/>
        </w:rPr>
        <w:t>招标代理机构将在规定的时间和地点进行开标。</w:t>
      </w:r>
    </w:p>
    <w:p w14:paraId="25552A54">
      <w:pPr>
        <w:pStyle w:val="3"/>
        <w:numPr>
          <w:ilvl w:val="0"/>
          <w:numId w:val="0"/>
        </w:numPr>
        <w:spacing w:before="0" w:after="0" w:line="360" w:lineRule="auto"/>
        <w:ind w:firstLine="424" w:firstLineChars="202"/>
        <w:rPr>
          <w:rFonts w:hint="eastAsia" w:asciiTheme="minorEastAsia" w:hAnsiTheme="minorEastAsia" w:eastAsiaTheme="minorEastAsia"/>
          <w:b w:val="0"/>
          <w:szCs w:val="21"/>
        </w:rPr>
      </w:pPr>
      <w:r>
        <w:rPr>
          <w:rFonts w:hint="eastAsia" w:asciiTheme="minorEastAsia" w:hAnsiTheme="minorEastAsia" w:eastAsiaTheme="minorEastAsia"/>
          <w:b w:val="0"/>
          <w:szCs w:val="21"/>
        </w:rPr>
        <w:t>招标人将与监督部门对投标文件的密封情况、开标评标工作等全过程进行现场监督。</w:t>
      </w:r>
      <w:bookmarkEnd w:id="77"/>
    </w:p>
    <w:p w14:paraId="437522BA">
      <w:pPr>
        <w:pStyle w:val="2"/>
        <w:numPr>
          <w:ilvl w:val="0"/>
          <w:numId w:val="8"/>
        </w:numPr>
        <w:spacing w:before="0" w:after="0" w:line="360" w:lineRule="auto"/>
        <w:ind w:firstLine="422" w:firstLineChars="200"/>
        <w:jc w:val="center"/>
        <w:rPr>
          <w:rFonts w:hint="eastAsia" w:cs="微软雅黑" w:asciiTheme="minorEastAsia" w:hAnsiTheme="minorEastAsia" w:eastAsiaTheme="minorEastAsia"/>
          <w:sz w:val="21"/>
          <w:szCs w:val="21"/>
        </w:rPr>
      </w:pPr>
      <w:bookmarkStart w:id="78" w:name="_Toc98019263"/>
      <w:bookmarkStart w:id="79" w:name="_Toc5071"/>
      <w:r>
        <w:rPr>
          <w:rFonts w:hint="eastAsia" w:cs="微软雅黑" w:asciiTheme="minorEastAsia" w:hAnsiTheme="minorEastAsia" w:eastAsiaTheme="minorEastAsia"/>
          <w:sz w:val="21"/>
          <w:szCs w:val="21"/>
        </w:rPr>
        <w:t>评标</w:t>
      </w:r>
      <w:bookmarkEnd w:id="78"/>
      <w:bookmarkEnd w:id="79"/>
    </w:p>
    <w:p w14:paraId="4AC1BD45">
      <w:pPr>
        <w:pStyle w:val="3"/>
        <w:numPr>
          <w:ilvl w:val="1"/>
          <w:numId w:val="9"/>
        </w:numPr>
        <w:spacing w:before="0" w:after="0" w:line="360" w:lineRule="auto"/>
        <w:ind w:firstLine="422" w:firstLineChars="200"/>
        <w:rPr>
          <w:rFonts w:hint="eastAsia" w:asciiTheme="minorEastAsia" w:hAnsiTheme="minorEastAsia" w:eastAsiaTheme="minorEastAsia"/>
        </w:rPr>
      </w:pPr>
      <w:bookmarkStart w:id="80" w:name="_Toc98019264"/>
      <w:r>
        <w:rPr>
          <w:rFonts w:hint="eastAsia" w:asciiTheme="minorEastAsia" w:hAnsiTheme="minorEastAsia" w:eastAsiaTheme="minorEastAsia"/>
        </w:rPr>
        <w:t>评标组织</w:t>
      </w:r>
      <w:bookmarkEnd w:id="80"/>
    </w:p>
    <w:p w14:paraId="1CE67D3D">
      <w:pPr>
        <w:snapToGrid w:val="0"/>
        <w:spacing w:line="360" w:lineRule="auto"/>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本项目</w:t>
      </w:r>
      <w:r>
        <w:rPr>
          <w:rFonts w:hint="eastAsia" w:asciiTheme="minorEastAsia" w:hAnsiTheme="minorEastAsia" w:eastAsiaTheme="minorEastAsia"/>
          <w:szCs w:val="21"/>
        </w:rPr>
        <w:t>评审小组</w:t>
      </w:r>
      <w:r>
        <w:rPr>
          <w:rFonts w:asciiTheme="minorEastAsia" w:hAnsiTheme="minorEastAsia" w:eastAsiaTheme="minorEastAsia"/>
          <w:szCs w:val="21"/>
        </w:rPr>
        <w:t>评审</w:t>
      </w:r>
      <w:r>
        <w:rPr>
          <w:rFonts w:hint="eastAsia" w:asciiTheme="minorEastAsia" w:hAnsiTheme="minorEastAsia" w:eastAsiaTheme="minorEastAsia"/>
          <w:szCs w:val="21"/>
        </w:rPr>
        <w:t>专家4人，业主专家1人，共5人组成。</w:t>
      </w:r>
    </w:p>
    <w:p w14:paraId="62E2FD01">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评标、决标全过程由有关部门监督。</w:t>
      </w:r>
    </w:p>
    <w:p w14:paraId="2F8CFA10">
      <w:pPr>
        <w:pStyle w:val="3"/>
        <w:numPr>
          <w:ilvl w:val="1"/>
          <w:numId w:val="9"/>
        </w:numPr>
        <w:spacing w:before="0" w:after="0" w:line="360" w:lineRule="auto"/>
        <w:ind w:firstLine="422" w:firstLineChars="200"/>
        <w:rPr>
          <w:rFonts w:hint="eastAsia" w:asciiTheme="minorEastAsia" w:hAnsiTheme="minorEastAsia" w:eastAsiaTheme="minorEastAsia"/>
        </w:rPr>
      </w:pPr>
      <w:bookmarkStart w:id="81" w:name="_Toc98019265"/>
      <w:r>
        <w:rPr>
          <w:rFonts w:hint="eastAsia" w:asciiTheme="minorEastAsia" w:hAnsiTheme="minorEastAsia" w:eastAsiaTheme="minorEastAsia"/>
        </w:rPr>
        <w:t>评标的方式</w:t>
      </w:r>
      <w:bookmarkEnd w:id="81"/>
    </w:p>
    <w:p w14:paraId="346788FC">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本招标项目采用不公开方式评标，评标的依据为招标文件和投标文件。</w:t>
      </w:r>
    </w:p>
    <w:p w14:paraId="4A825E75">
      <w:pPr>
        <w:pStyle w:val="62"/>
        <w:numPr>
          <w:ilvl w:val="1"/>
          <w:numId w:val="22"/>
        </w:numPr>
        <w:snapToGrid w:val="0"/>
        <w:spacing w:line="360" w:lineRule="auto"/>
        <w:ind w:left="0"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本招标项目采用不公开方式评标，评标的依据为招标文件和投标文件。</w:t>
      </w:r>
    </w:p>
    <w:p w14:paraId="2A3450C4">
      <w:pPr>
        <w:pStyle w:val="62"/>
        <w:numPr>
          <w:ilvl w:val="1"/>
          <w:numId w:val="22"/>
        </w:numPr>
        <w:snapToGrid w:val="0"/>
        <w:spacing w:line="360" w:lineRule="auto"/>
        <w:ind w:left="0" w:firstLine="420" w:firstLineChars="0"/>
        <w:jc w:val="left"/>
        <w:rPr>
          <w:rFonts w:hint="eastAsia" w:ascii="宋体" w:hAnsi="宋体"/>
          <w:szCs w:val="21"/>
        </w:rPr>
      </w:pPr>
      <w:r>
        <w:rPr>
          <w:rFonts w:hint="eastAsia" w:ascii="宋体" w:hAnsi="宋体"/>
          <w:szCs w:val="21"/>
        </w:rPr>
        <w:t>本项目实行线下纸质投标叠加网上电子投标，如网上投标文件与纸质投标文件不一致的，且因系统原因显示表述不一致的情况下，以线下纸质投标文件为准；因招标系统故障不能进行线上评审，本项目以线下纸质投标文件为准。</w:t>
      </w:r>
    </w:p>
    <w:p w14:paraId="046846A4">
      <w:pPr>
        <w:pStyle w:val="3"/>
        <w:numPr>
          <w:ilvl w:val="1"/>
          <w:numId w:val="9"/>
        </w:numPr>
        <w:spacing w:before="0" w:after="0" w:line="360" w:lineRule="auto"/>
        <w:ind w:firstLine="422" w:firstLineChars="200"/>
        <w:rPr>
          <w:rFonts w:hint="eastAsia" w:asciiTheme="minorEastAsia" w:hAnsiTheme="minorEastAsia" w:eastAsiaTheme="minorEastAsia"/>
        </w:rPr>
      </w:pPr>
      <w:bookmarkStart w:id="82" w:name="_Toc98019266"/>
      <w:r>
        <w:rPr>
          <w:rFonts w:hint="eastAsia" w:asciiTheme="minorEastAsia" w:hAnsiTheme="minorEastAsia" w:eastAsiaTheme="minorEastAsia"/>
        </w:rPr>
        <w:t>评标程序</w:t>
      </w:r>
      <w:bookmarkEnd w:id="82"/>
    </w:p>
    <w:p w14:paraId="45B25DDE">
      <w:pPr>
        <w:pStyle w:val="4"/>
        <w:ind w:firstLine="400" w:firstLineChars="0"/>
        <w:rPr>
          <w:rFonts w:hint="eastAsia" w:asciiTheme="minorEastAsia" w:hAnsiTheme="minorEastAsia" w:eastAsiaTheme="minorEastAsia"/>
        </w:rPr>
      </w:pPr>
      <w:bookmarkStart w:id="83" w:name="_Toc98019267"/>
      <w:r>
        <w:rPr>
          <w:rFonts w:hint="eastAsia" w:asciiTheme="minorEastAsia" w:hAnsiTheme="minorEastAsia" w:eastAsiaTheme="minorEastAsia"/>
        </w:rPr>
        <w:t>形式审查</w:t>
      </w:r>
      <w:bookmarkEnd w:id="83"/>
    </w:p>
    <w:p w14:paraId="537E0548">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评标委员会将审查投标文件是否真实、完整,总体编排是否有序,文件签署是否正确等。</w:t>
      </w:r>
    </w:p>
    <w:p w14:paraId="641F28B1">
      <w:pPr>
        <w:pStyle w:val="4"/>
        <w:ind w:firstLine="400" w:firstLineChars="0"/>
        <w:rPr>
          <w:rFonts w:hint="eastAsia" w:asciiTheme="minorEastAsia" w:hAnsiTheme="minorEastAsia" w:eastAsiaTheme="minorEastAsia"/>
        </w:rPr>
      </w:pPr>
      <w:bookmarkStart w:id="84" w:name="_Toc98019268"/>
      <w:r>
        <w:rPr>
          <w:rFonts w:hint="eastAsia" w:asciiTheme="minorEastAsia" w:hAnsiTheme="minorEastAsia" w:eastAsiaTheme="minorEastAsia"/>
        </w:rPr>
        <w:t>实质审查与比较</w:t>
      </w:r>
      <w:bookmarkEnd w:id="84"/>
    </w:p>
    <w:p w14:paraId="6F51DD31">
      <w:pPr>
        <w:numPr>
          <w:ilvl w:val="0"/>
          <w:numId w:val="23"/>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评标委员会审查投标文件的实质性内容是否符合招标文件的实质性要求。</w:t>
      </w:r>
    </w:p>
    <w:p w14:paraId="6015728F">
      <w:pPr>
        <w:numPr>
          <w:ilvl w:val="0"/>
          <w:numId w:val="23"/>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评标委员会将根据投标人的投标文件的资信进行审查、核对,如有疑问,将对投标人进行询标,投标人要向评标委员会澄清有关问题,并最终以书面形式进行答复。 </w:t>
      </w:r>
    </w:p>
    <w:p w14:paraId="69C3B933">
      <w:pPr>
        <w:numPr>
          <w:ilvl w:val="0"/>
          <w:numId w:val="23"/>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评标委员会将根据投标人的投标文件进行详细审查、核对,如有疑问,将对投标人进行询标,投标人要向评标委员会澄清有关问题,并最终以书面形式进行答复。</w:t>
      </w:r>
    </w:p>
    <w:p w14:paraId="09593F04">
      <w:pPr>
        <w:numPr>
          <w:ilvl w:val="0"/>
          <w:numId w:val="23"/>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评标委员会将根据投标人的报价,计算各投标人的报价最终得分。</w:t>
      </w:r>
    </w:p>
    <w:p w14:paraId="07A882EF">
      <w:pPr>
        <w:numPr>
          <w:ilvl w:val="0"/>
          <w:numId w:val="23"/>
        </w:numPr>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评标委员会完成评标后,评委对各部分得分汇总,得出本项目最终得分,评标委员会按评标原则确定中标人同时起草评标报告。</w:t>
      </w:r>
    </w:p>
    <w:p w14:paraId="225AD982">
      <w:pPr>
        <w:pStyle w:val="3"/>
        <w:numPr>
          <w:ilvl w:val="1"/>
          <w:numId w:val="9"/>
        </w:numPr>
        <w:spacing w:before="0" w:after="0" w:line="360" w:lineRule="auto"/>
        <w:ind w:firstLine="422" w:firstLineChars="200"/>
        <w:rPr>
          <w:rFonts w:hint="eastAsia" w:asciiTheme="minorEastAsia" w:hAnsiTheme="minorEastAsia" w:eastAsiaTheme="minorEastAsia"/>
        </w:rPr>
      </w:pPr>
      <w:bookmarkStart w:id="85" w:name="_Toc98019269"/>
      <w:r>
        <w:rPr>
          <w:rFonts w:hint="eastAsia" w:asciiTheme="minorEastAsia" w:hAnsiTheme="minorEastAsia" w:eastAsiaTheme="minorEastAsia"/>
        </w:rPr>
        <w:t>澄清问题的形式</w:t>
      </w:r>
      <w:bookmarkEnd w:id="85"/>
    </w:p>
    <w:p w14:paraId="39F909CA">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29E0F5D9">
      <w:pPr>
        <w:pStyle w:val="3"/>
        <w:numPr>
          <w:ilvl w:val="1"/>
          <w:numId w:val="9"/>
        </w:numPr>
        <w:spacing w:before="0" w:after="0" w:line="360" w:lineRule="auto"/>
        <w:ind w:firstLine="422" w:firstLineChars="200"/>
        <w:rPr>
          <w:rFonts w:hint="eastAsia" w:asciiTheme="minorEastAsia" w:hAnsiTheme="minorEastAsia" w:eastAsiaTheme="minorEastAsia"/>
        </w:rPr>
      </w:pPr>
      <w:bookmarkStart w:id="86" w:name="_Toc98019270"/>
      <w:r>
        <w:rPr>
          <w:rFonts w:hint="eastAsia" w:asciiTheme="minorEastAsia" w:hAnsiTheme="minorEastAsia" w:eastAsiaTheme="minorEastAsia"/>
        </w:rPr>
        <w:t>评标过程的保密性</w:t>
      </w:r>
      <w:bookmarkEnd w:id="86"/>
    </w:p>
    <w:p w14:paraId="59B87CB8">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凡是属于审查、澄清、评审和比较的有关资料以及授标建议，任何人均不得向投标人或其他无关的人员透露。投标人在评标过程中，所进行的力图影响评标结果的不公正活动，可能导致其投标被拒绝。</w:t>
      </w:r>
    </w:p>
    <w:p w14:paraId="6DC95D23">
      <w:pPr>
        <w:pStyle w:val="3"/>
        <w:numPr>
          <w:ilvl w:val="1"/>
          <w:numId w:val="9"/>
        </w:numPr>
        <w:spacing w:before="0" w:after="0" w:line="360" w:lineRule="auto"/>
        <w:ind w:firstLine="422" w:firstLineChars="200"/>
        <w:rPr>
          <w:rFonts w:hint="eastAsia" w:asciiTheme="minorEastAsia" w:hAnsiTheme="minorEastAsia" w:eastAsiaTheme="minorEastAsia"/>
        </w:rPr>
      </w:pPr>
      <w:bookmarkStart w:id="87" w:name="_Toc98019271"/>
      <w:r>
        <w:rPr>
          <w:rFonts w:hint="eastAsia" w:asciiTheme="minorEastAsia" w:hAnsiTheme="minorEastAsia" w:eastAsiaTheme="minorEastAsia"/>
        </w:rPr>
        <w:t>评标原则和评标办法</w:t>
      </w:r>
      <w:bookmarkEnd w:id="87"/>
    </w:p>
    <w:p w14:paraId="2E5EF379">
      <w:pPr>
        <w:numPr>
          <w:ilvl w:val="0"/>
          <w:numId w:val="24"/>
        </w:numPr>
        <w:tabs>
          <w:tab w:val="left" w:pos="567"/>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3E5FFAEF">
      <w:pPr>
        <w:numPr>
          <w:ilvl w:val="0"/>
          <w:numId w:val="24"/>
        </w:numPr>
        <w:tabs>
          <w:tab w:val="left" w:pos="567"/>
        </w:tabs>
        <w:snapToGrid w:val="0"/>
        <w:spacing w:line="360" w:lineRule="auto"/>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评标办法：本项目的具体评标办法详见第四章的《评标办法及评分标准》。</w:t>
      </w:r>
    </w:p>
    <w:p w14:paraId="04978EC0">
      <w:pPr>
        <w:pStyle w:val="3"/>
        <w:numPr>
          <w:ilvl w:val="1"/>
          <w:numId w:val="9"/>
        </w:numPr>
        <w:spacing w:before="0" w:after="0" w:line="360" w:lineRule="auto"/>
        <w:ind w:firstLine="422" w:firstLineChars="200"/>
        <w:rPr>
          <w:rFonts w:hint="eastAsia" w:asciiTheme="minorEastAsia" w:hAnsiTheme="minorEastAsia" w:eastAsiaTheme="minorEastAsia"/>
        </w:rPr>
      </w:pPr>
      <w:bookmarkStart w:id="88" w:name="_Toc98019272"/>
      <w:r>
        <w:rPr>
          <w:rFonts w:hint="eastAsia" w:asciiTheme="minorEastAsia" w:hAnsiTheme="minorEastAsia" w:eastAsiaTheme="minorEastAsia"/>
        </w:rPr>
        <w:t>评标过程的监控</w:t>
      </w:r>
      <w:bookmarkEnd w:id="88"/>
    </w:p>
    <w:p w14:paraId="5318827E">
      <w:pPr>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本项目评标过程实行全程录音、录像监控，投标人在评标过程中所进行的试图影响评标结果的不公正活动，可能导致其投标被拒绝。</w:t>
      </w:r>
    </w:p>
    <w:p w14:paraId="430460F7">
      <w:pPr>
        <w:pStyle w:val="2"/>
        <w:numPr>
          <w:ilvl w:val="0"/>
          <w:numId w:val="8"/>
        </w:numPr>
        <w:spacing w:before="0" w:after="0" w:line="360" w:lineRule="auto"/>
        <w:ind w:firstLine="422" w:firstLineChars="200"/>
        <w:jc w:val="center"/>
        <w:rPr>
          <w:rFonts w:hint="eastAsia" w:cs="微软雅黑" w:asciiTheme="minorEastAsia" w:hAnsiTheme="minorEastAsia" w:eastAsiaTheme="minorEastAsia"/>
          <w:sz w:val="21"/>
          <w:szCs w:val="21"/>
        </w:rPr>
      </w:pPr>
      <w:bookmarkStart w:id="89" w:name="_Toc18132"/>
      <w:bookmarkStart w:id="90" w:name="_Toc98019273"/>
      <w:r>
        <w:rPr>
          <w:rFonts w:hint="eastAsia" w:cs="微软雅黑" w:asciiTheme="minorEastAsia" w:hAnsiTheme="minorEastAsia" w:eastAsiaTheme="minorEastAsia"/>
          <w:sz w:val="21"/>
          <w:szCs w:val="21"/>
        </w:rPr>
        <w:t>定标</w:t>
      </w:r>
      <w:bookmarkEnd w:id="89"/>
      <w:bookmarkEnd w:id="90"/>
    </w:p>
    <w:p w14:paraId="49E2B6F6">
      <w:pPr>
        <w:pStyle w:val="3"/>
        <w:numPr>
          <w:ilvl w:val="1"/>
          <w:numId w:val="9"/>
        </w:numPr>
        <w:spacing w:before="0" w:after="0" w:line="360" w:lineRule="auto"/>
        <w:ind w:firstLine="422" w:firstLineChars="200"/>
        <w:rPr>
          <w:rFonts w:hint="eastAsia" w:asciiTheme="minorEastAsia" w:hAnsiTheme="minorEastAsia" w:eastAsiaTheme="minorEastAsia"/>
        </w:rPr>
      </w:pPr>
      <w:bookmarkStart w:id="91" w:name="_Toc98019274"/>
      <w:r>
        <w:rPr>
          <w:rFonts w:hint="eastAsia" w:asciiTheme="minorEastAsia" w:hAnsiTheme="minorEastAsia" w:eastAsiaTheme="minorEastAsia"/>
        </w:rPr>
        <w:t>确定中标人。本项目由评标委员会确定中标人。</w:t>
      </w:r>
      <w:bookmarkEnd w:id="91"/>
    </w:p>
    <w:p w14:paraId="37F6BBC9">
      <w:pPr>
        <w:pStyle w:val="62"/>
        <w:numPr>
          <w:ilvl w:val="0"/>
          <w:numId w:val="25"/>
        </w:numPr>
        <w:tabs>
          <w:tab w:val="left" w:pos="426"/>
          <w:tab w:val="left" w:pos="709"/>
        </w:tabs>
        <w:snapToGrid w:val="0"/>
        <w:spacing w:line="360" w:lineRule="auto"/>
        <w:ind w:left="0" w:firstLine="42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招标代理机构在评标结束后3日内将评标结果告知存款单位，同时在发布招标公告的网站上对评标结果进行公告。</w:t>
      </w:r>
    </w:p>
    <w:p w14:paraId="78877D89">
      <w:pPr>
        <w:pStyle w:val="62"/>
        <w:numPr>
          <w:ilvl w:val="0"/>
          <w:numId w:val="25"/>
        </w:numPr>
        <w:tabs>
          <w:tab w:val="left" w:pos="426"/>
          <w:tab w:val="left" w:pos="709"/>
        </w:tabs>
        <w:snapToGrid w:val="0"/>
        <w:spacing w:line="360" w:lineRule="auto"/>
        <w:ind w:left="0" w:firstLine="42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如有投标人对评标结果提出质疑的，招标人可在质疑处理完毕后确定中标人。</w:t>
      </w:r>
    </w:p>
    <w:p w14:paraId="7343DAEB">
      <w:pPr>
        <w:pStyle w:val="62"/>
        <w:numPr>
          <w:ilvl w:val="0"/>
          <w:numId w:val="25"/>
        </w:numPr>
        <w:tabs>
          <w:tab w:val="left" w:pos="426"/>
          <w:tab w:val="left" w:pos="709"/>
        </w:tabs>
        <w:snapToGrid w:val="0"/>
        <w:spacing w:line="360" w:lineRule="auto"/>
        <w:ind w:left="0" w:firstLine="42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公告公示期满后2</w:t>
      </w:r>
      <w:r>
        <w:rPr>
          <w:rFonts w:asciiTheme="minorEastAsia" w:hAnsiTheme="minorEastAsia" w:eastAsiaTheme="minorEastAsia"/>
          <w:szCs w:val="21"/>
        </w:rPr>
        <w:t>个工作日内</w:t>
      </w:r>
      <w:r>
        <w:rPr>
          <w:rFonts w:hint="eastAsia" w:asciiTheme="minorEastAsia" w:hAnsiTheme="minorEastAsia" w:eastAsiaTheme="minorEastAsia"/>
          <w:szCs w:val="21"/>
        </w:rPr>
        <w:t>，招标代理机构以书面形式发出《中标通知书》。</w:t>
      </w:r>
    </w:p>
    <w:p w14:paraId="764A27E8">
      <w:pPr>
        <w:pStyle w:val="2"/>
        <w:numPr>
          <w:ilvl w:val="0"/>
          <w:numId w:val="8"/>
        </w:numPr>
        <w:spacing w:before="0" w:after="0" w:line="360" w:lineRule="auto"/>
        <w:ind w:firstLine="422" w:firstLineChars="200"/>
        <w:jc w:val="center"/>
        <w:rPr>
          <w:rFonts w:hint="eastAsia" w:cs="微软雅黑" w:asciiTheme="minorEastAsia" w:hAnsiTheme="minorEastAsia" w:eastAsiaTheme="minorEastAsia"/>
          <w:sz w:val="21"/>
          <w:szCs w:val="21"/>
        </w:rPr>
      </w:pPr>
      <w:bookmarkStart w:id="92" w:name="_Toc7898"/>
      <w:bookmarkStart w:id="93" w:name="_Toc98019275"/>
      <w:r>
        <w:rPr>
          <w:rFonts w:hint="eastAsia" w:cs="微软雅黑" w:asciiTheme="minorEastAsia" w:hAnsiTheme="minorEastAsia" w:eastAsiaTheme="minorEastAsia"/>
          <w:sz w:val="21"/>
          <w:szCs w:val="21"/>
        </w:rPr>
        <w:t>合同授予</w:t>
      </w:r>
      <w:bookmarkEnd w:id="92"/>
      <w:bookmarkEnd w:id="93"/>
    </w:p>
    <w:p w14:paraId="3879E54B">
      <w:pPr>
        <w:pStyle w:val="3"/>
        <w:numPr>
          <w:ilvl w:val="1"/>
          <w:numId w:val="9"/>
        </w:numPr>
        <w:spacing w:before="0" w:after="0" w:line="360" w:lineRule="auto"/>
        <w:ind w:firstLine="420" w:firstLineChars="200"/>
        <w:rPr>
          <w:rFonts w:hint="eastAsia" w:asciiTheme="minorEastAsia" w:hAnsiTheme="minorEastAsia" w:eastAsiaTheme="minorEastAsia"/>
          <w:b w:val="0"/>
          <w:bCs w:val="0"/>
        </w:rPr>
      </w:pPr>
      <w:bookmarkStart w:id="94" w:name="_Toc98019276"/>
      <w:r>
        <w:rPr>
          <w:rFonts w:hint="eastAsia" w:asciiTheme="minorEastAsia" w:hAnsiTheme="minorEastAsia" w:eastAsiaTheme="minorEastAsia"/>
          <w:b w:val="0"/>
          <w:bCs w:val="0"/>
        </w:rPr>
        <w:t>存款单位与中标人应当在《中标通知书》发出之日起30日内签订存款合同。同时，招标代理机构对合同内容进行审查，如发现与采购结果和投标承诺内容不一致的，应予以纠正。</w:t>
      </w:r>
      <w:bookmarkEnd w:id="94"/>
    </w:p>
    <w:p w14:paraId="1CA31DDD">
      <w:pPr>
        <w:pStyle w:val="3"/>
        <w:numPr>
          <w:ilvl w:val="1"/>
          <w:numId w:val="9"/>
        </w:numPr>
        <w:spacing w:before="0" w:after="0" w:line="360" w:lineRule="auto"/>
        <w:ind w:firstLine="420" w:firstLineChars="200"/>
        <w:rPr>
          <w:rFonts w:hint="eastAsia" w:asciiTheme="minorEastAsia" w:hAnsiTheme="minorEastAsia" w:eastAsiaTheme="minorEastAsia"/>
          <w:b w:val="0"/>
          <w:bCs w:val="0"/>
        </w:rPr>
      </w:pPr>
      <w:bookmarkStart w:id="95" w:name="_Toc98019277"/>
      <w:r>
        <w:rPr>
          <w:rFonts w:hint="eastAsia" w:asciiTheme="minorEastAsia" w:hAnsiTheme="minorEastAsia" w:eastAsiaTheme="minorEastAsia"/>
          <w:b w:val="0"/>
          <w:bCs w:val="0"/>
        </w:rPr>
        <w:t>中标人拖延、拒签合同的,将被取消中标资格。</w:t>
      </w:r>
      <w:bookmarkEnd w:id="95"/>
    </w:p>
    <w:p w14:paraId="00357A0B">
      <w:pPr>
        <w:pStyle w:val="36"/>
        <w:numPr>
          <w:ilvl w:val="0"/>
          <w:numId w:val="3"/>
        </w:numPr>
        <w:spacing w:line="360" w:lineRule="auto"/>
        <w:rPr>
          <w:rFonts w:hint="eastAsia" w:asciiTheme="minorEastAsia" w:hAnsiTheme="minorEastAsia" w:eastAsiaTheme="minorEastAsia"/>
        </w:rPr>
        <w:sectPr>
          <w:pgSz w:w="11907" w:h="16840"/>
          <w:pgMar w:top="1440" w:right="1797" w:bottom="1440" w:left="1797" w:header="851" w:footer="851" w:gutter="0"/>
          <w:cols w:space="425" w:num="1"/>
          <w:titlePg/>
          <w:docGrid w:type="lines" w:linePitch="312" w:charSpace="0"/>
        </w:sectPr>
      </w:pPr>
      <w:bookmarkStart w:id="96" w:name="_Toc9342495"/>
      <w:bookmarkStart w:id="97" w:name="_Toc11650185"/>
    </w:p>
    <w:p w14:paraId="42D66B34">
      <w:pPr>
        <w:pStyle w:val="36"/>
        <w:numPr>
          <w:ilvl w:val="0"/>
          <w:numId w:val="3"/>
        </w:numPr>
        <w:spacing w:line="360" w:lineRule="auto"/>
        <w:rPr>
          <w:rFonts w:hint="eastAsia" w:asciiTheme="minorEastAsia" w:hAnsiTheme="minorEastAsia" w:eastAsiaTheme="minorEastAsia"/>
        </w:rPr>
      </w:pPr>
      <w:bookmarkStart w:id="98" w:name="_Toc98019286"/>
      <w:r>
        <w:rPr>
          <w:rFonts w:hint="eastAsia" w:asciiTheme="minorEastAsia" w:hAnsiTheme="minorEastAsia" w:eastAsiaTheme="minorEastAsia"/>
        </w:rPr>
        <w:t>评标办法及评分标准</w:t>
      </w:r>
      <w:bookmarkEnd w:id="96"/>
      <w:bookmarkEnd w:id="97"/>
      <w:bookmarkEnd w:id="98"/>
    </w:p>
    <w:p w14:paraId="162123FE">
      <w:pPr>
        <w:widowControl/>
        <w:spacing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根据有关法律法规及《嘉兴经济技术开发区、嘉兴国际商务区区级财政部门和预算单位资金存放管理实施办法》（嘉开财〔2018〕152号），《嘉兴经济技术开发区区级财政部门和行政事业单位资金竞争性存放评分指标与评标规则》等的规定，202</w:t>
      </w:r>
      <w:r>
        <w:rPr>
          <w:rFonts w:asciiTheme="minorEastAsia" w:hAnsiTheme="minorEastAsia" w:eastAsiaTheme="minorEastAsia"/>
          <w:szCs w:val="21"/>
        </w:rPr>
        <w:t>4</w:t>
      </w:r>
      <w:r>
        <w:rPr>
          <w:rFonts w:hint="eastAsia" w:asciiTheme="minorEastAsia" w:hAnsiTheme="minorEastAsia" w:eastAsiaTheme="minorEastAsia"/>
          <w:szCs w:val="21"/>
        </w:rPr>
        <w:t>年（第五期）嘉兴经济技术开发区公共资金竞争性存放评标办法和评分标准如下：</w:t>
      </w:r>
    </w:p>
    <w:p w14:paraId="04345872">
      <w:pPr>
        <w:pStyle w:val="4"/>
        <w:numPr>
          <w:ilvl w:val="0"/>
          <w:numId w:val="26"/>
        </w:numPr>
        <w:ind w:firstLineChars="0"/>
        <w:rPr>
          <w:rFonts w:hint="eastAsia" w:asciiTheme="minorEastAsia" w:hAnsiTheme="minorEastAsia" w:eastAsiaTheme="minorEastAsia"/>
        </w:rPr>
      </w:pPr>
      <w:bookmarkStart w:id="99" w:name="_Toc98019287"/>
      <w:r>
        <w:rPr>
          <w:rFonts w:hint="eastAsia" w:asciiTheme="minorEastAsia" w:hAnsiTheme="minorEastAsia" w:eastAsiaTheme="minorEastAsia"/>
        </w:rPr>
        <w:t>总则</w:t>
      </w:r>
      <w:bookmarkEnd w:id="99"/>
    </w:p>
    <w:p w14:paraId="29F87469">
      <w:pPr>
        <w:tabs>
          <w:tab w:val="left" w:pos="0"/>
          <w:tab w:val="left" w:pos="720"/>
          <w:tab w:val="left" w:pos="1440"/>
          <w:tab w:val="left" w:pos="2160"/>
          <w:tab w:val="left" w:pos="2880"/>
          <w:tab w:val="left" w:pos="3600"/>
          <w:tab w:val="left" w:pos="4320"/>
        </w:tabs>
        <w:autoSpaceDE w:val="0"/>
        <w:autoSpaceDN w:val="0"/>
        <w:spacing w:line="360" w:lineRule="auto"/>
        <w:ind w:firstLine="424" w:firstLineChars="202"/>
        <w:jc w:val="left"/>
        <w:rPr>
          <w:rFonts w:hint="eastAsia" w:asciiTheme="minorEastAsia" w:hAnsiTheme="minorEastAsia" w:eastAsiaTheme="minorEastAsia"/>
          <w:szCs w:val="21"/>
        </w:rPr>
      </w:pPr>
      <w:bookmarkStart w:id="100" w:name="_Toc170792813"/>
      <w:r>
        <w:rPr>
          <w:rFonts w:hint="eastAsia" w:asciiTheme="minorEastAsia" w:hAnsiTheme="minorEastAsia" w:eastAsiaTheme="minorEastAsia"/>
          <w:szCs w:val="21"/>
        </w:rPr>
        <w:t>本次评标采用综合评分法，分为价格分、资信技术分两部分。合格投标人的评标得分为各项目汇总得分，中标候选资格按评标得分由高到低顺序排列，得分相同的，按价格分由高到低顺序排列；得分且价格分相同的，按资信技术分由高到低顺序排列。均相同的则按政采云系统内投标时间先后顺序。中标单位按招标需求中招标单位序号顺序依次分配中标金额。</w:t>
      </w:r>
    </w:p>
    <w:p w14:paraId="2E104A95">
      <w:pPr>
        <w:pStyle w:val="62"/>
        <w:spacing w:before="156" w:beforeLines="50" w:after="156" w:afterLines="50"/>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投标人评标综合得分=价格分+资信技术分。</w:t>
      </w:r>
    </w:p>
    <w:p w14:paraId="648FFFBA">
      <w:pPr>
        <w:pStyle w:val="62"/>
        <w:spacing w:before="156" w:beforeLines="50" w:after="156" w:afterLines="50"/>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价格分=利率水平指标得分。</w:t>
      </w:r>
    </w:p>
    <w:p w14:paraId="6FA927D8">
      <w:pPr>
        <w:pStyle w:val="62"/>
        <w:spacing w:before="156" w:beforeLines="50" w:after="156" w:afterLines="50"/>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资信技术分=经营状况得分+经济贡献度得分+服务水平得分+加分扣分项。</w:t>
      </w:r>
    </w:p>
    <w:bookmarkEnd w:id="100"/>
    <w:p w14:paraId="6C21EA35">
      <w:pPr>
        <w:pStyle w:val="4"/>
        <w:numPr>
          <w:ilvl w:val="0"/>
          <w:numId w:val="26"/>
        </w:numPr>
        <w:ind w:firstLineChars="0"/>
        <w:rPr>
          <w:rFonts w:hint="eastAsia" w:asciiTheme="minorEastAsia" w:hAnsiTheme="minorEastAsia" w:eastAsiaTheme="minorEastAsia"/>
        </w:rPr>
      </w:pPr>
      <w:bookmarkStart w:id="101" w:name="_Toc98019288"/>
      <w:r>
        <w:rPr>
          <w:rFonts w:hint="eastAsia" w:asciiTheme="minorEastAsia" w:hAnsiTheme="minorEastAsia" w:eastAsiaTheme="minorEastAsia"/>
        </w:rPr>
        <w:t>评分内容和标准</w:t>
      </w:r>
      <w:bookmarkEnd w:id="101"/>
    </w:p>
    <w:p w14:paraId="7B11C3F2">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评分指标包括：利率水平指标（15分）、经营状况指标（40分）、经济贡献度指标（30分）、服务水平项目指标(15分)和加分扣分项。评委根据投标银行的定期存款年利率和相关部门（或投标银行）提供的评标数据、佐证资料，对照评分标准计算各投标银行得分。计算得分时，保留二位小数。</w:t>
      </w:r>
    </w:p>
    <w:p w14:paraId="1C4D20D6">
      <w:pPr>
        <w:pStyle w:val="3"/>
        <w:numPr>
          <w:ilvl w:val="0"/>
          <w:numId w:val="27"/>
        </w:numPr>
        <w:spacing w:before="0" w:after="0" w:line="360" w:lineRule="auto"/>
        <w:rPr>
          <w:rFonts w:hint="eastAsia" w:asciiTheme="minorEastAsia" w:hAnsiTheme="minorEastAsia" w:eastAsiaTheme="minorEastAsia"/>
          <w:szCs w:val="21"/>
          <w:shd w:val="pct10" w:color="auto" w:fill="FFFFFF"/>
        </w:rPr>
      </w:pPr>
      <w:bookmarkStart w:id="102" w:name="_Toc98019289"/>
      <w:r>
        <w:rPr>
          <w:rFonts w:hint="eastAsia" w:asciiTheme="minorEastAsia" w:hAnsiTheme="minorEastAsia" w:eastAsiaTheme="minorEastAsia"/>
          <w:szCs w:val="21"/>
          <w:shd w:val="pct10" w:color="auto" w:fill="FFFFFF"/>
        </w:rPr>
        <w:t>利率水平指标（满分15分）。</w:t>
      </w:r>
      <w:bookmarkEnd w:id="102"/>
    </w:p>
    <w:p w14:paraId="24873644">
      <w:pPr>
        <w:adjustRightInd w:val="0"/>
        <w:snapToGrid w:val="0"/>
        <w:spacing w:line="360" w:lineRule="auto"/>
        <w:ind w:firstLine="411" w:firstLineChars="196"/>
        <w:rPr>
          <w:rFonts w:hint="eastAsia" w:asciiTheme="minorEastAsia" w:hAnsiTheme="minorEastAsia" w:eastAsiaTheme="minorEastAsia"/>
          <w:szCs w:val="21"/>
        </w:rPr>
      </w:pPr>
      <w:r>
        <w:rPr>
          <w:rFonts w:hint="eastAsia" w:asciiTheme="minorEastAsia" w:hAnsiTheme="minorEastAsia" w:eastAsiaTheme="minorEastAsia" w:cstheme="minorEastAsia"/>
          <w:szCs w:val="21"/>
        </w:rPr>
        <w:t>根据有效竞标银行投标利率为评分依据。有效竞标银行报价与同期限人民币存款基准利率相比上浮基点（BP）最高的银行得满分，上浮基点（BP）每下降一个基点扣0.1分，扣至0分为止</w:t>
      </w:r>
      <w:r>
        <w:rPr>
          <w:rFonts w:hint="eastAsia" w:ascii="仿宋_GB2312" w:hAnsi="仿宋_GB2312" w:eastAsia="仿宋_GB2312" w:cs="仿宋_GB2312"/>
          <w:sz w:val="32"/>
          <w:szCs w:val="32"/>
        </w:rPr>
        <w:t>。</w:t>
      </w:r>
    </w:p>
    <w:p w14:paraId="7E258C29">
      <w:pPr>
        <w:pStyle w:val="3"/>
        <w:numPr>
          <w:ilvl w:val="0"/>
          <w:numId w:val="27"/>
        </w:numPr>
        <w:spacing w:before="0" w:after="0" w:line="360" w:lineRule="auto"/>
        <w:rPr>
          <w:rFonts w:hint="eastAsia" w:asciiTheme="minorEastAsia" w:hAnsiTheme="minorEastAsia" w:eastAsiaTheme="minorEastAsia"/>
          <w:szCs w:val="21"/>
          <w:shd w:val="pct10" w:color="auto" w:fill="FFFFFF"/>
        </w:rPr>
      </w:pPr>
      <w:bookmarkStart w:id="103" w:name="_Toc98019290"/>
      <w:r>
        <w:rPr>
          <w:rFonts w:hint="eastAsia" w:asciiTheme="minorEastAsia" w:hAnsiTheme="minorEastAsia" w:eastAsiaTheme="minorEastAsia"/>
          <w:szCs w:val="21"/>
          <w:shd w:val="pct10" w:color="auto" w:fill="FFFFFF"/>
        </w:rPr>
        <w:t>经营状况指标（满分40分）。</w:t>
      </w:r>
      <w:bookmarkEnd w:id="103"/>
    </w:p>
    <w:p w14:paraId="10F5F37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宋体" w:hAnsi="宋体"/>
          <w:szCs w:val="21"/>
        </w:rPr>
        <w:t>经营状况指标设置包括拨备覆盖率、资本充足率、不良贷款率、不良贷款处置率、利润总额、利润增长率、内控水平指标</w:t>
      </w:r>
      <w:r>
        <w:rPr>
          <w:rFonts w:hint="eastAsia" w:asciiTheme="minorEastAsia" w:hAnsiTheme="minorEastAsia" w:eastAsiaTheme="minorEastAsia"/>
          <w:szCs w:val="21"/>
        </w:rPr>
        <w:t>。</w:t>
      </w:r>
    </w:p>
    <w:p w14:paraId="24CE2233">
      <w:pPr>
        <w:pStyle w:val="62"/>
        <w:numPr>
          <w:ilvl w:val="0"/>
          <w:numId w:val="28"/>
        </w:numPr>
        <w:tabs>
          <w:tab w:val="left" w:pos="640"/>
        </w:tabs>
        <w:spacing w:line="360" w:lineRule="auto"/>
        <w:ind w:left="0" w:firstLine="426" w:firstLineChars="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偿付能力（10分）。根据有效竞标银行上年末法人拨备覆盖率和资本充足率进行评分。</w:t>
      </w:r>
    </w:p>
    <w:p w14:paraId="62CFA720">
      <w:pPr>
        <w:pStyle w:val="62"/>
        <w:numPr>
          <w:ilvl w:val="1"/>
          <w:numId w:val="29"/>
        </w:numPr>
        <w:tabs>
          <w:tab w:val="left" w:pos="851"/>
        </w:tabs>
        <w:spacing w:line="360" w:lineRule="auto"/>
        <w:ind w:left="0" w:firstLine="424" w:firstLineChars="202"/>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拨备覆盖率（5分）。按照有效竞标银行上年度法人拨备覆盖率赋分。得分标准为：150%及以上得5分；150%以下、120%及以上，与150%相比每下降一个百分点减0.1分；120%以下，不得分。</w:t>
      </w:r>
    </w:p>
    <w:p w14:paraId="5795AB48">
      <w:pPr>
        <w:pStyle w:val="62"/>
        <w:numPr>
          <w:ilvl w:val="1"/>
          <w:numId w:val="29"/>
        </w:numPr>
        <w:tabs>
          <w:tab w:val="left" w:pos="851"/>
        </w:tabs>
        <w:spacing w:line="360" w:lineRule="auto"/>
        <w:ind w:left="0" w:firstLine="424" w:firstLineChars="202"/>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资本充足率（5分）。按照有效竞标银行上年度法人资本充足率赋分。得分标准为：10.5%及以上得5分；10.5%以下不得分。政策性银行的资本充足率按5分计算。</w:t>
      </w:r>
    </w:p>
    <w:p w14:paraId="18103102">
      <w:pPr>
        <w:adjustRightInd w:val="0"/>
        <w:snapToGrid w:val="0"/>
        <w:spacing w:line="360" w:lineRule="auto"/>
        <w:ind w:firstLine="279" w:firstLineChars="133"/>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（该指标数据由竞标银行提供，资本充足率指标数据由各投标银行提供，在系统内按小数填报【例：0.105】）</w:t>
      </w:r>
    </w:p>
    <w:p w14:paraId="1C08B882">
      <w:pPr>
        <w:pStyle w:val="62"/>
        <w:numPr>
          <w:ilvl w:val="0"/>
          <w:numId w:val="28"/>
        </w:numPr>
        <w:tabs>
          <w:tab w:val="left" w:pos="640"/>
        </w:tabs>
        <w:spacing w:line="360" w:lineRule="auto"/>
        <w:ind w:left="0" w:firstLine="426" w:firstLineChars="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资产质量（12分）。根据有效竞标银行嘉兴市本外币不良贷款率及不良贷款处置率进行评分。</w:t>
      </w:r>
    </w:p>
    <w:p w14:paraId="6F8528E2">
      <w:pPr>
        <w:pStyle w:val="62"/>
        <w:numPr>
          <w:ilvl w:val="0"/>
          <w:numId w:val="29"/>
        </w:numPr>
        <w:adjustRightInd w:val="0"/>
        <w:snapToGrid w:val="0"/>
        <w:spacing w:line="360" w:lineRule="auto"/>
        <w:ind w:firstLineChars="0"/>
        <w:rPr>
          <w:rFonts w:hint="eastAsia" w:cs="仿宋_GB2312" w:asciiTheme="minorEastAsia" w:hAnsiTheme="minorEastAsia" w:eastAsiaTheme="minorEastAsia"/>
          <w:vanish/>
          <w:szCs w:val="21"/>
        </w:rPr>
      </w:pPr>
    </w:p>
    <w:p w14:paraId="1377A0AC">
      <w:pPr>
        <w:pStyle w:val="62"/>
        <w:numPr>
          <w:ilvl w:val="1"/>
          <w:numId w:val="29"/>
        </w:numPr>
        <w:tabs>
          <w:tab w:val="left" w:pos="851"/>
        </w:tabs>
        <w:adjustRightInd w:val="0"/>
        <w:snapToGrid w:val="0"/>
        <w:spacing w:line="360" w:lineRule="auto"/>
        <w:ind w:left="0" w:firstLine="424" w:firstLineChars="202"/>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不良贷款率(4分)。</w:t>
      </w:r>
    </w:p>
    <w:p w14:paraId="19F1B200">
      <w:pPr>
        <w:spacing w:line="360" w:lineRule="auto"/>
        <w:ind w:firstLine="279" w:firstLineChars="133"/>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不良贷款率指标得分=不良贷款率季度得分*0.2+不良贷款率年度得分*0.8。</w:t>
      </w:r>
    </w:p>
    <w:p w14:paraId="5229A201">
      <w:pPr>
        <w:adjustRightInd w:val="0"/>
        <w:snapToGrid w:val="0"/>
        <w:spacing w:line="360" w:lineRule="auto"/>
        <w:ind w:firstLine="279" w:firstLineChars="133"/>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不良贷款率季度得分按照有效竞标银行截至2024年三季度末全市本外币不良贷款率赋分。得分标准为：1.0%及以下得4分；1.0%以上、1.5%及以下的，得3.5分；1.5%以上、2.0%及以下的，得3分；2.0%以上不得分。</w:t>
      </w:r>
    </w:p>
    <w:p w14:paraId="3A81D063">
      <w:pPr>
        <w:adjustRightInd w:val="0"/>
        <w:snapToGrid w:val="0"/>
        <w:spacing w:line="360" w:lineRule="auto"/>
        <w:ind w:firstLine="279" w:firstLineChars="133"/>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不良贷款率年度得分按照竞标银行上年度全市本外币不良贷款率赋分。得分标准为：1.0%及以下得4分；1.0%以上、1.5%及以下的，得3.5分；1.5%以上、2.0%及以下的，得3分；2.0%以上不得分。</w:t>
      </w:r>
    </w:p>
    <w:p w14:paraId="08BC2525">
      <w:pPr>
        <w:pStyle w:val="62"/>
        <w:numPr>
          <w:ilvl w:val="1"/>
          <w:numId w:val="29"/>
        </w:numPr>
        <w:tabs>
          <w:tab w:val="left" w:pos="851"/>
        </w:tabs>
        <w:adjustRightInd w:val="0"/>
        <w:snapToGrid w:val="0"/>
        <w:spacing w:line="360" w:lineRule="auto"/>
        <w:ind w:left="0" w:firstLine="424" w:firstLineChars="202"/>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不良贷款处置率(8分)。</w:t>
      </w:r>
    </w:p>
    <w:p w14:paraId="4643B8A6">
      <w:pPr>
        <w:spacing w:line="360" w:lineRule="auto"/>
        <w:ind w:firstLine="294" w:firstLineChars="14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不良贷款处置率指标得分=不良贷款处置率季度得分*0.2+不良贷款处置率年度得分*0.8。</w:t>
      </w:r>
    </w:p>
    <w:p w14:paraId="1869D933">
      <w:pPr>
        <w:adjustRightInd w:val="0"/>
        <w:snapToGrid w:val="0"/>
        <w:spacing w:line="360" w:lineRule="auto"/>
        <w:ind w:firstLine="424" w:firstLineChars="202"/>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不良贷款处置率季度得分按照有效竞标银行截至2024年三季度末全市不良贷款处置率赋分。得分标准为：70%以上得8分；70%及以下、50%以上的，得7分；50%及以下、40%以上的，得6分；40%及以下、30%以上的，得5分；30%及以下不得分。截至上季度末当年未新发生不良贷款的，不良贷款处置率得8分。</w:t>
      </w:r>
    </w:p>
    <w:p w14:paraId="4BFE4AE1">
      <w:pPr>
        <w:adjustRightInd w:val="0"/>
        <w:snapToGrid w:val="0"/>
        <w:spacing w:line="360" w:lineRule="auto"/>
        <w:ind w:firstLine="424" w:firstLineChars="202"/>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不良贷款处置率年度得分按照竞标银行上年度全市不良贷款处置率赋分。得分标准为：70%以上得8分；70%及以下、50%以上的，得7分；50%及以下、40%以上的，得6分；40%及以下、30%以上的，得5分；30%及以下不得分。截至上季度末当年未新发生不良贷款的，不良贷款处置率得8分。</w:t>
      </w:r>
    </w:p>
    <w:p w14:paraId="4AFA43A1">
      <w:pPr>
        <w:adjustRightInd w:val="0"/>
        <w:snapToGrid w:val="0"/>
        <w:spacing w:line="360" w:lineRule="auto"/>
        <w:ind w:firstLine="279" w:firstLineChars="133"/>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（该指标数据由国家金融监督管理总局嘉兴监管分局提供。）</w:t>
      </w:r>
    </w:p>
    <w:p w14:paraId="48EFB414">
      <w:pPr>
        <w:pStyle w:val="62"/>
        <w:numPr>
          <w:ilvl w:val="0"/>
          <w:numId w:val="28"/>
        </w:numPr>
        <w:tabs>
          <w:tab w:val="left" w:pos="640"/>
        </w:tabs>
        <w:spacing w:line="360" w:lineRule="auto"/>
        <w:ind w:left="0" w:firstLine="426" w:firstLineChars="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运营能力（10分）。根据有效竞标银行上年度在嘉兴市的利润总额和利润增长率进行评分。</w:t>
      </w:r>
    </w:p>
    <w:p w14:paraId="2A7EE5CE">
      <w:pPr>
        <w:pStyle w:val="62"/>
        <w:numPr>
          <w:ilvl w:val="0"/>
          <w:numId w:val="30"/>
        </w:numPr>
        <w:adjustRightInd w:val="0"/>
        <w:snapToGrid w:val="0"/>
        <w:spacing w:line="360" w:lineRule="auto"/>
        <w:ind w:firstLineChars="0"/>
        <w:rPr>
          <w:rFonts w:hint="eastAsia" w:cs="仿宋_GB2312" w:asciiTheme="minorEastAsia" w:hAnsiTheme="minorEastAsia" w:eastAsiaTheme="minorEastAsia"/>
          <w:vanish/>
          <w:szCs w:val="21"/>
        </w:rPr>
      </w:pPr>
    </w:p>
    <w:p w14:paraId="0ECB56C4">
      <w:pPr>
        <w:pStyle w:val="62"/>
        <w:numPr>
          <w:ilvl w:val="0"/>
          <w:numId w:val="30"/>
        </w:numPr>
        <w:adjustRightInd w:val="0"/>
        <w:snapToGrid w:val="0"/>
        <w:spacing w:line="360" w:lineRule="auto"/>
        <w:ind w:firstLineChars="0"/>
        <w:rPr>
          <w:rFonts w:hint="eastAsia" w:cs="仿宋_GB2312" w:asciiTheme="minorEastAsia" w:hAnsiTheme="minorEastAsia" w:eastAsiaTheme="minorEastAsia"/>
          <w:vanish/>
          <w:szCs w:val="21"/>
        </w:rPr>
      </w:pPr>
    </w:p>
    <w:p w14:paraId="438DB7C1">
      <w:pPr>
        <w:pStyle w:val="62"/>
        <w:numPr>
          <w:ilvl w:val="0"/>
          <w:numId w:val="30"/>
        </w:numPr>
        <w:adjustRightInd w:val="0"/>
        <w:snapToGrid w:val="0"/>
        <w:spacing w:line="360" w:lineRule="auto"/>
        <w:ind w:firstLineChars="0"/>
        <w:rPr>
          <w:rFonts w:hint="eastAsia" w:cs="仿宋_GB2312" w:asciiTheme="minorEastAsia" w:hAnsiTheme="minorEastAsia" w:eastAsiaTheme="minorEastAsia"/>
          <w:vanish/>
          <w:szCs w:val="21"/>
        </w:rPr>
      </w:pPr>
    </w:p>
    <w:p w14:paraId="55B2F508">
      <w:pPr>
        <w:pStyle w:val="62"/>
        <w:numPr>
          <w:ilvl w:val="1"/>
          <w:numId w:val="30"/>
        </w:numPr>
        <w:tabs>
          <w:tab w:val="left" w:pos="851"/>
        </w:tabs>
        <w:adjustRightInd w:val="0"/>
        <w:snapToGrid w:val="0"/>
        <w:spacing w:line="360" w:lineRule="auto"/>
        <w:ind w:left="0" w:firstLine="426" w:firstLineChars="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利润总额（8分）。按有效竞标银行上年度全市利润总额由高到低排名，排名第一名的得8分，每递减一名减0.2分，减至0分为止。排名相同时，下一名跳跃排名计分，以下遇有按排名计分的均按此跳跃排名计分。</w:t>
      </w:r>
    </w:p>
    <w:p w14:paraId="4A21B834">
      <w:pPr>
        <w:pStyle w:val="62"/>
        <w:numPr>
          <w:ilvl w:val="1"/>
          <w:numId w:val="30"/>
        </w:numPr>
        <w:tabs>
          <w:tab w:val="left" w:pos="851"/>
        </w:tabs>
        <w:adjustRightInd w:val="0"/>
        <w:snapToGrid w:val="0"/>
        <w:spacing w:line="360" w:lineRule="auto"/>
        <w:ind w:left="0" w:firstLine="426" w:firstLineChars="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利润增长率（2分）。按有效竞标银行上年度全市利润增长率由高到低排名，排名第一名的得2分，每递减一名减0.05分，减至0分为止。</w:t>
      </w:r>
    </w:p>
    <w:p w14:paraId="6E8BA281">
      <w:pPr>
        <w:adjustRightInd w:val="0"/>
        <w:snapToGrid w:val="0"/>
        <w:spacing w:line="360" w:lineRule="auto"/>
        <w:ind w:firstLine="279" w:firstLineChars="133"/>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（该指标数据由国家金融监督管理总局嘉兴监管分局提供。）</w:t>
      </w:r>
    </w:p>
    <w:p w14:paraId="7CEDFDA7">
      <w:pPr>
        <w:pStyle w:val="62"/>
        <w:numPr>
          <w:ilvl w:val="0"/>
          <w:numId w:val="28"/>
        </w:numPr>
        <w:tabs>
          <w:tab w:val="left" w:pos="640"/>
        </w:tabs>
        <w:spacing w:line="360" w:lineRule="auto"/>
        <w:ind w:left="0" w:firstLine="426" w:firstLineChars="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内控水平（8分）。根据人民银行嘉兴市分行上一年度对有效竞标银行综合评价结果进行评分，综合评价为A级的，得8分；综合评价为B+、B、B-级的，分别得7、6、5分。</w:t>
      </w:r>
    </w:p>
    <w:p w14:paraId="067248C1">
      <w:pPr>
        <w:adjustRightInd w:val="0"/>
        <w:snapToGrid w:val="0"/>
        <w:spacing w:line="360" w:lineRule="auto"/>
        <w:ind w:firstLine="279" w:firstLineChars="133"/>
        <w:rPr>
          <w:rFonts w:hint="eastAsia" w:ascii="仿宋_GB2312" w:hAnsi="仿宋_GB2312" w:eastAsia="仿宋_GB2312" w:cs="仿宋_GB2312"/>
          <w:sz w:val="32"/>
          <w:szCs w:val="32"/>
        </w:rPr>
      </w:pPr>
      <w:r>
        <w:rPr>
          <w:rFonts w:hint="eastAsia" w:cs="仿宋_GB2312" w:asciiTheme="minorEastAsia" w:hAnsiTheme="minorEastAsia" w:eastAsiaTheme="minorEastAsia"/>
          <w:szCs w:val="21"/>
        </w:rPr>
        <w:t>（该指标数据由中国人民银行嘉兴市分行提供。）</w:t>
      </w:r>
    </w:p>
    <w:p w14:paraId="41DC9900">
      <w:pPr>
        <w:pStyle w:val="62"/>
        <w:keepNext/>
        <w:keepLines/>
        <w:numPr>
          <w:ilvl w:val="0"/>
          <w:numId w:val="31"/>
        </w:numPr>
        <w:spacing w:line="360" w:lineRule="auto"/>
        <w:ind w:firstLineChars="0"/>
        <w:jc w:val="left"/>
        <w:outlineLvl w:val="1"/>
        <w:rPr>
          <w:rFonts w:hint="eastAsia" w:asciiTheme="minorEastAsia" w:hAnsiTheme="minorEastAsia" w:eastAsiaTheme="minorEastAsia"/>
          <w:b/>
          <w:bCs/>
          <w:vanish/>
          <w:sz w:val="28"/>
          <w:szCs w:val="28"/>
        </w:rPr>
      </w:pPr>
      <w:bookmarkStart w:id="104" w:name="_Toc98019291"/>
    </w:p>
    <w:p w14:paraId="78EBD8AF">
      <w:pPr>
        <w:pStyle w:val="62"/>
        <w:keepNext/>
        <w:keepLines/>
        <w:numPr>
          <w:ilvl w:val="0"/>
          <w:numId w:val="31"/>
        </w:numPr>
        <w:spacing w:line="360" w:lineRule="auto"/>
        <w:ind w:firstLineChars="0"/>
        <w:jc w:val="left"/>
        <w:outlineLvl w:val="1"/>
        <w:rPr>
          <w:rFonts w:hint="eastAsia" w:asciiTheme="minorEastAsia" w:hAnsiTheme="minorEastAsia" w:eastAsiaTheme="minorEastAsia"/>
          <w:b/>
          <w:bCs/>
          <w:vanish/>
          <w:sz w:val="28"/>
          <w:szCs w:val="28"/>
        </w:rPr>
      </w:pPr>
    </w:p>
    <w:p w14:paraId="21EFB043">
      <w:pPr>
        <w:pStyle w:val="3"/>
        <w:numPr>
          <w:ilvl w:val="0"/>
          <w:numId w:val="27"/>
        </w:numPr>
        <w:spacing w:before="0" w:after="0" w:line="360" w:lineRule="auto"/>
        <w:rPr>
          <w:rFonts w:hint="eastAsia" w:asciiTheme="minorEastAsia" w:hAnsiTheme="minorEastAsia" w:eastAsiaTheme="minorEastAsia"/>
          <w:szCs w:val="21"/>
          <w:shd w:val="pct10" w:color="auto" w:fill="FFFFFF"/>
        </w:rPr>
      </w:pPr>
      <w:r>
        <w:rPr>
          <w:rFonts w:hint="eastAsia" w:asciiTheme="minorEastAsia" w:hAnsiTheme="minorEastAsia" w:eastAsiaTheme="minorEastAsia"/>
          <w:szCs w:val="21"/>
          <w:shd w:val="pct10" w:color="auto" w:fill="FFFFFF"/>
        </w:rPr>
        <w:t>经济贡献度指标（满分30分）。</w:t>
      </w:r>
      <w:bookmarkEnd w:id="104"/>
    </w:p>
    <w:p w14:paraId="08AC935E">
      <w:pPr>
        <w:pStyle w:val="3"/>
        <w:numPr>
          <w:ilvl w:val="0"/>
          <w:numId w:val="0"/>
        </w:numPr>
        <w:spacing w:before="0" w:after="0" w:line="360" w:lineRule="auto"/>
        <w:ind w:firstLine="422" w:firstLineChars="201"/>
        <w:rPr>
          <w:rFonts w:hint="eastAsia" w:asciiTheme="minorEastAsia" w:hAnsiTheme="minorEastAsia" w:eastAsiaTheme="minorEastAsia"/>
          <w:szCs w:val="21"/>
          <w:shd w:val="pct10" w:color="auto" w:fill="FFFFFF"/>
        </w:rPr>
      </w:pPr>
      <w:r>
        <w:rPr>
          <w:rFonts w:hint="eastAsia" w:cs="仿宋_GB2312" w:asciiTheme="minorEastAsia" w:hAnsiTheme="minorEastAsia" w:eastAsiaTheme="minorEastAsia"/>
          <w:b w:val="0"/>
          <w:szCs w:val="21"/>
        </w:rPr>
        <w:t>经济贡献度指标设置包括一般公共预算收入指标和支持地方经济发展业绩考评结果应用指标。</w:t>
      </w:r>
    </w:p>
    <w:p w14:paraId="266096D0">
      <w:pPr>
        <w:pStyle w:val="62"/>
        <w:numPr>
          <w:ilvl w:val="1"/>
          <w:numId w:val="32"/>
        </w:numPr>
        <w:tabs>
          <w:tab w:val="left" w:pos="640"/>
        </w:tabs>
        <w:adjustRightInd w:val="0"/>
        <w:snapToGrid w:val="0"/>
        <w:spacing w:line="360" w:lineRule="auto"/>
        <w:ind w:left="0" w:firstLine="426" w:firstLineChars="0"/>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一般公共预算收入指标（18分）。按</w:t>
      </w:r>
      <w:r>
        <w:rPr>
          <w:rFonts w:hint="eastAsia" w:cs="仿宋_GB2312" w:asciiTheme="minorEastAsia" w:hAnsiTheme="minorEastAsia" w:eastAsiaTheme="minorEastAsia"/>
          <w:szCs w:val="21"/>
        </w:rPr>
        <w:t>竞</w:t>
      </w:r>
      <w:r>
        <w:rPr>
          <w:rFonts w:hint="eastAsia" w:cs="仿宋_GB2312" w:asciiTheme="minorEastAsia" w:hAnsiTheme="minorEastAsia" w:eastAsiaTheme="minorEastAsia"/>
          <w:bCs/>
          <w:szCs w:val="21"/>
        </w:rPr>
        <w:t>标银行在经开区截至</w:t>
      </w:r>
      <w:r>
        <w:rPr>
          <w:rFonts w:hint="eastAsia" w:cs="仿宋_GB2312" w:asciiTheme="minorEastAsia" w:hAnsiTheme="minorEastAsia" w:eastAsiaTheme="minorEastAsia"/>
          <w:szCs w:val="21"/>
        </w:rPr>
        <w:t>竞标日上季度末</w:t>
      </w:r>
      <w:r>
        <w:rPr>
          <w:rFonts w:hint="eastAsia" w:cs="仿宋_GB2312" w:asciiTheme="minorEastAsia" w:hAnsiTheme="minorEastAsia" w:eastAsiaTheme="minorEastAsia"/>
          <w:bCs/>
          <w:szCs w:val="21"/>
        </w:rPr>
        <w:t>的当年一般公共预算收入累计数计算，我区无收入的得0分。</w:t>
      </w:r>
    </w:p>
    <w:p w14:paraId="4E0DB325">
      <w:pPr>
        <w:pStyle w:val="62"/>
        <w:numPr>
          <w:ilvl w:val="1"/>
          <w:numId w:val="33"/>
        </w:numPr>
        <w:tabs>
          <w:tab w:val="left" w:pos="993"/>
        </w:tabs>
        <w:adjustRightInd w:val="0"/>
        <w:snapToGrid w:val="0"/>
        <w:spacing w:line="360" w:lineRule="auto"/>
        <w:ind w:left="0" w:firstLine="424" w:firstLineChars="202"/>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一般公共预算收入总量排名得分（5分）：以一般公共预算收入总量最高的竞标银行为第一名得5分，</w:t>
      </w:r>
      <w:r>
        <w:rPr>
          <w:rFonts w:hint="eastAsia" w:cs="仿宋_GB2312" w:asciiTheme="minorEastAsia" w:hAnsiTheme="minorEastAsia" w:eastAsiaTheme="minorEastAsia"/>
          <w:szCs w:val="21"/>
        </w:rPr>
        <w:t>每递减一名减0.2分</w:t>
      </w:r>
      <w:r>
        <w:rPr>
          <w:rFonts w:hint="eastAsia" w:cs="仿宋_GB2312" w:asciiTheme="minorEastAsia" w:hAnsiTheme="minorEastAsia" w:eastAsiaTheme="minorEastAsia"/>
          <w:bCs/>
          <w:szCs w:val="21"/>
        </w:rPr>
        <w:t>，减至0分为止。</w:t>
      </w:r>
    </w:p>
    <w:p w14:paraId="528D4B2E">
      <w:pPr>
        <w:pStyle w:val="62"/>
        <w:numPr>
          <w:ilvl w:val="1"/>
          <w:numId w:val="33"/>
        </w:numPr>
        <w:tabs>
          <w:tab w:val="left" w:pos="993"/>
        </w:tabs>
        <w:adjustRightInd w:val="0"/>
        <w:snapToGrid w:val="0"/>
        <w:spacing w:line="360" w:lineRule="auto"/>
        <w:ind w:left="0" w:firstLine="424" w:firstLineChars="202"/>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一般公共预算收入同比增量排名得分（8分）。以一般公共预算收入同比增量最高的竞标银行为第一名得8分，</w:t>
      </w:r>
      <w:r>
        <w:rPr>
          <w:rFonts w:hint="eastAsia" w:cs="仿宋_GB2312" w:asciiTheme="minorEastAsia" w:hAnsiTheme="minorEastAsia" w:eastAsiaTheme="minorEastAsia"/>
          <w:szCs w:val="21"/>
        </w:rPr>
        <w:t>每递减一名减0.2分</w:t>
      </w:r>
      <w:r>
        <w:rPr>
          <w:rFonts w:hint="eastAsia" w:cs="仿宋_GB2312" w:asciiTheme="minorEastAsia" w:hAnsiTheme="minorEastAsia" w:eastAsiaTheme="minorEastAsia"/>
          <w:bCs/>
          <w:szCs w:val="21"/>
        </w:rPr>
        <w:t>，减至0分为止。</w:t>
      </w:r>
    </w:p>
    <w:p w14:paraId="7611C98E">
      <w:pPr>
        <w:pStyle w:val="62"/>
        <w:numPr>
          <w:ilvl w:val="1"/>
          <w:numId w:val="33"/>
        </w:numPr>
        <w:tabs>
          <w:tab w:val="left" w:pos="993"/>
        </w:tabs>
        <w:adjustRightInd w:val="0"/>
        <w:snapToGrid w:val="0"/>
        <w:spacing w:line="360" w:lineRule="auto"/>
        <w:ind w:left="0" w:firstLine="424" w:firstLineChars="202"/>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一般公共预算收入同比增幅排名得分（5分）。以一般公共预算收入同比增幅最高的竞标银行为第一名得5分，</w:t>
      </w:r>
      <w:r>
        <w:rPr>
          <w:rFonts w:hint="eastAsia" w:cs="仿宋_GB2312" w:asciiTheme="minorEastAsia" w:hAnsiTheme="minorEastAsia" w:eastAsiaTheme="minorEastAsia"/>
          <w:szCs w:val="21"/>
        </w:rPr>
        <w:t>每递减一名减0.2分</w:t>
      </w:r>
      <w:r>
        <w:rPr>
          <w:rFonts w:hint="eastAsia" w:cs="仿宋_GB2312" w:asciiTheme="minorEastAsia" w:hAnsiTheme="minorEastAsia" w:eastAsiaTheme="minorEastAsia"/>
          <w:bCs/>
          <w:szCs w:val="21"/>
        </w:rPr>
        <w:t>，减至0分为止。</w:t>
      </w:r>
    </w:p>
    <w:p w14:paraId="3AD965C2">
      <w:pPr>
        <w:adjustRightInd w:val="0"/>
        <w:snapToGrid w:val="0"/>
        <w:spacing w:line="360" w:lineRule="auto"/>
        <w:ind w:firstLine="279" w:firstLineChars="133"/>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（一般公共预算收入数指标数据由区财政金融部提供）</w:t>
      </w:r>
    </w:p>
    <w:p w14:paraId="5827B444">
      <w:pPr>
        <w:pStyle w:val="62"/>
        <w:numPr>
          <w:ilvl w:val="1"/>
          <w:numId w:val="32"/>
        </w:numPr>
        <w:tabs>
          <w:tab w:val="left" w:pos="640"/>
        </w:tabs>
        <w:adjustRightInd w:val="0"/>
        <w:snapToGrid w:val="0"/>
        <w:spacing w:line="360" w:lineRule="auto"/>
        <w:ind w:left="0" w:firstLine="426" w:firstLineChars="0"/>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支持地方经济发展业绩考评结果应用指标（12分）。根据上年度市本级银行业金融机构支持地方经济发展业绩的考评结果进行评分。得分标准为：以考评得分最高的竞标银行为第一名得12分；每递减一名减0.5分，减至0分为止。</w:t>
      </w:r>
    </w:p>
    <w:p w14:paraId="3C52284E">
      <w:pPr>
        <w:adjustRightInd w:val="0"/>
        <w:snapToGrid w:val="0"/>
        <w:spacing w:line="360" w:lineRule="auto"/>
        <w:ind w:firstLine="279" w:firstLineChars="133"/>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（该指标数据由市人民政府办公室提供。）</w:t>
      </w:r>
    </w:p>
    <w:p w14:paraId="0BA3C326">
      <w:pPr>
        <w:pStyle w:val="3"/>
        <w:numPr>
          <w:ilvl w:val="0"/>
          <w:numId w:val="27"/>
        </w:numPr>
        <w:spacing w:before="0" w:after="0" w:line="360" w:lineRule="auto"/>
        <w:rPr>
          <w:rFonts w:hint="eastAsia" w:asciiTheme="minorEastAsia" w:hAnsiTheme="minorEastAsia" w:eastAsiaTheme="minorEastAsia"/>
          <w:szCs w:val="21"/>
          <w:shd w:val="pct10" w:color="auto" w:fill="FFFFFF"/>
        </w:rPr>
      </w:pPr>
      <w:bookmarkStart w:id="105" w:name="_Toc98019292"/>
      <w:r>
        <w:rPr>
          <w:rFonts w:hint="eastAsia" w:asciiTheme="minorEastAsia" w:hAnsiTheme="minorEastAsia" w:eastAsiaTheme="minorEastAsia"/>
          <w:szCs w:val="21"/>
          <w:shd w:val="pct10" w:color="auto" w:fill="FFFFFF"/>
        </w:rPr>
        <w:t>服务水平项目指标（满分15分）。</w:t>
      </w:r>
      <w:bookmarkEnd w:id="105"/>
    </w:p>
    <w:p w14:paraId="58A4930B">
      <w:pPr>
        <w:pStyle w:val="62"/>
        <w:tabs>
          <w:tab w:val="left" w:pos="0"/>
          <w:tab w:val="left" w:pos="709"/>
          <w:tab w:val="left" w:pos="2160"/>
          <w:tab w:val="left" w:pos="2880"/>
          <w:tab w:val="left" w:pos="3600"/>
          <w:tab w:val="left" w:pos="4320"/>
        </w:tabs>
        <w:autoSpaceDE w:val="0"/>
        <w:autoSpaceDN w:val="0"/>
        <w:adjustRightInd w:val="0"/>
        <w:spacing w:line="360" w:lineRule="auto"/>
        <w:ind w:firstLine="422" w:firstLineChars="201"/>
        <w:rPr>
          <w:rFonts w:hint="eastAsia" w:asciiTheme="minorEastAsia" w:hAnsiTheme="minorEastAsia" w:eastAsiaTheme="minorEastAsia"/>
          <w:szCs w:val="21"/>
        </w:rPr>
      </w:pPr>
      <w:r>
        <w:rPr>
          <w:rFonts w:hint="eastAsia" w:asciiTheme="minorEastAsia" w:hAnsiTheme="minorEastAsia" w:eastAsiaTheme="minorEastAsia"/>
          <w:szCs w:val="21"/>
        </w:rPr>
        <w:t>服务水平项目指标（满分15分）。主要为资金存放银行提供服务的能力和水平，以及以往提供服务履约等方面的情况。根据我区《商业银行服务质量季度考评制度》，以有效竞标银行截至竞标日的上一季度考评得分从高到低排序，最高的得15分，每递减一名减1分，减至0分为止。</w:t>
      </w:r>
    </w:p>
    <w:p w14:paraId="4F2C8813">
      <w:pPr>
        <w:pStyle w:val="62"/>
        <w:tabs>
          <w:tab w:val="left" w:pos="0"/>
          <w:tab w:val="left" w:pos="709"/>
          <w:tab w:val="left" w:pos="2160"/>
          <w:tab w:val="left" w:pos="2880"/>
          <w:tab w:val="left" w:pos="3600"/>
          <w:tab w:val="left" w:pos="4320"/>
        </w:tabs>
        <w:autoSpaceDE w:val="0"/>
        <w:autoSpaceDN w:val="0"/>
        <w:adjustRightInd w:val="0"/>
        <w:spacing w:line="360" w:lineRule="auto"/>
        <w:ind w:firstLine="422" w:firstLineChars="201"/>
        <w:rPr>
          <w:rFonts w:hint="eastAsia" w:asciiTheme="minorEastAsia" w:hAnsiTheme="minorEastAsia" w:eastAsiaTheme="minorEastAsia"/>
          <w:szCs w:val="21"/>
        </w:rPr>
      </w:pPr>
      <w:r>
        <w:rPr>
          <w:rFonts w:hint="eastAsia" w:asciiTheme="minorEastAsia" w:hAnsiTheme="minorEastAsia" w:eastAsiaTheme="minorEastAsia"/>
          <w:szCs w:val="21"/>
        </w:rPr>
        <w:t>（商业银行服务质量评分表由区财政金融部汇总后提供。）</w:t>
      </w:r>
    </w:p>
    <w:p w14:paraId="6238924A">
      <w:pPr>
        <w:pStyle w:val="3"/>
        <w:numPr>
          <w:ilvl w:val="0"/>
          <w:numId w:val="27"/>
        </w:numPr>
        <w:spacing w:before="0" w:after="0" w:line="360" w:lineRule="auto"/>
        <w:rPr>
          <w:rFonts w:hint="eastAsia" w:asciiTheme="minorEastAsia" w:hAnsiTheme="minorEastAsia" w:eastAsiaTheme="minorEastAsia"/>
          <w:szCs w:val="21"/>
          <w:shd w:val="pct10" w:color="auto" w:fill="FFFFFF"/>
        </w:rPr>
      </w:pPr>
      <w:r>
        <w:rPr>
          <w:rFonts w:hint="eastAsia" w:asciiTheme="minorEastAsia" w:hAnsiTheme="minorEastAsia" w:eastAsiaTheme="minorEastAsia"/>
          <w:szCs w:val="21"/>
          <w:shd w:val="pct10" w:color="auto" w:fill="FFFFFF"/>
        </w:rPr>
        <w:t>加分扣分项。根据区有关政策执行。</w:t>
      </w:r>
    </w:p>
    <w:p w14:paraId="017388EF">
      <w:pPr>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加分项（分值1-5分）：对因资金问题可能产生较严重涉稳后果的企业，相关投标银行在区党工委、管委会的协调要求下给予信贷支持助力渡难关，推动矛盾化解，促进转型发展的，由区相关部门提出加分意见。</w:t>
      </w:r>
    </w:p>
    <w:p w14:paraId="6F9761A0">
      <w:pPr>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扣分项（分值1-5分）（如有扣分， 在服务水平项目指标内进行扣分，扣完为止）：相关投标银行发生抽贷、压贷或不配合区党工委、管委会中心工作，导致企业出现资金风险，造成较大影响的，由区相关部门提出扣分意见。</w:t>
      </w:r>
    </w:p>
    <w:p w14:paraId="33C82D48">
      <w:pPr>
        <w:pStyle w:val="62"/>
        <w:tabs>
          <w:tab w:val="left" w:pos="0"/>
          <w:tab w:val="left" w:pos="709"/>
          <w:tab w:val="left" w:pos="2160"/>
          <w:tab w:val="left" w:pos="2880"/>
          <w:tab w:val="left" w:pos="3600"/>
          <w:tab w:val="left" w:pos="4320"/>
        </w:tabs>
        <w:autoSpaceDE w:val="0"/>
        <w:autoSpaceDN w:val="0"/>
        <w:adjustRightInd w:val="0"/>
        <w:spacing w:line="360" w:lineRule="auto"/>
        <w:ind w:firstLine="422" w:firstLineChars="201"/>
        <w:rPr>
          <w:rFonts w:hint="eastAsia" w:asciiTheme="minorEastAsia" w:hAnsiTheme="minorEastAsia" w:eastAsiaTheme="minorEastAsia"/>
          <w:szCs w:val="21"/>
        </w:rPr>
      </w:pPr>
      <w:r>
        <w:rPr>
          <w:rFonts w:hint="eastAsia" w:asciiTheme="minorEastAsia" w:hAnsiTheme="minorEastAsia" w:eastAsiaTheme="minorEastAsia"/>
          <w:szCs w:val="21"/>
        </w:rPr>
        <w:t>此项数据由区相关部门于开标前三个工作日将区党工委、管委会批准的加分、扣分意见提供给区财政金融部，由区财政金融部统一提供给评委组。</w:t>
      </w:r>
    </w:p>
    <w:p w14:paraId="0CD0DF49">
      <w:pPr>
        <w:adjustRightInd w:val="0"/>
        <w:snapToGrid w:val="0"/>
        <w:spacing w:line="540" w:lineRule="exact"/>
        <w:ind w:firstLine="426"/>
        <w:rPr>
          <w:rFonts w:hint="eastAsia" w:ascii="宋体" w:hAnsi="宋体"/>
          <w:szCs w:val="21"/>
          <w:shd w:val="pct10" w:color="auto" w:fill="FFFFFF"/>
        </w:rPr>
      </w:pPr>
      <w:r>
        <w:rPr>
          <w:rFonts w:hint="eastAsia" w:ascii="宋体" w:hAnsi="宋体"/>
          <w:szCs w:val="21"/>
          <w:shd w:val="pct10" w:color="auto" w:fill="FFFFFF"/>
        </w:rPr>
        <w:t>注：以上评分办法中的上年度评分指标资料适用周期为：本年第二季度至下年度第一季度。</w:t>
      </w:r>
    </w:p>
    <w:p w14:paraId="23834773">
      <w:pPr>
        <w:pStyle w:val="4"/>
        <w:numPr>
          <w:ilvl w:val="0"/>
          <w:numId w:val="26"/>
        </w:numPr>
        <w:ind w:firstLineChars="0"/>
        <w:rPr>
          <w:rFonts w:hint="eastAsia" w:asciiTheme="minorEastAsia" w:hAnsiTheme="minorEastAsia" w:eastAsiaTheme="minorEastAsia"/>
        </w:rPr>
      </w:pPr>
      <w:bookmarkStart w:id="106" w:name="_Toc98019293"/>
      <w:r>
        <w:rPr>
          <w:rFonts w:hint="eastAsia" w:asciiTheme="minorEastAsia" w:hAnsiTheme="minorEastAsia" w:eastAsiaTheme="minorEastAsia"/>
        </w:rPr>
        <w:t>中标规则：</w:t>
      </w:r>
      <w:bookmarkEnd w:id="106"/>
    </w:p>
    <w:p w14:paraId="729ED7B9">
      <w:pPr>
        <w:adjustRightInd w:val="0"/>
        <w:snapToGrid w:val="0"/>
        <w:spacing w:line="360" w:lineRule="auto"/>
        <w:ind w:firstLine="424" w:firstLineChars="202"/>
        <w:rPr>
          <w:rFonts w:hint="eastAsia" w:asciiTheme="minorEastAsia" w:hAnsiTheme="minorEastAsia" w:eastAsiaTheme="minorEastAsia"/>
          <w:szCs w:val="21"/>
        </w:rPr>
      </w:pPr>
      <w:bookmarkStart w:id="107" w:name="_Toc9342496"/>
      <w:bookmarkStart w:id="108" w:name="_Toc11650186"/>
      <w:r>
        <w:rPr>
          <w:rFonts w:hint="eastAsia" w:asciiTheme="minorEastAsia" w:hAnsiTheme="minorEastAsia" w:eastAsiaTheme="minorEastAsia"/>
          <w:szCs w:val="21"/>
        </w:rPr>
        <w:t>（一）确定中标额时，遇有投标银行投标时已申明放弃中标额、中标银行无法正常履行存放业务或实际有效投标银行少于中标银行数量的，中标银行正常分配后的剩余额由没有申明放弃的得分最高的银行中标（按得分计算的中标金额以外增加的中标）。</w:t>
      </w:r>
    </w:p>
    <w:p w14:paraId="596892C5">
      <w:pPr>
        <w:pStyle w:val="62"/>
        <w:adjustRightInd w:val="0"/>
        <w:snapToGrid w:val="0"/>
        <w:spacing w:line="360" w:lineRule="auto"/>
        <w:ind w:firstLine="424" w:firstLineChars="202"/>
        <w:rPr>
          <w:rFonts w:hint="eastAsia" w:asciiTheme="minorEastAsia" w:hAnsiTheme="minorEastAsia" w:eastAsiaTheme="minorEastAsia"/>
        </w:rPr>
        <w:sectPr>
          <w:pgSz w:w="11907" w:h="16840"/>
          <w:pgMar w:top="1440" w:right="1797" w:bottom="1440" w:left="1843" w:header="851" w:footer="851" w:gutter="0"/>
          <w:cols w:space="425" w:num="1"/>
          <w:titlePg/>
          <w:docGrid w:type="lines" w:linePitch="312" w:charSpace="0"/>
        </w:sectPr>
      </w:pPr>
      <w:r>
        <w:rPr>
          <w:rFonts w:hint="eastAsia" w:asciiTheme="minorEastAsia" w:hAnsiTheme="minorEastAsia" w:eastAsiaTheme="minorEastAsia"/>
          <w:szCs w:val="21"/>
        </w:rPr>
        <w:t>（二）发生上述以外情况时，根据高得分优先的原则确定。</w:t>
      </w:r>
      <w:r>
        <w:rPr>
          <w:rFonts w:asciiTheme="minorEastAsia" w:hAnsiTheme="minorEastAsia" w:eastAsiaTheme="minorEastAsia"/>
        </w:rPr>
        <w:br w:type="page"/>
      </w:r>
    </w:p>
    <w:p w14:paraId="7EE14506">
      <w:pPr>
        <w:pStyle w:val="36"/>
        <w:spacing w:line="360" w:lineRule="auto"/>
        <w:rPr>
          <w:rFonts w:hint="eastAsia" w:asciiTheme="minorEastAsia" w:hAnsiTheme="minorEastAsia" w:eastAsiaTheme="minorEastAsia"/>
        </w:rPr>
      </w:pPr>
      <w:bookmarkStart w:id="109" w:name="_Toc98019294"/>
      <w:r>
        <w:rPr>
          <w:rFonts w:hint="eastAsia" w:asciiTheme="minorEastAsia" w:hAnsiTheme="minorEastAsia" w:eastAsiaTheme="minorEastAsia"/>
        </w:rPr>
        <w:t>第五章 协议主要条款</w:t>
      </w:r>
      <w:bookmarkEnd w:id="107"/>
      <w:bookmarkEnd w:id="108"/>
      <w:bookmarkEnd w:id="109"/>
    </w:p>
    <w:p w14:paraId="4D85CA43">
      <w:pPr>
        <w:spacing w:line="400" w:lineRule="exact"/>
        <w:jc w:val="center"/>
        <w:rPr>
          <w:rFonts w:hint="eastAsia" w:ascii="宋体" w:hAnsi="宋体"/>
          <w:b/>
          <w:sz w:val="32"/>
          <w:szCs w:val="32"/>
        </w:rPr>
      </w:pPr>
      <w:bookmarkStart w:id="110" w:name="_Toc11650187"/>
      <w:bookmarkStart w:id="111" w:name="_Toc98019295"/>
      <w:bookmarkStart w:id="112" w:name="_Toc9342497"/>
      <w:bookmarkStart w:id="113" w:name="_Toc11650188"/>
      <w:r>
        <w:rPr>
          <w:rFonts w:hint="eastAsia" w:ascii="宋体" w:hAnsi="宋体"/>
          <w:b/>
          <w:sz w:val="32"/>
          <w:szCs w:val="32"/>
        </w:rPr>
        <w:t>定期存款协议</w:t>
      </w:r>
      <w:bookmarkEnd w:id="110"/>
      <w:bookmarkEnd w:id="111"/>
      <w:bookmarkEnd w:id="112"/>
      <w:r>
        <w:rPr>
          <w:rFonts w:hint="eastAsia" w:ascii="宋体" w:hAnsi="宋体"/>
          <w:b/>
          <w:sz w:val="32"/>
          <w:szCs w:val="32"/>
        </w:rPr>
        <w:t>（样本）</w:t>
      </w:r>
    </w:p>
    <w:p w14:paraId="02EA2D18">
      <w:pPr>
        <w:spacing w:line="360" w:lineRule="auto"/>
        <w:rPr>
          <w:rFonts w:hint="eastAsia" w:ascii="宋体" w:hAnsi="宋体"/>
          <w:szCs w:val="21"/>
        </w:rPr>
      </w:pPr>
      <w:r>
        <w:rPr>
          <w:rFonts w:hint="eastAsia" w:ascii="宋体" w:hAnsi="宋体"/>
          <w:szCs w:val="21"/>
        </w:rPr>
        <w:t>甲方（单位）：</w:t>
      </w:r>
      <w:r>
        <w:rPr>
          <w:rFonts w:ascii="宋体" w:hAnsi="宋体"/>
          <w:szCs w:val="21"/>
        </w:rPr>
        <w:t xml:space="preserve"> </w:t>
      </w:r>
    </w:p>
    <w:p w14:paraId="32712958">
      <w:pPr>
        <w:spacing w:line="360" w:lineRule="auto"/>
        <w:rPr>
          <w:rFonts w:hint="eastAsia" w:ascii="宋体" w:hAnsi="宋体"/>
          <w:szCs w:val="21"/>
        </w:rPr>
      </w:pPr>
      <w:r>
        <w:rPr>
          <w:rFonts w:hint="eastAsia" w:ascii="宋体" w:hAnsi="宋体"/>
          <w:szCs w:val="21"/>
        </w:rPr>
        <w:t xml:space="preserve">乙方（银行）： </w:t>
      </w:r>
    </w:p>
    <w:p w14:paraId="285741D2">
      <w:pPr>
        <w:spacing w:line="360" w:lineRule="auto"/>
        <w:ind w:firstLine="424" w:firstLineChars="202"/>
        <w:rPr>
          <w:rFonts w:hint="eastAsia" w:ascii="宋体" w:hAnsi="宋体"/>
          <w:szCs w:val="21"/>
        </w:rPr>
      </w:pPr>
      <w:r>
        <w:rPr>
          <w:rFonts w:hint="eastAsia" w:asciiTheme="minorEastAsia" w:hAnsiTheme="minorEastAsia" w:eastAsiaTheme="minorEastAsia"/>
          <w:szCs w:val="21"/>
        </w:rPr>
        <w:t>根据《中华人民共和国商业银行法》、</w:t>
      </w:r>
      <w:r>
        <w:rPr>
          <w:rFonts w:hint="eastAsia" w:asciiTheme="minorEastAsia" w:hAnsiTheme="minorEastAsia" w:eastAsiaTheme="minorEastAsia"/>
          <w:kern w:val="0"/>
          <w:szCs w:val="21"/>
        </w:rPr>
        <w:t>《中华人民共和国民法典合同编》、</w:t>
      </w:r>
      <w:r>
        <w:rPr>
          <w:rFonts w:hint="eastAsia" w:asciiTheme="minorEastAsia" w:hAnsiTheme="minorEastAsia" w:eastAsiaTheme="minorEastAsia"/>
          <w:szCs w:val="21"/>
        </w:rPr>
        <w:t>《嘉兴经济技术开发区、嘉兴国际商务区区级财政部门和预算单位资金存放管理实施办法》（嘉开财〔2018〕152号）等规定，以及202</w:t>
      </w:r>
      <w:r>
        <w:rPr>
          <w:rFonts w:asciiTheme="minorEastAsia" w:hAnsiTheme="minorEastAsia" w:eastAsiaTheme="minorEastAsia"/>
          <w:szCs w:val="21"/>
        </w:rPr>
        <w:t>4</w:t>
      </w:r>
      <w:r>
        <w:rPr>
          <w:rFonts w:hint="eastAsia" w:asciiTheme="minorEastAsia" w:hAnsiTheme="minorEastAsia" w:eastAsiaTheme="minorEastAsia"/>
          <w:szCs w:val="21"/>
        </w:rPr>
        <w:t>年(第五期)嘉兴经济技术开发区公共资金竞争性存放项目评标结果，签订定期存款协议如下</w:t>
      </w:r>
      <w:r>
        <w:rPr>
          <w:rFonts w:hint="eastAsia" w:ascii="宋体" w:hAnsi="宋体"/>
          <w:szCs w:val="21"/>
        </w:rPr>
        <w:t>：</w:t>
      </w:r>
    </w:p>
    <w:p w14:paraId="6D2A8A2F">
      <w:pPr>
        <w:spacing w:line="360" w:lineRule="auto"/>
        <w:ind w:firstLine="420" w:firstLineChars="200"/>
        <w:rPr>
          <w:rFonts w:hint="eastAsia" w:ascii="宋体" w:hAnsi="宋体"/>
          <w:szCs w:val="21"/>
        </w:rPr>
      </w:pPr>
      <w:bookmarkStart w:id="114" w:name="_Hlk120391308"/>
      <w:r>
        <w:rPr>
          <w:rFonts w:hint="eastAsia" w:ascii="宋体" w:hAnsi="宋体"/>
          <w:szCs w:val="21"/>
        </w:rPr>
        <w:t>一、</w:t>
      </w:r>
      <w:r>
        <w:rPr>
          <w:rFonts w:hint="eastAsia" w:asciiTheme="minorEastAsia" w:hAnsiTheme="minorEastAsia" w:eastAsiaTheme="minorEastAsia"/>
          <w:szCs w:val="21"/>
        </w:rPr>
        <w:t>甲乙双方应当在《中标通知书》发出之日起30日内</w:t>
      </w:r>
      <w:r>
        <w:rPr>
          <w:rFonts w:hint="eastAsia" w:ascii="宋体" w:hAnsi="宋体"/>
          <w:szCs w:val="21"/>
        </w:rPr>
        <w:t>，</w:t>
      </w:r>
      <w:r>
        <w:rPr>
          <w:rFonts w:hint="eastAsia" w:asciiTheme="minorEastAsia" w:hAnsiTheme="minorEastAsia" w:eastAsiaTheme="minorEastAsia"/>
          <w:szCs w:val="21"/>
        </w:rPr>
        <w:t>签订本定期存款协议并完成划款和提供定期存款证实书</w:t>
      </w:r>
      <w:r>
        <w:rPr>
          <w:rFonts w:hint="eastAsia" w:ascii="宋体" w:hAnsi="宋体"/>
          <w:szCs w:val="21"/>
        </w:rPr>
        <w:t>。</w:t>
      </w:r>
    </w:p>
    <w:p w14:paraId="08144C8E">
      <w:pPr>
        <w:adjustRightInd w:val="0"/>
        <w:snapToGrid w:val="0"/>
        <w:spacing w:line="360" w:lineRule="auto"/>
        <w:ind w:firstLine="420" w:firstLineChars="200"/>
        <w:rPr>
          <w:rFonts w:hint="eastAsia" w:ascii="宋体" w:hAnsi="宋体"/>
          <w:szCs w:val="21"/>
        </w:rPr>
      </w:pPr>
      <w:r>
        <w:rPr>
          <w:rFonts w:hint="eastAsia" w:ascii="宋体" w:hAnsi="宋体"/>
          <w:szCs w:val="21"/>
        </w:rPr>
        <w:t>二、</w:t>
      </w:r>
      <w:r>
        <w:rPr>
          <w:rFonts w:hint="eastAsia" w:asciiTheme="minorEastAsia" w:hAnsiTheme="minorEastAsia" w:eastAsiaTheme="minorEastAsia"/>
          <w:szCs w:val="21"/>
        </w:rPr>
        <w:t>甲方向乙方划拨</w:t>
      </w:r>
      <w:r>
        <w:rPr>
          <w:rFonts w:hint="eastAsia" w:asciiTheme="minorEastAsia" w:hAnsiTheme="minorEastAsia" w:eastAsiaTheme="minorEastAsia"/>
          <w:szCs w:val="21"/>
          <w:u w:val="single"/>
        </w:rPr>
        <w:t>_3</w:t>
      </w:r>
      <w:r>
        <w:rPr>
          <w:rFonts w:hint="eastAsia" w:asciiTheme="minorEastAsia" w:hAnsiTheme="minorEastAsia" w:eastAsiaTheme="minorEastAsia"/>
          <w:szCs w:val="21"/>
        </w:rPr>
        <w:t>_个月存期存款资金</w:t>
      </w:r>
      <w:r>
        <w:rPr>
          <w:rFonts w:hint="eastAsia" w:asciiTheme="minorEastAsia" w:hAnsiTheme="minorEastAsia" w:eastAsiaTheme="minorEastAsia"/>
          <w:szCs w:val="21"/>
          <w:u w:val="single"/>
        </w:rPr>
        <w:t>（大写）</w:t>
      </w:r>
      <w:r>
        <w:rPr>
          <w:rFonts w:hint="eastAsia" w:asciiTheme="minorEastAsia" w:hAnsiTheme="minorEastAsia" w:eastAsiaTheme="minorEastAsia"/>
          <w:szCs w:val="21"/>
        </w:rPr>
        <w:t>元（￥_____元），存期自____年____月____日至____年____月____日，年利率按____%执行</w:t>
      </w:r>
      <w:r>
        <w:rPr>
          <w:rFonts w:hint="eastAsia" w:ascii="宋体" w:hAnsi="宋体"/>
          <w:sz w:val="22"/>
          <w:szCs w:val="22"/>
        </w:rPr>
        <w:t>。</w:t>
      </w:r>
    </w:p>
    <w:bookmarkEnd w:id="114"/>
    <w:p w14:paraId="67B8F0A9">
      <w:pPr>
        <w:spacing w:line="360" w:lineRule="auto"/>
        <w:ind w:firstLine="420" w:firstLineChars="200"/>
        <w:rPr>
          <w:rFonts w:hint="eastAsia" w:ascii="宋体" w:hAnsi="宋体"/>
          <w:szCs w:val="21"/>
        </w:rPr>
      </w:pPr>
      <w:r>
        <w:rPr>
          <w:rFonts w:hint="eastAsia" w:ascii="宋体" w:hAnsi="宋体"/>
          <w:szCs w:val="21"/>
        </w:rPr>
        <w:t>三、</w:t>
      </w:r>
      <w:r>
        <w:rPr>
          <w:rFonts w:hint="eastAsia" w:asciiTheme="minorEastAsia" w:hAnsiTheme="minorEastAsia" w:eastAsiaTheme="minorEastAsia"/>
          <w:szCs w:val="21"/>
        </w:rPr>
        <w:t>乙方应于收到甲方划拨存款资金日，开具定期存款证实书。定期存款证实书至少应载明：存款单位全称、存款金额、存款期限、存款日期（记息起始日期）、利息率（年利率/月利率）、盖章，并且定期存款证实书必须为机器打印不得手写和涂改</w:t>
      </w:r>
      <w:r>
        <w:rPr>
          <w:rFonts w:hint="eastAsia" w:ascii="宋体" w:hAnsi="宋体"/>
          <w:szCs w:val="21"/>
        </w:rPr>
        <w:t>。</w:t>
      </w:r>
    </w:p>
    <w:p w14:paraId="3CFFF2DB">
      <w:pPr>
        <w:spacing w:line="360" w:lineRule="auto"/>
        <w:ind w:firstLine="420" w:firstLineChars="200"/>
        <w:rPr>
          <w:rFonts w:hint="eastAsia" w:ascii="宋体" w:hAnsi="宋体"/>
          <w:szCs w:val="21"/>
        </w:rPr>
      </w:pPr>
      <w:r>
        <w:rPr>
          <w:rFonts w:hint="eastAsia" w:ascii="宋体" w:hAnsi="宋体"/>
          <w:szCs w:val="21"/>
        </w:rPr>
        <w:t>四、</w:t>
      </w:r>
      <w:r>
        <w:rPr>
          <w:rFonts w:hint="eastAsia" w:asciiTheme="minorEastAsia" w:hAnsiTheme="minorEastAsia" w:eastAsiaTheme="minorEastAsia"/>
          <w:szCs w:val="21"/>
        </w:rPr>
        <w:t>定期存款到期日，甲方应持定期存款证实书等资料向乙方办理定期存款兑付手续，将存款本息划回甲方原存款银行结算账户。遇有双休日或节假日时顺延</w:t>
      </w:r>
      <w:r>
        <w:rPr>
          <w:rFonts w:hint="eastAsia" w:ascii="宋体" w:hAnsi="宋体"/>
          <w:szCs w:val="21"/>
        </w:rPr>
        <w:t>。</w:t>
      </w:r>
    </w:p>
    <w:p w14:paraId="231CBD5B">
      <w:pPr>
        <w:spacing w:line="360" w:lineRule="auto"/>
        <w:rPr>
          <w:rFonts w:hint="eastAsia" w:ascii="宋体" w:hAnsi="宋体"/>
          <w:szCs w:val="21"/>
        </w:rPr>
      </w:pPr>
      <w:r>
        <w:rPr>
          <w:rFonts w:hint="eastAsia" w:ascii="宋体" w:hAnsi="宋体"/>
          <w:szCs w:val="21"/>
        </w:rPr>
        <w:t>　　五、</w:t>
      </w:r>
      <w:r>
        <w:rPr>
          <w:rFonts w:hint="eastAsia" w:asciiTheme="minorEastAsia" w:hAnsiTheme="minorEastAsia" w:eastAsiaTheme="minorEastAsia"/>
          <w:szCs w:val="21"/>
        </w:rPr>
        <w:t>协议履行期间，有证据证明乙方出现以下情形之一的，甲方有权终止协议，提前收回存款并追究乙方责任</w:t>
      </w:r>
      <w:r>
        <w:rPr>
          <w:rFonts w:hint="eastAsia" w:ascii="宋体" w:hAnsi="宋体"/>
          <w:szCs w:val="21"/>
        </w:rPr>
        <w:t>：</w:t>
      </w:r>
    </w:p>
    <w:p w14:paraId="66FC2564">
      <w:pPr>
        <w:spacing w:line="360" w:lineRule="auto"/>
        <w:ind w:firstLine="411" w:firstLineChars="196"/>
        <w:rPr>
          <w:rFonts w:hint="eastAsia" w:ascii="宋体" w:hAnsi="宋体"/>
          <w:szCs w:val="21"/>
        </w:rPr>
      </w:pPr>
      <w:r>
        <w:rPr>
          <w:rFonts w:hint="eastAsia" w:ascii="宋体" w:hAnsi="宋体"/>
          <w:szCs w:val="21"/>
        </w:rPr>
        <w:t>（一）未遵守廉政承诺或在资金存放中存在其他利益输送行为的；</w:t>
      </w:r>
    </w:p>
    <w:p w14:paraId="1A82E13B">
      <w:pPr>
        <w:spacing w:line="360" w:lineRule="auto"/>
        <w:ind w:firstLine="411" w:firstLineChars="196"/>
        <w:rPr>
          <w:rFonts w:hint="eastAsia" w:ascii="宋体" w:hAnsi="宋体"/>
          <w:szCs w:val="21"/>
        </w:rPr>
      </w:pPr>
      <w:r>
        <w:rPr>
          <w:rFonts w:hint="eastAsia" w:ascii="宋体" w:hAnsi="宋体"/>
          <w:szCs w:val="21"/>
        </w:rPr>
        <w:t>（二）出现资金安全事故、重大违法违规情况或财务恶化的；</w:t>
      </w:r>
    </w:p>
    <w:p w14:paraId="43BFD9B3">
      <w:pPr>
        <w:spacing w:line="360" w:lineRule="auto"/>
        <w:ind w:firstLine="411" w:firstLineChars="196"/>
        <w:rPr>
          <w:rFonts w:hint="eastAsia" w:ascii="宋体" w:hAnsi="宋体"/>
          <w:szCs w:val="21"/>
        </w:rPr>
      </w:pPr>
      <w:r>
        <w:rPr>
          <w:rFonts w:hint="eastAsia" w:ascii="宋体" w:hAnsi="宋体"/>
          <w:szCs w:val="21"/>
        </w:rPr>
        <w:t>（三）监管评级降低，监管部门认为存在较大运营风险的；</w:t>
      </w:r>
    </w:p>
    <w:p w14:paraId="376E083A">
      <w:pPr>
        <w:spacing w:line="360" w:lineRule="auto"/>
        <w:ind w:firstLine="411" w:firstLineChars="196"/>
        <w:rPr>
          <w:rFonts w:hint="eastAsia" w:ascii="宋体" w:hAnsi="宋体"/>
          <w:szCs w:val="21"/>
        </w:rPr>
      </w:pPr>
      <w:r>
        <w:rPr>
          <w:rFonts w:hint="eastAsia" w:ascii="宋体" w:hAnsi="宋体"/>
          <w:szCs w:val="21"/>
        </w:rPr>
        <w:t>（四）存在弄虚作假等严重不正当竞标行为的；</w:t>
      </w:r>
    </w:p>
    <w:p w14:paraId="7D3E5A68">
      <w:pPr>
        <w:spacing w:line="360" w:lineRule="auto"/>
        <w:ind w:firstLine="411" w:firstLineChars="196"/>
        <w:rPr>
          <w:rFonts w:hint="eastAsia" w:ascii="宋体" w:hAnsi="宋体"/>
          <w:szCs w:val="21"/>
        </w:rPr>
      </w:pPr>
      <w:r>
        <w:rPr>
          <w:rFonts w:hint="eastAsia" w:ascii="宋体" w:hAnsi="宋体"/>
          <w:szCs w:val="21"/>
        </w:rPr>
        <w:t>（五）未按照中标协议承诺履行相应的责任和义务的；</w:t>
      </w:r>
    </w:p>
    <w:p w14:paraId="6197CF73">
      <w:pPr>
        <w:spacing w:line="360" w:lineRule="auto"/>
        <w:ind w:firstLine="411" w:firstLineChars="196"/>
        <w:rPr>
          <w:rFonts w:hint="eastAsia" w:ascii="宋体" w:hAnsi="宋体"/>
          <w:szCs w:val="21"/>
        </w:rPr>
      </w:pPr>
      <w:r>
        <w:rPr>
          <w:rFonts w:hint="eastAsia" w:ascii="宋体" w:hAnsi="宋体"/>
          <w:szCs w:val="21"/>
        </w:rPr>
        <w:t>（六）可能妨碍存款单位资金安全的其他情况。</w:t>
      </w:r>
    </w:p>
    <w:p w14:paraId="1BF2CA94">
      <w:pPr>
        <w:spacing w:line="360" w:lineRule="auto"/>
        <w:ind w:firstLine="480"/>
        <w:rPr>
          <w:rFonts w:hint="eastAsia" w:ascii="宋体" w:hAnsi="宋体"/>
          <w:szCs w:val="21"/>
        </w:rPr>
      </w:pPr>
      <w:r>
        <w:rPr>
          <w:rFonts w:hint="eastAsia" w:ascii="宋体" w:hAnsi="宋体"/>
          <w:szCs w:val="21"/>
        </w:rPr>
        <w:t>六、</w:t>
      </w:r>
      <w:r>
        <w:rPr>
          <w:rFonts w:hint="eastAsia" w:asciiTheme="minorEastAsia" w:hAnsiTheme="minorEastAsia" w:eastAsiaTheme="minorEastAsia"/>
          <w:szCs w:val="21"/>
        </w:rPr>
        <w:t>甲方因急需使用资金而要求提前支取定期存款的，原则上应按照该单位对应账户类型存放银行的中标名次，从末位依次将存款从有关商业银行调回使用。提前支取的定期存款，乙方按活期存款利率及实际存放天数计算支付利息</w:t>
      </w:r>
      <w:r>
        <w:rPr>
          <w:rFonts w:hint="eastAsia" w:ascii="宋体" w:hAnsi="宋体"/>
          <w:szCs w:val="21"/>
        </w:rPr>
        <w:t>。</w:t>
      </w:r>
    </w:p>
    <w:p w14:paraId="67AE8B93">
      <w:pPr>
        <w:spacing w:line="360" w:lineRule="auto"/>
        <w:ind w:firstLine="420" w:firstLineChars="200"/>
        <w:rPr>
          <w:rFonts w:hint="eastAsia" w:ascii="宋体" w:hAnsi="宋体"/>
          <w:szCs w:val="21"/>
        </w:rPr>
      </w:pPr>
      <w:r>
        <w:rPr>
          <w:rFonts w:hint="eastAsia" w:ascii="宋体" w:hAnsi="宋体"/>
          <w:szCs w:val="21"/>
        </w:rPr>
        <w:t>七、</w:t>
      </w:r>
      <w:r>
        <w:rPr>
          <w:rFonts w:hint="eastAsia" w:asciiTheme="minorEastAsia" w:hAnsiTheme="minorEastAsia" w:eastAsiaTheme="minorEastAsia"/>
          <w:szCs w:val="21"/>
        </w:rPr>
        <w:t>甲方未在规定时间内将资金划拨给乙方的，应按未划拨资金额，以中标的定期存款利率的两倍折成日利率，按迟划天数，向乙方支付违约金</w:t>
      </w:r>
      <w:r>
        <w:rPr>
          <w:rFonts w:hint="eastAsia" w:ascii="宋体" w:hAnsi="宋体"/>
          <w:szCs w:val="21"/>
        </w:rPr>
        <w:t>。</w:t>
      </w:r>
    </w:p>
    <w:p w14:paraId="1985A4ED">
      <w:pPr>
        <w:spacing w:line="360" w:lineRule="auto"/>
        <w:ind w:firstLine="420"/>
        <w:rPr>
          <w:rFonts w:hint="eastAsia" w:ascii="宋体" w:hAnsi="宋体"/>
          <w:szCs w:val="21"/>
        </w:rPr>
      </w:pPr>
      <w:r>
        <w:rPr>
          <w:rFonts w:hint="eastAsia" w:ascii="宋体" w:hAnsi="宋体"/>
          <w:szCs w:val="21"/>
        </w:rPr>
        <w:t>八、</w:t>
      </w:r>
      <w:r>
        <w:rPr>
          <w:rFonts w:hint="eastAsia" w:asciiTheme="minorEastAsia" w:hAnsiTheme="minorEastAsia" w:eastAsiaTheme="minorEastAsia"/>
          <w:szCs w:val="21"/>
        </w:rPr>
        <w:t>定期存款兑付日，乙方未将存款本息全额划回甲方原存款银行结算账户的，应按迟划回本息额及迟划回天数，以中标定期存款利率的两倍折成日利率，支付违约金。兑付日为双休日或节假日的顺延情况除外</w:t>
      </w:r>
      <w:r>
        <w:rPr>
          <w:rFonts w:hint="eastAsia" w:ascii="宋体" w:hAnsi="宋体"/>
          <w:szCs w:val="21"/>
        </w:rPr>
        <w:t>。</w:t>
      </w:r>
    </w:p>
    <w:p w14:paraId="20E6D5D5">
      <w:pPr>
        <w:spacing w:line="360" w:lineRule="auto"/>
        <w:ind w:firstLine="420" w:firstLineChars="200"/>
        <w:rPr>
          <w:rFonts w:hint="eastAsia" w:ascii="宋体" w:hAnsi="宋体"/>
          <w:szCs w:val="21"/>
          <w:highlight w:val="none"/>
        </w:rPr>
      </w:pPr>
      <w:r>
        <w:rPr>
          <w:rFonts w:hint="eastAsia" w:ascii="宋体" w:hAnsi="宋体"/>
          <w:szCs w:val="21"/>
          <w:highlight w:val="none"/>
        </w:rPr>
        <w:t>九、</w:t>
      </w:r>
      <w:r>
        <w:rPr>
          <w:rFonts w:hint="eastAsia" w:asciiTheme="minorEastAsia" w:hAnsiTheme="minorEastAsia" w:eastAsiaTheme="minorEastAsia"/>
          <w:szCs w:val="21"/>
          <w:highlight w:val="none"/>
        </w:rPr>
        <w:t>乙方应确保甲方定期存款在乙方存续期间的资金安全</w:t>
      </w:r>
      <w:r>
        <w:rPr>
          <w:rFonts w:hint="eastAsia" w:ascii="宋体" w:hAnsi="宋体"/>
          <w:kern w:val="0"/>
          <w:szCs w:val="21"/>
          <w:highlight w:val="none"/>
        </w:rPr>
        <w:t>。</w:t>
      </w:r>
    </w:p>
    <w:p w14:paraId="162057CB">
      <w:pPr>
        <w:spacing w:line="360" w:lineRule="auto"/>
        <w:ind w:firstLine="420"/>
        <w:rPr>
          <w:rFonts w:hint="eastAsia" w:ascii="宋体" w:hAnsi="宋体"/>
          <w:szCs w:val="21"/>
          <w:highlight w:val="none"/>
        </w:rPr>
      </w:pPr>
      <w:r>
        <w:rPr>
          <w:rFonts w:hint="eastAsia" w:ascii="宋体" w:hAnsi="宋体"/>
          <w:szCs w:val="21"/>
          <w:highlight w:val="none"/>
        </w:rPr>
        <w:t>十、协议有效期内，若利率相关的法律法规、规章政策调整，或中国人民银行存款基准利率、存款自律约定、银行总行存款利率内部授权上限等发生调整（银行存款利率内部授权上限调整，是指银行为满足国家宏观调控目标要求或落实存款利率市场化调整机制要求等，对本行可执行的内部授权上限进行的具有主动性、自律性、普遍性的调整），导致协议约定的利率水平超出允许范围，乙方应在按本协议约定存款业务开办前及时书面通知甲方银行存款利率调整情况。甲方有权提前终止本协议，并以书面形式告知。若甲方选择继续执行本协议，则自相应调整生效当日起，新办理存款业务执行利率按不超过最新允许范围上限的利率执行。</w:t>
      </w:r>
    </w:p>
    <w:p w14:paraId="62A41775">
      <w:pPr>
        <w:spacing w:line="360" w:lineRule="auto"/>
        <w:rPr>
          <w:rFonts w:hint="eastAsia" w:ascii="宋体" w:hAnsi="宋体"/>
          <w:szCs w:val="21"/>
        </w:rPr>
      </w:pPr>
      <w:r>
        <w:rPr>
          <w:rFonts w:hint="eastAsia" w:ascii="宋体" w:hAnsi="宋体"/>
          <w:szCs w:val="21"/>
        </w:rPr>
        <w:t>　　十一、</w:t>
      </w:r>
      <w:r>
        <w:rPr>
          <w:rFonts w:hint="eastAsia" w:ascii="宋体" w:hAnsi="宋体"/>
          <w:bCs/>
          <w:kern w:val="0"/>
          <w:szCs w:val="21"/>
        </w:rPr>
        <w:t>协议期限。</w:t>
      </w:r>
      <w:r>
        <w:rPr>
          <w:rFonts w:hint="eastAsia" w:asciiTheme="minorEastAsia" w:hAnsiTheme="minorEastAsia" w:eastAsiaTheme="minorEastAsia"/>
          <w:szCs w:val="21"/>
        </w:rPr>
        <w:t>本协议自签订日起至定期存款兑付完毕日</w:t>
      </w:r>
      <w:r>
        <w:rPr>
          <w:rFonts w:hint="eastAsia" w:ascii="宋体" w:hAnsi="宋体"/>
          <w:kern w:val="0"/>
          <w:szCs w:val="21"/>
        </w:rPr>
        <w:t>止。</w:t>
      </w:r>
    </w:p>
    <w:p w14:paraId="24D48E05">
      <w:pPr>
        <w:spacing w:line="360" w:lineRule="auto"/>
        <w:rPr>
          <w:rFonts w:hint="eastAsia" w:ascii="宋体" w:hAnsi="宋体"/>
          <w:kern w:val="0"/>
          <w:szCs w:val="21"/>
        </w:rPr>
      </w:pPr>
      <w:r>
        <w:rPr>
          <w:rFonts w:hint="eastAsia" w:ascii="宋体" w:hAnsi="宋体"/>
          <w:kern w:val="0"/>
          <w:szCs w:val="21"/>
        </w:rPr>
        <w:t>　　十二、本协议一式三份，甲乙双方各执一份，抄送嘉兴经济技术开发区财政金融部一份（请乙方送）。</w:t>
      </w:r>
    </w:p>
    <w:p w14:paraId="1238EEA7">
      <w:pPr>
        <w:spacing w:line="360" w:lineRule="auto"/>
        <w:ind w:firstLine="420" w:firstLineChars="200"/>
        <w:rPr>
          <w:rFonts w:hint="eastAsia" w:ascii="宋体" w:hAnsi="宋体"/>
          <w:szCs w:val="21"/>
        </w:rPr>
      </w:pPr>
      <w:r>
        <w:rPr>
          <w:rFonts w:hint="eastAsia" w:ascii="宋体" w:hAnsi="宋体"/>
          <w:szCs w:val="21"/>
        </w:rPr>
        <w:t>十三、本协议未尽事宜，双方应本着友好协商的精神妥善处理，协商不成的，向嘉兴市南湖区人民法院提起诉讼。</w:t>
      </w:r>
    </w:p>
    <w:p w14:paraId="2D32AA84">
      <w:pPr>
        <w:spacing w:line="360" w:lineRule="auto"/>
        <w:rPr>
          <w:rFonts w:hint="eastAsia" w:ascii="宋体" w:hAnsi="宋体"/>
          <w:szCs w:val="21"/>
        </w:rPr>
      </w:pPr>
      <w:r>
        <w:rPr>
          <w:rFonts w:hint="eastAsia" w:ascii="宋体" w:hAnsi="宋体"/>
          <w:szCs w:val="21"/>
        </w:rPr>
        <w:t>甲方（公章）：　　　　　　 　　乙方（公章）：</w:t>
      </w:r>
    </w:p>
    <w:p w14:paraId="16BA40C3">
      <w:pPr>
        <w:spacing w:line="360" w:lineRule="auto"/>
        <w:rPr>
          <w:rFonts w:hint="eastAsia" w:ascii="宋体" w:hAnsi="宋体"/>
          <w:szCs w:val="21"/>
        </w:rPr>
      </w:pPr>
      <w:r>
        <w:rPr>
          <w:rFonts w:hint="eastAsia" w:ascii="宋体" w:hAnsi="宋体"/>
          <w:szCs w:val="21"/>
        </w:rPr>
        <w:t>代表人签章：　　　　　　　　　 代表人签章：</w:t>
      </w:r>
    </w:p>
    <w:p w14:paraId="0982AF3A">
      <w:pPr>
        <w:spacing w:line="360" w:lineRule="auto"/>
        <w:ind w:firstLine="4410" w:firstLineChars="2100"/>
        <w:rPr>
          <w:rFonts w:hint="eastAsia" w:ascii="宋体" w:hAnsi="宋体"/>
          <w:szCs w:val="21"/>
        </w:rPr>
      </w:pPr>
      <w:r>
        <w:rPr>
          <w:rFonts w:hint="eastAsia" w:ascii="宋体" w:hAnsi="宋体"/>
          <w:szCs w:val="21"/>
        </w:rPr>
        <w:t>日期：    年　月　日</w:t>
      </w:r>
    </w:p>
    <w:p w14:paraId="73CD976A">
      <w:pPr>
        <w:pStyle w:val="36"/>
        <w:spacing w:line="360" w:lineRule="auto"/>
        <w:outlineLvl w:val="9"/>
        <w:rPr>
          <w:rFonts w:hint="eastAsia" w:asciiTheme="minorEastAsia" w:hAnsiTheme="minorEastAsia" w:eastAsiaTheme="minorEastAsia"/>
          <w:sz w:val="21"/>
          <w:szCs w:val="21"/>
        </w:rPr>
        <w:sectPr>
          <w:pgSz w:w="11907" w:h="16840"/>
          <w:pgMar w:top="1440" w:right="1797" w:bottom="1440" w:left="1797" w:header="851" w:footer="851" w:gutter="0"/>
          <w:cols w:space="425" w:num="1"/>
          <w:titlePg/>
          <w:docGrid w:type="lines" w:linePitch="312" w:charSpace="0"/>
        </w:sectPr>
      </w:pPr>
    </w:p>
    <w:p w14:paraId="6FA152AE">
      <w:pPr>
        <w:pStyle w:val="36"/>
        <w:spacing w:line="360" w:lineRule="auto"/>
        <w:rPr>
          <w:rFonts w:hint="eastAsia" w:asciiTheme="minorEastAsia" w:hAnsiTheme="minorEastAsia" w:eastAsiaTheme="minorEastAsia"/>
        </w:rPr>
      </w:pPr>
      <w:bookmarkStart w:id="115" w:name="_Toc98019297"/>
      <w:r>
        <w:rPr>
          <w:rFonts w:hint="eastAsia" w:asciiTheme="minorEastAsia" w:hAnsiTheme="minorEastAsia" w:eastAsiaTheme="minorEastAsia"/>
        </w:rPr>
        <w:t>第六章　投标文件格式</w:t>
      </w:r>
      <w:bookmarkEnd w:id="113"/>
      <w:bookmarkEnd w:id="115"/>
    </w:p>
    <w:p w14:paraId="21B0D94A">
      <w:pPr>
        <w:snapToGrid w:val="0"/>
        <w:spacing w:before="50" w:after="50" w:line="360" w:lineRule="auto"/>
        <w:rPr>
          <w:rFonts w:hint="eastAsia" w:asciiTheme="minorEastAsia" w:hAnsiTheme="minorEastAsia" w:eastAsiaTheme="minorEastAsia"/>
          <w:szCs w:val="21"/>
        </w:rPr>
      </w:pPr>
    </w:p>
    <w:p w14:paraId="63648651">
      <w:pPr>
        <w:snapToGrid w:val="0"/>
        <w:spacing w:before="156" w:beforeLines="50" w:after="50" w:line="360" w:lineRule="auto"/>
        <w:outlineLvl w:val="1"/>
        <w:rPr>
          <w:rFonts w:hint="eastAsia" w:asciiTheme="minorEastAsia" w:hAnsiTheme="minorEastAsia" w:eastAsiaTheme="minorEastAsia"/>
          <w:b/>
          <w:bCs/>
          <w:szCs w:val="21"/>
        </w:rPr>
      </w:pPr>
      <w:bookmarkStart w:id="116" w:name="_Toc11650189"/>
      <w:bookmarkStart w:id="117" w:name="_Toc98019298"/>
      <w:bookmarkStart w:id="118" w:name="_Toc9342498"/>
      <w:r>
        <w:rPr>
          <w:rFonts w:hint="eastAsia" w:asciiTheme="minorEastAsia" w:hAnsiTheme="minorEastAsia" w:eastAsiaTheme="minorEastAsia"/>
          <w:b/>
          <w:bCs/>
          <w:szCs w:val="21"/>
        </w:rPr>
        <w:t>一、投标文件外层包装封面格式</w:t>
      </w:r>
      <w:bookmarkEnd w:id="116"/>
      <w:bookmarkEnd w:id="117"/>
      <w:bookmarkEnd w:id="118"/>
    </w:p>
    <w:p w14:paraId="1243ADD7">
      <w:pPr>
        <w:snapToGrid w:val="0"/>
        <w:spacing w:before="156" w:beforeLines="50" w:after="50" w:line="360" w:lineRule="auto"/>
        <w:jc w:val="center"/>
        <w:rPr>
          <w:rFonts w:hint="eastAsia" w:asciiTheme="minorEastAsia" w:hAnsiTheme="minorEastAsia" w:eastAsiaTheme="minorEastAsia"/>
          <w:b/>
          <w:bCs/>
          <w:szCs w:val="21"/>
        </w:rPr>
      </w:pPr>
    </w:p>
    <w:p w14:paraId="5F3FB09D">
      <w:pPr>
        <w:snapToGrid w:val="0"/>
        <w:spacing w:before="156" w:beforeLines="50" w:after="50" w:line="360" w:lineRule="auto"/>
        <w:rPr>
          <w:rFonts w:hint="eastAsia" w:asciiTheme="minorEastAsia" w:hAnsiTheme="minorEastAsia" w:eastAsiaTheme="minorEastAsia"/>
          <w:bCs/>
          <w:szCs w:val="21"/>
        </w:rPr>
      </w:pPr>
    </w:p>
    <w:p w14:paraId="67BDB43C">
      <w:pPr>
        <w:snapToGrid w:val="0"/>
        <w:spacing w:before="156" w:beforeLines="50" w:after="50"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项目名称：2024年（第五期）嘉兴经济技术开发区公共资金竞争性存放项目</w:t>
      </w:r>
    </w:p>
    <w:p w14:paraId="57FEB930">
      <w:pPr>
        <w:snapToGrid w:val="0"/>
        <w:spacing w:before="156" w:beforeLines="50" w:after="50"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项目编号：定存（2024）05</w:t>
      </w:r>
    </w:p>
    <w:p w14:paraId="6C60D2D3">
      <w:pPr>
        <w:pStyle w:val="5"/>
        <w:snapToGrid w:val="0"/>
        <w:spacing w:before="50" w:after="50" w:line="360" w:lineRule="auto"/>
        <w:ind w:firstLine="0"/>
        <w:rPr>
          <w:rFonts w:hint="eastAsia" w:asciiTheme="minorEastAsia" w:hAnsiTheme="minorEastAsia" w:eastAsiaTheme="minorEastAsia"/>
          <w:bCs/>
          <w:szCs w:val="21"/>
        </w:rPr>
      </w:pPr>
      <w:r>
        <w:rPr>
          <w:rFonts w:hint="eastAsia" w:asciiTheme="minorEastAsia" w:hAnsiTheme="minorEastAsia" w:eastAsiaTheme="minorEastAsia"/>
          <w:bCs/>
          <w:szCs w:val="21"/>
        </w:rPr>
        <w:t>投标人名称：</w:t>
      </w:r>
    </w:p>
    <w:p w14:paraId="15C78CC5">
      <w:pPr>
        <w:pStyle w:val="5"/>
        <w:snapToGrid w:val="0"/>
        <w:spacing w:before="50" w:after="50" w:line="360" w:lineRule="auto"/>
        <w:ind w:firstLine="0"/>
        <w:rPr>
          <w:rFonts w:hint="eastAsia" w:asciiTheme="minorEastAsia" w:hAnsiTheme="minorEastAsia" w:eastAsiaTheme="minorEastAsia"/>
          <w:bCs/>
          <w:szCs w:val="21"/>
        </w:rPr>
      </w:pPr>
      <w:r>
        <w:rPr>
          <w:rFonts w:hint="eastAsia" w:asciiTheme="minorEastAsia" w:hAnsiTheme="minorEastAsia" w:eastAsiaTheme="minorEastAsia"/>
          <w:bCs/>
          <w:szCs w:val="21"/>
        </w:rPr>
        <w:t>投标人地址：</w:t>
      </w:r>
    </w:p>
    <w:p w14:paraId="2C054A51">
      <w:pPr>
        <w:pStyle w:val="5"/>
        <w:snapToGrid w:val="0"/>
        <w:spacing w:before="50" w:after="50" w:line="360" w:lineRule="auto"/>
        <w:ind w:firstLine="0"/>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在    年  月  日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时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分之前不得启封</w:t>
      </w:r>
    </w:p>
    <w:p w14:paraId="3E90E55E">
      <w:pPr>
        <w:pStyle w:val="5"/>
        <w:snapToGrid w:val="0"/>
        <w:spacing w:before="50" w:after="50" w:line="360" w:lineRule="auto"/>
        <w:ind w:firstLine="0"/>
        <w:rPr>
          <w:rFonts w:hint="eastAsia" w:asciiTheme="minorEastAsia" w:hAnsiTheme="minorEastAsia" w:eastAsiaTheme="minorEastAsia"/>
          <w:bCs/>
          <w:szCs w:val="21"/>
        </w:rPr>
      </w:pPr>
    </w:p>
    <w:p w14:paraId="6B63B67F">
      <w:pPr>
        <w:pStyle w:val="5"/>
        <w:snapToGrid w:val="0"/>
        <w:spacing w:before="50" w:after="50" w:line="360" w:lineRule="auto"/>
        <w:ind w:firstLine="934" w:firstLineChars="445"/>
        <w:rPr>
          <w:rFonts w:hint="eastAsia" w:asciiTheme="minorEastAsia" w:hAnsiTheme="minorEastAsia" w:eastAsiaTheme="minorEastAsia"/>
          <w:bCs/>
          <w:szCs w:val="21"/>
        </w:rPr>
      </w:pPr>
    </w:p>
    <w:p w14:paraId="2B196402">
      <w:pPr>
        <w:pStyle w:val="5"/>
        <w:snapToGrid w:val="0"/>
        <w:spacing w:before="50" w:after="50" w:line="360" w:lineRule="auto"/>
        <w:ind w:firstLine="4714" w:firstLineChars="2245"/>
        <w:rPr>
          <w:rFonts w:hint="eastAsia" w:asciiTheme="minorEastAsia" w:hAnsiTheme="minorEastAsia" w:eastAsiaTheme="minorEastAsia"/>
          <w:bCs/>
          <w:szCs w:val="21"/>
        </w:rPr>
      </w:pPr>
      <w:r>
        <w:rPr>
          <w:rFonts w:hint="eastAsia" w:asciiTheme="minorEastAsia" w:hAnsiTheme="minorEastAsia" w:eastAsiaTheme="minorEastAsia"/>
          <w:szCs w:val="21"/>
        </w:rPr>
        <w:t>（公章）</w:t>
      </w:r>
    </w:p>
    <w:p w14:paraId="2C97A458">
      <w:pPr>
        <w:snapToGrid w:val="0"/>
        <w:spacing w:before="156" w:beforeLines="50" w:after="50" w:line="360" w:lineRule="auto"/>
        <w:ind w:firstLine="645"/>
        <w:jc w:val="center"/>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77944464">
      <w:pPr>
        <w:snapToGrid w:val="0"/>
        <w:spacing w:before="156" w:beforeLines="50" w:after="50" w:line="360" w:lineRule="auto"/>
        <w:ind w:firstLine="645"/>
        <w:jc w:val="center"/>
        <w:rPr>
          <w:rFonts w:hint="eastAsia" w:asciiTheme="minorEastAsia" w:hAnsiTheme="minorEastAsia" w:eastAsiaTheme="minorEastAsia"/>
          <w:szCs w:val="21"/>
        </w:rPr>
      </w:pPr>
    </w:p>
    <w:p w14:paraId="51B6C801">
      <w:pPr>
        <w:snapToGrid w:val="0"/>
        <w:spacing w:before="156" w:beforeLines="50" w:after="50" w:line="360" w:lineRule="auto"/>
        <w:outlineLvl w:val="1"/>
        <w:rPr>
          <w:rFonts w:hint="eastAsia" w:asciiTheme="minorEastAsia" w:hAnsiTheme="minorEastAsia" w:eastAsiaTheme="minorEastAsia"/>
          <w:b/>
          <w:bCs/>
          <w:szCs w:val="21"/>
        </w:rPr>
        <w:sectPr>
          <w:pgSz w:w="11907" w:h="16840"/>
          <w:pgMar w:top="1440" w:right="1797" w:bottom="1440" w:left="1797" w:header="851" w:footer="851" w:gutter="0"/>
          <w:cols w:space="425" w:num="1"/>
          <w:titlePg/>
          <w:docGrid w:type="lines" w:linePitch="312" w:charSpace="0"/>
        </w:sectPr>
      </w:pPr>
    </w:p>
    <w:p w14:paraId="460A59E2">
      <w:pPr>
        <w:snapToGrid w:val="0"/>
        <w:spacing w:before="156" w:beforeLines="50" w:after="50" w:line="360" w:lineRule="auto"/>
        <w:outlineLvl w:val="1"/>
        <w:rPr>
          <w:rFonts w:hint="eastAsia" w:asciiTheme="minorEastAsia" w:hAnsiTheme="minorEastAsia" w:eastAsiaTheme="minorEastAsia"/>
          <w:b/>
          <w:bCs/>
          <w:szCs w:val="21"/>
        </w:rPr>
      </w:pPr>
      <w:r>
        <w:rPr>
          <w:rFonts w:hint="eastAsia" w:asciiTheme="minorEastAsia" w:hAnsiTheme="minorEastAsia" w:eastAsiaTheme="minorEastAsia"/>
          <w:b/>
          <w:bCs/>
          <w:szCs w:val="21"/>
        </w:rPr>
        <w:t>二、投标文件封面格式</w:t>
      </w:r>
    </w:p>
    <w:p w14:paraId="27B93E79">
      <w:pPr>
        <w:snapToGrid w:val="0"/>
        <w:spacing w:before="156" w:beforeLines="50" w:after="50" w:line="360" w:lineRule="auto"/>
        <w:rPr>
          <w:rFonts w:hint="eastAsia" w:ascii="宋体" w:hAnsi="宋体"/>
          <w:b/>
          <w:bCs/>
          <w:szCs w:val="21"/>
        </w:rPr>
      </w:pP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26F8E3FD">
      <w:pPr>
        <w:snapToGrid w:val="0"/>
        <w:spacing w:before="156" w:beforeLines="50" w:after="50" w:line="360" w:lineRule="auto"/>
        <w:rPr>
          <w:rFonts w:hint="eastAsia" w:ascii="宋体" w:hAnsi="宋体"/>
          <w:szCs w:val="21"/>
        </w:rPr>
      </w:pPr>
    </w:p>
    <w:p w14:paraId="1ECF163D">
      <w:pPr>
        <w:snapToGrid w:val="0"/>
        <w:spacing w:before="156" w:beforeLines="50" w:after="50" w:line="360" w:lineRule="auto"/>
        <w:jc w:val="center"/>
        <w:rPr>
          <w:rFonts w:hint="eastAsia" w:ascii="宋体" w:hAnsi="宋体"/>
          <w:bCs/>
          <w:szCs w:val="21"/>
        </w:rPr>
      </w:pPr>
    </w:p>
    <w:p w14:paraId="164E0405">
      <w:pPr>
        <w:snapToGrid w:val="0"/>
        <w:spacing w:before="156" w:beforeLines="50" w:after="50" w:line="360" w:lineRule="auto"/>
        <w:jc w:val="center"/>
        <w:rPr>
          <w:rFonts w:hint="eastAsia" w:ascii="宋体" w:hAnsi="宋体"/>
          <w:b/>
          <w:szCs w:val="21"/>
        </w:rPr>
      </w:pPr>
      <w:r>
        <w:rPr>
          <w:rFonts w:hint="eastAsia" w:ascii="宋体" w:hAnsi="宋体"/>
          <w:b/>
          <w:szCs w:val="21"/>
        </w:rPr>
        <w:t>投标文件</w:t>
      </w:r>
    </w:p>
    <w:p w14:paraId="572D5F65">
      <w:pPr>
        <w:snapToGrid w:val="0"/>
        <w:spacing w:before="156" w:beforeLines="50" w:after="50" w:line="360" w:lineRule="auto"/>
        <w:rPr>
          <w:rFonts w:hint="eastAsia" w:ascii="宋体" w:hAnsi="宋体"/>
          <w:bCs/>
          <w:szCs w:val="21"/>
        </w:rPr>
      </w:pPr>
    </w:p>
    <w:p w14:paraId="793FEEB2">
      <w:pPr>
        <w:snapToGrid w:val="0"/>
        <w:spacing w:before="156" w:beforeLines="50" w:after="50" w:line="360" w:lineRule="auto"/>
        <w:ind w:firstLine="934" w:firstLineChars="445"/>
        <w:rPr>
          <w:rFonts w:hint="eastAsia" w:ascii="宋体" w:hAnsi="宋体"/>
          <w:bCs/>
          <w:szCs w:val="21"/>
        </w:rPr>
      </w:pPr>
      <w:r>
        <w:rPr>
          <w:rFonts w:hint="eastAsia" w:ascii="宋体" w:hAnsi="宋体"/>
          <w:bCs/>
          <w:szCs w:val="21"/>
        </w:rPr>
        <w:t>项目名称：</w:t>
      </w:r>
      <w:r>
        <w:rPr>
          <w:rFonts w:hint="eastAsia" w:ascii="宋体" w:hAnsi="宋体" w:cs="Arial"/>
          <w:szCs w:val="21"/>
        </w:rPr>
        <w:t>2024年（第五期）嘉兴经济技术开发区公共资金竞争性存放项目</w:t>
      </w:r>
    </w:p>
    <w:p w14:paraId="7003FC92">
      <w:pPr>
        <w:snapToGrid w:val="0"/>
        <w:spacing w:before="156" w:beforeLines="50" w:after="50" w:line="360" w:lineRule="auto"/>
        <w:ind w:firstLine="896" w:firstLineChars="427"/>
        <w:rPr>
          <w:rFonts w:hint="eastAsia" w:ascii="宋体" w:hAnsi="宋体"/>
          <w:bCs/>
          <w:szCs w:val="21"/>
        </w:rPr>
      </w:pPr>
      <w:r>
        <w:rPr>
          <w:rFonts w:hint="eastAsia" w:ascii="宋体" w:hAnsi="宋体"/>
          <w:bCs/>
          <w:szCs w:val="21"/>
        </w:rPr>
        <w:t>项目编号：</w:t>
      </w:r>
      <w:r>
        <w:rPr>
          <w:rFonts w:hint="eastAsia" w:ascii="宋体" w:hAnsi="宋体" w:cs="Arial"/>
          <w:szCs w:val="21"/>
        </w:rPr>
        <w:t>定存（2024）05</w:t>
      </w:r>
    </w:p>
    <w:p w14:paraId="76C7FF2C">
      <w:pPr>
        <w:pStyle w:val="5"/>
        <w:snapToGrid w:val="0"/>
        <w:spacing w:before="50" w:after="50" w:line="360" w:lineRule="auto"/>
        <w:ind w:firstLine="896" w:firstLineChars="427"/>
        <w:rPr>
          <w:rFonts w:hint="eastAsia" w:ascii="宋体" w:hAnsi="宋体"/>
          <w:bCs/>
          <w:szCs w:val="21"/>
        </w:rPr>
      </w:pPr>
      <w:r>
        <w:rPr>
          <w:rFonts w:hint="eastAsia" w:ascii="宋体" w:hAnsi="宋体"/>
          <w:bCs/>
          <w:szCs w:val="21"/>
        </w:rPr>
        <w:t>投标人名称：</w:t>
      </w:r>
    </w:p>
    <w:p w14:paraId="6B1BB9DD">
      <w:pPr>
        <w:pStyle w:val="5"/>
        <w:snapToGrid w:val="0"/>
        <w:spacing w:before="50" w:after="50" w:line="360" w:lineRule="auto"/>
        <w:ind w:firstLine="896" w:firstLineChars="427"/>
        <w:rPr>
          <w:rFonts w:hint="eastAsia" w:ascii="宋体" w:hAnsi="宋体"/>
          <w:bCs/>
          <w:szCs w:val="21"/>
        </w:rPr>
      </w:pPr>
      <w:r>
        <w:rPr>
          <w:rFonts w:hint="eastAsia" w:ascii="宋体" w:hAnsi="宋体"/>
          <w:bCs/>
          <w:szCs w:val="21"/>
        </w:rPr>
        <w:t>投标人地址：</w:t>
      </w:r>
    </w:p>
    <w:p w14:paraId="001AA25B">
      <w:pPr>
        <w:pStyle w:val="5"/>
        <w:snapToGrid w:val="0"/>
        <w:spacing w:before="50" w:after="50" w:line="360" w:lineRule="auto"/>
        <w:ind w:firstLine="0"/>
        <w:rPr>
          <w:rFonts w:hint="eastAsia" w:ascii="宋体" w:hAnsi="宋体"/>
          <w:szCs w:val="21"/>
        </w:rPr>
      </w:pPr>
    </w:p>
    <w:p w14:paraId="17CE3B25">
      <w:pPr>
        <w:snapToGrid w:val="0"/>
        <w:spacing w:before="156" w:beforeLines="50" w:after="50" w:line="360" w:lineRule="auto"/>
        <w:ind w:firstLine="3570" w:firstLineChars="1700"/>
        <w:rPr>
          <w:rFonts w:hint="eastAsia" w:ascii="宋体" w:hAnsi="宋体"/>
          <w:szCs w:val="21"/>
        </w:rPr>
      </w:pPr>
      <w:r>
        <w:rPr>
          <w:rFonts w:hint="eastAsia" w:ascii="宋体" w:hAnsi="宋体"/>
          <w:szCs w:val="21"/>
        </w:rPr>
        <w:t xml:space="preserve">           （公章）</w:t>
      </w:r>
    </w:p>
    <w:p w14:paraId="07483D53">
      <w:pPr>
        <w:snapToGrid w:val="0"/>
        <w:spacing w:before="156" w:beforeLines="50" w:after="50" w:line="360" w:lineRule="auto"/>
        <w:ind w:firstLine="645"/>
        <w:jc w:val="center"/>
        <w:rPr>
          <w:rFonts w:hint="eastAsia" w:ascii="宋体" w:hAnsi="宋体"/>
          <w:szCs w:val="21"/>
        </w:rPr>
      </w:pPr>
      <w:r>
        <w:rPr>
          <w:rFonts w:ascii="宋体" w:hAnsi="宋体"/>
          <w:szCs w:val="21"/>
        </w:rPr>
        <w:t xml:space="preserve">       </w:t>
      </w:r>
      <w:r>
        <w:rPr>
          <w:rFonts w:hint="eastAsia" w:ascii="宋体" w:hAnsi="宋体"/>
          <w:szCs w:val="21"/>
        </w:rPr>
        <w:t xml:space="preserve"> 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14:paraId="19B5A379">
      <w:pPr>
        <w:snapToGrid w:val="0"/>
        <w:spacing w:before="156" w:beforeLines="50" w:after="50" w:line="360" w:lineRule="auto"/>
        <w:rPr>
          <w:rFonts w:hint="eastAsia" w:asciiTheme="minorEastAsia" w:hAnsiTheme="minorEastAsia" w:eastAsiaTheme="minorEastAsia"/>
          <w:b/>
          <w:szCs w:val="21"/>
        </w:rPr>
        <w:sectPr>
          <w:pgSz w:w="11907" w:h="16840"/>
          <w:pgMar w:top="1440" w:right="1797" w:bottom="1440" w:left="1797" w:header="851" w:footer="851" w:gutter="0"/>
          <w:cols w:space="425" w:num="1"/>
          <w:titlePg/>
          <w:docGrid w:type="lines" w:linePitch="312" w:charSpace="0"/>
        </w:sectPr>
      </w:pPr>
    </w:p>
    <w:p w14:paraId="4C2B4B76">
      <w:pPr>
        <w:snapToGrid w:val="0"/>
        <w:spacing w:before="156" w:beforeLines="50" w:after="50" w:line="360" w:lineRule="auto"/>
        <w:outlineLvl w:val="1"/>
        <w:rPr>
          <w:rFonts w:hint="eastAsia" w:asciiTheme="minorEastAsia" w:hAnsiTheme="minorEastAsia" w:eastAsiaTheme="minorEastAsia"/>
          <w:b/>
          <w:bCs/>
          <w:szCs w:val="21"/>
        </w:rPr>
      </w:pPr>
      <w:r>
        <w:rPr>
          <w:rFonts w:hint="eastAsia" w:asciiTheme="minorEastAsia" w:hAnsiTheme="minorEastAsia" w:eastAsiaTheme="minorEastAsia"/>
          <w:b/>
          <w:bCs/>
          <w:szCs w:val="21"/>
        </w:rPr>
        <w:t>三、投标声明书格式</w:t>
      </w:r>
    </w:p>
    <w:p w14:paraId="699DD066">
      <w:pPr>
        <w:snapToGrid w:val="0"/>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投标声明书</w:t>
      </w:r>
    </w:p>
    <w:p w14:paraId="187C726A">
      <w:pPr>
        <w:snapToGrid w:val="0"/>
        <w:spacing w:line="360" w:lineRule="auto"/>
        <w:jc w:val="center"/>
        <w:rPr>
          <w:rFonts w:hint="eastAsia" w:asciiTheme="minorEastAsia" w:hAnsiTheme="minorEastAsia" w:eastAsiaTheme="minorEastAsia"/>
          <w:b/>
          <w:szCs w:val="21"/>
        </w:rPr>
      </w:pPr>
    </w:p>
    <w:p w14:paraId="360150C9">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b/>
          <w:szCs w:val="21"/>
        </w:rPr>
        <w:t>嘉兴经济技术开发区财政金融部</w:t>
      </w:r>
    </w:p>
    <w:p w14:paraId="2A1319D8">
      <w:pPr>
        <w:snapToGrid w:val="0"/>
        <w:spacing w:line="360" w:lineRule="auto"/>
        <w:ind w:firstLine="735" w:firstLineChars="350"/>
        <w:jc w:val="left"/>
        <w:rPr>
          <w:rFonts w:hint="eastAsia"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（投标人名称）系中华人民共和国合法企业，经营地址</w:t>
      </w:r>
      <w:r>
        <w:rPr>
          <w:rFonts w:hint="eastAsia" w:asciiTheme="minorEastAsia" w:hAnsiTheme="minorEastAsia" w:eastAsiaTheme="minorEastAsia"/>
          <w:szCs w:val="21"/>
          <w:u w:val="single"/>
        </w:rPr>
        <w:t xml:space="preserve">             。</w:t>
      </w:r>
    </w:p>
    <w:p w14:paraId="6BF6872F">
      <w:pPr>
        <w:snapToGrid w:val="0"/>
        <w:spacing w:line="360" w:lineRule="auto"/>
        <w:ind w:firstLine="645"/>
        <w:rPr>
          <w:rFonts w:hint="eastAsia"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（姓名）系</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（投标人名称）的法定代表人（负责人），我方愿意参加贵方组织的</w:t>
      </w:r>
      <w:r>
        <w:rPr>
          <w:rFonts w:hint="eastAsia" w:cs="Arial" w:asciiTheme="minorEastAsia" w:hAnsiTheme="minorEastAsia" w:eastAsiaTheme="minorEastAsia"/>
          <w:b/>
          <w:szCs w:val="21"/>
          <w:u w:val="single"/>
        </w:rPr>
        <w:t>2024年（第五期）嘉兴经济技术开发区公共资金竞争性存放项目</w:t>
      </w:r>
      <w:r>
        <w:rPr>
          <w:rFonts w:hint="eastAsia" w:asciiTheme="minorEastAsia" w:hAnsiTheme="minorEastAsia" w:eastAsiaTheme="minorEastAsia"/>
          <w:szCs w:val="21"/>
        </w:rPr>
        <w:t>的投标，为便于贵方公正、择优地确定中标人及其投标产品和服务，我方就本次投标有关事项郑重声明如下：</w:t>
      </w:r>
    </w:p>
    <w:p w14:paraId="4118397B">
      <w:pPr>
        <w:numPr>
          <w:ilvl w:val="0"/>
          <w:numId w:val="34"/>
        </w:numPr>
        <w:tabs>
          <w:tab w:val="left" w:pos="709"/>
        </w:tabs>
        <w:snapToGrid w:val="0"/>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我方向贵方提交的所有投标文件、资料都是准确的和真实的；</w:t>
      </w:r>
    </w:p>
    <w:p w14:paraId="0797E388">
      <w:pPr>
        <w:numPr>
          <w:ilvl w:val="0"/>
          <w:numId w:val="34"/>
        </w:numPr>
        <w:tabs>
          <w:tab w:val="left" w:pos="709"/>
        </w:tabs>
        <w:snapToGrid w:val="0"/>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我方为银行嘉兴所在地区最高机构；</w:t>
      </w:r>
    </w:p>
    <w:p w14:paraId="4314A00B">
      <w:pPr>
        <w:numPr>
          <w:ilvl w:val="0"/>
          <w:numId w:val="34"/>
        </w:numPr>
        <w:tabs>
          <w:tab w:val="left" w:pos="709"/>
        </w:tabs>
        <w:snapToGrid w:val="0"/>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我方此次向贵方提供的产品为：</w:t>
      </w:r>
      <w:r>
        <w:rPr>
          <w:rFonts w:hint="eastAsia" w:asciiTheme="minorEastAsia" w:hAnsiTheme="minorEastAsia" w:eastAsiaTheme="minorEastAsia"/>
          <w:szCs w:val="21"/>
          <w:u w:val="single"/>
        </w:rPr>
        <w:t>三个月定期存款</w:t>
      </w:r>
      <w:r>
        <w:rPr>
          <w:rFonts w:hint="eastAsia" w:asciiTheme="minorEastAsia" w:hAnsiTheme="minorEastAsia" w:eastAsiaTheme="minorEastAsia"/>
          <w:szCs w:val="21"/>
        </w:rPr>
        <w:t>；</w:t>
      </w:r>
    </w:p>
    <w:p w14:paraId="0AA34DBB">
      <w:pPr>
        <w:numPr>
          <w:ilvl w:val="0"/>
          <w:numId w:val="34"/>
        </w:numPr>
        <w:tabs>
          <w:tab w:val="left" w:pos="709"/>
        </w:tabs>
        <w:snapToGrid w:val="0"/>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采用条款费率为：</w:t>
      </w:r>
      <w:r>
        <w:rPr>
          <w:rFonts w:hint="eastAsia" w:ascii="宋体" w:hAnsi="宋体"/>
          <w:sz w:val="22"/>
          <w:szCs w:val="22"/>
          <w:u w:val="single"/>
        </w:rPr>
        <w:t>按中国人民银行公布的定期存款基准上浮基点（BP）进行报价；</w:t>
      </w:r>
    </w:p>
    <w:p w14:paraId="42EC3BD2">
      <w:pPr>
        <w:pStyle w:val="18"/>
        <w:numPr>
          <w:ilvl w:val="0"/>
          <w:numId w:val="34"/>
        </w:numPr>
        <w:tabs>
          <w:tab w:val="left" w:pos="709"/>
        </w:tabs>
        <w:snapToGrid w:val="0"/>
        <w:spacing w:line="360" w:lineRule="auto"/>
        <w:ind w:left="0" w:firstLine="420" w:firstLineChars="200"/>
        <w:rPr>
          <w:rFonts w:hint="eastAsia" w:asciiTheme="minorEastAsia" w:hAnsiTheme="minorEastAsia" w:eastAsiaTheme="minorEastAsia"/>
          <w:spacing w:val="0"/>
          <w:sz w:val="21"/>
          <w:szCs w:val="21"/>
          <w:u w:val="single"/>
        </w:rPr>
      </w:pPr>
      <w:r>
        <w:rPr>
          <w:rFonts w:hint="eastAsia" w:asciiTheme="minorEastAsia" w:hAnsiTheme="minorEastAsia" w:eastAsiaTheme="minorEastAsia"/>
          <w:spacing w:val="0"/>
          <w:sz w:val="21"/>
          <w:szCs w:val="21"/>
        </w:rPr>
        <w:t>我方及由本人担任法定代表人（负责人）的其他机构最近三年内没有被通报或者被处罚的违规违法行为；</w:t>
      </w:r>
    </w:p>
    <w:p w14:paraId="51AAD3F2">
      <w:pPr>
        <w:numPr>
          <w:ilvl w:val="0"/>
          <w:numId w:val="34"/>
        </w:numPr>
        <w:tabs>
          <w:tab w:val="left" w:pos="709"/>
        </w:tabs>
        <w:snapToGrid w:val="0"/>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以上事项如有虚假或隐瞒，我方愿意承担一切后果，并不再寻求任何旨在减轻或免除法律责任的辩解。</w:t>
      </w:r>
    </w:p>
    <w:p w14:paraId="57549A1A">
      <w:pPr>
        <w:snapToGrid w:val="0"/>
        <w:spacing w:line="360" w:lineRule="auto"/>
        <w:ind w:firstLine="200"/>
        <w:rPr>
          <w:rFonts w:hint="eastAsia" w:asciiTheme="minorEastAsia" w:hAnsiTheme="minorEastAsia" w:eastAsiaTheme="minorEastAsia"/>
          <w:szCs w:val="21"/>
        </w:rPr>
      </w:pPr>
    </w:p>
    <w:p w14:paraId="5CA51856">
      <w:pPr>
        <w:snapToGrid w:val="0"/>
        <w:spacing w:line="360" w:lineRule="auto"/>
        <w:ind w:firstLine="200"/>
        <w:rPr>
          <w:rFonts w:hint="eastAsia" w:asciiTheme="minorEastAsia" w:hAnsiTheme="minorEastAsia" w:eastAsiaTheme="minorEastAsia"/>
          <w:szCs w:val="21"/>
          <w:u w:val="single"/>
        </w:rPr>
      </w:pPr>
      <w:r>
        <w:rPr>
          <w:rFonts w:hint="eastAsia" w:asciiTheme="minorEastAsia" w:hAnsiTheme="minorEastAsia" w:eastAsiaTheme="minorEastAsia"/>
          <w:szCs w:val="21"/>
        </w:rPr>
        <w:t>法定代表人（负责人）签字或盖章：</w:t>
      </w:r>
    </w:p>
    <w:p w14:paraId="1DC15C7B">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（公章）</w:t>
      </w:r>
    </w:p>
    <w:p w14:paraId="1F06A7A5">
      <w:pPr>
        <w:snapToGrid w:val="0"/>
        <w:spacing w:line="360" w:lineRule="auto"/>
        <w:ind w:firstLine="3675" w:firstLineChars="1750"/>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3EF1F47F">
      <w:pPr>
        <w:snapToGrid w:val="0"/>
        <w:spacing w:before="156" w:beforeLines="50" w:after="50" w:line="360" w:lineRule="auto"/>
        <w:outlineLvl w:val="1"/>
        <w:rPr>
          <w:rFonts w:hint="eastAsia" w:asciiTheme="minorEastAsia" w:hAnsiTheme="minorEastAsia" w:eastAsiaTheme="minorEastAsia"/>
          <w:b/>
          <w:bCs/>
          <w:szCs w:val="21"/>
        </w:rPr>
      </w:pPr>
      <w:r>
        <w:rPr>
          <w:rFonts w:asciiTheme="minorEastAsia" w:hAnsiTheme="minorEastAsia" w:eastAsiaTheme="minorEastAsia"/>
          <w:b/>
          <w:szCs w:val="21"/>
        </w:rPr>
        <w:br w:type="page"/>
      </w:r>
      <w:r>
        <w:rPr>
          <w:rFonts w:hint="eastAsia" w:asciiTheme="minorEastAsia" w:hAnsiTheme="minorEastAsia" w:eastAsiaTheme="minorEastAsia"/>
          <w:b/>
          <w:bCs/>
          <w:szCs w:val="21"/>
        </w:rPr>
        <w:t>四、法定代表人（负责人）授权委托书格式</w:t>
      </w:r>
    </w:p>
    <w:p w14:paraId="5E2ACBCD">
      <w:pPr>
        <w:snapToGrid w:val="0"/>
        <w:spacing w:before="156" w:beforeLines="50" w:after="50" w:line="360" w:lineRule="auto"/>
        <w:jc w:val="center"/>
        <w:rPr>
          <w:rFonts w:hint="eastAsia" w:asciiTheme="minorEastAsia" w:hAnsiTheme="minorEastAsia" w:eastAsiaTheme="minorEastAsia"/>
          <w:szCs w:val="21"/>
        </w:rPr>
      </w:pPr>
    </w:p>
    <w:p w14:paraId="7D807B4B">
      <w:pPr>
        <w:snapToGrid w:val="0"/>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法定代表人（负责人）授权委托书</w:t>
      </w:r>
    </w:p>
    <w:p w14:paraId="5543FF39">
      <w:pPr>
        <w:snapToGrid w:val="0"/>
        <w:spacing w:line="360" w:lineRule="auto"/>
        <w:rPr>
          <w:rFonts w:hint="eastAsia" w:asciiTheme="minorEastAsia" w:hAnsiTheme="minorEastAsia" w:eastAsiaTheme="minorEastAsia"/>
          <w:bCs/>
          <w:szCs w:val="21"/>
        </w:rPr>
      </w:pPr>
    </w:p>
    <w:p w14:paraId="0DFD6A4F">
      <w:pPr>
        <w:snapToGrid w:val="0"/>
        <w:spacing w:line="360" w:lineRule="auto"/>
        <w:rPr>
          <w:rFonts w:hint="eastAsia" w:asciiTheme="minorEastAsia" w:hAnsiTheme="minorEastAsia" w:eastAsiaTheme="minorEastAsia"/>
          <w:b/>
          <w:bCs/>
          <w:szCs w:val="21"/>
        </w:rPr>
      </w:pPr>
      <w:r>
        <w:rPr>
          <w:rFonts w:hint="eastAsia" w:asciiTheme="minorEastAsia" w:hAnsiTheme="minorEastAsia" w:eastAsiaTheme="minorEastAsia"/>
          <w:bCs/>
          <w:szCs w:val="21"/>
        </w:rPr>
        <w:t>致：</w:t>
      </w:r>
      <w:r>
        <w:rPr>
          <w:rFonts w:hint="eastAsia" w:asciiTheme="minorEastAsia" w:hAnsiTheme="minorEastAsia" w:eastAsiaTheme="minorEastAsia"/>
          <w:b/>
          <w:szCs w:val="21"/>
        </w:rPr>
        <w:t>嘉兴经济技术开发区财政金融部</w:t>
      </w:r>
    </w:p>
    <w:p w14:paraId="490FAA74">
      <w:pPr>
        <w:snapToGrid w:val="0"/>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（姓名）系</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（投标人名称）的法定代表人（负责人），现授权委托本单位在职职工</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（姓名）以我方的名义参加</w:t>
      </w:r>
      <w:r>
        <w:rPr>
          <w:rFonts w:hint="eastAsia" w:asciiTheme="minorEastAsia" w:hAnsiTheme="minorEastAsia" w:eastAsiaTheme="minorEastAsia"/>
          <w:b/>
          <w:bCs/>
          <w:szCs w:val="21"/>
          <w:u w:val="single"/>
        </w:rPr>
        <w:t>2024年（第五期）嘉兴经济技术开发区公共资金竞争性存放项目</w:t>
      </w:r>
      <w:r>
        <w:rPr>
          <w:rFonts w:hint="eastAsia" w:asciiTheme="minorEastAsia" w:hAnsiTheme="minorEastAsia" w:eastAsiaTheme="minorEastAsia"/>
          <w:szCs w:val="21"/>
        </w:rPr>
        <w:t>的投标活动，并代表我方全权办理针对上述项目的投标、开标、评标、签约等具体事务和签署相关文件。</w:t>
      </w:r>
    </w:p>
    <w:p w14:paraId="28484428">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我方对被授权人的签名事项负全部责任。</w:t>
      </w:r>
    </w:p>
    <w:p w14:paraId="6BFF9B1D">
      <w:pPr>
        <w:snapToGrid w:val="0"/>
        <w:spacing w:line="360" w:lineRule="auto"/>
        <w:ind w:firstLine="426"/>
        <w:rPr>
          <w:rFonts w:hint="eastAsia" w:asciiTheme="minorEastAsia" w:hAnsiTheme="minorEastAsia" w:eastAsiaTheme="minorEastAsia"/>
          <w:szCs w:val="21"/>
        </w:rPr>
      </w:pPr>
      <w:r>
        <w:rPr>
          <w:rFonts w:hint="eastAsia" w:asciiTheme="minorEastAsia" w:hAnsiTheme="minorEastAsia" w:eastAsiaTheme="minorEastAsia"/>
          <w:szCs w:val="21"/>
        </w:rPr>
        <w:t>在撤销授权的书面通知以前，本授权书一直有效。被授权人在授权书有效期内签署的所有文件不因授权的撤销而失效。</w:t>
      </w:r>
    </w:p>
    <w:p w14:paraId="5B9D96FD">
      <w:pPr>
        <w:snapToGrid w:val="0"/>
        <w:spacing w:line="360" w:lineRule="auto"/>
        <w:ind w:firstLine="426"/>
        <w:rPr>
          <w:rFonts w:hint="eastAsia" w:asciiTheme="minorEastAsia" w:hAnsiTheme="minorEastAsia" w:eastAsiaTheme="minorEastAsia"/>
          <w:szCs w:val="21"/>
        </w:rPr>
      </w:pPr>
      <w:r>
        <w:rPr>
          <w:rFonts w:hint="eastAsia" w:asciiTheme="minorEastAsia" w:hAnsiTheme="minorEastAsia" w:eastAsiaTheme="minorEastAsia"/>
          <w:szCs w:val="21"/>
        </w:rPr>
        <w:t>被授权人无转委托权，特此委托。</w:t>
      </w:r>
    </w:p>
    <w:p w14:paraId="1A80A7D9">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50F933A8">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被授权人签名：                   授权人手机：</w:t>
      </w:r>
    </w:p>
    <w:p w14:paraId="10C7CB97">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被授权人身份证号码：</w:t>
      </w:r>
    </w:p>
    <w:p w14:paraId="2EE2A185">
      <w:pPr>
        <w:snapToGrid w:val="0"/>
        <w:spacing w:line="360" w:lineRule="auto"/>
        <w:rPr>
          <w:rFonts w:hint="eastAsia" w:asciiTheme="minorEastAsia" w:hAnsiTheme="minorEastAsia" w:eastAsiaTheme="minorEastAsia"/>
          <w:szCs w:val="21"/>
        </w:rPr>
      </w:pPr>
    </w:p>
    <w:p w14:paraId="118920EC">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（公章）</w:t>
      </w:r>
    </w:p>
    <w:p w14:paraId="7B0EAD9A">
      <w:pPr>
        <w:snapToGrid w:val="0"/>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62742534">
      <w:pPr>
        <w:snapToGrid w:val="0"/>
        <w:spacing w:line="360" w:lineRule="auto"/>
        <w:rPr>
          <w:rFonts w:hint="eastAsia" w:asciiTheme="minorEastAsia" w:hAnsiTheme="minorEastAsia" w:eastAsiaTheme="minorEastAsia"/>
          <w:szCs w:val="21"/>
        </w:rPr>
      </w:pPr>
    </w:p>
    <w:p w14:paraId="3B4F6CB7">
      <w:pPr>
        <w:snapToGrid w:val="0"/>
        <w:spacing w:line="360" w:lineRule="auto"/>
        <w:rPr>
          <w:rFonts w:hint="eastAsia" w:asciiTheme="minorEastAsia" w:hAnsiTheme="minorEastAsia" w:eastAsiaTheme="minorEastAsia"/>
          <w:szCs w:val="21"/>
        </w:rPr>
      </w:pPr>
    </w:p>
    <w:p w14:paraId="48A353BF">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法定代表人（负责人）身份证复印件（正反面）：</w:t>
      </w:r>
    </w:p>
    <w:p w14:paraId="34A452CD">
      <w:pPr>
        <w:snapToGrid w:val="0"/>
        <w:spacing w:line="360" w:lineRule="auto"/>
        <w:rPr>
          <w:rFonts w:hint="eastAsia" w:asciiTheme="minorEastAsia" w:hAnsiTheme="minorEastAsia" w:eastAsiaTheme="minorEastAsia"/>
          <w:szCs w:val="21"/>
        </w:rPr>
      </w:pPr>
    </w:p>
    <w:p w14:paraId="46580DFA">
      <w:pPr>
        <w:snapToGrid w:val="0"/>
        <w:spacing w:line="360" w:lineRule="auto"/>
        <w:rPr>
          <w:rFonts w:hint="eastAsia" w:asciiTheme="minorEastAsia" w:hAnsiTheme="minorEastAsia" w:eastAsiaTheme="minorEastAsia"/>
          <w:szCs w:val="21"/>
        </w:rPr>
      </w:pPr>
    </w:p>
    <w:p w14:paraId="4E52F393">
      <w:pPr>
        <w:snapToGrid w:val="0"/>
        <w:spacing w:line="360" w:lineRule="auto"/>
        <w:rPr>
          <w:rFonts w:hint="eastAsia" w:asciiTheme="minorEastAsia" w:hAnsiTheme="minorEastAsia" w:eastAsiaTheme="minorEastAsia"/>
          <w:szCs w:val="21"/>
        </w:rPr>
      </w:pPr>
    </w:p>
    <w:p w14:paraId="0A0B8961">
      <w:pPr>
        <w:snapToGrid w:val="0"/>
        <w:spacing w:line="360" w:lineRule="auto"/>
        <w:rPr>
          <w:rFonts w:hint="eastAsia" w:asciiTheme="minorEastAsia" w:hAnsiTheme="minorEastAsia" w:eastAsiaTheme="minorEastAsia"/>
          <w:szCs w:val="21"/>
        </w:rPr>
      </w:pPr>
    </w:p>
    <w:p w14:paraId="191E30F8">
      <w:pPr>
        <w:snapToGrid w:val="0"/>
        <w:spacing w:line="360" w:lineRule="auto"/>
        <w:rPr>
          <w:rFonts w:hint="eastAsia" w:asciiTheme="minorEastAsia" w:hAnsiTheme="minorEastAsia" w:eastAsiaTheme="minorEastAsia"/>
          <w:szCs w:val="21"/>
        </w:rPr>
      </w:pPr>
    </w:p>
    <w:p w14:paraId="1CDECB5C">
      <w:pPr>
        <w:snapToGrid w:val="0"/>
        <w:spacing w:line="360" w:lineRule="auto"/>
        <w:rPr>
          <w:rFonts w:hint="eastAsia" w:asciiTheme="minorEastAsia" w:hAnsiTheme="minorEastAsia" w:eastAsiaTheme="minorEastAsia"/>
          <w:szCs w:val="21"/>
        </w:rPr>
      </w:pPr>
    </w:p>
    <w:p w14:paraId="2A429BC3">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被授权人身份证复印件（正反面）：</w:t>
      </w:r>
    </w:p>
    <w:p w14:paraId="69DCBF80">
      <w:pPr>
        <w:snapToGrid w:val="0"/>
        <w:spacing w:line="360" w:lineRule="auto"/>
        <w:rPr>
          <w:rFonts w:hint="eastAsia" w:asciiTheme="minorEastAsia" w:hAnsiTheme="minorEastAsia" w:eastAsiaTheme="minorEastAsia"/>
          <w:szCs w:val="21"/>
        </w:rPr>
      </w:pPr>
    </w:p>
    <w:p w14:paraId="71B6C8E2">
      <w:pPr>
        <w:widowControl/>
        <w:spacing w:line="360" w:lineRule="auto"/>
        <w:jc w:val="left"/>
        <w:rPr>
          <w:rFonts w:hint="eastAsia" w:asciiTheme="minorEastAsia" w:hAnsiTheme="minorEastAsia" w:eastAsiaTheme="minorEastAsia"/>
          <w:b/>
          <w:szCs w:val="21"/>
        </w:rPr>
      </w:pPr>
      <w:r>
        <w:rPr>
          <w:rFonts w:asciiTheme="minorEastAsia" w:hAnsiTheme="minorEastAsia" w:eastAsiaTheme="minorEastAsia"/>
          <w:b/>
          <w:szCs w:val="21"/>
        </w:rPr>
        <w:br w:type="page"/>
      </w:r>
    </w:p>
    <w:p w14:paraId="56429F1F">
      <w:pPr>
        <w:snapToGrid w:val="0"/>
        <w:spacing w:before="156" w:beforeLines="50" w:after="50" w:line="360" w:lineRule="auto"/>
        <w:outlineLvl w:val="1"/>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五、投标函格式</w:t>
      </w:r>
    </w:p>
    <w:p w14:paraId="38CA139B">
      <w:pPr>
        <w:snapToGrid w:val="0"/>
        <w:spacing w:before="156" w:beforeLines="50" w:after="50" w:line="360" w:lineRule="auto"/>
        <w:rPr>
          <w:rFonts w:hint="eastAsia" w:asciiTheme="minorEastAsia" w:hAnsiTheme="minorEastAsia" w:eastAsiaTheme="minorEastAsia"/>
          <w:b/>
          <w:szCs w:val="21"/>
        </w:rPr>
      </w:pPr>
    </w:p>
    <w:p w14:paraId="5F2B42A6">
      <w:pPr>
        <w:snapToGrid w:val="0"/>
        <w:spacing w:before="156" w:beforeLines="50" w:after="50"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投 标 函</w:t>
      </w:r>
    </w:p>
    <w:p w14:paraId="2AFB1881">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致：嘉兴经济技术开发区财政金融部：</w:t>
      </w:r>
    </w:p>
    <w:p w14:paraId="5DA60116">
      <w:pPr>
        <w:snapToGrid w:val="0"/>
        <w:spacing w:line="360" w:lineRule="auto"/>
        <w:ind w:firstLine="480"/>
        <w:jc w:val="left"/>
        <w:rPr>
          <w:rFonts w:hint="eastAsia" w:asciiTheme="minorEastAsia" w:hAnsiTheme="minorEastAsia" w:eastAsiaTheme="minorEastAsia"/>
          <w:szCs w:val="21"/>
        </w:rPr>
      </w:pPr>
      <w:r>
        <w:rPr>
          <w:rFonts w:hint="eastAsia" w:asciiTheme="minorEastAsia" w:hAnsiTheme="minorEastAsia" w:eastAsiaTheme="minorEastAsia"/>
          <w:szCs w:val="21"/>
        </w:rPr>
        <w:t>根据贵方</w:t>
      </w:r>
      <w:r>
        <w:rPr>
          <w:rFonts w:hint="eastAsia" w:asciiTheme="minorEastAsia" w:hAnsiTheme="minorEastAsia" w:eastAsiaTheme="minorEastAsia"/>
          <w:szCs w:val="21"/>
          <w:u w:val="single"/>
        </w:rPr>
        <w:t>2024年（第五期）嘉兴经济技术开发区公共资金竞争性存放项目</w:t>
      </w:r>
      <w:r>
        <w:rPr>
          <w:rFonts w:hint="eastAsia" w:asciiTheme="minorEastAsia" w:hAnsiTheme="minorEastAsia" w:eastAsiaTheme="minorEastAsia"/>
          <w:szCs w:val="21"/>
        </w:rPr>
        <w:t>的招标公告〔项目编号：</w:t>
      </w:r>
      <w:r>
        <w:rPr>
          <w:rFonts w:hint="eastAsia" w:asciiTheme="minorEastAsia" w:hAnsiTheme="minorEastAsia" w:eastAsiaTheme="minorEastAsia"/>
          <w:szCs w:val="21"/>
          <w:u w:val="single"/>
        </w:rPr>
        <w:t>定存（2024）05〕</w:t>
      </w:r>
      <w:r>
        <w:rPr>
          <w:rFonts w:hint="eastAsia" w:asciiTheme="minorEastAsia" w:hAnsiTheme="minorEastAsia" w:eastAsiaTheme="minorEastAsia"/>
          <w:szCs w:val="21"/>
        </w:rPr>
        <w:t>，被授权人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（姓名）经正式授权并代表投标人</w:t>
      </w:r>
      <w:r>
        <w:rPr>
          <w:rFonts w:hint="eastAsia" w:asciiTheme="minorEastAsia" w:hAnsiTheme="minorEastAsia" w:eastAsiaTheme="minorEastAsia"/>
          <w:szCs w:val="21"/>
          <w:u w:val="single"/>
        </w:rPr>
        <w:t xml:space="preserve">_              </w:t>
      </w:r>
      <w:r>
        <w:rPr>
          <w:rFonts w:hint="eastAsia" w:asciiTheme="minorEastAsia" w:hAnsiTheme="minorEastAsia" w:eastAsiaTheme="minorEastAsia"/>
          <w:szCs w:val="21"/>
        </w:rPr>
        <w:t>（投标人名称）提交资信技术文件及报价文件</w:t>
      </w:r>
      <w:r>
        <w:rPr>
          <w:rFonts w:hint="eastAsia" w:asciiTheme="minorEastAsia" w:hAnsiTheme="minorEastAsia" w:eastAsiaTheme="minorEastAsia"/>
          <w:szCs w:val="21"/>
          <w:u w:val="single"/>
        </w:rPr>
        <w:t>正本一份、副本一份</w:t>
      </w:r>
      <w:r>
        <w:rPr>
          <w:rFonts w:hint="eastAsia" w:asciiTheme="minorEastAsia" w:hAnsiTheme="minorEastAsia" w:eastAsiaTheme="minorEastAsia"/>
          <w:szCs w:val="21"/>
        </w:rPr>
        <w:t>。</w:t>
      </w:r>
    </w:p>
    <w:p w14:paraId="015F7EA9">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据此函，签字代表宣布同意如下：</w:t>
      </w:r>
    </w:p>
    <w:p w14:paraId="0F65A5C2">
      <w:pPr>
        <w:pStyle w:val="62"/>
        <w:numPr>
          <w:ilvl w:val="2"/>
          <w:numId w:val="35"/>
        </w:numPr>
        <w:tabs>
          <w:tab w:val="left" w:pos="709"/>
        </w:tabs>
        <w:snapToGrid w:val="0"/>
        <w:spacing w:line="360" w:lineRule="auto"/>
        <w:ind w:left="0" w:firstLine="426"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投标人已详细审查全部“招标文件”，包括修改文件（如有的话）以及全部参考资料和有关附件，已经了解我方对于招标文件、招标过程、招标结果有依法进行询问、质疑、投诉的权利及相关渠道和要求。</w:t>
      </w:r>
    </w:p>
    <w:p w14:paraId="06DA40CC">
      <w:pPr>
        <w:pStyle w:val="62"/>
        <w:numPr>
          <w:ilvl w:val="2"/>
          <w:numId w:val="35"/>
        </w:numPr>
        <w:tabs>
          <w:tab w:val="left" w:pos="709"/>
        </w:tabs>
        <w:snapToGrid w:val="0"/>
        <w:spacing w:line="360" w:lineRule="auto"/>
        <w:ind w:left="0" w:firstLine="426"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投标人在投标之前已经与贵方进行了充分的沟通，完全理解并接受招标文件的各项规定和要求，对招标文件的合理性、合法性不再有异议。</w:t>
      </w:r>
    </w:p>
    <w:p w14:paraId="66740BAE">
      <w:pPr>
        <w:pStyle w:val="62"/>
        <w:numPr>
          <w:ilvl w:val="2"/>
          <w:numId w:val="35"/>
        </w:numPr>
        <w:tabs>
          <w:tab w:val="left" w:pos="709"/>
        </w:tabs>
        <w:snapToGrid w:val="0"/>
        <w:spacing w:line="360" w:lineRule="auto"/>
        <w:ind w:left="0" w:firstLine="426" w:firstLineChars="0"/>
        <w:rPr>
          <w:rFonts w:hint="eastAsia" w:asciiTheme="minorEastAsia" w:hAnsiTheme="minorEastAsia" w:eastAsiaTheme="minorEastAsia"/>
          <w:szCs w:val="21"/>
        </w:rPr>
      </w:pPr>
      <w:r>
        <w:rPr>
          <w:rFonts w:hint="eastAsia" w:asciiTheme="minorEastAsia" w:hAnsiTheme="minorEastAsia" w:eastAsiaTheme="minorEastAsia"/>
          <w:szCs w:val="21"/>
        </w:rPr>
        <w:t>本投标有效期自开标日起60日。</w:t>
      </w:r>
    </w:p>
    <w:p w14:paraId="1264D1DC">
      <w:pPr>
        <w:pStyle w:val="62"/>
        <w:numPr>
          <w:ilvl w:val="2"/>
          <w:numId w:val="35"/>
        </w:numPr>
        <w:tabs>
          <w:tab w:val="left" w:pos="709"/>
        </w:tabs>
        <w:snapToGrid w:val="0"/>
        <w:spacing w:line="360" w:lineRule="auto"/>
        <w:ind w:left="0" w:firstLine="426" w:firstLineChars="0"/>
        <w:rPr>
          <w:rFonts w:hint="eastAsia" w:asciiTheme="minorEastAsia" w:hAnsiTheme="minorEastAsia" w:eastAsiaTheme="minorEastAsia"/>
          <w:szCs w:val="21"/>
        </w:rPr>
      </w:pPr>
      <w:r>
        <w:rPr>
          <w:rFonts w:hint="eastAsia" w:asciiTheme="minorEastAsia" w:hAnsiTheme="minorEastAsia" w:eastAsiaTheme="minorEastAsia"/>
          <w:szCs w:val="21"/>
        </w:rPr>
        <w:t>如中标，本投标文件至本项目合同履行完毕止均保持有效，本投标人将按“招标文件”及招投标法律、法规的规定履行合同责任和义务。</w:t>
      </w:r>
    </w:p>
    <w:p w14:paraId="67ADB45A">
      <w:pPr>
        <w:pStyle w:val="62"/>
        <w:numPr>
          <w:ilvl w:val="2"/>
          <w:numId w:val="35"/>
        </w:numPr>
        <w:tabs>
          <w:tab w:val="left" w:pos="709"/>
        </w:tabs>
        <w:snapToGrid w:val="0"/>
        <w:spacing w:line="360" w:lineRule="auto"/>
        <w:ind w:left="0" w:firstLine="426"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投标人同意按照贵方要求提供与投标有关的一切数据或资料。</w:t>
      </w:r>
    </w:p>
    <w:p w14:paraId="4BB26D5F">
      <w:pPr>
        <w:pStyle w:val="62"/>
        <w:numPr>
          <w:ilvl w:val="2"/>
          <w:numId w:val="35"/>
        </w:numPr>
        <w:tabs>
          <w:tab w:val="left" w:pos="709"/>
        </w:tabs>
        <w:snapToGrid w:val="0"/>
        <w:spacing w:line="360" w:lineRule="auto"/>
        <w:ind w:left="0" w:firstLine="426" w:firstLineChars="0"/>
        <w:rPr>
          <w:rFonts w:hint="eastAsia" w:asciiTheme="minorEastAsia" w:hAnsiTheme="minorEastAsia" w:eastAsiaTheme="minorEastAsia"/>
          <w:szCs w:val="21"/>
        </w:rPr>
      </w:pPr>
      <w:r>
        <w:rPr>
          <w:rFonts w:hint="eastAsia" w:asciiTheme="minorEastAsia" w:hAnsiTheme="minorEastAsia" w:eastAsiaTheme="minorEastAsia"/>
          <w:szCs w:val="21"/>
        </w:rPr>
        <w:t>与本投标有关的一切正式往来信函请寄：</w:t>
      </w:r>
    </w:p>
    <w:p w14:paraId="0C81BD30">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地址：___________________邮编：_________传真：_____</w:t>
      </w:r>
      <w:r>
        <w:rPr>
          <w:rFonts w:hint="eastAsia" w:asciiTheme="minorEastAsia" w:hAnsiTheme="minorEastAsia" w:eastAsiaTheme="minorEastAsia"/>
          <w:szCs w:val="21"/>
          <w:u w:val="single"/>
        </w:rPr>
        <w:t>_</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___</w:t>
      </w:r>
    </w:p>
    <w:p w14:paraId="0D0F4338">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被授权人姓名：_________________  电话：_________________</w:t>
      </w:r>
    </w:p>
    <w:p w14:paraId="653D1CDA">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被授权人签字:_________________   </w:t>
      </w:r>
    </w:p>
    <w:p w14:paraId="4959E02A">
      <w:pPr>
        <w:snapToGrid w:val="0"/>
        <w:spacing w:line="360" w:lineRule="auto"/>
        <w:jc w:val="left"/>
        <w:rPr>
          <w:rFonts w:hint="eastAsia" w:asciiTheme="minorEastAsia" w:hAnsiTheme="minorEastAsia" w:eastAsiaTheme="minorEastAsia"/>
          <w:szCs w:val="21"/>
        </w:rPr>
      </w:pPr>
    </w:p>
    <w:p w14:paraId="5E69792F">
      <w:pPr>
        <w:snapToGrid w:val="0"/>
        <w:spacing w:line="360" w:lineRule="auto"/>
        <w:jc w:val="left"/>
        <w:rPr>
          <w:rFonts w:hint="eastAsia" w:asciiTheme="minorEastAsia" w:hAnsiTheme="minorEastAsia" w:eastAsiaTheme="minorEastAsia"/>
          <w:szCs w:val="21"/>
        </w:rPr>
      </w:pPr>
    </w:p>
    <w:p w14:paraId="39CB9343">
      <w:pPr>
        <w:snapToGri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(公章)</w:t>
      </w:r>
    </w:p>
    <w:p w14:paraId="7329BD1C">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日期: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年   月   日</w:t>
      </w:r>
    </w:p>
    <w:p w14:paraId="15C7E641">
      <w:pPr>
        <w:widowControl/>
        <w:spacing w:line="360" w:lineRule="auto"/>
        <w:jc w:val="left"/>
        <w:rPr>
          <w:rFonts w:hint="eastAsia" w:asciiTheme="minorEastAsia" w:hAnsiTheme="minorEastAsia" w:eastAsiaTheme="minorEastAsia"/>
          <w:b/>
          <w:szCs w:val="21"/>
        </w:rPr>
      </w:pPr>
      <w:r>
        <w:rPr>
          <w:rFonts w:asciiTheme="minorEastAsia" w:hAnsiTheme="minorEastAsia" w:eastAsiaTheme="minorEastAsia"/>
          <w:b/>
          <w:szCs w:val="21"/>
        </w:rPr>
        <w:br w:type="page"/>
      </w:r>
    </w:p>
    <w:p w14:paraId="107379EB">
      <w:pPr>
        <w:snapToGrid w:val="0"/>
        <w:spacing w:before="156" w:beforeLines="50" w:after="50" w:line="360" w:lineRule="auto"/>
        <w:outlineLvl w:val="1"/>
        <w:rPr>
          <w:rFonts w:hint="eastAsia" w:asciiTheme="minorEastAsia" w:hAnsiTheme="minorEastAsia" w:eastAsiaTheme="minorEastAsia"/>
          <w:b/>
          <w:bCs/>
          <w:szCs w:val="21"/>
        </w:rPr>
      </w:pPr>
      <w:r>
        <w:rPr>
          <w:rFonts w:hint="eastAsia" w:asciiTheme="minorEastAsia" w:hAnsiTheme="minorEastAsia" w:eastAsiaTheme="minorEastAsia"/>
          <w:b/>
          <w:bCs/>
          <w:szCs w:val="21"/>
        </w:rPr>
        <w:t>六、廉政承诺书格式</w:t>
      </w:r>
    </w:p>
    <w:p w14:paraId="51B7F4BA">
      <w:pPr>
        <w:snapToGrid w:val="0"/>
        <w:spacing w:before="50" w:after="156" w:afterLines="50" w:line="360" w:lineRule="auto"/>
        <w:jc w:val="left"/>
        <w:rPr>
          <w:rFonts w:hint="eastAsia" w:asciiTheme="minorEastAsia" w:hAnsiTheme="minorEastAsia" w:eastAsiaTheme="minorEastAsia"/>
          <w:szCs w:val="21"/>
        </w:rPr>
      </w:pPr>
    </w:p>
    <w:p w14:paraId="4E1496B9">
      <w:pPr>
        <w:spacing w:line="360" w:lineRule="auto"/>
        <w:jc w:val="center"/>
        <w:rPr>
          <w:rFonts w:hint="eastAsia" w:cs="方正小标宋简体" w:asciiTheme="minorEastAsia" w:hAnsiTheme="minorEastAsia" w:eastAsiaTheme="minorEastAsia"/>
          <w:b/>
          <w:szCs w:val="21"/>
        </w:rPr>
      </w:pPr>
      <w:r>
        <w:rPr>
          <w:rFonts w:hint="eastAsia" w:cs="方正小标宋简体" w:asciiTheme="minorEastAsia" w:hAnsiTheme="minorEastAsia" w:eastAsiaTheme="minorEastAsia"/>
          <w:b/>
          <w:szCs w:val="21"/>
        </w:rPr>
        <w:t>廉政承诺书</w:t>
      </w:r>
    </w:p>
    <w:p w14:paraId="6F606136">
      <w:pPr>
        <w:spacing w:line="360" w:lineRule="auto"/>
        <w:jc w:val="center"/>
        <w:rPr>
          <w:rFonts w:hint="eastAsia" w:cs="仿宋_GB2312" w:asciiTheme="minorEastAsia" w:hAnsiTheme="minorEastAsia" w:eastAsiaTheme="minorEastAsia"/>
          <w:szCs w:val="21"/>
        </w:rPr>
      </w:pPr>
    </w:p>
    <w:p w14:paraId="512B96E0">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致：嘉兴经济技术开发区财政金融部：</w:t>
      </w:r>
    </w:p>
    <w:p w14:paraId="654EEF2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根据《嘉兴经济技术开发区、嘉兴国际商务区区级财政部门和预算单位资金存放管理实施办法》（嘉开财〔2018〕152号）相关规定，现就本行参加贵单位202</w:t>
      </w:r>
      <w:r>
        <w:rPr>
          <w:rFonts w:asciiTheme="minorEastAsia" w:hAnsiTheme="minorEastAsia" w:eastAsiaTheme="minorEastAsia"/>
          <w:szCs w:val="21"/>
        </w:rPr>
        <w:t>4</w:t>
      </w:r>
      <w:r>
        <w:rPr>
          <w:rFonts w:hint="eastAsia" w:asciiTheme="minorEastAsia" w:hAnsiTheme="minorEastAsia" w:eastAsiaTheme="minorEastAsia"/>
          <w:szCs w:val="21"/>
        </w:rPr>
        <w:t>年（第五期）嘉兴经济技术开发区公共资金竞争性存放作出如下承诺：</w:t>
      </w:r>
    </w:p>
    <w:p w14:paraId="06CD05BF">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 xml:space="preserve">    1.</w:t>
      </w:r>
      <w:r>
        <w:rPr>
          <w:rFonts w:hint="eastAsia" w:asciiTheme="minorEastAsia" w:hAnsiTheme="minorEastAsia" w:eastAsiaTheme="minorEastAsia"/>
          <w:szCs w:val="21"/>
        </w:rPr>
        <w:t>不向贵部门（单位）负责资金存放管理的领导及相关人员进行利益输送；</w:t>
      </w:r>
    </w:p>
    <w:p w14:paraId="1E3772BD">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不将资金存放与贵部门（单位）负责资金存放管理的领导及相关人员在本行的配偶、子女及其配偶和其他直接利益相关人员的业绩、收入、晋升等利益挂钩；</w:t>
      </w:r>
    </w:p>
    <w:p w14:paraId="4FB76067">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各主管部门自行组织或委托招标代理机构组织实施资金竞争性存放的，严格执行利益回避制度，贵部门（单位）负责资金竞争性存放相关人员的配偶、子女及其配偶和其他直接利益相关人员为本行工作人员的，不参与资金竞争性存放工作；</w:t>
      </w:r>
    </w:p>
    <w:p w14:paraId="6FDFE754">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 xml:space="preserve">    4.</w:t>
      </w:r>
      <w:r>
        <w:rPr>
          <w:rFonts w:hint="eastAsia" w:asciiTheme="minorEastAsia" w:hAnsiTheme="minorEastAsia" w:eastAsiaTheme="minorEastAsia"/>
          <w:szCs w:val="21"/>
        </w:rPr>
        <w:t>不发生除上述行为之外的其他任何利益输送行为。</w:t>
      </w:r>
    </w:p>
    <w:p w14:paraId="19BC147E">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未遵守以上承诺的，本行自愿接受财政部门通报和处理，承担相应的一切后果。</w:t>
      </w:r>
    </w:p>
    <w:p w14:paraId="0BEB3DD1">
      <w:pPr>
        <w:spacing w:line="360" w:lineRule="auto"/>
        <w:ind w:firstLine="630"/>
        <w:rPr>
          <w:rFonts w:hint="eastAsia" w:asciiTheme="minorEastAsia" w:hAnsiTheme="minorEastAsia" w:eastAsiaTheme="minorEastAsia"/>
          <w:szCs w:val="21"/>
        </w:rPr>
      </w:pPr>
    </w:p>
    <w:p w14:paraId="21B60D80">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投标人公章：</w:t>
      </w:r>
      <w:r>
        <w:rPr>
          <w:rFonts w:asciiTheme="minorEastAsia" w:hAnsiTheme="minorEastAsia" w:eastAsiaTheme="minorEastAsia"/>
          <w:szCs w:val="21"/>
        </w:rPr>
        <w:t>________</w:t>
      </w:r>
      <w:r>
        <w:rPr>
          <w:rFonts w:hint="eastAsia" w:asciiTheme="minorEastAsia" w:hAnsiTheme="minorEastAsia" w:eastAsiaTheme="minorEastAsia"/>
          <w:szCs w:val="21"/>
        </w:rPr>
        <w:t>_____</w:t>
      </w:r>
      <w:r>
        <w:rPr>
          <w:rFonts w:asciiTheme="minorEastAsia" w:hAnsiTheme="minorEastAsia" w:eastAsiaTheme="minorEastAsia"/>
          <w:szCs w:val="21"/>
        </w:rPr>
        <w:t>_</w:t>
      </w:r>
    </w:p>
    <w:p w14:paraId="48AE9FBF">
      <w:pPr>
        <w:spacing w:line="360" w:lineRule="auto"/>
        <w:rPr>
          <w:rFonts w:hint="eastAsia" w:asciiTheme="minorEastAsia" w:hAnsiTheme="minorEastAsia" w:eastAsiaTheme="minorEastAsia"/>
          <w:szCs w:val="21"/>
        </w:rPr>
      </w:pPr>
    </w:p>
    <w:p w14:paraId="3BCA488B">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536F39FD">
      <w:pPr>
        <w:spacing w:line="360" w:lineRule="auto"/>
        <w:ind w:firstLine="630" w:firstLineChars="300"/>
        <w:rPr>
          <w:rFonts w:hint="eastAsia" w:asciiTheme="minorEastAsia" w:hAnsiTheme="minorEastAsia" w:eastAsiaTheme="minorEastAsia"/>
          <w:szCs w:val="21"/>
        </w:rPr>
      </w:pPr>
    </w:p>
    <w:p w14:paraId="511D82BE">
      <w:pPr>
        <w:pStyle w:val="22"/>
        <w:snapToGrid w:val="0"/>
        <w:spacing w:beforeLines="0" w:afterLines="0" w:line="360" w:lineRule="auto"/>
        <w:rPr>
          <w:rFonts w:hint="eastAsia" w:asciiTheme="minorEastAsia" w:hAnsiTheme="minorEastAsia" w:eastAsiaTheme="minorEastAsia"/>
          <w:b/>
          <w:sz w:val="21"/>
          <w:szCs w:val="21"/>
        </w:rPr>
      </w:pPr>
    </w:p>
    <w:p w14:paraId="6C8B3EAF">
      <w:pPr>
        <w:pStyle w:val="22"/>
        <w:snapToGrid w:val="0"/>
        <w:spacing w:beforeLines="0" w:afterLines="0" w:line="360" w:lineRule="auto"/>
        <w:rPr>
          <w:rFonts w:hint="eastAsia" w:asciiTheme="minorEastAsia" w:hAnsiTheme="minorEastAsia" w:eastAsiaTheme="minorEastAsia"/>
          <w:b/>
          <w:sz w:val="21"/>
          <w:szCs w:val="21"/>
        </w:rPr>
      </w:pPr>
    </w:p>
    <w:p w14:paraId="667860BB">
      <w:pPr>
        <w:pStyle w:val="22"/>
        <w:snapToGrid w:val="0"/>
        <w:spacing w:beforeLines="0" w:afterLines="0" w:line="360" w:lineRule="auto"/>
        <w:rPr>
          <w:rFonts w:hint="eastAsia" w:asciiTheme="minorEastAsia" w:hAnsiTheme="minorEastAsia" w:eastAsiaTheme="minorEastAsia"/>
          <w:b/>
          <w:sz w:val="21"/>
          <w:szCs w:val="21"/>
        </w:rPr>
      </w:pPr>
    </w:p>
    <w:p w14:paraId="5A315F09">
      <w:pPr>
        <w:pStyle w:val="22"/>
        <w:snapToGrid w:val="0"/>
        <w:spacing w:beforeLines="0" w:afterLines="0" w:line="360" w:lineRule="auto"/>
        <w:rPr>
          <w:rFonts w:hint="eastAsia" w:asciiTheme="minorEastAsia" w:hAnsiTheme="minorEastAsia" w:eastAsiaTheme="minorEastAsia"/>
          <w:b/>
          <w:sz w:val="21"/>
          <w:szCs w:val="21"/>
        </w:rPr>
      </w:pPr>
    </w:p>
    <w:p w14:paraId="41746E05">
      <w:pPr>
        <w:pStyle w:val="22"/>
        <w:snapToGrid w:val="0"/>
        <w:spacing w:beforeLines="0" w:afterLines="0" w:line="360" w:lineRule="auto"/>
        <w:rPr>
          <w:rFonts w:hint="eastAsia" w:asciiTheme="minorEastAsia" w:hAnsiTheme="minorEastAsia" w:eastAsiaTheme="minorEastAsia"/>
          <w:b/>
          <w:sz w:val="21"/>
          <w:szCs w:val="21"/>
        </w:rPr>
      </w:pPr>
    </w:p>
    <w:p w14:paraId="402BF09E">
      <w:pPr>
        <w:pStyle w:val="22"/>
        <w:snapToGrid w:val="0"/>
        <w:spacing w:beforeLines="0" w:afterLines="0" w:line="360" w:lineRule="auto"/>
        <w:rPr>
          <w:rFonts w:hint="eastAsia" w:asciiTheme="minorEastAsia" w:hAnsiTheme="minorEastAsia" w:eastAsiaTheme="minorEastAsia"/>
          <w:b/>
          <w:sz w:val="21"/>
          <w:szCs w:val="21"/>
        </w:rPr>
        <w:sectPr>
          <w:pgSz w:w="11907" w:h="16840"/>
          <w:pgMar w:top="1440" w:right="1797" w:bottom="1440" w:left="1797" w:header="851" w:footer="851" w:gutter="0"/>
          <w:cols w:space="425" w:num="1"/>
          <w:titlePg/>
          <w:docGrid w:type="lines" w:linePitch="312" w:charSpace="0"/>
        </w:sectPr>
      </w:pPr>
    </w:p>
    <w:p w14:paraId="76601CEB">
      <w:pPr>
        <w:snapToGrid w:val="0"/>
        <w:spacing w:before="156" w:beforeLines="50" w:after="50" w:line="360" w:lineRule="auto"/>
        <w:outlineLvl w:val="1"/>
        <w:rPr>
          <w:rFonts w:hint="eastAsia" w:asciiTheme="minorEastAsia" w:hAnsiTheme="minorEastAsia" w:eastAsiaTheme="minorEastAsia"/>
          <w:b/>
          <w:bCs/>
          <w:szCs w:val="21"/>
        </w:rPr>
      </w:pPr>
      <w:r>
        <w:rPr>
          <w:rFonts w:hint="eastAsia" w:asciiTheme="minorEastAsia" w:hAnsiTheme="minorEastAsia" w:eastAsiaTheme="minorEastAsia"/>
          <w:b/>
          <w:bCs/>
          <w:szCs w:val="21"/>
        </w:rPr>
        <w:t>七、投标报价表格式</w:t>
      </w:r>
    </w:p>
    <w:p w14:paraId="1F18ADFD">
      <w:pPr>
        <w:spacing w:line="360" w:lineRule="auto"/>
        <w:ind w:firstLine="422" w:firstLineChars="200"/>
        <w:jc w:val="center"/>
        <w:rPr>
          <w:rFonts w:hint="eastAsia" w:asciiTheme="minorEastAsia" w:hAnsiTheme="minorEastAsia" w:eastAsiaTheme="minorEastAsia"/>
          <w:b/>
          <w:szCs w:val="21"/>
        </w:rPr>
      </w:pPr>
      <w:r>
        <w:rPr>
          <w:rFonts w:hint="eastAsia" w:asciiTheme="minorEastAsia" w:hAnsiTheme="minorEastAsia" w:eastAsiaTheme="minorEastAsia"/>
          <w:b/>
          <w:szCs w:val="21"/>
        </w:rPr>
        <w:t>2024年（第五期）嘉兴经济技术开发区公共资金竞争性存放项目</w:t>
      </w:r>
    </w:p>
    <w:p w14:paraId="414D276E">
      <w:pPr>
        <w:spacing w:line="360" w:lineRule="auto"/>
        <w:ind w:firstLine="422" w:firstLineChars="200"/>
        <w:jc w:val="center"/>
        <w:rPr>
          <w:rFonts w:hint="eastAsia" w:asciiTheme="minorEastAsia" w:hAnsiTheme="minorEastAsia" w:eastAsiaTheme="minorEastAsia"/>
          <w:b/>
          <w:szCs w:val="21"/>
        </w:rPr>
      </w:pPr>
      <w:r>
        <w:rPr>
          <w:rFonts w:hint="eastAsia" w:asciiTheme="minorEastAsia" w:hAnsiTheme="minorEastAsia" w:eastAsiaTheme="minorEastAsia"/>
          <w:b/>
          <w:szCs w:val="21"/>
        </w:rPr>
        <w:t>投标报价一览表</w:t>
      </w:r>
    </w:p>
    <w:p w14:paraId="292C4F61">
      <w:pPr>
        <w:spacing w:line="360" w:lineRule="auto"/>
        <w:jc w:val="center"/>
        <w:rPr>
          <w:rFonts w:hint="eastAsia" w:asciiTheme="minorEastAsia" w:hAnsiTheme="minorEastAsia" w:eastAsiaTheme="minorEastAsia"/>
          <w:szCs w:val="21"/>
          <w:u w:val="single"/>
        </w:rPr>
      </w:pPr>
    </w:p>
    <w:p w14:paraId="1786AA78">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rPr>
        <w:t>嘉兴经济技术开发区财政金融部</w:t>
      </w:r>
    </w:p>
    <w:p w14:paraId="5F44A6F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我单位承诺：本投标书由我单位被授权人填写，内容真实、准确、完整。</w:t>
      </w:r>
    </w:p>
    <w:p w14:paraId="6AE87DF5">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投标人名称：________________________________________________</w:t>
      </w:r>
    </w:p>
    <w:p w14:paraId="4241EB41">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被授权人姓名：___________________ 联系电话：________________</w:t>
      </w:r>
    </w:p>
    <w:p w14:paraId="4D9CCD7F">
      <w:pPr>
        <w:spacing w:line="360" w:lineRule="auto"/>
        <w:rPr>
          <w:rFonts w:hint="eastAsia" w:asciiTheme="minorEastAsia" w:hAnsiTheme="minorEastAsia" w:eastAsiaTheme="minorEastAsia"/>
          <w:szCs w:val="21"/>
        </w:rPr>
      </w:pPr>
    </w:p>
    <w:tbl>
      <w:tblPr>
        <w:tblStyle w:val="39"/>
        <w:tblW w:w="7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2268"/>
        <w:gridCol w:w="1431"/>
      </w:tblGrid>
      <w:tr w14:paraId="5078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093" w:type="dxa"/>
            <w:vAlign w:val="center"/>
          </w:tcPr>
          <w:p w14:paraId="44247C38">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（存期）</w:t>
            </w:r>
          </w:p>
        </w:tc>
        <w:tc>
          <w:tcPr>
            <w:tcW w:w="1984" w:type="dxa"/>
            <w:vAlign w:val="center"/>
          </w:tcPr>
          <w:p w14:paraId="6EAC9C4C">
            <w:pPr>
              <w:spacing w:line="360" w:lineRule="auto"/>
              <w:ind w:right="84" w:rightChars="40"/>
              <w:rPr>
                <w:rFonts w:hint="eastAsia" w:asciiTheme="minorEastAsia" w:hAnsiTheme="minorEastAsia" w:eastAsiaTheme="minorEastAsia"/>
                <w:szCs w:val="21"/>
              </w:rPr>
            </w:pPr>
            <w:r>
              <w:rPr>
                <w:rFonts w:hint="eastAsia" w:ascii="宋体" w:hAnsi="宋体"/>
                <w:szCs w:val="21"/>
              </w:rPr>
              <w:t>央行基准利率</w:t>
            </w:r>
          </w:p>
        </w:tc>
        <w:tc>
          <w:tcPr>
            <w:tcW w:w="2268" w:type="dxa"/>
            <w:vAlign w:val="center"/>
          </w:tcPr>
          <w:p w14:paraId="6CAD4AEB">
            <w:pPr>
              <w:spacing w:line="360" w:lineRule="auto"/>
              <w:ind w:right="84" w:rightChars="40"/>
              <w:rPr>
                <w:rFonts w:hint="eastAsia" w:asciiTheme="minorEastAsia" w:hAnsiTheme="minorEastAsia" w:eastAsiaTheme="minorEastAsia"/>
                <w:szCs w:val="21"/>
              </w:rPr>
            </w:pPr>
            <w:r>
              <w:rPr>
                <w:rFonts w:hint="eastAsia" w:ascii="宋体" w:hAnsi="宋体"/>
                <w:szCs w:val="21"/>
              </w:rPr>
              <w:t>上浮基点（BP）</w:t>
            </w:r>
          </w:p>
        </w:tc>
        <w:tc>
          <w:tcPr>
            <w:tcW w:w="1431" w:type="dxa"/>
            <w:vAlign w:val="center"/>
          </w:tcPr>
          <w:p w14:paraId="0C470133">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备注</w:t>
            </w:r>
          </w:p>
        </w:tc>
      </w:tr>
      <w:tr w14:paraId="22AA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93" w:type="dxa"/>
            <w:vAlign w:val="center"/>
          </w:tcPr>
          <w:p w14:paraId="32ED3425">
            <w:pPr>
              <w:spacing w:line="360" w:lineRule="auto"/>
              <w:rPr>
                <w:rFonts w:hint="eastAsia" w:asciiTheme="minorEastAsia" w:hAnsiTheme="minorEastAsia" w:eastAsiaTheme="minorEastAsia"/>
                <w:szCs w:val="21"/>
              </w:rPr>
            </w:pPr>
            <w:r>
              <w:rPr>
                <w:rFonts w:hint="eastAsia" w:ascii="宋体" w:hAnsi="宋体"/>
                <w:sz w:val="22"/>
                <w:szCs w:val="22"/>
              </w:rPr>
              <w:t>3个月定期存款</w:t>
            </w:r>
          </w:p>
        </w:tc>
        <w:tc>
          <w:tcPr>
            <w:tcW w:w="1984" w:type="dxa"/>
          </w:tcPr>
          <w:p w14:paraId="6539F7BD">
            <w:pPr>
              <w:spacing w:line="360" w:lineRule="auto"/>
              <w:rPr>
                <w:rFonts w:hint="eastAsia" w:ascii="MingLiU_HKSCS-ExtB" w:hAnsi="MingLiU_HKSCS-ExtB" w:eastAsia="MingLiU_HKSCS-ExtB"/>
                <w:szCs w:val="21"/>
              </w:rPr>
            </w:pPr>
          </w:p>
        </w:tc>
        <w:tc>
          <w:tcPr>
            <w:tcW w:w="2268" w:type="dxa"/>
          </w:tcPr>
          <w:p w14:paraId="3E319C94">
            <w:pPr>
              <w:spacing w:line="360" w:lineRule="auto"/>
              <w:rPr>
                <w:rFonts w:hint="eastAsia" w:ascii="MingLiU_HKSCS-ExtB" w:hAnsi="MingLiU_HKSCS-ExtB" w:eastAsia="MingLiU_HKSCS-ExtB"/>
                <w:szCs w:val="21"/>
              </w:rPr>
            </w:pPr>
          </w:p>
        </w:tc>
        <w:tc>
          <w:tcPr>
            <w:tcW w:w="1431" w:type="dxa"/>
          </w:tcPr>
          <w:p w14:paraId="686465D2">
            <w:pPr>
              <w:spacing w:line="360" w:lineRule="auto"/>
              <w:rPr>
                <w:rFonts w:hint="eastAsia" w:asciiTheme="minorEastAsia" w:hAnsiTheme="minorEastAsia" w:eastAsiaTheme="minorEastAsia"/>
                <w:szCs w:val="21"/>
              </w:rPr>
            </w:pPr>
          </w:p>
        </w:tc>
      </w:tr>
    </w:tbl>
    <w:p w14:paraId="0006F6B8">
      <w:pPr>
        <w:spacing w:line="360" w:lineRule="auto"/>
        <w:rPr>
          <w:rFonts w:hint="eastAsia" w:asciiTheme="minorEastAsia" w:hAnsiTheme="minorEastAsia" w:eastAsiaTheme="minorEastAsia"/>
          <w:szCs w:val="21"/>
        </w:rPr>
      </w:pPr>
    </w:p>
    <w:p w14:paraId="4BBE9BF6">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被授权人签字：</w:t>
      </w:r>
    </w:p>
    <w:p w14:paraId="49D05A31">
      <w:pPr>
        <w:spacing w:line="360" w:lineRule="auto"/>
        <w:rPr>
          <w:rFonts w:hint="eastAsia" w:asciiTheme="minorEastAsia" w:hAnsiTheme="minorEastAsia" w:eastAsiaTheme="minorEastAsia"/>
          <w:szCs w:val="21"/>
        </w:rPr>
      </w:pPr>
    </w:p>
    <w:p w14:paraId="659DBE4E">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投标单位(公章）:</w:t>
      </w:r>
    </w:p>
    <w:p w14:paraId="35B510BD">
      <w:pPr>
        <w:spacing w:line="360" w:lineRule="auto"/>
        <w:rPr>
          <w:rFonts w:hint="eastAsia" w:asciiTheme="minorEastAsia" w:hAnsiTheme="minorEastAsia" w:eastAsiaTheme="minorEastAsia"/>
          <w:szCs w:val="21"/>
        </w:rPr>
      </w:pPr>
    </w:p>
    <w:p w14:paraId="2CF14002">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7F45088D">
      <w:pPr>
        <w:spacing w:line="360" w:lineRule="auto"/>
        <w:rPr>
          <w:rFonts w:hint="eastAsia" w:asciiTheme="minorEastAsia" w:hAnsiTheme="minorEastAsia" w:eastAsiaTheme="minorEastAsia"/>
          <w:szCs w:val="21"/>
        </w:rPr>
      </w:pPr>
    </w:p>
    <w:p w14:paraId="3CB62080">
      <w:pPr>
        <w:spacing w:line="36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说明：</w:t>
      </w:r>
    </w:p>
    <w:p w14:paraId="2A6B2039">
      <w:pPr>
        <w:numPr>
          <w:ilvl w:val="0"/>
          <w:numId w:val="0"/>
        </w:numPr>
        <w:spacing w:line="36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cstheme="minorEastAsia"/>
          <w:szCs w:val="21"/>
          <w:highlight w:val="none"/>
        </w:rPr>
        <w:t>投标人报价</w:t>
      </w:r>
      <w:r>
        <w:rPr>
          <w:rFonts w:hint="eastAsia" w:asciiTheme="minorEastAsia" w:hAnsiTheme="minorEastAsia" w:eastAsiaTheme="minorEastAsia"/>
          <w:szCs w:val="21"/>
          <w:highlight w:val="none"/>
        </w:rPr>
        <w:t>不得违反国家利率政策</w:t>
      </w:r>
      <w:r>
        <w:rPr>
          <w:rFonts w:hint="eastAsia" w:asciiTheme="minorEastAsia" w:hAnsiTheme="minorEastAsia" w:eastAsiaTheme="minorEastAsia" w:cstheme="minorEastAsia"/>
          <w:szCs w:val="21"/>
          <w:highlight w:val="none"/>
        </w:rPr>
        <w:t>和浙江省市场利率定价自律机制规定</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在有效期内，若利率相关的法律法规、规章政策调整，或中国人民银行存款基准利率、存款自律约定、银行总行存款利率内部授权上限等发生调整，按市场利率定价自律机制相关规定操作。</w:t>
      </w:r>
    </w:p>
    <w:p w14:paraId="35FEA9C1">
      <w:pPr>
        <w:spacing w:line="36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2、存款年利率最多保留3位小数。</w:t>
      </w:r>
    </w:p>
    <w:p w14:paraId="670508B6">
      <w:pPr>
        <w:spacing w:line="36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3、本投标书填写须清晰，不得涂改。</w:t>
      </w:r>
    </w:p>
    <w:p w14:paraId="32B16DC9">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4、在系统里只报BP。</w:t>
      </w:r>
    </w:p>
    <w:p w14:paraId="2701BB04">
      <w:pPr>
        <w:pStyle w:val="22"/>
        <w:snapToGrid w:val="0"/>
        <w:spacing w:beforeLines="0" w:afterLines="0" w:line="360" w:lineRule="auto"/>
        <w:rPr>
          <w:rFonts w:hint="eastAsia" w:asciiTheme="minorEastAsia" w:hAnsiTheme="minorEastAsia" w:eastAsiaTheme="minorEastAsia"/>
          <w:b/>
          <w:sz w:val="21"/>
          <w:szCs w:val="21"/>
        </w:rPr>
        <w:sectPr>
          <w:pgSz w:w="11907" w:h="16840"/>
          <w:pgMar w:top="1440" w:right="1797" w:bottom="1440" w:left="1797" w:header="851" w:footer="851" w:gutter="0"/>
          <w:cols w:space="425" w:num="1"/>
          <w:titlePg/>
          <w:docGrid w:type="lines" w:linePitch="312" w:charSpace="0"/>
        </w:sectPr>
      </w:pPr>
    </w:p>
    <w:p w14:paraId="15382BF2">
      <w:pPr>
        <w:snapToGrid w:val="0"/>
        <w:spacing w:before="156" w:beforeLines="50" w:after="50" w:line="360" w:lineRule="auto"/>
        <w:outlineLvl w:val="1"/>
        <w:rPr>
          <w:rFonts w:hint="eastAsia" w:asciiTheme="minorEastAsia" w:hAnsiTheme="minorEastAsia" w:eastAsiaTheme="minorEastAsia"/>
          <w:b/>
          <w:bCs/>
          <w:szCs w:val="21"/>
        </w:rPr>
      </w:pPr>
      <w:r>
        <w:rPr>
          <w:rFonts w:hint="eastAsia" w:asciiTheme="minorEastAsia" w:hAnsiTheme="minorEastAsia" w:eastAsiaTheme="minorEastAsia"/>
          <w:b/>
          <w:bCs/>
          <w:szCs w:val="21"/>
        </w:rPr>
        <w:t>八、数据提供</w:t>
      </w:r>
    </w:p>
    <w:tbl>
      <w:tblPr>
        <w:tblStyle w:val="39"/>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61"/>
        <w:gridCol w:w="3827"/>
        <w:gridCol w:w="2017"/>
      </w:tblGrid>
      <w:tr w14:paraId="4045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14:paraId="4E77E8D1">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861" w:type="dxa"/>
            <w:vAlign w:val="center"/>
          </w:tcPr>
          <w:p w14:paraId="087CE433">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指标</w:t>
            </w:r>
          </w:p>
        </w:tc>
        <w:tc>
          <w:tcPr>
            <w:tcW w:w="3827" w:type="dxa"/>
            <w:vAlign w:val="center"/>
          </w:tcPr>
          <w:p w14:paraId="12966653">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内容</w:t>
            </w:r>
          </w:p>
        </w:tc>
        <w:tc>
          <w:tcPr>
            <w:tcW w:w="2017" w:type="dxa"/>
            <w:vAlign w:val="center"/>
          </w:tcPr>
          <w:p w14:paraId="720DAEBE">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数据%</w:t>
            </w:r>
          </w:p>
        </w:tc>
      </w:tr>
      <w:tr w14:paraId="4C1B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14:paraId="40C38840">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861" w:type="dxa"/>
            <w:vAlign w:val="center"/>
          </w:tcPr>
          <w:p w14:paraId="255240B5">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拨备覆盖率指标</w:t>
            </w:r>
          </w:p>
        </w:tc>
        <w:tc>
          <w:tcPr>
            <w:tcW w:w="3827" w:type="dxa"/>
            <w:vAlign w:val="center"/>
          </w:tcPr>
          <w:p w14:paraId="3FB430D2">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投标银行</w:t>
            </w:r>
            <w:r>
              <w:rPr>
                <w:rFonts w:hint="eastAsia" w:cs="仿宋_GB2312" w:asciiTheme="minorEastAsia" w:hAnsiTheme="minorEastAsia" w:eastAsiaTheme="minorEastAsia"/>
                <w:szCs w:val="21"/>
              </w:rPr>
              <w:t>上年末法人拨备覆盖率</w:t>
            </w:r>
          </w:p>
        </w:tc>
        <w:tc>
          <w:tcPr>
            <w:tcW w:w="2017" w:type="dxa"/>
            <w:vAlign w:val="center"/>
          </w:tcPr>
          <w:p w14:paraId="5D6B0613">
            <w:pPr>
              <w:spacing w:line="360" w:lineRule="auto"/>
              <w:rPr>
                <w:rFonts w:hint="eastAsia" w:asciiTheme="minorEastAsia" w:hAnsiTheme="minorEastAsia" w:eastAsiaTheme="minorEastAsia"/>
                <w:szCs w:val="21"/>
              </w:rPr>
            </w:pPr>
          </w:p>
        </w:tc>
      </w:tr>
      <w:tr w14:paraId="10E0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9" w:type="dxa"/>
            <w:vAlign w:val="center"/>
          </w:tcPr>
          <w:p w14:paraId="10AC4A5D">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861" w:type="dxa"/>
            <w:vAlign w:val="center"/>
          </w:tcPr>
          <w:p w14:paraId="03CCDB14">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资本充足率</w:t>
            </w:r>
          </w:p>
        </w:tc>
        <w:tc>
          <w:tcPr>
            <w:tcW w:w="3827" w:type="dxa"/>
            <w:vAlign w:val="center"/>
          </w:tcPr>
          <w:p w14:paraId="1970922D">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投投标银行</w:t>
            </w:r>
            <w:r>
              <w:rPr>
                <w:rFonts w:hint="eastAsia" w:cs="仿宋_GB2312" w:asciiTheme="minorEastAsia" w:hAnsiTheme="minorEastAsia" w:eastAsiaTheme="minorEastAsia"/>
                <w:szCs w:val="21"/>
              </w:rPr>
              <w:t>上年末法人</w:t>
            </w:r>
            <w:r>
              <w:rPr>
                <w:rFonts w:hint="eastAsia" w:asciiTheme="minorEastAsia" w:hAnsiTheme="minorEastAsia" w:eastAsiaTheme="minorEastAsia"/>
                <w:szCs w:val="21"/>
              </w:rPr>
              <w:t>资本充足率</w:t>
            </w:r>
          </w:p>
        </w:tc>
        <w:tc>
          <w:tcPr>
            <w:tcW w:w="2017" w:type="dxa"/>
            <w:vAlign w:val="center"/>
          </w:tcPr>
          <w:p w14:paraId="02165238">
            <w:pPr>
              <w:spacing w:line="360" w:lineRule="auto"/>
              <w:rPr>
                <w:rFonts w:hint="eastAsia" w:asciiTheme="minorEastAsia" w:hAnsiTheme="minorEastAsia" w:eastAsiaTheme="minorEastAsia"/>
                <w:szCs w:val="21"/>
                <w:u w:val="single"/>
              </w:rPr>
            </w:pPr>
          </w:p>
        </w:tc>
      </w:tr>
    </w:tbl>
    <w:p w14:paraId="512135DE">
      <w:pPr>
        <w:spacing w:line="360" w:lineRule="auto"/>
        <w:rPr>
          <w:rFonts w:hint="eastAsia" w:asciiTheme="minorEastAsia" w:hAnsiTheme="minorEastAsia" w:eastAsiaTheme="minorEastAsia"/>
          <w:szCs w:val="21"/>
        </w:rPr>
      </w:pPr>
    </w:p>
    <w:p w14:paraId="369D767C">
      <w:pPr>
        <w:spacing w:line="360" w:lineRule="auto"/>
        <w:rPr>
          <w:rFonts w:hint="eastAsia" w:asciiTheme="minorEastAsia" w:hAnsiTheme="minorEastAsia" w:eastAsiaTheme="minorEastAsia"/>
          <w:szCs w:val="21"/>
        </w:rPr>
      </w:pPr>
    </w:p>
    <w:p w14:paraId="75921E35">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投标单位(公章）:</w:t>
      </w:r>
    </w:p>
    <w:p w14:paraId="2C157087">
      <w:pPr>
        <w:spacing w:line="360" w:lineRule="auto"/>
        <w:rPr>
          <w:rFonts w:hint="eastAsia" w:asciiTheme="minorEastAsia" w:hAnsiTheme="minorEastAsia" w:eastAsiaTheme="minorEastAsia"/>
          <w:szCs w:val="21"/>
        </w:rPr>
      </w:pPr>
    </w:p>
    <w:p w14:paraId="1D7D4653">
      <w:pPr>
        <w:spacing w:line="360" w:lineRule="auto"/>
        <w:rPr>
          <w:rFonts w:hint="eastAsia" w:asciiTheme="minorEastAsia" w:hAnsiTheme="minorEastAsia" w:eastAsiaTheme="minorEastAsia"/>
          <w:szCs w:val="21"/>
        </w:rPr>
      </w:pPr>
    </w:p>
    <w:p w14:paraId="01DE8599">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2CFBF900">
      <w:pPr>
        <w:spacing w:line="360" w:lineRule="auto"/>
        <w:rPr>
          <w:rFonts w:hint="eastAsia" w:asciiTheme="minorEastAsia" w:hAnsiTheme="minorEastAsia" w:eastAsiaTheme="minorEastAsia"/>
          <w:szCs w:val="21"/>
        </w:rPr>
      </w:pPr>
    </w:p>
    <w:p w14:paraId="74B48155">
      <w:pPr>
        <w:spacing w:line="360" w:lineRule="auto"/>
        <w:rPr>
          <w:rFonts w:hint="eastAsia" w:asciiTheme="minorEastAsia" w:hAnsiTheme="minorEastAsia" w:eastAsiaTheme="minorEastAsia"/>
          <w:szCs w:val="21"/>
        </w:rPr>
        <w:sectPr>
          <w:pgSz w:w="11907" w:h="16840"/>
          <w:pgMar w:top="1440" w:right="1797" w:bottom="1440" w:left="1797" w:header="851" w:footer="851" w:gutter="0"/>
          <w:cols w:space="425" w:num="1"/>
          <w:titlePg/>
          <w:docGrid w:type="lines" w:linePitch="312" w:charSpace="0"/>
        </w:sectPr>
      </w:pPr>
    </w:p>
    <w:p w14:paraId="78E1AF77">
      <w:pPr>
        <w:snapToGrid w:val="0"/>
        <w:spacing w:before="156" w:beforeLines="50" w:after="50" w:line="360" w:lineRule="auto"/>
        <w:outlineLvl w:val="1"/>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九</w:t>
      </w:r>
      <w:bookmarkStart w:id="119" w:name="_GoBack"/>
      <w:bookmarkEnd w:id="119"/>
      <w:r>
        <w:rPr>
          <w:rFonts w:hint="eastAsia" w:asciiTheme="minorEastAsia" w:hAnsiTheme="minorEastAsia" w:eastAsiaTheme="minorEastAsia"/>
          <w:b/>
          <w:bCs/>
          <w:szCs w:val="21"/>
        </w:rPr>
        <w:t>、投标银行报名表格式</w:t>
      </w:r>
    </w:p>
    <w:p w14:paraId="6FF5E523">
      <w:pPr>
        <w:pStyle w:val="35"/>
        <w:spacing w:before="0" w:beforeAutospacing="0" w:after="0" w:afterAutospacing="0" w:line="360" w:lineRule="auto"/>
        <w:jc w:val="center"/>
        <w:rPr>
          <w:rFonts w:hint="eastAsia" w:cs="黑体" w:asciiTheme="minorEastAsia" w:hAnsiTheme="minorEastAsia" w:eastAsiaTheme="minorEastAsia"/>
          <w:sz w:val="21"/>
          <w:szCs w:val="21"/>
        </w:rPr>
      </w:pPr>
      <w:r>
        <w:rPr>
          <w:rStyle w:val="41"/>
          <w:rFonts w:hint="eastAsia" w:cs="黑体" w:asciiTheme="minorEastAsia" w:hAnsiTheme="minorEastAsia" w:eastAsiaTheme="minorEastAsia"/>
          <w:spacing w:val="45"/>
          <w:sz w:val="21"/>
          <w:szCs w:val="21"/>
          <w:shd w:val="clear" w:color="auto" w:fill="FFFFFF"/>
        </w:rPr>
        <w:t>投标银行报名表</w:t>
      </w:r>
    </w:p>
    <w:tbl>
      <w:tblPr>
        <w:tblStyle w:val="39"/>
        <w:tblW w:w="8454" w:type="dxa"/>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5B18706E">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10F0575">
            <w:pPr>
              <w:pStyle w:val="35"/>
              <w:spacing w:before="0" w:beforeAutospacing="0" w:after="0" w:afterAutospacing="0" w:line="360" w:lineRule="auto"/>
              <w:jc w:val="center"/>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报名单位</w:t>
            </w:r>
          </w:p>
        </w:tc>
        <w:tc>
          <w:tcPr>
            <w:tcW w:w="6847" w:type="dxa"/>
            <w:gridSpan w:val="5"/>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04A937A">
            <w:pPr>
              <w:spacing w:line="360" w:lineRule="auto"/>
              <w:jc w:val="left"/>
              <w:rPr>
                <w:rFonts w:hint="eastAsia" w:cs="-apple-system" w:asciiTheme="minorEastAsia" w:hAnsiTheme="minorEastAsia" w:eastAsiaTheme="minorEastAsia"/>
                <w:szCs w:val="21"/>
              </w:rPr>
            </w:pPr>
          </w:p>
        </w:tc>
      </w:tr>
      <w:tr w14:paraId="219A9724">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649FDB7">
            <w:pPr>
              <w:pStyle w:val="35"/>
              <w:spacing w:before="0" w:beforeAutospacing="0" w:after="0" w:afterAutospacing="0" w:line="360" w:lineRule="auto"/>
              <w:jc w:val="center"/>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项目联系人</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51D34C6D">
            <w:pPr>
              <w:spacing w:line="360" w:lineRule="auto"/>
              <w:jc w:val="left"/>
              <w:rPr>
                <w:rFonts w:hint="eastAsia" w:cs="-apple-system" w:asciiTheme="minorEastAsia" w:hAnsiTheme="minorEastAsia" w:eastAsiaTheme="minorEastAsia"/>
                <w:szCs w:val="21"/>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FECCE69">
            <w:pPr>
              <w:pStyle w:val="35"/>
              <w:spacing w:before="0" w:beforeAutospacing="0" w:after="0" w:afterAutospacing="0" w:line="360" w:lineRule="auto"/>
              <w:jc w:val="center"/>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固定电话</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26C0817">
            <w:pPr>
              <w:spacing w:line="360" w:lineRule="auto"/>
              <w:jc w:val="left"/>
              <w:rPr>
                <w:rFonts w:hint="eastAsia" w:cs="-apple-system" w:asciiTheme="minorEastAsia" w:hAnsiTheme="minorEastAsia" w:eastAsiaTheme="minorEastAsia"/>
                <w:szCs w:val="21"/>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CEED58B">
            <w:pPr>
              <w:pStyle w:val="35"/>
              <w:spacing w:before="0" w:beforeAutospacing="0" w:after="0" w:afterAutospacing="0" w:line="360" w:lineRule="auto"/>
              <w:jc w:val="center"/>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手机号码</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A64147C">
            <w:pPr>
              <w:spacing w:line="360" w:lineRule="auto"/>
              <w:jc w:val="left"/>
              <w:rPr>
                <w:rFonts w:hint="eastAsia" w:cs="-apple-system" w:asciiTheme="minorEastAsia" w:hAnsiTheme="minorEastAsia" w:eastAsiaTheme="minorEastAsia"/>
                <w:szCs w:val="21"/>
              </w:rPr>
            </w:pPr>
          </w:p>
        </w:tc>
      </w:tr>
      <w:tr w14:paraId="46E0AA5D">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vAlign w:val="center"/>
          </w:tcPr>
          <w:p w14:paraId="464E04ED">
            <w:pPr>
              <w:pStyle w:val="35"/>
              <w:spacing w:before="0" w:beforeAutospacing="0" w:after="0" w:afterAutospacing="0" w:line="360" w:lineRule="auto"/>
              <w:jc w:val="center"/>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详细地址</w:t>
            </w:r>
          </w:p>
        </w:tc>
        <w:tc>
          <w:tcPr>
            <w:tcW w:w="3918" w:type="dxa"/>
            <w:gridSpan w:val="3"/>
            <w:tcBorders>
              <w:top w:val="single" w:color="auto" w:sz="4" w:space="0"/>
              <w:left w:val="single" w:color="auto" w:sz="4" w:space="0"/>
              <w:bottom w:val="single" w:color="auto" w:sz="4" w:space="0"/>
              <w:right w:val="single" w:color="auto" w:sz="4" w:space="0"/>
            </w:tcBorders>
            <w:vAlign w:val="center"/>
          </w:tcPr>
          <w:p w14:paraId="78884C09">
            <w:pPr>
              <w:spacing w:line="360" w:lineRule="auto"/>
              <w:jc w:val="left"/>
              <w:rPr>
                <w:rFonts w:hint="eastAsia" w:cs="-apple-system" w:asciiTheme="minorEastAsia" w:hAnsiTheme="minorEastAsia" w:eastAsiaTheme="minorEastAsia"/>
                <w:szCs w:val="21"/>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8B20741">
            <w:pPr>
              <w:pStyle w:val="35"/>
              <w:spacing w:before="0" w:beforeAutospacing="0" w:after="0" w:afterAutospacing="0" w:line="360" w:lineRule="auto"/>
              <w:jc w:val="center"/>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邮 编</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314EC0B">
            <w:pPr>
              <w:spacing w:line="360" w:lineRule="auto"/>
              <w:jc w:val="left"/>
              <w:rPr>
                <w:rFonts w:hint="eastAsia" w:cs="-apple-system" w:asciiTheme="minorEastAsia" w:hAnsiTheme="minorEastAsia" w:eastAsiaTheme="minorEastAsia"/>
                <w:szCs w:val="21"/>
              </w:rPr>
            </w:pPr>
          </w:p>
        </w:tc>
      </w:tr>
      <w:tr w14:paraId="772205B5">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tcPr>
          <w:p w14:paraId="55BB19C7">
            <w:pPr>
              <w:pStyle w:val="35"/>
              <w:wordWrap w:val="0"/>
              <w:spacing w:before="120" w:beforeAutospacing="0" w:after="0" w:afterAutospacing="0" w:line="360" w:lineRule="auto"/>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嘉兴市千秋工程咨询有限公司：</w:t>
            </w:r>
          </w:p>
          <w:p w14:paraId="648B3DDD">
            <w:pPr>
              <w:adjustRightInd w:val="0"/>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我公司报名参加贵单位组织的</w:t>
            </w:r>
            <w:r>
              <w:rPr>
                <w:rFonts w:hint="eastAsia" w:asciiTheme="minorEastAsia" w:hAnsiTheme="minorEastAsia" w:eastAsiaTheme="minorEastAsia"/>
                <w:u w:val="single"/>
              </w:rPr>
              <w:t>2024年（第五期）嘉兴经济技术开发区公共资金竞争性存放项目</w:t>
            </w:r>
            <w:r>
              <w:rPr>
                <w:rFonts w:hint="eastAsia" w:cs="仿宋_GB2312" w:asciiTheme="minorEastAsia" w:hAnsiTheme="minorEastAsia" w:eastAsiaTheme="minorEastAsia"/>
                <w:szCs w:val="21"/>
              </w:rPr>
              <w:t>（项目编号为</w:t>
            </w:r>
            <w:r>
              <w:rPr>
                <w:rFonts w:hint="eastAsia" w:asciiTheme="minorEastAsia" w:hAnsiTheme="minorEastAsia" w:eastAsiaTheme="minorEastAsia"/>
                <w:u w:val="single"/>
              </w:rPr>
              <w:t>定存（2024）05）</w:t>
            </w:r>
            <w:r>
              <w:rPr>
                <w:rFonts w:hint="eastAsia" w:cs="仿宋_GB2312" w:asciiTheme="minorEastAsia" w:hAnsiTheme="minorEastAsia" w:eastAsiaTheme="minorEastAsia"/>
                <w:szCs w:val="21"/>
              </w:rPr>
              <w:t>的招标活动。</w:t>
            </w:r>
          </w:p>
          <w:p w14:paraId="340028C8">
            <w:pPr>
              <w:spacing w:line="360" w:lineRule="auto"/>
              <w:rPr>
                <w:rFonts w:hint="eastAsia" w:cs="仿宋" w:asciiTheme="minorEastAsia" w:hAnsiTheme="minorEastAsia" w:eastAsiaTheme="minorEastAsia"/>
                <w:szCs w:val="21"/>
              </w:rPr>
            </w:pPr>
            <w:r>
              <w:rPr>
                <w:rStyle w:val="41"/>
                <w:rFonts w:hint="eastAsia" w:cs="宋体" w:asciiTheme="minorEastAsia" w:hAnsiTheme="minorEastAsia" w:eastAsiaTheme="minorEastAsia"/>
                <w:szCs w:val="21"/>
              </w:rPr>
              <w:t xml:space="preserve">   </w:t>
            </w:r>
            <w:r>
              <w:rPr>
                <w:rFonts w:hint="eastAsia" w:cs="仿宋" w:asciiTheme="minorEastAsia" w:hAnsiTheme="minorEastAsia" w:eastAsiaTheme="minorEastAsia"/>
                <w:szCs w:val="21"/>
              </w:rPr>
              <w:t>附：1.有效的营业执照副本复印件（加盖单位公章）；</w:t>
            </w:r>
          </w:p>
          <w:p w14:paraId="5538CCCF">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 xml:space="preserve"> 2.报名人有效身份证件复印件（加盖单位公章）。</w:t>
            </w:r>
          </w:p>
          <w:p w14:paraId="09003BEA">
            <w:pPr>
              <w:spacing w:line="360" w:lineRule="auto"/>
              <w:rPr>
                <w:rFonts w:hint="eastAsia" w:cs="仿宋" w:asciiTheme="minorEastAsia" w:hAnsiTheme="minorEastAsia" w:eastAsiaTheme="minorEastAsia"/>
                <w:szCs w:val="21"/>
              </w:rPr>
            </w:pPr>
          </w:p>
          <w:p w14:paraId="5DC06C9F">
            <w:pPr>
              <w:spacing w:line="360" w:lineRule="auto"/>
              <w:rPr>
                <w:rFonts w:hint="eastAsia" w:cs="仿宋" w:asciiTheme="minorEastAsia" w:hAnsiTheme="minorEastAsia" w:eastAsiaTheme="minorEastAsia"/>
                <w:szCs w:val="21"/>
              </w:rPr>
            </w:pPr>
          </w:p>
          <w:p w14:paraId="01EF3CC6">
            <w:pPr>
              <w:pStyle w:val="35"/>
              <w:wordWrap w:val="0"/>
              <w:spacing w:before="0" w:beforeAutospacing="0" w:after="0" w:afterAutospacing="0" w:line="360" w:lineRule="auto"/>
              <w:ind w:firstLine="555"/>
              <w:rPr>
                <w:rFonts w:hint="eastAsia" w:asciiTheme="minorEastAsia" w:hAnsiTheme="minorEastAsia" w:eastAsiaTheme="minorEastAsia"/>
                <w:kern w:val="2"/>
                <w:sz w:val="21"/>
                <w:szCs w:val="21"/>
              </w:rPr>
            </w:pPr>
          </w:p>
          <w:p w14:paraId="255EEC4C">
            <w:pPr>
              <w:pStyle w:val="35"/>
              <w:wordWrap w:val="0"/>
              <w:spacing w:before="0" w:beforeAutospacing="0" w:after="0" w:afterAutospacing="0" w:line="360" w:lineRule="auto"/>
              <w:ind w:left="540" w:firstLine="30"/>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 </w:t>
            </w:r>
          </w:p>
          <w:p w14:paraId="676EB7F8">
            <w:pPr>
              <w:pStyle w:val="35"/>
              <w:wordWrap w:val="0"/>
              <w:spacing w:before="0" w:beforeAutospacing="0" w:after="0" w:afterAutospacing="0" w:line="360" w:lineRule="auto"/>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 xml:space="preserve">    报名单位公章：</w:t>
            </w:r>
            <w:r>
              <w:rPr>
                <w:rFonts w:hint="eastAsia" w:asciiTheme="minorEastAsia" w:hAnsiTheme="minorEastAsia" w:eastAsiaTheme="minorEastAsia"/>
                <w:kern w:val="2"/>
                <w:sz w:val="21"/>
                <w:szCs w:val="21"/>
                <w:u w:val="single"/>
              </w:rPr>
              <w:t>          </w:t>
            </w:r>
            <w:r>
              <w:rPr>
                <w:rFonts w:hint="eastAsia" w:asciiTheme="minorEastAsia" w:hAnsiTheme="minorEastAsia" w:eastAsiaTheme="minorEastAsia"/>
                <w:kern w:val="2"/>
                <w:sz w:val="21"/>
                <w:szCs w:val="21"/>
              </w:rPr>
              <w:t>        </w:t>
            </w:r>
          </w:p>
          <w:p w14:paraId="72203D96">
            <w:pPr>
              <w:pStyle w:val="35"/>
              <w:wordWrap w:val="0"/>
              <w:spacing w:before="0" w:beforeAutospacing="0" w:after="0" w:afterAutospacing="0" w:line="360" w:lineRule="auto"/>
              <w:ind w:left="540" w:firstLine="30"/>
              <w:jc w:val="both"/>
              <w:rPr>
                <w:rFonts w:hint="eastAsia" w:cs="仿宋_GB2312" w:asciiTheme="minorEastAsia" w:hAnsiTheme="minorEastAsia" w:eastAsiaTheme="minorEastAsia"/>
                <w:kern w:val="2"/>
                <w:sz w:val="21"/>
                <w:szCs w:val="21"/>
              </w:rPr>
            </w:pPr>
          </w:p>
          <w:p w14:paraId="78D0861A">
            <w:pPr>
              <w:pStyle w:val="35"/>
              <w:wordWrap w:val="0"/>
              <w:spacing w:before="0" w:beforeAutospacing="0" w:after="0" w:afterAutospacing="0" w:line="360" w:lineRule="auto"/>
              <w:ind w:firstLine="420" w:firstLineChars="200"/>
              <w:jc w:val="both"/>
              <w:rPr>
                <w:rFonts w:hint="eastAsia" w:asciiTheme="minorEastAsia" w:hAnsiTheme="minorEastAsia" w:eastAsiaTheme="minorEastAsia"/>
                <w:kern w:val="2"/>
                <w:sz w:val="21"/>
                <w:szCs w:val="21"/>
              </w:rPr>
            </w:pPr>
            <w:r>
              <w:rPr>
                <w:rFonts w:hint="eastAsia" w:cs="仿宋_GB2312" w:asciiTheme="minorEastAsia" w:hAnsiTheme="minorEastAsia" w:eastAsiaTheme="minorEastAsia"/>
                <w:kern w:val="2"/>
                <w:sz w:val="21"/>
                <w:szCs w:val="21"/>
              </w:rPr>
              <w:t>法人代表或负责人盖章或签字：</w:t>
            </w:r>
            <w:r>
              <w:rPr>
                <w:rFonts w:hint="eastAsia" w:asciiTheme="minorEastAsia" w:hAnsiTheme="minorEastAsia" w:eastAsiaTheme="minorEastAsia"/>
                <w:kern w:val="2"/>
                <w:sz w:val="21"/>
                <w:szCs w:val="21"/>
                <w:u w:val="single"/>
              </w:rPr>
              <w:t>         </w:t>
            </w:r>
          </w:p>
          <w:p w14:paraId="422222A2">
            <w:pPr>
              <w:pStyle w:val="35"/>
              <w:wordWrap w:val="0"/>
              <w:spacing w:before="0" w:beforeAutospacing="0" w:after="0" w:afterAutospacing="0" w:line="360" w:lineRule="auto"/>
              <w:ind w:left="540" w:firstLine="30"/>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                           </w:t>
            </w:r>
          </w:p>
          <w:p w14:paraId="5F8EDD7C">
            <w:pPr>
              <w:pStyle w:val="35"/>
              <w:wordWrap w:val="0"/>
              <w:spacing w:before="0" w:beforeAutospacing="0" w:after="0" w:afterAutospacing="0" w:line="360" w:lineRule="auto"/>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 </w:t>
            </w:r>
          </w:p>
          <w:p w14:paraId="18E33E58">
            <w:pPr>
              <w:pStyle w:val="35"/>
              <w:wordWrap w:val="0"/>
              <w:spacing w:before="0" w:beforeAutospacing="0" w:after="0" w:afterAutospacing="0" w:line="360" w:lineRule="auto"/>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                  </w:t>
            </w:r>
            <w:r>
              <w:rPr>
                <w:rFonts w:hint="eastAsia" w:cs="仿宋_GB2312" w:asciiTheme="minorEastAsia" w:hAnsiTheme="minorEastAsia" w:eastAsiaTheme="minorEastAsia"/>
                <w:kern w:val="2"/>
                <w:sz w:val="21"/>
                <w:szCs w:val="21"/>
              </w:rPr>
              <w:t> </w:t>
            </w:r>
            <w:r>
              <w:rPr>
                <w:rFonts w:hint="eastAsia" w:asciiTheme="minorEastAsia" w:hAnsiTheme="minorEastAsia" w:eastAsiaTheme="minorEastAsia"/>
                <w:sz w:val="21"/>
                <w:szCs w:val="21"/>
              </w:rPr>
              <w:t xml:space="preserve">   年   月   日</w:t>
            </w:r>
          </w:p>
        </w:tc>
      </w:tr>
    </w:tbl>
    <w:p w14:paraId="39A2BA54">
      <w:pPr>
        <w:spacing w:line="360" w:lineRule="auto"/>
        <w:rPr>
          <w:rFonts w:hint="eastAsia" w:asciiTheme="minorEastAsia" w:hAnsiTheme="minorEastAsia" w:eastAsiaTheme="minorEastAsia"/>
          <w:szCs w:val="21"/>
        </w:rPr>
      </w:pPr>
    </w:p>
    <w:sectPr>
      <w:pgSz w:w="11907"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10601030101010101"/>
    <w:charset w:val="86"/>
    <w:family w:val="script"/>
    <w:pitch w:val="default"/>
    <w:sig w:usb0="00000000" w:usb1="00000000" w:usb2="00000000" w:usb3="00000000" w:csb0="00040000" w:csb1="00000000"/>
  </w:font>
  <w:font w:name="MingLiU_HKSCS-ExtB">
    <w:panose1 w:val="02020500000000000000"/>
    <w:charset w:val="88"/>
    <w:family w:val="roman"/>
    <w:pitch w:val="default"/>
    <w:sig w:usb0="8000002F" w:usb1="02000008" w:usb2="00000000" w:usb3="00000000" w:csb0="00100001" w:csb1="00000000"/>
  </w:font>
  <w:font w:name="-apple-system">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9256"/>
    </w:sdtPr>
    <w:sdtContent>
      <w:p w14:paraId="42B7F497">
        <w:pPr>
          <w:pStyle w:val="26"/>
          <w:jc w:val="right"/>
        </w:pPr>
        <w:r>
          <w:rPr>
            <w:lang w:val="zh-CN"/>
          </w:rPr>
          <w:fldChar w:fldCharType="begin"/>
        </w:r>
        <w:r>
          <w:rPr>
            <w:lang w:val="zh-CN"/>
          </w:rPr>
          <w:instrText xml:space="preserve"> PAGE   \* MERGEFORMAT </w:instrText>
        </w:r>
        <w:r>
          <w:rPr>
            <w:lang w:val="zh-CN"/>
          </w:rPr>
          <w:fldChar w:fldCharType="separate"/>
        </w:r>
        <w:r>
          <w:rPr>
            <w:lang w:val="zh-CN"/>
          </w:rPr>
          <w:t>24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C5EB">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0CDD86D0">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4F638">
    <w:pPr>
      <w:pStyle w:val="26"/>
      <w:jc w:val="right"/>
    </w:pPr>
  </w:p>
  <w:p w14:paraId="6721AC7A">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433688"/>
    </w:sdtPr>
    <w:sdtContent>
      <w:p w14:paraId="0CCED611">
        <w:pPr>
          <w:pStyle w:val="26"/>
          <w:jc w:val="right"/>
        </w:pPr>
        <w:r>
          <w:fldChar w:fldCharType="begin"/>
        </w:r>
        <w:r>
          <w:instrText xml:space="preserve"> PAGE   \* MERGEFORMAT </w:instrText>
        </w:r>
        <w:r>
          <w:fldChar w:fldCharType="separate"/>
        </w:r>
        <w:r>
          <w:rPr>
            <w:lang w:val="zh-CN"/>
          </w:rPr>
          <w:t>27</w:t>
        </w:r>
        <w:r>
          <w:rPr>
            <w:lang w:val="zh-CN"/>
          </w:rPr>
          <w:fldChar w:fldCharType="end"/>
        </w:r>
      </w:p>
    </w:sdtContent>
  </w:sdt>
  <w:p w14:paraId="22B2C2A9">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CEBE">
    <w:pPr>
      <w:pStyle w:val="27"/>
      <w:jc w:val="right"/>
      <w:rPr>
        <w:rFonts w:hint="eastAsia" w:asciiTheme="minorEastAsia" w:hAnsiTheme="minorEastAsia" w:eastAsiaTheme="minorEastAsia"/>
      </w:rPr>
    </w:pPr>
    <w:r>
      <w:rPr>
        <w:rFonts w:asciiTheme="minorEastAsia" w:hAnsiTheme="minorEastAsia" w:eastAsiaTheme="minorEastAsia"/>
      </w:rPr>
      <w:drawing>
        <wp:anchor distT="0" distB="0" distL="114300" distR="114300" simplePos="0" relativeHeight="251660288" behindDoc="0" locked="0" layoutInCell="1" allowOverlap="1">
          <wp:simplePos x="0" y="0"/>
          <wp:positionH relativeFrom="column">
            <wp:posOffset>40005</wp:posOffset>
          </wp:positionH>
          <wp:positionV relativeFrom="paragraph">
            <wp:posOffset>-140335</wp:posOffset>
          </wp:positionV>
          <wp:extent cx="447675" cy="390525"/>
          <wp:effectExtent l="19050" t="0" r="9525" b="0"/>
          <wp:wrapNone/>
          <wp:docPr id="8"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rPr>
      <w:t>2024年（第五期）嘉兴经济技术开发区公共资金竞争性存放项目.招标文件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C461">
    <w:pPr>
      <w:pStyle w:val="27"/>
      <w:jc w:val="right"/>
      <w:rPr>
        <w:rFonts w:hint="eastAsia" w:asciiTheme="minorEastAsia" w:hAnsiTheme="minorEastAsia" w:eastAsiaTheme="minorEastAsia"/>
      </w:rPr>
    </w:pPr>
    <w:r>
      <w:rPr>
        <w:rFonts w:asciiTheme="minorEastAsia" w:hAnsiTheme="minorEastAsia" w:eastAsiaTheme="minorEastAsia"/>
      </w:rPr>
      <w:drawing>
        <wp:anchor distT="0" distB="0" distL="114300" distR="114300" simplePos="0" relativeHeight="251659264" behindDoc="0" locked="0" layoutInCell="1" allowOverlap="1">
          <wp:simplePos x="0" y="0"/>
          <wp:positionH relativeFrom="column">
            <wp:posOffset>135255</wp:posOffset>
          </wp:positionH>
          <wp:positionV relativeFrom="paragraph">
            <wp:posOffset>-111760</wp:posOffset>
          </wp:positionV>
          <wp:extent cx="447675" cy="390525"/>
          <wp:effectExtent l="19050" t="0" r="9525" b="0"/>
          <wp:wrapNone/>
          <wp:docPr id="2" name="图片 2"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rPr>
      <w:t>2024年（第五期）嘉兴经济技术开发区公共资金竞争性存放项目.招标文件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6828"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5BCF98A"/>
    <w:multiLevelType w:val="singleLevel"/>
    <w:tmpl w:val="95BCF98A"/>
    <w:lvl w:ilvl="0" w:tentative="0">
      <w:start w:val="1"/>
      <w:numFmt w:val="decimal"/>
      <w:lvlText w:val="%1."/>
      <w:lvlJc w:val="left"/>
      <w:pPr>
        <w:ind w:left="425" w:hanging="425"/>
      </w:pPr>
      <w:rPr>
        <w:rFonts w:hint="default"/>
      </w:rPr>
    </w:lvl>
  </w:abstractNum>
  <w:abstractNum w:abstractNumId="4">
    <w:nsid w:val="A507EC89"/>
    <w:multiLevelType w:val="singleLevel"/>
    <w:tmpl w:val="A507EC89"/>
    <w:lvl w:ilvl="0" w:tentative="0">
      <w:start w:val="1"/>
      <w:numFmt w:val="chineseCounting"/>
      <w:suff w:val="nothing"/>
      <w:lvlText w:val="%1、"/>
      <w:lvlJc w:val="left"/>
      <w:pPr>
        <w:ind w:left="0" w:firstLine="420"/>
      </w:pPr>
      <w:rPr>
        <w:rFonts w:hint="eastAsia"/>
      </w:rPr>
    </w:lvl>
  </w:abstractNum>
  <w:abstractNum w:abstractNumId="5">
    <w:nsid w:val="B3C48481"/>
    <w:multiLevelType w:val="multilevel"/>
    <w:tmpl w:val="B3C4848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6">
    <w:nsid w:val="C30591CF"/>
    <w:multiLevelType w:val="singleLevel"/>
    <w:tmpl w:val="C30591CF"/>
    <w:lvl w:ilvl="0" w:tentative="0">
      <w:start w:val="1"/>
      <w:numFmt w:val="decimal"/>
      <w:lvlText w:val="(%1)"/>
      <w:lvlJc w:val="left"/>
      <w:pPr>
        <w:ind w:left="425" w:hanging="425"/>
      </w:pPr>
      <w:rPr>
        <w:rFonts w:hint="default"/>
      </w:rPr>
    </w:lvl>
  </w:abstractNum>
  <w:abstractNum w:abstractNumId="7">
    <w:nsid w:val="C70EAB13"/>
    <w:multiLevelType w:val="singleLevel"/>
    <w:tmpl w:val="C70EAB13"/>
    <w:lvl w:ilvl="0" w:tentative="0">
      <w:start w:val="1"/>
      <w:numFmt w:val="decimal"/>
      <w:lvlText w:val="%1."/>
      <w:lvlJc w:val="left"/>
      <w:pPr>
        <w:ind w:left="425" w:hanging="425"/>
      </w:pPr>
      <w:rPr>
        <w:rFonts w:hint="default"/>
      </w:rPr>
    </w:lvl>
  </w:abstractNum>
  <w:abstractNum w:abstractNumId="8">
    <w:nsid w:val="CBE9ACB4"/>
    <w:multiLevelType w:val="singleLevel"/>
    <w:tmpl w:val="CBE9ACB4"/>
    <w:lvl w:ilvl="0" w:tentative="0">
      <w:start w:val="1"/>
      <w:numFmt w:val="decimal"/>
      <w:lvlText w:val="%1."/>
      <w:lvlJc w:val="left"/>
      <w:pPr>
        <w:ind w:left="425" w:hanging="425"/>
      </w:pPr>
      <w:rPr>
        <w:rFonts w:hint="default"/>
      </w:rPr>
    </w:lvl>
  </w:abstractNum>
  <w:abstractNum w:abstractNumId="9">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D8B03D13"/>
    <w:multiLevelType w:val="singleLevel"/>
    <w:tmpl w:val="D8B03D13"/>
    <w:lvl w:ilvl="0" w:tentative="0">
      <w:start w:val="1"/>
      <w:numFmt w:val="decimal"/>
      <w:lvlText w:val="%1."/>
      <w:lvlJc w:val="left"/>
      <w:pPr>
        <w:ind w:left="425" w:hanging="425"/>
      </w:pPr>
      <w:rPr>
        <w:rFonts w:hint="default"/>
      </w:rPr>
    </w:lvl>
  </w:abstractNum>
  <w:abstractNum w:abstractNumId="11">
    <w:nsid w:val="E3E6BB85"/>
    <w:multiLevelType w:val="singleLevel"/>
    <w:tmpl w:val="E3E6BB85"/>
    <w:lvl w:ilvl="0" w:tentative="0">
      <w:start w:val="1"/>
      <w:numFmt w:val="decimal"/>
      <w:lvlText w:val="%1."/>
      <w:lvlJc w:val="left"/>
      <w:pPr>
        <w:ind w:left="425" w:hanging="425"/>
      </w:pPr>
      <w:rPr>
        <w:rFonts w:hint="default"/>
      </w:rPr>
    </w:lvl>
  </w:abstractNum>
  <w:abstractNum w:abstractNumId="12">
    <w:nsid w:val="E475F1C9"/>
    <w:multiLevelType w:val="singleLevel"/>
    <w:tmpl w:val="E475F1C9"/>
    <w:lvl w:ilvl="0" w:tentative="0">
      <w:start w:val="1"/>
      <w:numFmt w:val="decimal"/>
      <w:lvlText w:val="%1."/>
      <w:lvlJc w:val="left"/>
      <w:pPr>
        <w:ind w:left="425" w:hanging="425"/>
      </w:pPr>
      <w:rPr>
        <w:rFonts w:hint="default"/>
      </w:rPr>
    </w:lvl>
  </w:abstractNum>
  <w:abstractNum w:abstractNumId="13">
    <w:nsid w:val="F921381C"/>
    <w:multiLevelType w:val="singleLevel"/>
    <w:tmpl w:val="F921381C"/>
    <w:lvl w:ilvl="0" w:tentative="0">
      <w:start w:val="1"/>
      <w:numFmt w:val="decimal"/>
      <w:lvlText w:val="%1."/>
      <w:lvlJc w:val="left"/>
      <w:pPr>
        <w:ind w:left="425" w:hanging="425"/>
      </w:pPr>
      <w:rPr>
        <w:rFonts w:hint="default"/>
      </w:rPr>
    </w:lvl>
  </w:abstractNum>
  <w:abstractNum w:abstractNumId="14">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5">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6">
    <w:nsid w:val="07D52D55"/>
    <w:multiLevelType w:val="multilevel"/>
    <w:tmpl w:val="07D52D55"/>
    <w:lvl w:ilvl="0" w:tentative="0">
      <w:start w:val="1"/>
      <w:numFmt w:val="decimal"/>
      <w:lvlText w:val="%1."/>
      <w:lvlJc w:val="left"/>
      <w:pPr>
        <w:ind w:left="1080" w:hanging="440"/>
      </w:pPr>
    </w:lvl>
    <w:lvl w:ilvl="1" w:tentative="0">
      <w:start w:val="1"/>
      <w:numFmt w:val="japaneseCounting"/>
      <w:lvlText w:val="（%2）"/>
      <w:lvlJc w:val="left"/>
      <w:pPr>
        <w:ind w:left="1800" w:hanging="72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7">
    <w:nsid w:val="12EB7DF2"/>
    <w:multiLevelType w:val="multilevel"/>
    <w:tmpl w:val="12EB7DF2"/>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1ED9D2B8"/>
    <w:multiLevelType w:val="singleLevel"/>
    <w:tmpl w:val="1ED9D2B8"/>
    <w:lvl w:ilvl="0" w:tentative="0">
      <w:start w:val="1"/>
      <w:numFmt w:val="decimal"/>
      <w:lvlText w:val="%1."/>
      <w:lvlJc w:val="left"/>
      <w:pPr>
        <w:ind w:left="425" w:hanging="425"/>
      </w:pPr>
      <w:rPr>
        <w:rFonts w:hint="default"/>
      </w:rPr>
    </w:lvl>
  </w:abstractNum>
  <w:abstractNum w:abstractNumId="19">
    <w:nsid w:val="1F4F5E16"/>
    <w:multiLevelType w:val="multilevel"/>
    <w:tmpl w:val="1F4F5E1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20E80DF0"/>
    <w:multiLevelType w:val="multilevel"/>
    <w:tmpl w:val="20E80DF0"/>
    <w:lvl w:ilvl="0" w:tentative="0">
      <w:start w:val="1"/>
      <w:numFmt w:val="chineseCountingThousand"/>
      <w:lvlText w:val="(%1)"/>
      <w:lvlJc w:val="left"/>
      <w:pPr>
        <w:ind w:left="864" w:hanging="440"/>
      </w:p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21">
    <w:nsid w:val="20FC13BD"/>
    <w:multiLevelType w:val="singleLevel"/>
    <w:tmpl w:val="20FC13BD"/>
    <w:lvl w:ilvl="0" w:tentative="0">
      <w:start w:val="1"/>
      <w:numFmt w:val="decimal"/>
      <w:lvlText w:val="%1."/>
      <w:lvlJc w:val="left"/>
      <w:pPr>
        <w:ind w:left="425" w:hanging="425"/>
      </w:pPr>
      <w:rPr>
        <w:rFonts w:hint="default"/>
      </w:rPr>
    </w:lvl>
  </w:abstractNum>
  <w:abstractNum w:abstractNumId="22">
    <w:nsid w:val="28F7E069"/>
    <w:multiLevelType w:val="singleLevel"/>
    <w:tmpl w:val="28F7E069"/>
    <w:lvl w:ilvl="0" w:tentative="0">
      <w:start w:val="1"/>
      <w:numFmt w:val="decimal"/>
      <w:lvlText w:val="%1."/>
      <w:lvlJc w:val="left"/>
      <w:pPr>
        <w:ind w:left="425" w:hanging="425"/>
      </w:pPr>
      <w:rPr>
        <w:rFonts w:hint="default"/>
      </w:rPr>
    </w:lvl>
  </w:abstractNum>
  <w:abstractNum w:abstractNumId="23">
    <w:nsid w:val="387D4D16"/>
    <w:multiLevelType w:val="multilevel"/>
    <w:tmpl w:val="387D4D16"/>
    <w:lvl w:ilvl="0" w:tentative="0">
      <w:start w:val="1"/>
      <w:numFmt w:val="chineseCountingThousand"/>
      <w:lvlText w:val="(%1)"/>
      <w:lvlJc w:val="left"/>
      <w:pPr>
        <w:ind w:left="719" w:hanging="440"/>
      </w:pPr>
    </w:lvl>
    <w:lvl w:ilvl="1" w:tentative="0">
      <w:start w:val="1"/>
      <w:numFmt w:val="decimal"/>
      <w:lvlText w:val="%2."/>
      <w:lvlJc w:val="left"/>
      <w:pPr>
        <w:ind w:left="1080" w:hanging="440"/>
      </w:pPr>
    </w:lvl>
    <w:lvl w:ilvl="2" w:tentative="0">
      <w:start w:val="1"/>
      <w:numFmt w:val="decimal"/>
      <w:lvlText w:val="%3、"/>
      <w:lvlJc w:val="left"/>
      <w:pPr>
        <w:ind w:left="1519" w:hanging="360"/>
      </w:pPr>
      <w:rPr>
        <w:rFonts w:hint="default"/>
      </w:rPr>
    </w:lvl>
    <w:lvl w:ilvl="3" w:tentative="0">
      <w:start w:val="1"/>
      <w:numFmt w:val="decimal"/>
      <w:lvlText w:val="%4."/>
      <w:lvlJc w:val="left"/>
      <w:pPr>
        <w:ind w:left="2039" w:hanging="440"/>
      </w:pPr>
    </w:lvl>
    <w:lvl w:ilvl="4" w:tentative="0">
      <w:start w:val="1"/>
      <w:numFmt w:val="lowerLetter"/>
      <w:lvlText w:val="%5)"/>
      <w:lvlJc w:val="left"/>
      <w:pPr>
        <w:ind w:left="2479" w:hanging="440"/>
      </w:pPr>
    </w:lvl>
    <w:lvl w:ilvl="5" w:tentative="0">
      <w:start w:val="1"/>
      <w:numFmt w:val="lowerRoman"/>
      <w:lvlText w:val="%6."/>
      <w:lvlJc w:val="right"/>
      <w:pPr>
        <w:ind w:left="2919" w:hanging="440"/>
      </w:pPr>
    </w:lvl>
    <w:lvl w:ilvl="6" w:tentative="0">
      <w:start w:val="1"/>
      <w:numFmt w:val="decimal"/>
      <w:lvlText w:val="%7."/>
      <w:lvlJc w:val="left"/>
      <w:pPr>
        <w:ind w:left="3359" w:hanging="440"/>
      </w:pPr>
    </w:lvl>
    <w:lvl w:ilvl="7" w:tentative="0">
      <w:start w:val="1"/>
      <w:numFmt w:val="lowerLetter"/>
      <w:lvlText w:val="%8)"/>
      <w:lvlJc w:val="left"/>
      <w:pPr>
        <w:ind w:left="3799" w:hanging="440"/>
      </w:pPr>
    </w:lvl>
    <w:lvl w:ilvl="8" w:tentative="0">
      <w:start w:val="1"/>
      <w:numFmt w:val="lowerRoman"/>
      <w:lvlText w:val="%9."/>
      <w:lvlJc w:val="right"/>
      <w:pPr>
        <w:ind w:left="4239" w:hanging="440"/>
      </w:pPr>
    </w:lvl>
  </w:abstractNum>
  <w:abstractNum w:abstractNumId="24">
    <w:nsid w:val="3A731C1A"/>
    <w:multiLevelType w:val="multilevel"/>
    <w:tmpl w:val="3A731C1A"/>
    <w:lvl w:ilvl="0" w:tentative="0">
      <w:start w:val="1"/>
      <w:numFmt w:val="chineseCounting"/>
      <w:lvlText w:val="（%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5">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6">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25A00BB"/>
    <w:multiLevelType w:val="singleLevel"/>
    <w:tmpl w:val="625A00BB"/>
    <w:lvl w:ilvl="0" w:tentative="0">
      <w:start w:val="1"/>
      <w:numFmt w:val="decimal"/>
      <w:lvlText w:val="%1."/>
      <w:lvlJc w:val="left"/>
      <w:pPr>
        <w:ind w:left="425" w:hanging="425"/>
      </w:pPr>
      <w:rPr>
        <w:rFonts w:hint="default"/>
      </w:rPr>
    </w:lvl>
  </w:abstractNum>
  <w:abstractNum w:abstractNumId="28">
    <w:nsid w:val="63EEBE5E"/>
    <w:multiLevelType w:val="singleLevel"/>
    <w:tmpl w:val="63EEBE5E"/>
    <w:lvl w:ilvl="0" w:tentative="0">
      <w:start w:val="1"/>
      <w:numFmt w:val="decimal"/>
      <w:lvlText w:val="%1."/>
      <w:lvlJc w:val="left"/>
      <w:pPr>
        <w:ind w:left="425" w:hanging="425"/>
      </w:pPr>
      <w:rPr>
        <w:rFonts w:hint="default"/>
      </w:rPr>
    </w:lvl>
  </w:abstractNum>
  <w:abstractNum w:abstractNumId="29">
    <w:nsid w:val="65787766"/>
    <w:multiLevelType w:val="multilevel"/>
    <w:tmpl w:val="65787766"/>
    <w:lvl w:ilvl="0" w:tentative="0">
      <w:start w:val="1"/>
      <w:numFmt w:val="decimal"/>
      <w:lvlText w:val="%1."/>
      <w:lvlJc w:val="left"/>
      <w:pPr>
        <w:ind w:left="425" w:hanging="425"/>
      </w:pPr>
    </w:lvl>
    <w:lvl w:ilvl="1" w:tentative="0">
      <w:start w:val="1"/>
      <w:numFmt w:val="decimal"/>
      <w:lvlText w:val="%1.%2."/>
      <w:lvlJc w:val="left"/>
      <w:pPr>
        <w:ind w:left="1986"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68850382"/>
    <w:multiLevelType w:val="multilevel"/>
    <w:tmpl w:val="6885038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1">
    <w:nsid w:val="6D8C2D0B"/>
    <w:multiLevelType w:val="singleLevel"/>
    <w:tmpl w:val="6D8C2D0B"/>
    <w:lvl w:ilvl="0" w:tentative="0">
      <w:start w:val="1"/>
      <w:numFmt w:val="chineseCounting"/>
      <w:suff w:val="nothing"/>
      <w:lvlText w:val="%1、"/>
      <w:lvlJc w:val="left"/>
      <w:pPr>
        <w:ind w:left="6" w:firstLine="420"/>
      </w:pPr>
      <w:rPr>
        <w:rFonts w:hint="eastAsia"/>
      </w:rPr>
    </w:lvl>
  </w:abstractNum>
  <w:abstractNum w:abstractNumId="32">
    <w:nsid w:val="6F90409B"/>
    <w:multiLevelType w:val="multilevel"/>
    <w:tmpl w:val="6F90409B"/>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decimal"/>
      <w:lvlText w:val="%3."/>
      <w:lvlJc w:val="left"/>
      <w:pPr>
        <w:ind w:left="108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5"/>
  </w:num>
  <w:num w:numId="2">
    <w:abstractNumId w:val="14"/>
  </w:num>
  <w:num w:numId="3">
    <w:abstractNumId w:val="9"/>
  </w:num>
  <w:num w:numId="4">
    <w:abstractNumId w:val="31"/>
    <w:lvlOverride w:ilvl="0">
      <w:startOverride w:val="1"/>
    </w:lvlOverride>
  </w:num>
  <w:num w:numId="5">
    <w:abstractNumId w:val="27"/>
    <w:lvlOverride w:ilvl="0">
      <w:startOverride w:val="1"/>
    </w:lvlOverride>
  </w:num>
  <w:num w:numId="6">
    <w:abstractNumId w:val="15"/>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1"/>
  </w:num>
  <w:num w:numId="12">
    <w:abstractNumId w:val="10"/>
  </w:num>
  <w:num w:numId="13">
    <w:abstractNumId w:val="3"/>
  </w:num>
  <w:num w:numId="14">
    <w:abstractNumId w:val="0"/>
  </w:num>
  <w:num w:numId="15">
    <w:abstractNumId w:val="18"/>
  </w:num>
  <w:num w:numId="16">
    <w:abstractNumId w:val="12"/>
  </w:num>
  <w:num w:numId="17">
    <w:abstractNumId w:val="7"/>
  </w:num>
  <w:num w:numId="18">
    <w:abstractNumId w:val="13"/>
  </w:num>
  <w:num w:numId="19">
    <w:abstractNumId w:val="22"/>
  </w:num>
  <w:num w:numId="20">
    <w:abstractNumId w:val="8"/>
  </w:num>
  <w:num w:numId="21">
    <w:abstractNumId w:val="1"/>
  </w:num>
  <w:num w:numId="22">
    <w:abstractNumId w:val="26"/>
  </w:num>
  <w:num w:numId="23">
    <w:abstractNumId w:val="2"/>
  </w:num>
  <w:num w:numId="24">
    <w:abstractNumId w:val="6"/>
  </w:num>
  <w:num w:numId="25">
    <w:abstractNumId w:val="17"/>
  </w:num>
  <w:num w:numId="26">
    <w:abstractNumId w:val="25"/>
  </w:num>
  <w:num w:numId="27">
    <w:abstractNumId w:val="20"/>
  </w:num>
  <w:num w:numId="28">
    <w:abstractNumId w:val="16"/>
  </w:num>
  <w:num w:numId="29">
    <w:abstractNumId w:val="19"/>
  </w:num>
  <w:num w:numId="30">
    <w:abstractNumId w:val="29"/>
  </w:num>
  <w:num w:numId="31">
    <w:abstractNumId w:val="24"/>
  </w:num>
  <w:num w:numId="32">
    <w:abstractNumId w:val="23"/>
  </w:num>
  <w:num w:numId="33">
    <w:abstractNumId w:val="30"/>
  </w:num>
  <w:num w:numId="34">
    <w:abstractNumId w:val="1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MzZmMWIxZGZhMTNkZGI4ZDYyZDM4Y2IzMjVmNDcifQ=="/>
  </w:docVars>
  <w:rsids>
    <w:rsidRoot w:val="006D32D0"/>
    <w:rsid w:val="0000149B"/>
    <w:rsid w:val="00002187"/>
    <w:rsid w:val="000065F1"/>
    <w:rsid w:val="00007C69"/>
    <w:rsid w:val="00010B5D"/>
    <w:rsid w:val="0003290F"/>
    <w:rsid w:val="00033AF5"/>
    <w:rsid w:val="000340B0"/>
    <w:rsid w:val="00035DC4"/>
    <w:rsid w:val="0003635C"/>
    <w:rsid w:val="000404F9"/>
    <w:rsid w:val="00040BF8"/>
    <w:rsid w:val="0004175F"/>
    <w:rsid w:val="00042F14"/>
    <w:rsid w:val="00045DDF"/>
    <w:rsid w:val="000500E0"/>
    <w:rsid w:val="0005248B"/>
    <w:rsid w:val="0005510C"/>
    <w:rsid w:val="00060249"/>
    <w:rsid w:val="0006419B"/>
    <w:rsid w:val="00064C8B"/>
    <w:rsid w:val="00066145"/>
    <w:rsid w:val="00066D2F"/>
    <w:rsid w:val="000735A5"/>
    <w:rsid w:val="00074098"/>
    <w:rsid w:val="00077796"/>
    <w:rsid w:val="000835AE"/>
    <w:rsid w:val="000836B9"/>
    <w:rsid w:val="000858A8"/>
    <w:rsid w:val="0008614C"/>
    <w:rsid w:val="00090918"/>
    <w:rsid w:val="000921D0"/>
    <w:rsid w:val="0009344E"/>
    <w:rsid w:val="00094BA1"/>
    <w:rsid w:val="00094D78"/>
    <w:rsid w:val="0009514B"/>
    <w:rsid w:val="000A0BEA"/>
    <w:rsid w:val="000A4A5C"/>
    <w:rsid w:val="000A4E02"/>
    <w:rsid w:val="000A4E58"/>
    <w:rsid w:val="000A6662"/>
    <w:rsid w:val="000A6A55"/>
    <w:rsid w:val="000A790D"/>
    <w:rsid w:val="000B1CD8"/>
    <w:rsid w:val="000B22BA"/>
    <w:rsid w:val="000B247C"/>
    <w:rsid w:val="000B5037"/>
    <w:rsid w:val="000C03E1"/>
    <w:rsid w:val="000C2093"/>
    <w:rsid w:val="000C55F1"/>
    <w:rsid w:val="000C6E5D"/>
    <w:rsid w:val="000C7FE1"/>
    <w:rsid w:val="000D197A"/>
    <w:rsid w:val="000D1C0F"/>
    <w:rsid w:val="000D24D2"/>
    <w:rsid w:val="000D2952"/>
    <w:rsid w:val="000D534C"/>
    <w:rsid w:val="000D65E1"/>
    <w:rsid w:val="000D7889"/>
    <w:rsid w:val="000E05F4"/>
    <w:rsid w:val="000E25A5"/>
    <w:rsid w:val="000E397D"/>
    <w:rsid w:val="000E4652"/>
    <w:rsid w:val="000E5A3A"/>
    <w:rsid w:val="000E6F76"/>
    <w:rsid w:val="000F098A"/>
    <w:rsid w:val="000F0A09"/>
    <w:rsid w:val="000F0D6E"/>
    <w:rsid w:val="000F1452"/>
    <w:rsid w:val="000F2893"/>
    <w:rsid w:val="000F43EA"/>
    <w:rsid w:val="000F5654"/>
    <w:rsid w:val="000F6E21"/>
    <w:rsid w:val="00101C48"/>
    <w:rsid w:val="00102B5F"/>
    <w:rsid w:val="00104FD8"/>
    <w:rsid w:val="001053A7"/>
    <w:rsid w:val="001056F1"/>
    <w:rsid w:val="001057E0"/>
    <w:rsid w:val="00105AC7"/>
    <w:rsid w:val="00105BF4"/>
    <w:rsid w:val="00105E04"/>
    <w:rsid w:val="001060E9"/>
    <w:rsid w:val="001079C8"/>
    <w:rsid w:val="00107F10"/>
    <w:rsid w:val="00110D44"/>
    <w:rsid w:val="00112301"/>
    <w:rsid w:val="00114500"/>
    <w:rsid w:val="00114950"/>
    <w:rsid w:val="00117387"/>
    <w:rsid w:val="00117A31"/>
    <w:rsid w:val="001201EC"/>
    <w:rsid w:val="00123B7A"/>
    <w:rsid w:val="001243B9"/>
    <w:rsid w:val="001245B7"/>
    <w:rsid w:val="00125657"/>
    <w:rsid w:val="00125918"/>
    <w:rsid w:val="00127434"/>
    <w:rsid w:val="00127FD6"/>
    <w:rsid w:val="00131C36"/>
    <w:rsid w:val="00131C61"/>
    <w:rsid w:val="00132299"/>
    <w:rsid w:val="00140425"/>
    <w:rsid w:val="00140AD3"/>
    <w:rsid w:val="001426C5"/>
    <w:rsid w:val="00145218"/>
    <w:rsid w:val="00145C7D"/>
    <w:rsid w:val="001468EB"/>
    <w:rsid w:val="00147046"/>
    <w:rsid w:val="001503F0"/>
    <w:rsid w:val="001505CF"/>
    <w:rsid w:val="00157908"/>
    <w:rsid w:val="0016134D"/>
    <w:rsid w:val="00165526"/>
    <w:rsid w:val="001659F3"/>
    <w:rsid w:val="00170430"/>
    <w:rsid w:val="001716CD"/>
    <w:rsid w:val="001748E9"/>
    <w:rsid w:val="00174F4C"/>
    <w:rsid w:val="001751BB"/>
    <w:rsid w:val="001756E6"/>
    <w:rsid w:val="001801CA"/>
    <w:rsid w:val="00181F89"/>
    <w:rsid w:val="001833E8"/>
    <w:rsid w:val="00183931"/>
    <w:rsid w:val="001847A4"/>
    <w:rsid w:val="00184C36"/>
    <w:rsid w:val="0018586C"/>
    <w:rsid w:val="00185D73"/>
    <w:rsid w:val="00186659"/>
    <w:rsid w:val="00186E99"/>
    <w:rsid w:val="001918FE"/>
    <w:rsid w:val="0019327B"/>
    <w:rsid w:val="00194B51"/>
    <w:rsid w:val="001960DB"/>
    <w:rsid w:val="00196D8E"/>
    <w:rsid w:val="001A1A19"/>
    <w:rsid w:val="001A2156"/>
    <w:rsid w:val="001A44BF"/>
    <w:rsid w:val="001A458C"/>
    <w:rsid w:val="001B2018"/>
    <w:rsid w:val="001B38FB"/>
    <w:rsid w:val="001C232E"/>
    <w:rsid w:val="001C2FE3"/>
    <w:rsid w:val="001C322D"/>
    <w:rsid w:val="001C3377"/>
    <w:rsid w:val="001C41AC"/>
    <w:rsid w:val="001C5A61"/>
    <w:rsid w:val="001D3EC8"/>
    <w:rsid w:val="001D4146"/>
    <w:rsid w:val="001D43B3"/>
    <w:rsid w:val="001D471D"/>
    <w:rsid w:val="001D61A6"/>
    <w:rsid w:val="001D70E3"/>
    <w:rsid w:val="001D7238"/>
    <w:rsid w:val="001E267F"/>
    <w:rsid w:val="001E3319"/>
    <w:rsid w:val="001E43D3"/>
    <w:rsid w:val="001E448D"/>
    <w:rsid w:val="001E4C23"/>
    <w:rsid w:val="001E4FDD"/>
    <w:rsid w:val="001E501D"/>
    <w:rsid w:val="001E742D"/>
    <w:rsid w:val="001F3842"/>
    <w:rsid w:val="001F5B88"/>
    <w:rsid w:val="002004F1"/>
    <w:rsid w:val="00202A3D"/>
    <w:rsid w:val="00202C28"/>
    <w:rsid w:val="00203727"/>
    <w:rsid w:val="0020382C"/>
    <w:rsid w:val="0020486E"/>
    <w:rsid w:val="00204D20"/>
    <w:rsid w:val="00206468"/>
    <w:rsid w:val="00210717"/>
    <w:rsid w:val="00213211"/>
    <w:rsid w:val="00213D91"/>
    <w:rsid w:val="00216E9A"/>
    <w:rsid w:val="00220968"/>
    <w:rsid w:val="0022105D"/>
    <w:rsid w:val="002216B9"/>
    <w:rsid w:val="00222FA3"/>
    <w:rsid w:val="00223F6E"/>
    <w:rsid w:val="00224234"/>
    <w:rsid w:val="0023142B"/>
    <w:rsid w:val="00232E8A"/>
    <w:rsid w:val="00234CAB"/>
    <w:rsid w:val="00241039"/>
    <w:rsid w:val="00242F52"/>
    <w:rsid w:val="00243DBB"/>
    <w:rsid w:val="00244A4E"/>
    <w:rsid w:val="0024573C"/>
    <w:rsid w:val="00250FA4"/>
    <w:rsid w:val="00252606"/>
    <w:rsid w:val="00252A9E"/>
    <w:rsid w:val="0025375C"/>
    <w:rsid w:val="002540AA"/>
    <w:rsid w:val="00254BA3"/>
    <w:rsid w:val="00256B16"/>
    <w:rsid w:val="00267649"/>
    <w:rsid w:val="00270EA8"/>
    <w:rsid w:val="00274D05"/>
    <w:rsid w:val="00275554"/>
    <w:rsid w:val="0027666B"/>
    <w:rsid w:val="002769E4"/>
    <w:rsid w:val="00281BCE"/>
    <w:rsid w:val="00281C0F"/>
    <w:rsid w:val="0028537B"/>
    <w:rsid w:val="002877AB"/>
    <w:rsid w:val="002916F7"/>
    <w:rsid w:val="00291D51"/>
    <w:rsid w:val="00292409"/>
    <w:rsid w:val="002946CB"/>
    <w:rsid w:val="00294CA1"/>
    <w:rsid w:val="002961E9"/>
    <w:rsid w:val="00297560"/>
    <w:rsid w:val="0029773B"/>
    <w:rsid w:val="002A101B"/>
    <w:rsid w:val="002A140D"/>
    <w:rsid w:val="002A1B05"/>
    <w:rsid w:val="002A237D"/>
    <w:rsid w:val="002A2696"/>
    <w:rsid w:val="002A67E0"/>
    <w:rsid w:val="002A7611"/>
    <w:rsid w:val="002B1C4B"/>
    <w:rsid w:val="002B204B"/>
    <w:rsid w:val="002B3865"/>
    <w:rsid w:val="002B3FBD"/>
    <w:rsid w:val="002B5D62"/>
    <w:rsid w:val="002B667C"/>
    <w:rsid w:val="002C1ECB"/>
    <w:rsid w:val="002C2298"/>
    <w:rsid w:val="002C275B"/>
    <w:rsid w:val="002C4073"/>
    <w:rsid w:val="002C6D45"/>
    <w:rsid w:val="002C7403"/>
    <w:rsid w:val="002C7710"/>
    <w:rsid w:val="002C787B"/>
    <w:rsid w:val="002D1F59"/>
    <w:rsid w:val="002D351B"/>
    <w:rsid w:val="002D43DE"/>
    <w:rsid w:val="002D6B3B"/>
    <w:rsid w:val="002E1852"/>
    <w:rsid w:val="002E1DDD"/>
    <w:rsid w:val="002E3F9D"/>
    <w:rsid w:val="002E6B60"/>
    <w:rsid w:val="002E71C6"/>
    <w:rsid w:val="002E7C55"/>
    <w:rsid w:val="002F1B6C"/>
    <w:rsid w:val="002F669F"/>
    <w:rsid w:val="00300B33"/>
    <w:rsid w:val="00301097"/>
    <w:rsid w:val="00303856"/>
    <w:rsid w:val="003047BC"/>
    <w:rsid w:val="003052E2"/>
    <w:rsid w:val="0030689F"/>
    <w:rsid w:val="00307346"/>
    <w:rsid w:val="00310009"/>
    <w:rsid w:val="0031022A"/>
    <w:rsid w:val="00310C3D"/>
    <w:rsid w:val="00311968"/>
    <w:rsid w:val="003129C0"/>
    <w:rsid w:val="003134D8"/>
    <w:rsid w:val="003152F9"/>
    <w:rsid w:val="0031684D"/>
    <w:rsid w:val="0031764A"/>
    <w:rsid w:val="00320C35"/>
    <w:rsid w:val="003220FE"/>
    <w:rsid w:val="003230DE"/>
    <w:rsid w:val="0032333C"/>
    <w:rsid w:val="00323A82"/>
    <w:rsid w:val="003244E9"/>
    <w:rsid w:val="003249B2"/>
    <w:rsid w:val="00325EB4"/>
    <w:rsid w:val="003304DD"/>
    <w:rsid w:val="00330623"/>
    <w:rsid w:val="00335394"/>
    <w:rsid w:val="00335C29"/>
    <w:rsid w:val="003370F9"/>
    <w:rsid w:val="0033766F"/>
    <w:rsid w:val="003378A7"/>
    <w:rsid w:val="00340A1C"/>
    <w:rsid w:val="00341BA8"/>
    <w:rsid w:val="00342F53"/>
    <w:rsid w:val="00343089"/>
    <w:rsid w:val="00343867"/>
    <w:rsid w:val="00343905"/>
    <w:rsid w:val="00350ADB"/>
    <w:rsid w:val="00353B55"/>
    <w:rsid w:val="003541DB"/>
    <w:rsid w:val="003549F2"/>
    <w:rsid w:val="00355846"/>
    <w:rsid w:val="003569B9"/>
    <w:rsid w:val="00361526"/>
    <w:rsid w:val="00362814"/>
    <w:rsid w:val="00362E8D"/>
    <w:rsid w:val="003653CE"/>
    <w:rsid w:val="003656D3"/>
    <w:rsid w:val="003661E4"/>
    <w:rsid w:val="003663D0"/>
    <w:rsid w:val="00366CB7"/>
    <w:rsid w:val="00367E9D"/>
    <w:rsid w:val="00370B95"/>
    <w:rsid w:val="00373626"/>
    <w:rsid w:val="00374445"/>
    <w:rsid w:val="00374C83"/>
    <w:rsid w:val="00375670"/>
    <w:rsid w:val="0037695B"/>
    <w:rsid w:val="003810B2"/>
    <w:rsid w:val="003810F2"/>
    <w:rsid w:val="003817EE"/>
    <w:rsid w:val="003821B3"/>
    <w:rsid w:val="003837FB"/>
    <w:rsid w:val="0038487E"/>
    <w:rsid w:val="003859E1"/>
    <w:rsid w:val="00387485"/>
    <w:rsid w:val="00387D3C"/>
    <w:rsid w:val="0039052B"/>
    <w:rsid w:val="00391A89"/>
    <w:rsid w:val="00391EC3"/>
    <w:rsid w:val="00393D13"/>
    <w:rsid w:val="003A055B"/>
    <w:rsid w:val="003A0FAF"/>
    <w:rsid w:val="003A10C9"/>
    <w:rsid w:val="003A392B"/>
    <w:rsid w:val="003A3A91"/>
    <w:rsid w:val="003A431C"/>
    <w:rsid w:val="003A4598"/>
    <w:rsid w:val="003A5554"/>
    <w:rsid w:val="003A57FE"/>
    <w:rsid w:val="003A7015"/>
    <w:rsid w:val="003A79F0"/>
    <w:rsid w:val="003B1DAC"/>
    <w:rsid w:val="003B38AB"/>
    <w:rsid w:val="003B6C49"/>
    <w:rsid w:val="003B7C77"/>
    <w:rsid w:val="003C037D"/>
    <w:rsid w:val="003C44D2"/>
    <w:rsid w:val="003C4E1B"/>
    <w:rsid w:val="003C51C5"/>
    <w:rsid w:val="003D4CFD"/>
    <w:rsid w:val="003D4EB3"/>
    <w:rsid w:val="003E3B6C"/>
    <w:rsid w:val="003E4629"/>
    <w:rsid w:val="003E4BB3"/>
    <w:rsid w:val="003E5BCD"/>
    <w:rsid w:val="003F02D4"/>
    <w:rsid w:val="003F0AD2"/>
    <w:rsid w:val="003F0B62"/>
    <w:rsid w:val="003F1149"/>
    <w:rsid w:val="003F1A76"/>
    <w:rsid w:val="003F66B7"/>
    <w:rsid w:val="003F6F7E"/>
    <w:rsid w:val="00400EBE"/>
    <w:rsid w:val="0040111A"/>
    <w:rsid w:val="004014D9"/>
    <w:rsid w:val="00403072"/>
    <w:rsid w:val="00404D63"/>
    <w:rsid w:val="00404F87"/>
    <w:rsid w:val="00406F2A"/>
    <w:rsid w:val="0040785F"/>
    <w:rsid w:val="00411236"/>
    <w:rsid w:val="0041311C"/>
    <w:rsid w:val="00414336"/>
    <w:rsid w:val="00420D76"/>
    <w:rsid w:val="00421C99"/>
    <w:rsid w:val="00424445"/>
    <w:rsid w:val="00425A0A"/>
    <w:rsid w:val="00426994"/>
    <w:rsid w:val="00427437"/>
    <w:rsid w:val="004276FB"/>
    <w:rsid w:val="00427729"/>
    <w:rsid w:val="004339AC"/>
    <w:rsid w:val="00434D42"/>
    <w:rsid w:val="00436AA2"/>
    <w:rsid w:val="004371BD"/>
    <w:rsid w:val="00437E4C"/>
    <w:rsid w:val="00440BF8"/>
    <w:rsid w:val="0044527E"/>
    <w:rsid w:val="004453EC"/>
    <w:rsid w:val="004459E5"/>
    <w:rsid w:val="00447414"/>
    <w:rsid w:val="00451D2D"/>
    <w:rsid w:val="0045599C"/>
    <w:rsid w:val="00462742"/>
    <w:rsid w:val="00462AFB"/>
    <w:rsid w:val="00463712"/>
    <w:rsid w:val="00465C3A"/>
    <w:rsid w:val="004664B1"/>
    <w:rsid w:val="00471F75"/>
    <w:rsid w:val="0047261B"/>
    <w:rsid w:val="0047268E"/>
    <w:rsid w:val="00480D38"/>
    <w:rsid w:val="004812DB"/>
    <w:rsid w:val="00481C8D"/>
    <w:rsid w:val="00481CA3"/>
    <w:rsid w:val="00482056"/>
    <w:rsid w:val="00482292"/>
    <w:rsid w:val="00483404"/>
    <w:rsid w:val="0048387D"/>
    <w:rsid w:val="0048754D"/>
    <w:rsid w:val="004875B1"/>
    <w:rsid w:val="0049104E"/>
    <w:rsid w:val="004940BD"/>
    <w:rsid w:val="0049417E"/>
    <w:rsid w:val="00494434"/>
    <w:rsid w:val="00495121"/>
    <w:rsid w:val="00497DC6"/>
    <w:rsid w:val="004A42F3"/>
    <w:rsid w:val="004A5F67"/>
    <w:rsid w:val="004A63BC"/>
    <w:rsid w:val="004A6F9B"/>
    <w:rsid w:val="004B1955"/>
    <w:rsid w:val="004B25CE"/>
    <w:rsid w:val="004B34D0"/>
    <w:rsid w:val="004B36AB"/>
    <w:rsid w:val="004B507B"/>
    <w:rsid w:val="004B6208"/>
    <w:rsid w:val="004B6921"/>
    <w:rsid w:val="004B69DF"/>
    <w:rsid w:val="004B6FE7"/>
    <w:rsid w:val="004B7197"/>
    <w:rsid w:val="004C3B84"/>
    <w:rsid w:val="004C61D2"/>
    <w:rsid w:val="004D0E4C"/>
    <w:rsid w:val="004D1E14"/>
    <w:rsid w:val="004D1F0A"/>
    <w:rsid w:val="004D1FFA"/>
    <w:rsid w:val="004D2AD4"/>
    <w:rsid w:val="004D7AFD"/>
    <w:rsid w:val="004E0814"/>
    <w:rsid w:val="004E1215"/>
    <w:rsid w:val="004E281A"/>
    <w:rsid w:val="004E3F9D"/>
    <w:rsid w:val="004E5E82"/>
    <w:rsid w:val="004E6021"/>
    <w:rsid w:val="004E616C"/>
    <w:rsid w:val="004E6935"/>
    <w:rsid w:val="004E7C59"/>
    <w:rsid w:val="004F01B2"/>
    <w:rsid w:val="004F34A3"/>
    <w:rsid w:val="004F3816"/>
    <w:rsid w:val="004F3B84"/>
    <w:rsid w:val="004F49E5"/>
    <w:rsid w:val="005007A1"/>
    <w:rsid w:val="00500E35"/>
    <w:rsid w:val="0050191D"/>
    <w:rsid w:val="005032AF"/>
    <w:rsid w:val="0050517A"/>
    <w:rsid w:val="00506BC0"/>
    <w:rsid w:val="00507B2A"/>
    <w:rsid w:val="00507FB8"/>
    <w:rsid w:val="00512B3D"/>
    <w:rsid w:val="00512E6A"/>
    <w:rsid w:val="00513065"/>
    <w:rsid w:val="0051396A"/>
    <w:rsid w:val="00515C88"/>
    <w:rsid w:val="00515E25"/>
    <w:rsid w:val="0051627E"/>
    <w:rsid w:val="0051785A"/>
    <w:rsid w:val="00517AEF"/>
    <w:rsid w:val="00525C77"/>
    <w:rsid w:val="00526423"/>
    <w:rsid w:val="0052725F"/>
    <w:rsid w:val="00527AC2"/>
    <w:rsid w:val="00532923"/>
    <w:rsid w:val="0053389A"/>
    <w:rsid w:val="00534533"/>
    <w:rsid w:val="00534E6C"/>
    <w:rsid w:val="005368B0"/>
    <w:rsid w:val="00536D24"/>
    <w:rsid w:val="00537703"/>
    <w:rsid w:val="00537922"/>
    <w:rsid w:val="00544442"/>
    <w:rsid w:val="00545380"/>
    <w:rsid w:val="00545916"/>
    <w:rsid w:val="00547833"/>
    <w:rsid w:val="00550AD4"/>
    <w:rsid w:val="00551CA0"/>
    <w:rsid w:val="00551FC0"/>
    <w:rsid w:val="00552157"/>
    <w:rsid w:val="005529DF"/>
    <w:rsid w:val="00554204"/>
    <w:rsid w:val="00554760"/>
    <w:rsid w:val="0055494A"/>
    <w:rsid w:val="005618C4"/>
    <w:rsid w:val="005626ED"/>
    <w:rsid w:val="00563944"/>
    <w:rsid w:val="00564A80"/>
    <w:rsid w:val="00572F6F"/>
    <w:rsid w:val="00573690"/>
    <w:rsid w:val="005740FF"/>
    <w:rsid w:val="00574645"/>
    <w:rsid w:val="0057624F"/>
    <w:rsid w:val="00577856"/>
    <w:rsid w:val="0058012F"/>
    <w:rsid w:val="005801F1"/>
    <w:rsid w:val="005801FF"/>
    <w:rsid w:val="005809C4"/>
    <w:rsid w:val="00581156"/>
    <w:rsid w:val="005812DF"/>
    <w:rsid w:val="00582A8B"/>
    <w:rsid w:val="005844B5"/>
    <w:rsid w:val="00586CA5"/>
    <w:rsid w:val="005900DF"/>
    <w:rsid w:val="00590118"/>
    <w:rsid w:val="00590363"/>
    <w:rsid w:val="00590425"/>
    <w:rsid w:val="005907AF"/>
    <w:rsid w:val="00593CA8"/>
    <w:rsid w:val="00594BAF"/>
    <w:rsid w:val="00595253"/>
    <w:rsid w:val="00596F4B"/>
    <w:rsid w:val="005A0C14"/>
    <w:rsid w:val="005A39B4"/>
    <w:rsid w:val="005A4CB9"/>
    <w:rsid w:val="005A7853"/>
    <w:rsid w:val="005B1ACC"/>
    <w:rsid w:val="005B2D93"/>
    <w:rsid w:val="005B4A6A"/>
    <w:rsid w:val="005B7CA1"/>
    <w:rsid w:val="005C05FC"/>
    <w:rsid w:val="005C1820"/>
    <w:rsid w:val="005D015A"/>
    <w:rsid w:val="005D02E7"/>
    <w:rsid w:val="005D2DB8"/>
    <w:rsid w:val="005D375C"/>
    <w:rsid w:val="005D4E08"/>
    <w:rsid w:val="005D644B"/>
    <w:rsid w:val="005D6AFC"/>
    <w:rsid w:val="005D6E4C"/>
    <w:rsid w:val="005E178E"/>
    <w:rsid w:val="005E1BEB"/>
    <w:rsid w:val="005E24A0"/>
    <w:rsid w:val="005E60B6"/>
    <w:rsid w:val="005F1CA0"/>
    <w:rsid w:val="005F3A48"/>
    <w:rsid w:val="005F4EAF"/>
    <w:rsid w:val="005F5691"/>
    <w:rsid w:val="005F6004"/>
    <w:rsid w:val="005F6541"/>
    <w:rsid w:val="005F6D0A"/>
    <w:rsid w:val="005F6E59"/>
    <w:rsid w:val="00600194"/>
    <w:rsid w:val="00601230"/>
    <w:rsid w:val="00602167"/>
    <w:rsid w:val="00606D07"/>
    <w:rsid w:val="006117BF"/>
    <w:rsid w:val="0061323C"/>
    <w:rsid w:val="00614D5B"/>
    <w:rsid w:val="0061569F"/>
    <w:rsid w:val="00622644"/>
    <w:rsid w:val="00623932"/>
    <w:rsid w:val="0062397E"/>
    <w:rsid w:val="006243CE"/>
    <w:rsid w:val="00626127"/>
    <w:rsid w:val="006309BB"/>
    <w:rsid w:val="0063364B"/>
    <w:rsid w:val="00634B7C"/>
    <w:rsid w:val="00634BB3"/>
    <w:rsid w:val="00634DFC"/>
    <w:rsid w:val="00634FA5"/>
    <w:rsid w:val="006366F5"/>
    <w:rsid w:val="00643307"/>
    <w:rsid w:val="00644F31"/>
    <w:rsid w:val="00647C0A"/>
    <w:rsid w:val="00650E5D"/>
    <w:rsid w:val="006529AA"/>
    <w:rsid w:val="00652A8C"/>
    <w:rsid w:val="00656014"/>
    <w:rsid w:val="00656B03"/>
    <w:rsid w:val="00661B6E"/>
    <w:rsid w:val="0066657B"/>
    <w:rsid w:val="00667A3C"/>
    <w:rsid w:val="006701E2"/>
    <w:rsid w:val="00670D47"/>
    <w:rsid w:val="00672199"/>
    <w:rsid w:val="00672370"/>
    <w:rsid w:val="00673348"/>
    <w:rsid w:val="0067437C"/>
    <w:rsid w:val="0067722C"/>
    <w:rsid w:val="00682075"/>
    <w:rsid w:val="006852E5"/>
    <w:rsid w:val="0068547D"/>
    <w:rsid w:val="00685FCE"/>
    <w:rsid w:val="0068603A"/>
    <w:rsid w:val="00686625"/>
    <w:rsid w:val="006866D2"/>
    <w:rsid w:val="006866FD"/>
    <w:rsid w:val="00686F15"/>
    <w:rsid w:val="00690C3C"/>
    <w:rsid w:val="006933F0"/>
    <w:rsid w:val="006A0905"/>
    <w:rsid w:val="006A11D1"/>
    <w:rsid w:val="006A140B"/>
    <w:rsid w:val="006A1645"/>
    <w:rsid w:val="006A3515"/>
    <w:rsid w:val="006A398E"/>
    <w:rsid w:val="006A4105"/>
    <w:rsid w:val="006A5564"/>
    <w:rsid w:val="006A75D7"/>
    <w:rsid w:val="006A7FF4"/>
    <w:rsid w:val="006B127C"/>
    <w:rsid w:val="006B3AC0"/>
    <w:rsid w:val="006B3E12"/>
    <w:rsid w:val="006B677E"/>
    <w:rsid w:val="006B7861"/>
    <w:rsid w:val="006C120B"/>
    <w:rsid w:val="006C2084"/>
    <w:rsid w:val="006C30CC"/>
    <w:rsid w:val="006C7C4D"/>
    <w:rsid w:val="006D0D3F"/>
    <w:rsid w:val="006D20E2"/>
    <w:rsid w:val="006D2281"/>
    <w:rsid w:val="006D303C"/>
    <w:rsid w:val="006D32D0"/>
    <w:rsid w:val="006D36DB"/>
    <w:rsid w:val="006D5C1B"/>
    <w:rsid w:val="006D6FC0"/>
    <w:rsid w:val="006D7758"/>
    <w:rsid w:val="006D7B64"/>
    <w:rsid w:val="006E3D96"/>
    <w:rsid w:val="006E655C"/>
    <w:rsid w:val="006E6F42"/>
    <w:rsid w:val="006E7EFA"/>
    <w:rsid w:val="006F0DC0"/>
    <w:rsid w:val="006F0DDB"/>
    <w:rsid w:val="006F61E5"/>
    <w:rsid w:val="006F6649"/>
    <w:rsid w:val="00700168"/>
    <w:rsid w:val="00700337"/>
    <w:rsid w:val="00701328"/>
    <w:rsid w:val="007023B0"/>
    <w:rsid w:val="00702A6C"/>
    <w:rsid w:val="00704782"/>
    <w:rsid w:val="00704A60"/>
    <w:rsid w:val="0071017C"/>
    <w:rsid w:val="007118BE"/>
    <w:rsid w:val="007122FE"/>
    <w:rsid w:val="00712750"/>
    <w:rsid w:val="007144F9"/>
    <w:rsid w:val="007146EB"/>
    <w:rsid w:val="007164E1"/>
    <w:rsid w:val="00721009"/>
    <w:rsid w:val="007229CB"/>
    <w:rsid w:val="00723AE7"/>
    <w:rsid w:val="00724A67"/>
    <w:rsid w:val="0072571B"/>
    <w:rsid w:val="00725835"/>
    <w:rsid w:val="00732D70"/>
    <w:rsid w:val="00733CA5"/>
    <w:rsid w:val="007354F1"/>
    <w:rsid w:val="007360C3"/>
    <w:rsid w:val="00736A3B"/>
    <w:rsid w:val="00736B3E"/>
    <w:rsid w:val="00737AD9"/>
    <w:rsid w:val="00740696"/>
    <w:rsid w:val="00740744"/>
    <w:rsid w:val="007425D7"/>
    <w:rsid w:val="007449B4"/>
    <w:rsid w:val="007456AC"/>
    <w:rsid w:val="007508A5"/>
    <w:rsid w:val="00753B19"/>
    <w:rsid w:val="0075549D"/>
    <w:rsid w:val="00756AAF"/>
    <w:rsid w:val="007620AE"/>
    <w:rsid w:val="00764528"/>
    <w:rsid w:val="00765DE6"/>
    <w:rsid w:val="00766CDE"/>
    <w:rsid w:val="007676B8"/>
    <w:rsid w:val="00773B55"/>
    <w:rsid w:val="00774EBF"/>
    <w:rsid w:val="00776351"/>
    <w:rsid w:val="007764BE"/>
    <w:rsid w:val="007830D6"/>
    <w:rsid w:val="00783106"/>
    <w:rsid w:val="00784D6E"/>
    <w:rsid w:val="00785F39"/>
    <w:rsid w:val="007867AF"/>
    <w:rsid w:val="00790CDC"/>
    <w:rsid w:val="00791162"/>
    <w:rsid w:val="00791C57"/>
    <w:rsid w:val="00791DE9"/>
    <w:rsid w:val="00792559"/>
    <w:rsid w:val="00795A01"/>
    <w:rsid w:val="00795A6D"/>
    <w:rsid w:val="00795CB0"/>
    <w:rsid w:val="007967FA"/>
    <w:rsid w:val="00797A2C"/>
    <w:rsid w:val="007A425A"/>
    <w:rsid w:val="007A4CAF"/>
    <w:rsid w:val="007A6409"/>
    <w:rsid w:val="007A6AC2"/>
    <w:rsid w:val="007B2875"/>
    <w:rsid w:val="007B35EA"/>
    <w:rsid w:val="007B64C8"/>
    <w:rsid w:val="007B7786"/>
    <w:rsid w:val="007C0512"/>
    <w:rsid w:val="007C415F"/>
    <w:rsid w:val="007C7F85"/>
    <w:rsid w:val="007D0136"/>
    <w:rsid w:val="007D44FA"/>
    <w:rsid w:val="007D4DB5"/>
    <w:rsid w:val="007E2544"/>
    <w:rsid w:val="007E4852"/>
    <w:rsid w:val="007E4CD0"/>
    <w:rsid w:val="007F0D61"/>
    <w:rsid w:val="007F0EC6"/>
    <w:rsid w:val="007F1BE9"/>
    <w:rsid w:val="007F3ECD"/>
    <w:rsid w:val="007F4F3D"/>
    <w:rsid w:val="007F67FB"/>
    <w:rsid w:val="00800450"/>
    <w:rsid w:val="00801244"/>
    <w:rsid w:val="00803C0D"/>
    <w:rsid w:val="00803D7A"/>
    <w:rsid w:val="00804208"/>
    <w:rsid w:val="00804EDD"/>
    <w:rsid w:val="00806ACF"/>
    <w:rsid w:val="008100C6"/>
    <w:rsid w:val="0081263E"/>
    <w:rsid w:val="00812C05"/>
    <w:rsid w:val="00816037"/>
    <w:rsid w:val="00820EEC"/>
    <w:rsid w:val="0082343A"/>
    <w:rsid w:val="008327AC"/>
    <w:rsid w:val="008357E4"/>
    <w:rsid w:val="00835DE4"/>
    <w:rsid w:val="008366C3"/>
    <w:rsid w:val="00846722"/>
    <w:rsid w:val="00847816"/>
    <w:rsid w:val="00852EC8"/>
    <w:rsid w:val="00854D92"/>
    <w:rsid w:val="00854F3E"/>
    <w:rsid w:val="00856F02"/>
    <w:rsid w:val="00857DFC"/>
    <w:rsid w:val="00860663"/>
    <w:rsid w:val="008640E8"/>
    <w:rsid w:val="0086484B"/>
    <w:rsid w:val="0086550E"/>
    <w:rsid w:val="00865694"/>
    <w:rsid w:val="0086641A"/>
    <w:rsid w:val="00866EFC"/>
    <w:rsid w:val="00867D88"/>
    <w:rsid w:val="008703A2"/>
    <w:rsid w:val="008716E7"/>
    <w:rsid w:val="00874997"/>
    <w:rsid w:val="00874D24"/>
    <w:rsid w:val="00874F69"/>
    <w:rsid w:val="0088020F"/>
    <w:rsid w:val="008804C2"/>
    <w:rsid w:val="0088061A"/>
    <w:rsid w:val="00887FDA"/>
    <w:rsid w:val="008965A4"/>
    <w:rsid w:val="008971B1"/>
    <w:rsid w:val="008A2FC0"/>
    <w:rsid w:val="008A55B9"/>
    <w:rsid w:val="008A6C1E"/>
    <w:rsid w:val="008B3B03"/>
    <w:rsid w:val="008B4EFD"/>
    <w:rsid w:val="008B5467"/>
    <w:rsid w:val="008B6BFD"/>
    <w:rsid w:val="008C084A"/>
    <w:rsid w:val="008C131B"/>
    <w:rsid w:val="008C2388"/>
    <w:rsid w:val="008C2D0C"/>
    <w:rsid w:val="008C2E8E"/>
    <w:rsid w:val="008C3499"/>
    <w:rsid w:val="008C65CB"/>
    <w:rsid w:val="008C7370"/>
    <w:rsid w:val="008D0041"/>
    <w:rsid w:val="008D1281"/>
    <w:rsid w:val="008D2D34"/>
    <w:rsid w:val="008D35FA"/>
    <w:rsid w:val="008D39D2"/>
    <w:rsid w:val="008D3E3E"/>
    <w:rsid w:val="008D5663"/>
    <w:rsid w:val="008E0567"/>
    <w:rsid w:val="008E0ED1"/>
    <w:rsid w:val="008E1C2B"/>
    <w:rsid w:val="008E28CF"/>
    <w:rsid w:val="008E453A"/>
    <w:rsid w:val="008E47DB"/>
    <w:rsid w:val="008E7935"/>
    <w:rsid w:val="008F20F0"/>
    <w:rsid w:val="008F2B98"/>
    <w:rsid w:val="008F4087"/>
    <w:rsid w:val="008F46A3"/>
    <w:rsid w:val="008F49C2"/>
    <w:rsid w:val="008F4A57"/>
    <w:rsid w:val="008F4D0F"/>
    <w:rsid w:val="008F57DD"/>
    <w:rsid w:val="008F66D0"/>
    <w:rsid w:val="00901304"/>
    <w:rsid w:val="00903844"/>
    <w:rsid w:val="00903F9C"/>
    <w:rsid w:val="009044B0"/>
    <w:rsid w:val="00904D2E"/>
    <w:rsid w:val="009056D3"/>
    <w:rsid w:val="00905D11"/>
    <w:rsid w:val="0090603C"/>
    <w:rsid w:val="009060F7"/>
    <w:rsid w:val="00906C67"/>
    <w:rsid w:val="009128A8"/>
    <w:rsid w:val="00914CC3"/>
    <w:rsid w:val="00914E8B"/>
    <w:rsid w:val="00916043"/>
    <w:rsid w:val="009161FD"/>
    <w:rsid w:val="009173CE"/>
    <w:rsid w:val="009201F2"/>
    <w:rsid w:val="00921573"/>
    <w:rsid w:val="00922573"/>
    <w:rsid w:val="00922A22"/>
    <w:rsid w:val="00925E0F"/>
    <w:rsid w:val="00931162"/>
    <w:rsid w:val="00932620"/>
    <w:rsid w:val="00934503"/>
    <w:rsid w:val="00937C7A"/>
    <w:rsid w:val="00937F8C"/>
    <w:rsid w:val="00943D44"/>
    <w:rsid w:val="00947960"/>
    <w:rsid w:val="00951FC1"/>
    <w:rsid w:val="00954C23"/>
    <w:rsid w:val="009550F9"/>
    <w:rsid w:val="00956736"/>
    <w:rsid w:val="009626B1"/>
    <w:rsid w:val="00962F88"/>
    <w:rsid w:val="00963E35"/>
    <w:rsid w:val="00965B4B"/>
    <w:rsid w:val="009660F2"/>
    <w:rsid w:val="00966EA4"/>
    <w:rsid w:val="00967BF9"/>
    <w:rsid w:val="00970AA6"/>
    <w:rsid w:val="00970C01"/>
    <w:rsid w:val="00970FAF"/>
    <w:rsid w:val="00972DA3"/>
    <w:rsid w:val="00980F45"/>
    <w:rsid w:val="00981290"/>
    <w:rsid w:val="00981481"/>
    <w:rsid w:val="009815CD"/>
    <w:rsid w:val="00982145"/>
    <w:rsid w:val="0098294A"/>
    <w:rsid w:val="00983D41"/>
    <w:rsid w:val="009869DC"/>
    <w:rsid w:val="00987268"/>
    <w:rsid w:val="009872ED"/>
    <w:rsid w:val="00990172"/>
    <w:rsid w:val="00991362"/>
    <w:rsid w:val="0099360C"/>
    <w:rsid w:val="00993B8E"/>
    <w:rsid w:val="00995505"/>
    <w:rsid w:val="00997C27"/>
    <w:rsid w:val="009A0AC8"/>
    <w:rsid w:val="009A1DC3"/>
    <w:rsid w:val="009A3C40"/>
    <w:rsid w:val="009A433E"/>
    <w:rsid w:val="009A5AC3"/>
    <w:rsid w:val="009A6073"/>
    <w:rsid w:val="009B0041"/>
    <w:rsid w:val="009B078E"/>
    <w:rsid w:val="009B314B"/>
    <w:rsid w:val="009B4E27"/>
    <w:rsid w:val="009B5F78"/>
    <w:rsid w:val="009C0A28"/>
    <w:rsid w:val="009C3192"/>
    <w:rsid w:val="009C43BC"/>
    <w:rsid w:val="009C5854"/>
    <w:rsid w:val="009C5A08"/>
    <w:rsid w:val="009C640B"/>
    <w:rsid w:val="009C6C43"/>
    <w:rsid w:val="009C6DD3"/>
    <w:rsid w:val="009C7B4A"/>
    <w:rsid w:val="009D01F6"/>
    <w:rsid w:val="009D1D00"/>
    <w:rsid w:val="009D44DD"/>
    <w:rsid w:val="009D4F41"/>
    <w:rsid w:val="009E013B"/>
    <w:rsid w:val="009E3B5B"/>
    <w:rsid w:val="009E401C"/>
    <w:rsid w:val="009E7692"/>
    <w:rsid w:val="009F0C5A"/>
    <w:rsid w:val="009F20D1"/>
    <w:rsid w:val="009F3C9A"/>
    <w:rsid w:val="009F4BAA"/>
    <w:rsid w:val="009F4E83"/>
    <w:rsid w:val="009F4EB4"/>
    <w:rsid w:val="009F5178"/>
    <w:rsid w:val="009F5949"/>
    <w:rsid w:val="009F77B2"/>
    <w:rsid w:val="009F7EC3"/>
    <w:rsid w:val="00A0234E"/>
    <w:rsid w:val="00A02436"/>
    <w:rsid w:val="00A06B49"/>
    <w:rsid w:val="00A06EF0"/>
    <w:rsid w:val="00A10E2A"/>
    <w:rsid w:val="00A126E7"/>
    <w:rsid w:val="00A15178"/>
    <w:rsid w:val="00A15CBD"/>
    <w:rsid w:val="00A15D0F"/>
    <w:rsid w:val="00A2068C"/>
    <w:rsid w:val="00A24877"/>
    <w:rsid w:val="00A3041E"/>
    <w:rsid w:val="00A31018"/>
    <w:rsid w:val="00A35374"/>
    <w:rsid w:val="00A404C9"/>
    <w:rsid w:val="00A40D86"/>
    <w:rsid w:val="00A4476C"/>
    <w:rsid w:val="00A4571D"/>
    <w:rsid w:val="00A46AF6"/>
    <w:rsid w:val="00A5049F"/>
    <w:rsid w:val="00A529B3"/>
    <w:rsid w:val="00A54EB7"/>
    <w:rsid w:val="00A55404"/>
    <w:rsid w:val="00A56D27"/>
    <w:rsid w:val="00A578BB"/>
    <w:rsid w:val="00A60471"/>
    <w:rsid w:val="00A607B7"/>
    <w:rsid w:val="00A652AB"/>
    <w:rsid w:val="00A655FF"/>
    <w:rsid w:val="00A657F6"/>
    <w:rsid w:val="00A65B72"/>
    <w:rsid w:val="00A66691"/>
    <w:rsid w:val="00A717BB"/>
    <w:rsid w:val="00A71F86"/>
    <w:rsid w:val="00A72049"/>
    <w:rsid w:val="00A7332E"/>
    <w:rsid w:val="00A73DF9"/>
    <w:rsid w:val="00A741C2"/>
    <w:rsid w:val="00A751D5"/>
    <w:rsid w:val="00A82B9E"/>
    <w:rsid w:val="00A837C2"/>
    <w:rsid w:val="00A842D3"/>
    <w:rsid w:val="00A8472E"/>
    <w:rsid w:val="00A8513D"/>
    <w:rsid w:val="00A85BAC"/>
    <w:rsid w:val="00A921AC"/>
    <w:rsid w:val="00A93040"/>
    <w:rsid w:val="00A942A0"/>
    <w:rsid w:val="00A94458"/>
    <w:rsid w:val="00A9521A"/>
    <w:rsid w:val="00A971A0"/>
    <w:rsid w:val="00A978EC"/>
    <w:rsid w:val="00AA0194"/>
    <w:rsid w:val="00AA19CB"/>
    <w:rsid w:val="00AA208A"/>
    <w:rsid w:val="00AA220F"/>
    <w:rsid w:val="00AA29A1"/>
    <w:rsid w:val="00AA2A03"/>
    <w:rsid w:val="00AA304E"/>
    <w:rsid w:val="00AA37A8"/>
    <w:rsid w:val="00AA63E4"/>
    <w:rsid w:val="00AA6B7A"/>
    <w:rsid w:val="00AA6F7C"/>
    <w:rsid w:val="00AA719B"/>
    <w:rsid w:val="00AA722C"/>
    <w:rsid w:val="00AA78B7"/>
    <w:rsid w:val="00AB0839"/>
    <w:rsid w:val="00AB1DAF"/>
    <w:rsid w:val="00AB215B"/>
    <w:rsid w:val="00AB3BFB"/>
    <w:rsid w:val="00AB48F0"/>
    <w:rsid w:val="00AB6318"/>
    <w:rsid w:val="00AB6B50"/>
    <w:rsid w:val="00AB6B79"/>
    <w:rsid w:val="00AC4CC0"/>
    <w:rsid w:val="00AC532B"/>
    <w:rsid w:val="00AC5A04"/>
    <w:rsid w:val="00AC6065"/>
    <w:rsid w:val="00AC687F"/>
    <w:rsid w:val="00AC6DDC"/>
    <w:rsid w:val="00AC7D45"/>
    <w:rsid w:val="00AD0848"/>
    <w:rsid w:val="00AD25BF"/>
    <w:rsid w:val="00AD5271"/>
    <w:rsid w:val="00AE0192"/>
    <w:rsid w:val="00AE0309"/>
    <w:rsid w:val="00AE1605"/>
    <w:rsid w:val="00AE6673"/>
    <w:rsid w:val="00AE6A1C"/>
    <w:rsid w:val="00AF1398"/>
    <w:rsid w:val="00AF1B1E"/>
    <w:rsid w:val="00AF4873"/>
    <w:rsid w:val="00AF794B"/>
    <w:rsid w:val="00B016F1"/>
    <w:rsid w:val="00B0373A"/>
    <w:rsid w:val="00B05CD0"/>
    <w:rsid w:val="00B06D8B"/>
    <w:rsid w:val="00B10432"/>
    <w:rsid w:val="00B10B0E"/>
    <w:rsid w:val="00B11776"/>
    <w:rsid w:val="00B1177A"/>
    <w:rsid w:val="00B11ACD"/>
    <w:rsid w:val="00B11E4D"/>
    <w:rsid w:val="00B17CAF"/>
    <w:rsid w:val="00B211F0"/>
    <w:rsid w:val="00B21890"/>
    <w:rsid w:val="00B21A4B"/>
    <w:rsid w:val="00B24983"/>
    <w:rsid w:val="00B25864"/>
    <w:rsid w:val="00B25BDB"/>
    <w:rsid w:val="00B2766C"/>
    <w:rsid w:val="00B339CB"/>
    <w:rsid w:val="00B36DD6"/>
    <w:rsid w:val="00B43608"/>
    <w:rsid w:val="00B44CAB"/>
    <w:rsid w:val="00B4692B"/>
    <w:rsid w:val="00B52DBD"/>
    <w:rsid w:val="00B52ECD"/>
    <w:rsid w:val="00B559A9"/>
    <w:rsid w:val="00B629B4"/>
    <w:rsid w:val="00B636ED"/>
    <w:rsid w:val="00B6464A"/>
    <w:rsid w:val="00B6660C"/>
    <w:rsid w:val="00B70354"/>
    <w:rsid w:val="00B75102"/>
    <w:rsid w:val="00B757AD"/>
    <w:rsid w:val="00B75806"/>
    <w:rsid w:val="00B770DC"/>
    <w:rsid w:val="00B81E91"/>
    <w:rsid w:val="00B82945"/>
    <w:rsid w:val="00B834C2"/>
    <w:rsid w:val="00B83694"/>
    <w:rsid w:val="00B90F35"/>
    <w:rsid w:val="00B9100F"/>
    <w:rsid w:val="00B917BF"/>
    <w:rsid w:val="00B924F4"/>
    <w:rsid w:val="00B936DB"/>
    <w:rsid w:val="00B93988"/>
    <w:rsid w:val="00B950AB"/>
    <w:rsid w:val="00B96203"/>
    <w:rsid w:val="00B97265"/>
    <w:rsid w:val="00B97D70"/>
    <w:rsid w:val="00BA09DA"/>
    <w:rsid w:val="00BA2987"/>
    <w:rsid w:val="00BA2D0D"/>
    <w:rsid w:val="00BA2FB2"/>
    <w:rsid w:val="00BA7996"/>
    <w:rsid w:val="00BB0215"/>
    <w:rsid w:val="00BB0876"/>
    <w:rsid w:val="00BB316E"/>
    <w:rsid w:val="00BC044A"/>
    <w:rsid w:val="00BC0C15"/>
    <w:rsid w:val="00BC1A60"/>
    <w:rsid w:val="00BC205E"/>
    <w:rsid w:val="00BC51AF"/>
    <w:rsid w:val="00BC6EA0"/>
    <w:rsid w:val="00BD041F"/>
    <w:rsid w:val="00BD131D"/>
    <w:rsid w:val="00BD3138"/>
    <w:rsid w:val="00BD7F35"/>
    <w:rsid w:val="00BE28CC"/>
    <w:rsid w:val="00BE3541"/>
    <w:rsid w:val="00BE68CD"/>
    <w:rsid w:val="00BF01CB"/>
    <w:rsid w:val="00BF0200"/>
    <w:rsid w:val="00BF0C2F"/>
    <w:rsid w:val="00BF2835"/>
    <w:rsid w:val="00BF602D"/>
    <w:rsid w:val="00BF6B29"/>
    <w:rsid w:val="00C026F1"/>
    <w:rsid w:val="00C02B55"/>
    <w:rsid w:val="00C037C0"/>
    <w:rsid w:val="00C04FF1"/>
    <w:rsid w:val="00C054A4"/>
    <w:rsid w:val="00C10852"/>
    <w:rsid w:val="00C10B23"/>
    <w:rsid w:val="00C11B87"/>
    <w:rsid w:val="00C132A1"/>
    <w:rsid w:val="00C1440C"/>
    <w:rsid w:val="00C14CAA"/>
    <w:rsid w:val="00C152BB"/>
    <w:rsid w:val="00C156DF"/>
    <w:rsid w:val="00C15871"/>
    <w:rsid w:val="00C1773C"/>
    <w:rsid w:val="00C17F2B"/>
    <w:rsid w:val="00C21A42"/>
    <w:rsid w:val="00C248A8"/>
    <w:rsid w:val="00C26389"/>
    <w:rsid w:val="00C279F4"/>
    <w:rsid w:val="00C27E69"/>
    <w:rsid w:val="00C3165E"/>
    <w:rsid w:val="00C31A8F"/>
    <w:rsid w:val="00C33929"/>
    <w:rsid w:val="00C33B11"/>
    <w:rsid w:val="00C33D64"/>
    <w:rsid w:val="00C35146"/>
    <w:rsid w:val="00C35A47"/>
    <w:rsid w:val="00C3688C"/>
    <w:rsid w:val="00C37439"/>
    <w:rsid w:val="00C4104B"/>
    <w:rsid w:val="00C438A3"/>
    <w:rsid w:val="00C50B2E"/>
    <w:rsid w:val="00C5284B"/>
    <w:rsid w:val="00C539C3"/>
    <w:rsid w:val="00C53B24"/>
    <w:rsid w:val="00C53C2C"/>
    <w:rsid w:val="00C555B9"/>
    <w:rsid w:val="00C56297"/>
    <w:rsid w:val="00C566A7"/>
    <w:rsid w:val="00C57585"/>
    <w:rsid w:val="00C60A3F"/>
    <w:rsid w:val="00C60BDC"/>
    <w:rsid w:val="00C60CF7"/>
    <w:rsid w:val="00C6498C"/>
    <w:rsid w:val="00C655A6"/>
    <w:rsid w:val="00C65703"/>
    <w:rsid w:val="00C65853"/>
    <w:rsid w:val="00C675BF"/>
    <w:rsid w:val="00C67E41"/>
    <w:rsid w:val="00C73E10"/>
    <w:rsid w:val="00C75D41"/>
    <w:rsid w:val="00C77619"/>
    <w:rsid w:val="00C81949"/>
    <w:rsid w:val="00C8251E"/>
    <w:rsid w:val="00C82829"/>
    <w:rsid w:val="00C84092"/>
    <w:rsid w:val="00C86192"/>
    <w:rsid w:val="00C87FF6"/>
    <w:rsid w:val="00C905D2"/>
    <w:rsid w:val="00C91486"/>
    <w:rsid w:val="00C915CE"/>
    <w:rsid w:val="00C9467E"/>
    <w:rsid w:val="00CA025F"/>
    <w:rsid w:val="00CA031D"/>
    <w:rsid w:val="00CA0755"/>
    <w:rsid w:val="00CA3180"/>
    <w:rsid w:val="00CA3BB8"/>
    <w:rsid w:val="00CA4824"/>
    <w:rsid w:val="00CA4FD3"/>
    <w:rsid w:val="00CA4FF1"/>
    <w:rsid w:val="00CA529A"/>
    <w:rsid w:val="00CA587B"/>
    <w:rsid w:val="00CA643E"/>
    <w:rsid w:val="00CA686B"/>
    <w:rsid w:val="00CB08F5"/>
    <w:rsid w:val="00CB4334"/>
    <w:rsid w:val="00CB4894"/>
    <w:rsid w:val="00CB4E97"/>
    <w:rsid w:val="00CB50EA"/>
    <w:rsid w:val="00CB5893"/>
    <w:rsid w:val="00CB593A"/>
    <w:rsid w:val="00CB7994"/>
    <w:rsid w:val="00CC09DD"/>
    <w:rsid w:val="00CC1A7D"/>
    <w:rsid w:val="00CC5778"/>
    <w:rsid w:val="00CC6DF9"/>
    <w:rsid w:val="00CC7680"/>
    <w:rsid w:val="00CC78FC"/>
    <w:rsid w:val="00CD4A81"/>
    <w:rsid w:val="00CD616F"/>
    <w:rsid w:val="00CE4CC0"/>
    <w:rsid w:val="00CE5498"/>
    <w:rsid w:val="00CE593F"/>
    <w:rsid w:val="00CE7880"/>
    <w:rsid w:val="00CF0C2D"/>
    <w:rsid w:val="00CF13B3"/>
    <w:rsid w:val="00CF444F"/>
    <w:rsid w:val="00CF5A34"/>
    <w:rsid w:val="00CF7883"/>
    <w:rsid w:val="00CF7A0E"/>
    <w:rsid w:val="00D00669"/>
    <w:rsid w:val="00D00F62"/>
    <w:rsid w:val="00D024B5"/>
    <w:rsid w:val="00D05FB7"/>
    <w:rsid w:val="00D062D6"/>
    <w:rsid w:val="00D0749B"/>
    <w:rsid w:val="00D13447"/>
    <w:rsid w:val="00D13564"/>
    <w:rsid w:val="00D1406A"/>
    <w:rsid w:val="00D143FE"/>
    <w:rsid w:val="00D153D2"/>
    <w:rsid w:val="00D15D6E"/>
    <w:rsid w:val="00D16591"/>
    <w:rsid w:val="00D165A9"/>
    <w:rsid w:val="00D16B15"/>
    <w:rsid w:val="00D16B53"/>
    <w:rsid w:val="00D17447"/>
    <w:rsid w:val="00D21B89"/>
    <w:rsid w:val="00D2213C"/>
    <w:rsid w:val="00D22774"/>
    <w:rsid w:val="00D22B2D"/>
    <w:rsid w:val="00D22C8C"/>
    <w:rsid w:val="00D239C8"/>
    <w:rsid w:val="00D2516F"/>
    <w:rsid w:val="00D30C33"/>
    <w:rsid w:val="00D311EC"/>
    <w:rsid w:val="00D31D19"/>
    <w:rsid w:val="00D3224E"/>
    <w:rsid w:val="00D33E08"/>
    <w:rsid w:val="00D42D6E"/>
    <w:rsid w:val="00D4334C"/>
    <w:rsid w:val="00D43BF9"/>
    <w:rsid w:val="00D43DA8"/>
    <w:rsid w:val="00D45D27"/>
    <w:rsid w:val="00D471F4"/>
    <w:rsid w:val="00D47283"/>
    <w:rsid w:val="00D47559"/>
    <w:rsid w:val="00D47664"/>
    <w:rsid w:val="00D51231"/>
    <w:rsid w:val="00D51C96"/>
    <w:rsid w:val="00D5228C"/>
    <w:rsid w:val="00D5343D"/>
    <w:rsid w:val="00D53FEE"/>
    <w:rsid w:val="00D56F05"/>
    <w:rsid w:val="00D61AC6"/>
    <w:rsid w:val="00D64751"/>
    <w:rsid w:val="00D67287"/>
    <w:rsid w:val="00D673A2"/>
    <w:rsid w:val="00D70107"/>
    <w:rsid w:val="00D765E5"/>
    <w:rsid w:val="00D774A1"/>
    <w:rsid w:val="00D80423"/>
    <w:rsid w:val="00D8405A"/>
    <w:rsid w:val="00D91800"/>
    <w:rsid w:val="00D91B4C"/>
    <w:rsid w:val="00D91B8C"/>
    <w:rsid w:val="00D92760"/>
    <w:rsid w:val="00D92C2A"/>
    <w:rsid w:val="00D93A2D"/>
    <w:rsid w:val="00D94F76"/>
    <w:rsid w:val="00D97036"/>
    <w:rsid w:val="00D97A11"/>
    <w:rsid w:val="00DA5716"/>
    <w:rsid w:val="00DA7633"/>
    <w:rsid w:val="00DA79C0"/>
    <w:rsid w:val="00DB12E4"/>
    <w:rsid w:val="00DB2C16"/>
    <w:rsid w:val="00DB3E8D"/>
    <w:rsid w:val="00DB4027"/>
    <w:rsid w:val="00DB42FC"/>
    <w:rsid w:val="00DC0451"/>
    <w:rsid w:val="00DC4D8A"/>
    <w:rsid w:val="00DC5298"/>
    <w:rsid w:val="00DC7EBB"/>
    <w:rsid w:val="00DD0025"/>
    <w:rsid w:val="00DD1F4A"/>
    <w:rsid w:val="00DD2440"/>
    <w:rsid w:val="00DD2ADD"/>
    <w:rsid w:val="00DD2BA3"/>
    <w:rsid w:val="00DD2E98"/>
    <w:rsid w:val="00DD375F"/>
    <w:rsid w:val="00DD4248"/>
    <w:rsid w:val="00DD5EA9"/>
    <w:rsid w:val="00DD77CF"/>
    <w:rsid w:val="00DE20EA"/>
    <w:rsid w:val="00DE2B43"/>
    <w:rsid w:val="00DE36AD"/>
    <w:rsid w:val="00DE3A07"/>
    <w:rsid w:val="00DE3AD6"/>
    <w:rsid w:val="00DE5559"/>
    <w:rsid w:val="00DE689F"/>
    <w:rsid w:val="00DE68CB"/>
    <w:rsid w:val="00DF2093"/>
    <w:rsid w:val="00DF23F9"/>
    <w:rsid w:val="00DF2A69"/>
    <w:rsid w:val="00DF32B7"/>
    <w:rsid w:val="00DF3FF1"/>
    <w:rsid w:val="00DF42F4"/>
    <w:rsid w:val="00DF5644"/>
    <w:rsid w:val="00E0160E"/>
    <w:rsid w:val="00E0330C"/>
    <w:rsid w:val="00E03626"/>
    <w:rsid w:val="00E14BCF"/>
    <w:rsid w:val="00E14F8B"/>
    <w:rsid w:val="00E16E57"/>
    <w:rsid w:val="00E17DF3"/>
    <w:rsid w:val="00E2026F"/>
    <w:rsid w:val="00E21A81"/>
    <w:rsid w:val="00E24A79"/>
    <w:rsid w:val="00E24CC8"/>
    <w:rsid w:val="00E26AD7"/>
    <w:rsid w:val="00E271D7"/>
    <w:rsid w:val="00E27F6E"/>
    <w:rsid w:val="00E311A6"/>
    <w:rsid w:val="00E314B5"/>
    <w:rsid w:val="00E3220C"/>
    <w:rsid w:val="00E33395"/>
    <w:rsid w:val="00E35167"/>
    <w:rsid w:val="00E35A53"/>
    <w:rsid w:val="00E363C4"/>
    <w:rsid w:val="00E37482"/>
    <w:rsid w:val="00E3756C"/>
    <w:rsid w:val="00E40A55"/>
    <w:rsid w:val="00E44571"/>
    <w:rsid w:val="00E45B63"/>
    <w:rsid w:val="00E46471"/>
    <w:rsid w:val="00E46659"/>
    <w:rsid w:val="00E46D32"/>
    <w:rsid w:val="00E50BE0"/>
    <w:rsid w:val="00E50D22"/>
    <w:rsid w:val="00E5150B"/>
    <w:rsid w:val="00E535CE"/>
    <w:rsid w:val="00E57677"/>
    <w:rsid w:val="00E60D0B"/>
    <w:rsid w:val="00E6172D"/>
    <w:rsid w:val="00E627F8"/>
    <w:rsid w:val="00E67F06"/>
    <w:rsid w:val="00E70FB2"/>
    <w:rsid w:val="00E7328D"/>
    <w:rsid w:val="00E75AB9"/>
    <w:rsid w:val="00E77394"/>
    <w:rsid w:val="00E77963"/>
    <w:rsid w:val="00E84DAA"/>
    <w:rsid w:val="00E852DF"/>
    <w:rsid w:val="00E8596B"/>
    <w:rsid w:val="00E90A0C"/>
    <w:rsid w:val="00E91169"/>
    <w:rsid w:val="00E91851"/>
    <w:rsid w:val="00E91E95"/>
    <w:rsid w:val="00E920B4"/>
    <w:rsid w:val="00E927AF"/>
    <w:rsid w:val="00E9352B"/>
    <w:rsid w:val="00E95E5A"/>
    <w:rsid w:val="00E9758E"/>
    <w:rsid w:val="00E97693"/>
    <w:rsid w:val="00EA2DA7"/>
    <w:rsid w:val="00EA4D07"/>
    <w:rsid w:val="00EA5177"/>
    <w:rsid w:val="00EA55E7"/>
    <w:rsid w:val="00EA7206"/>
    <w:rsid w:val="00EA7537"/>
    <w:rsid w:val="00EB03EB"/>
    <w:rsid w:val="00EB125E"/>
    <w:rsid w:val="00EB1AB6"/>
    <w:rsid w:val="00EB1B59"/>
    <w:rsid w:val="00EB4F34"/>
    <w:rsid w:val="00EB62E3"/>
    <w:rsid w:val="00EC170F"/>
    <w:rsid w:val="00EC1900"/>
    <w:rsid w:val="00EC2454"/>
    <w:rsid w:val="00EC2B5C"/>
    <w:rsid w:val="00EC4174"/>
    <w:rsid w:val="00ED339D"/>
    <w:rsid w:val="00ED3722"/>
    <w:rsid w:val="00ED49CD"/>
    <w:rsid w:val="00ED53A7"/>
    <w:rsid w:val="00EE0773"/>
    <w:rsid w:val="00EE13A3"/>
    <w:rsid w:val="00EE1BA9"/>
    <w:rsid w:val="00EE352F"/>
    <w:rsid w:val="00EE394B"/>
    <w:rsid w:val="00EE3D56"/>
    <w:rsid w:val="00EE6EF3"/>
    <w:rsid w:val="00EE736B"/>
    <w:rsid w:val="00EF1135"/>
    <w:rsid w:val="00EF5796"/>
    <w:rsid w:val="00F00954"/>
    <w:rsid w:val="00F02554"/>
    <w:rsid w:val="00F06A41"/>
    <w:rsid w:val="00F110FC"/>
    <w:rsid w:val="00F15301"/>
    <w:rsid w:val="00F15ADC"/>
    <w:rsid w:val="00F17D46"/>
    <w:rsid w:val="00F20677"/>
    <w:rsid w:val="00F22F68"/>
    <w:rsid w:val="00F23AF0"/>
    <w:rsid w:val="00F24703"/>
    <w:rsid w:val="00F27D75"/>
    <w:rsid w:val="00F300B1"/>
    <w:rsid w:val="00F3212F"/>
    <w:rsid w:val="00F3371D"/>
    <w:rsid w:val="00F33A1C"/>
    <w:rsid w:val="00F34C88"/>
    <w:rsid w:val="00F355D2"/>
    <w:rsid w:val="00F35D84"/>
    <w:rsid w:val="00F36398"/>
    <w:rsid w:val="00F377AE"/>
    <w:rsid w:val="00F37E0D"/>
    <w:rsid w:val="00F423D1"/>
    <w:rsid w:val="00F4520C"/>
    <w:rsid w:val="00F453E9"/>
    <w:rsid w:val="00F50A4E"/>
    <w:rsid w:val="00F51787"/>
    <w:rsid w:val="00F5178C"/>
    <w:rsid w:val="00F5223A"/>
    <w:rsid w:val="00F53755"/>
    <w:rsid w:val="00F5784A"/>
    <w:rsid w:val="00F601E0"/>
    <w:rsid w:val="00F64368"/>
    <w:rsid w:val="00F6446A"/>
    <w:rsid w:val="00F64E99"/>
    <w:rsid w:val="00F66134"/>
    <w:rsid w:val="00F66983"/>
    <w:rsid w:val="00F67BE6"/>
    <w:rsid w:val="00F67FB7"/>
    <w:rsid w:val="00F710FB"/>
    <w:rsid w:val="00F73667"/>
    <w:rsid w:val="00F7404A"/>
    <w:rsid w:val="00F7419D"/>
    <w:rsid w:val="00F744F8"/>
    <w:rsid w:val="00F8087F"/>
    <w:rsid w:val="00F80C6A"/>
    <w:rsid w:val="00F813DE"/>
    <w:rsid w:val="00F84506"/>
    <w:rsid w:val="00F85003"/>
    <w:rsid w:val="00F85B75"/>
    <w:rsid w:val="00F85EA7"/>
    <w:rsid w:val="00F907ED"/>
    <w:rsid w:val="00F92222"/>
    <w:rsid w:val="00F93AA4"/>
    <w:rsid w:val="00F94DEE"/>
    <w:rsid w:val="00F9545C"/>
    <w:rsid w:val="00F97856"/>
    <w:rsid w:val="00FA341B"/>
    <w:rsid w:val="00FA44A7"/>
    <w:rsid w:val="00FA557D"/>
    <w:rsid w:val="00FA5B4B"/>
    <w:rsid w:val="00FA7392"/>
    <w:rsid w:val="00FA7C69"/>
    <w:rsid w:val="00FA7D1C"/>
    <w:rsid w:val="00FB6D67"/>
    <w:rsid w:val="00FC59B3"/>
    <w:rsid w:val="00FC6255"/>
    <w:rsid w:val="00FC6310"/>
    <w:rsid w:val="00FC6A96"/>
    <w:rsid w:val="00FD0FCB"/>
    <w:rsid w:val="00FD31F8"/>
    <w:rsid w:val="00FD5BC6"/>
    <w:rsid w:val="00FD7AF4"/>
    <w:rsid w:val="00FE2095"/>
    <w:rsid w:val="00FE479D"/>
    <w:rsid w:val="00FE480C"/>
    <w:rsid w:val="00FE51AC"/>
    <w:rsid w:val="00FE58EC"/>
    <w:rsid w:val="00FE7638"/>
    <w:rsid w:val="00FE7EBB"/>
    <w:rsid w:val="00FF0092"/>
    <w:rsid w:val="00FF3165"/>
    <w:rsid w:val="03EA7678"/>
    <w:rsid w:val="050D54CE"/>
    <w:rsid w:val="05BF09E5"/>
    <w:rsid w:val="05F56F28"/>
    <w:rsid w:val="08634C14"/>
    <w:rsid w:val="0B1C57E6"/>
    <w:rsid w:val="0B50226B"/>
    <w:rsid w:val="0E1F77AA"/>
    <w:rsid w:val="105E2E5C"/>
    <w:rsid w:val="12053CE4"/>
    <w:rsid w:val="12B62076"/>
    <w:rsid w:val="17393040"/>
    <w:rsid w:val="179D1E56"/>
    <w:rsid w:val="1B492A80"/>
    <w:rsid w:val="1BD641A0"/>
    <w:rsid w:val="1C606903"/>
    <w:rsid w:val="1DEA3AA7"/>
    <w:rsid w:val="1E691F30"/>
    <w:rsid w:val="1F777932"/>
    <w:rsid w:val="20F3330B"/>
    <w:rsid w:val="21464C29"/>
    <w:rsid w:val="23C036C2"/>
    <w:rsid w:val="24000FEA"/>
    <w:rsid w:val="2AB551B1"/>
    <w:rsid w:val="2C9D0974"/>
    <w:rsid w:val="2F5F5A23"/>
    <w:rsid w:val="2FC178F1"/>
    <w:rsid w:val="30340008"/>
    <w:rsid w:val="304377D3"/>
    <w:rsid w:val="304E2375"/>
    <w:rsid w:val="352D33ED"/>
    <w:rsid w:val="36C07143"/>
    <w:rsid w:val="37030CCA"/>
    <w:rsid w:val="3A4D4D62"/>
    <w:rsid w:val="3AE828BF"/>
    <w:rsid w:val="3B551EAF"/>
    <w:rsid w:val="3C1D3DDD"/>
    <w:rsid w:val="3D5A60F9"/>
    <w:rsid w:val="3DDAD2C4"/>
    <w:rsid w:val="40AC1995"/>
    <w:rsid w:val="41A85868"/>
    <w:rsid w:val="42521512"/>
    <w:rsid w:val="43023801"/>
    <w:rsid w:val="431775F1"/>
    <w:rsid w:val="44B3734F"/>
    <w:rsid w:val="44DA134B"/>
    <w:rsid w:val="45156122"/>
    <w:rsid w:val="46AF25A6"/>
    <w:rsid w:val="47E76823"/>
    <w:rsid w:val="4A1D4FAF"/>
    <w:rsid w:val="4AF2617D"/>
    <w:rsid w:val="53BC6465"/>
    <w:rsid w:val="54962724"/>
    <w:rsid w:val="55703B13"/>
    <w:rsid w:val="57AF0677"/>
    <w:rsid w:val="59552A64"/>
    <w:rsid w:val="59B51C2E"/>
    <w:rsid w:val="5AB543FB"/>
    <w:rsid w:val="5B8161A6"/>
    <w:rsid w:val="5C3240BE"/>
    <w:rsid w:val="5E591C11"/>
    <w:rsid w:val="5E6A43DE"/>
    <w:rsid w:val="5FD34363"/>
    <w:rsid w:val="64D477B0"/>
    <w:rsid w:val="65AC2FF2"/>
    <w:rsid w:val="65B37365"/>
    <w:rsid w:val="65FD3508"/>
    <w:rsid w:val="664A5D9B"/>
    <w:rsid w:val="66876CE5"/>
    <w:rsid w:val="69BB58A7"/>
    <w:rsid w:val="69CD62F0"/>
    <w:rsid w:val="6A8D6CDC"/>
    <w:rsid w:val="6AAD5175"/>
    <w:rsid w:val="6E163FE1"/>
    <w:rsid w:val="6EBB7947"/>
    <w:rsid w:val="706C2EEF"/>
    <w:rsid w:val="70F5267F"/>
    <w:rsid w:val="728955C8"/>
    <w:rsid w:val="739F3F4C"/>
    <w:rsid w:val="78120820"/>
    <w:rsid w:val="78DF4BA6"/>
    <w:rsid w:val="7AA03540"/>
    <w:rsid w:val="7BE02E81"/>
    <w:rsid w:val="7D347A27"/>
    <w:rsid w:val="7D797230"/>
    <w:rsid w:val="7DDE2304"/>
    <w:rsid w:val="7FA008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4">
    <w:name w:val="heading 3"/>
    <w:basedOn w:val="1"/>
    <w:next w:val="5"/>
    <w:link w:val="50"/>
    <w:qFormat/>
    <w:uiPriority w:val="0"/>
    <w:pPr>
      <w:keepNext/>
      <w:keepLines/>
      <w:numPr>
        <w:ilvl w:val="2"/>
        <w:numId w:val="1"/>
      </w:numPr>
      <w:spacing w:line="360" w:lineRule="auto"/>
      <w:ind w:firstLine="720" w:firstLineChars="200"/>
      <w:jc w:val="left"/>
      <w:outlineLvl w:val="2"/>
    </w:pPr>
    <w:rPr>
      <w:rFonts w:ascii="仿宋_GB2312" w:hAnsi="仿宋_GB2312" w:eastAsia="微软雅黑"/>
      <w:b/>
      <w:bCs/>
      <w:szCs w:val="20"/>
    </w:rPr>
  </w:style>
  <w:style w:type="paragraph" w:styleId="6">
    <w:name w:val="heading 4"/>
    <w:basedOn w:val="1"/>
    <w:next w:val="1"/>
    <w:unhideWhenUsed/>
    <w:qFormat/>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line="372" w:lineRule="auto"/>
      <w:outlineLvl w:val="4"/>
    </w:pPr>
    <w:rPr>
      <w:b/>
      <w:sz w:val="28"/>
    </w:rPr>
  </w:style>
  <w:style w:type="paragraph" w:styleId="8">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line="317" w:lineRule="auto"/>
      <w:outlineLvl w:val="6"/>
    </w:pPr>
    <w:rPr>
      <w:b/>
      <w:sz w:val="24"/>
    </w:rPr>
  </w:style>
  <w:style w:type="paragraph" w:styleId="10">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line="317" w:lineRule="auto"/>
      <w:outlineLvl w:val="8"/>
    </w:pPr>
    <w:rPr>
      <w:rFonts w:ascii="Arial" w:hAnsi="Arial" w:eastAsia="黑体"/>
    </w:rPr>
  </w:style>
  <w:style w:type="character" w:default="1" w:styleId="40">
    <w:name w:val="Default Paragraph Font"/>
    <w:unhideWhenUsed/>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73"/>
    <w:qFormat/>
    <w:uiPriority w:val="0"/>
    <w:pPr>
      <w:jc w:val="left"/>
    </w:pPr>
  </w:style>
  <w:style w:type="paragraph" w:styleId="16">
    <w:name w:val="Body Text 3"/>
    <w:basedOn w:val="1"/>
    <w:qFormat/>
    <w:uiPriority w:val="0"/>
    <w:pPr>
      <w:snapToGrid w:val="0"/>
      <w:spacing w:before="50" w:after="50"/>
    </w:pPr>
    <w:rPr>
      <w:rFonts w:hAnsi="宋体" w:eastAsia="仿宋_GB2312"/>
      <w:b/>
      <w:bCs/>
      <w:sz w:val="24"/>
      <w:szCs w:val="20"/>
    </w:rPr>
  </w:style>
  <w:style w:type="paragraph" w:styleId="17">
    <w:name w:val="Body Text"/>
    <w:basedOn w:val="1"/>
    <w:link w:val="57"/>
    <w:qFormat/>
    <w:uiPriority w:val="0"/>
    <w:pPr>
      <w:spacing w:after="120"/>
    </w:pPr>
    <w:rPr>
      <w:sz w:val="28"/>
    </w:rPr>
  </w:style>
  <w:style w:type="paragraph" w:styleId="18">
    <w:name w:val="Body Text Indent"/>
    <w:basedOn w:val="1"/>
    <w:link w:val="56"/>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53"/>
    <w:qFormat/>
    <w:uiPriority w:val="0"/>
    <w:pPr>
      <w:spacing w:beforeLines="50" w:afterLines="50" w:line="400" w:lineRule="exact"/>
    </w:pPr>
    <w:rPr>
      <w:rFonts w:ascii="宋体" w:hAnsi="Courier New"/>
      <w:sz w:val="24"/>
    </w:rPr>
  </w:style>
  <w:style w:type="paragraph" w:styleId="23">
    <w:name w:val="Date"/>
    <w:basedOn w:val="1"/>
    <w:next w:val="1"/>
    <w:qFormat/>
    <w:uiPriority w:val="0"/>
    <w:pPr>
      <w:ind w:left="2500" w:leftChars="2500"/>
    </w:pPr>
    <w:rPr>
      <w:rFonts w:eastAsia="楷体_GB2312"/>
      <w:sz w:val="32"/>
      <w:szCs w:val="20"/>
    </w:rPr>
  </w:style>
  <w:style w:type="paragraph" w:styleId="24">
    <w:name w:val="Body Text Indent 2"/>
    <w:basedOn w:val="1"/>
    <w:qFormat/>
    <w:uiPriority w:val="0"/>
    <w:pPr>
      <w:snapToGrid w:val="0"/>
      <w:ind w:firstLine="542" w:firstLineChars="225"/>
    </w:pPr>
    <w:rPr>
      <w:rFonts w:ascii="仿宋_GB2312" w:hAnsi="宋体" w:cs="Arial"/>
      <w:b/>
      <w:bCs/>
      <w:color w:val="000000"/>
      <w:sz w:val="24"/>
    </w:rPr>
  </w:style>
  <w:style w:type="paragraph" w:styleId="25">
    <w:name w:val="Balloon Text"/>
    <w:basedOn w:val="1"/>
    <w:link w:val="78"/>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rFonts w:eastAsia="黑体"/>
      <w:snapToGrid w:val="0"/>
      <w:kern w:val="0"/>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0">
    <w:name w:val="List"/>
    <w:basedOn w:val="1"/>
    <w:qFormat/>
    <w:uiPriority w:val="0"/>
    <w:pPr>
      <w:ind w:left="200" w:hanging="200" w:hangingChars="200"/>
    </w:pPr>
    <w:rPr>
      <w:sz w:val="28"/>
    </w:rPr>
  </w:style>
  <w:style w:type="paragraph" w:styleId="31">
    <w:name w:val="footnote text"/>
    <w:basedOn w:val="1"/>
    <w:link w:val="79"/>
    <w:unhideWhenUsed/>
    <w:qFormat/>
    <w:uiPriority w:val="99"/>
    <w:pPr>
      <w:snapToGrid w:val="0"/>
      <w:jc w:val="left"/>
    </w:pPr>
    <w:rPr>
      <w:sz w:val="18"/>
      <w:szCs w:val="18"/>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39"/>
    <w:pPr>
      <w:ind w:left="420" w:leftChars="200"/>
    </w:pPr>
  </w:style>
  <w:style w:type="paragraph" w:styleId="34">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mbria" w:hAnsi="Cambria" w:eastAsia="微软雅黑"/>
      <w:b/>
      <w:bCs/>
      <w:sz w:val="32"/>
      <w:szCs w:val="32"/>
    </w:rPr>
  </w:style>
  <w:style w:type="paragraph" w:styleId="37">
    <w:name w:val="annotation subject"/>
    <w:basedOn w:val="15"/>
    <w:next w:val="15"/>
    <w:link w:val="74"/>
    <w:qFormat/>
    <w:uiPriority w:val="0"/>
    <w:rPr>
      <w:b/>
      <w:bCs/>
    </w:rPr>
  </w:style>
  <w:style w:type="paragraph" w:styleId="38">
    <w:name w:val="Body Text First Indent"/>
    <w:basedOn w:val="17"/>
    <w:link w:val="70"/>
    <w:qFormat/>
    <w:uiPriority w:val="0"/>
    <w:pPr>
      <w:ind w:firstLine="420" w:firstLineChars="100"/>
    </w:pPr>
    <w:rPr>
      <w:sz w:val="21"/>
    </w:r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styleId="47">
    <w:name w:val="footnote reference"/>
    <w:unhideWhenUsed/>
    <w:qFormat/>
    <w:uiPriority w:val="99"/>
    <w:rPr>
      <w:vertAlign w:val="superscript"/>
    </w:rPr>
  </w:style>
  <w:style w:type="character" w:customStyle="1" w:styleId="48">
    <w:name w:val="标题 1 字符"/>
    <w:link w:val="2"/>
    <w:qFormat/>
    <w:uiPriority w:val="0"/>
    <w:rPr>
      <w:b/>
      <w:bCs/>
      <w:kern w:val="44"/>
      <w:sz w:val="44"/>
      <w:szCs w:val="44"/>
    </w:rPr>
  </w:style>
  <w:style w:type="character" w:customStyle="1" w:styleId="49">
    <w:name w:val="正文缩进 字符"/>
    <w:link w:val="5"/>
    <w:qFormat/>
    <w:uiPriority w:val="0"/>
    <w:rPr>
      <w:rFonts w:eastAsia="宋体"/>
      <w:kern w:val="2"/>
      <w:sz w:val="21"/>
      <w:lang w:bidi="ar-SA"/>
    </w:rPr>
  </w:style>
  <w:style w:type="character" w:customStyle="1" w:styleId="50">
    <w:name w:val="标题 3 字符"/>
    <w:link w:val="4"/>
    <w:qFormat/>
    <w:uiPriority w:val="0"/>
    <w:rPr>
      <w:rFonts w:ascii="仿宋_GB2312" w:hAnsi="仿宋_GB2312" w:eastAsia="微软雅黑"/>
      <w:b/>
      <w:bCs/>
      <w:kern w:val="2"/>
      <w:sz w:val="21"/>
    </w:rPr>
  </w:style>
  <w:style w:type="character" w:customStyle="1" w:styleId="51">
    <w:name w:val="页脚 字符"/>
    <w:link w:val="26"/>
    <w:qFormat/>
    <w:uiPriority w:val="99"/>
    <w:rPr>
      <w:rFonts w:eastAsia="黑体"/>
      <w:snapToGrid w:val="0"/>
      <w:sz w:val="18"/>
      <w:szCs w:val="18"/>
      <w:lang w:bidi="ar-SA"/>
    </w:rPr>
  </w:style>
  <w:style w:type="paragraph" w:customStyle="1" w:styleId="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3">
    <w:name w:val="纯文本 字符"/>
    <w:link w:val="22"/>
    <w:qFormat/>
    <w:uiPriority w:val="0"/>
    <w:rPr>
      <w:rFonts w:ascii="宋体" w:hAnsi="Courier New" w:eastAsia="宋体"/>
      <w:kern w:val="2"/>
      <w:sz w:val="24"/>
      <w:szCs w:val="24"/>
      <w:lang w:val="en-US" w:eastAsia="zh-CN" w:bidi="ar-SA"/>
    </w:rPr>
  </w:style>
  <w:style w:type="paragraph" w:customStyle="1" w:styleId="54">
    <w:name w:val="正文段"/>
    <w:basedOn w:val="1"/>
    <w:qFormat/>
    <w:uiPriority w:val="0"/>
    <w:pPr>
      <w:widowControl/>
      <w:snapToGrid w:val="0"/>
      <w:spacing w:afterLines="50"/>
      <w:ind w:firstLine="200" w:firstLineChars="200"/>
    </w:pPr>
    <w:rPr>
      <w:kern w:val="0"/>
      <w:sz w:val="24"/>
      <w:szCs w:val="20"/>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正文文本缩进 字符"/>
    <w:link w:val="18"/>
    <w:qFormat/>
    <w:uiPriority w:val="0"/>
    <w:rPr>
      <w:rFonts w:ascii="宋体" w:hAnsi="Courier New" w:eastAsia="宋体"/>
      <w:spacing w:val="-4"/>
      <w:kern w:val="2"/>
      <w:sz w:val="18"/>
      <w:lang w:bidi="ar-SA"/>
    </w:rPr>
  </w:style>
  <w:style w:type="character" w:customStyle="1" w:styleId="57">
    <w:name w:val="正文文本 字符"/>
    <w:link w:val="17"/>
    <w:qFormat/>
    <w:uiPriority w:val="0"/>
    <w:rPr>
      <w:rFonts w:eastAsia="宋体"/>
      <w:kern w:val="2"/>
      <w:sz w:val="28"/>
      <w:szCs w:val="24"/>
      <w:lang w:bidi="ar-SA"/>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59">
    <w:name w:val="页眉 字符"/>
    <w:link w:val="27"/>
    <w:qFormat/>
    <w:uiPriority w:val="99"/>
    <w:rPr>
      <w:rFonts w:eastAsia="仿宋_GB2312"/>
      <w:kern w:val="2"/>
      <w:sz w:val="18"/>
      <w:lang w:bidi="ar-SA"/>
    </w:rPr>
  </w:style>
  <w:style w:type="paragraph" w:customStyle="1" w:styleId="60">
    <w:name w:val="默认段落字体 Para Char Char Char Char"/>
    <w:basedOn w:val="1"/>
    <w:qFormat/>
    <w:uiPriority w:val="0"/>
    <w:rPr>
      <w:rFonts w:ascii="Arial" w:hAnsi="Arial" w:cs="Arial"/>
      <w:szCs w:val="21"/>
    </w:rPr>
  </w:style>
  <w:style w:type="paragraph" w:customStyle="1" w:styleId="61">
    <w:name w:val="1 Char Char Char Char"/>
    <w:basedOn w:val="1"/>
    <w:qFormat/>
    <w:uiPriority w:val="0"/>
    <w:rPr>
      <w:rFonts w:ascii="Tahoma" w:hAnsi="Tahoma"/>
      <w:sz w:val="24"/>
      <w:szCs w:val="20"/>
    </w:rPr>
  </w:style>
  <w:style w:type="paragraph" w:customStyle="1" w:styleId="62">
    <w:name w:val="列表段落1"/>
    <w:basedOn w:val="1"/>
    <w:qFormat/>
    <w:uiPriority w:val="0"/>
    <w:pPr>
      <w:ind w:firstLine="420" w:firstLineChars="200"/>
    </w:pPr>
    <w:rPr>
      <w:rFonts w:ascii="Calibri" w:hAnsi="Calibri"/>
      <w:szCs w:val="22"/>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默认段落字体 Para Char Char Char Char Char Char Char Char Char Char Char Char Char"/>
    <w:basedOn w:val="14"/>
    <w:qFormat/>
    <w:uiPriority w:val="0"/>
    <w:rPr>
      <w:rFonts w:ascii="Tahoma" w:hAnsi="Tahoma" w:cs="Tahoma"/>
      <w:sz w:val="24"/>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样式 表格正文 + 两端对齐"/>
    <w:basedOn w:val="1"/>
    <w:qFormat/>
    <w:uiPriority w:val="0"/>
    <w:pPr>
      <w:spacing w:line="300" w:lineRule="auto"/>
    </w:pPr>
    <w:rPr>
      <w:sz w:val="24"/>
      <w:szCs w:val="20"/>
    </w:rPr>
  </w:style>
  <w:style w:type="paragraph" w:customStyle="1" w:styleId="67">
    <w:name w:val="此正文"/>
    <w:basedOn w:val="1"/>
    <w:qFormat/>
    <w:uiPriority w:val="0"/>
    <w:pPr>
      <w:spacing w:line="360" w:lineRule="auto"/>
      <w:ind w:firstLine="200" w:firstLineChars="200"/>
    </w:pPr>
    <w:rPr>
      <w:sz w:val="24"/>
      <w:szCs w:val="20"/>
    </w:rPr>
  </w:style>
  <w:style w:type="character" w:customStyle="1" w:styleId="68">
    <w:name w:val="标题 字符"/>
    <w:link w:val="36"/>
    <w:qFormat/>
    <w:uiPriority w:val="0"/>
    <w:rPr>
      <w:rFonts w:ascii="Cambria" w:hAnsi="Cambria" w:eastAsia="微软雅黑"/>
      <w:b/>
      <w:bCs/>
      <w:kern w:val="2"/>
      <w:sz w:val="32"/>
      <w:szCs w:val="32"/>
    </w:rPr>
  </w:style>
  <w:style w:type="paragraph" w:customStyle="1" w:styleId="69">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character" w:customStyle="1" w:styleId="70">
    <w:name w:val="正文文本首行缩进 字符"/>
    <w:link w:val="38"/>
    <w:qFormat/>
    <w:uiPriority w:val="0"/>
    <w:rPr>
      <w:rFonts w:eastAsia="宋体"/>
      <w:kern w:val="2"/>
      <w:sz w:val="21"/>
      <w:szCs w:val="24"/>
      <w:lang w:bidi="ar-SA"/>
    </w:rPr>
  </w:style>
  <w:style w:type="paragraph" w:customStyle="1" w:styleId="71">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2">
    <w:name w:val="15"/>
    <w:qFormat/>
    <w:uiPriority w:val="0"/>
    <w:rPr>
      <w:rFonts w:ascii="Verdana" w:hAnsi="Verdana" w:cs="Times New Roman"/>
      <w:color w:val="C90000"/>
      <w:sz w:val="18"/>
    </w:rPr>
  </w:style>
  <w:style w:type="character" w:customStyle="1" w:styleId="73">
    <w:name w:val="批注文字 字符"/>
    <w:link w:val="15"/>
    <w:qFormat/>
    <w:uiPriority w:val="0"/>
    <w:rPr>
      <w:rFonts w:eastAsia="宋体"/>
      <w:kern w:val="2"/>
      <w:sz w:val="21"/>
      <w:szCs w:val="24"/>
      <w:lang w:val="en-US" w:eastAsia="zh-CN" w:bidi="ar-SA"/>
    </w:rPr>
  </w:style>
  <w:style w:type="character" w:customStyle="1" w:styleId="74">
    <w:name w:val="批注主题 字符"/>
    <w:link w:val="37"/>
    <w:qFormat/>
    <w:uiPriority w:val="0"/>
    <w:rPr>
      <w:rFonts w:eastAsia="宋体"/>
      <w:b/>
      <w:bCs/>
      <w:kern w:val="2"/>
      <w:sz w:val="21"/>
      <w:szCs w:val="24"/>
      <w:lang w:val="en-US" w:eastAsia="zh-CN" w:bidi="ar-SA"/>
    </w:rPr>
  </w:style>
  <w:style w:type="paragraph" w:customStyle="1" w:styleId="75">
    <w:name w:val="正文－恩普"/>
    <w:basedOn w:val="5"/>
    <w:qFormat/>
    <w:uiPriority w:val="0"/>
    <w:pPr>
      <w:widowControl/>
      <w:spacing w:afterLines="50" w:line="360" w:lineRule="auto"/>
      <w:ind w:firstLine="480" w:firstLineChars="200"/>
      <w:jc w:val="left"/>
    </w:pPr>
    <w:rPr>
      <w:kern w:val="0"/>
      <w:sz w:val="24"/>
    </w:rPr>
  </w:style>
  <w:style w:type="paragraph" w:customStyle="1" w:styleId="7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w:basedOn w:val="1"/>
    <w:qFormat/>
    <w:uiPriority w:val="0"/>
    <w:rPr>
      <w:szCs w:val="21"/>
    </w:rPr>
  </w:style>
  <w:style w:type="character" w:customStyle="1" w:styleId="78">
    <w:name w:val="批注框文本 字符"/>
    <w:link w:val="25"/>
    <w:qFormat/>
    <w:uiPriority w:val="0"/>
    <w:rPr>
      <w:kern w:val="2"/>
      <w:sz w:val="18"/>
      <w:szCs w:val="18"/>
    </w:rPr>
  </w:style>
  <w:style w:type="character" w:customStyle="1" w:styleId="79">
    <w:name w:val="脚注文本 字符"/>
    <w:basedOn w:val="40"/>
    <w:link w:val="31"/>
    <w:qFormat/>
    <w:uiPriority w:val="99"/>
    <w:rPr>
      <w:kern w:val="2"/>
      <w:sz w:val="18"/>
      <w:szCs w:val="18"/>
    </w:rPr>
  </w:style>
  <w:style w:type="paragraph" w:customStyle="1" w:styleId="8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1">
    <w:name w:val="副标题 字符"/>
    <w:basedOn w:val="40"/>
    <w:link w:val="29"/>
    <w:qFormat/>
    <w:uiPriority w:val="0"/>
    <w:rPr>
      <w:rFonts w:asciiTheme="majorHAnsi" w:hAnsiTheme="majorHAnsi" w:cstheme="majorBidi"/>
      <w:b/>
      <w:bCs/>
      <w:kern w:val="28"/>
      <w:sz w:val="32"/>
      <w:szCs w:val="32"/>
    </w:rPr>
  </w:style>
  <w:style w:type="character" w:customStyle="1" w:styleId="82">
    <w:name w:val="页脚 Char"/>
    <w:qFormat/>
    <w:locked/>
    <w:uiPriority w:val="99"/>
    <w:rPr>
      <w:rFonts w:eastAsia="黑体"/>
      <w:snapToGrid w:val="0"/>
      <w:sz w:val="18"/>
      <w:szCs w:val="18"/>
    </w:rPr>
  </w:style>
  <w:style w:type="character" w:customStyle="1" w:styleId="83">
    <w:name w:val="页眉 Char"/>
    <w:qFormat/>
    <w:uiPriority w:val="99"/>
    <w:rPr>
      <w:rFonts w:eastAsia="仿宋_GB2312"/>
      <w:kern w:val="2"/>
      <w:sz w:val="18"/>
    </w:rPr>
  </w:style>
  <w:style w:type="paragraph" w:customStyle="1" w:styleId="8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8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TOC 标题3"/>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8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13354</Words>
  <Characters>14195</Characters>
  <Lines>116</Lines>
  <Paragraphs>32</Paragraphs>
  <TotalTime>1</TotalTime>
  <ScaleCrop>false</ScaleCrop>
  <LinksUpToDate>false</LinksUpToDate>
  <CharactersWithSpaces>14787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2019-10-11T06:43:00Z</dcterms:created>
  <dc:creator>WinXP</dc:creator>
  <cp:lastModifiedBy>章大莉</cp:lastModifiedBy>
  <cp:lastPrinted>2025-01-06T01:59:00Z</cp:lastPrinted>
  <dcterms:modified xsi:type="dcterms:W3CDTF">2025-01-06T08:12:26Z</dcterms:modified>
  <dc:title>2016年（第一期）嘉兴市本级公共资金</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D63460BF73AF4F18BC1A50CC93B5A9BF_13</vt:lpwstr>
  </property>
  <property fmtid="{D5CDD505-2E9C-101B-9397-08002B2CF9AE}" pid="4" name="KSOTemplateDocerSaveRecord">
    <vt:lpwstr>eyJoZGlkIjoiMTJlMTYyNTAxYWM3MWI0NzliODIyODNmMjdmN2NhNGEiLCJ1c2VySWQiOiIxMjkzODA4MDU5In0=</vt:lpwstr>
  </property>
</Properties>
</file>