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7EACC">
      <w:pPr>
        <w:spacing w:line="276" w:lineRule="auto"/>
        <w:rPr>
          <w:rFonts w:ascii="Arial" w:hAnsi="Arial" w:cs="Arial"/>
          <w:color w:val="auto"/>
          <w:sz w:val="72"/>
          <w:highlight w:val="none"/>
        </w:rPr>
      </w:pPr>
      <w:bookmarkStart w:id="208" w:name="_GoBack"/>
      <w:bookmarkEnd w:id="208"/>
    </w:p>
    <w:p w14:paraId="5E980F6D">
      <w:pPr>
        <w:spacing w:line="276" w:lineRule="auto"/>
        <w:jc w:val="center"/>
        <w:rPr>
          <w:rFonts w:ascii="Arial" w:hAnsi="宋体" w:cs="Arial"/>
          <w:b/>
          <w:bCs/>
          <w:color w:val="auto"/>
          <w:sz w:val="72"/>
          <w:highlight w:val="none"/>
        </w:rPr>
      </w:pPr>
    </w:p>
    <w:p w14:paraId="7DCAAB85">
      <w:pPr>
        <w:spacing w:line="276" w:lineRule="auto"/>
        <w:jc w:val="center"/>
        <w:rPr>
          <w:rFonts w:ascii="Arial" w:hAnsi="Arial" w:cs="Arial"/>
          <w:b/>
          <w:bCs/>
          <w:color w:val="auto"/>
          <w:sz w:val="72"/>
          <w:highlight w:val="none"/>
        </w:rPr>
      </w:pPr>
      <w:r>
        <w:rPr>
          <w:rFonts w:ascii="Arial" w:hAnsi="宋体" w:cs="Arial"/>
          <w:b/>
          <w:bCs/>
          <w:color w:val="auto"/>
          <w:sz w:val="72"/>
          <w:highlight w:val="none"/>
        </w:rPr>
        <w:t>招标文件</w:t>
      </w:r>
    </w:p>
    <w:p w14:paraId="070F47DC">
      <w:pPr>
        <w:spacing w:line="276" w:lineRule="auto"/>
        <w:rPr>
          <w:rFonts w:ascii="Arial" w:hAnsi="Arial" w:cs="Arial"/>
          <w:color w:val="auto"/>
          <w:sz w:val="28"/>
          <w:highlight w:val="none"/>
        </w:rPr>
      </w:pPr>
    </w:p>
    <w:p w14:paraId="75A79B3B">
      <w:pPr>
        <w:spacing w:line="400" w:lineRule="exact"/>
        <w:rPr>
          <w:rFonts w:ascii="Arial" w:hAnsi="Arial" w:cs="Arial"/>
          <w:color w:val="auto"/>
          <w:sz w:val="30"/>
          <w:highlight w:val="none"/>
        </w:rPr>
      </w:pPr>
    </w:p>
    <w:p w14:paraId="182B491F">
      <w:pPr>
        <w:spacing w:line="400" w:lineRule="exact"/>
        <w:rPr>
          <w:rFonts w:ascii="Arial" w:hAnsi="Arial" w:cs="Arial"/>
          <w:color w:val="auto"/>
          <w:sz w:val="30"/>
          <w:highlight w:val="none"/>
        </w:rPr>
      </w:pPr>
    </w:p>
    <w:tbl>
      <w:tblPr>
        <w:tblStyle w:val="20"/>
        <w:tblW w:w="9439" w:type="dxa"/>
        <w:jc w:val="center"/>
        <w:tblLayout w:type="fixed"/>
        <w:tblCellMar>
          <w:top w:w="0" w:type="dxa"/>
          <w:left w:w="108" w:type="dxa"/>
          <w:bottom w:w="0" w:type="dxa"/>
          <w:right w:w="108" w:type="dxa"/>
        </w:tblCellMar>
      </w:tblPr>
      <w:tblGrid>
        <w:gridCol w:w="2438"/>
        <w:gridCol w:w="7001"/>
      </w:tblGrid>
      <w:tr w14:paraId="697241D9">
        <w:tblPrEx>
          <w:tblCellMar>
            <w:top w:w="0" w:type="dxa"/>
            <w:left w:w="108" w:type="dxa"/>
            <w:bottom w:w="0" w:type="dxa"/>
            <w:right w:w="108" w:type="dxa"/>
          </w:tblCellMar>
        </w:tblPrEx>
        <w:trPr>
          <w:trHeight w:val="646" w:hRule="atLeast"/>
          <w:jc w:val="center"/>
        </w:trPr>
        <w:tc>
          <w:tcPr>
            <w:tcW w:w="2438" w:type="dxa"/>
            <w:vAlign w:val="center"/>
          </w:tcPr>
          <w:p w14:paraId="243A086D">
            <w:pPr>
              <w:spacing w:line="400" w:lineRule="exact"/>
              <w:jc w:val="right"/>
              <w:rPr>
                <w:rFonts w:ascii="Arial" w:hAnsi="Arial" w:cs="Arial"/>
                <w:color w:val="auto"/>
                <w:sz w:val="30"/>
                <w:szCs w:val="30"/>
                <w:highlight w:val="none"/>
              </w:rPr>
            </w:pPr>
          </w:p>
        </w:tc>
        <w:tc>
          <w:tcPr>
            <w:tcW w:w="7001" w:type="dxa"/>
            <w:vAlign w:val="center"/>
          </w:tcPr>
          <w:p w14:paraId="771FBED9">
            <w:pPr>
              <w:spacing w:line="400" w:lineRule="exact"/>
              <w:rPr>
                <w:rFonts w:ascii="Arial" w:hAnsi="宋体" w:cs="Arial"/>
                <w:color w:val="auto"/>
                <w:sz w:val="28"/>
                <w:szCs w:val="28"/>
                <w:highlight w:val="none"/>
              </w:rPr>
            </w:pPr>
          </w:p>
        </w:tc>
      </w:tr>
      <w:tr w14:paraId="424FB679">
        <w:tblPrEx>
          <w:tblCellMar>
            <w:top w:w="0" w:type="dxa"/>
            <w:left w:w="108" w:type="dxa"/>
            <w:bottom w:w="0" w:type="dxa"/>
            <w:right w:w="108" w:type="dxa"/>
          </w:tblCellMar>
        </w:tblPrEx>
        <w:trPr>
          <w:trHeight w:val="1612" w:hRule="atLeast"/>
          <w:jc w:val="center"/>
        </w:trPr>
        <w:tc>
          <w:tcPr>
            <w:tcW w:w="2438" w:type="dxa"/>
            <w:vAlign w:val="center"/>
          </w:tcPr>
          <w:p w14:paraId="06957796">
            <w:pPr>
              <w:spacing w:line="400" w:lineRule="exact"/>
              <w:jc w:val="center"/>
              <w:rPr>
                <w:rFonts w:ascii="Arial" w:hAnsi="宋体" w:cs="Arial"/>
                <w:color w:val="auto"/>
                <w:sz w:val="30"/>
                <w:szCs w:val="30"/>
                <w:highlight w:val="none"/>
              </w:rPr>
            </w:pPr>
            <w:r>
              <w:rPr>
                <w:rFonts w:hint="eastAsia" w:ascii="Arial" w:hAnsi="宋体" w:cs="Arial"/>
                <w:color w:val="auto"/>
                <w:sz w:val="30"/>
                <w:szCs w:val="30"/>
                <w:highlight w:val="none"/>
                <w:lang w:val="en-US" w:eastAsia="zh-CN"/>
              </w:rPr>
              <w:t xml:space="preserve">     </w:t>
            </w:r>
            <w:r>
              <w:rPr>
                <w:rFonts w:ascii="Arial" w:hAnsi="宋体" w:cs="Arial"/>
                <w:color w:val="auto"/>
                <w:sz w:val="30"/>
                <w:szCs w:val="30"/>
                <w:highlight w:val="none"/>
              </w:rPr>
              <w:t>项目名称：</w:t>
            </w:r>
          </w:p>
        </w:tc>
        <w:tc>
          <w:tcPr>
            <w:tcW w:w="7001" w:type="dxa"/>
            <w:vAlign w:val="center"/>
          </w:tcPr>
          <w:p w14:paraId="39923D24">
            <w:pPr>
              <w:spacing w:line="400" w:lineRule="exact"/>
              <w:rPr>
                <w:rFonts w:ascii="Arial" w:hAnsi="宋体" w:cs="Arial"/>
                <w:color w:val="auto"/>
                <w:sz w:val="30"/>
                <w:szCs w:val="30"/>
                <w:highlight w:val="none"/>
              </w:rPr>
            </w:pPr>
          </w:p>
          <w:p w14:paraId="58A10FC4">
            <w:pPr>
              <w:spacing w:line="400" w:lineRule="exact"/>
              <w:rPr>
                <w:rFonts w:ascii="Arial" w:hAnsi="宋体" w:cs="Arial"/>
                <w:color w:val="auto"/>
                <w:sz w:val="30"/>
                <w:szCs w:val="30"/>
                <w:highlight w:val="none"/>
              </w:rPr>
            </w:pPr>
            <w:r>
              <w:rPr>
                <w:rFonts w:hint="eastAsia" w:ascii="Arial" w:hAnsi="宋体" w:cs="Arial"/>
                <w:color w:val="auto"/>
                <w:sz w:val="30"/>
                <w:szCs w:val="30"/>
                <w:highlight w:val="none"/>
                <w:lang w:eastAsia="zh-CN"/>
              </w:rPr>
              <w:t>瑞安市基层卫生服务中心</w:t>
            </w:r>
            <w:r>
              <w:rPr>
                <w:rFonts w:hint="eastAsia" w:ascii="Arial" w:hAnsi="宋体" w:cs="Arial"/>
                <w:color w:val="auto"/>
                <w:sz w:val="30"/>
                <w:szCs w:val="30"/>
                <w:highlight w:val="none"/>
              </w:rPr>
              <w:t>专用账户开立招投标项目</w:t>
            </w:r>
          </w:p>
          <w:p w14:paraId="0EEFED42">
            <w:pPr>
              <w:spacing w:line="400" w:lineRule="exact"/>
              <w:rPr>
                <w:rFonts w:ascii="Arial" w:hAnsi="宋体" w:cs="Arial"/>
                <w:color w:val="auto"/>
                <w:sz w:val="30"/>
                <w:szCs w:val="30"/>
                <w:highlight w:val="none"/>
              </w:rPr>
            </w:pPr>
          </w:p>
        </w:tc>
      </w:tr>
      <w:tr w14:paraId="63F7A9EE">
        <w:tblPrEx>
          <w:tblCellMar>
            <w:top w:w="0" w:type="dxa"/>
            <w:left w:w="108" w:type="dxa"/>
            <w:bottom w:w="0" w:type="dxa"/>
            <w:right w:w="108" w:type="dxa"/>
          </w:tblCellMar>
        </w:tblPrEx>
        <w:trPr>
          <w:trHeight w:val="621" w:hRule="atLeast"/>
          <w:jc w:val="center"/>
        </w:trPr>
        <w:tc>
          <w:tcPr>
            <w:tcW w:w="2438" w:type="dxa"/>
            <w:vAlign w:val="center"/>
          </w:tcPr>
          <w:p w14:paraId="36249228">
            <w:pPr>
              <w:spacing w:line="400" w:lineRule="exact"/>
              <w:jc w:val="right"/>
              <w:rPr>
                <w:rFonts w:ascii="Arial" w:hAnsi="Arial" w:cs="Arial"/>
                <w:color w:val="auto"/>
                <w:sz w:val="30"/>
                <w:szCs w:val="30"/>
                <w:highlight w:val="none"/>
              </w:rPr>
            </w:pPr>
            <w:r>
              <w:rPr>
                <w:rFonts w:hint="eastAsia" w:ascii="Arial" w:hAnsi="宋体" w:cs="Arial"/>
                <w:color w:val="auto"/>
                <w:sz w:val="30"/>
                <w:szCs w:val="30"/>
                <w:highlight w:val="none"/>
              </w:rPr>
              <w:t>招标</w:t>
            </w:r>
            <w:r>
              <w:rPr>
                <w:rFonts w:ascii="Arial" w:hAnsi="宋体" w:cs="Arial"/>
                <w:color w:val="auto"/>
                <w:sz w:val="30"/>
                <w:szCs w:val="30"/>
                <w:highlight w:val="none"/>
              </w:rPr>
              <w:t>方式：</w:t>
            </w:r>
          </w:p>
        </w:tc>
        <w:tc>
          <w:tcPr>
            <w:tcW w:w="7001" w:type="dxa"/>
            <w:vAlign w:val="center"/>
          </w:tcPr>
          <w:p w14:paraId="18F0EF86">
            <w:pPr>
              <w:spacing w:line="400" w:lineRule="exact"/>
              <w:rPr>
                <w:rFonts w:ascii="Arial" w:hAnsi="Arial" w:cs="Arial"/>
                <w:color w:val="auto"/>
                <w:sz w:val="30"/>
                <w:szCs w:val="30"/>
                <w:highlight w:val="none"/>
              </w:rPr>
            </w:pPr>
            <w:r>
              <w:rPr>
                <w:rFonts w:hint="eastAsia" w:ascii="Arial" w:hAnsi="宋体" w:cs="Arial"/>
                <w:color w:val="auto"/>
                <w:sz w:val="30"/>
                <w:szCs w:val="30"/>
                <w:highlight w:val="none"/>
              </w:rPr>
              <w:t>公开招标</w:t>
            </w:r>
          </w:p>
        </w:tc>
      </w:tr>
      <w:tr w14:paraId="0CFBDCEA">
        <w:tblPrEx>
          <w:tblCellMar>
            <w:top w:w="0" w:type="dxa"/>
            <w:left w:w="108" w:type="dxa"/>
            <w:bottom w:w="0" w:type="dxa"/>
            <w:right w:w="108" w:type="dxa"/>
          </w:tblCellMar>
        </w:tblPrEx>
        <w:trPr>
          <w:trHeight w:val="575" w:hRule="atLeast"/>
          <w:jc w:val="center"/>
        </w:trPr>
        <w:tc>
          <w:tcPr>
            <w:tcW w:w="2438" w:type="dxa"/>
            <w:vAlign w:val="center"/>
          </w:tcPr>
          <w:p w14:paraId="00D5FD9D">
            <w:pPr>
              <w:spacing w:line="400" w:lineRule="exact"/>
              <w:jc w:val="right"/>
              <w:rPr>
                <w:rFonts w:ascii="Arial" w:hAnsi="Arial" w:cs="Arial"/>
                <w:color w:val="auto"/>
                <w:sz w:val="30"/>
                <w:szCs w:val="30"/>
                <w:highlight w:val="none"/>
              </w:rPr>
            </w:pPr>
            <w:r>
              <w:rPr>
                <w:rFonts w:hint="eastAsia" w:ascii="Arial" w:hAnsi="Arial" w:cs="Arial"/>
                <w:color w:val="auto"/>
                <w:sz w:val="30"/>
                <w:szCs w:val="30"/>
                <w:highlight w:val="none"/>
              </w:rPr>
              <w:t>项目编号：</w:t>
            </w:r>
          </w:p>
        </w:tc>
        <w:tc>
          <w:tcPr>
            <w:tcW w:w="7001" w:type="dxa"/>
            <w:vAlign w:val="center"/>
          </w:tcPr>
          <w:p w14:paraId="5FFB0F09">
            <w:pPr>
              <w:spacing w:line="400" w:lineRule="exact"/>
              <w:rPr>
                <w:rFonts w:hint="eastAsia" w:ascii="Arial" w:hAnsi="Arial" w:cs="Arial" w:eastAsiaTheme="minorEastAsia"/>
                <w:color w:val="auto"/>
                <w:sz w:val="30"/>
                <w:szCs w:val="30"/>
                <w:highlight w:val="none"/>
                <w:lang w:eastAsia="zh-CN"/>
              </w:rPr>
            </w:pPr>
            <w:r>
              <w:rPr>
                <w:rFonts w:hint="eastAsia" w:ascii="Arial" w:hAnsi="Arial" w:cs="Arial"/>
                <w:color w:val="auto"/>
                <w:sz w:val="30"/>
                <w:szCs w:val="30"/>
                <w:highlight w:val="none"/>
                <w:lang w:eastAsia="zh-CN"/>
              </w:rPr>
              <w:t>RYCG20250610</w:t>
            </w:r>
          </w:p>
        </w:tc>
      </w:tr>
      <w:tr w14:paraId="3268BA10">
        <w:tblPrEx>
          <w:tblCellMar>
            <w:top w:w="0" w:type="dxa"/>
            <w:left w:w="108" w:type="dxa"/>
            <w:bottom w:w="0" w:type="dxa"/>
            <w:right w:w="108" w:type="dxa"/>
          </w:tblCellMar>
        </w:tblPrEx>
        <w:trPr>
          <w:trHeight w:val="2289" w:hRule="atLeast"/>
          <w:jc w:val="center"/>
        </w:trPr>
        <w:tc>
          <w:tcPr>
            <w:tcW w:w="2438" w:type="dxa"/>
            <w:vAlign w:val="center"/>
          </w:tcPr>
          <w:p w14:paraId="76DBE53E">
            <w:pPr>
              <w:spacing w:line="400" w:lineRule="exact"/>
              <w:jc w:val="right"/>
              <w:rPr>
                <w:color w:val="auto"/>
                <w:highlight w:val="none"/>
              </w:rPr>
            </w:pPr>
          </w:p>
          <w:p w14:paraId="479E78C9">
            <w:pPr>
              <w:pStyle w:val="23"/>
              <w:rPr>
                <w:rFonts w:ascii="Arial" w:hAnsi="Arial" w:cs="Arial"/>
                <w:color w:val="auto"/>
                <w:sz w:val="30"/>
                <w:szCs w:val="30"/>
                <w:highlight w:val="none"/>
              </w:rPr>
            </w:pPr>
          </w:p>
          <w:p w14:paraId="3195BBBE">
            <w:pPr>
              <w:pStyle w:val="23"/>
              <w:rPr>
                <w:rFonts w:ascii="Arial" w:hAnsi="Arial" w:cs="Arial"/>
                <w:color w:val="auto"/>
                <w:sz w:val="30"/>
                <w:szCs w:val="30"/>
                <w:highlight w:val="none"/>
              </w:rPr>
            </w:pPr>
          </w:p>
        </w:tc>
        <w:tc>
          <w:tcPr>
            <w:tcW w:w="7001" w:type="dxa"/>
            <w:vAlign w:val="center"/>
          </w:tcPr>
          <w:p w14:paraId="6C12B00B">
            <w:pPr>
              <w:spacing w:line="400" w:lineRule="exact"/>
              <w:rPr>
                <w:color w:val="auto"/>
                <w:highlight w:val="none"/>
              </w:rPr>
            </w:pPr>
          </w:p>
          <w:p w14:paraId="1F7E5A25">
            <w:pPr>
              <w:pStyle w:val="23"/>
              <w:rPr>
                <w:rFonts w:ascii="Arial" w:hAnsi="Arial" w:cs="Arial"/>
                <w:color w:val="auto"/>
                <w:sz w:val="30"/>
                <w:szCs w:val="30"/>
                <w:highlight w:val="none"/>
              </w:rPr>
            </w:pPr>
          </w:p>
          <w:p w14:paraId="4E789091">
            <w:pPr>
              <w:pStyle w:val="23"/>
              <w:rPr>
                <w:rFonts w:ascii="Arial" w:hAnsi="Arial" w:cs="Arial"/>
                <w:color w:val="auto"/>
                <w:sz w:val="30"/>
                <w:szCs w:val="30"/>
                <w:highlight w:val="none"/>
              </w:rPr>
            </w:pPr>
          </w:p>
          <w:p w14:paraId="6A2CDAC4">
            <w:pPr>
              <w:pStyle w:val="23"/>
              <w:rPr>
                <w:rFonts w:ascii="Arial" w:hAnsi="Arial" w:cs="Arial"/>
                <w:color w:val="auto"/>
                <w:sz w:val="30"/>
                <w:szCs w:val="30"/>
                <w:highlight w:val="none"/>
              </w:rPr>
            </w:pPr>
          </w:p>
        </w:tc>
      </w:tr>
      <w:tr w14:paraId="2A1D8F55">
        <w:tblPrEx>
          <w:tblCellMar>
            <w:top w:w="0" w:type="dxa"/>
            <w:left w:w="108" w:type="dxa"/>
            <w:bottom w:w="0" w:type="dxa"/>
            <w:right w:w="108" w:type="dxa"/>
          </w:tblCellMar>
        </w:tblPrEx>
        <w:trPr>
          <w:trHeight w:val="759" w:hRule="atLeast"/>
          <w:jc w:val="center"/>
        </w:trPr>
        <w:tc>
          <w:tcPr>
            <w:tcW w:w="2438" w:type="dxa"/>
            <w:vAlign w:val="center"/>
          </w:tcPr>
          <w:p w14:paraId="5204F5A5">
            <w:pPr>
              <w:spacing w:line="400" w:lineRule="exact"/>
              <w:jc w:val="right"/>
              <w:rPr>
                <w:rFonts w:ascii="Arial" w:hAnsi="Arial" w:cs="Arial"/>
                <w:color w:val="auto"/>
                <w:sz w:val="30"/>
                <w:szCs w:val="30"/>
                <w:highlight w:val="none"/>
              </w:rPr>
            </w:pPr>
            <w:r>
              <w:rPr>
                <w:rFonts w:hint="eastAsia" w:ascii="Arial" w:hAnsi="宋体" w:cs="Arial"/>
                <w:color w:val="auto"/>
                <w:sz w:val="30"/>
                <w:szCs w:val="30"/>
                <w:highlight w:val="none"/>
              </w:rPr>
              <w:t>招标</w:t>
            </w:r>
            <w:r>
              <w:rPr>
                <w:rFonts w:ascii="Arial" w:hAnsi="宋体" w:cs="Arial"/>
                <w:color w:val="auto"/>
                <w:sz w:val="30"/>
                <w:szCs w:val="30"/>
                <w:highlight w:val="none"/>
              </w:rPr>
              <w:t>人：</w:t>
            </w:r>
          </w:p>
        </w:tc>
        <w:tc>
          <w:tcPr>
            <w:tcW w:w="7001" w:type="dxa"/>
            <w:vAlign w:val="center"/>
          </w:tcPr>
          <w:p w14:paraId="77C5416C">
            <w:pPr>
              <w:rPr>
                <w:rFonts w:ascii="Arial" w:hAnsi="Arial" w:eastAsia="宋体" w:cs="Arial"/>
                <w:color w:val="auto"/>
                <w:sz w:val="30"/>
                <w:szCs w:val="30"/>
                <w:highlight w:val="none"/>
              </w:rPr>
            </w:pPr>
            <w:r>
              <w:rPr>
                <w:rFonts w:hint="eastAsia" w:ascii="Arial" w:hAnsi="宋体" w:eastAsia="宋体" w:cs="Arial"/>
                <w:color w:val="auto"/>
                <w:sz w:val="30"/>
                <w:szCs w:val="30"/>
                <w:highlight w:val="none"/>
              </w:rPr>
              <w:t>瑞安市卫生健康局</w:t>
            </w:r>
          </w:p>
        </w:tc>
      </w:tr>
      <w:tr w14:paraId="50C8AD39">
        <w:tblPrEx>
          <w:tblCellMar>
            <w:top w:w="0" w:type="dxa"/>
            <w:left w:w="108" w:type="dxa"/>
            <w:bottom w:w="0" w:type="dxa"/>
            <w:right w:w="108" w:type="dxa"/>
          </w:tblCellMar>
        </w:tblPrEx>
        <w:trPr>
          <w:trHeight w:val="759" w:hRule="atLeast"/>
          <w:jc w:val="center"/>
        </w:trPr>
        <w:tc>
          <w:tcPr>
            <w:tcW w:w="2438" w:type="dxa"/>
            <w:vAlign w:val="center"/>
          </w:tcPr>
          <w:p w14:paraId="0395609A">
            <w:pPr>
              <w:spacing w:line="400" w:lineRule="exact"/>
              <w:jc w:val="right"/>
              <w:rPr>
                <w:rFonts w:ascii="Arial" w:hAnsi="Arial" w:cs="Arial"/>
                <w:color w:val="auto"/>
                <w:sz w:val="30"/>
                <w:szCs w:val="30"/>
                <w:highlight w:val="none"/>
              </w:rPr>
            </w:pPr>
            <w:r>
              <w:rPr>
                <w:rFonts w:hint="eastAsia" w:ascii="Arial" w:hAnsi="宋体" w:cs="Arial"/>
                <w:color w:val="auto"/>
                <w:sz w:val="30"/>
                <w:szCs w:val="30"/>
                <w:highlight w:val="none"/>
              </w:rPr>
              <w:t>采购代理机构</w:t>
            </w:r>
            <w:r>
              <w:rPr>
                <w:rFonts w:ascii="Arial" w:hAnsi="宋体" w:cs="Arial"/>
                <w:color w:val="auto"/>
                <w:sz w:val="30"/>
                <w:szCs w:val="30"/>
                <w:highlight w:val="none"/>
              </w:rPr>
              <w:t>：</w:t>
            </w:r>
          </w:p>
        </w:tc>
        <w:tc>
          <w:tcPr>
            <w:tcW w:w="7001" w:type="dxa"/>
            <w:vAlign w:val="center"/>
          </w:tcPr>
          <w:p w14:paraId="006F1C06">
            <w:pPr>
              <w:spacing w:line="400" w:lineRule="exact"/>
              <w:rPr>
                <w:rFonts w:ascii="Arial" w:hAnsi="Arial" w:cs="Arial"/>
                <w:color w:val="auto"/>
                <w:sz w:val="30"/>
                <w:szCs w:val="30"/>
                <w:highlight w:val="none"/>
              </w:rPr>
            </w:pPr>
            <w:r>
              <w:rPr>
                <w:rFonts w:ascii="Arial" w:hAnsi="宋体" w:cs="Arial"/>
                <w:color w:val="auto"/>
                <w:sz w:val="30"/>
                <w:szCs w:val="30"/>
                <w:highlight w:val="none"/>
              </w:rPr>
              <w:t>浙江瑞扬工程咨询招标代理股份有限公司</w:t>
            </w:r>
          </w:p>
        </w:tc>
      </w:tr>
      <w:tr w14:paraId="24F41620">
        <w:tblPrEx>
          <w:tblCellMar>
            <w:top w:w="0" w:type="dxa"/>
            <w:left w:w="108" w:type="dxa"/>
            <w:bottom w:w="0" w:type="dxa"/>
            <w:right w:w="108" w:type="dxa"/>
          </w:tblCellMar>
        </w:tblPrEx>
        <w:trPr>
          <w:trHeight w:val="1031" w:hRule="atLeast"/>
          <w:jc w:val="center"/>
        </w:trPr>
        <w:tc>
          <w:tcPr>
            <w:tcW w:w="2438" w:type="dxa"/>
            <w:vAlign w:val="center"/>
          </w:tcPr>
          <w:p w14:paraId="7380C5D6">
            <w:pPr>
              <w:spacing w:line="400" w:lineRule="exact"/>
              <w:jc w:val="right"/>
              <w:rPr>
                <w:rFonts w:ascii="Arial" w:hAnsi="宋体" w:cs="Arial"/>
                <w:color w:val="auto"/>
                <w:sz w:val="30"/>
                <w:szCs w:val="30"/>
                <w:highlight w:val="none"/>
              </w:rPr>
            </w:pPr>
          </w:p>
        </w:tc>
        <w:tc>
          <w:tcPr>
            <w:tcW w:w="7001" w:type="dxa"/>
            <w:vAlign w:val="center"/>
          </w:tcPr>
          <w:p w14:paraId="4D411D7F">
            <w:pPr>
              <w:spacing w:line="400" w:lineRule="exact"/>
              <w:rPr>
                <w:color w:val="auto"/>
                <w:highlight w:val="none"/>
              </w:rPr>
            </w:pPr>
          </w:p>
          <w:p w14:paraId="0C2DDDD1">
            <w:pPr>
              <w:pStyle w:val="23"/>
              <w:ind w:left="0" w:firstLine="0"/>
              <w:rPr>
                <w:rFonts w:ascii="Arial" w:hAnsi="宋体" w:cs="Arial"/>
                <w:color w:val="auto"/>
                <w:sz w:val="30"/>
                <w:szCs w:val="30"/>
                <w:highlight w:val="none"/>
              </w:rPr>
            </w:pPr>
          </w:p>
        </w:tc>
      </w:tr>
      <w:tr w14:paraId="14FD72C0">
        <w:tblPrEx>
          <w:tblCellMar>
            <w:top w:w="0" w:type="dxa"/>
            <w:left w:w="108" w:type="dxa"/>
            <w:bottom w:w="0" w:type="dxa"/>
            <w:right w:w="108" w:type="dxa"/>
          </w:tblCellMar>
        </w:tblPrEx>
        <w:trPr>
          <w:trHeight w:val="759" w:hRule="atLeast"/>
          <w:jc w:val="center"/>
        </w:trPr>
        <w:tc>
          <w:tcPr>
            <w:tcW w:w="9439" w:type="dxa"/>
            <w:gridSpan w:val="2"/>
            <w:vAlign w:val="center"/>
          </w:tcPr>
          <w:p w14:paraId="1D7CF260">
            <w:pPr>
              <w:spacing w:line="400" w:lineRule="exact"/>
              <w:jc w:val="center"/>
              <w:rPr>
                <w:rFonts w:ascii="Arial" w:hAnsi="Arial" w:cs="Arial"/>
                <w:color w:val="auto"/>
                <w:sz w:val="30"/>
                <w:szCs w:val="30"/>
                <w:highlight w:val="none"/>
              </w:rPr>
            </w:pPr>
            <w:r>
              <w:rPr>
                <w:rFonts w:ascii="Arial" w:hAnsi="宋体" w:cs="Arial"/>
                <w:color w:val="auto"/>
                <w:sz w:val="30"/>
                <w:szCs w:val="30"/>
                <w:highlight w:val="none"/>
              </w:rPr>
              <w:t>二</w:t>
            </w:r>
            <w:r>
              <w:rPr>
                <w:rFonts w:ascii="Arial" w:hAnsi="Arial" w:cs="Arial"/>
                <w:color w:val="auto"/>
                <w:sz w:val="30"/>
                <w:szCs w:val="30"/>
                <w:highlight w:val="none"/>
              </w:rPr>
              <w:t>O</w:t>
            </w:r>
            <w:r>
              <w:rPr>
                <w:rFonts w:ascii="Arial" w:hAnsi="宋体" w:cs="Arial"/>
                <w:color w:val="auto"/>
                <w:sz w:val="30"/>
                <w:szCs w:val="30"/>
                <w:highlight w:val="none"/>
              </w:rPr>
              <w:t>二</w:t>
            </w:r>
            <w:r>
              <w:rPr>
                <w:rFonts w:hint="eastAsia" w:ascii="Arial" w:hAnsi="宋体" w:cs="Arial"/>
                <w:color w:val="auto"/>
                <w:sz w:val="30"/>
                <w:szCs w:val="30"/>
                <w:highlight w:val="none"/>
              </w:rPr>
              <w:t>五</w:t>
            </w:r>
            <w:r>
              <w:rPr>
                <w:rFonts w:ascii="Arial" w:hAnsi="宋体" w:cs="Arial"/>
                <w:color w:val="auto"/>
                <w:sz w:val="30"/>
                <w:szCs w:val="30"/>
                <w:highlight w:val="none"/>
              </w:rPr>
              <w:t>年</w:t>
            </w:r>
            <w:r>
              <w:rPr>
                <w:rFonts w:hint="eastAsia" w:ascii="Arial" w:hAnsi="宋体" w:cs="Arial"/>
                <w:color w:val="auto"/>
                <w:sz w:val="30"/>
                <w:szCs w:val="30"/>
                <w:highlight w:val="none"/>
                <w:lang w:val="en-US" w:eastAsia="zh-CN"/>
              </w:rPr>
              <w:t>六</w:t>
            </w:r>
            <w:r>
              <w:rPr>
                <w:rFonts w:ascii="Arial" w:hAnsi="宋体" w:cs="Arial"/>
                <w:color w:val="auto"/>
                <w:sz w:val="30"/>
                <w:szCs w:val="30"/>
                <w:highlight w:val="none"/>
              </w:rPr>
              <w:t>月</w:t>
            </w:r>
          </w:p>
        </w:tc>
      </w:tr>
    </w:tbl>
    <w:p w14:paraId="07D7E5DC">
      <w:pPr>
        <w:pStyle w:val="24"/>
        <w:spacing w:before="0"/>
        <w:jc w:val="center"/>
        <w:rPr>
          <w:color w:val="auto"/>
          <w:sz w:val="48"/>
          <w:szCs w:val="48"/>
          <w:highlight w:val="none"/>
          <w:lang w:val="zh-CN"/>
        </w:rPr>
      </w:pPr>
      <w:bookmarkStart w:id="0" w:name="_Toc902"/>
      <w:bookmarkStart w:id="1" w:name="_Toc21630"/>
      <w:bookmarkStart w:id="2" w:name="_Toc7879"/>
      <w:bookmarkStart w:id="3" w:name="_Toc22213"/>
      <w:bookmarkStart w:id="4" w:name="_Toc16392"/>
      <w:bookmarkStart w:id="5" w:name="_Toc29806"/>
      <w:bookmarkStart w:id="6" w:name="_Toc13895"/>
      <w:bookmarkStart w:id="7" w:name="_Toc10843"/>
      <w:bookmarkStart w:id="8" w:name="_Toc6960"/>
      <w:bookmarkStart w:id="9" w:name="_Toc20344"/>
      <w:bookmarkStart w:id="10" w:name="_Toc21656"/>
      <w:bookmarkStart w:id="11" w:name="_Toc30069"/>
      <w:bookmarkStart w:id="12" w:name="_Toc22683"/>
      <w:bookmarkStart w:id="13" w:name="_Toc14306"/>
      <w:bookmarkStart w:id="14" w:name="_Toc12082"/>
      <w:bookmarkStart w:id="15" w:name="_Toc12688"/>
      <w:bookmarkStart w:id="16" w:name="_Toc1616"/>
      <w:bookmarkStart w:id="17" w:name="_Toc20425"/>
      <w:bookmarkStart w:id="18" w:name="_Toc8660"/>
      <w:bookmarkStart w:id="19" w:name="_Toc17918"/>
      <w:r>
        <w:rPr>
          <w:color w:val="auto"/>
          <w:sz w:val="48"/>
          <w:szCs w:val="48"/>
          <w:highlight w:val="none"/>
          <w:lang w:val="zh-CN"/>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C7B5A19">
      <w:pPr>
        <w:rPr>
          <w:color w:val="auto"/>
          <w:highlight w:val="none"/>
          <w:lang w:val="zh-CN"/>
        </w:rPr>
      </w:pPr>
    </w:p>
    <w:p w14:paraId="4ADA7904">
      <w:pPr>
        <w:pStyle w:val="16"/>
        <w:tabs>
          <w:tab w:val="right" w:leader="dot" w:pos="9259"/>
        </w:tabs>
        <w:rPr>
          <w:color w:val="auto"/>
          <w:highlight w:val="none"/>
        </w:rPr>
      </w:pPr>
      <w:r>
        <w:rPr>
          <w:b/>
          <w:bCs w:val="0"/>
          <w:color w:val="auto"/>
          <w:sz w:val="32"/>
          <w:szCs w:val="32"/>
          <w:highlight w:val="none"/>
        </w:rPr>
        <w:fldChar w:fldCharType="begin"/>
      </w:r>
      <w:r>
        <w:rPr>
          <w:b/>
          <w:bCs w:val="0"/>
          <w:color w:val="auto"/>
          <w:sz w:val="32"/>
          <w:szCs w:val="32"/>
          <w:highlight w:val="none"/>
        </w:rPr>
        <w:instrText xml:space="preserve"> TOC \o "1-3" \h \z \u </w:instrText>
      </w:r>
      <w:r>
        <w:rPr>
          <w:b/>
          <w:bCs w:val="0"/>
          <w:color w:val="auto"/>
          <w:sz w:val="32"/>
          <w:szCs w:val="32"/>
          <w:highlight w:val="none"/>
        </w:rPr>
        <w:fldChar w:fldCharType="separate"/>
      </w:r>
      <w:r>
        <w:rPr>
          <w:color w:val="auto"/>
          <w:highlight w:val="none"/>
        </w:rPr>
        <w:fldChar w:fldCharType="begin"/>
      </w:r>
      <w:r>
        <w:rPr>
          <w:color w:val="auto"/>
          <w:highlight w:val="none"/>
        </w:rPr>
        <w:instrText xml:space="preserve"> HYPERLINK \l "_Toc32470" </w:instrText>
      </w:r>
      <w:r>
        <w:rPr>
          <w:color w:val="auto"/>
          <w:highlight w:val="none"/>
        </w:rPr>
        <w:fldChar w:fldCharType="separate"/>
      </w:r>
      <w:r>
        <w:rPr>
          <w:rFonts w:hint="eastAsia" w:hAnsi="宋体"/>
          <w:color w:val="auto"/>
          <w:szCs w:val="36"/>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03B853A">
      <w:pPr>
        <w:pStyle w:val="16"/>
        <w:tabs>
          <w:tab w:val="right" w:leader="dot" w:pos="9259"/>
        </w:tabs>
        <w:rPr>
          <w:color w:val="auto"/>
          <w:highlight w:val="none"/>
        </w:rPr>
      </w:pPr>
      <w:r>
        <w:rPr>
          <w:color w:val="auto"/>
          <w:highlight w:val="none"/>
        </w:rPr>
        <w:fldChar w:fldCharType="begin"/>
      </w:r>
      <w:r>
        <w:rPr>
          <w:color w:val="auto"/>
          <w:highlight w:val="none"/>
        </w:rPr>
        <w:instrText xml:space="preserve"> HYPERLINK \l "_Toc19978" </w:instrText>
      </w:r>
      <w:r>
        <w:rPr>
          <w:color w:val="auto"/>
          <w:highlight w:val="none"/>
        </w:rPr>
        <w:fldChar w:fldCharType="separate"/>
      </w:r>
      <w:r>
        <w:rPr>
          <w:rFonts w:hint="eastAsia" w:hAnsi="宋体"/>
          <w:color w:val="auto"/>
          <w:szCs w:val="36"/>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_Toc19978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6584612">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"_Toc28031" </w:instrText>
      </w:r>
      <w:r>
        <w:rPr>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_Toc28031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6714F2E">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"_Toc28960" </w:instrText>
      </w:r>
      <w:r>
        <w:rPr>
          <w:color w:val="auto"/>
          <w:highlight w:val="none"/>
        </w:rPr>
        <w:fldChar w:fldCharType="separate"/>
      </w:r>
      <w:r>
        <w:rPr>
          <w:rFonts w:hint="eastAsia" w:ascii="宋体" w:hAnsi="宋体"/>
          <w:color w:val="auto"/>
          <w:szCs w:val="28"/>
          <w:highlight w:val="none"/>
        </w:rPr>
        <w:t>附表一采购活动现场确认声明书</w:t>
      </w:r>
      <w:r>
        <w:rPr>
          <w:color w:val="auto"/>
          <w:highlight w:val="none"/>
        </w:rPr>
        <w:tab/>
      </w:r>
      <w:r>
        <w:rPr>
          <w:color w:val="auto"/>
          <w:highlight w:val="none"/>
        </w:rPr>
        <w:fldChar w:fldCharType="begin"/>
      </w:r>
      <w:r>
        <w:rPr>
          <w:color w:val="auto"/>
          <w:highlight w:val="none"/>
        </w:rPr>
        <w:instrText xml:space="preserve"> PAGEREF _Toc28960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8BC0DE1">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"_Toc25777" </w:instrText>
      </w:r>
      <w:r>
        <w:rPr>
          <w:color w:val="auto"/>
          <w:highlight w:val="none"/>
        </w:rPr>
        <w:fldChar w:fldCharType="separate"/>
      </w:r>
      <w:r>
        <w:rPr>
          <w:rFonts w:hint="eastAsia"/>
          <w:color w:val="auto"/>
          <w:highlight w:val="none"/>
        </w:rPr>
        <w:t>（二）总   则</w:t>
      </w:r>
      <w:r>
        <w:rPr>
          <w:color w:val="auto"/>
          <w:highlight w:val="none"/>
        </w:rPr>
        <w:tab/>
      </w:r>
      <w:r>
        <w:rPr>
          <w:color w:val="auto"/>
          <w:highlight w:val="none"/>
        </w:rPr>
        <w:fldChar w:fldCharType="begin"/>
      </w:r>
      <w:r>
        <w:rPr>
          <w:color w:val="auto"/>
          <w:highlight w:val="none"/>
        </w:rPr>
        <w:instrText xml:space="preserve"> PAGEREF _Toc25777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E282ADE">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"_Toc24912" </w:instrText>
      </w:r>
      <w:r>
        <w:rPr>
          <w:color w:val="auto"/>
          <w:highlight w:val="none"/>
        </w:rPr>
        <w:fldChar w:fldCharType="separate"/>
      </w:r>
      <w:r>
        <w:rPr>
          <w:rFonts w:hint="eastAsia"/>
          <w:color w:val="auto"/>
          <w:highlight w:val="none"/>
        </w:rPr>
        <w:t>（三）招标文件说明</w:t>
      </w:r>
      <w:r>
        <w:rPr>
          <w:color w:val="auto"/>
          <w:highlight w:val="none"/>
        </w:rPr>
        <w:tab/>
      </w:r>
      <w:r>
        <w:rPr>
          <w:color w:val="auto"/>
          <w:highlight w:val="none"/>
        </w:rPr>
        <w:fldChar w:fldCharType="begin"/>
      </w:r>
      <w:r>
        <w:rPr>
          <w:color w:val="auto"/>
          <w:highlight w:val="none"/>
        </w:rPr>
        <w:instrText xml:space="preserve"> PAGEREF _Toc24912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CA12C4F">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"_Toc11632" </w:instrText>
      </w:r>
      <w:r>
        <w:rPr>
          <w:color w:val="auto"/>
          <w:highlight w:val="none"/>
        </w:rPr>
        <w:fldChar w:fldCharType="separate"/>
      </w:r>
      <w:r>
        <w:rPr>
          <w:rFonts w:hint="eastAsia"/>
          <w:color w:val="auto"/>
          <w:highlight w:val="none"/>
        </w:rPr>
        <w:t>（四）投标文件的编制</w:t>
      </w:r>
      <w:r>
        <w:rPr>
          <w:color w:val="auto"/>
          <w:highlight w:val="none"/>
        </w:rPr>
        <w:tab/>
      </w:r>
      <w:r>
        <w:rPr>
          <w:color w:val="auto"/>
          <w:highlight w:val="none"/>
        </w:rPr>
        <w:fldChar w:fldCharType="begin"/>
      </w:r>
      <w:r>
        <w:rPr>
          <w:color w:val="auto"/>
          <w:highlight w:val="none"/>
        </w:rPr>
        <w:instrText xml:space="preserve"> PAGEREF _Toc11632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69E332E">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"_Toc27467" </w:instrText>
      </w:r>
      <w:r>
        <w:rPr>
          <w:color w:val="auto"/>
          <w:highlight w:val="none"/>
        </w:rPr>
        <w:fldChar w:fldCharType="separate"/>
      </w:r>
      <w:r>
        <w:rPr>
          <w:rFonts w:hint="eastAsia"/>
          <w:color w:val="auto"/>
          <w:highlight w:val="none"/>
        </w:rPr>
        <w:t>（五）投标文件的递交</w:t>
      </w:r>
      <w:r>
        <w:rPr>
          <w:color w:val="auto"/>
          <w:highlight w:val="none"/>
        </w:rPr>
        <w:tab/>
      </w:r>
      <w:r>
        <w:rPr>
          <w:color w:val="auto"/>
          <w:highlight w:val="none"/>
        </w:rPr>
        <w:fldChar w:fldCharType="begin"/>
      </w:r>
      <w:r>
        <w:rPr>
          <w:color w:val="auto"/>
          <w:highlight w:val="none"/>
        </w:rPr>
        <w:instrText xml:space="preserve"> PAGEREF _Toc27467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2B21664">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"_Toc21110" </w:instrText>
      </w:r>
      <w:r>
        <w:rPr>
          <w:color w:val="auto"/>
          <w:highlight w:val="none"/>
        </w:rPr>
        <w:fldChar w:fldCharType="separate"/>
      </w:r>
      <w:r>
        <w:rPr>
          <w:rFonts w:hint="eastAsia"/>
          <w:color w:val="auto"/>
          <w:highlight w:val="none"/>
        </w:rPr>
        <w:t>（六）开标与评审</w:t>
      </w:r>
      <w:r>
        <w:rPr>
          <w:color w:val="auto"/>
          <w:highlight w:val="none"/>
        </w:rPr>
        <w:tab/>
      </w:r>
      <w:r>
        <w:rPr>
          <w:color w:val="auto"/>
          <w:highlight w:val="none"/>
        </w:rPr>
        <w:fldChar w:fldCharType="begin"/>
      </w:r>
      <w:r>
        <w:rPr>
          <w:color w:val="auto"/>
          <w:highlight w:val="none"/>
        </w:rPr>
        <w:instrText xml:space="preserve"> PAGEREF _Toc21110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F319996">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"_Toc25706" </w:instrText>
      </w:r>
      <w:r>
        <w:rPr>
          <w:color w:val="auto"/>
          <w:highlight w:val="none"/>
        </w:rPr>
        <w:fldChar w:fldCharType="separate"/>
      </w:r>
      <w:r>
        <w:rPr>
          <w:rFonts w:hint="eastAsia"/>
          <w:color w:val="auto"/>
          <w:highlight w:val="none"/>
        </w:rPr>
        <w:t>（七）授予合同</w:t>
      </w:r>
      <w:r>
        <w:rPr>
          <w:color w:val="auto"/>
          <w:highlight w:val="none"/>
        </w:rPr>
        <w:tab/>
      </w:r>
      <w:r>
        <w:rPr>
          <w:color w:val="auto"/>
          <w:highlight w:val="none"/>
        </w:rPr>
        <w:fldChar w:fldCharType="begin"/>
      </w:r>
      <w:r>
        <w:rPr>
          <w:color w:val="auto"/>
          <w:highlight w:val="none"/>
        </w:rPr>
        <w:instrText xml:space="preserve"> PAGEREF _Toc25706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ECF1DBF">
      <w:pPr>
        <w:pStyle w:val="16"/>
        <w:tabs>
          <w:tab w:val="right" w:leader="dot" w:pos="9259"/>
        </w:tabs>
        <w:rPr>
          <w:color w:val="auto"/>
          <w:highlight w:val="none"/>
        </w:rPr>
      </w:pPr>
      <w:r>
        <w:rPr>
          <w:color w:val="auto"/>
          <w:highlight w:val="none"/>
        </w:rPr>
        <w:fldChar w:fldCharType="begin"/>
      </w:r>
      <w:r>
        <w:rPr>
          <w:color w:val="auto"/>
          <w:highlight w:val="none"/>
        </w:rPr>
        <w:instrText xml:space="preserve"> HYPERLINK \l "_Toc6948" </w:instrText>
      </w:r>
      <w:r>
        <w:rPr>
          <w:color w:val="auto"/>
          <w:highlight w:val="none"/>
        </w:rPr>
        <w:fldChar w:fldCharType="separate"/>
      </w:r>
      <w:r>
        <w:rPr>
          <w:rFonts w:hint="eastAsia" w:hAnsi="宋体"/>
          <w:color w:val="auto"/>
          <w:szCs w:val="36"/>
          <w:highlight w:val="none"/>
        </w:rPr>
        <w:t>第三部分  招标内容和要求</w:t>
      </w:r>
      <w:r>
        <w:rPr>
          <w:color w:val="auto"/>
          <w:highlight w:val="none"/>
        </w:rPr>
        <w:tab/>
      </w:r>
      <w:r>
        <w:rPr>
          <w:color w:val="auto"/>
          <w:highlight w:val="none"/>
        </w:rPr>
        <w:fldChar w:fldCharType="begin"/>
      </w:r>
      <w:r>
        <w:rPr>
          <w:color w:val="auto"/>
          <w:highlight w:val="none"/>
        </w:rPr>
        <w:instrText xml:space="preserve"> PAGEREF _Toc6948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16B4786">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"_Toc10344" </w:instrText>
      </w:r>
      <w:r>
        <w:rPr>
          <w:color w:val="auto"/>
          <w:highlight w:val="none"/>
        </w:rPr>
        <w:fldChar w:fldCharType="separate"/>
      </w:r>
      <w:r>
        <w:rPr>
          <w:rFonts w:hint="eastAsia"/>
          <w:bCs/>
          <w:color w:val="auto"/>
          <w:szCs w:val="21"/>
          <w:highlight w:val="none"/>
        </w:rPr>
        <w:t>一、项目概述</w:t>
      </w:r>
      <w:r>
        <w:rPr>
          <w:color w:val="auto"/>
          <w:highlight w:val="none"/>
        </w:rPr>
        <w:tab/>
      </w:r>
      <w:r>
        <w:rPr>
          <w:color w:val="auto"/>
          <w:highlight w:val="none"/>
        </w:rPr>
        <w:fldChar w:fldCharType="begin"/>
      </w:r>
      <w:r>
        <w:rPr>
          <w:color w:val="auto"/>
          <w:highlight w:val="none"/>
        </w:rPr>
        <w:instrText xml:space="preserve"> PAGEREF _Toc10344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8E8AD02">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"_Toc18097" </w:instrText>
      </w:r>
      <w:r>
        <w:rPr>
          <w:color w:val="auto"/>
          <w:highlight w:val="none"/>
        </w:rPr>
        <w:fldChar w:fldCharType="separate"/>
      </w:r>
      <w:r>
        <w:rPr>
          <w:rFonts w:hint="eastAsia"/>
          <w:bCs/>
          <w:color w:val="auto"/>
          <w:szCs w:val="21"/>
          <w:highlight w:val="none"/>
        </w:rPr>
        <w:t>二、资金开户管理方式的要求</w:t>
      </w:r>
      <w:r>
        <w:rPr>
          <w:color w:val="auto"/>
          <w:highlight w:val="none"/>
        </w:rPr>
        <w:tab/>
      </w:r>
      <w:r>
        <w:rPr>
          <w:color w:val="auto"/>
          <w:highlight w:val="none"/>
        </w:rPr>
        <w:fldChar w:fldCharType="begin"/>
      </w:r>
      <w:r>
        <w:rPr>
          <w:color w:val="auto"/>
          <w:highlight w:val="none"/>
        </w:rPr>
        <w:instrText xml:space="preserve"> PAGEREF _Toc18097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F57B476">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"_Toc19016" </w:instrText>
      </w:r>
      <w:r>
        <w:rPr>
          <w:color w:val="auto"/>
          <w:highlight w:val="none"/>
        </w:rPr>
        <w:fldChar w:fldCharType="separate"/>
      </w:r>
      <w:r>
        <w:rPr>
          <w:rFonts w:hint="eastAsia"/>
          <w:bCs/>
          <w:color w:val="auto"/>
          <w:szCs w:val="21"/>
          <w:highlight w:val="none"/>
        </w:rPr>
        <w:t>三、其他说明</w:t>
      </w:r>
      <w:r>
        <w:rPr>
          <w:color w:val="auto"/>
          <w:highlight w:val="none"/>
        </w:rPr>
        <w:tab/>
      </w:r>
      <w:r>
        <w:rPr>
          <w:color w:val="auto"/>
          <w:highlight w:val="none"/>
        </w:rPr>
        <w:fldChar w:fldCharType="begin"/>
      </w:r>
      <w:r>
        <w:rPr>
          <w:color w:val="auto"/>
          <w:highlight w:val="none"/>
        </w:rPr>
        <w:instrText xml:space="preserve"> PAGEREF _Toc19016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A3BDD81">
      <w:pPr>
        <w:pStyle w:val="16"/>
        <w:tabs>
          <w:tab w:val="right" w:leader="dot" w:pos="9259"/>
        </w:tabs>
        <w:rPr>
          <w:color w:val="auto"/>
          <w:highlight w:val="none"/>
        </w:rPr>
      </w:pPr>
      <w:r>
        <w:rPr>
          <w:color w:val="auto"/>
          <w:highlight w:val="none"/>
        </w:rPr>
        <w:fldChar w:fldCharType="begin"/>
      </w:r>
      <w:r>
        <w:rPr>
          <w:color w:val="auto"/>
          <w:highlight w:val="none"/>
        </w:rPr>
        <w:instrText xml:space="preserve"> HYPERLINK \l "_Toc21018" </w:instrText>
      </w:r>
      <w:r>
        <w:rPr>
          <w:color w:val="auto"/>
          <w:highlight w:val="none"/>
        </w:rPr>
        <w:fldChar w:fldCharType="separate"/>
      </w:r>
      <w:r>
        <w:rPr>
          <w:rFonts w:hint="eastAsia" w:hAnsi="宋体"/>
          <w:color w:val="auto"/>
          <w:szCs w:val="36"/>
          <w:highlight w:val="none"/>
        </w:rPr>
        <w:t>第四部分  合同主要格式</w:t>
      </w:r>
      <w:r>
        <w:rPr>
          <w:color w:val="auto"/>
          <w:highlight w:val="none"/>
        </w:rPr>
        <w:tab/>
      </w:r>
      <w:r>
        <w:rPr>
          <w:color w:val="auto"/>
          <w:highlight w:val="none"/>
        </w:rPr>
        <w:fldChar w:fldCharType="begin"/>
      </w:r>
      <w:r>
        <w:rPr>
          <w:color w:val="auto"/>
          <w:highlight w:val="none"/>
        </w:rPr>
        <w:instrText xml:space="preserve"> PAGEREF _Toc21018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BA6B6D2">
      <w:pPr>
        <w:pStyle w:val="16"/>
        <w:tabs>
          <w:tab w:val="right" w:leader="dot" w:pos="9259"/>
        </w:tabs>
        <w:rPr>
          <w:color w:val="auto"/>
          <w:highlight w:val="none"/>
        </w:rPr>
      </w:pPr>
      <w:r>
        <w:rPr>
          <w:color w:val="auto"/>
          <w:highlight w:val="none"/>
        </w:rPr>
        <w:fldChar w:fldCharType="begin"/>
      </w:r>
      <w:r>
        <w:rPr>
          <w:color w:val="auto"/>
          <w:highlight w:val="none"/>
        </w:rPr>
        <w:instrText xml:space="preserve"> HYPERLINK \l "_Toc14605" </w:instrText>
      </w:r>
      <w:r>
        <w:rPr>
          <w:color w:val="auto"/>
          <w:highlight w:val="none"/>
        </w:rPr>
        <w:fldChar w:fldCharType="separate"/>
      </w:r>
      <w:r>
        <w:rPr>
          <w:rFonts w:hint="eastAsia" w:hAnsi="宋体"/>
          <w:color w:val="auto"/>
          <w:szCs w:val="36"/>
          <w:highlight w:val="none"/>
        </w:rPr>
        <w:t>第五部分  投标文件格式</w:t>
      </w:r>
      <w:r>
        <w:rPr>
          <w:color w:val="auto"/>
          <w:highlight w:val="none"/>
        </w:rPr>
        <w:tab/>
      </w:r>
      <w:r>
        <w:rPr>
          <w:color w:val="auto"/>
          <w:highlight w:val="none"/>
        </w:rPr>
        <w:fldChar w:fldCharType="begin"/>
      </w:r>
      <w:r>
        <w:rPr>
          <w:color w:val="auto"/>
          <w:highlight w:val="none"/>
        </w:rPr>
        <w:instrText xml:space="preserve"> PAGEREF _Toc14605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96C1048">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"_Toc9835" </w:instrText>
      </w:r>
      <w:r>
        <w:rPr>
          <w:color w:val="auto"/>
          <w:highlight w:val="none"/>
        </w:rPr>
        <w:fldChar w:fldCharType="separate"/>
      </w:r>
      <w:r>
        <w:rPr>
          <w:rFonts w:hint="eastAsia"/>
          <w:bCs/>
          <w:color w:val="auto"/>
          <w:highlight w:val="none"/>
        </w:rPr>
        <w:t>附件一    投 标 函</w:t>
      </w:r>
      <w:r>
        <w:rPr>
          <w:color w:val="auto"/>
          <w:highlight w:val="none"/>
        </w:rPr>
        <w:tab/>
      </w:r>
      <w:r>
        <w:rPr>
          <w:color w:val="auto"/>
          <w:highlight w:val="none"/>
        </w:rPr>
        <w:fldChar w:fldCharType="begin"/>
      </w:r>
      <w:r>
        <w:rPr>
          <w:color w:val="auto"/>
          <w:highlight w:val="none"/>
        </w:rPr>
        <w:instrText xml:space="preserve"> PAGEREF _Toc9835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BFE9DC0">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"_Toc24416" </w:instrText>
      </w:r>
      <w:r>
        <w:rPr>
          <w:color w:val="auto"/>
          <w:highlight w:val="none"/>
        </w:rPr>
        <w:fldChar w:fldCharType="separate"/>
      </w:r>
      <w:r>
        <w:rPr>
          <w:rFonts w:hint="eastAsia"/>
          <w:bCs/>
          <w:color w:val="auto"/>
          <w:highlight w:val="none"/>
        </w:rPr>
        <w:t>附件二-1  法定代表人或分公司负责人授权书</w:t>
      </w:r>
      <w:r>
        <w:rPr>
          <w:color w:val="auto"/>
          <w:highlight w:val="none"/>
        </w:rPr>
        <w:tab/>
      </w:r>
      <w:r>
        <w:rPr>
          <w:color w:val="auto"/>
          <w:highlight w:val="none"/>
        </w:rPr>
        <w:fldChar w:fldCharType="begin"/>
      </w:r>
      <w:r>
        <w:rPr>
          <w:color w:val="auto"/>
          <w:highlight w:val="none"/>
        </w:rPr>
        <w:instrText xml:space="preserve"> PAGEREF _Toc24416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D51AA48">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"_Toc14921" </w:instrText>
      </w:r>
      <w:r>
        <w:rPr>
          <w:color w:val="auto"/>
          <w:highlight w:val="none"/>
        </w:rPr>
        <w:fldChar w:fldCharType="separate"/>
      </w:r>
      <w:r>
        <w:rPr>
          <w:rFonts w:hint="eastAsia"/>
          <w:bCs/>
          <w:color w:val="auto"/>
          <w:highlight w:val="none"/>
        </w:rPr>
        <w:t>附件二-2  法定代表人或分公司负责人身份证明</w:t>
      </w:r>
      <w:r>
        <w:rPr>
          <w:color w:val="auto"/>
          <w:highlight w:val="none"/>
        </w:rPr>
        <w:tab/>
      </w:r>
      <w:r>
        <w:rPr>
          <w:color w:val="auto"/>
          <w:highlight w:val="none"/>
        </w:rPr>
        <w:fldChar w:fldCharType="begin"/>
      </w:r>
      <w:r>
        <w:rPr>
          <w:color w:val="auto"/>
          <w:highlight w:val="none"/>
        </w:rPr>
        <w:instrText xml:space="preserve"> PAGEREF _Toc14921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D0FA0B7">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"_Toc15719" </w:instrText>
      </w:r>
      <w:r>
        <w:rPr>
          <w:color w:val="auto"/>
          <w:highlight w:val="none"/>
        </w:rPr>
        <w:fldChar w:fldCharType="separate"/>
      </w:r>
      <w:r>
        <w:rPr>
          <w:rFonts w:hint="eastAsia"/>
          <w:bCs/>
          <w:color w:val="auto"/>
          <w:highlight w:val="none"/>
        </w:rPr>
        <w:t>附件三    投标人简介</w:t>
      </w:r>
      <w:r>
        <w:rPr>
          <w:color w:val="auto"/>
          <w:highlight w:val="none"/>
        </w:rPr>
        <w:tab/>
      </w:r>
      <w:r>
        <w:rPr>
          <w:color w:val="auto"/>
          <w:highlight w:val="none"/>
        </w:rPr>
        <w:fldChar w:fldCharType="begin"/>
      </w:r>
      <w:r>
        <w:rPr>
          <w:color w:val="auto"/>
          <w:highlight w:val="none"/>
        </w:rPr>
        <w:instrText xml:space="preserve"> PAGEREF _Toc15719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7309CA5">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"_Toc18672" </w:instrText>
      </w:r>
      <w:r>
        <w:rPr>
          <w:color w:val="auto"/>
          <w:highlight w:val="none"/>
        </w:rPr>
        <w:fldChar w:fldCharType="separate"/>
      </w:r>
      <w:r>
        <w:rPr>
          <w:rFonts w:hint="eastAsia"/>
          <w:bCs/>
          <w:color w:val="auto"/>
          <w:highlight w:val="none"/>
        </w:rPr>
        <w:t>附件四    投标人基本情况声明</w:t>
      </w:r>
      <w:r>
        <w:rPr>
          <w:color w:val="auto"/>
          <w:highlight w:val="none"/>
        </w:rPr>
        <w:tab/>
      </w:r>
      <w:r>
        <w:rPr>
          <w:color w:val="auto"/>
          <w:highlight w:val="none"/>
        </w:rPr>
        <w:fldChar w:fldCharType="begin"/>
      </w:r>
      <w:r>
        <w:rPr>
          <w:color w:val="auto"/>
          <w:highlight w:val="none"/>
        </w:rPr>
        <w:instrText xml:space="preserve"> PAGEREF _Toc18672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609EE10">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"_Toc13912" </w:instrText>
      </w:r>
      <w:r>
        <w:rPr>
          <w:color w:val="auto"/>
          <w:highlight w:val="none"/>
        </w:rPr>
        <w:fldChar w:fldCharType="separate"/>
      </w:r>
      <w:r>
        <w:rPr>
          <w:rFonts w:hint="eastAsia"/>
          <w:bCs/>
          <w:color w:val="auto"/>
          <w:highlight w:val="none"/>
        </w:rPr>
        <w:t>附件五    年度财务报表或审计报告</w:t>
      </w:r>
      <w:r>
        <w:rPr>
          <w:color w:val="auto"/>
          <w:highlight w:val="none"/>
        </w:rPr>
        <w:tab/>
      </w:r>
      <w:r>
        <w:rPr>
          <w:color w:val="auto"/>
          <w:highlight w:val="none"/>
        </w:rPr>
        <w:fldChar w:fldCharType="begin"/>
      </w:r>
      <w:r>
        <w:rPr>
          <w:color w:val="auto"/>
          <w:highlight w:val="none"/>
        </w:rPr>
        <w:instrText xml:space="preserve"> PAGEREF _Toc13912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BED5694">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"_Toc4611" </w:instrText>
      </w:r>
      <w:r>
        <w:rPr>
          <w:color w:val="auto"/>
          <w:highlight w:val="none"/>
        </w:rPr>
        <w:fldChar w:fldCharType="separate"/>
      </w:r>
      <w:r>
        <w:rPr>
          <w:rFonts w:hint="eastAsia"/>
          <w:bCs/>
          <w:color w:val="auto"/>
          <w:highlight w:val="none"/>
        </w:rPr>
        <w:t>附件六    投标人资格、资质证明文件</w:t>
      </w:r>
      <w:r>
        <w:rPr>
          <w:color w:val="auto"/>
          <w:highlight w:val="none"/>
        </w:rPr>
        <w:tab/>
      </w:r>
      <w:r>
        <w:rPr>
          <w:color w:val="auto"/>
          <w:highlight w:val="none"/>
        </w:rPr>
        <w:fldChar w:fldCharType="begin"/>
      </w:r>
      <w:r>
        <w:rPr>
          <w:color w:val="auto"/>
          <w:highlight w:val="none"/>
        </w:rPr>
        <w:instrText xml:space="preserve"> PAGEREF _Toc4611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70516D56">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"_Toc22409" </w:instrText>
      </w:r>
      <w:r>
        <w:rPr>
          <w:color w:val="auto"/>
          <w:highlight w:val="none"/>
        </w:rPr>
        <w:fldChar w:fldCharType="separate"/>
      </w:r>
      <w:r>
        <w:rPr>
          <w:rFonts w:hint="eastAsia"/>
          <w:bCs/>
          <w:color w:val="auto"/>
          <w:highlight w:val="none"/>
        </w:rPr>
        <w:t>附件七    服务水平</w:t>
      </w:r>
      <w:r>
        <w:rPr>
          <w:color w:val="auto"/>
          <w:highlight w:val="none"/>
        </w:rPr>
        <w:tab/>
      </w:r>
      <w:r>
        <w:rPr>
          <w:color w:val="auto"/>
          <w:highlight w:val="none"/>
        </w:rPr>
        <w:fldChar w:fldCharType="begin"/>
      </w:r>
      <w:r>
        <w:rPr>
          <w:color w:val="auto"/>
          <w:highlight w:val="none"/>
        </w:rPr>
        <w:instrText xml:space="preserve"> PAGEREF _Toc22409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0C74E9C">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"_Toc28886" </w:instrText>
      </w:r>
      <w:r>
        <w:rPr>
          <w:color w:val="auto"/>
          <w:highlight w:val="none"/>
        </w:rPr>
        <w:fldChar w:fldCharType="separate"/>
      </w:r>
      <w:r>
        <w:rPr>
          <w:rFonts w:hint="eastAsia"/>
          <w:bCs/>
          <w:color w:val="auto"/>
          <w:highlight w:val="none"/>
        </w:rPr>
        <w:t>附件八    报价一览表</w:t>
      </w:r>
      <w:r>
        <w:rPr>
          <w:color w:val="auto"/>
          <w:highlight w:val="none"/>
        </w:rPr>
        <w:tab/>
      </w:r>
      <w:r>
        <w:rPr>
          <w:color w:val="auto"/>
          <w:highlight w:val="none"/>
        </w:rPr>
        <w:fldChar w:fldCharType="begin"/>
      </w:r>
      <w:r>
        <w:rPr>
          <w:color w:val="auto"/>
          <w:highlight w:val="none"/>
        </w:rPr>
        <w:instrText xml:space="preserve"> PAGEREF _Toc28886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9ABD2A9">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"_Toc19718" </w:instrText>
      </w:r>
      <w:r>
        <w:rPr>
          <w:color w:val="auto"/>
          <w:highlight w:val="none"/>
        </w:rPr>
        <w:fldChar w:fldCharType="separate"/>
      </w:r>
      <w:r>
        <w:rPr>
          <w:rFonts w:hint="eastAsia"/>
          <w:bCs/>
          <w:color w:val="auto"/>
          <w:highlight w:val="none"/>
        </w:rPr>
        <w:t>附件九    服务承诺书</w:t>
      </w:r>
      <w:r>
        <w:rPr>
          <w:color w:val="auto"/>
          <w:highlight w:val="none"/>
        </w:rPr>
        <w:tab/>
      </w:r>
      <w:r>
        <w:rPr>
          <w:color w:val="auto"/>
          <w:highlight w:val="none"/>
        </w:rPr>
        <w:fldChar w:fldCharType="begin"/>
      </w:r>
      <w:r>
        <w:rPr>
          <w:color w:val="auto"/>
          <w:highlight w:val="none"/>
        </w:rPr>
        <w:instrText xml:space="preserve"> PAGEREF _Toc19718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B69C4A0">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"_Toc20255" </w:instrText>
      </w:r>
      <w:r>
        <w:rPr>
          <w:color w:val="auto"/>
          <w:highlight w:val="none"/>
        </w:rPr>
        <w:fldChar w:fldCharType="separate"/>
      </w:r>
      <w:r>
        <w:rPr>
          <w:rFonts w:hint="eastAsia"/>
          <w:bCs/>
          <w:color w:val="auto"/>
          <w:highlight w:val="none"/>
        </w:rPr>
        <w:t>附件十    廉政承诺书</w:t>
      </w:r>
      <w:r>
        <w:rPr>
          <w:color w:val="auto"/>
          <w:highlight w:val="none"/>
        </w:rPr>
        <w:tab/>
      </w:r>
      <w:r>
        <w:rPr>
          <w:color w:val="auto"/>
          <w:highlight w:val="none"/>
        </w:rPr>
        <w:fldChar w:fldCharType="begin"/>
      </w:r>
      <w:r>
        <w:rPr>
          <w:color w:val="auto"/>
          <w:highlight w:val="none"/>
        </w:rPr>
        <w:instrText xml:space="preserve"> PAGEREF _Toc20255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D4EACEB">
      <w:pPr>
        <w:pStyle w:val="18"/>
        <w:tabs>
          <w:tab w:val="right" w:leader="dot" w:pos="9259"/>
        </w:tabs>
        <w:rPr>
          <w:color w:val="auto"/>
          <w:highlight w:val="none"/>
        </w:rPr>
      </w:pPr>
      <w:r>
        <w:rPr>
          <w:color w:val="auto"/>
          <w:highlight w:val="none"/>
        </w:rPr>
        <w:fldChar w:fldCharType="begin"/>
      </w:r>
      <w:r>
        <w:rPr>
          <w:color w:val="auto"/>
          <w:highlight w:val="none"/>
        </w:rPr>
        <w:instrText xml:space="preserve"> HYPERLINK \l "_Toc6147" </w:instrText>
      </w:r>
      <w:r>
        <w:rPr>
          <w:color w:val="auto"/>
          <w:highlight w:val="none"/>
        </w:rPr>
        <w:fldChar w:fldCharType="separate"/>
      </w:r>
      <w:r>
        <w:rPr>
          <w:rFonts w:hint="eastAsia" w:cs="宋体"/>
          <w:bCs/>
          <w:color w:val="auto"/>
          <w:highlight w:val="none"/>
        </w:rPr>
        <w:t xml:space="preserve">附件十一  </w:t>
      </w:r>
      <w:r>
        <w:rPr>
          <w:rFonts w:hint="eastAsia" w:ascii="Calibri" w:hAnsi="Calibri" w:eastAsia="宋体" w:cs="宋体"/>
          <w:bCs/>
          <w:color w:val="auto"/>
          <w:highlight w:val="none"/>
        </w:rPr>
        <w:t>近3年无重大违法违规记录及重大违约事件承诺书</w:t>
      </w:r>
      <w:r>
        <w:rPr>
          <w:color w:val="auto"/>
          <w:highlight w:val="none"/>
        </w:rPr>
        <w:tab/>
      </w:r>
      <w:r>
        <w:rPr>
          <w:color w:val="auto"/>
          <w:highlight w:val="none"/>
        </w:rPr>
        <w:fldChar w:fldCharType="begin"/>
      </w:r>
      <w:r>
        <w:rPr>
          <w:color w:val="auto"/>
          <w:highlight w:val="none"/>
        </w:rPr>
        <w:instrText xml:space="preserve"> PAGEREF _Toc6147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2A52C8F">
      <w:pPr>
        <w:pStyle w:val="16"/>
        <w:tabs>
          <w:tab w:val="right" w:leader="dot" w:pos="9259"/>
        </w:tabs>
        <w:rPr>
          <w:color w:val="auto"/>
          <w:highlight w:val="none"/>
        </w:rPr>
      </w:pPr>
      <w:r>
        <w:rPr>
          <w:color w:val="auto"/>
          <w:highlight w:val="none"/>
        </w:rPr>
        <w:fldChar w:fldCharType="begin"/>
      </w:r>
      <w:r>
        <w:rPr>
          <w:color w:val="auto"/>
          <w:highlight w:val="none"/>
        </w:rPr>
        <w:instrText xml:space="preserve"> HYPERLINK \l "_Toc22074" </w:instrText>
      </w:r>
      <w:r>
        <w:rPr>
          <w:color w:val="auto"/>
          <w:highlight w:val="none"/>
        </w:rPr>
        <w:fldChar w:fldCharType="separate"/>
      </w:r>
      <w:r>
        <w:rPr>
          <w:rFonts w:hint="eastAsia" w:hAnsi="宋体"/>
          <w:color w:val="auto"/>
          <w:szCs w:val="36"/>
          <w:highlight w:val="none"/>
        </w:rPr>
        <w:t>第六部分  评标办法</w:t>
      </w:r>
      <w:r>
        <w:rPr>
          <w:color w:val="auto"/>
          <w:highlight w:val="none"/>
        </w:rPr>
        <w:tab/>
      </w:r>
      <w:r>
        <w:rPr>
          <w:color w:val="auto"/>
          <w:highlight w:val="none"/>
        </w:rPr>
        <w:fldChar w:fldCharType="begin"/>
      </w:r>
      <w:r>
        <w:rPr>
          <w:color w:val="auto"/>
          <w:highlight w:val="none"/>
        </w:rPr>
        <w:instrText xml:space="preserve"> PAGEREF _Toc22074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D684ACE">
      <w:pPr>
        <w:pStyle w:val="16"/>
        <w:tabs>
          <w:tab w:val="right" w:leader="dot" w:pos="9259"/>
        </w:tabs>
        <w:rPr>
          <w:bCs w:val="0"/>
          <w:color w:val="auto"/>
          <w:sz w:val="24"/>
          <w:szCs w:val="32"/>
          <w:highlight w:val="none"/>
        </w:rPr>
      </w:pPr>
      <w:r>
        <w:rPr>
          <w:bCs w:val="0"/>
          <w:color w:val="auto"/>
          <w:szCs w:val="32"/>
          <w:highlight w:val="none"/>
        </w:rPr>
        <w:fldChar w:fldCharType="end"/>
      </w:r>
    </w:p>
    <w:p w14:paraId="21AC6174">
      <w:pPr>
        <w:pStyle w:val="16"/>
        <w:tabs>
          <w:tab w:val="right" w:leader="dot" w:pos="9259"/>
        </w:tabs>
        <w:spacing w:line="380" w:lineRule="exact"/>
        <w:rPr>
          <w:color w:val="auto"/>
          <w:highlight w:val="none"/>
        </w:rPr>
        <w:sectPr>
          <w:headerReference r:id="rId3" w:type="even"/>
          <w:footerReference r:id="rId4" w:type="even"/>
          <w:pgSz w:w="11906" w:h="16838"/>
          <w:pgMar w:top="1440" w:right="1247" w:bottom="1440" w:left="1400" w:header="851" w:footer="992" w:gutter="0"/>
          <w:pgNumType w:fmt="numberInDash" w:start="1"/>
          <w:cols w:space="720" w:num="1"/>
          <w:titlePg/>
          <w:docGrid w:type="lines" w:linePitch="312" w:charSpace="0"/>
        </w:sectPr>
      </w:pPr>
      <w:r>
        <w:rPr>
          <w:bCs w:val="0"/>
          <w:color w:val="auto"/>
          <w:highlight w:val="none"/>
        </w:rPr>
        <w:br w:type="page"/>
      </w:r>
    </w:p>
    <w:p w14:paraId="10F3ACD6">
      <w:pPr>
        <w:pStyle w:val="2"/>
        <w:keepNext w:val="0"/>
        <w:keepLines w:val="0"/>
        <w:pageBreakBefore/>
        <w:spacing w:before="0" w:afterLines="50" w:line="320" w:lineRule="atLeast"/>
        <w:rPr>
          <w:rFonts w:hAnsi="宋体"/>
          <w:color w:val="auto"/>
          <w:sz w:val="28"/>
          <w:szCs w:val="36"/>
          <w:highlight w:val="none"/>
        </w:rPr>
      </w:pPr>
      <w:bookmarkStart w:id="20" w:name="_Toc32470"/>
      <w:bookmarkStart w:id="21" w:name="_Toc19059"/>
      <w:bookmarkStart w:id="22" w:name="_Toc27649"/>
      <w:bookmarkStart w:id="23" w:name="_Toc6083"/>
      <w:bookmarkStart w:id="24" w:name="_Toc21183"/>
      <w:bookmarkStart w:id="25" w:name="_Toc405556607"/>
      <w:bookmarkStart w:id="26" w:name="_Toc30169"/>
      <w:bookmarkStart w:id="27" w:name="_Toc17022"/>
      <w:r>
        <w:rPr>
          <w:rFonts w:hint="eastAsia" w:hAnsi="宋体"/>
          <w:color w:val="auto"/>
          <w:sz w:val="28"/>
          <w:szCs w:val="36"/>
          <w:highlight w:val="none"/>
        </w:rPr>
        <w:t>第一部分  招标公告</w:t>
      </w:r>
      <w:bookmarkEnd w:id="20"/>
      <w:bookmarkEnd w:id="21"/>
      <w:bookmarkEnd w:id="22"/>
      <w:bookmarkEnd w:id="23"/>
    </w:p>
    <w:p w14:paraId="47122302">
      <w:pPr>
        <w:spacing w:line="380" w:lineRule="atLeast"/>
        <w:ind w:firstLine="420" w:firstLineChars="200"/>
        <w:rPr>
          <w:rFonts w:ascii="宋体" w:hAnsi="宋体" w:cs="宋体"/>
          <w:color w:val="auto"/>
          <w:kern w:val="0"/>
          <w:szCs w:val="21"/>
          <w:highlight w:val="none"/>
        </w:rPr>
      </w:pPr>
      <w:bookmarkStart w:id="28" w:name="OLE_LINK2"/>
      <w:r>
        <w:rPr>
          <w:rFonts w:hint="eastAsia" w:ascii="宋体" w:hAnsi="宋体" w:cs="宋体"/>
          <w:color w:val="auto"/>
          <w:kern w:val="0"/>
          <w:szCs w:val="21"/>
          <w:highlight w:val="none"/>
        </w:rPr>
        <w:t>根据</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shd w:val="clear" w:color="auto" w:fill="FFFFFF"/>
        </w:rPr>
        <w:t>浙江省省级预算单位银行账户管理暂行办法</w:t>
      </w: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rPr>
        <w:t>(浙财预执〔2015〕16号)、</w:t>
      </w:r>
      <w:r>
        <w:rPr>
          <w:rFonts w:hint="eastAsia" w:ascii="宋体" w:hAnsi="宋体" w:cs="宋体"/>
          <w:color w:val="auto"/>
          <w:kern w:val="0"/>
          <w:szCs w:val="21"/>
          <w:highlight w:val="none"/>
        </w:rPr>
        <w:t>《瑞安市预算单位公款竞争性存放管理暂行办法》（瑞政办〔2015〕99号）和《瑞安市市级行政事业单位公款竞争性存放管理办法》(瑞财预执〔2021〕245号)等有关规定，招标人决定开展</w:t>
      </w:r>
      <w:r>
        <w:rPr>
          <w:rFonts w:hint="eastAsia" w:ascii="宋体" w:hAnsi="宋体" w:cs="宋体"/>
          <w:color w:val="auto"/>
          <w:kern w:val="0"/>
          <w:szCs w:val="21"/>
          <w:highlight w:val="none"/>
          <w:lang w:eastAsia="zh-CN"/>
        </w:rPr>
        <w:t>专用账户</w:t>
      </w:r>
      <w:r>
        <w:rPr>
          <w:rFonts w:hint="eastAsia" w:ascii="宋体" w:hAnsi="宋体" w:cs="宋体"/>
          <w:color w:val="auto"/>
          <w:kern w:val="0"/>
          <w:szCs w:val="21"/>
          <w:highlight w:val="none"/>
        </w:rPr>
        <w:t>开立招标工作，欢迎符合条件的银行机构参加投标。</w:t>
      </w:r>
    </w:p>
    <w:p w14:paraId="5EE08E72">
      <w:pPr>
        <w:numPr>
          <w:ilvl w:val="0"/>
          <w:numId w:val="2"/>
        </w:numPr>
        <w:spacing w:line="380" w:lineRule="atLeas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招标项目名称</w:t>
      </w:r>
    </w:p>
    <w:p w14:paraId="22A68DDE">
      <w:pPr>
        <w:spacing w:line="380" w:lineRule="atLeas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瑞安市基层卫生服务中心</w:t>
      </w:r>
      <w:r>
        <w:rPr>
          <w:rFonts w:hint="eastAsia" w:ascii="宋体" w:hAnsi="宋体" w:cs="宋体"/>
          <w:color w:val="auto"/>
          <w:kern w:val="0"/>
          <w:szCs w:val="21"/>
          <w:highlight w:val="none"/>
        </w:rPr>
        <w:t>专用账户开立招投标项目。</w:t>
      </w:r>
    </w:p>
    <w:p w14:paraId="2B5AEBB0">
      <w:pPr>
        <w:numPr>
          <w:ilvl w:val="0"/>
          <w:numId w:val="2"/>
        </w:numPr>
        <w:spacing w:line="380" w:lineRule="atLeas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招标项目内容</w:t>
      </w:r>
    </w:p>
    <w:p w14:paraId="79D3E165">
      <w:pPr>
        <w:spacing w:line="380" w:lineRule="atLeas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瑞安市基层卫生服务中心</w:t>
      </w:r>
      <w:r>
        <w:rPr>
          <w:rFonts w:hint="eastAsia" w:ascii="宋体" w:hAnsi="宋体" w:cs="宋体"/>
          <w:color w:val="auto"/>
          <w:kern w:val="0"/>
          <w:szCs w:val="21"/>
          <w:highlight w:val="none"/>
        </w:rPr>
        <w:t>专用账户开立招投标项目。</w:t>
      </w:r>
    </w:p>
    <w:p w14:paraId="129859B8">
      <w:pPr>
        <w:spacing w:line="380" w:lineRule="atLeas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kern w:val="0"/>
          <w:szCs w:val="21"/>
          <w:highlight w:val="none"/>
        </w:rPr>
        <w:t>投标人资格要求</w:t>
      </w:r>
    </w:p>
    <w:p w14:paraId="153CD00C">
      <w:pPr>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投标人应符合《瑞安市预算单位公款竞争性存放管理暂行办法》（瑞政办〔2015〕99号）和《瑞安市市级行政事业单位公款竞争性存放管理暂行办法》(瑞财预执〔2021〕245号)第十四条规定，具备承担招标项目的能力，具体包括：</w:t>
      </w:r>
    </w:p>
    <w:p w14:paraId="6193CF80">
      <w:pPr>
        <w:numPr>
          <w:ilvl w:val="0"/>
          <w:numId w:val="3"/>
        </w:numPr>
        <w:spacing w:line="380" w:lineRule="atLeast"/>
        <w:ind w:firstLineChars="200"/>
        <w:rPr>
          <w:rFonts w:ascii="宋体" w:hAnsi="宋体"/>
          <w:color w:val="auto"/>
          <w:szCs w:val="21"/>
          <w:highlight w:val="none"/>
        </w:rPr>
      </w:pPr>
      <w:r>
        <w:rPr>
          <w:rFonts w:hint="eastAsia" w:ascii="宋体" w:hAnsi="宋体"/>
          <w:color w:val="auto"/>
          <w:szCs w:val="21"/>
          <w:highlight w:val="none"/>
        </w:rPr>
        <w:t>在瑞安市设有分支机构；</w:t>
      </w:r>
    </w:p>
    <w:p w14:paraId="59836810">
      <w:pPr>
        <w:numPr>
          <w:ilvl w:val="0"/>
          <w:numId w:val="3"/>
        </w:numPr>
        <w:spacing w:line="380" w:lineRule="atLeast"/>
        <w:ind w:firstLineChars="200"/>
        <w:rPr>
          <w:rFonts w:ascii="宋体" w:hAnsi="宋体"/>
          <w:color w:val="auto"/>
          <w:szCs w:val="21"/>
          <w:highlight w:val="none"/>
        </w:rPr>
      </w:pPr>
      <w:r>
        <w:rPr>
          <w:rFonts w:hint="eastAsia" w:ascii="宋体" w:hAnsi="宋体"/>
          <w:color w:val="auto"/>
          <w:szCs w:val="21"/>
          <w:highlight w:val="none"/>
        </w:rPr>
        <w:t>依法开展经营活动，近3年内在经营活动中无重大违法违规记录及重大违约事件；</w:t>
      </w:r>
    </w:p>
    <w:p w14:paraId="460856F5">
      <w:pPr>
        <w:numPr>
          <w:ilvl w:val="0"/>
          <w:numId w:val="3"/>
        </w:numPr>
        <w:spacing w:line="380" w:lineRule="atLeast"/>
        <w:ind w:firstLineChars="200"/>
        <w:rPr>
          <w:rFonts w:ascii="宋体" w:hAnsi="宋体"/>
          <w:color w:val="auto"/>
          <w:szCs w:val="21"/>
          <w:highlight w:val="none"/>
        </w:rPr>
      </w:pPr>
      <w:r>
        <w:rPr>
          <w:rFonts w:hint="eastAsia" w:ascii="宋体" w:hAnsi="宋体"/>
          <w:color w:val="auto"/>
          <w:szCs w:val="21"/>
          <w:highlight w:val="none"/>
        </w:rPr>
        <w:t>监管评级达到一定标准： 中国人民银行温州市分行关于2024年度在瑞银行业金融机构综合评价结果B级及以上单位。</w:t>
      </w:r>
    </w:p>
    <w:p w14:paraId="5D9C6768">
      <w:pPr>
        <w:spacing w:line="380" w:lineRule="atLeas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四、招标文件获取时间、方式及地址</w:t>
      </w:r>
    </w:p>
    <w:p w14:paraId="60B91206">
      <w:pPr>
        <w:numPr>
          <w:ilvl w:val="0"/>
          <w:numId w:val="4"/>
        </w:numPr>
        <w:spacing w:line="440" w:lineRule="exact"/>
        <w:ind w:firstLineChars="200"/>
        <w:rPr>
          <w:rFonts w:ascii="宋体"/>
          <w:color w:val="auto"/>
          <w:highlight w:val="none"/>
        </w:rPr>
      </w:pPr>
      <w:r>
        <w:rPr>
          <w:rFonts w:hint="eastAsia" w:ascii="宋体" w:hAnsi="宋体" w:cs="宋体"/>
          <w:color w:val="auto"/>
          <w:highlight w:val="none"/>
        </w:rPr>
        <w:t>招标文件获取时间：</w:t>
      </w:r>
      <w:r>
        <w:rPr>
          <w:rFonts w:hint="eastAsia" w:ascii="宋体" w:hAnsi="宋体" w:cs="宋体"/>
          <w:color w:val="auto"/>
          <w:highlight w:val="none"/>
          <w:lang w:eastAsia="zh-CN"/>
        </w:rPr>
        <w:t>2025年6月11日</w:t>
      </w:r>
      <w:r>
        <w:rPr>
          <w:rFonts w:hint="eastAsia" w:ascii="宋体" w:hAnsi="宋体" w:cs="宋体"/>
          <w:color w:val="auto"/>
          <w:highlight w:val="none"/>
        </w:rPr>
        <w:t>上午</w:t>
      </w:r>
      <w:r>
        <w:rPr>
          <w:rFonts w:ascii="宋体" w:hAnsi="宋体" w:cs="宋体"/>
          <w:color w:val="auto"/>
          <w:highlight w:val="none"/>
        </w:rPr>
        <w:t>8:30</w:t>
      </w:r>
      <w:r>
        <w:rPr>
          <w:rFonts w:hint="eastAsia" w:ascii="宋体" w:hAnsi="宋体" w:cs="宋体"/>
          <w:color w:val="auto"/>
          <w:highlight w:val="none"/>
        </w:rPr>
        <w:t>至</w:t>
      </w:r>
      <w:r>
        <w:rPr>
          <w:rFonts w:hint="eastAsia" w:ascii="宋体" w:hAnsi="宋体" w:cs="宋体"/>
          <w:color w:val="auto"/>
          <w:highlight w:val="none"/>
          <w:lang w:eastAsia="zh-CN"/>
        </w:rPr>
        <w:t>2025年6月18日</w:t>
      </w:r>
      <w:r>
        <w:rPr>
          <w:rFonts w:hint="eastAsia" w:ascii="宋体" w:hAnsi="宋体" w:cs="宋体"/>
          <w:color w:val="auto"/>
          <w:highlight w:val="none"/>
        </w:rPr>
        <w:t>下午17:00；</w:t>
      </w:r>
    </w:p>
    <w:p w14:paraId="601252B3">
      <w:pPr>
        <w:numPr>
          <w:ilvl w:val="0"/>
          <w:numId w:val="4"/>
        </w:numPr>
        <w:spacing w:line="440" w:lineRule="exact"/>
        <w:ind w:firstLineChars="200"/>
        <w:rPr>
          <w:rFonts w:ascii="宋体"/>
          <w:color w:val="auto"/>
          <w:highlight w:val="none"/>
        </w:rPr>
      </w:pPr>
      <w:r>
        <w:rPr>
          <w:rFonts w:hint="eastAsia" w:ascii="宋体"/>
          <w:color w:val="auto"/>
          <w:highlight w:val="none"/>
        </w:rPr>
        <w:t>招标文件获取方式及地址：</w:t>
      </w:r>
    </w:p>
    <w:p w14:paraId="22C0D8FD">
      <w:pPr>
        <w:numPr>
          <w:ilvl w:val="0"/>
          <w:numId w:val="5"/>
        </w:numPr>
        <w:spacing w:line="440" w:lineRule="exact"/>
        <w:ind w:left="0" w:firstLine="420" w:firstLineChars="200"/>
        <w:rPr>
          <w:rFonts w:ascii="宋体"/>
          <w:color w:val="auto"/>
          <w:highlight w:val="none"/>
        </w:rPr>
      </w:pPr>
      <w:r>
        <w:rPr>
          <w:rFonts w:hint="eastAsia" w:ascii="宋体"/>
          <w:color w:val="auto"/>
          <w:highlight w:val="none"/>
        </w:rPr>
        <w:t>招标文件获取方式：网上下载；</w:t>
      </w:r>
    </w:p>
    <w:p w14:paraId="50B70BB0">
      <w:pPr>
        <w:numPr>
          <w:ilvl w:val="0"/>
          <w:numId w:val="5"/>
        </w:numPr>
        <w:spacing w:line="440" w:lineRule="exact"/>
        <w:ind w:left="0" w:firstLine="420" w:firstLineChars="200"/>
        <w:rPr>
          <w:rFonts w:ascii="宋体"/>
          <w:color w:val="auto"/>
          <w:highlight w:val="none"/>
        </w:rPr>
      </w:pPr>
      <w:r>
        <w:rPr>
          <w:rFonts w:hint="eastAsia" w:ascii="宋体"/>
          <w:color w:val="auto"/>
          <w:highlight w:val="none"/>
        </w:rPr>
        <w:t>标书费：人民币0元整。</w:t>
      </w:r>
    </w:p>
    <w:p w14:paraId="685C74F6">
      <w:pPr>
        <w:spacing w:line="380" w:lineRule="atLeast"/>
        <w:ind w:firstLine="422" w:firstLineChars="200"/>
        <w:rPr>
          <w:rFonts w:ascii="宋体" w:hAnsi="宋体" w:cs="宋体"/>
          <w:b/>
          <w:bCs/>
          <w:color w:val="auto"/>
          <w:kern w:val="0"/>
          <w:highlight w:val="none"/>
        </w:rPr>
      </w:pPr>
      <w:r>
        <w:rPr>
          <w:rFonts w:hint="eastAsia" w:ascii="宋体" w:hAnsi="宋体" w:cs="宋体"/>
          <w:b/>
          <w:bCs/>
          <w:color w:val="auto"/>
          <w:kern w:val="0"/>
          <w:highlight w:val="none"/>
        </w:rPr>
        <w:t>五、投标截止时间：</w:t>
      </w:r>
      <w:r>
        <w:rPr>
          <w:rFonts w:hint="eastAsia" w:ascii="宋体" w:hAnsi="宋体" w:cs="宋体"/>
          <w:b/>
          <w:bCs/>
          <w:color w:val="auto"/>
          <w:kern w:val="0"/>
          <w:highlight w:val="none"/>
          <w:lang w:eastAsia="zh-CN"/>
        </w:rPr>
        <w:t>2025年6月19日</w:t>
      </w:r>
      <w:r>
        <w:rPr>
          <w:rFonts w:hint="eastAsia" w:ascii="宋体" w:hAnsi="宋体" w:cs="宋体"/>
          <w:b/>
          <w:bCs/>
          <w:color w:val="auto"/>
          <w:kern w:val="0"/>
          <w:highlight w:val="none"/>
        </w:rPr>
        <w:t>上午9:00止；</w:t>
      </w:r>
    </w:p>
    <w:p w14:paraId="5C80FD4D">
      <w:pPr>
        <w:spacing w:line="380" w:lineRule="atLeast"/>
        <w:ind w:firstLine="422" w:firstLineChars="200"/>
        <w:rPr>
          <w:rFonts w:ascii="宋体" w:hAnsi="宋体"/>
          <w:color w:val="auto"/>
          <w:highlight w:val="none"/>
        </w:rPr>
      </w:pPr>
      <w:r>
        <w:rPr>
          <w:rFonts w:hint="eastAsia" w:ascii="宋体" w:hAnsi="宋体" w:cs="宋体"/>
          <w:b/>
          <w:bCs/>
          <w:color w:val="auto"/>
          <w:kern w:val="0"/>
          <w:highlight w:val="none"/>
        </w:rPr>
        <w:t>六、投标地点：</w:t>
      </w:r>
      <w:bookmarkStart w:id="29" w:name="OLE_LINK12"/>
      <w:r>
        <w:rPr>
          <w:rFonts w:hint="eastAsia" w:ascii="宋体" w:hAnsi="宋体"/>
          <w:color w:val="auto"/>
          <w:highlight w:val="none"/>
        </w:rPr>
        <w:t>政府采购云平台</w:t>
      </w:r>
      <w:r>
        <w:rPr>
          <w:rFonts w:hint="eastAsia" w:cs="Times New Roman"/>
          <w:color w:val="auto"/>
          <w:highlight w:val="none"/>
        </w:rPr>
        <w:t>（https://www.zcygov.cn）</w:t>
      </w:r>
      <w:r>
        <w:rPr>
          <w:rFonts w:hint="eastAsia" w:ascii="宋体" w:hAnsi="宋体"/>
          <w:color w:val="auto"/>
          <w:highlight w:val="none"/>
        </w:rPr>
        <w:t>。</w:t>
      </w:r>
    </w:p>
    <w:bookmarkEnd w:id="29"/>
    <w:p w14:paraId="225CD895">
      <w:pPr>
        <w:spacing w:line="380" w:lineRule="atLeast"/>
        <w:ind w:firstLine="422" w:firstLineChars="200"/>
        <w:rPr>
          <w:rFonts w:ascii="宋体" w:hAnsi="宋体" w:cs="宋体"/>
          <w:b/>
          <w:bCs/>
          <w:color w:val="auto"/>
          <w:kern w:val="0"/>
          <w:highlight w:val="none"/>
        </w:rPr>
      </w:pPr>
      <w:r>
        <w:rPr>
          <w:rFonts w:hint="eastAsia" w:ascii="宋体" w:hAnsi="宋体" w:cs="宋体"/>
          <w:b/>
          <w:bCs/>
          <w:color w:val="auto"/>
          <w:kern w:val="0"/>
          <w:highlight w:val="none"/>
        </w:rPr>
        <w:t xml:space="preserve">七、开标时间： </w:t>
      </w:r>
      <w:r>
        <w:rPr>
          <w:rFonts w:hint="eastAsia" w:ascii="宋体" w:hAnsi="宋体" w:cs="宋体"/>
          <w:b/>
          <w:bCs/>
          <w:color w:val="auto"/>
          <w:kern w:val="0"/>
          <w:highlight w:val="none"/>
          <w:lang w:eastAsia="zh-CN"/>
        </w:rPr>
        <w:t>2025年6月19日</w:t>
      </w:r>
      <w:r>
        <w:rPr>
          <w:rFonts w:hint="eastAsia" w:ascii="宋体" w:hAnsi="宋体" w:cs="宋体"/>
          <w:b/>
          <w:bCs/>
          <w:color w:val="auto"/>
          <w:kern w:val="0"/>
          <w:highlight w:val="none"/>
        </w:rPr>
        <w:t>上午9:00整；</w:t>
      </w:r>
    </w:p>
    <w:p w14:paraId="7740D66B">
      <w:pPr>
        <w:spacing w:line="380" w:lineRule="atLeast"/>
        <w:ind w:firstLine="422" w:firstLineChars="200"/>
        <w:rPr>
          <w:rFonts w:ascii="宋体" w:hAnsi="宋体" w:cs="宋体"/>
          <w:b/>
          <w:bCs/>
          <w:color w:val="auto"/>
          <w:kern w:val="0"/>
          <w:highlight w:val="none"/>
        </w:rPr>
      </w:pPr>
      <w:r>
        <w:rPr>
          <w:rFonts w:hint="eastAsia" w:ascii="宋体" w:hAnsi="宋体" w:cs="宋体"/>
          <w:b/>
          <w:bCs/>
          <w:color w:val="auto"/>
          <w:kern w:val="0"/>
          <w:highlight w:val="none"/>
        </w:rPr>
        <w:t>八、开标地点：</w:t>
      </w:r>
      <w:r>
        <w:rPr>
          <w:rFonts w:hint="eastAsia" w:ascii="宋体" w:hAnsi="宋体" w:cs="宋体"/>
          <w:color w:val="auto"/>
          <w:kern w:val="0"/>
          <w:highlight w:val="none"/>
        </w:rPr>
        <w:t>政府采购云平台（https://www.zcygov.cn）（线上）；</w:t>
      </w:r>
      <w:r>
        <w:rPr>
          <w:rFonts w:hint="eastAsia" w:ascii="宋体" w:hAnsi="宋体" w:cs="宋体"/>
          <w:b/>
          <w:bCs/>
          <w:color w:val="auto"/>
          <w:kern w:val="0"/>
          <w:highlight w:val="none"/>
        </w:rPr>
        <w:t>瑞安市公共资源交易中心（瑞安市阳光路155号国投大厦北首3层（原东门车站））（线下），投标人无须派人员到现场出席。</w:t>
      </w:r>
    </w:p>
    <w:p w14:paraId="2255AE6F">
      <w:pPr>
        <w:spacing w:line="380" w:lineRule="atLeast"/>
        <w:ind w:firstLine="422" w:firstLineChars="200"/>
        <w:rPr>
          <w:rFonts w:ascii="宋体"/>
          <w:b/>
          <w:bCs/>
          <w:color w:val="auto"/>
          <w:highlight w:val="none"/>
        </w:rPr>
      </w:pPr>
      <w:r>
        <w:rPr>
          <w:rFonts w:hint="eastAsia" w:ascii="宋体" w:hAnsi="宋体" w:cs="宋体"/>
          <w:b/>
          <w:bCs/>
          <w:color w:val="auto"/>
          <w:highlight w:val="none"/>
        </w:rPr>
        <w:t>九、其他事项：</w:t>
      </w:r>
    </w:p>
    <w:p w14:paraId="357B1286">
      <w:pPr>
        <w:numPr>
          <w:ilvl w:val="0"/>
          <w:numId w:val="6"/>
        </w:numPr>
        <w:spacing w:line="440" w:lineRule="exact"/>
        <w:ind w:firstLine="396" w:firstLineChars="200"/>
        <w:rPr>
          <w:rFonts w:ascii="宋体" w:hAnsi="宋体"/>
          <w:color w:val="auto"/>
          <w:spacing w:val="-6"/>
          <w:szCs w:val="21"/>
          <w:highlight w:val="none"/>
        </w:rPr>
      </w:pPr>
      <w:r>
        <w:rPr>
          <w:rFonts w:hint="eastAsia" w:ascii="宋体" w:hAnsi="宋体"/>
          <w:color w:val="auto"/>
          <w:spacing w:val="-6"/>
          <w:szCs w:val="21"/>
          <w:highlight w:val="none"/>
        </w:rPr>
        <w:t>投标人应在投标前提交政府采购云平台（https://www.zcygov.cn/）银行入驻申请并成为公款存放正式供应商，否则无法参与线上公款竞争性存放业务。</w:t>
      </w:r>
    </w:p>
    <w:p w14:paraId="3DD1DB9F">
      <w:pPr>
        <w:numPr>
          <w:ilvl w:val="0"/>
          <w:numId w:val="6"/>
        </w:numPr>
        <w:spacing w:line="440" w:lineRule="exact"/>
        <w:ind w:firstLine="396" w:firstLineChars="200"/>
        <w:rPr>
          <w:rFonts w:ascii="宋体" w:hAnsi="宋体" w:cs="宋体"/>
          <w:color w:val="auto"/>
          <w:highlight w:val="none"/>
        </w:rPr>
      </w:pPr>
      <w:r>
        <w:rPr>
          <w:rFonts w:hint="eastAsia" w:ascii="宋体" w:hAnsi="宋体"/>
          <w:color w:val="auto"/>
          <w:spacing w:val="-6"/>
          <w:szCs w:val="21"/>
          <w:highlight w:val="none"/>
        </w:rPr>
        <w:t>投标人原则上应在投标前完成CA数字证书办理。网上电子投标具体流程详见操作指南：登录政府采购云平台（https://www.zcygov.cn/），从首页-服务中心-帮助文档-公款竞争性存放-操作流程，查看文档。</w:t>
      </w:r>
    </w:p>
    <w:p w14:paraId="45393826">
      <w:pPr>
        <w:numPr>
          <w:ilvl w:val="0"/>
          <w:numId w:val="6"/>
        </w:numPr>
        <w:spacing w:line="440" w:lineRule="exact"/>
        <w:ind w:firstLine="420" w:firstLineChars="200"/>
        <w:rPr>
          <w:rFonts w:ascii="宋体" w:hAnsi="宋体" w:cs="宋体"/>
          <w:color w:val="auto"/>
          <w:highlight w:val="none"/>
        </w:rPr>
      </w:pPr>
      <w:r>
        <w:rPr>
          <w:rFonts w:hint="eastAsia" w:ascii="宋体" w:hAnsi="宋体" w:cs="宋体"/>
          <w:color w:val="auto"/>
          <w:highlight w:val="none"/>
        </w:rPr>
        <w:t>电子投标文件制作：应按照本项目招标文件和政府采购云平台的要求编制、加密并递交投标文件。投标人在使用系统进行投标的过程中遇到涉及平台使用的任何问题，可致电政府采购云平台技术支持热线咨询，联系方式：95763。</w:t>
      </w:r>
    </w:p>
    <w:p w14:paraId="7F625EAF">
      <w:pPr>
        <w:numPr>
          <w:ilvl w:val="0"/>
          <w:numId w:val="6"/>
        </w:numPr>
        <w:spacing w:line="440" w:lineRule="exact"/>
        <w:ind w:firstLine="420" w:firstLineChars="200"/>
        <w:rPr>
          <w:rFonts w:ascii="宋体" w:hAnsi="宋体" w:cs="宋体"/>
          <w:color w:val="auto"/>
          <w:highlight w:val="none"/>
        </w:rPr>
      </w:pPr>
      <w:r>
        <w:rPr>
          <w:rFonts w:hint="eastAsia" w:ascii="宋体" w:hAnsi="宋体" w:cs="宋体"/>
          <w:color w:val="auto"/>
          <w:highlight w:val="none"/>
        </w:rPr>
        <w:t>本招标公告附件中的招标文件仅供阅览使用，投标人应在规定的招标文件获取期限内在政府采购云平台登录投标人的账号后获取招标文件，未按上述方式获招标文件的，不得对招标文件提起质疑投诉。</w:t>
      </w:r>
    </w:p>
    <w:p w14:paraId="62854B8C">
      <w:pPr>
        <w:numPr>
          <w:ilvl w:val="0"/>
          <w:numId w:val="6"/>
        </w:numPr>
        <w:spacing w:line="440" w:lineRule="exact"/>
        <w:ind w:firstLine="420" w:firstLineChars="200"/>
        <w:rPr>
          <w:rFonts w:ascii="宋体" w:hAnsi="宋体" w:cs="宋体"/>
          <w:color w:val="auto"/>
          <w:highlight w:val="none"/>
        </w:rPr>
      </w:pPr>
      <w:r>
        <w:rPr>
          <w:rFonts w:hint="eastAsia" w:ascii="宋体" w:hAnsi="宋体" w:cs="宋体"/>
          <w:color w:val="auto"/>
          <w:highlight w:val="none"/>
        </w:rPr>
        <w:t>投标人应于提交投标文件截止时间前将电子投标文件上传到政府采购云平台（https://www.zcygov.cn），未上传电子投标文件，视为投标人放弃投标。</w:t>
      </w:r>
    </w:p>
    <w:p w14:paraId="29DACCC2">
      <w:pPr>
        <w:numPr>
          <w:ilvl w:val="0"/>
          <w:numId w:val="6"/>
        </w:numPr>
        <w:spacing w:line="440" w:lineRule="exact"/>
        <w:ind w:firstLine="420" w:firstLineChars="200"/>
        <w:rPr>
          <w:rFonts w:ascii="宋体" w:hAnsi="宋体" w:cs="宋体"/>
          <w:color w:val="auto"/>
          <w:highlight w:val="none"/>
        </w:rPr>
      </w:pPr>
      <w:r>
        <w:rPr>
          <w:rFonts w:hint="eastAsia" w:ascii="宋体" w:hAnsi="宋体" w:cs="宋体"/>
          <w:color w:val="auto"/>
          <w:highlight w:val="none"/>
        </w:rPr>
        <w:t>本次招标公告在浙江政府采购网（http://zfcg.czt.zj.gov.cn/）、</w:t>
      </w:r>
      <w:r>
        <w:rPr>
          <w:rFonts w:hint="eastAsia" w:ascii="宋体" w:hAnsi="宋体" w:cs="宋体"/>
          <w:color w:val="auto"/>
          <w:highlight w:val="none"/>
          <w:lang w:eastAsia="zh-CN"/>
        </w:rPr>
        <w:t>温州市公共资源交易网瑞安分网</w:t>
      </w:r>
      <w:r>
        <w:rPr>
          <w:rFonts w:hint="eastAsia" w:ascii="宋体" w:hAnsi="宋体" w:cs="宋体"/>
          <w:color w:val="auto"/>
          <w:highlight w:val="none"/>
        </w:rPr>
        <w:t>（</w:t>
      </w:r>
      <w:r>
        <w:rPr>
          <w:rFonts w:hint="eastAsia" w:ascii="宋体" w:hAnsi="宋体" w:cs="宋体"/>
          <w:color w:val="auto"/>
          <w:highlight w:val="none"/>
          <w:lang w:eastAsia="zh-CN"/>
        </w:rPr>
        <w:t>https://ggzyjy-eweb.wenzhou.gov.cn/</w:t>
      </w:r>
      <w:r>
        <w:rPr>
          <w:rFonts w:hint="eastAsia" w:ascii="宋体" w:hAnsi="宋体" w:cs="宋体"/>
          <w:color w:val="auto"/>
          <w:highlight w:val="none"/>
        </w:rPr>
        <w:t>）上发布。</w:t>
      </w:r>
    </w:p>
    <w:p w14:paraId="37E19A48">
      <w:pPr>
        <w:spacing w:line="380" w:lineRule="atLeas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十、联系方式：</w:t>
      </w:r>
    </w:p>
    <w:bookmarkEnd w:id="28"/>
    <w:p w14:paraId="6DFA7B9E">
      <w:pPr>
        <w:spacing w:line="380" w:lineRule="atLeast"/>
        <w:ind w:firstLine="420" w:firstLineChars="200"/>
        <w:rPr>
          <w:rFonts w:ascii="宋体" w:hAnsi="宋体" w:cs="宋体"/>
          <w:color w:val="auto"/>
          <w:highlight w:val="none"/>
        </w:rPr>
      </w:pPr>
      <w:bookmarkStart w:id="30" w:name="_Toc35393617"/>
      <w:bookmarkStart w:id="31" w:name="_Toc28358998"/>
      <w:bookmarkStart w:id="32" w:name="_Toc35393786"/>
      <w:bookmarkStart w:id="33" w:name="_Toc28359075"/>
      <w:bookmarkStart w:id="34" w:name="_Toc28358999"/>
      <w:bookmarkStart w:id="35" w:name="_Toc35393618"/>
      <w:bookmarkStart w:id="36" w:name="_Toc35393787"/>
      <w:bookmarkStart w:id="37" w:name="_Toc28359076"/>
      <w:r>
        <w:rPr>
          <w:rFonts w:hint="eastAsia" w:ascii="宋体" w:hAnsi="宋体" w:cs="宋体"/>
          <w:color w:val="auto"/>
          <w:highlight w:val="none"/>
        </w:rPr>
        <w:t>1.采购人信息</w:t>
      </w:r>
      <w:bookmarkEnd w:id="30"/>
      <w:bookmarkEnd w:id="31"/>
      <w:bookmarkEnd w:id="32"/>
      <w:bookmarkEnd w:id="33"/>
    </w:p>
    <w:p w14:paraId="6D2A0C23">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名    称：瑞安市卫生健康局　　　　　　　　　</w:t>
      </w:r>
    </w:p>
    <w:p w14:paraId="585DE1AD">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地    址：瑞安市瑞湖路333号　　　　　　　　</w:t>
      </w:r>
    </w:p>
    <w:p w14:paraId="08A37A47">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传    真：/　　　　　　　</w:t>
      </w:r>
    </w:p>
    <w:p w14:paraId="2EA5E553">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项目联系人（询问）：谢女士</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p>
    <w:p w14:paraId="1017B01A">
      <w:pPr>
        <w:spacing w:line="380" w:lineRule="atLeast"/>
        <w:ind w:firstLine="420" w:firstLineChars="200"/>
        <w:rPr>
          <w:rFonts w:hint="eastAsia" w:ascii="宋体" w:hAnsi="宋体" w:cs="宋体" w:eastAsiaTheme="minorEastAsia"/>
          <w:color w:val="auto"/>
          <w:highlight w:val="none"/>
          <w:lang w:eastAsia="zh-CN"/>
        </w:rPr>
      </w:pPr>
      <w:r>
        <w:rPr>
          <w:rFonts w:hint="eastAsia" w:ascii="宋体" w:hAnsi="宋体" w:cs="宋体"/>
          <w:color w:val="auto"/>
          <w:highlight w:val="none"/>
        </w:rPr>
        <w:t>项目联系方式（询问）：</w:t>
      </w:r>
      <w:r>
        <w:rPr>
          <w:rFonts w:hint="eastAsia" w:ascii="宋体" w:hAnsi="宋体" w:cs="宋体"/>
          <w:color w:val="auto"/>
          <w:highlight w:val="none"/>
          <w:lang w:val="en-US" w:eastAsia="zh-CN"/>
        </w:rPr>
        <w:t>0577-65800391</w:t>
      </w:r>
    </w:p>
    <w:p w14:paraId="11002AF2">
      <w:pPr>
        <w:spacing w:line="380" w:lineRule="atLeast"/>
        <w:ind w:firstLine="420" w:firstLineChars="200"/>
        <w:rPr>
          <w:rFonts w:hint="eastAsia" w:ascii="宋体" w:hAnsi="宋体" w:cs="宋体" w:eastAsiaTheme="minorEastAsia"/>
          <w:color w:val="auto"/>
          <w:highlight w:val="none"/>
          <w:lang w:eastAsia="zh-CN"/>
        </w:rPr>
      </w:pPr>
      <w:r>
        <w:rPr>
          <w:rFonts w:hint="eastAsia" w:ascii="宋体" w:hAnsi="宋体" w:cs="宋体"/>
          <w:color w:val="auto"/>
          <w:highlight w:val="none"/>
        </w:rPr>
        <w:t>采购人质疑投诉联系人：彭先生</w:t>
      </w:r>
      <w:r>
        <w:rPr>
          <w:rFonts w:hint="eastAsia" w:ascii="宋体" w:hAnsi="宋体" w:cs="宋体"/>
          <w:color w:val="auto"/>
          <w:highlight w:val="none"/>
          <w:lang w:val="en-US" w:eastAsia="zh-CN"/>
        </w:rPr>
        <w:t xml:space="preserve"> </w:t>
      </w:r>
    </w:p>
    <w:p w14:paraId="7C36AD6E">
      <w:pPr>
        <w:spacing w:line="380" w:lineRule="atLeast"/>
        <w:ind w:firstLine="420" w:firstLineChars="200"/>
        <w:rPr>
          <w:rFonts w:hint="eastAsia" w:ascii="宋体" w:hAnsi="宋体" w:cs="宋体" w:eastAsiaTheme="minorEastAsia"/>
          <w:color w:val="auto"/>
          <w:highlight w:val="none"/>
          <w:lang w:eastAsia="zh-CN"/>
        </w:rPr>
      </w:pPr>
      <w:r>
        <w:rPr>
          <w:rFonts w:hint="eastAsia" w:ascii="宋体" w:hAnsi="宋体"/>
          <w:color w:val="auto"/>
          <w:szCs w:val="21"/>
          <w:highlight w:val="none"/>
        </w:rPr>
        <w:t>采购人质疑投诉联系电话：0577-58868712</w:t>
      </w:r>
      <w:r>
        <w:rPr>
          <w:rFonts w:hint="eastAsia" w:ascii="宋体" w:hAnsi="宋体"/>
          <w:color w:val="auto"/>
          <w:szCs w:val="21"/>
          <w:highlight w:val="none"/>
          <w:lang w:val="en-US" w:eastAsia="zh-CN"/>
        </w:rPr>
        <w:t xml:space="preserve"> </w:t>
      </w:r>
    </w:p>
    <w:p w14:paraId="0A1E9700">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2.采购代理机构信息</w:t>
      </w:r>
      <w:bookmarkEnd w:id="34"/>
      <w:bookmarkEnd w:id="35"/>
      <w:bookmarkEnd w:id="36"/>
      <w:bookmarkEnd w:id="37"/>
    </w:p>
    <w:p w14:paraId="14390BC5">
      <w:pPr>
        <w:spacing w:line="380" w:lineRule="atLeast"/>
        <w:ind w:firstLine="420" w:firstLineChars="200"/>
        <w:rPr>
          <w:rFonts w:ascii="宋体" w:hAnsi="宋体" w:cs="宋体"/>
          <w:color w:val="auto"/>
          <w:highlight w:val="none"/>
        </w:rPr>
      </w:pPr>
      <w:bookmarkStart w:id="38" w:name="_Toc35393619"/>
      <w:bookmarkStart w:id="39" w:name="_Toc28359077"/>
      <w:bookmarkStart w:id="40" w:name="_Toc35393788"/>
      <w:bookmarkStart w:id="41" w:name="_Toc28359000"/>
      <w:r>
        <w:rPr>
          <w:rFonts w:hint="eastAsia" w:ascii="宋体" w:hAnsi="宋体" w:cs="宋体"/>
          <w:color w:val="auto"/>
          <w:highlight w:val="none"/>
        </w:rPr>
        <w:t>名    称：浙江瑞扬工程咨询招标代理股份有限公司 　　　　　</w:t>
      </w:r>
    </w:p>
    <w:p w14:paraId="13011A36">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地    址：瑞安市安福路28号三楼　　　　　　　</w:t>
      </w:r>
    </w:p>
    <w:p w14:paraId="5E2C1D7B">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传    真：0577-65802277　　　　　　　　</w:t>
      </w:r>
    </w:p>
    <w:p w14:paraId="7E0028A0">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项目联系人（询问）：林慧、徐纯璇　　</w:t>
      </w:r>
    </w:p>
    <w:p w14:paraId="33DF8D2B">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项目联系方式（询问）：15857781500、15057335015　</w:t>
      </w:r>
    </w:p>
    <w:p w14:paraId="57526A25">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代理机构质疑投诉联系人：王芳　　</w:t>
      </w:r>
    </w:p>
    <w:p w14:paraId="7EF9EEDD">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代理机构质疑投诉联系电话：0577-65802277</w:t>
      </w:r>
    </w:p>
    <w:bookmarkEnd w:id="38"/>
    <w:bookmarkEnd w:id="39"/>
    <w:bookmarkEnd w:id="40"/>
    <w:bookmarkEnd w:id="41"/>
    <w:p w14:paraId="00564737">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3.监督管理部门</w:t>
      </w:r>
    </w:p>
    <w:p w14:paraId="18923278">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名    称：瑞安市财政局</w:t>
      </w:r>
    </w:p>
    <w:p w14:paraId="6BC06BDD">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地    址：瑞安市财税大楼 　　　　　　</w:t>
      </w:r>
    </w:p>
    <w:p w14:paraId="22C5ABBC">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传    真：/　　　　　　　　</w:t>
      </w:r>
    </w:p>
    <w:p w14:paraId="5B4F627E">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联 系 人：余先生　　　　</w:t>
      </w:r>
    </w:p>
    <w:p w14:paraId="62F3E5CD">
      <w:pPr>
        <w:spacing w:line="380" w:lineRule="atLeast"/>
        <w:ind w:firstLine="420" w:firstLineChars="200"/>
        <w:rPr>
          <w:rFonts w:ascii="宋体" w:hAnsi="宋体" w:cs="宋体"/>
          <w:color w:val="auto"/>
          <w:highlight w:val="none"/>
        </w:rPr>
      </w:pPr>
      <w:r>
        <w:rPr>
          <w:rFonts w:hint="eastAsia" w:ascii="宋体" w:hAnsi="宋体" w:cs="宋体"/>
          <w:color w:val="auto"/>
          <w:highlight w:val="none"/>
        </w:rPr>
        <w:t>监督投诉电话：0577-65827659</w:t>
      </w:r>
    </w:p>
    <w:p w14:paraId="49CC8A02">
      <w:pPr>
        <w:pStyle w:val="2"/>
        <w:keepNext w:val="0"/>
        <w:keepLines w:val="0"/>
        <w:pageBreakBefore/>
        <w:spacing w:before="0" w:afterLines="50" w:line="240" w:lineRule="auto"/>
        <w:rPr>
          <w:rFonts w:hAnsi="宋体"/>
          <w:color w:val="auto"/>
          <w:sz w:val="28"/>
          <w:szCs w:val="36"/>
          <w:highlight w:val="none"/>
        </w:rPr>
      </w:pPr>
      <w:bookmarkStart w:id="42" w:name="_Toc19978"/>
      <w:r>
        <w:rPr>
          <w:rFonts w:hint="eastAsia" w:hAnsi="宋体"/>
          <w:color w:val="auto"/>
          <w:sz w:val="28"/>
          <w:szCs w:val="36"/>
          <w:highlight w:val="none"/>
        </w:rPr>
        <w:t>第二部分  投标人须知</w:t>
      </w:r>
      <w:bookmarkEnd w:id="24"/>
      <w:bookmarkEnd w:id="25"/>
      <w:bookmarkEnd w:id="26"/>
      <w:bookmarkEnd w:id="27"/>
      <w:bookmarkEnd w:id="42"/>
    </w:p>
    <w:p w14:paraId="20F23A95">
      <w:pPr>
        <w:pStyle w:val="3"/>
        <w:spacing w:before="0" w:after="0" w:line="360" w:lineRule="auto"/>
        <w:rPr>
          <w:bCs w:val="0"/>
          <w:color w:val="auto"/>
          <w:sz w:val="24"/>
          <w:szCs w:val="24"/>
          <w:highlight w:val="none"/>
        </w:rPr>
      </w:pPr>
      <w:bookmarkStart w:id="43" w:name="_Toc405556608"/>
      <w:bookmarkStart w:id="44" w:name="_Toc28488"/>
      <w:bookmarkStart w:id="45" w:name="_Toc13540"/>
      <w:bookmarkStart w:id="46" w:name="_Toc28031"/>
      <w:bookmarkStart w:id="47" w:name="_Toc24931"/>
      <w:r>
        <w:rPr>
          <w:rFonts w:hint="eastAsia"/>
          <w:color w:val="auto"/>
          <w:sz w:val="24"/>
          <w:szCs w:val="24"/>
          <w:highlight w:val="none"/>
        </w:rPr>
        <w:t>（一）</w:t>
      </w:r>
      <w:r>
        <w:rPr>
          <w:rFonts w:hint="eastAsia"/>
          <w:bCs w:val="0"/>
          <w:color w:val="auto"/>
          <w:sz w:val="24"/>
          <w:szCs w:val="24"/>
          <w:highlight w:val="none"/>
        </w:rPr>
        <w:t>投标须知前附表</w:t>
      </w:r>
      <w:bookmarkEnd w:id="43"/>
      <w:bookmarkEnd w:id="44"/>
      <w:bookmarkEnd w:id="45"/>
      <w:bookmarkEnd w:id="46"/>
      <w:bookmarkEnd w:id="47"/>
    </w:p>
    <w:tbl>
      <w:tblPr>
        <w:tblStyle w:val="20"/>
        <w:tblW w:w="94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488"/>
        <w:gridCol w:w="7346"/>
      </w:tblGrid>
      <w:tr w14:paraId="6C147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3044BC6D">
            <w:pPr>
              <w:spacing w:line="360" w:lineRule="exact"/>
              <w:jc w:val="center"/>
              <w:rPr>
                <w:rFonts w:ascii="宋体" w:hAnsi="宋体" w:cs="Arial"/>
                <w:b/>
                <w:color w:val="auto"/>
                <w:szCs w:val="21"/>
                <w:highlight w:val="none"/>
              </w:rPr>
            </w:pPr>
            <w:r>
              <w:rPr>
                <w:rFonts w:hint="eastAsia" w:ascii="宋体" w:hAnsi="宋体" w:cs="Arial"/>
                <w:b/>
                <w:color w:val="auto"/>
                <w:szCs w:val="21"/>
                <w:highlight w:val="none"/>
              </w:rPr>
              <w:t>项号</w:t>
            </w:r>
          </w:p>
        </w:tc>
        <w:tc>
          <w:tcPr>
            <w:tcW w:w="1488" w:type="dxa"/>
            <w:vAlign w:val="center"/>
          </w:tcPr>
          <w:p w14:paraId="35D60FC2">
            <w:pPr>
              <w:spacing w:line="360" w:lineRule="exact"/>
              <w:jc w:val="center"/>
              <w:rPr>
                <w:rFonts w:ascii="宋体" w:hAnsi="宋体" w:cs="Arial"/>
                <w:b/>
                <w:color w:val="auto"/>
                <w:szCs w:val="21"/>
                <w:highlight w:val="none"/>
              </w:rPr>
            </w:pPr>
            <w:r>
              <w:rPr>
                <w:rFonts w:hint="eastAsia" w:ascii="宋体" w:hAnsi="宋体" w:cs="Arial"/>
                <w:b/>
                <w:color w:val="auto"/>
                <w:szCs w:val="21"/>
                <w:highlight w:val="none"/>
              </w:rPr>
              <w:t>内容</w:t>
            </w:r>
          </w:p>
        </w:tc>
        <w:tc>
          <w:tcPr>
            <w:tcW w:w="7346" w:type="dxa"/>
            <w:vAlign w:val="center"/>
          </w:tcPr>
          <w:p w14:paraId="3540BABB">
            <w:pPr>
              <w:spacing w:line="360" w:lineRule="exact"/>
              <w:jc w:val="center"/>
              <w:rPr>
                <w:rFonts w:ascii="宋体" w:hAnsi="宋体" w:cs="Arial"/>
                <w:b/>
                <w:color w:val="auto"/>
                <w:szCs w:val="21"/>
                <w:highlight w:val="none"/>
              </w:rPr>
            </w:pPr>
            <w:r>
              <w:rPr>
                <w:rFonts w:hint="eastAsia" w:ascii="宋体" w:hAnsi="宋体" w:cs="Arial"/>
                <w:b/>
                <w:color w:val="auto"/>
                <w:szCs w:val="21"/>
                <w:highlight w:val="none"/>
              </w:rPr>
              <w:t>说明与要求</w:t>
            </w:r>
          </w:p>
        </w:tc>
      </w:tr>
      <w:tr w14:paraId="0A773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4E63BECD">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w:t>
            </w:r>
          </w:p>
        </w:tc>
        <w:tc>
          <w:tcPr>
            <w:tcW w:w="1488" w:type="dxa"/>
            <w:vAlign w:val="center"/>
          </w:tcPr>
          <w:p w14:paraId="049A98DF">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项目名称</w:t>
            </w:r>
          </w:p>
        </w:tc>
        <w:tc>
          <w:tcPr>
            <w:tcW w:w="7346" w:type="dxa"/>
            <w:vAlign w:val="center"/>
          </w:tcPr>
          <w:p w14:paraId="25B5BC20">
            <w:pPr>
              <w:spacing w:line="360" w:lineRule="exact"/>
              <w:rPr>
                <w:rFonts w:ascii="宋体" w:hAnsi="宋体" w:eastAsia="宋体" w:cs="Arial"/>
                <w:snapToGrid w:val="0"/>
                <w:color w:val="auto"/>
                <w:szCs w:val="21"/>
                <w:highlight w:val="none"/>
              </w:rPr>
            </w:pPr>
            <w:r>
              <w:rPr>
                <w:rFonts w:hint="eastAsia" w:ascii="宋体" w:hAnsi="宋体" w:eastAsia="宋体" w:cs="Arial"/>
                <w:snapToGrid w:val="0"/>
                <w:color w:val="auto"/>
                <w:szCs w:val="21"/>
                <w:highlight w:val="none"/>
                <w:lang w:eastAsia="zh-CN"/>
              </w:rPr>
              <w:t>瑞安市基层卫生服务中心</w:t>
            </w:r>
            <w:r>
              <w:rPr>
                <w:rFonts w:hint="eastAsia" w:ascii="宋体" w:hAnsi="宋体" w:eastAsia="宋体" w:cs="Arial"/>
                <w:snapToGrid w:val="0"/>
                <w:color w:val="auto"/>
                <w:szCs w:val="21"/>
                <w:highlight w:val="none"/>
              </w:rPr>
              <w:t>专用账户开立招投标项目</w:t>
            </w:r>
          </w:p>
        </w:tc>
      </w:tr>
      <w:tr w14:paraId="5C013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99" w:hRule="atLeast"/>
          <w:jc w:val="center"/>
        </w:trPr>
        <w:tc>
          <w:tcPr>
            <w:tcW w:w="645" w:type="dxa"/>
            <w:vAlign w:val="center"/>
          </w:tcPr>
          <w:p w14:paraId="4CB98F48">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2</w:t>
            </w:r>
          </w:p>
        </w:tc>
        <w:tc>
          <w:tcPr>
            <w:tcW w:w="1488" w:type="dxa"/>
            <w:vAlign w:val="center"/>
          </w:tcPr>
          <w:p w14:paraId="27BCE8EC">
            <w:pPr>
              <w:spacing w:line="360" w:lineRule="exact"/>
              <w:jc w:val="center"/>
              <w:rPr>
                <w:rFonts w:ascii="宋体" w:hAnsi="宋体"/>
                <w:color w:val="auto"/>
                <w:szCs w:val="21"/>
                <w:highlight w:val="none"/>
              </w:rPr>
            </w:pPr>
            <w:r>
              <w:rPr>
                <w:rFonts w:hint="eastAsia" w:ascii="宋体" w:hAnsi="宋体"/>
                <w:color w:val="auto"/>
                <w:szCs w:val="21"/>
                <w:highlight w:val="none"/>
              </w:rPr>
              <w:t>招标人</w:t>
            </w:r>
          </w:p>
        </w:tc>
        <w:tc>
          <w:tcPr>
            <w:tcW w:w="7346" w:type="dxa"/>
            <w:vAlign w:val="center"/>
          </w:tcPr>
          <w:p w14:paraId="0323B58D">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名</w:t>
            </w:r>
            <w:r>
              <w:rPr>
                <w:rFonts w:hint="eastAsia" w:ascii="宋体" w:hAnsi="宋体" w:cs="Arial"/>
                <w:snapToGrid w:val="0"/>
                <w:color w:val="auto"/>
                <w:szCs w:val="21"/>
                <w:highlight w:val="none"/>
              </w:rPr>
              <w:t>称：瑞安市卫生健康局</w:t>
            </w:r>
          </w:p>
          <w:p w14:paraId="2644DFAE">
            <w:pPr>
              <w:spacing w:line="360" w:lineRule="exact"/>
              <w:rPr>
                <w:rFonts w:hint="eastAsia" w:ascii="宋体" w:hAnsi="宋体" w:cs="Arial" w:eastAsiaTheme="minorEastAsia"/>
                <w:snapToGrid w:val="0"/>
                <w:color w:val="auto"/>
                <w:szCs w:val="21"/>
                <w:highlight w:val="none"/>
                <w:lang w:eastAsia="zh-CN"/>
              </w:rPr>
            </w:pPr>
            <w:r>
              <w:rPr>
                <w:rFonts w:hint="eastAsia" w:ascii="宋体" w:hAnsi="宋体" w:cs="Arial"/>
                <w:snapToGrid w:val="0"/>
                <w:color w:val="auto"/>
                <w:szCs w:val="21"/>
                <w:highlight w:val="none"/>
              </w:rPr>
              <w:t>项目联系人（询问）：</w:t>
            </w:r>
            <w:r>
              <w:rPr>
                <w:rFonts w:hint="eastAsia" w:ascii="宋体" w:hAnsi="宋体" w:cs="宋体"/>
                <w:color w:val="auto"/>
                <w:highlight w:val="none"/>
              </w:rPr>
              <w:t>谢女士</w:t>
            </w:r>
            <w:r>
              <w:rPr>
                <w:rFonts w:hint="eastAsia" w:ascii="宋体" w:hAnsi="宋体" w:cs="Arial"/>
                <w:snapToGrid w:val="0"/>
                <w:color w:val="auto"/>
                <w:szCs w:val="21"/>
                <w:highlight w:val="none"/>
                <w:lang w:val="en-US" w:eastAsia="zh-CN"/>
              </w:rPr>
              <w:t xml:space="preserve"> </w:t>
            </w:r>
          </w:p>
          <w:p w14:paraId="575A0CC6">
            <w:pPr>
              <w:spacing w:line="360" w:lineRule="exact"/>
              <w:rPr>
                <w:rFonts w:hint="eastAsia" w:ascii="宋体" w:hAnsi="宋体" w:cs="Arial" w:eastAsiaTheme="minorEastAsia"/>
                <w:snapToGrid w:val="0"/>
                <w:color w:val="auto"/>
                <w:szCs w:val="21"/>
                <w:highlight w:val="none"/>
                <w:lang w:eastAsia="zh-CN"/>
              </w:rPr>
            </w:pPr>
            <w:r>
              <w:rPr>
                <w:rFonts w:hint="eastAsia" w:ascii="宋体" w:hAnsi="宋体" w:cs="Arial"/>
                <w:snapToGrid w:val="0"/>
                <w:color w:val="auto"/>
                <w:szCs w:val="21"/>
                <w:highlight w:val="none"/>
              </w:rPr>
              <w:t>项目联系方式（询问）：0577-65800391</w:t>
            </w:r>
            <w:r>
              <w:rPr>
                <w:rFonts w:hint="eastAsia" w:ascii="宋体" w:hAnsi="宋体" w:cs="Arial"/>
                <w:snapToGrid w:val="0"/>
                <w:color w:val="auto"/>
                <w:szCs w:val="21"/>
                <w:highlight w:val="none"/>
                <w:lang w:val="en-US" w:eastAsia="zh-CN"/>
              </w:rPr>
              <w:t xml:space="preserve"> </w:t>
            </w:r>
          </w:p>
        </w:tc>
      </w:tr>
      <w:tr w14:paraId="7DCD2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14" w:hRule="atLeast"/>
          <w:jc w:val="center"/>
        </w:trPr>
        <w:tc>
          <w:tcPr>
            <w:tcW w:w="645" w:type="dxa"/>
            <w:vAlign w:val="center"/>
          </w:tcPr>
          <w:p w14:paraId="3069A8E3">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3</w:t>
            </w:r>
          </w:p>
        </w:tc>
        <w:tc>
          <w:tcPr>
            <w:tcW w:w="1488" w:type="dxa"/>
            <w:vAlign w:val="center"/>
          </w:tcPr>
          <w:p w14:paraId="03789DBD">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7346" w:type="dxa"/>
            <w:vAlign w:val="center"/>
          </w:tcPr>
          <w:p w14:paraId="27661E23">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 xml:space="preserve">代理机构名称：浙江瑞扬工程咨询招标代理股份有限公司 </w:t>
            </w:r>
          </w:p>
          <w:p w14:paraId="2C7D126A">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地点：瑞安市安福路28号三楼</w:t>
            </w:r>
          </w:p>
          <w:p w14:paraId="61912AD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highlight w:val="none"/>
              </w:rPr>
              <w:t>林慧、徐纯璇</w:t>
            </w:r>
          </w:p>
          <w:p w14:paraId="3704F70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联系电话：</w:t>
            </w:r>
            <w:r>
              <w:rPr>
                <w:rFonts w:hint="eastAsia" w:ascii="宋体" w:hAnsi="宋体" w:cs="宋体"/>
                <w:color w:val="auto"/>
                <w:highlight w:val="none"/>
              </w:rPr>
              <w:t>15857781500、15057335015</w:t>
            </w:r>
          </w:p>
          <w:p w14:paraId="4C0B74C6">
            <w:pPr>
              <w:spacing w:line="360" w:lineRule="exact"/>
              <w:rPr>
                <w:rFonts w:ascii="宋体" w:hAnsi="宋体" w:cs="Arial"/>
                <w:snapToGrid w:val="0"/>
                <w:color w:val="auto"/>
                <w:szCs w:val="21"/>
                <w:highlight w:val="none"/>
              </w:rPr>
            </w:pPr>
            <w:r>
              <w:rPr>
                <w:rFonts w:hint="eastAsia" w:ascii="宋体" w:hAnsi="宋体" w:cs="宋体"/>
                <w:color w:val="auto"/>
                <w:kern w:val="0"/>
                <w:szCs w:val="21"/>
                <w:highlight w:val="none"/>
              </w:rPr>
              <w:t>传真：</w:t>
            </w:r>
            <w:r>
              <w:rPr>
                <w:rFonts w:hint="eastAsia" w:ascii="宋体" w:hAnsi="宋体" w:cs="宋体"/>
                <w:color w:val="auto"/>
                <w:highlight w:val="none"/>
              </w:rPr>
              <w:t>0577-65802277　</w:t>
            </w:r>
          </w:p>
        </w:tc>
      </w:tr>
      <w:tr w14:paraId="100C8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3" w:hRule="atLeast"/>
          <w:jc w:val="center"/>
        </w:trPr>
        <w:tc>
          <w:tcPr>
            <w:tcW w:w="645" w:type="dxa"/>
            <w:vAlign w:val="center"/>
          </w:tcPr>
          <w:p w14:paraId="677D2F5C">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4</w:t>
            </w:r>
          </w:p>
        </w:tc>
        <w:tc>
          <w:tcPr>
            <w:tcW w:w="1488" w:type="dxa"/>
            <w:vAlign w:val="center"/>
          </w:tcPr>
          <w:p w14:paraId="743F4155">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招标范围</w:t>
            </w:r>
          </w:p>
        </w:tc>
        <w:tc>
          <w:tcPr>
            <w:tcW w:w="7346" w:type="dxa"/>
            <w:vAlign w:val="center"/>
          </w:tcPr>
          <w:p w14:paraId="670DDD47">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lang w:eastAsia="zh-CN"/>
              </w:rPr>
              <w:t>瑞安市基层卫生服务中心</w:t>
            </w:r>
            <w:r>
              <w:rPr>
                <w:rFonts w:hint="eastAsia" w:ascii="宋体" w:hAnsi="宋体" w:cs="Arial"/>
                <w:snapToGrid w:val="0"/>
                <w:color w:val="auto"/>
                <w:szCs w:val="21"/>
                <w:highlight w:val="none"/>
              </w:rPr>
              <w:t>专用账户开立招投标项目（详见招标文件第三部分）</w:t>
            </w:r>
          </w:p>
        </w:tc>
      </w:tr>
      <w:tr w14:paraId="1A6E8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21336831">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5</w:t>
            </w:r>
          </w:p>
        </w:tc>
        <w:tc>
          <w:tcPr>
            <w:tcW w:w="1488" w:type="dxa"/>
            <w:vAlign w:val="center"/>
          </w:tcPr>
          <w:p w14:paraId="686E6878">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投标人</w:t>
            </w:r>
          </w:p>
          <w:p w14:paraId="1913C14C">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资格要求</w:t>
            </w:r>
          </w:p>
        </w:tc>
        <w:tc>
          <w:tcPr>
            <w:tcW w:w="7346" w:type="dxa"/>
            <w:vAlign w:val="center"/>
          </w:tcPr>
          <w:p w14:paraId="579C9136">
            <w:pPr>
              <w:spacing w:line="360" w:lineRule="exact"/>
              <w:rPr>
                <w:rFonts w:ascii="宋体" w:hAnsi="宋体"/>
                <w:color w:val="auto"/>
                <w:szCs w:val="21"/>
                <w:highlight w:val="none"/>
              </w:rPr>
            </w:pPr>
            <w:r>
              <w:rPr>
                <w:rFonts w:hint="eastAsia" w:ascii="宋体" w:hAnsi="宋体"/>
                <w:color w:val="auto"/>
                <w:szCs w:val="21"/>
                <w:highlight w:val="none"/>
              </w:rPr>
              <w:t>投标人应符合</w:t>
            </w:r>
            <w:r>
              <w:rPr>
                <w:rFonts w:hint="eastAsia" w:ascii="宋体" w:hAnsi="宋体" w:cs="宋体"/>
                <w:color w:val="auto"/>
                <w:kern w:val="0"/>
                <w:szCs w:val="21"/>
                <w:highlight w:val="none"/>
              </w:rPr>
              <w:t>《瑞安市预算单位公款竞争性存放管理暂行办法》（瑞政办〔2015〕99号）和</w:t>
            </w:r>
            <w:r>
              <w:rPr>
                <w:rFonts w:hint="eastAsia" w:ascii="宋体" w:hAnsi="宋体"/>
                <w:color w:val="auto"/>
                <w:szCs w:val="21"/>
                <w:highlight w:val="none"/>
              </w:rPr>
              <w:t>《瑞安市市级行政事业单位公款竞争性存放管理暂行办法》(瑞财预执〔2021〕245号)第十四条规定，具备承担招标项目的能力，具体包括：</w:t>
            </w:r>
          </w:p>
          <w:p w14:paraId="378FFC6B">
            <w:pPr>
              <w:numPr>
                <w:ilvl w:val="0"/>
                <w:numId w:val="7"/>
              </w:numPr>
              <w:spacing w:line="360" w:lineRule="exact"/>
              <w:ind w:firstLine="0"/>
              <w:rPr>
                <w:rFonts w:ascii="宋体" w:hAnsi="宋体"/>
                <w:color w:val="auto"/>
                <w:szCs w:val="21"/>
                <w:highlight w:val="none"/>
              </w:rPr>
            </w:pPr>
            <w:r>
              <w:rPr>
                <w:rFonts w:hint="eastAsia" w:ascii="宋体" w:hAnsi="宋体"/>
                <w:color w:val="auto"/>
                <w:szCs w:val="21"/>
                <w:highlight w:val="none"/>
              </w:rPr>
              <w:t>在瑞安市设有分支机构；</w:t>
            </w:r>
          </w:p>
          <w:p w14:paraId="359378F3">
            <w:pPr>
              <w:numPr>
                <w:ilvl w:val="0"/>
                <w:numId w:val="7"/>
              </w:numPr>
              <w:spacing w:line="360" w:lineRule="exact"/>
              <w:ind w:firstLine="0"/>
              <w:rPr>
                <w:rFonts w:ascii="宋体" w:hAnsi="宋体"/>
                <w:color w:val="auto"/>
                <w:szCs w:val="21"/>
                <w:highlight w:val="none"/>
              </w:rPr>
            </w:pPr>
            <w:r>
              <w:rPr>
                <w:rFonts w:hint="eastAsia" w:ascii="宋体" w:hAnsi="宋体"/>
                <w:color w:val="auto"/>
                <w:szCs w:val="21"/>
                <w:highlight w:val="none"/>
              </w:rPr>
              <w:t>依法开展经营活动，近3年内在经营活动中无重大违法违规记录及重大违约事件；</w:t>
            </w:r>
          </w:p>
          <w:p w14:paraId="222B648C">
            <w:pPr>
              <w:numPr>
                <w:ilvl w:val="0"/>
                <w:numId w:val="7"/>
              </w:numPr>
              <w:spacing w:line="360" w:lineRule="exact"/>
              <w:ind w:firstLine="0"/>
              <w:rPr>
                <w:rFonts w:ascii="宋体" w:hAnsi="宋体" w:cs="Arial"/>
                <w:snapToGrid w:val="0"/>
                <w:color w:val="auto"/>
                <w:szCs w:val="21"/>
                <w:highlight w:val="none"/>
              </w:rPr>
            </w:pPr>
            <w:r>
              <w:rPr>
                <w:rFonts w:hint="eastAsia" w:ascii="宋体" w:hAnsi="宋体"/>
                <w:color w:val="auto"/>
                <w:szCs w:val="21"/>
                <w:highlight w:val="none"/>
              </w:rPr>
              <w:t>监管评级达到一定标准， 中国人民银行温州市分行关于2024年度在瑞银行业金融机构综合评价结果B级及以上单位。</w:t>
            </w:r>
          </w:p>
        </w:tc>
      </w:tr>
      <w:tr w14:paraId="5A0B2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78121834">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6</w:t>
            </w:r>
          </w:p>
        </w:tc>
        <w:tc>
          <w:tcPr>
            <w:tcW w:w="1488" w:type="dxa"/>
            <w:vAlign w:val="center"/>
          </w:tcPr>
          <w:p w14:paraId="2D5F50B0">
            <w:pPr>
              <w:spacing w:line="360" w:lineRule="exact"/>
              <w:jc w:val="center"/>
              <w:rPr>
                <w:rFonts w:ascii="宋体" w:hAnsi="宋体"/>
                <w:color w:val="auto"/>
                <w:szCs w:val="21"/>
                <w:highlight w:val="none"/>
              </w:rPr>
            </w:pPr>
            <w:r>
              <w:rPr>
                <w:rFonts w:hint="eastAsia" w:ascii="宋体" w:hAnsi="宋体"/>
                <w:color w:val="auto"/>
                <w:szCs w:val="21"/>
                <w:highlight w:val="none"/>
              </w:rPr>
              <w:t>是否接受</w:t>
            </w:r>
          </w:p>
          <w:p w14:paraId="247D1835">
            <w:pPr>
              <w:spacing w:line="360" w:lineRule="exact"/>
              <w:jc w:val="center"/>
              <w:rPr>
                <w:rFonts w:ascii="宋体" w:hAnsi="宋体"/>
                <w:color w:val="auto"/>
                <w:szCs w:val="21"/>
                <w:highlight w:val="none"/>
              </w:rPr>
            </w:pPr>
            <w:r>
              <w:rPr>
                <w:rFonts w:hint="eastAsia" w:ascii="宋体" w:hAnsi="宋体"/>
                <w:color w:val="auto"/>
                <w:szCs w:val="21"/>
                <w:highlight w:val="none"/>
              </w:rPr>
              <w:t>联合体投标</w:t>
            </w:r>
          </w:p>
        </w:tc>
        <w:tc>
          <w:tcPr>
            <w:tcW w:w="7346" w:type="dxa"/>
            <w:vAlign w:val="center"/>
          </w:tcPr>
          <w:p w14:paraId="01F92D3B">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fldChar w:fldCharType="begin"/>
            </w:r>
            <w:r>
              <w:rPr>
                <w:rFonts w:hint="eastAsia" w:ascii="宋体" w:hAnsi="宋体" w:cs="Arial"/>
                <w:snapToGrid w:val="0"/>
                <w:color w:val="auto"/>
                <w:szCs w:val="21"/>
                <w:highlight w:val="none"/>
              </w:rPr>
              <w:instrText xml:space="preserve"> eq \o\ac(□,√)</w:instrText>
            </w:r>
            <w:r>
              <w:rPr>
                <w:rFonts w:hint="eastAsia" w:ascii="宋体" w:hAnsi="宋体" w:cs="Arial"/>
                <w:snapToGrid w:val="0"/>
                <w:color w:val="auto"/>
                <w:szCs w:val="21"/>
                <w:highlight w:val="none"/>
              </w:rPr>
              <w:fldChar w:fldCharType="end"/>
            </w:r>
            <w:r>
              <w:rPr>
                <w:rFonts w:hint="eastAsia" w:ascii="宋体" w:hAnsi="宋体" w:cs="Arial"/>
                <w:snapToGrid w:val="0"/>
                <w:color w:val="auto"/>
                <w:szCs w:val="21"/>
                <w:highlight w:val="none"/>
              </w:rPr>
              <w:t xml:space="preserve"> 不接受</w:t>
            </w:r>
          </w:p>
          <w:p w14:paraId="7D1D2CA4">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 接受，应满足下列要求：</w:t>
            </w:r>
          </w:p>
        </w:tc>
      </w:tr>
      <w:tr w14:paraId="01E88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3743A55F">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7</w:t>
            </w:r>
          </w:p>
        </w:tc>
        <w:tc>
          <w:tcPr>
            <w:tcW w:w="1488" w:type="dxa"/>
            <w:vAlign w:val="center"/>
          </w:tcPr>
          <w:p w14:paraId="1E145392">
            <w:pPr>
              <w:spacing w:line="360" w:lineRule="exact"/>
              <w:jc w:val="center"/>
              <w:rPr>
                <w:rFonts w:ascii="宋体" w:hAnsi="宋体"/>
                <w:color w:val="auto"/>
                <w:szCs w:val="21"/>
                <w:highlight w:val="none"/>
              </w:rPr>
            </w:pPr>
            <w:r>
              <w:rPr>
                <w:rFonts w:hint="eastAsia" w:ascii="宋体" w:hAnsi="宋体"/>
                <w:color w:val="auto"/>
                <w:szCs w:val="21"/>
                <w:highlight w:val="none"/>
              </w:rPr>
              <w:t>是否允许递交</w:t>
            </w:r>
          </w:p>
          <w:p w14:paraId="7FD4B927">
            <w:pPr>
              <w:spacing w:line="360" w:lineRule="exact"/>
              <w:jc w:val="center"/>
              <w:rPr>
                <w:rFonts w:ascii="宋体" w:hAnsi="宋体"/>
                <w:color w:val="auto"/>
                <w:szCs w:val="21"/>
                <w:highlight w:val="none"/>
              </w:rPr>
            </w:pPr>
            <w:r>
              <w:rPr>
                <w:rFonts w:hint="eastAsia" w:ascii="宋体" w:hAnsi="宋体"/>
                <w:color w:val="auto"/>
                <w:szCs w:val="21"/>
                <w:highlight w:val="none"/>
              </w:rPr>
              <w:t>备选投标方案</w:t>
            </w:r>
          </w:p>
        </w:tc>
        <w:tc>
          <w:tcPr>
            <w:tcW w:w="7346" w:type="dxa"/>
            <w:vAlign w:val="center"/>
          </w:tcPr>
          <w:p w14:paraId="2798625C">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fldChar w:fldCharType="begin"/>
            </w:r>
            <w:r>
              <w:rPr>
                <w:rFonts w:hint="eastAsia" w:ascii="宋体" w:hAnsi="宋体" w:cs="Arial"/>
                <w:snapToGrid w:val="0"/>
                <w:color w:val="auto"/>
                <w:szCs w:val="21"/>
                <w:highlight w:val="none"/>
              </w:rPr>
              <w:instrText xml:space="preserve"> eq \o\ac(□,√)</w:instrText>
            </w:r>
            <w:r>
              <w:rPr>
                <w:rFonts w:hint="eastAsia" w:ascii="宋体" w:hAnsi="宋体" w:cs="Arial"/>
                <w:snapToGrid w:val="0"/>
                <w:color w:val="auto"/>
                <w:szCs w:val="21"/>
                <w:highlight w:val="none"/>
              </w:rPr>
              <w:fldChar w:fldCharType="end"/>
            </w:r>
            <w:r>
              <w:rPr>
                <w:rFonts w:hint="eastAsia" w:ascii="宋体" w:hAnsi="宋体" w:cs="Arial"/>
                <w:snapToGrid w:val="0"/>
                <w:color w:val="auto"/>
                <w:szCs w:val="21"/>
                <w:highlight w:val="none"/>
              </w:rPr>
              <w:t xml:space="preserve"> 不允许</w:t>
            </w:r>
          </w:p>
          <w:p w14:paraId="41348857">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 允许</w:t>
            </w:r>
          </w:p>
        </w:tc>
      </w:tr>
      <w:tr w14:paraId="44F2A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vAlign w:val="center"/>
          </w:tcPr>
          <w:p w14:paraId="0BF16AB2">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8</w:t>
            </w:r>
          </w:p>
        </w:tc>
        <w:tc>
          <w:tcPr>
            <w:tcW w:w="1488" w:type="dxa"/>
            <w:vAlign w:val="center"/>
          </w:tcPr>
          <w:p w14:paraId="7547D888">
            <w:pPr>
              <w:spacing w:line="360" w:lineRule="exact"/>
              <w:jc w:val="center"/>
              <w:rPr>
                <w:rFonts w:ascii="宋体" w:hAnsi="宋体"/>
                <w:color w:val="auto"/>
                <w:szCs w:val="21"/>
                <w:highlight w:val="none"/>
              </w:rPr>
            </w:pPr>
            <w:r>
              <w:rPr>
                <w:rFonts w:hint="eastAsia" w:ascii="宋体" w:hAnsi="宋体"/>
                <w:color w:val="auto"/>
                <w:szCs w:val="21"/>
                <w:highlight w:val="none"/>
              </w:rPr>
              <w:t>投标货币</w:t>
            </w:r>
          </w:p>
        </w:tc>
        <w:tc>
          <w:tcPr>
            <w:tcW w:w="7346" w:type="dxa"/>
            <w:vAlign w:val="center"/>
          </w:tcPr>
          <w:p w14:paraId="03BB6352">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人民币</w:t>
            </w:r>
          </w:p>
        </w:tc>
      </w:tr>
      <w:tr w14:paraId="22717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14:paraId="429B64ED">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9</w:t>
            </w:r>
          </w:p>
        </w:tc>
        <w:tc>
          <w:tcPr>
            <w:tcW w:w="1488" w:type="dxa"/>
            <w:vAlign w:val="center"/>
          </w:tcPr>
          <w:p w14:paraId="67969D2D">
            <w:pPr>
              <w:spacing w:line="360" w:lineRule="exact"/>
              <w:jc w:val="center"/>
              <w:rPr>
                <w:rFonts w:ascii="宋体" w:hAnsi="宋体"/>
                <w:color w:val="auto"/>
                <w:szCs w:val="21"/>
                <w:highlight w:val="none"/>
              </w:rPr>
            </w:pPr>
            <w:r>
              <w:rPr>
                <w:rFonts w:hint="eastAsia" w:ascii="宋体" w:hAnsi="宋体"/>
                <w:color w:val="auto"/>
                <w:szCs w:val="21"/>
                <w:highlight w:val="none"/>
              </w:rPr>
              <w:t>投标语言</w:t>
            </w:r>
          </w:p>
        </w:tc>
        <w:tc>
          <w:tcPr>
            <w:tcW w:w="7346" w:type="dxa"/>
            <w:vAlign w:val="center"/>
          </w:tcPr>
          <w:p w14:paraId="615F8205">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中文</w:t>
            </w:r>
          </w:p>
        </w:tc>
      </w:tr>
      <w:tr w14:paraId="7C9CA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14:paraId="4CAD0C23">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10</w:t>
            </w:r>
          </w:p>
        </w:tc>
        <w:tc>
          <w:tcPr>
            <w:tcW w:w="1488" w:type="dxa"/>
            <w:vAlign w:val="center"/>
          </w:tcPr>
          <w:p w14:paraId="1703523B">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投标文件份数</w:t>
            </w:r>
          </w:p>
        </w:tc>
        <w:tc>
          <w:tcPr>
            <w:tcW w:w="7346" w:type="dxa"/>
            <w:vAlign w:val="center"/>
          </w:tcPr>
          <w:p w14:paraId="10B77E90">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本项目实行电子投标系统。中标人在领取中标通知书时提供全套纸质投标文件一正三副。</w:t>
            </w:r>
          </w:p>
        </w:tc>
      </w:tr>
      <w:tr w14:paraId="62488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4206D5CD">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11</w:t>
            </w:r>
          </w:p>
        </w:tc>
        <w:tc>
          <w:tcPr>
            <w:tcW w:w="1488" w:type="dxa"/>
            <w:vAlign w:val="center"/>
          </w:tcPr>
          <w:p w14:paraId="6BC62210">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投标有效期</w:t>
            </w:r>
          </w:p>
        </w:tc>
        <w:tc>
          <w:tcPr>
            <w:tcW w:w="7346" w:type="dxa"/>
            <w:vAlign w:val="center"/>
          </w:tcPr>
          <w:p w14:paraId="3E3AA764">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提交投标文件截止日起90天内</w:t>
            </w:r>
          </w:p>
        </w:tc>
      </w:tr>
      <w:tr w14:paraId="15E80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1CA96A69">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12</w:t>
            </w:r>
          </w:p>
        </w:tc>
        <w:tc>
          <w:tcPr>
            <w:tcW w:w="1488" w:type="dxa"/>
            <w:vAlign w:val="center"/>
          </w:tcPr>
          <w:p w14:paraId="1999961F">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签字或盖章要求</w:t>
            </w:r>
          </w:p>
        </w:tc>
        <w:tc>
          <w:tcPr>
            <w:tcW w:w="7346" w:type="dxa"/>
            <w:vAlign w:val="center"/>
          </w:tcPr>
          <w:p w14:paraId="0DDE6C0D">
            <w:pPr>
              <w:spacing w:line="360" w:lineRule="exact"/>
              <w:rPr>
                <w:color w:val="auto"/>
                <w:highlight w:val="none"/>
              </w:rPr>
            </w:pPr>
            <w:r>
              <w:rPr>
                <w:rFonts w:hint="eastAsia" w:ascii="宋体" w:hAnsi="宋体" w:cs="Arial"/>
                <w:snapToGrid w:val="0"/>
                <w:color w:val="auto"/>
                <w:szCs w:val="21"/>
                <w:highlight w:val="none"/>
              </w:rPr>
              <w:t>投标文件中所须加盖公章部分均采用CA电子签章或投标人公章，不得使用投标专用章、合同章等类似图章代替；所涉及法定代表人或授权代表的签字（或盖章）均按投标文件要求由法定代表人或授权代表本人签字（或盖章）。</w:t>
            </w:r>
          </w:p>
        </w:tc>
      </w:tr>
      <w:tr w14:paraId="10F2C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645" w:type="dxa"/>
            <w:vAlign w:val="center"/>
          </w:tcPr>
          <w:p w14:paraId="39B7BBB2">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13</w:t>
            </w:r>
          </w:p>
        </w:tc>
        <w:tc>
          <w:tcPr>
            <w:tcW w:w="1488" w:type="dxa"/>
            <w:vAlign w:val="center"/>
          </w:tcPr>
          <w:p w14:paraId="2B700E2A">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招标文件获取时间</w:t>
            </w:r>
          </w:p>
        </w:tc>
        <w:tc>
          <w:tcPr>
            <w:tcW w:w="7346" w:type="dxa"/>
            <w:vAlign w:val="center"/>
          </w:tcPr>
          <w:p w14:paraId="7A8FA35D">
            <w:pPr>
              <w:spacing w:line="360" w:lineRule="exact"/>
              <w:rPr>
                <w:rFonts w:ascii="宋体" w:hAnsi="宋体" w:cs="Arial"/>
                <w:snapToGrid w:val="0"/>
                <w:color w:val="auto"/>
                <w:szCs w:val="21"/>
                <w:highlight w:val="none"/>
              </w:rPr>
            </w:pPr>
            <w:r>
              <w:rPr>
                <w:rFonts w:hint="eastAsia" w:ascii="宋体" w:hAnsi="宋体" w:cs="宋体"/>
                <w:color w:val="auto"/>
                <w:highlight w:val="none"/>
                <w:lang w:eastAsia="zh-CN"/>
              </w:rPr>
              <w:t>2025年6月11日</w:t>
            </w:r>
            <w:r>
              <w:rPr>
                <w:rFonts w:hint="eastAsia" w:ascii="宋体" w:hAnsi="宋体" w:cs="宋体"/>
                <w:color w:val="auto"/>
                <w:highlight w:val="none"/>
              </w:rPr>
              <w:t>上午</w:t>
            </w:r>
            <w:r>
              <w:rPr>
                <w:rFonts w:ascii="宋体" w:hAnsi="宋体" w:cs="宋体"/>
                <w:color w:val="auto"/>
                <w:highlight w:val="none"/>
              </w:rPr>
              <w:t>8:30</w:t>
            </w:r>
            <w:r>
              <w:rPr>
                <w:rFonts w:hint="eastAsia" w:ascii="宋体" w:hAnsi="宋体" w:cs="宋体"/>
                <w:color w:val="auto"/>
                <w:highlight w:val="none"/>
              </w:rPr>
              <w:t>至</w:t>
            </w:r>
            <w:r>
              <w:rPr>
                <w:rFonts w:hint="eastAsia" w:ascii="宋体" w:hAnsi="宋体" w:cs="宋体"/>
                <w:color w:val="auto"/>
                <w:highlight w:val="none"/>
                <w:lang w:eastAsia="zh-CN"/>
              </w:rPr>
              <w:t>2025年6月18日</w:t>
            </w:r>
            <w:r>
              <w:rPr>
                <w:rFonts w:hint="eastAsia" w:ascii="宋体" w:hAnsi="宋体" w:cs="宋体"/>
                <w:color w:val="auto"/>
                <w:highlight w:val="none"/>
              </w:rPr>
              <w:t>下午17</w:t>
            </w:r>
            <w:r>
              <w:rPr>
                <w:rFonts w:ascii="宋体" w:hAnsi="宋体" w:cs="宋体"/>
                <w:color w:val="auto"/>
                <w:highlight w:val="none"/>
              </w:rPr>
              <w:t>:</w:t>
            </w:r>
            <w:r>
              <w:rPr>
                <w:rFonts w:hint="eastAsia" w:ascii="宋体" w:hAnsi="宋体" w:cs="宋体"/>
                <w:color w:val="auto"/>
                <w:highlight w:val="none"/>
              </w:rPr>
              <w:t>00。</w:t>
            </w:r>
          </w:p>
        </w:tc>
      </w:tr>
      <w:tr w14:paraId="67413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2" w:hRule="atLeast"/>
          <w:jc w:val="center"/>
        </w:trPr>
        <w:tc>
          <w:tcPr>
            <w:tcW w:w="645" w:type="dxa"/>
            <w:vAlign w:val="center"/>
          </w:tcPr>
          <w:p w14:paraId="6AEB8DAB">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14</w:t>
            </w:r>
          </w:p>
        </w:tc>
        <w:tc>
          <w:tcPr>
            <w:tcW w:w="1488" w:type="dxa"/>
            <w:vAlign w:val="center"/>
          </w:tcPr>
          <w:p w14:paraId="55C4B3E3">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投标截止时间</w:t>
            </w:r>
          </w:p>
        </w:tc>
        <w:tc>
          <w:tcPr>
            <w:tcW w:w="7346" w:type="dxa"/>
            <w:vAlign w:val="center"/>
          </w:tcPr>
          <w:p w14:paraId="60AC68DE">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lang w:eastAsia="zh-CN"/>
              </w:rPr>
              <w:t>2025年6月19日</w:t>
            </w:r>
            <w:r>
              <w:rPr>
                <w:rFonts w:hint="eastAsia" w:ascii="宋体" w:hAnsi="宋体" w:cs="Arial"/>
                <w:snapToGrid w:val="0"/>
                <w:color w:val="auto"/>
                <w:szCs w:val="21"/>
                <w:highlight w:val="none"/>
              </w:rPr>
              <w:t>上午09:00止(北京时间)</w:t>
            </w:r>
          </w:p>
        </w:tc>
      </w:tr>
      <w:tr w14:paraId="139F6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6E8973CF">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15</w:t>
            </w:r>
          </w:p>
        </w:tc>
        <w:tc>
          <w:tcPr>
            <w:tcW w:w="1488" w:type="dxa"/>
            <w:vAlign w:val="center"/>
          </w:tcPr>
          <w:p w14:paraId="357604A7">
            <w:pPr>
              <w:spacing w:line="360" w:lineRule="exact"/>
              <w:jc w:val="center"/>
              <w:rPr>
                <w:rFonts w:ascii="宋体" w:hAnsi="宋体"/>
                <w:color w:val="auto"/>
                <w:szCs w:val="21"/>
                <w:highlight w:val="none"/>
              </w:rPr>
            </w:pPr>
            <w:r>
              <w:rPr>
                <w:rFonts w:hint="eastAsia" w:ascii="宋体" w:hAnsi="宋体"/>
                <w:color w:val="auto"/>
                <w:szCs w:val="21"/>
                <w:highlight w:val="none"/>
              </w:rPr>
              <w:t>投标文件递交</w:t>
            </w:r>
          </w:p>
          <w:p w14:paraId="654C6B3F">
            <w:pPr>
              <w:spacing w:line="360" w:lineRule="exact"/>
              <w:jc w:val="center"/>
              <w:rPr>
                <w:rFonts w:ascii="宋体" w:hAnsi="宋体" w:cs="Arial"/>
                <w:color w:val="auto"/>
                <w:szCs w:val="21"/>
                <w:highlight w:val="none"/>
              </w:rPr>
            </w:pPr>
            <w:r>
              <w:rPr>
                <w:rFonts w:hint="eastAsia" w:ascii="宋体" w:hAnsi="宋体"/>
                <w:color w:val="auto"/>
                <w:szCs w:val="21"/>
                <w:highlight w:val="none"/>
              </w:rPr>
              <w:t>时间及地点</w:t>
            </w:r>
          </w:p>
        </w:tc>
        <w:tc>
          <w:tcPr>
            <w:tcW w:w="7346" w:type="dxa"/>
            <w:vAlign w:val="center"/>
          </w:tcPr>
          <w:p w14:paraId="7D15A6C1">
            <w:pPr>
              <w:spacing w:line="360" w:lineRule="exact"/>
              <w:rPr>
                <w:rFonts w:ascii="宋体" w:hAnsi="宋体" w:cs="Arial"/>
                <w:snapToGrid w:val="0"/>
                <w:color w:val="auto"/>
                <w:szCs w:val="21"/>
                <w:highlight w:val="none"/>
              </w:rPr>
            </w:pPr>
            <w:r>
              <w:rPr>
                <w:rFonts w:hint="eastAsia" w:ascii="宋体" w:hAnsi="宋体" w:cs="Arial"/>
                <w:snapToGrid w:val="0"/>
                <w:color w:val="auto"/>
                <w:szCs w:val="21"/>
                <w:highlight w:val="none"/>
              </w:rPr>
              <w:t>时间：</w:t>
            </w:r>
            <w:r>
              <w:rPr>
                <w:rFonts w:hint="eastAsia" w:ascii="宋体" w:hAnsi="宋体" w:cs="Arial"/>
                <w:snapToGrid w:val="0"/>
                <w:color w:val="auto"/>
                <w:szCs w:val="21"/>
                <w:highlight w:val="none"/>
                <w:lang w:eastAsia="zh-CN"/>
              </w:rPr>
              <w:t>2025年6月19日</w:t>
            </w:r>
            <w:r>
              <w:rPr>
                <w:rFonts w:hint="eastAsia" w:ascii="宋体" w:hAnsi="宋体" w:cs="Arial"/>
                <w:snapToGrid w:val="0"/>
                <w:color w:val="auto"/>
                <w:szCs w:val="21"/>
                <w:highlight w:val="none"/>
              </w:rPr>
              <w:t>上午09:00止；</w:t>
            </w:r>
          </w:p>
          <w:p w14:paraId="5BB28178">
            <w:pPr>
              <w:spacing w:line="360" w:lineRule="exact"/>
              <w:rPr>
                <w:rFonts w:ascii="宋体" w:hAnsi="宋体"/>
                <w:b/>
                <w:color w:val="auto"/>
                <w:highlight w:val="none"/>
              </w:rPr>
            </w:pPr>
            <w:r>
              <w:rPr>
                <w:rFonts w:hint="eastAsia" w:ascii="宋体" w:hAnsi="宋体" w:cs="Arial"/>
                <w:snapToGrid w:val="0"/>
                <w:color w:val="auto"/>
                <w:szCs w:val="21"/>
                <w:highlight w:val="none"/>
              </w:rPr>
              <w:t>地点：</w:t>
            </w:r>
            <w:r>
              <w:rPr>
                <w:rFonts w:hint="eastAsia" w:ascii="宋体" w:hAnsi="宋体"/>
                <w:b/>
                <w:color w:val="auto"/>
                <w:highlight w:val="none"/>
              </w:rPr>
              <w:t>政府采购云平台（https://www.zcygov.cn）。</w:t>
            </w:r>
          </w:p>
        </w:tc>
      </w:tr>
      <w:tr w14:paraId="6A3F3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406FA5C5">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16</w:t>
            </w:r>
          </w:p>
        </w:tc>
        <w:tc>
          <w:tcPr>
            <w:tcW w:w="1488" w:type="dxa"/>
            <w:vAlign w:val="center"/>
          </w:tcPr>
          <w:p w14:paraId="0670FF67">
            <w:pPr>
              <w:spacing w:line="360" w:lineRule="exact"/>
              <w:jc w:val="center"/>
              <w:rPr>
                <w:rFonts w:ascii="宋体" w:cs="Arial"/>
                <w:snapToGrid w:val="0"/>
                <w:color w:val="auto"/>
                <w:kern w:val="0"/>
                <w:szCs w:val="21"/>
                <w:highlight w:val="none"/>
              </w:rPr>
            </w:pPr>
            <w:r>
              <w:rPr>
                <w:rFonts w:hint="eastAsia" w:ascii="宋体" w:hAnsi="宋体" w:cs="Arial"/>
                <w:snapToGrid w:val="0"/>
                <w:color w:val="auto"/>
                <w:kern w:val="0"/>
                <w:szCs w:val="21"/>
                <w:highlight w:val="none"/>
              </w:rPr>
              <w:t>投标人疑问</w:t>
            </w:r>
          </w:p>
          <w:p w14:paraId="46456723">
            <w:pPr>
              <w:spacing w:line="360" w:lineRule="exact"/>
              <w:jc w:val="center"/>
              <w:rPr>
                <w:rFonts w:ascii="宋体" w:cs="Arial"/>
                <w:snapToGrid w:val="0"/>
                <w:color w:val="auto"/>
                <w:kern w:val="0"/>
                <w:szCs w:val="21"/>
                <w:highlight w:val="none"/>
              </w:rPr>
            </w:pPr>
            <w:r>
              <w:rPr>
                <w:rFonts w:hint="eastAsia" w:ascii="宋体" w:hAnsi="宋体" w:cs="Arial"/>
                <w:snapToGrid w:val="0"/>
                <w:color w:val="auto"/>
                <w:kern w:val="0"/>
                <w:szCs w:val="21"/>
                <w:highlight w:val="none"/>
              </w:rPr>
              <w:t>递交（如有）</w:t>
            </w:r>
          </w:p>
        </w:tc>
        <w:tc>
          <w:tcPr>
            <w:tcW w:w="7346" w:type="dxa"/>
            <w:vAlign w:val="center"/>
          </w:tcPr>
          <w:p w14:paraId="375F9A4B">
            <w:pPr>
              <w:spacing w:line="360" w:lineRule="exact"/>
              <w:rPr>
                <w:rFonts w:ascii="Arial" w:hAnsi="Arial" w:cs="Arial"/>
                <w:snapToGrid w:val="0"/>
                <w:color w:val="auto"/>
                <w:kern w:val="0"/>
                <w:szCs w:val="21"/>
                <w:highlight w:val="none"/>
              </w:rPr>
            </w:pPr>
            <w:r>
              <w:rPr>
                <w:rFonts w:hint="eastAsia" w:ascii="宋体" w:hAnsi="宋体" w:cs="宋体"/>
                <w:color w:val="auto"/>
                <w:highlight w:val="none"/>
              </w:rPr>
              <w:t>投标人对招标文件如有疑问，请在</w:t>
            </w:r>
            <w:r>
              <w:rPr>
                <w:rFonts w:hint="eastAsia" w:ascii="宋体" w:hAnsi="宋体" w:cs="Arial"/>
                <w:snapToGrid w:val="0"/>
                <w:color w:val="auto"/>
                <w:szCs w:val="21"/>
                <w:highlight w:val="none"/>
                <w:lang w:eastAsia="zh-CN"/>
              </w:rPr>
              <w:t>2025年6月18日</w:t>
            </w:r>
            <w:r>
              <w:rPr>
                <w:rFonts w:hint="eastAsia" w:ascii="宋体" w:hAnsi="宋体" w:cs="宋体"/>
                <w:color w:val="auto"/>
                <w:highlight w:val="none"/>
              </w:rPr>
              <w:t>下午17：00前以书面形式送达或传真至：浙江瑞扬工程咨询招标代理股份有限公司（瑞安市安福路28号三楼），林慧：15857781500，传真：</w:t>
            </w:r>
            <w:r>
              <w:rPr>
                <w:rFonts w:hint="eastAsia" w:ascii="宋体" w:hAnsi="宋体" w:cs="宋体"/>
                <w:color w:val="auto"/>
                <w:szCs w:val="21"/>
                <w:highlight w:val="none"/>
              </w:rPr>
              <w:t>0577-65802277</w:t>
            </w:r>
            <w:r>
              <w:rPr>
                <w:rFonts w:hint="eastAsia" w:ascii="宋体" w:hAnsi="宋体" w:cs="宋体"/>
                <w:color w:val="auto"/>
                <w:highlight w:val="none"/>
              </w:rPr>
              <w:t>。逾期未送达，则视为对招标文件无质疑。</w:t>
            </w:r>
          </w:p>
        </w:tc>
      </w:tr>
      <w:tr w14:paraId="20A77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3" w:hRule="atLeast"/>
          <w:jc w:val="center"/>
        </w:trPr>
        <w:tc>
          <w:tcPr>
            <w:tcW w:w="645" w:type="dxa"/>
            <w:vAlign w:val="center"/>
          </w:tcPr>
          <w:p w14:paraId="17D75996">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17</w:t>
            </w:r>
          </w:p>
        </w:tc>
        <w:tc>
          <w:tcPr>
            <w:tcW w:w="1488" w:type="dxa"/>
            <w:vAlign w:val="center"/>
          </w:tcPr>
          <w:p w14:paraId="42F9D9AE">
            <w:pPr>
              <w:spacing w:line="360" w:lineRule="exact"/>
              <w:jc w:val="center"/>
              <w:rPr>
                <w:rFonts w:ascii="宋体" w:hAnsi="宋体" w:cs="仿宋_GB2312"/>
                <w:color w:val="auto"/>
                <w:szCs w:val="21"/>
                <w:highlight w:val="none"/>
              </w:rPr>
            </w:pPr>
            <w:r>
              <w:rPr>
                <w:rFonts w:hint="eastAsia" w:ascii="宋体" w:hAnsi="宋体" w:cs="仿宋_GB2312"/>
                <w:color w:val="auto"/>
                <w:szCs w:val="21"/>
                <w:highlight w:val="none"/>
              </w:rPr>
              <w:t>招标人书面澄清的时间</w:t>
            </w:r>
          </w:p>
        </w:tc>
        <w:tc>
          <w:tcPr>
            <w:tcW w:w="7346" w:type="dxa"/>
            <w:vAlign w:val="center"/>
          </w:tcPr>
          <w:p w14:paraId="658BE255">
            <w:pPr>
              <w:spacing w:line="360" w:lineRule="exact"/>
              <w:rPr>
                <w:rFonts w:ascii="宋体" w:hAnsi="宋体" w:cs="宋体"/>
                <w:color w:val="auto"/>
                <w:highlight w:val="none"/>
              </w:rPr>
            </w:pPr>
            <w:r>
              <w:rPr>
                <w:rFonts w:hint="eastAsia" w:ascii="宋体" w:hAnsi="宋体" w:cs="宋体"/>
                <w:color w:val="auto"/>
                <w:highlight w:val="none"/>
              </w:rPr>
              <w:t>采购代理机构对规定时间以前收到的任何澄清视情况以书面形式予以答复。</w:t>
            </w:r>
          </w:p>
        </w:tc>
      </w:tr>
      <w:tr w14:paraId="5842F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08" w:hRule="atLeast"/>
          <w:jc w:val="center"/>
        </w:trPr>
        <w:tc>
          <w:tcPr>
            <w:tcW w:w="645" w:type="dxa"/>
            <w:vAlign w:val="center"/>
          </w:tcPr>
          <w:p w14:paraId="25F501CF">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18</w:t>
            </w:r>
          </w:p>
        </w:tc>
        <w:tc>
          <w:tcPr>
            <w:tcW w:w="1488" w:type="dxa"/>
            <w:vAlign w:val="center"/>
          </w:tcPr>
          <w:p w14:paraId="024952ED">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开标时间</w:t>
            </w:r>
          </w:p>
          <w:p w14:paraId="38582228">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开标地点</w:t>
            </w:r>
          </w:p>
        </w:tc>
        <w:tc>
          <w:tcPr>
            <w:tcW w:w="7346" w:type="dxa"/>
            <w:vAlign w:val="center"/>
          </w:tcPr>
          <w:p w14:paraId="185D38D1">
            <w:pPr>
              <w:spacing w:line="360" w:lineRule="exact"/>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Arial"/>
                <w:snapToGrid w:val="0"/>
                <w:color w:val="auto"/>
                <w:szCs w:val="21"/>
                <w:highlight w:val="none"/>
                <w:lang w:eastAsia="zh-CN"/>
              </w:rPr>
              <w:t>2025年6月19日</w:t>
            </w:r>
            <w:r>
              <w:rPr>
                <w:rFonts w:hint="eastAsia" w:ascii="宋体" w:hAnsi="宋体" w:cs="Arial"/>
                <w:snapToGrid w:val="0"/>
                <w:color w:val="auto"/>
                <w:szCs w:val="21"/>
                <w:highlight w:val="none"/>
              </w:rPr>
              <w:t>上午09:00</w:t>
            </w:r>
            <w:r>
              <w:rPr>
                <w:rFonts w:hint="eastAsia" w:ascii="宋体" w:hAnsi="宋体" w:cs="宋体"/>
                <w:color w:val="auto"/>
                <w:highlight w:val="none"/>
              </w:rPr>
              <w:t>整(北京时间)</w:t>
            </w:r>
          </w:p>
          <w:p w14:paraId="54574F85">
            <w:pPr>
              <w:spacing w:line="360" w:lineRule="exact"/>
              <w:rPr>
                <w:rFonts w:ascii="宋体" w:hAnsi="宋体" w:cs="宋体"/>
                <w:color w:val="auto"/>
                <w:highlight w:val="none"/>
              </w:rPr>
            </w:pPr>
            <w:r>
              <w:rPr>
                <w:rFonts w:hint="eastAsia" w:ascii="宋体" w:hAnsi="宋体" w:cs="宋体"/>
                <w:color w:val="auto"/>
                <w:highlight w:val="none"/>
              </w:rPr>
              <w:t>开标地点：政府采购云平台（https://www.zcygov.cn）（线上）；瑞安市公共资源交易中心（瑞安市阳光路155号国投大厦北首3层（原东门车站））（线下），投标人无须派人员到现场出席。</w:t>
            </w:r>
          </w:p>
        </w:tc>
      </w:tr>
      <w:tr w14:paraId="0EEE0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14:paraId="5B01CBD3">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19</w:t>
            </w:r>
          </w:p>
        </w:tc>
        <w:tc>
          <w:tcPr>
            <w:tcW w:w="1488" w:type="dxa"/>
            <w:vAlign w:val="center"/>
          </w:tcPr>
          <w:p w14:paraId="180127B6">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开标程序</w:t>
            </w:r>
          </w:p>
        </w:tc>
        <w:tc>
          <w:tcPr>
            <w:tcW w:w="7346" w:type="dxa"/>
            <w:vAlign w:val="center"/>
          </w:tcPr>
          <w:p w14:paraId="2A6F0F1F">
            <w:pPr>
              <w:pStyle w:val="33"/>
              <w:numPr>
                <w:ilvl w:val="0"/>
                <w:numId w:val="8"/>
              </w:numPr>
              <w:spacing w:line="360" w:lineRule="exact"/>
              <w:ind w:left="0" w:firstLine="0" w:firstLineChars="0"/>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olor w:val="auto"/>
                <w:szCs w:val="21"/>
                <w:highlight w:val="none"/>
              </w:rPr>
              <w:t>投标截止时间止</w:t>
            </w:r>
            <w:r>
              <w:rPr>
                <w:rFonts w:hint="eastAsia" w:ascii="宋体" w:hAnsi="宋体"/>
                <w:color w:val="auto"/>
                <w:szCs w:val="21"/>
                <w:highlight w:val="none"/>
              </w:rPr>
              <w:t>，在政采云平台开启投标文件。</w:t>
            </w:r>
          </w:p>
          <w:p w14:paraId="293B0CB5">
            <w:pPr>
              <w:pStyle w:val="33"/>
              <w:numPr>
                <w:ilvl w:val="0"/>
                <w:numId w:val="8"/>
              </w:numPr>
              <w:spacing w:line="360" w:lineRule="exact"/>
              <w:ind w:left="0" w:firstLine="0" w:firstLineChars="0"/>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color w:val="auto"/>
                <w:szCs w:val="21"/>
                <w:highlight w:val="none"/>
              </w:rPr>
              <w:t>开标后，投标人代表完整填写《采购活动现场确认声明书》（详见本须知附表一）并签字后扫描，以电子邮件方式提交至采购代理机构指定邮箱（342286070@qq.com）。</w:t>
            </w:r>
          </w:p>
          <w:p w14:paraId="55649FF5">
            <w:pPr>
              <w:pStyle w:val="33"/>
              <w:numPr>
                <w:ilvl w:val="0"/>
                <w:numId w:val="8"/>
              </w:numPr>
              <w:spacing w:line="360" w:lineRule="exact"/>
              <w:ind w:left="0" w:firstLine="0" w:firstLineChars="0"/>
              <w:rPr>
                <w:rFonts w:ascii="宋体" w:hAnsi="宋体"/>
                <w:color w:val="auto"/>
                <w:szCs w:val="21"/>
                <w:highlight w:val="none"/>
              </w:rPr>
            </w:pPr>
            <w:r>
              <w:rPr>
                <w:rFonts w:hint="eastAsia" w:ascii="宋体" w:hAnsi="宋体"/>
                <w:color w:val="auto"/>
                <w:szCs w:val="21"/>
                <w:highlight w:val="none"/>
              </w:rPr>
              <w:t>评标委员会对投标文件进行综合评分，按照评审得分由高到低顺序推荐中标候选人。</w:t>
            </w:r>
          </w:p>
          <w:p w14:paraId="2035BCDD">
            <w:pPr>
              <w:pStyle w:val="33"/>
              <w:numPr>
                <w:ilvl w:val="0"/>
                <w:numId w:val="8"/>
              </w:numPr>
              <w:spacing w:line="360" w:lineRule="exact"/>
              <w:ind w:left="0" w:firstLine="0" w:firstLineChars="0"/>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olor w:val="auto"/>
                <w:szCs w:val="21"/>
                <w:highlight w:val="none"/>
                <w:lang w:eastAsia="zh-CN"/>
              </w:rPr>
              <w:t>公布评审结果</w:t>
            </w:r>
            <w:r>
              <w:rPr>
                <w:rFonts w:hint="eastAsia" w:ascii="宋体" w:hAnsi="宋体"/>
                <w:color w:val="auto"/>
                <w:szCs w:val="21"/>
                <w:highlight w:val="none"/>
              </w:rPr>
              <w:t>。</w:t>
            </w:r>
          </w:p>
          <w:p w14:paraId="4A229109">
            <w:pPr>
              <w:pStyle w:val="33"/>
              <w:numPr>
                <w:ilvl w:val="0"/>
                <w:numId w:val="8"/>
              </w:numPr>
              <w:spacing w:line="360" w:lineRule="exact"/>
              <w:ind w:left="0" w:firstLine="0" w:firstLineChars="0"/>
              <w:rPr>
                <w:rFonts w:ascii="宋体" w:hAnsi="宋体"/>
                <w:color w:val="auto"/>
                <w:szCs w:val="21"/>
                <w:highlight w:val="none"/>
              </w:rPr>
            </w:pPr>
            <w:r>
              <w:rPr>
                <w:rFonts w:hint="eastAsia" w:ascii="宋体" w:hAnsi="宋体"/>
                <w:color w:val="auto"/>
                <w:szCs w:val="21"/>
                <w:highlight w:val="none"/>
              </w:rPr>
              <w:t>开标会议结束。</w:t>
            </w:r>
          </w:p>
        </w:tc>
      </w:tr>
      <w:tr w14:paraId="321BA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14:paraId="3D7E84E5">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20</w:t>
            </w:r>
          </w:p>
        </w:tc>
        <w:tc>
          <w:tcPr>
            <w:tcW w:w="1488" w:type="dxa"/>
            <w:vAlign w:val="center"/>
          </w:tcPr>
          <w:p w14:paraId="69AA0232">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评标委员会</w:t>
            </w:r>
          </w:p>
          <w:p w14:paraId="3BA10810">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的组建</w:t>
            </w:r>
          </w:p>
        </w:tc>
        <w:tc>
          <w:tcPr>
            <w:tcW w:w="7346" w:type="dxa"/>
            <w:vAlign w:val="center"/>
          </w:tcPr>
          <w:p w14:paraId="7D9007DB">
            <w:pPr>
              <w:spacing w:line="360" w:lineRule="exact"/>
              <w:rPr>
                <w:rFonts w:ascii="宋体" w:hAnsi="宋体" w:cs="Arial"/>
                <w:color w:val="auto"/>
                <w:szCs w:val="21"/>
                <w:highlight w:val="none"/>
              </w:rPr>
            </w:pPr>
            <w:r>
              <w:rPr>
                <w:rFonts w:hint="eastAsia" w:ascii="宋体" w:hAnsi="宋体" w:cs="Arial"/>
                <w:color w:val="auto"/>
                <w:szCs w:val="21"/>
                <w:highlight w:val="none"/>
              </w:rPr>
              <w:t>评标委员会构成：应按规定建立5人及以上单数人员组成的评标委员会，评标委员会应当由单位内部成员和外部专家共同组成。外部专家比例不低于60%。</w:t>
            </w:r>
          </w:p>
        </w:tc>
      </w:tr>
      <w:tr w14:paraId="6A204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14:paraId="321BB2E7">
            <w:pPr>
              <w:spacing w:line="360" w:lineRule="exact"/>
              <w:jc w:val="center"/>
              <w:rPr>
                <w:rFonts w:ascii="宋体" w:hAnsi="宋体" w:cs="Arial"/>
                <w:color w:val="auto"/>
                <w:szCs w:val="21"/>
                <w:highlight w:val="none"/>
              </w:rPr>
            </w:pPr>
            <w:r>
              <w:rPr>
                <w:rFonts w:hint="eastAsia" w:ascii="宋体" w:hAnsi="宋体" w:cs="Arial"/>
                <w:color w:val="auto"/>
                <w:szCs w:val="21"/>
                <w:highlight w:val="none"/>
              </w:rPr>
              <w:t>21</w:t>
            </w:r>
          </w:p>
        </w:tc>
        <w:tc>
          <w:tcPr>
            <w:tcW w:w="1488" w:type="dxa"/>
            <w:vAlign w:val="center"/>
          </w:tcPr>
          <w:p w14:paraId="0B3BE51A">
            <w:pPr>
              <w:spacing w:line="360" w:lineRule="exact"/>
              <w:jc w:val="center"/>
              <w:rPr>
                <w:color w:val="auto"/>
                <w:highlight w:val="none"/>
              </w:rPr>
            </w:pPr>
            <w:r>
              <w:rPr>
                <w:rFonts w:hint="eastAsia" w:ascii="宋体" w:hAnsi="宋体" w:cs="Arial"/>
                <w:color w:val="auto"/>
                <w:highlight w:val="none"/>
              </w:rPr>
              <w:t>解释权</w:t>
            </w:r>
          </w:p>
        </w:tc>
        <w:tc>
          <w:tcPr>
            <w:tcW w:w="7346" w:type="dxa"/>
            <w:vAlign w:val="center"/>
          </w:tcPr>
          <w:p w14:paraId="168FA1B1">
            <w:pPr>
              <w:spacing w:line="360" w:lineRule="exact"/>
              <w:rPr>
                <w:color w:val="auto"/>
                <w:highlight w:val="none"/>
              </w:rPr>
            </w:pPr>
            <w:r>
              <w:rPr>
                <w:rFonts w:ascii="Arial" w:hAnsi="宋体" w:cs="Arial"/>
                <w:color w:val="auto"/>
                <w:szCs w:val="21"/>
                <w:highlight w:val="none"/>
              </w:rPr>
              <w:t>构成本招标文件的各个组成文件应互为解释，互为说明；如有不明确或不一致的，由招标采购单位负责解释</w:t>
            </w:r>
            <w:r>
              <w:rPr>
                <w:rFonts w:hint="eastAsia" w:ascii="Arial" w:hAnsi="宋体" w:cs="Arial"/>
                <w:color w:val="auto"/>
                <w:szCs w:val="21"/>
                <w:highlight w:val="none"/>
              </w:rPr>
              <w:t>。</w:t>
            </w:r>
          </w:p>
        </w:tc>
      </w:tr>
    </w:tbl>
    <w:p w14:paraId="738A5757">
      <w:pPr>
        <w:pStyle w:val="3"/>
        <w:keepLines w:val="0"/>
        <w:pageBreakBefore/>
        <w:spacing w:beforeLines="100" w:afterLines="100"/>
        <w:rPr>
          <w:rFonts w:hAnsi="宋体"/>
          <w:color w:val="auto"/>
          <w:sz w:val="28"/>
          <w:szCs w:val="28"/>
          <w:highlight w:val="none"/>
        </w:rPr>
      </w:pPr>
      <w:bookmarkStart w:id="48" w:name="_Toc28960"/>
      <w:bookmarkStart w:id="49" w:name="_Toc24209"/>
      <w:bookmarkStart w:id="50" w:name="_Toc11467"/>
      <w:bookmarkStart w:id="51" w:name="_Toc19030"/>
      <w:bookmarkStart w:id="52" w:name="_Toc405556609"/>
      <w:r>
        <w:rPr>
          <w:rFonts w:hint="eastAsia" w:ascii="宋体" w:hAnsi="宋体"/>
          <w:b w:val="0"/>
          <w:color w:val="auto"/>
          <w:sz w:val="28"/>
          <w:szCs w:val="28"/>
          <w:highlight w:val="none"/>
        </w:rPr>
        <w:t>附表一采购活动现场确认声明书</w:t>
      </w:r>
      <w:bookmarkEnd w:id="48"/>
    </w:p>
    <w:p w14:paraId="35727243">
      <w:pPr>
        <w:pStyle w:val="36"/>
        <w:snapToGrid w:val="0"/>
        <w:spacing w:beforeLines="0" w:afterLines="0" w:line="460" w:lineRule="exact"/>
        <w:ind w:firstLine="420" w:firstLineChars="200"/>
        <w:rPr>
          <w:rFonts w:hAnsi="宋体"/>
          <w:b/>
          <w:color w:val="auto"/>
          <w:sz w:val="21"/>
          <w:szCs w:val="21"/>
          <w:highlight w:val="none"/>
        </w:rPr>
      </w:pPr>
      <w:r>
        <w:rPr>
          <w:rFonts w:hint="eastAsia" w:hAnsi="宋体"/>
          <w:color w:val="auto"/>
          <w:kern w:val="0"/>
          <w:sz w:val="21"/>
          <w:szCs w:val="21"/>
          <w:highlight w:val="none"/>
          <w:u w:val="single"/>
        </w:rPr>
        <w:t>浙江瑞扬工程咨询招标代理股份有限公司</w:t>
      </w:r>
      <w:r>
        <w:rPr>
          <w:rFonts w:hint="eastAsia" w:hAnsi="宋体"/>
          <w:color w:val="auto"/>
          <w:kern w:val="0"/>
          <w:sz w:val="21"/>
          <w:szCs w:val="21"/>
          <w:highlight w:val="none"/>
        </w:rPr>
        <w:t>（采购组织机构名称）：</w:t>
      </w:r>
    </w:p>
    <w:p w14:paraId="59828DB6">
      <w:pPr>
        <w:pStyle w:val="36"/>
        <w:snapToGrid w:val="0"/>
        <w:spacing w:beforeLines="0" w:afterLines="0" w:line="460" w:lineRule="exact"/>
        <w:ind w:firstLine="444" w:firstLineChars="200"/>
        <w:rPr>
          <w:rFonts w:hAnsi="宋体"/>
          <w:color w:val="auto"/>
          <w:spacing w:val="6"/>
          <w:sz w:val="21"/>
          <w:szCs w:val="21"/>
          <w:highlight w:val="none"/>
        </w:rPr>
      </w:pPr>
      <w:r>
        <w:rPr>
          <w:rFonts w:hint="eastAsia" w:hAnsi="宋体"/>
          <w:color w:val="auto"/>
          <w:spacing w:val="6"/>
          <w:sz w:val="21"/>
          <w:szCs w:val="21"/>
          <w:highlight w:val="none"/>
        </w:rPr>
        <w:t>本人（授权代表姓名），经由</w:t>
      </w:r>
      <w:r>
        <w:rPr>
          <w:rFonts w:hint="eastAsia" w:hAnsi="宋体"/>
          <w:color w:val="auto"/>
          <w:spacing w:val="6"/>
          <w:sz w:val="21"/>
          <w:szCs w:val="21"/>
          <w:highlight w:val="none"/>
          <w:u w:val="single"/>
        </w:rPr>
        <w:t xml:space="preserve">                              （单位）</w:t>
      </w:r>
      <w:r>
        <w:rPr>
          <w:rFonts w:hint="eastAsia" w:hAnsi="宋体"/>
          <w:color w:val="auto"/>
          <w:spacing w:val="6"/>
          <w:sz w:val="21"/>
          <w:szCs w:val="21"/>
          <w:highlight w:val="none"/>
        </w:rPr>
        <w:t>负责人（法定代表人）合法授权参加（</w:t>
      </w:r>
      <w:r>
        <w:rPr>
          <w:rFonts w:hint="eastAsia" w:hAnsi="宋体"/>
          <w:color w:val="auto"/>
          <w:spacing w:val="6"/>
          <w:sz w:val="21"/>
          <w:szCs w:val="21"/>
          <w:highlight w:val="none"/>
          <w:u w:val="single"/>
        </w:rPr>
        <w:t>项目名称</w:t>
      </w:r>
      <w:r>
        <w:rPr>
          <w:rFonts w:hint="eastAsia" w:hAnsi="宋体"/>
          <w:color w:val="auto"/>
          <w:spacing w:val="6"/>
          <w:sz w:val="21"/>
          <w:szCs w:val="21"/>
          <w:highlight w:val="none"/>
        </w:rPr>
        <w:t xml:space="preserve">）政府采购活动，经与本单位法人代表（负责人）联系确认，现就有关公平竞争事项郑重声明如下： </w:t>
      </w:r>
    </w:p>
    <w:p w14:paraId="1D147EF6">
      <w:pPr>
        <w:pStyle w:val="37"/>
        <w:widowControl/>
        <w:snapToGrid w:val="0"/>
        <w:spacing w:line="460" w:lineRule="exact"/>
        <w:ind w:firstLine="420" w:firstLineChars="200"/>
        <w:rPr>
          <w:color w:val="auto"/>
          <w:kern w:val="0"/>
          <w:highlight w:val="none"/>
        </w:rPr>
      </w:pPr>
      <w:r>
        <w:rPr>
          <w:rFonts w:hint="eastAsia"/>
          <w:color w:val="auto"/>
          <w:kern w:val="0"/>
          <w:highlight w:val="none"/>
        </w:rPr>
        <w:t>一、本单位与采购人之间 □不存在利害关系□存在下列利害关系：</w:t>
      </w:r>
    </w:p>
    <w:p w14:paraId="7D5DCBF7">
      <w:pPr>
        <w:pStyle w:val="37"/>
        <w:widowControl/>
        <w:snapToGrid w:val="0"/>
        <w:spacing w:line="460" w:lineRule="exact"/>
        <w:ind w:firstLine="420" w:firstLineChars="200"/>
        <w:rPr>
          <w:color w:val="auto"/>
          <w:kern w:val="0"/>
          <w:highlight w:val="none"/>
        </w:rPr>
      </w:pPr>
      <w:r>
        <w:rPr>
          <w:rFonts w:hint="eastAsia"/>
          <w:color w:val="auto"/>
          <w:kern w:val="0"/>
          <w:highlight w:val="none"/>
        </w:rPr>
        <w:t>A.投资关系    B.行政隶属关系    C.业务指导关系</w:t>
      </w:r>
    </w:p>
    <w:p w14:paraId="0357B5BE">
      <w:pPr>
        <w:pStyle w:val="37"/>
        <w:widowControl/>
        <w:snapToGrid w:val="0"/>
        <w:spacing w:line="460" w:lineRule="exact"/>
        <w:ind w:firstLine="420" w:firstLineChars="200"/>
        <w:rPr>
          <w:color w:val="auto"/>
          <w:kern w:val="0"/>
          <w:highlight w:val="none"/>
        </w:rPr>
      </w:pPr>
      <w:r>
        <w:rPr>
          <w:rFonts w:hint="eastAsia"/>
          <w:color w:val="auto"/>
          <w:kern w:val="0"/>
          <w:highlight w:val="none"/>
        </w:rPr>
        <w:t>D.其他可能</w:t>
      </w:r>
      <w:r>
        <w:rPr>
          <w:rFonts w:hint="eastAsia"/>
          <w:color w:val="auto"/>
          <w:highlight w:val="none"/>
        </w:rPr>
        <w:t>影响采购公正的</w:t>
      </w:r>
      <w:r>
        <w:rPr>
          <w:rFonts w:hint="eastAsia"/>
          <w:color w:val="auto"/>
          <w:kern w:val="0"/>
          <w:highlight w:val="none"/>
        </w:rPr>
        <w:t>利害关系</w:t>
      </w:r>
      <w:r>
        <w:rPr>
          <w:rFonts w:hint="eastAsia"/>
          <w:color w:val="auto"/>
          <w:kern w:val="0"/>
          <w:highlight w:val="none"/>
          <w:u w:val="single"/>
        </w:rPr>
        <w:t xml:space="preserve">（如有，请如实说明）                 </w:t>
      </w:r>
      <w:r>
        <w:rPr>
          <w:rFonts w:hint="eastAsia"/>
          <w:color w:val="auto"/>
          <w:kern w:val="0"/>
          <w:highlight w:val="none"/>
        </w:rPr>
        <w:t>。</w:t>
      </w:r>
    </w:p>
    <w:p w14:paraId="7EF1AFA6">
      <w:pPr>
        <w:pStyle w:val="37"/>
        <w:widowControl/>
        <w:snapToGrid w:val="0"/>
        <w:spacing w:line="460" w:lineRule="exact"/>
        <w:ind w:firstLine="444" w:firstLineChars="200"/>
        <w:rPr>
          <w:color w:val="auto"/>
          <w:kern w:val="0"/>
          <w:highlight w:val="none"/>
        </w:rPr>
      </w:pPr>
      <w:r>
        <w:rPr>
          <w:rFonts w:hint="eastAsia"/>
          <w:color w:val="auto"/>
          <w:spacing w:val="6"/>
          <w:highlight w:val="none"/>
        </w:rPr>
        <w:t>二、</w:t>
      </w:r>
      <w:r>
        <w:rPr>
          <w:rFonts w:hint="eastAsia"/>
          <w:color w:val="auto"/>
          <w:kern w:val="0"/>
          <w:highlight w:val="none"/>
        </w:rPr>
        <w:t>现已清楚知道参加本项目采购活动的其他所有投标人名称，本单位 □与其他所有投标人之间均不存在利害关系 □与</w:t>
      </w:r>
      <w:r>
        <w:rPr>
          <w:rFonts w:hint="eastAsia"/>
          <w:color w:val="auto"/>
          <w:kern w:val="0"/>
          <w:highlight w:val="none"/>
          <w:u w:val="single"/>
        </w:rPr>
        <w:t xml:space="preserve">           （投标人名称）</w:t>
      </w:r>
      <w:r>
        <w:rPr>
          <w:rFonts w:hint="eastAsia"/>
          <w:color w:val="auto"/>
          <w:kern w:val="0"/>
          <w:highlight w:val="none"/>
        </w:rPr>
        <w:t>之间存在下列利害关系：</w:t>
      </w:r>
    </w:p>
    <w:p w14:paraId="0B2A0287">
      <w:pPr>
        <w:pStyle w:val="36"/>
        <w:snapToGrid w:val="0"/>
        <w:spacing w:beforeLines="0" w:afterLines="0" w:line="460" w:lineRule="exact"/>
        <w:ind w:firstLine="420" w:firstLineChars="200"/>
        <w:rPr>
          <w:rFonts w:hAnsi="宋体"/>
          <w:color w:val="auto"/>
          <w:kern w:val="0"/>
          <w:sz w:val="21"/>
          <w:szCs w:val="21"/>
          <w:highlight w:val="none"/>
        </w:rPr>
      </w:pPr>
      <w:r>
        <w:rPr>
          <w:rFonts w:hint="eastAsia" w:hAnsi="宋体"/>
          <w:color w:val="auto"/>
          <w:kern w:val="0"/>
          <w:sz w:val="21"/>
          <w:szCs w:val="21"/>
          <w:highlight w:val="none"/>
        </w:rPr>
        <w:t>A.法定代表人或负责人或实际控制人是同一人</w:t>
      </w:r>
    </w:p>
    <w:p w14:paraId="37242EC7">
      <w:pPr>
        <w:pStyle w:val="36"/>
        <w:snapToGrid w:val="0"/>
        <w:spacing w:beforeLines="0" w:afterLines="0" w:line="460" w:lineRule="exact"/>
        <w:ind w:firstLine="420" w:firstLineChars="200"/>
        <w:rPr>
          <w:rFonts w:hAnsi="宋体"/>
          <w:color w:val="auto"/>
          <w:spacing w:val="6"/>
          <w:sz w:val="21"/>
          <w:szCs w:val="21"/>
          <w:highlight w:val="none"/>
        </w:rPr>
      </w:pPr>
      <w:r>
        <w:rPr>
          <w:rFonts w:hint="eastAsia" w:hAnsi="宋体"/>
          <w:color w:val="auto"/>
          <w:kern w:val="0"/>
          <w:sz w:val="21"/>
          <w:szCs w:val="21"/>
          <w:highlight w:val="none"/>
        </w:rPr>
        <w:t>B.法定代表人或负责人或实际控制人是夫妻关系</w:t>
      </w:r>
    </w:p>
    <w:p w14:paraId="20C3A845">
      <w:pPr>
        <w:pStyle w:val="36"/>
        <w:snapToGrid w:val="0"/>
        <w:spacing w:beforeLines="0" w:afterLines="0" w:line="460" w:lineRule="exact"/>
        <w:ind w:firstLine="420" w:firstLineChars="200"/>
        <w:rPr>
          <w:rFonts w:hAnsi="宋体"/>
          <w:color w:val="auto"/>
          <w:spacing w:val="6"/>
          <w:sz w:val="21"/>
          <w:szCs w:val="21"/>
          <w:highlight w:val="none"/>
        </w:rPr>
      </w:pPr>
      <w:r>
        <w:rPr>
          <w:rFonts w:hint="eastAsia" w:hAnsi="宋体"/>
          <w:color w:val="auto"/>
          <w:kern w:val="0"/>
          <w:sz w:val="21"/>
          <w:szCs w:val="21"/>
          <w:highlight w:val="none"/>
        </w:rPr>
        <w:t>C.法定代表人或负责人或实际控制人是直系血亲关系</w:t>
      </w:r>
    </w:p>
    <w:p w14:paraId="0DAE52D0">
      <w:pPr>
        <w:pStyle w:val="36"/>
        <w:snapToGrid w:val="0"/>
        <w:spacing w:beforeLines="0" w:afterLines="0" w:line="460" w:lineRule="exact"/>
        <w:ind w:firstLine="420" w:firstLineChars="200"/>
        <w:rPr>
          <w:rFonts w:hAnsi="宋体"/>
          <w:color w:val="auto"/>
          <w:spacing w:val="6"/>
          <w:sz w:val="21"/>
          <w:szCs w:val="21"/>
          <w:highlight w:val="none"/>
        </w:rPr>
      </w:pPr>
      <w:r>
        <w:rPr>
          <w:rFonts w:hint="eastAsia" w:hAnsi="宋体"/>
          <w:color w:val="auto"/>
          <w:kern w:val="0"/>
          <w:sz w:val="21"/>
          <w:szCs w:val="21"/>
          <w:highlight w:val="none"/>
        </w:rPr>
        <w:t>D.法定代表人或负责人或实际控制人存在三代以内旁系血亲关系</w:t>
      </w:r>
    </w:p>
    <w:p w14:paraId="457EF078">
      <w:pPr>
        <w:pStyle w:val="36"/>
        <w:snapToGrid w:val="0"/>
        <w:spacing w:beforeLines="0" w:afterLines="0" w:line="460" w:lineRule="exact"/>
        <w:ind w:firstLine="420" w:firstLineChars="200"/>
        <w:rPr>
          <w:rFonts w:hAnsi="宋体"/>
          <w:color w:val="auto"/>
          <w:kern w:val="0"/>
          <w:sz w:val="21"/>
          <w:szCs w:val="21"/>
          <w:highlight w:val="none"/>
        </w:rPr>
      </w:pPr>
      <w:r>
        <w:rPr>
          <w:rFonts w:hint="eastAsia" w:hAnsi="宋体"/>
          <w:color w:val="auto"/>
          <w:kern w:val="0"/>
          <w:sz w:val="21"/>
          <w:szCs w:val="21"/>
          <w:highlight w:val="none"/>
        </w:rPr>
        <w:t>E.法定代表人或负责人或实际控制人存在近姻亲关系</w:t>
      </w:r>
    </w:p>
    <w:p w14:paraId="5E489BC7">
      <w:pPr>
        <w:pStyle w:val="36"/>
        <w:snapToGrid w:val="0"/>
        <w:spacing w:beforeLines="0" w:afterLines="0" w:line="460" w:lineRule="exact"/>
        <w:ind w:firstLine="420" w:firstLineChars="200"/>
        <w:rPr>
          <w:rFonts w:hAnsi="宋体"/>
          <w:color w:val="auto"/>
          <w:kern w:val="0"/>
          <w:sz w:val="21"/>
          <w:szCs w:val="21"/>
          <w:highlight w:val="none"/>
        </w:rPr>
      </w:pPr>
      <w:r>
        <w:rPr>
          <w:rFonts w:hint="eastAsia" w:hAnsi="宋体"/>
          <w:color w:val="auto"/>
          <w:kern w:val="0"/>
          <w:sz w:val="21"/>
          <w:szCs w:val="21"/>
          <w:highlight w:val="none"/>
        </w:rPr>
        <w:t>F.法定代表人或负责人或实际控制人存在股份控制或实际控制关系</w:t>
      </w:r>
    </w:p>
    <w:p w14:paraId="2B06293F">
      <w:pPr>
        <w:pStyle w:val="36"/>
        <w:snapToGrid w:val="0"/>
        <w:spacing w:beforeLines="0" w:afterLines="0" w:line="460" w:lineRule="exact"/>
        <w:ind w:firstLine="420" w:firstLineChars="200"/>
        <w:rPr>
          <w:rFonts w:hAnsi="宋体"/>
          <w:color w:val="auto"/>
          <w:kern w:val="0"/>
          <w:sz w:val="21"/>
          <w:szCs w:val="21"/>
          <w:highlight w:val="none"/>
        </w:rPr>
      </w:pPr>
      <w:r>
        <w:rPr>
          <w:rFonts w:hint="eastAsia" w:hAnsi="宋体"/>
          <w:color w:val="auto"/>
          <w:kern w:val="0"/>
          <w:sz w:val="21"/>
          <w:szCs w:val="21"/>
          <w:highlight w:val="none"/>
        </w:rPr>
        <w:t>G.存在共同直接或间接投资设立子公司、联营企业和合营企业情况</w:t>
      </w:r>
    </w:p>
    <w:p w14:paraId="36846621">
      <w:pPr>
        <w:pStyle w:val="36"/>
        <w:snapToGrid w:val="0"/>
        <w:spacing w:beforeLines="0" w:afterLines="0" w:line="460" w:lineRule="exact"/>
        <w:ind w:firstLine="420" w:firstLineChars="200"/>
        <w:rPr>
          <w:rFonts w:hAnsi="宋体"/>
          <w:color w:val="auto"/>
          <w:sz w:val="21"/>
          <w:szCs w:val="21"/>
          <w:highlight w:val="none"/>
        </w:rPr>
      </w:pPr>
      <w:r>
        <w:rPr>
          <w:rFonts w:hint="eastAsia" w:hAnsi="宋体"/>
          <w:color w:val="auto"/>
          <w:kern w:val="0"/>
          <w:sz w:val="21"/>
          <w:szCs w:val="21"/>
          <w:highlight w:val="none"/>
        </w:rPr>
        <w:t>H.存在分级代理或代销关系、同一生产制造商关系、</w:t>
      </w:r>
      <w:r>
        <w:rPr>
          <w:rFonts w:hint="eastAsia" w:hAnsi="宋体"/>
          <w:color w:val="auto"/>
          <w:sz w:val="21"/>
          <w:szCs w:val="21"/>
          <w:highlight w:val="none"/>
        </w:rPr>
        <w:t>管理关系、重要业务（占主营业务收入50%以上）或重要财务往来关系（如融资）等其他实质性控制关系</w:t>
      </w:r>
    </w:p>
    <w:p w14:paraId="69B1FDE1">
      <w:pPr>
        <w:pStyle w:val="36"/>
        <w:snapToGrid w:val="0"/>
        <w:spacing w:beforeLines="0" w:afterLines="0" w:line="460" w:lineRule="exact"/>
        <w:ind w:firstLine="420" w:firstLineChars="200"/>
        <w:rPr>
          <w:rFonts w:hAnsi="宋体"/>
          <w:color w:val="auto"/>
          <w:spacing w:val="6"/>
          <w:sz w:val="21"/>
          <w:szCs w:val="21"/>
          <w:highlight w:val="none"/>
        </w:rPr>
      </w:pPr>
      <w:r>
        <w:rPr>
          <w:rFonts w:hint="eastAsia" w:hAnsi="宋体"/>
          <w:color w:val="auto"/>
          <w:sz w:val="21"/>
          <w:szCs w:val="21"/>
          <w:highlight w:val="none"/>
        </w:rPr>
        <w:t>I</w:t>
      </w:r>
      <w:r>
        <w:rPr>
          <w:rFonts w:hint="eastAsia" w:hAnsi="宋体"/>
          <w:color w:val="auto"/>
          <w:kern w:val="0"/>
          <w:sz w:val="21"/>
          <w:szCs w:val="21"/>
          <w:highlight w:val="none"/>
        </w:rPr>
        <w:t>.</w:t>
      </w:r>
      <w:r>
        <w:rPr>
          <w:rFonts w:hint="eastAsia" w:hAnsi="宋体"/>
          <w:color w:val="auto"/>
          <w:sz w:val="21"/>
          <w:szCs w:val="21"/>
          <w:highlight w:val="none"/>
        </w:rPr>
        <w:t>其他利害关系情况</w:t>
      </w:r>
      <w:r>
        <w:rPr>
          <w:rFonts w:hint="eastAsia" w:hAnsi="宋体"/>
          <w:color w:val="auto"/>
          <w:kern w:val="0"/>
          <w:sz w:val="21"/>
          <w:szCs w:val="21"/>
          <w:highlight w:val="none"/>
        </w:rPr>
        <w:t>。</w:t>
      </w:r>
    </w:p>
    <w:p w14:paraId="3C848C7F">
      <w:pPr>
        <w:pStyle w:val="37"/>
        <w:widowControl/>
        <w:numPr>
          <w:ilvl w:val="0"/>
          <w:numId w:val="9"/>
        </w:numPr>
        <w:snapToGrid w:val="0"/>
        <w:spacing w:line="460" w:lineRule="exact"/>
        <w:ind w:firstLine="420" w:firstLineChars="200"/>
        <w:rPr>
          <w:color w:val="auto"/>
          <w:kern w:val="0"/>
          <w:highlight w:val="none"/>
        </w:rPr>
      </w:pPr>
      <w:r>
        <w:rPr>
          <w:rFonts w:hint="eastAsia"/>
          <w:color w:val="auto"/>
          <w:highlight w:val="none"/>
        </w:rPr>
        <w:t>现已清楚知道并</w:t>
      </w:r>
      <w:r>
        <w:rPr>
          <w:rFonts w:hint="eastAsia"/>
          <w:color w:val="auto"/>
          <w:kern w:val="0"/>
          <w:highlight w:val="none"/>
        </w:rPr>
        <w:t>严格遵守采购法律法规和现场纪律。</w:t>
      </w:r>
    </w:p>
    <w:p w14:paraId="08B217D5">
      <w:pPr>
        <w:pStyle w:val="23"/>
        <w:widowControl/>
        <w:numPr>
          <w:ilvl w:val="0"/>
          <w:numId w:val="10"/>
        </w:numPr>
        <w:adjustRightInd/>
        <w:snapToGrid w:val="0"/>
        <w:spacing w:line="460" w:lineRule="exact"/>
        <w:ind w:firstLine="420" w:firstLineChars="200"/>
        <w:textAlignment w:val="auto"/>
        <w:rPr>
          <w:rFonts w:hAnsi="宋体" w:cs="宋体"/>
          <w:color w:val="auto"/>
          <w:kern w:val="0"/>
          <w:szCs w:val="21"/>
          <w:highlight w:val="none"/>
        </w:rPr>
      </w:pPr>
      <w:r>
        <w:rPr>
          <w:rFonts w:hAnsi="宋体" w:cs="宋体"/>
          <w:color w:val="auto"/>
          <w:kern w:val="0"/>
          <w:szCs w:val="21"/>
          <w:highlight w:val="none"/>
        </w:rPr>
        <w:t>我发现</w:t>
      </w:r>
      <w:r>
        <w:rPr>
          <w:rFonts w:hint="eastAsia" w:ascii="仿宋" w:hAnsi="仿宋" w:eastAsia="仿宋" w:cs="仿宋"/>
          <w:color w:val="auto"/>
          <w:sz w:val="24"/>
          <w:szCs w:val="24"/>
          <w:highlight w:val="none"/>
          <w:u w:val="single"/>
        </w:rPr>
        <w:t xml:space="preserve">          </w:t>
      </w:r>
      <w:r>
        <w:rPr>
          <w:rFonts w:hint="eastAsia" w:hAnsi="宋体" w:cs="宋体"/>
          <w:color w:val="auto"/>
          <w:kern w:val="0"/>
          <w:szCs w:val="21"/>
          <w:highlight w:val="none"/>
        </w:rPr>
        <w:t>投标人</w:t>
      </w:r>
      <w:r>
        <w:rPr>
          <w:rFonts w:hAnsi="宋体" w:cs="宋体"/>
          <w:color w:val="auto"/>
          <w:kern w:val="0"/>
          <w:szCs w:val="21"/>
          <w:highlight w:val="none"/>
        </w:rPr>
        <w:t>之间存在或可能存在上述第二条第</w:t>
      </w:r>
      <w:r>
        <w:rPr>
          <w:rFonts w:hint="eastAsia" w:ascii="仿宋" w:hAnsi="仿宋" w:eastAsia="仿宋" w:cs="仿宋"/>
          <w:color w:val="auto"/>
          <w:sz w:val="24"/>
          <w:szCs w:val="24"/>
          <w:highlight w:val="none"/>
          <w:u w:val="single"/>
        </w:rPr>
        <w:t xml:space="preserve">      </w:t>
      </w:r>
      <w:r>
        <w:rPr>
          <w:rFonts w:hAnsi="宋体" w:cs="宋体"/>
          <w:color w:val="auto"/>
          <w:kern w:val="0"/>
          <w:szCs w:val="21"/>
          <w:highlight w:val="none"/>
        </w:rPr>
        <w:t>项利害关系。</w:t>
      </w:r>
    </w:p>
    <w:p w14:paraId="07D6AEBC">
      <w:pPr>
        <w:pStyle w:val="36"/>
        <w:snapToGrid w:val="0"/>
        <w:spacing w:before="120" w:after="120" w:line="360" w:lineRule="exact"/>
        <w:ind w:firstLine="420" w:firstLineChars="200"/>
        <w:rPr>
          <w:rFonts w:hAnsi="宋体"/>
          <w:color w:val="auto"/>
          <w:sz w:val="21"/>
          <w:szCs w:val="21"/>
          <w:highlight w:val="none"/>
        </w:rPr>
      </w:pPr>
    </w:p>
    <w:p w14:paraId="6BD88BC6">
      <w:pPr>
        <w:pStyle w:val="36"/>
        <w:snapToGrid w:val="0"/>
        <w:spacing w:before="120" w:after="120" w:line="360" w:lineRule="exact"/>
        <w:ind w:firstLine="420" w:firstLineChars="200"/>
        <w:rPr>
          <w:rFonts w:hAnsi="宋体"/>
          <w:color w:val="auto"/>
          <w:sz w:val="21"/>
          <w:szCs w:val="21"/>
          <w:highlight w:val="none"/>
        </w:rPr>
      </w:pPr>
    </w:p>
    <w:p w14:paraId="1C36908E">
      <w:pPr>
        <w:pStyle w:val="36"/>
        <w:snapToGrid w:val="0"/>
        <w:spacing w:before="120" w:after="120" w:line="360" w:lineRule="exact"/>
        <w:ind w:firstLine="5040" w:firstLineChars="2400"/>
        <w:rPr>
          <w:rFonts w:hAnsi="宋体"/>
          <w:color w:val="auto"/>
          <w:sz w:val="21"/>
          <w:szCs w:val="21"/>
          <w:highlight w:val="none"/>
        </w:rPr>
      </w:pPr>
      <w:r>
        <w:rPr>
          <w:rFonts w:hint="eastAsia" w:hAnsi="宋体"/>
          <w:color w:val="auto"/>
          <w:sz w:val="21"/>
          <w:szCs w:val="21"/>
          <w:highlight w:val="none"/>
        </w:rPr>
        <w:t xml:space="preserve"> 投标人代表签名：</w:t>
      </w:r>
    </w:p>
    <w:p w14:paraId="60741532">
      <w:pPr>
        <w:pStyle w:val="36"/>
        <w:snapToGrid w:val="0"/>
        <w:spacing w:before="120" w:after="120" w:line="360" w:lineRule="exact"/>
        <w:ind w:firstLine="5460" w:firstLineChars="2600"/>
        <w:rPr>
          <w:rFonts w:hAnsi="宋体"/>
          <w:color w:val="auto"/>
          <w:sz w:val="21"/>
          <w:szCs w:val="21"/>
          <w:highlight w:val="none"/>
        </w:rPr>
      </w:pPr>
      <w:r>
        <w:rPr>
          <w:rFonts w:hint="eastAsia" w:hAnsi="宋体"/>
          <w:color w:val="auto"/>
          <w:sz w:val="21"/>
          <w:szCs w:val="21"/>
          <w:highlight w:val="none"/>
        </w:rPr>
        <w:t>年   月   日</w:t>
      </w:r>
    </w:p>
    <w:p w14:paraId="2A836ADF">
      <w:pPr>
        <w:pStyle w:val="36"/>
        <w:snapToGrid w:val="0"/>
        <w:spacing w:before="120" w:after="120" w:line="500" w:lineRule="exact"/>
        <w:jc w:val="left"/>
        <w:rPr>
          <w:rFonts w:hAnsi="宋体"/>
          <w:color w:val="auto"/>
          <w:highlight w:val="none"/>
        </w:rPr>
        <w:sectPr>
          <w:footerReference r:id="rId5" w:type="default"/>
          <w:pgSz w:w="11906" w:h="16838"/>
          <w:pgMar w:top="1134" w:right="1800" w:bottom="1020" w:left="1803" w:header="680" w:footer="680" w:gutter="0"/>
          <w:pgNumType w:start="1"/>
          <w:cols w:space="0" w:num="1"/>
        </w:sectPr>
      </w:pPr>
    </w:p>
    <w:p w14:paraId="43C9F831">
      <w:pPr>
        <w:pStyle w:val="3"/>
        <w:spacing w:beforeLines="50" w:afterLines="50" w:line="360" w:lineRule="auto"/>
        <w:rPr>
          <w:color w:val="auto"/>
          <w:sz w:val="24"/>
          <w:szCs w:val="24"/>
          <w:highlight w:val="none"/>
        </w:rPr>
      </w:pPr>
      <w:bookmarkStart w:id="53" w:name="_Toc25777"/>
      <w:r>
        <w:rPr>
          <w:rFonts w:hint="eastAsia"/>
          <w:color w:val="auto"/>
          <w:sz w:val="24"/>
          <w:szCs w:val="24"/>
          <w:highlight w:val="none"/>
        </w:rPr>
        <w:t>（二）总   则</w:t>
      </w:r>
      <w:bookmarkEnd w:id="49"/>
      <w:bookmarkEnd w:id="50"/>
      <w:bookmarkEnd w:id="51"/>
      <w:bookmarkEnd w:id="52"/>
      <w:bookmarkEnd w:id="53"/>
    </w:p>
    <w:p w14:paraId="70965706">
      <w:pPr>
        <w:widowControl/>
        <w:numPr>
          <w:ilvl w:val="0"/>
          <w:numId w:val="11"/>
        </w:numPr>
        <w:snapToGrid w:val="0"/>
        <w:spacing w:line="400" w:lineRule="exact"/>
        <w:rPr>
          <w:rFonts w:ascii="Arial" w:hAnsi="Arial"/>
          <w:b/>
          <w:color w:val="auto"/>
          <w:sz w:val="24"/>
          <w:highlight w:val="none"/>
        </w:rPr>
      </w:pPr>
      <w:r>
        <w:rPr>
          <w:rFonts w:hint="eastAsia" w:ascii="Arial" w:hAnsi="Arial"/>
          <w:b/>
          <w:color w:val="auto"/>
          <w:sz w:val="24"/>
          <w:highlight w:val="none"/>
        </w:rPr>
        <w:t>说明</w:t>
      </w:r>
    </w:p>
    <w:p w14:paraId="10E33C76">
      <w:pPr>
        <w:widowControl/>
        <w:numPr>
          <w:ilvl w:val="1"/>
          <w:numId w:val="11"/>
        </w:numPr>
        <w:snapToGrid w:val="0"/>
        <w:spacing w:line="400" w:lineRule="exact"/>
        <w:rPr>
          <w:rFonts w:ascii="宋体" w:hAnsi="宋体"/>
          <w:color w:val="auto"/>
          <w:highlight w:val="none"/>
        </w:rPr>
      </w:pPr>
      <w:r>
        <w:rPr>
          <w:rFonts w:hint="eastAsia" w:ascii="宋体" w:hAnsi="宋体"/>
          <w:color w:val="auto"/>
          <w:highlight w:val="none"/>
        </w:rPr>
        <w:t>本次招标工作是根据</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shd w:val="clear" w:color="auto" w:fill="FFFFFF"/>
        </w:rPr>
        <w:t>浙江省省级预算单位银行账户管理暂行办法</w:t>
      </w: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rPr>
        <w:t>(浙财预执〔2015〕16号)、</w:t>
      </w:r>
      <w:r>
        <w:rPr>
          <w:rFonts w:hint="eastAsia" w:ascii="宋体" w:hAnsi="宋体"/>
          <w:color w:val="auto"/>
          <w:highlight w:val="none"/>
        </w:rPr>
        <w:t>《瑞安市预算单位公款竞争性存放管理暂行办法》（瑞政办〔2015〕99号）和《瑞安市市级行政事业单位公款竞争性存放管理办法》(瑞财预执〔2021〕245号)等有关</w:t>
      </w:r>
      <w:r>
        <w:rPr>
          <w:rFonts w:hint="eastAsia" w:ascii="宋体" w:hAnsi="宋体" w:cs="宋体"/>
          <w:color w:val="auto"/>
          <w:kern w:val="0"/>
          <w:szCs w:val="21"/>
          <w:highlight w:val="none"/>
        </w:rPr>
        <w:t>规定</w:t>
      </w:r>
      <w:r>
        <w:rPr>
          <w:rFonts w:hint="eastAsia" w:ascii="宋体" w:hAnsi="宋体"/>
          <w:color w:val="auto"/>
          <w:highlight w:val="none"/>
        </w:rPr>
        <w:t>，结合本项目的实际，组织和实施。</w:t>
      </w:r>
    </w:p>
    <w:p w14:paraId="3AD698E0">
      <w:pPr>
        <w:widowControl/>
        <w:numPr>
          <w:ilvl w:val="0"/>
          <w:numId w:val="11"/>
        </w:numPr>
        <w:snapToGrid w:val="0"/>
        <w:spacing w:line="400" w:lineRule="exact"/>
        <w:rPr>
          <w:rFonts w:ascii="Arial" w:hAnsi="Arial"/>
          <w:b/>
          <w:color w:val="auto"/>
          <w:sz w:val="24"/>
          <w:highlight w:val="none"/>
        </w:rPr>
      </w:pPr>
      <w:r>
        <w:rPr>
          <w:rFonts w:hint="eastAsia" w:ascii="Arial" w:hAnsi="Arial"/>
          <w:b/>
          <w:color w:val="auto"/>
          <w:sz w:val="24"/>
          <w:highlight w:val="none"/>
        </w:rPr>
        <w:t>定义及解释</w:t>
      </w:r>
    </w:p>
    <w:p w14:paraId="73D7190D">
      <w:pPr>
        <w:widowControl/>
        <w:numPr>
          <w:ilvl w:val="1"/>
          <w:numId w:val="11"/>
        </w:numPr>
        <w:snapToGrid w:val="0"/>
        <w:spacing w:line="400" w:lineRule="exact"/>
        <w:rPr>
          <w:rFonts w:ascii="宋体" w:hAnsi="宋体"/>
          <w:color w:val="auto"/>
          <w:highlight w:val="none"/>
        </w:rPr>
      </w:pPr>
      <w:r>
        <w:rPr>
          <w:rFonts w:hint="eastAsia" w:ascii="宋体" w:hAnsi="宋体"/>
          <w:color w:val="auto"/>
          <w:highlight w:val="none"/>
        </w:rPr>
        <w:t>招   标   人：瑞安市卫生健康局；</w:t>
      </w:r>
    </w:p>
    <w:p w14:paraId="2A310F75">
      <w:pPr>
        <w:widowControl/>
        <w:numPr>
          <w:ilvl w:val="1"/>
          <w:numId w:val="11"/>
        </w:numPr>
        <w:snapToGrid w:val="0"/>
        <w:spacing w:line="400" w:lineRule="exact"/>
        <w:rPr>
          <w:rFonts w:ascii="宋体" w:hAnsi="宋体"/>
          <w:color w:val="auto"/>
          <w:highlight w:val="none"/>
        </w:rPr>
      </w:pPr>
      <w:r>
        <w:rPr>
          <w:rFonts w:hint="eastAsia" w:ascii="宋体" w:hAnsi="宋体"/>
          <w:color w:val="auto"/>
          <w:highlight w:val="none"/>
        </w:rPr>
        <w:t>采购代理机构：</w:t>
      </w:r>
      <w:r>
        <w:rPr>
          <w:rFonts w:ascii="宋体" w:hAnsi="宋体"/>
          <w:color w:val="auto"/>
          <w:highlight w:val="none"/>
        </w:rPr>
        <w:t>系指按</w:t>
      </w:r>
      <w:r>
        <w:rPr>
          <w:rFonts w:hint="eastAsia" w:ascii="宋体" w:hAnsi="宋体"/>
          <w:color w:val="auto"/>
          <w:highlight w:val="none"/>
        </w:rPr>
        <w:t>有关法律</w:t>
      </w:r>
      <w:r>
        <w:rPr>
          <w:rFonts w:ascii="宋体" w:hAnsi="宋体"/>
          <w:color w:val="auto"/>
          <w:highlight w:val="none"/>
        </w:rPr>
        <w:t>规定，</w:t>
      </w:r>
      <w:r>
        <w:rPr>
          <w:rFonts w:hint="eastAsia" w:ascii="宋体" w:hAnsi="宋体"/>
          <w:color w:val="auto"/>
          <w:highlight w:val="none"/>
        </w:rPr>
        <w:t>依法</w:t>
      </w:r>
      <w:r>
        <w:rPr>
          <w:rFonts w:ascii="宋体" w:hAnsi="宋体"/>
          <w:color w:val="auto"/>
          <w:highlight w:val="none"/>
        </w:rPr>
        <w:t>组织本次招标的</w:t>
      </w:r>
      <w:r>
        <w:rPr>
          <w:rFonts w:hint="eastAsia" w:ascii="宋体" w:hAnsi="宋体"/>
          <w:color w:val="auto"/>
          <w:highlight w:val="none"/>
        </w:rPr>
        <w:t>浙江瑞扬工程咨询招标代理股份有限公司；</w:t>
      </w:r>
    </w:p>
    <w:p w14:paraId="217BF94F">
      <w:pPr>
        <w:widowControl/>
        <w:numPr>
          <w:ilvl w:val="1"/>
          <w:numId w:val="11"/>
        </w:numPr>
        <w:snapToGrid w:val="0"/>
        <w:spacing w:line="400" w:lineRule="exact"/>
        <w:rPr>
          <w:rFonts w:ascii="Arial" w:hAnsi="Arial" w:cs="Arial"/>
          <w:color w:val="auto"/>
          <w:highlight w:val="none"/>
        </w:rPr>
      </w:pPr>
      <w:r>
        <w:rPr>
          <w:rFonts w:hint="eastAsia" w:ascii="Arial" w:hAnsi="Arial" w:cs="Arial"/>
          <w:color w:val="auto"/>
          <w:highlight w:val="none"/>
        </w:rPr>
        <w:t>投标人：投标人是响应本次招标、参加投标竞争的法人或其分支机构。</w:t>
      </w:r>
    </w:p>
    <w:p w14:paraId="384E85DC">
      <w:pPr>
        <w:widowControl/>
        <w:numPr>
          <w:ilvl w:val="1"/>
          <w:numId w:val="11"/>
        </w:numPr>
        <w:snapToGrid w:val="0"/>
        <w:spacing w:line="400" w:lineRule="exact"/>
        <w:rPr>
          <w:rFonts w:ascii="Arial" w:hAnsi="Arial" w:cs="Arial"/>
          <w:color w:val="auto"/>
          <w:highlight w:val="none"/>
        </w:rPr>
      </w:pPr>
      <w:r>
        <w:rPr>
          <w:rFonts w:hint="eastAsia" w:ascii="Arial" w:hAnsi="Arial" w:cs="Arial"/>
          <w:color w:val="auto"/>
          <w:highlight w:val="none"/>
        </w:rPr>
        <w:t>中标人：</w:t>
      </w:r>
      <w:r>
        <w:rPr>
          <w:rFonts w:ascii="Arial" w:hAnsi="Arial" w:cs="Arial"/>
          <w:color w:val="auto"/>
          <w:highlight w:val="none"/>
        </w:rPr>
        <w:t>系指在本次招标</w:t>
      </w:r>
      <w:r>
        <w:rPr>
          <w:rFonts w:hint="eastAsia" w:ascii="Arial" w:hAnsi="Arial" w:cs="Arial"/>
          <w:color w:val="auto"/>
          <w:highlight w:val="none"/>
        </w:rPr>
        <w:t>中</w:t>
      </w:r>
      <w:r>
        <w:rPr>
          <w:rFonts w:ascii="Arial" w:hAnsi="Arial" w:cs="Arial"/>
          <w:color w:val="auto"/>
          <w:highlight w:val="none"/>
        </w:rPr>
        <w:t>中标的</w:t>
      </w:r>
      <w:r>
        <w:rPr>
          <w:rFonts w:hint="eastAsia" w:ascii="Arial" w:hAnsi="Arial" w:cs="Arial"/>
          <w:color w:val="auto"/>
          <w:highlight w:val="none"/>
        </w:rPr>
        <w:t>投标人。</w:t>
      </w:r>
    </w:p>
    <w:p w14:paraId="3C661F1E">
      <w:pPr>
        <w:widowControl/>
        <w:numPr>
          <w:ilvl w:val="1"/>
          <w:numId w:val="11"/>
        </w:numPr>
        <w:snapToGrid w:val="0"/>
        <w:spacing w:line="400" w:lineRule="exact"/>
        <w:rPr>
          <w:rFonts w:ascii="Arial" w:hAnsi="Arial" w:cs="Arial"/>
          <w:color w:val="auto"/>
          <w:highlight w:val="none"/>
        </w:rPr>
      </w:pPr>
      <w:r>
        <w:rPr>
          <w:rFonts w:hint="eastAsia" w:ascii="Arial" w:hAnsi="Arial" w:cs="Arial"/>
          <w:color w:val="auto"/>
          <w:highlight w:val="none"/>
        </w:rPr>
        <w:t>评标委员会：</w:t>
      </w:r>
      <w:r>
        <w:rPr>
          <w:rFonts w:hint="eastAsia" w:ascii="宋体" w:hAnsi="宋体" w:cs="Arial"/>
          <w:color w:val="auto"/>
          <w:szCs w:val="21"/>
          <w:highlight w:val="none"/>
        </w:rPr>
        <w:t>应当由单位内部成员和外部专家共同组成，成员为5人及以上的临时专家组。</w:t>
      </w:r>
    </w:p>
    <w:p w14:paraId="7C32E0B8">
      <w:pPr>
        <w:widowControl/>
        <w:numPr>
          <w:ilvl w:val="1"/>
          <w:numId w:val="11"/>
        </w:numPr>
        <w:snapToGrid w:val="0"/>
        <w:spacing w:line="400" w:lineRule="exact"/>
        <w:rPr>
          <w:rFonts w:ascii="Arial" w:hAnsi="Arial" w:cs="Arial"/>
          <w:color w:val="auto"/>
          <w:highlight w:val="none"/>
        </w:rPr>
      </w:pPr>
      <w:r>
        <w:rPr>
          <w:rFonts w:hint="eastAsia" w:ascii="Arial" w:hAnsi="Arial" w:cs="Arial"/>
          <w:color w:val="auto"/>
          <w:highlight w:val="none"/>
        </w:rPr>
        <w:t>日期：指公历日。</w:t>
      </w:r>
    </w:p>
    <w:p w14:paraId="00A44AA7">
      <w:pPr>
        <w:widowControl/>
        <w:numPr>
          <w:ilvl w:val="1"/>
          <w:numId w:val="11"/>
        </w:numPr>
        <w:snapToGrid w:val="0"/>
        <w:spacing w:line="400" w:lineRule="exact"/>
        <w:rPr>
          <w:rFonts w:ascii="Arial" w:hAnsi="Arial" w:cs="Arial"/>
          <w:color w:val="auto"/>
          <w:highlight w:val="none"/>
        </w:rPr>
      </w:pPr>
      <w:r>
        <w:rPr>
          <w:rFonts w:hint="eastAsia" w:ascii="Arial" w:hAnsi="Arial" w:cs="Arial"/>
          <w:color w:val="auto"/>
          <w:highlight w:val="none"/>
        </w:rPr>
        <w:t>合同：指由招标所产生的合同或合约文件。</w:t>
      </w:r>
    </w:p>
    <w:p w14:paraId="16F32617">
      <w:pPr>
        <w:widowControl/>
        <w:numPr>
          <w:ilvl w:val="1"/>
          <w:numId w:val="11"/>
        </w:numPr>
        <w:snapToGrid w:val="0"/>
        <w:spacing w:line="400" w:lineRule="exact"/>
        <w:rPr>
          <w:rFonts w:ascii="Arial" w:hAnsi="Arial" w:cs="Arial"/>
          <w:color w:val="auto"/>
          <w:highlight w:val="none"/>
        </w:rPr>
      </w:pPr>
      <w:r>
        <w:rPr>
          <w:rFonts w:hint="eastAsia" w:ascii="Arial" w:hAnsi="Arial" w:cs="Arial"/>
          <w:color w:val="auto"/>
          <w:highlight w:val="none"/>
        </w:rPr>
        <w:t>招标文件中的标题或题名仅起引导作用，而不应视为对招标文件内容的理解和解释。</w:t>
      </w:r>
    </w:p>
    <w:p w14:paraId="20735288">
      <w:pPr>
        <w:widowControl/>
        <w:numPr>
          <w:ilvl w:val="1"/>
          <w:numId w:val="11"/>
        </w:numPr>
        <w:snapToGrid w:val="0"/>
        <w:spacing w:line="400" w:lineRule="exact"/>
        <w:rPr>
          <w:rFonts w:ascii="Arial" w:hAnsi="Arial" w:cs="Arial"/>
          <w:color w:val="auto"/>
          <w:highlight w:val="none"/>
        </w:rPr>
      </w:pPr>
      <w:r>
        <w:rPr>
          <w:rFonts w:hint="eastAsia" w:ascii="Arial" w:hAnsi="Arial" w:cs="Arial"/>
          <w:color w:val="auto"/>
          <w:highlight w:val="none"/>
        </w:rPr>
        <w:t>“书面形式”是指任何手写的、打印的或印刷的文件，包括电报和传真发送。</w:t>
      </w:r>
    </w:p>
    <w:p w14:paraId="0ADCA100">
      <w:pPr>
        <w:widowControl/>
        <w:numPr>
          <w:ilvl w:val="0"/>
          <w:numId w:val="11"/>
        </w:numPr>
        <w:snapToGrid w:val="0"/>
        <w:spacing w:line="400" w:lineRule="exact"/>
        <w:rPr>
          <w:rFonts w:ascii="Arial" w:hAnsi="Arial"/>
          <w:b/>
          <w:color w:val="auto"/>
          <w:sz w:val="24"/>
          <w:highlight w:val="none"/>
        </w:rPr>
      </w:pPr>
      <w:r>
        <w:rPr>
          <w:rFonts w:hint="eastAsia" w:ascii="Arial" w:hAnsi="Arial"/>
          <w:b/>
          <w:color w:val="auto"/>
          <w:sz w:val="24"/>
          <w:highlight w:val="none"/>
        </w:rPr>
        <w:t>合格的投标人</w:t>
      </w:r>
    </w:p>
    <w:p w14:paraId="72F6AFB0">
      <w:pPr>
        <w:widowControl/>
        <w:numPr>
          <w:ilvl w:val="1"/>
          <w:numId w:val="11"/>
        </w:numPr>
        <w:snapToGrid w:val="0"/>
        <w:spacing w:line="400" w:lineRule="exact"/>
        <w:rPr>
          <w:rFonts w:ascii="Arial" w:hAnsi="Arial" w:cs="Arial"/>
          <w:color w:val="auto"/>
          <w:highlight w:val="none"/>
        </w:rPr>
      </w:pPr>
      <w:r>
        <w:rPr>
          <w:rFonts w:hint="eastAsia" w:ascii="宋体" w:hAnsi="宋体"/>
          <w:color w:val="auto"/>
          <w:szCs w:val="21"/>
          <w:highlight w:val="none"/>
        </w:rPr>
        <w:t>见投标人须知前附表</w:t>
      </w:r>
    </w:p>
    <w:p w14:paraId="7CD23110">
      <w:pPr>
        <w:widowControl/>
        <w:numPr>
          <w:ilvl w:val="0"/>
          <w:numId w:val="11"/>
        </w:numPr>
        <w:snapToGrid w:val="0"/>
        <w:spacing w:line="400" w:lineRule="exact"/>
        <w:rPr>
          <w:rFonts w:ascii="Arial" w:hAnsi="Arial"/>
          <w:b/>
          <w:color w:val="auto"/>
          <w:sz w:val="24"/>
          <w:highlight w:val="none"/>
        </w:rPr>
      </w:pPr>
      <w:r>
        <w:rPr>
          <w:rFonts w:hint="eastAsia" w:ascii="Arial" w:hAnsi="Arial"/>
          <w:b/>
          <w:color w:val="auto"/>
          <w:sz w:val="24"/>
          <w:highlight w:val="none"/>
        </w:rPr>
        <w:t>联合体投标：</w:t>
      </w:r>
      <w:r>
        <w:rPr>
          <w:rFonts w:hint="eastAsia" w:ascii="Arial" w:hAnsi="Arial"/>
          <w:color w:val="auto"/>
          <w:highlight w:val="none"/>
        </w:rPr>
        <w:t>本项目不接受。</w:t>
      </w:r>
    </w:p>
    <w:p w14:paraId="3C2EB172">
      <w:pPr>
        <w:widowControl/>
        <w:numPr>
          <w:ilvl w:val="0"/>
          <w:numId w:val="11"/>
        </w:numPr>
        <w:spacing w:line="400" w:lineRule="exact"/>
        <w:jc w:val="left"/>
        <w:rPr>
          <w:rFonts w:ascii="Arial" w:hAnsi="Arial"/>
          <w:b/>
          <w:color w:val="auto"/>
          <w:sz w:val="24"/>
          <w:highlight w:val="none"/>
        </w:rPr>
      </w:pPr>
      <w:r>
        <w:rPr>
          <w:rFonts w:hint="eastAsia" w:ascii="Arial" w:hAnsi="Arial"/>
          <w:b/>
          <w:color w:val="auto"/>
          <w:sz w:val="24"/>
          <w:highlight w:val="none"/>
        </w:rPr>
        <w:t>保密与披露事项</w:t>
      </w:r>
    </w:p>
    <w:p w14:paraId="3AE50C25">
      <w:pPr>
        <w:widowControl/>
        <w:numPr>
          <w:ilvl w:val="1"/>
          <w:numId w:val="11"/>
        </w:numPr>
        <w:spacing w:line="400" w:lineRule="exact"/>
        <w:jc w:val="left"/>
        <w:rPr>
          <w:rFonts w:ascii="Arial" w:hAnsi="Arial"/>
          <w:color w:val="auto"/>
          <w:highlight w:val="none"/>
        </w:rPr>
      </w:pPr>
      <w:r>
        <w:rPr>
          <w:rFonts w:hint="eastAsia" w:ascii="Arial" w:hAnsi="Arial"/>
          <w:color w:val="auto"/>
          <w:highlight w:val="none"/>
        </w:rPr>
        <w:t>投标人不得串通，以不正当的手段妨碍排挤其他投标人，扰乱市场，破坏公平竞争原则。</w:t>
      </w:r>
    </w:p>
    <w:p w14:paraId="024CB8B2">
      <w:pPr>
        <w:widowControl/>
        <w:numPr>
          <w:ilvl w:val="1"/>
          <w:numId w:val="11"/>
        </w:numPr>
        <w:spacing w:line="400" w:lineRule="exact"/>
        <w:rPr>
          <w:rFonts w:ascii="Arial" w:hAnsi="Arial"/>
          <w:color w:val="auto"/>
          <w:highlight w:val="none"/>
        </w:rPr>
      </w:pPr>
      <w:r>
        <w:rPr>
          <w:rFonts w:ascii="宋体" w:hAnsi="宋体"/>
          <w:color w:val="auto"/>
          <w:highlight w:val="none"/>
        </w:rPr>
        <w:t>投标人自</w:t>
      </w:r>
      <w:r>
        <w:rPr>
          <w:rFonts w:hint="eastAsia" w:ascii="宋体" w:hAnsi="宋体"/>
          <w:color w:val="auto"/>
          <w:highlight w:val="none"/>
        </w:rPr>
        <w:t>获取</w:t>
      </w:r>
      <w:r>
        <w:rPr>
          <w:rFonts w:ascii="宋体" w:hAnsi="宋体"/>
          <w:color w:val="auto"/>
          <w:highlight w:val="none"/>
        </w:rPr>
        <w:t>招标文件之日起，须承诺承担本招标项目下保密义务，不得将因本次招标获得的信息向第三方外传。</w:t>
      </w:r>
    </w:p>
    <w:p w14:paraId="51891EFF">
      <w:pPr>
        <w:widowControl/>
        <w:numPr>
          <w:ilvl w:val="1"/>
          <w:numId w:val="11"/>
        </w:numPr>
        <w:spacing w:line="400" w:lineRule="exact"/>
        <w:rPr>
          <w:rFonts w:ascii="Arial" w:hAnsi="Arial"/>
          <w:color w:val="auto"/>
          <w:highlight w:val="none"/>
        </w:rPr>
      </w:pPr>
      <w:r>
        <w:rPr>
          <w:rFonts w:hint="eastAsia" w:ascii="宋体" w:hAnsi="宋体"/>
          <w:color w:val="auto"/>
          <w:highlight w:val="none"/>
        </w:rPr>
        <w:t>采购代理机构</w:t>
      </w:r>
      <w:r>
        <w:rPr>
          <w:rFonts w:ascii="宋体" w:hAnsi="宋体"/>
          <w:color w:val="auto"/>
          <w:highlight w:val="none"/>
        </w:rPr>
        <w:t>有权将投标人提供的所有资料向其他政府部门或有关的非政府机构负责评审标书的人员或与评标有关的人员披露。</w:t>
      </w:r>
    </w:p>
    <w:p w14:paraId="7020AB9F">
      <w:pPr>
        <w:widowControl/>
        <w:numPr>
          <w:ilvl w:val="1"/>
          <w:numId w:val="11"/>
        </w:numPr>
        <w:spacing w:line="400" w:lineRule="exact"/>
        <w:rPr>
          <w:rFonts w:ascii="Arial" w:hAnsi="Arial"/>
          <w:color w:val="auto"/>
          <w:sz w:val="24"/>
          <w:highlight w:val="none"/>
        </w:rPr>
      </w:pPr>
      <w:r>
        <w:rPr>
          <w:rFonts w:hint="eastAsia" w:ascii="宋体" w:hAnsi="宋体"/>
          <w:color w:val="auto"/>
          <w:highlight w:val="none"/>
        </w:rPr>
        <w:t>采购代理机构</w:t>
      </w:r>
      <w:r>
        <w:rPr>
          <w:rFonts w:ascii="宋体" w:hAnsi="宋体"/>
          <w:color w:val="auto"/>
          <w:highlight w:val="none"/>
        </w:rPr>
        <w:t>有权在认为适当时，或在任何第三者提出要求（书面或其他方式）时，无须事先征求中标</w:t>
      </w:r>
      <w:r>
        <w:rPr>
          <w:rFonts w:ascii="宋体" w:hAnsi="宋体"/>
          <w:bCs/>
          <w:color w:val="auto"/>
          <w:highlight w:val="none"/>
        </w:rPr>
        <w:t>人</w:t>
      </w:r>
      <w:r>
        <w:rPr>
          <w:rFonts w:ascii="宋体" w:hAnsi="宋体"/>
          <w:color w:val="auto"/>
          <w:highlight w:val="none"/>
        </w:rPr>
        <w:t>同意而披露关于已订立合约的资料、中标</w:t>
      </w:r>
      <w:r>
        <w:rPr>
          <w:rFonts w:ascii="宋体" w:hAnsi="宋体"/>
          <w:bCs/>
          <w:color w:val="auto"/>
          <w:highlight w:val="none"/>
        </w:rPr>
        <w:t>人</w:t>
      </w:r>
      <w:r>
        <w:rPr>
          <w:rFonts w:ascii="宋体" w:hAnsi="宋体"/>
          <w:color w:val="auto"/>
          <w:highlight w:val="none"/>
        </w:rPr>
        <w:t>的名称及地址、中标服务的有关信息以及合约条款等。</w:t>
      </w:r>
    </w:p>
    <w:p w14:paraId="3679D01F">
      <w:pPr>
        <w:widowControl/>
        <w:numPr>
          <w:ilvl w:val="0"/>
          <w:numId w:val="11"/>
        </w:numPr>
        <w:spacing w:line="400" w:lineRule="exact"/>
        <w:jc w:val="left"/>
        <w:rPr>
          <w:rFonts w:ascii="Arial" w:hAnsi="Arial"/>
          <w:b/>
          <w:color w:val="auto"/>
          <w:sz w:val="24"/>
          <w:highlight w:val="none"/>
        </w:rPr>
      </w:pPr>
      <w:r>
        <w:rPr>
          <w:rFonts w:hint="eastAsia" w:ascii="Arial" w:hAnsi="Arial"/>
          <w:b/>
          <w:color w:val="auto"/>
          <w:sz w:val="24"/>
          <w:highlight w:val="none"/>
        </w:rPr>
        <w:t>投标费用</w:t>
      </w:r>
    </w:p>
    <w:p w14:paraId="733A672A">
      <w:pPr>
        <w:widowControl/>
        <w:numPr>
          <w:ilvl w:val="1"/>
          <w:numId w:val="11"/>
        </w:numPr>
        <w:spacing w:line="400" w:lineRule="exact"/>
        <w:jc w:val="left"/>
        <w:rPr>
          <w:rFonts w:ascii="Arial" w:hAnsi="Arial"/>
          <w:color w:val="auto"/>
          <w:highlight w:val="none"/>
        </w:rPr>
      </w:pPr>
      <w:r>
        <w:rPr>
          <w:rFonts w:hint="eastAsia" w:ascii="Arial" w:hAnsi="Arial"/>
          <w:color w:val="auto"/>
          <w:highlight w:val="none"/>
        </w:rPr>
        <w:t>投标人应承担所有与编写和提交投标文件有关的费用，不论投标的结果如何，采购代理机构和招标人在任何情况下均无义务和责任承担这些费用。</w:t>
      </w:r>
    </w:p>
    <w:p w14:paraId="6E0797BA">
      <w:pPr>
        <w:numPr>
          <w:ilvl w:val="0"/>
          <w:numId w:val="11"/>
        </w:numPr>
        <w:spacing w:line="400" w:lineRule="exact"/>
        <w:rPr>
          <w:rFonts w:ascii="宋体" w:hAnsi="宋体" w:cs="Arial"/>
          <w:b/>
          <w:color w:val="auto"/>
          <w:highlight w:val="none"/>
        </w:rPr>
      </w:pPr>
      <w:r>
        <w:rPr>
          <w:rFonts w:hint="eastAsia" w:ascii="宋体" w:hAnsi="宋体" w:cs="Arial"/>
          <w:b/>
          <w:color w:val="auto"/>
          <w:highlight w:val="none"/>
        </w:rPr>
        <w:t>踏勘现场</w:t>
      </w:r>
    </w:p>
    <w:p w14:paraId="3FE31E3B">
      <w:pPr>
        <w:widowControl/>
        <w:numPr>
          <w:ilvl w:val="1"/>
          <w:numId w:val="11"/>
        </w:numPr>
        <w:spacing w:line="400" w:lineRule="exact"/>
        <w:jc w:val="left"/>
        <w:rPr>
          <w:rFonts w:ascii="宋体" w:hAnsi="宋体"/>
          <w:color w:val="auto"/>
          <w:highlight w:val="none"/>
        </w:rPr>
      </w:pPr>
      <w:r>
        <w:rPr>
          <w:rFonts w:hint="eastAsia" w:ascii="宋体" w:hAnsi="宋体"/>
          <w:color w:val="auto"/>
          <w:highlight w:val="none"/>
        </w:rPr>
        <w:t>投标人自行前往现场踏勘，以便投标人获取有关编制投标文件和签署合同所涉及现场的资料，投标人承担现场踏勘所发生的费用。</w:t>
      </w:r>
    </w:p>
    <w:p w14:paraId="0A0F718B">
      <w:pPr>
        <w:widowControl/>
        <w:numPr>
          <w:ilvl w:val="1"/>
          <w:numId w:val="11"/>
        </w:numPr>
        <w:spacing w:line="400" w:lineRule="exact"/>
        <w:jc w:val="left"/>
        <w:rPr>
          <w:rFonts w:ascii="宋体" w:hAnsi="宋体"/>
          <w:b/>
          <w:color w:val="auto"/>
          <w:highlight w:val="none"/>
        </w:rPr>
      </w:pPr>
      <w:r>
        <w:rPr>
          <w:rFonts w:hint="eastAsia" w:ascii="宋体" w:hAnsi="宋体"/>
          <w:color w:val="auto"/>
          <w:highlight w:val="none"/>
        </w:rPr>
        <w:t>投标人由于对现场条件不了解而造成中标后发生一切不良后果和风险，均由投标人自负。</w:t>
      </w:r>
    </w:p>
    <w:p w14:paraId="72555749">
      <w:pPr>
        <w:widowControl/>
        <w:numPr>
          <w:ilvl w:val="0"/>
          <w:numId w:val="11"/>
        </w:numPr>
        <w:spacing w:line="400" w:lineRule="exact"/>
        <w:jc w:val="left"/>
        <w:rPr>
          <w:rFonts w:ascii="Arial" w:hAnsi="Arial"/>
          <w:b/>
          <w:color w:val="auto"/>
          <w:sz w:val="24"/>
          <w:highlight w:val="none"/>
        </w:rPr>
      </w:pPr>
      <w:r>
        <w:rPr>
          <w:rFonts w:hint="eastAsia" w:ascii="Arial" w:hAnsi="Arial"/>
          <w:b/>
          <w:color w:val="auto"/>
          <w:sz w:val="24"/>
          <w:highlight w:val="none"/>
        </w:rPr>
        <w:t>备选投标方案：</w:t>
      </w:r>
      <w:r>
        <w:rPr>
          <w:rFonts w:hint="eastAsia" w:ascii="Arial" w:hAnsi="Arial"/>
          <w:color w:val="auto"/>
          <w:highlight w:val="none"/>
        </w:rPr>
        <w:t>不允许。</w:t>
      </w:r>
    </w:p>
    <w:p w14:paraId="7429F08C">
      <w:pPr>
        <w:widowControl/>
        <w:numPr>
          <w:ilvl w:val="0"/>
          <w:numId w:val="11"/>
        </w:numPr>
        <w:spacing w:line="400" w:lineRule="exact"/>
        <w:jc w:val="left"/>
        <w:rPr>
          <w:rFonts w:ascii="宋体" w:hAnsi="宋体"/>
          <w:b/>
          <w:color w:val="auto"/>
          <w:sz w:val="24"/>
          <w:highlight w:val="none"/>
        </w:rPr>
      </w:pPr>
      <w:r>
        <w:rPr>
          <w:rFonts w:hint="eastAsia" w:ascii="宋体" w:hAnsi="宋体"/>
          <w:b/>
          <w:color w:val="auto"/>
          <w:sz w:val="24"/>
          <w:highlight w:val="none"/>
        </w:rPr>
        <w:t>投标委托</w:t>
      </w:r>
    </w:p>
    <w:p w14:paraId="7EF50EBC">
      <w:pPr>
        <w:widowControl/>
        <w:numPr>
          <w:ilvl w:val="1"/>
          <w:numId w:val="11"/>
        </w:numPr>
        <w:spacing w:line="400" w:lineRule="exact"/>
        <w:jc w:val="left"/>
        <w:rPr>
          <w:rFonts w:ascii="宋体" w:hAnsi="宋体"/>
          <w:color w:val="auto"/>
          <w:highlight w:val="none"/>
        </w:rPr>
      </w:pPr>
      <w:r>
        <w:rPr>
          <w:rFonts w:hint="eastAsia" w:ascii="宋体" w:hAnsi="宋体"/>
          <w:color w:val="auto"/>
          <w:highlight w:val="none"/>
        </w:rPr>
        <w:t>如投标人代表不是法定代表人（或分公司负责人），须持有《法定代表人或分公司负责人授权书》。授权委托书需具备以下几项条件。</w:t>
      </w:r>
    </w:p>
    <w:p w14:paraId="456A3C41">
      <w:pPr>
        <w:widowControl/>
        <w:spacing w:line="400" w:lineRule="exact"/>
        <w:ind w:firstLine="840" w:firstLineChars="400"/>
        <w:jc w:val="left"/>
        <w:rPr>
          <w:rFonts w:ascii="宋体" w:hAnsi="宋体"/>
          <w:color w:val="auto"/>
          <w:highlight w:val="none"/>
        </w:rPr>
      </w:pPr>
      <w:r>
        <w:rPr>
          <w:rFonts w:hint="eastAsia" w:ascii="宋体" w:hAnsi="宋体"/>
          <w:color w:val="auto"/>
          <w:highlight w:val="none"/>
        </w:rPr>
        <w:t>a.加盖单位公章</w:t>
      </w:r>
    </w:p>
    <w:p w14:paraId="24013249">
      <w:pPr>
        <w:widowControl/>
        <w:spacing w:line="400" w:lineRule="exact"/>
        <w:ind w:firstLine="840" w:firstLineChars="400"/>
        <w:jc w:val="left"/>
        <w:rPr>
          <w:rFonts w:ascii="宋体" w:hAnsi="宋体"/>
          <w:color w:val="auto"/>
          <w:highlight w:val="none"/>
        </w:rPr>
      </w:pPr>
      <w:r>
        <w:rPr>
          <w:rFonts w:hint="eastAsia" w:ascii="宋体" w:hAnsi="宋体"/>
          <w:color w:val="auto"/>
          <w:highlight w:val="none"/>
        </w:rPr>
        <w:t>b.法定代表人或分公司负责人签字或盖章</w:t>
      </w:r>
    </w:p>
    <w:p w14:paraId="6046DB66">
      <w:pPr>
        <w:widowControl/>
        <w:spacing w:line="400" w:lineRule="exact"/>
        <w:ind w:firstLine="840" w:firstLineChars="400"/>
        <w:jc w:val="left"/>
        <w:rPr>
          <w:rFonts w:ascii="宋体" w:hAnsi="宋体"/>
          <w:color w:val="auto"/>
          <w:highlight w:val="none"/>
        </w:rPr>
      </w:pPr>
      <w:r>
        <w:rPr>
          <w:rFonts w:hint="eastAsia" w:ascii="宋体" w:hAnsi="宋体"/>
          <w:color w:val="auto"/>
          <w:highlight w:val="none"/>
        </w:rPr>
        <w:t xml:space="preserve">c.授权代表身份证件（扫描件) </w:t>
      </w:r>
    </w:p>
    <w:p w14:paraId="6C3984F3">
      <w:pPr>
        <w:pStyle w:val="3"/>
        <w:spacing w:beforeLines="50" w:afterLines="50" w:line="400" w:lineRule="exact"/>
        <w:rPr>
          <w:color w:val="auto"/>
          <w:sz w:val="24"/>
          <w:szCs w:val="24"/>
          <w:highlight w:val="none"/>
        </w:rPr>
      </w:pPr>
      <w:bookmarkStart w:id="54" w:name="_Toc23673"/>
      <w:bookmarkStart w:id="55" w:name="_Toc31680"/>
      <w:bookmarkStart w:id="56" w:name="_Toc5626"/>
      <w:bookmarkStart w:id="57" w:name="_Toc24912"/>
      <w:bookmarkStart w:id="58" w:name="_Toc405556610"/>
      <w:r>
        <w:rPr>
          <w:rFonts w:hint="eastAsia"/>
          <w:color w:val="auto"/>
          <w:sz w:val="24"/>
          <w:szCs w:val="24"/>
          <w:highlight w:val="none"/>
        </w:rPr>
        <w:t>（三）招标文件说明</w:t>
      </w:r>
      <w:bookmarkEnd w:id="54"/>
      <w:bookmarkEnd w:id="55"/>
      <w:bookmarkEnd w:id="56"/>
      <w:bookmarkEnd w:id="57"/>
      <w:bookmarkEnd w:id="58"/>
    </w:p>
    <w:p w14:paraId="18AFEDED">
      <w:pPr>
        <w:widowControl/>
        <w:numPr>
          <w:ilvl w:val="0"/>
          <w:numId w:val="11"/>
        </w:numPr>
        <w:snapToGrid w:val="0"/>
        <w:spacing w:line="400" w:lineRule="exact"/>
        <w:ind w:left="850"/>
        <w:rPr>
          <w:rFonts w:ascii="Arial" w:hAnsi="Arial"/>
          <w:b/>
          <w:color w:val="auto"/>
          <w:sz w:val="24"/>
          <w:highlight w:val="none"/>
        </w:rPr>
      </w:pPr>
      <w:r>
        <w:rPr>
          <w:rFonts w:hint="eastAsia" w:ascii="Arial" w:hAnsi="Arial"/>
          <w:b/>
          <w:color w:val="auto"/>
          <w:sz w:val="24"/>
          <w:highlight w:val="none"/>
        </w:rPr>
        <w:t>招标文件构成</w:t>
      </w:r>
    </w:p>
    <w:p w14:paraId="13F51CCE">
      <w:pPr>
        <w:widowControl/>
        <w:numPr>
          <w:ilvl w:val="1"/>
          <w:numId w:val="11"/>
        </w:numPr>
        <w:snapToGrid w:val="0"/>
        <w:spacing w:line="400" w:lineRule="exact"/>
        <w:ind w:left="850"/>
        <w:rPr>
          <w:rFonts w:ascii="Arial" w:hAnsi="Arial"/>
          <w:color w:val="auto"/>
          <w:highlight w:val="none"/>
        </w:rPr>
      </w:pPr>
      <w:r>
        <w:rPr>
          <w:rFonts w:hint="eastAsia"/>
          <w:color w:val="auto"/>
          <w:szCs w:val="21"/>
          <w:highlight w:val="none"/>
        </w:rPr>
        <w:t>招标文件是用以阐明所需服务，以及招标、投标程序和相应的合同条款。“招标文件”由下述部分组成：</w:t>
      </w:r>
    </w:p>
    <w:p w14:paraId="7DDDA281">
      <w:pPr>
        <w:snapToGrid w:val="0"/>
        <w:spacing w:line="400" w:lineRule="exact"/>
        <w:ind w:left="850"/>
        <w:rPr>
          <w:rFonts w:ascii="Arial" w:hAnsi="Arial"/>
          <w:color w:val="auto"/>
          <w:highlight w:val="none"/>
        </w:rPr>
      </w:pPr>
      <w:r>
        <w:rPr>
          <w:rFonts w:hint="eastAsia" w:ascii="Arial" w:hAnsi="Arial"/>
          <w:color w:val="auto"/>
          <w:highlight w:val="none"/>
        </w:rPr>
        <w:t>第一部分  招标公告</w:t>
      </w:r>
    </w:p>
    <w:p w14:paraId="20C835C2">
      <w:pPr>
        <w:snapToGrid w:val="0"/>
        <w:spacing w:line="400" w:lineRule="exact"/>
        <w:ind w:left="850"/>
        <w:rPr>
          <w:rFonts w:ascii="Arial" w:hAnsi="Arial"/>
          <w:color w:val="auto"/>
          <w:highlight w:val="none"/>
        </w:rPr>
      </w:pPr>
      <w:r>
        <w:rPr>
          <w:rFonts w:hint="eastAsia" w:ascii="Arial" w:hAnsi="Arial"/>
          <w:color w:val="auto"/>
          <w:highlight w:val="none"/>
        </w:rPr>
        <w:t>第二部分  投标人须知</w:t>
      </w:r>
    </w:p>
    <w:p w14:paraId="3CD3D53D">
      <w:pPr>
        <w:snapToGrid w:val="0"/>
        <w:spacing w:line="400" w:lineRule="exact"/>
        <w:ind w:left="850"/>
        <w:rPr>
          <w:rFonts w:ascii="Arial" w:hAnsi="Arial"/>
          <w:color w:val="auto"/>
          <w:highlight w:val="none"/>
        </w:rPr>
      </w:pPr>
      <w:r>
        <w:rPr>
          <w:rFonts w:hint="eastAsia" w:ascii="Arial" w:hAnsi="Arial"/>
          <w:color w:val="auto"/>
          <w:highlight w:val="none"/>
        </w:rPr>
        <w:t>第三部分  招标内容和要求</w:t>
      </w:r>
    </w:p>
    <w:p w14:paraId="64EFD144">
      <w:pPr>
        <w:snapToGrid w:val="0"/>
        <w:spacing w:line="400" w:lineRule="exact"/>
        <w:ind w:left="850"/>
        <w:rPr>
          <w:rFonts w:ascii="Arial" w:hAnsi="Arial"/>
          <w:color w:val="auto"/>
          <w:highlight w:val="none"/>
        </w:rPr>
      </w:pPr>
      <w:r>
        <w:rPr>
          <w:rFonts w:hint="eastAsia" w:ascii="Arial" w:hAnsi="Arial"/>
          <w:color w:val="auto"/>
          <w:highlight w:val="none"/>
        </w:rPr>
        <w:t xml:space="preserve">第四部分  合同主要格式 </w:t>
      </w:r>
    </w:p>
    <w:p w14:paraId="1E2CB80D">
      <w:pPr>
        <w:snapToGrid w:val="0"/>
        <w:spacing w:line="400" w:lineRule="exact"/>
        <w:ind w:left="850"/>
        <w:rPr>
          <w:rFonts w:ascii="Arial" w:hAnsi="Arial"/>
          <w:color w:val="auto"/>
          <w:highlight w:val="none"/>
        </w:rPr>
      </w:pPr>
      <w:r>
        <w:rPr>
          <w:rFonts w:hint="eastAsia" w:ascii="Arial" w:hAnsi="Arial"/>
          <w:color w:val="auto"/>
          <w:highlight w:val="none"/>
        </w:rPr>
        <w:t>第五部分  投标文件格式</w:t>
      </w:r>
    </w:p>
    <w:p w14:paraId="5165BCED">
      <w:pPr>
        <w:snapToGrid w:val="0"/>
        <w:spacing w:line="400" w:lineRule="exact"/>
        <w:ind w:left="850"/>
        <w:rPr>
          <w:rFonts w:ascii="Arial" w:hAnsi="Arial"/>
          <w:color w:val="auto"/>
          <w:highlight w:val="none"/>
        </w:rPr>
      </w:pPr>
      <w:r>
        <w:rPr>
          <w:rFonts w:hint="eastAsia" w:ascii="Arial" w:hAnsi="Arial"/>
          <w:color w:val="auto"/>
          <w:highlight w:val="none"/>
        </w:rPr>
        <w:t>第六部分  评标办法</w:t>
      </w:r>
    </w:p>
    <w:p w14:paraId="7512A2C6">
      <w:pPr>
        <w:snapToGrid w:val="0"/>
        <w:spacing w:line="400" w:lineRule="exact"/>
        <w:ind w:left="850"/>
        <w:rPr>
          <w:rFonts w:ascii="Arial" w:hAnsi="Arial"/>
          <w:color w:val="auto"/>
          <w:highlight w:val="none"/>
        </w:rPr>
      </w:pPr>
      <w:r>
        <w:rPr>
          <w:rFonts w:hint="eastAsia" w:ascii="Arial" w:hAnsi="Arial"/>
          <w:color w:val="auto"/>
          <w:highlight w:val="none"/>
        </w:rPr>
        <w:t>第七部分  补充通知及答疑（若有）</w:t>
      </w:r>
    </w:p>
    <w:p w14:paraId="445C9174">
      <w:pPr>
        <w:widowControl/>
        <w:numPr>
          <w:ilvl w:val="1"/>
          <w:numId w:val="11"/>
        </w:numPr>
        <w:snapToGrid w:val="0"/>
        <w:spacing w:line="400" w:lineRule="exact"/>
        <w:ind w:left="850"/>
        <w:rPr>
          <w:color w:val="auto"/>
          <w:szCs w:val="21"/>
          <w:highlight w:val="none"/>
        </w:rPr>
      </w:pPr>
      <w:r>
        <w:rPr>
          <w:color w:val="auto"/>
          <w:szCs w:val="21"/>
          <w:highlight w:val="none"/>
        </w:rPr>
        <w:t>投标人应详细阅读招标文件的全部内容。如果投标人没有按照招标文件要求提交全部资料或者投标文件没有对招标文件在各方面的要求都做出实质性响应，是投标</w:t>
      </w:r>
      <w:r>
        <w:rPr>
          <w:rFonts w:hint="eastAsia"/>
          <w:color w:val="auto"/>
          <w:szCs w:val="21"/>
          <w:highlight w:val="none"/>
        </w:rPr>
        <w:t>人</w:t>
      </w:r>
      <w:r>
        <w:rPr>
          <w:color w:val="auto"/>
          <w:szCs w:val="21"/>
          <w:highlight w:val="none"/>
        </w:rPr>
        <w:t>的风险。</w:t>
      </w:r>
    </w:p>
    <w:p w14:paraId="0D3F4F25">
      <w:pPr>
        <w:widowControl/>
        <w:numPr>
          <w:ilvl w:val="1"/>
          <w:numId w:val="11"/>
        </w:numPr>
        <w:snapToGrid w:val="0"/>
        <w:spacing w:line="400" w:lineRule="exact"/>
        <w:ind w:left="850"/>
        <w:rPr>
          <w:color w:val="auto"/>
          <w:szCs w:val="21"/>
          <w:highlight w:val="none"/>
        </w:rPr>
      </w:pPr>
      <w:r>
        <w:rPr>
          <w:rFonts w:hint="eastAsia"/>
          <w:color w:val="auto"/>
          <w:szCs w:val="21"/>
          <w:highlight w:val="none"/>
        </w:rPr>
        <w:t>本招标文件要求投标人作出实质性响应的有关技术和商务条款，将在该条款前以“▲”醒目标识。</w:t>
      </w:r>
    </w:p>
    <w:p w14:paraId="752D2815">
      <w:pPr>
        <w:widowControl/>
        <w:numPr>
          <w:ilvl w:val="0"/>
          <w:numId w:val="11"/>
        </w:numPr>
        <w:snapToGrid w:val="0"/>
        <w:spacing w:line="400" w:lineRule="exact"/>
        <w:ind w:left="850"/>
        <w:rPr>
          <w:rFonts w:ascii="Arial" w:hAnsi="Arial"/>
          <w:b/>
          <w:color w:val="auto"/>
          <w:sz w:val="24"/>
          <w:highlight w:val="none"/>
        </w:rPr>
      </w:pPr>
      <w:r>
        <w:rPr>
          <w:rFonts w:hint="eastAsia" w:ascii="Arial" w:hAnsi="Arial"/>
          <w:b/>
          <w:color w:val="auto"/>
          <w:sz w:val="24"/>
          <w:highlight w:val="none"/>
        </w:rPr>
        <w:t>招标文件的澄清</w:t>
      </w:r>
    </w:p>
    <w:p w14:paraId="6E518B98">
      <w:pPr>
        <w:widowControl/>
        <w:numPr>
          <w:ilvl w:val="1"/>
          <w:numId w:val="11"/>
        </w:numPr>
        <w:snapToGrid w:val="0"/>
        <w:spacing w:line="400" w:lineRule="exact"/>
        <w:ind w:left="850"/>
        <w:rPr>
          <w:rFonts w:ascii="Arial" w:hAnsi="Arial" w:cs="Arial"/>
          <w:color w:val="auto"/>
          <w:highlight w:val="none"/>
        </w:rPr>
      </w:pPr>
      <w:r>
        <w:rPr>
          <w:rFonts w:hint="eastAsia" w:ascii="宋体" w:hAnsi="宋体" w:cs="宋体"/>
          <w:color w:val="auto"/>
          <w:highlight w:val="none"/>
        </w:rPr>
        <w:t>任何要求对招标文件进行澄清的投标人，均应在投标截止时间前按招标公告书中的通讯地址以书面形式传真或寄送给</w:t>
      </w:r>
      <w:bookmarkStart w:id="59" w:name="OLE_LINK15"/>
      <w:r>
        <w:rPr>
          <w:rFonts w:hint="eastAsia" w:ascii="宋体" w:hAnsi="宋体" w:cs="宋体"/>
          <w:color w:val="auto"/>
          <w:highlight w:val="none"/>
        </w:rPr>
        <w:t>采购代理机构</w:t>
      </w:r>
      <w:bookmarkEnd w:id="59"/>
      <w:r>
        <w:rPr>
          <w:rFonts w:hint="eastAsia" w:ascii="宋体" w:hAnsi="宋体" w:cs="宋体"/>
          <w:color w:val="auto"/>
          <w:highlight w:val="none"/>
        </w:rPr>
        <w:t>，</w:t>
      </w:r>
      <w:bookmarkStart w:id="60" w:name="OLE_LINK16"/>
      <w:bookmarkStart w:id="61" w:name="OLE_LINK18"/>
      <w:r>
        <w:rPr>
          <w:rFonts w:hint="eastAsia" w:ascii="宋体" w:hAnsi="宋体" w:cs="宋体"/>
          <w:color w:val="auto"/>
          <w:highlight w:val="none"/>
        </w:rPr>
        <w:t>采购代理机构</w:t>
      </w:r>
      <w:bookmarkEnd w:id="60"/>
      <w:r>
        <w:rPr>
          <w:rFonts w:hint="eastAsia" w:ascii="宋体" w:hAnsi="宋体" w:cs="宋体"/>
          <w:color w:val="auto"/>
          <w:highlight w:val="none"/>
        </w:rPr>
        <w:t>对规定时间以前收到的任何澄清视情况以书面形式予以答复。</w:t>
      </w:r>
    </w:p>
    <w:bookmarkEnd w:id="61"/>
    <w:p w14:paraId="370D2DF1">
      <w:pPr>
        <w:widowControl/>
        <w:numPr>
          <w:ilvl w:val="0"/>
          <w:numId w:val="11"/>
        </w:numPr>
        <w:snapToGrid w:val="0"/>
        <w:spacing w:line="400" w:lineRule="exact"/>
        <w:ind w:left="850"/>
        <w:rPr>
          <w:rFonts w:ascii="Arial" w:hAnsi="Arial"/>
          <w:b/>
          <w:color w:val="auto"/>
          <w:sz w:val="24"/>
          <w:highlight w:val="none"/>
        </w:rPr>
      </w:pPr>
      <w:r>
        <w:rPr>
          <w:rFonts w:hint="eastAsia" w:ascii="Arial" w:hAnsi="Arial"/>
          <w:b/>
          <w:color w:val="auto"/>
          <w:sz w:val="24"/>
          <w:highlight w:val="none"/>
        </w:rPr>
        <w:t>招标文件的修改</w:t>
      </w:r>
    </w:p>
    <w:p w14:paraId="7E708CCD">
      <w:pPr>
        <w:widowControl/>
        <w:numPr>
          <w:ilvl w:val="1"/>
          <w:numId w:val="11"/>
        </w:numPr>
        <w:snapToGrid w:val="0"/>
        <w:spacing w:line="400" w:lineRule="exact"/>
        <w:ind w:left="850"/>
        <w:rPr>
          <w:rFonts w:ascii="宋体" w:hAnsi="宋体" w:cs="宋体"/>
          <w:color w:val="auto"/>
          <w:highlight w:val="none"/>
        </w:rPr>
      </w:pPr>
      <w:bookmarkStart w:id="62" w:name="OLE_LINK17"/>
      <w:bookmarkStart w:id="63" w:name="_Toc405556611"/>
      <w:r>
        <w:rPr>
          <w:rFonts w:hint="eastAsia" w:ascii="宋体" w:hAnsi="宋体" w:cs="宋体"/>
          <w:color w:val="auto"/>
          <w:highlight w:val="none"/>
        </w:rPr>
        <w:t>在投标截止时间前，采购人或者采购代理机构可以对已发出的招标文件进行必要的澄清或者修改；澄清或者修改在“浙江省政府采购网”和“</w:t>
      </w:r>
      <w:r>
        <w:rPr>
          <w:rFonts w:hint="eastAsia" w:ascii="宋体" w:hAnsi="宋体" w:cs="宋体"/>
          <w:color w:val="auto"/>
          <w:highlight w:val="none"/>
          <w:lang w:eastAsia="zh-CN"/>
        </w:rPr>
        <w:t>温州市公共资源交易网瑞安分网</w:t>
      </w:r>
      <w:r>
        <w:rPr>
          <w:rFonts w:hint="eastAsia" w:ascii="宋体" w:hAnsi="宋体" w:cs="宋体"/>
          <w:color w:val="auto"/>
          <w:highlight w:val="none"/>
        </w:rPr>
        <w:t>”上发布更正公告，潜在投标人请自行到政采云平台下载澄清（更正）文件；澄清（更正）文件是招标文件的组成部分，投标人应及时查看提醒信息，否则后果自行承担。</w:t>
      </w:r>
    </w:p>
    <w:p w14:paraId="34CD9E64">
      <w:pPr>
        <w:widowControl/>
        <w:numPr>
          <w:ilvl w:val="1"/>
          <w:numId w:val="11"/>
        </w:numPr>
        <w:snapToGrid w:val="0"/>
        <w:spacing w:line="400" w:lineRule="exact"/>
        <w:ind w:left="850"/>
        <w:rPr>
          <w:rFonts w:ascii="宋体" w:hAnsi="宋体" w:cs="宋体"/>
          <w:color w:val="auto"/>
          <w:highlight w:val="none"/>
        </w:rPr>
      </w:pPr>
      <w:r>
        <w:rPr>
          <w:rFonts w:hint="eastAsia" w:ascii="宋体" w:hAnsi="宋体" w:cs="宋体"/>
          <w:color w:val="auto"/>
          <w:highlight w:val="none"/>
        </w:rPr>
        <w:t>澄清或者修改的内容可能影响响应文件编制的，招标人或者采购代理机构可酌情推迟响应文件提交截止时间，并在澄清公告中说明。</w:t>
      </w:r>
    </w:p>
    <w:p w14:paraId="553D3AEE">
      <w:pPr>
        <w:widowControl/>
        <w:numPr>
          <w:ilvl w:val="1"/>
          <w:numId w:val="11"/>
        </w:numPr>
        <w:snapToGrid w:val="0"/>
        <w:spacing w:line="400" w:lineRule="exact"/>
        <w:ind w:left="850"/>
        <w:rPr>
          <w:color w:val="auto"/>
          <w:highlight w:val="none"/>
        </w:rPr>
      </w:pPr>
      <w:r>
        <w:rPr>
          <w:rFonts w:hint="eastAsia" w:ascii="宋体" w:hAnsi="宋体" w:cs="宋体"/>
          <w:color w:val="auto"/>
          <w:highlight w:val="none"/>
        </w:rPr>
        <w:t>补充文件将作为招标文件的组成部分，对所有投标人有约束力。</w:t>
      </w:r>
    </w:p>
    <w:bookmarkEnd w:id="62"/>
    <w:p w14:paraId="6C3D3BB7">
      <w:pPr>
        <w:pStyle w:val="3"/>
        <w:spacing w:beforeLines="50" w:afterLines="50" w:line="400" w:lineRule="exact"/>
        <w:rPr>
          <w:color w:val="auto"/>
          <w:sz w:val="24"/>
          <w:szCs w:val="24"/>
          <w:highlight w:val="none"/>
        </w:rPr>
      </w:pPr>
      <w:bookmarkStart w:id="64" w:name="_Toc11632"/>
      <w:bookmarkStart w:id="65" w:name="_Toc16154"/>
      <w:bookmarkStart w:id="66" w:name="_Toc17411"/>
      <w:bookmarkStart w:id="67" w:name="_Toc28708"/>
      <w:r>
        <w:rPr>
          <w:rFonts w:hint="eastAsia"/>
          <w:color w:val="auto"/>
          <w:sz w:val="24"/>
          <w:szCs w:val="24"/>
          <w:highlight w:val="none"/>
        </w:rPr>
        <w:t>（四）投标文件的编制</w:t>
      </w:r>
      <w:bookmarkEnd w:id="63"/>
      <w:bookmarkEnd w:id="64"/>
      <w:bookmarkEnd w:id="65"/>
      <w:bookmarkEnd w:id="66"/>
      <w:bookmarkEnd w:id="67"/>
    </w:p>
    <w:p w14:paraId="23FC7285">
      <w:pPr>
        <w:widowControl/>
        <w:numPr>
          <w:ilvl w:val="0"/>
          <w:numId w:val="11"/>
        </w:numPr>
        <w:snapToGrid w:val="0"/>
        <w:spacing w:line="400" w:lineRule="exact"/>
        <w:ind w:left="850"/>
        <w:rPr>
          <w:rFonts w:ascii="Arial" w:hAnsi="Arial"/>
          <w:b/>
          <w:color w:val="auto"/>
          <w:sz w:val="24"/>
          <w:highlight w:val="none"/>
        </w:rPr>
      </w:pPr>
      <w:r>
        <w:rPr>
          <w:rFonts w:hint="eastAsia" w:ascii="Arial" w:hAnsi="Arial"/>
          <w:b/>
          <w:color w:val="auto"/>
          <w:sz w:val="24"/>
          <w:highlight w:val="none"/>
        </w:rPr>
        <w:t>投标文件的说明</w:t>
      </w:r>
    </w:p>
    <w:p w14:paraId="53C073B9">
      <w:pPr>
        <w:widowControl/>
        <w:numPr>
          <w:ilvl w:val="1"/>
          <w:numId w:val="11"/>
        </w:numPr>
        <w:snapToGrid w:val="0"/>
        <w:spacing w:line="400" w:lineRule="exact"/>
        <w:rPr>
          <w:rFonts w:ascii="Arial" w:hAnsi="Arial"/>
          <w:color w:val="auto"/>
          <w:highlight w:val="none"/>
        </w:rPr>
      </w:pPr>
      <w:r>
        <w:rPr>
          <w:rFonts w:ascii="宋体" w:hAnsi="宋体"/>
          <w:color w:val="auto"/>
          <w:highlight w:val="none"/>
        </w:rPr>
        <w:t>投标文件应字迹清楚、内容齐全、不得涂改。如有修改，修改处须有法定代表人</w:t>
      </w:r>
      <w:r>
        <w:rPr>
          <w:rFonts w:hint="eastAsia" w:ascii="宋体" w:hAnsi="宋体"/>
          <w:color w:val="auto"/>
          <w:highlight w:val="none"/>
        </w:rPr>
        <w:t>（</w:t>
      </w:r>
      <w:r>
        <w:rPr>
          <w:rFonts w:ascii="宋体" w:hAnsi="宋体"/>
          <w:color w:val="auto"/>
          <w:highlight w:val="none"/>
        </w:rPr>
        <w:t>或</w:t>
      </w:r>
      <w:r>
        <w:rPr>
          <w:rFonts w:hint="eastAsia" w:ascii="宋体" w:hAnsi="宋体"/>
          <w:color w:val="auto"/>
          <w:highlight w:val="none"/>
        </w:rPr>
        <w:t>分公司负责人）</w:t>
      </w:r>
      <w:r>
        <w:rPr>
          <w:rFonts w:ascii="宋体" w:hAnsi="宋体"/>
          <w:color w:val="auto"/>
          <w:highlight w:val="none"/>
        </w:rPr>
        <w:t>或其授权代</w:t>
      </w:r>
      <w:r>
        <w:rPr>
          <w:rFonts w:hint="eastAsia" w:ascii="宋体" w:hAnsi="宋体"/>
          <w:color w:val="auto"/>
          <w:highlight w:val="none"/>
        </w:rPr>
        <w:t>表签</w:t>
      </w:r>
      <w:r>
        <w:rPr>
          <w:rFonts w:ascii="宋体" w:hAnsi="宋体"/>
          <w:color w:val="auto"/>
          <w:highlight w:val="none"/>
        </w:rPr>
        <w:t>章。</w:t>
      </w:r>
    </w:p>
    <w:p w14:paraId="7E9C738B">
      <w:pPr>
        <w:widowControl/>
        <w:numPr>
          <w:ilvl w:val="1"/>
          <w:numId w:val="11"/>
        </w:numPr>
        <w:snapToGrid w:val="0"/>
        <w:spacing w:line="400" w:lineRule="exact"/>
        <w:rPr>
          <w:rFonts w:ascii="宋体" w:hAnsi="宋体"/>
          <w:color w:val="auto"/>
          <w:highlight w:val="none"/>
        </w:rPr>
      </w:pPr>
      <w:r>
        <w:rPr>
          <w:rFonts w:hint="eastAsia" w:ascii="宋体" w:hAnsi="宋体"/>
          <w:color w:val="auto"/>
          <w:highlight w:val="none"/>
        </w:rPr>
        <w:t>投标人必须按招标文件的要求提供相关技术参数、资料，包括采用的计量单位，并保证投标文件的正确性和真实性，否则评标委员会将作出不利于其投标的评定。</w:t>
      </w:r>
    </w:p>
    <w:p w14:paraId="435B3A5D">
      <w:pPr>
        <w:widowControl/>
        <w:numPr>
          <w:ilvl w:val="0"/>
          <w:numId w:val="11"/>
        </w:numPr>
        <w:snapToGrid w:val="0"/>
        <w:spacing w:line="400" w:lineRule="exact"/>
        <w:ind w:left="850"/>
        <w:rPr>
          <w:rFonts w:ascii="Arial" w:hAnsi="Arial"/>
          <w:b/>
          <w:color w:val="auto"/>
          <w:sz w:val="24"/>
          <w:highlight w:val="none"/>
        </w:rPr>
      </w:pPr>
      <w:r>
        <w:rPr>
          <w:rFonts w:hint="eastAsia" w:ascii="Arial" w:hAnsi="Arial"/>
          <w:b/>
          <w:color w:val="auto"/>
          <w:sz w:val="24"/>
          <w:highlight w:val="none"/>
        </w:rPr>
        <w:t>投标文件的组成</w:t>
      </w:r>
    </w:p>
    <w:p w14:paraId="1191A24E">
      <w:pPr>
        <w:widowControl/>
        <w:numPr>
          <w:ilvl w:val="1"/>
          <w:numId w:val="11"/>
        </w:numPr>
        <w:snapToGrid w:val="0"/>
        <w:spacing w:line="400" w:lineRule="exact"/>
        <w:rPr>
          <w:rFonts w:ascii="楷体_GB2312" w:eastAsia="楷体_GB2312"/>
          <w:color w:val="auto"/>
          <w:sz w:val="24"/>
          <w:highlight w:val="none"/>
        </w:rPr>
      </w:pPr>
      <w:r>
        <w:rPr>
          <w:rFonts w:hint="eastAsia" w:ascii="Arial" w:hAnsi="Arial"/>
          <w:color w:val="auto"/>
          <w:highlight w:val="none"/>
        </w:rPr>
        <w:t>投标人编写的投标文件应包括下列部分：</w:t>
      </w:r>
    </w:p>
    <w:p w14:paraId="5F7FA098">
      <w:pPr>
        <w:widowControl/>
        <w:numPr>
          <w:ilvl w:val="0"/>
          <w:numId w:val="12"/>
        </w:numPr>
        <w:snapToGrid w:val="0"/>
        <w:spacing w:line="400" w:lineRule="exact"/>
        <w:rPr>
          <w:color w:val="auto"/>
          <w:highlight w:val="none"/>
        </w:rPr>
      </w:pPr>
      <w:r>
        <w:rPr>
          <w:rFonts w:hint="eastAsia"/>
          <w:color w:val="auto"/>
          <w:highlight w:val="none"/>
        </w:rPr>
        <w:t>投标函；                                                       （附件一）</w:t>
      </w:r>
    </w:p>
    <w:p w14:paraId="7E5F6214">
      <w:pPr>
        <w:widowControl/>
        <w:numPr>
          <w:ilvl w:val="0"/>
          <w:numId w:val="12"/>
        </w:numPr>
        <w:snapToGrid w:val="0"/>
        <w:spacing w:line="400" w:lineRule="exact"/>
        <w:rPr>
          <w:color w:val="auto"/>
          <w:highlight w:val="none"/>
        </w:rPr>
      </w:pPr>
      <w:r>
        <w:rPr>
          <w:rFonts w:hint="eastAsia"/>
          <w:color w:val="auto"/>
          <w:highlight w:val="none"/>
        </w:rPr>
        <w:t xml:space="preserve">法定代表人或分公司负责人授权书；                      </w:t>
      </w:r>
      <w:r>
        <w:rPr>
          <w:rFonts w:hint="eastAsia"/>
          <w:color w:val="auto"/>
          <w:highlight w:val="none"/>
          <w:lang w:val="en-US" w:eastAsia="zh-CN"/>
        </w:rPr>
        <w:t xml:space="preserve">  </w:t>
      </w:r>
      <w:r>
        <w:rPr>
          <w:rFonts w:hint="eastAsia"/>
          <w:color w:val="auto"/>
          <w:highlight w:val="none"/>
        </w:rPr>
        <w:t xml:space="preserve">       （附件二-</w:t>
      </w:r>
      <w:r>
        <w:rPr>
          <w:color w:val="auto"/>
          <w:highlight w:val="none"/>
        </w:rPr>
        <w:t>1</w:t>
      </w:r>
      <w:r>
        <w:rPr>
          <w:rFonts w:hint="eastAsia"/>
          <w:color w:val="auto"/>
          <w:highlight w:val="none"/>
        </w:rPr>
        <w:t>）</w:t>
      </w:r>
    </w:p>
    <w:p w14:paraId="7DD10F9F">
      <w:pPr>
        <w:widowControl/>
        <w:snapToGrid w:val="0"/>
        <w:spacing w:line="400" w:lineRule="exact"/>
        <w:ind w:left="1544"/>
        <w:rPr>
          <w:color w:val="auto"/>
          <w:highlight w:val="none"/>
        </w:rPr>
      </w:pPr>
      <w:r>
        <w:rPr>
          <w:rFonts w:hint="eastAsia" w:ascii="Arial" w:cs="Arial"/>
          <w:color w:val="auto"/>
          <w:highlight w:val="none"/>
        </w:rPr>
        <w:t xml:space="preserve">法定代表人或分公司负责人身份证明 ；          </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color w:val="auto"/>
          <w:highlight w:val="none"/>
        </w:rPr>
        <w:t>（附件二-</w:t>
      </w:r>
      <w:r>
        <w:rPr>
          <w:color w:val="auto"/>
          <w:highlight w:val="none"/>
        </w:rPr>
        <w:t>2</w:t>
      </w:r>
      <w:r>
        <w:rPr>
          <w:rFonts w:hint="eastAsia"/>
          <w:color w:val="auto"/>
          <w:highlight w:val="none"/>
        </w:rPr>
        <w:t>）</w:t>
      </w:r>
    </w:p>
    <w:p w14:paraId="3CC17FAD">
      <w:pPr>
        <w:widowControl/>
        <w:numPr>
          <w:ilvl w:val="0"/>
          <w:numId w:val="12"/>
        </w:numPr>
        <w:snapToGrid w:val="0"/>
        <w:spacing w:line="400" w:lineRule="exact"/>
        <w:rPr>
          <w:color w:val="auto"/>
          <w:highlight w:val="none"/>
        </w:rPr>
      </w:pPr>
      <w:r>
        <w:rPr>
          <w:rFonts w:hint="eastAsia"/>
          <w:color w:val="auto"/>
          <w:highlight w:val="none"/>
        </w:rPr>
        <w:t>投标人简介；                                                   （附件三）</w:t>
      </w:r>
    </w:p>
    <w:p w14:paraId="3568E2E5">
      <w:pPr>
        <w:widowControl/>
        <w:numPr>
          <w:ilvl w:val="0"/>
          <w:numId w:val="12"/>
        </w:numPr>
        <w:snapToGrid w:val="0"/>
        <w:spacing w:line="400" w:lineRule="exact"/>
        <w:rPr>
          <w:color w:val="auto"/>
          <w:highlight w:val="none"/>
        </w:rPr>
      </w:pPr>
      <w:r>
        <w:rPr>
          <w:color w:val="auto"/>
          <w:highlight w:val="none"/>
        </w:rPr>
        <w:t>投标人基本情况声明</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（附件四）</w:t>
      </w:r>
    </w:p>
    <w:p w14:paraId="2C2857AE">
      <w:pPr>
        <w:widowControl/>
        <w:numPr>
          <w:ilvl w:val="0"/>
          <w:numId w:val="12"/>
        </w:numPr>
        <w:snapToGrid w:val="0"/>
        <w:spacing w:line="400" w:lineRule="exact"/>
        <w:rPr>
          <w:rFonts w:ascii="Arial" w:cs="Arial"/>
          <w:color w:val="auto"/>
          <w:highlight w:val="none"/>
        </w:rPr>
      </w:pPr>
      <w:r>
        <w:rPr>
          <w:rFonts w:hint="eastAsia" w:ascii="Arial" w:cs="Arial"/>
          <w:color w:val="auto"/>
          <w:highlight w:val="none"/>
        </w:rPr>
        <w:t xml:space="preserve">年度财务报表或审计报告；    </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color w:val="auto"/>
          <w:highlight w:val="none"/>
        </w:rPr>
        <w:t>（附件五）</w:t>
      </w:r>
    </w:p>
    <w:p w14:paraId="6A350C31">
      <w:pPr>
        <w:widowControl/>
        <w:numPr>
          <w:ilvl w:val="0"/>
          <w:numId w:val="12"/>
        </w:numPr>
        <w:snapToGrid w:val="0"/>
        <w:spacing w:line="400" w:lineRule="exact"/>
        <w:rPr>
          <w:rFonts w:ascii="Arial" w:cs="Arial"/>
          <w:color w:val="auto"/>
          <w:highlight w:val="none"/>
        </w:rPr>
      </w:pPr>
      <w:r>
        <w:rPr>
          <w:rFonts w:hint="eastAsia" w:ascii="Arial" w:cs="Arial"/>
          <w:color w:val="auto"/>
          <w:highlight w:val="none"/>
        </w:rPr>
        <w:t xml:space="preserve">投标人资格、资质证明文件（扫描件加盖投标人公章）；        </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color w:val="auto"/>
          <w:highlight w:val="none"/>
        </w:rPr>
        <w:t>（附件六）</w:t>
      </w:r>
    </w:p>
    <w:p w14:paraId="6CC275F6">
      <w:pPr>
        <w:widowControl/>
        <w:snapToGrid w:val="0"/>
        <w:spacing w:line="400" w:lineRule="exact"/>
        <w:ind w:left="822" w:firstLine="420" w:firstLineChars="200"/>
        <w:rPr>
          <w:rFonts w:ascii="Arial" w:cs="Arial"/>
          <w:color w:val="auto"/>
          <w:highlight w:val="none"/>
        </w:rPr>
      </w:pPr>
      <w:r>
        <w:rPr>
          <w:rFonts w:hint="eastAsia" w:ascii="Arial" w:cs="Arial"/>
          <w:color w:val="auto"/>
          <w:highlight w:val="none"/>
        </w:rPr>
        <w:t>1.中国银行保险监督管理委员会核发的金融业务许可证；</w:t>
      </w:r>
    </w:p>
    <w:p w14:paraId="4350F0F9">
      <w:pPr>
        <w:widowControl/>
        <w:snapToGrid w:val="0"/>
        <w:spacing w:line="400" w:lineRule="exact"/>
        <w:ind w:left="822" w:firstLine="420" w:firstLineChars="200"/>
        <w:rPr>
          <w:rFonts w:ascii="Arial" w:cs="Arial"/>
          <w:color w:val="auto"/>
          <w:highlight w:val="none"/>
        </w:rPr>
      </w:pPr>
      <w:r>
        <w:rPr>
          <w:rFonts w:hint="eastAsia" w:ascii="Arial" w:cs="Arial"/>
          <w:color w:val="auto"/>
          <w:highlight w:val="none"/>
        </w:rPr>
        <w:t>2.工商行政管理部门颁布的营业执照；</w:t>
      </w:r>
    </w:p>
    <w:p w14:paraId="5AB77E08">
      <w:pPr>
        <w:widowControl/>
        <w:snapToGrid w:val="0"/>
        <w:spacing w:line="400" w:lineRule="exact"/>
        <w:ind w:left="1449" w:leftChars="590" w:hanging="210" w:hangingChars="100"/>
        <w:rPr>
          <w:rFonts w:ascii="Arial" w:cs="Arial"/>
          <w:color w:val="auto"/>
          <w:highlight w:val="none"/>
        </w:rPr>
      </w:pPr>
      <w:r>
        <w:rPr>
          <w:rFonts w:hint="eastAsia" w:ascii="Arial" w:cs="Arial"/>
          <w:color w:val="auto"/>
          <w:highlight w:val="none"/>
        </w:rPr>
        <w:t>3.中国人民银行温州市分行关于2024年度在瑞银行业金融机构综合评价结果B级及以上证明材料（以附件一 投标函中承诺为准）；</w:t>
      </w:r>
    </w:p>
    <w:p w14:paraId="034B3D0A">
      <w:pPr>
        <w:widowControl/>
        <w:snapToGrid w:val="0"/>
        <w:spacing w:line="400" w:lineRule="exact"/>
        <w:ind w:left="822" w:firstLine="420" w:firstLineChars="200"/>
        <w:rPr>
          <w:rFonts w:ascii="Arial" w:cs="Arial"/>
          <w:color w:val="auto"/>
          <w:highlight w:val="none"/>
        </w:rPr>
      </w:pPr>
      <w:r>
        <w:rPr>
          <w:rFonts w:hint="eastAsia" w:ascii="Arial" w:cs="Arial"/>
          <w:color w:val="auto"/>
          <w:highlight w:val="none"/>
        </w:rPr>
        <w:t>4.税务部门出具的相关证明材料；</w:t>
      </w:r>
    </w:p>
    <w:p w14:paraId="501C7DA9">
      <w:pPr>
        <w:widowControl/>
        <w:snapToGrid w:val="0"/>
        <w:spacing w:line="400" w:lineRule="exact"/>
        <w:ind w:left="822" w:firstLine="420" w:firstLineChars="200"/>
        <w:rPr>
          <w:rFonts w:ascii="Arial" w:cs="Arial"/>
          <w:color w:val="auto"/>
          <w:highlight w:val="none"/>
        </w:rPr>
      </w:pPr>
      <w:r>
        <w:rPr>
          <w:rFonts w:hint="eastAsia" w:ascii="Arial" w:cs="Arial"/>
          <w:color w:val="auto"/>
          <w:highlight w:val="none"/>
        </w:rPr>
        <w:t>5.</w:t>
      </w:r>
      <w:r>
        <w:rPr>
          <w:rFonts w:hint="eastAsia" w:ascii="宋体" w:hAnsi="宋体" w:eastAsia="宋体" w:cs="宋体"/>
          <w:color w:val="auto"/>
          <w:highlight w:val="none"/>
        </w:rPr>
        <w:t>瑞安市金融工作服务中心《关于公布2024年度金融机构（组织）综合考核结果的</w:t>
      </w:r>
      <w:r>
        <w:rPr>
          <w:rFonts w:hint="eastAsia" w:ascii="宋体" w:hAnsi="宋体" w:eastAsia="宋体" w:cs="宋体"/>
          <w:color w:val="auto"/>
          <w:highlight w:val="none"/>
          <w:lang w:eastAsia="zh-CN"/>
        </w:rPr>
        <w:t>通知</w:t>
      </w:r>
      <w:r>
        <w:rPr>
          <w:rFonts w:hint="eastAsia" w:ascii="宋体" w:hAnsi="宋体" w:eastAsia="宋体" w:cs="宋体"/>
          <w:color w:val="auto"/>
          <w:highlight w:val="none"/>
        </w:rPr>
        <w:t>》</w:t>
      </w:r>
      <w:r>
        <w:rPr>
          <w:rFonts w:hint="eastAsia" w:ascii="Arial" w:cs="Arial"/>
          <w:color w:val="auto"/>
          <w:highlight w:val="none"/>
        </w:rPr>
        <w:t>；</w:t>
      </w:r>
    </w:p>
    <w:p w14:paraId="50AB6201">
      <w:pPr>
        <w:widowControl/>
        <w:snapToGrid w:val="0"/>
        <w:spacing w:line="400" w:lineRule="exact"/>
        <w:ind w:left="822" w:firstLine="420" w:firstLineChars="200"/>
        <w:rPr>
          <w:rFonts w:ascii="Arial" w:cs="Arial"/>
          <w:color w:val="auto"/>
          <w:highlight w:val="none"/>
        </w:rPr>
      </w:pPr>
      <w:r>
        <w:rPr>
          <w:rFonts w:hint="eastAsia" w:ascii="Arial" w:cs="Arial"/>
          <w:color w:val="auto"/>
          <w:highlight w:val="none"/>
        </w:rPr>
        <w:t>6.投标人其他相关的资格、资质证明文件（如有）。</w:t>
      </w:r>
    </w:p>
    <w:p w14:paraId="2D79E097">
      <w:pPr>
        <w:widowControl/>
        <w:numPr>
          <w:ilvl w:val="0"/>
          <w:numId w:val="12"/>
        </w:numPr>
        <w:snapToGrid w:val="0"/>
        <w:spacing w:line="400" w:lineRule="exact"/>
        <w:rPr>
          <w:color w:val="auto"/>
          <w:highlight w:val="none"/>
        </w:rPr>
      </w:pPr>
      <w:r>
        <w:rPr>
          <w:rFonts w:hint="eastAsia"/>
          <w:color w:val="auto"/>
          <w:highlight w:val="none"/>
        </w:rPr>
        <w:t xml:space="preserve">服务水平；                                             </w:t>
      </w:r>
      <w:r>
        <w:rPr>
          <w:rFonts w:hint="eastAsia"/>
          <w:color w:val="auto"/>
          <w:highlight w:val="none"/>
          <w:lang w:val="en-US" w:eastAsia="zh-CN"/>
        </w:rPr>
        <w:t xml:space="preserve"> </w:t>
      </w:r>
      <w:r>
        <w:rPr>
          <w:rFonts w:hint="eastAsia"/>
          <w:color w:val="auto"/>
          <w:highlight w:val="none"/>
        </w:rPr>
        <w:t xml:space="preserve">       （附件七） </w:t>
      </w:r>
    </w:p>
    <w:p w14:paraId="547CE3FA">
      <w:pPr>
        <w:widowControl/>
        <w:numPr>
          <w:ilvl w:val="0"/>
          <w:numId w:val="12"/>
        </w:numPr>
        <w:snapToGrid w:val="0"/>
        <w:spacing w:line="400" w:lineRule="exact"/>
        <w:rPr>
          <w:color w:val="auto"/>
          <w:highlight w:val="none"/>
        </w:rPr>
      </w:pPr>
      <w:r>
        <w:rPr>
          <w:rFonts w:hint="eastAsia"/>
          <w:color w:val="auto"/>
          <w:highlight w:val="none"/>
        </w:rPr>
        <w:t xml:space="preserve">报价一览表；                               </w:t>
      </w:r>
      <w:r>
        <w:rPr>
          <w:rFonts w:hint="eastAsia"/>
          <w:color w:val="auto"/>
          <w:highlight w:val="none"/>
          <w:lang w:val="en-US" w:eastAsia="zh-CN"/>
        </w:rPr>
        <w:t xml:space="preserve">                 </w:t>
      </w:r>
      <w:r>
        <w:rPr>
          <w:rFonts w:hint="eastAsia"/>
          <w:color w:val="auto"/>
          <w:highlight w:val="none"/>
        </w:rPr>
        <w:t xml:space="preserve">   （附件八）</w:t>
      </w:r>
    </w:p>
    <w:p w14:paraId="232B8C1D">
      <w:pPr>
        <w:widowControl/>
        <w:numPr>
          <w:ilvl w:val="0"/>
          <w:numId w:val="12"/>
        </w:numPr>
        <w:snapToGrid w:val="0"/>
        <w:spacing w:line="400" w:lineRule="exact"/>
        <w:rPr>
          <w:color w:val="auto"/>
          <w:highlight w:val="none"/>
        </w:rPr>
      </w:pPr>
      <w:r>
        <w:rPr>
          <w:rFonts w:hint="eastAsia"/>
          <w:color w:val="auto"/>
          <w:highlight w:val="none"/>
        </w:rPr>
        <w:t xml:space="preserve">服务承诺书；                                             </w:t>
      </w:r>
      <w:r>
        <w:rPr>
          <w:rFonts w:hint="eastAsia"/>
          <w:color w:val="auto"/>
          <w:highlight w:val="none"/>
          <w:lang w:val="en-US" w:eastAsia="zh-CN"/>
        </w:rPr>
        <w:t xml:space="preserve"> </w:t>
      </w:r>
      <w:r>
        <w:rPr>
          <w:rFonts w:hint="eastAsia"/>
          <w:color w:val="auto"/>
          <w:highlight w:val="none"/>
        </w:rPr>
        <w:t xml:space="preserve">     （附件九）</w:t>
      </w:r>
    </w:p>
    <w:p w14:paraId="72B70840">
      <w:pPr>
        <w:widowControl/>
        <w:numPr>
          <w:ilvl w:val="0"/>
          <w:numId w:val="12"/>
        </w:numPr>
        <w:snapToGrid w:val="0"/>
        <w:spacing w:line="400" w:lineRule="exact"/>
        <w:rPr>
          <w:color w:val="auto"/>
          <w:highlight w:val="none"/>
        </w:rPr>
      </w:pPr>
      <w:r>
        <w:rPr>
          <w:rFonts w:hint="eastAsia"/>
          <w:color w:val="auto"/>
          <w:highlight w:val="none"/>
        </w:rPr>
        <w:t xml:space="preserve">廉政承诺书；                                               </w:t>
      </w:r>
      <w:r>
        <w:rPr>
          <w:rFonts w:hint="eastAsia"/>
          <w:color w:val="auto"/>
          <w:highlight w:val="none"/>
          <w:lang w:val="en-US" w:eastAsia="zh-CN"/>
        </w:rPr>
        <w:t xml:space="preserve"> </w:t>
      </w:r>
      <w:r>
        <w:rPr>
          <w:rFonts w:hint="eastAsia"/>
          <w:color w:val="auto"/>
          <w:highlight w:val="none"/>
        </w:rPr>
        <w:t xml:space="preserve">   （附件十） </w:t>
      </w:r>
    </w:p>
    <w:p w14:paraId="51CD3952">
      <w:pPr>
        <w:widowControl/>
        <w:numPr>
          <w:ilvl w:val="0"/>
          <w:numId w:val="12"/>
        </w:numPr>
        <w:snapToGrid w:val="0"/>
        <w:spacing w:line="400" w:lineRule="exact"/>
        <w:rPr>
          <w:color w:val="auto"/>
          <w:highlight w:val="none"/>
        </w:rPr>
      </w:pPr>
      <w:r>
        <w:rPr>
          <w:rFonts w:hint="eastAsia"/>
          <w:color w:val="auto"/>
          <w:highlight w:val="none"/>
        </w:rPr>
        <w:t xml:space="preserve">近3年无重大违法违规记录及重大违约事件承诺书；              </w:t>
      </w:r>
      <w:r>
        <w:rPr>
          <w:rFonts w:hint="eastAsia"/>
          <w:color w:val="auto"/>
          <w:highlight w:val="none"/>
          <w:lang w:val="en-US" w:eastAsia="zh-CN"/>
        </w:rPr>
        <w:t xml:space="preserve"> </w:t>
      </w:r>
      <w:r>
        <w:rPr>
          <w:rFonts w:hint="eastAsia"/>
          <w:color w:val="auto"/>
          <w:highlight w:val="none"/>
        </w:rPr>
        <w:t xml:space="preserve">   （附件十一）            </w:t>
      </w:r>
    </w:p>
    <w:p w14:paraId="281C5C84">
      <w:pPr>
        <w:widowControl/>
        <w:numPr>
          <w:ilvl w:val="0"/>
          <w:numId w:val="12"/>
        </w:numPr>
        <w:snapToGrid w:val="0"/>
        <w:spacing w:line="400" w:lineRule="exact"/>
        <w:rPr>
          <w:color w:val="auto"/>
          <w:highlight w:val="none"/>
        </w:rPr>
      </w:pPr>
      <w:r>
        <w:rPr>
          <w:rFonts w:hint="eastAsia"/>
          <w:color w:val="auto"/>
          <w:highlight w:val="none"/>
        </w:rPr>
        <w:t>根据招标文件中的招标内容与要求，投标人认为需要提供的其它文件和资料。</w:t>
      </w:r>
    </w:p>
    <w:p w14:paraId="513A49EB">
      <w:pPr>
        <w:widowControl/>
        <w:snapToGrid w:val="0"/>
        <w:spacing w:line="400" w:lineRule="exact"/>
        <w:ind w:left="842" w:leftChars="400" w:hanging="2" w:hangingChars="1"/>
        <w:rPr>
          <w:color w:val="auto"/>
          <w:highlight w:val="none"/>
        </w:rPr>
      </w:pPr>
      <w:r>
        <w:rPr>
          <w:rFonts w:hint="eastAsia" w:ascii="宋体" w:hAnsi="宋体" w:eastAsia="宋体" w:cs="宋体"/>
          <w:b/>
          <w:bCs/>
          <w:color w:val="auto"/>
          <w:highlight w:val="none"/>
          <w:lang w:val="zh-CN"/>
        </w:rPr>
        <w:t>注：</w:t>
      </w:r>
      <w:r>
        <w:rPr>
          <w:rFonts w:hint="eastAsia" w:ascii="宋体" w:hAnsi="宋体" w:eastAsia="宋体" w:cs="宋体"/>
          <w:b/>
          <w:bCs/>
          <w:color w:val="auto"/>
          <w:highlight w:val="none"/>
        </w:rPr>
        <w:t>瑞安市财政局预算执行局出具的来源于中国人民银行截止2024年12月31日止的利息净收入数据表</w:t>
      </w:r>
      <w:r>
        <w:rPr>
          <w:rFonts w:hint="eastAsia" w:ascii="宋体" w:hAnsi="宋体" w:eastAsia="宋体" w:cs="宋体"/>
          <w:b/>
          <w:bCs/>
          <w:color w:val="auto"/>
          <w:kern w:val="0"/>
          <w:szCs w:val="21"/>
          <w:highlight w:val="none"/>
        </w:rPr>
        <w:t>，</w:t>
      </w:r>
      <w:r>
        <w:rPr>
          <w:rFonts w:hint="eastAsia" w:ascii="宋体" w:hAnsi="宋体" w:eastAsia="宋体" w:cs="宋体"/>
          <w:b/>
          <w:bCs/>
          <w:color w:val="auto"/>
          <w:highlight w:val="none"/>
          <w:lang w:val="zh-CN"/>
        </w:rPr>
        <w:t>投标人不需要在投标文件中提供</w:t>
      </w:r>
      <w:r>
        <w:rPr>
          <w:rFonts w:hint="eastAsia" w:ascii="宋体" w:hAnsi="宋体" w:eastAsia="宋体" w:cs="宋体"/>
          <w:b/>
          <w:bCs/>
          <w:color w:val="auto"/>
          <w:highlight w:val="none"/>
        </w:rPr>
        <w:t>以上</w:t>
      </w:r>
      <w:r>
        <w:rPr>
          <w:rFonts w:hint="eastAsia" w:ascii="宋体" w:hAnsi="宋体" w:eastAsia="宋体" w:cs="宋体"/>
          <w:b/>
          <w:bCs/>
          <w:color w:val="auto"/>
          <w:highlight w:val="none"/>
          <w:lang w:val="zh-CN"/>
        </w:rPr>
        <w:t>证明材料。</w:t>
      </w:r>
    </w:p>
    <w:p w14:paraId="1010B89A">
      <w:pPr>
        <w:widowControl/>
        <w:numPr>
          <w:ilvl w:val="1"/>
          <w:numId w:val="11"/>
        </w:numPr>
        <w:snapToGrid w:val="0"/>
        <w:spacing w:line="400" w:lineRule="exact"/>
        <w:rPr>
          <w:rFonts w:ascii="Arial" w:hAnsi="Arial"/>
          <w:color w:val="auto"/>
          <w:highlight w:val="none"/>
        </w:rPr>
      </w:pPr>
      <w:r>
        <w:rPr>
          <w:rFonts w:ascii="Arial" w:hAnsi="Arial"/>
          <w:color w:val="auto"/>
          <w:highlight w:val="none"/>
        </w:rPr>
        <w:t>投标人应在认真阅读招标文件所有内容的基础上，按照招标文件的要求编制完整的投标文件。投标</w:t>
      </w:r>
      <w:r>
        <w:rPr>
          <w:rFonts w:hint="eastAsia" w:ascii="Arial" w:hAnsi="Arial"/>
          <w:color w:val="auto"/>
          <w:highlight w:val="none"/>
        </w:rPr>
        <w:t>文件</w:t>
      </w:r>
      <w:r>
        <w:rPr>
          <w:rFonts w:ascii="Arial" w:hAnsi="Arial"/>
          <w:color w:val="auto"/>
          <w:highlight w:val="none"/>
        </w:rPr>
        <w:t>应按照招标文件中规定的统一格式填写，严格按照规定的顺序装订成册并编制目录，混乱的编排导致投标文件被误读或</w:t>
      </w:r>
      <w:r>
        <w:rPr>
          <w:rFonts w:hint="eastAsia" w:ascii="Arial" w:hAnsi="Arial"/>
          <w:color w:val="auto"/>
          <w:highlight w:val="none"/>
        </w:rPr>
        <w:t>采购代理机构</w:t>
      </w:r>
      <w:r>
        <w:rPr>
          <w:rFonts w:ascii="Arial" w:hAnsi="Arial"/>
          <w:color w:val="auto"/>
          <w:highlight w:val="none"/>
        </w:rPr>
        <w:t>查找不到有效文件是投标人的风险。招标文件对投标文件格式有要求的应按格式逐项填写内容，不准有空项；无相应内容可填的项应填写“无”、“未测试”、“没有相应指标”等明确的回答文字。</w:t>
      </w:r>
    </w:p>
    <w:p w14:paraId="480D7067">
      <w:pPr>
        <w:widowControl/>
        <w:numPr>
          <w:ilvl w:val="1"/>
          <w:numId w:val="11"/>
        </w:numPr>
        <w:snapToGrid w:val="0"/>
        <w:spacing w:line="400" w:lineRule="exact"/>
        <w:rPr>
          <w:rFonts w:ascii="Arial" w:hAnsi="Arial"/>
          <w:color w:val="auto"/>
          <w:highlight w:val="none"/>
        </w:rPr>
      </w:pPr>
      <w:r>
        <w:rPr>
          <w:rFonts w:ascii="Arial" w:hAnsi="Arial"/>
          <w:color w:val="auto"/>
          <w:highlight w:val="none"/>
        </w:rPr>
        <w:t>投标人必须保证投标文件所提供的全部资料真实可靠，并接受</w:t>
      </w:r>
      <w:r>
        <w:rPr>
          <w:rFonts w:hint="eastAsia" w:ascii="Arial" w:hAnsi="Arial"/>
          <w:color w:val="auto"/>
          <w:highlight w:val="none"/>
        </w:rPr>
        <w:t>采购代理机构</w:t>
      </w:r>
      <w:r>
        <w:rPr>
          <w:rFonts w:ascii="Arial" w:hAnsi="Arial"/>
          <w:color w:val="auto"/>
          <w:highlight w:val="none"/>
        </w:rPr>
        <w:t>对其中任何资料进一步审查的要求。</w:t>
      </w:r>
      <w:r>
        <w:rPr>
          <w:rFonts w:hint="eastAsia"/>
          <w:color w:val="auto"/>
          <w:highlight w:val="none"/>
        </w:rPr>
        <w:t>提供虚假证明的投标人将被取消</w:t>
      </w:r>
      <w:r>
        <w:rPr>
          <w:rFonts w:hint="eastAsia"/>
          <w:bCs/>
          <w:color w:val="auto"/>
          <w:highlight w:val="none"/>
        </w:rPr>
        <w:t>投标</w:t>
      </w:r>
      <w:r>
        <w:rPr>
          <w:rFonts w:hint="eastAsia"/>
          <w:color w:val="auto"/>
          <w:highlight w:val="none"/>
        </w:rPr>
        <w:t>资格。</w:t>
      </w:r>
    </w:p>
    <w:p w14:paraId="3936FDF6">
      <w:pPr>
        <w:widowControl/>
        <w:numPr>
          <w:ilvl w:val="1"/>
          <w:numId w:val="11"/>
        </w:numPr>
        <w:snapToGrid w:val="0"/>
        <w:spacing w:line="400" w:lineRule="exact"/>
        <w:rPr>
          <w:color w:val="auto"/>
          <w:szCs w:val="21"/>
          <w:highlight w:val="none"/>
        </w:rPr>
      </w:pPr>
      <w:r>
        <w:rPr>
          <w:rFonts w:ascii="Arial" w:hAnsi="Arial"/>
          <w:color w:val="auto"/>
          <w:highlight w:val="none"/>
        </w:rPr>
        <w:t>投标文件须对招标文件中的内容做出实质性和完整的响应</w:t>
      </w:r>
      <w:r>
        <w:rPr>
          <w:rFonts w:hint="eastAsia" w:ascii="Arial" w:hAnsi="Arial"/>
          <w:color w:val="auto"/>
          <w:highlight w:val="none"/>
        </w:rPr>
        <w:t>（文中带“▲”标识）</w:t>
      </w:r>
      <w:r>
        <w:rPr>
          <w:rFonts w:ascii="Arial" w:hAnsi="Arial"/>
          <w:color w:val="auto"/>
          <w:highlight w:val="none"/>
        </w:rPr>
        <w:t>，否则其投标将被拒绝。如果投标文件填报的内容资料不详，或没有提供招标文件中所要求的全部资料及数据，</w:t>
      </w:r>
      <w:r>
        <w:rPr>
          <w:rFonts w:hint="eastAsia" w:ascii="Arial" w:hAnsi="Arial"/>
          <w:color w:val="auto"/>
          <w:highlight w:val="none"/>
        </w:rPr>
        <w:t>将可能会导致评标委员会作出对其不利的判断和分析。</w:t>
      </w:r>
    </w:p>
    <w:p w14:paraId="4353354C">
      <w:pPr>
        <w:widowControl/>
        <w:numPr>
          <w:ilvl w:val="0"/>
          <w:numId w:val="11"/>
        </w:numPr>
        <w:snapToGrid w:val="0"/>
        <w:spacing w:line="400" w:lineRule="exact"/>
        <w:rPr>
          <w:rFonts w:ascii="Arial" w:hAnsi="Arial"/>
          <w:b/>
          <w:color w:val="auto"/>
          <w:sz w:val="24"/>
          <w:highlight w:val="none"/>
        </w:rPr>
      </w:pPr>
      <w:r>
        <w:rPr>
          <w:rFonts w:hint="eastAsia" w:ascii="Arial" w:hAnsi="Arial"/>
          <w:b/>
          <w:color w:val="auto"/>
          <w:sz w:val="24"/>
          <w:highlight w:val="none"/>
        </w:rPr>
        <w:t>投标有效期</w:t>
      </w:r>
    </w:p>
    <w:p w14:paraId="2FC39126">
      <w:pPr>
        <w:widowControl/>
        <w:numPr>
          <w:ilvl w:val="1"/>
          <w:numId w:val="11"/>
        </w:numPr>
        <w:snapToGrid w:val="0"/>
        <w:spacing w:line="400" w:lineRule="exact"/>
        <w:rPr>
          <w:color w:val="auto"/>
          <w:highlight w:val="none"/>
        </w:rPr>
      </w:pPr>
      <w:r>
        <w:rPr>
          <w:rFonts w:hint="eastAsia" w:ascii="宋体" w:hAnsi="宋体"/>
          <w:color w:val="auto"/>
          <w:szCs w:val="21"/>
          <w:highlight w:val="none"/>
        </w:rPr>
        <w:t>提交投标文件截止日起90天内</w:t>
      </w:r>
      <w:r>
        <w:rPr>
          <w:rFonts w:hint="eastAsia" w:ascii="宋体" w:hAnsi="宋体"/>
          <w:color w:val="auto"/>
          <w:highlight w:val="none"/>
        </w:rPr>
        <w:t>，</w:t>
      </w:r>
      <w:r>
        <w:rPr>
          <w:rFonts w:hint="eastAsia" w:ascii="宋体"/>
          <w:color w:val="auto"/>
          <w:highlight w:val="none"/>
        </w:rPr>
        <w:t>投标文件应保持有效。</w:t>
      </w:r>
      <w:r>
        <w:rPr>
          <w:rFonts w:hint="eastAsia"/>
          <w:color w:val="auto"/>
          <w:highlight w:val="none"/>
        </w:rPr>
        <w:t>投标有效期比规定期限短的将被视为非响应投标而予以否决。</w:t>
      </w:r>
    </w:p>
    <w:p w14:paraId="6EB4B3DA">
      <w:pPr>
        <w:widowControl/>
        <w:numPr>
          <w:ilvl w:val="1"/>
          <w:numId w:val="11"/>
        </w:numPr>
        <w:snapToGrid w:val="0"/>
        <w:spacing w:line="400" w:lineRule="exact"/>
        <w:rPr>
          <w:color w:val="auto"/>
          <w:highlight w:val="none"/>
        </w:rPr>
      </w:pPr>
      <w:r>
        <w:rPr>
          <w:rFonts w:hint="eastAsia" w:ascii="宋体" w:hAnsi="宋体"/>
          <w:color w:val="auto"/>
          <w:highlight w:val="none"/>
        </w:rPr>
        <w:t>特殊情况下，采购代理机构可于投标有效期满之前要求投标人同意延长有效期，要求与答复均应为书面形式。投标人可拒绝前述要求。对于同意该要求的投标人，既不要求也不允许其修改投标文件。</w:t>
      </w:r>
    </w:p>
    <w:p w14:paraId="470290AC">
      <w:pPr>
        <w:widowControl/>
        <w:numPr>
          <w:ilvl w:val="0"/>
          <w:numId w:val="11"/>
        </w:numPr>
        <w:snapToGrid w:val="0"/>
        <w:spacing w:line="400" w:lineRule="exact"/>
        <w:rPr>
          <w:rFonts w:ascii="Arial" w:hAnsi="Arial"/>
          <w:color w:val="auto"/>
          <w:highlight w:val="none"/>
        </w:rPr>
      </w:pPr>
      <w:r>
        <w:rPr>
          <w:rFonts w:hint="eastAsia" w:ascii="Arial" w:hAnsi="Arial"/>
          <w:b/>
          <w:color w:val="auto"/>
          <w:sz w:val="24"/>
          <w:highlight w:val="none"/>
        </w:rPr>
        <w:t>投标文件的式样和签署</w:t>
      </w:r>
    </w:p>
    <w:p w14:paraId="3FD62C76">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投标人应按照招标文件和政府采购云平台的要求，根据投标文件的组成规定的内容及顺序通过政采云电子交易客户端（政采云投标客户端）编制投标文件，投标文件内容不完整、编排混乱导致投标文件被误读、漏读或者查找不到相关内容的，是投标人的责任。</w:t>
      </w:r>
    </w:p>
    <w:p w14:paraId="3BC2F9DE">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投标文件中所须加盖公章部分均采用CA电子签章或投标人公章，不得使用投标专用章、合同章等类似图章代替；所涉及法定代表人或授权代表的签字（或盖章）均按投标文件要求由法定代表人或授权代表本人签字（或盖章）。</w:t>
      </w:r>
    </w:p>
    <w:p w14:paraId="50250C36">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投标文件不得涂改和增删，如有修改错漏处，必须由同一签署人签字或盖章。</w:t>
      </w:r>
    </w:p>
    <w:p w14:paraId="08BD714E">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投标文件因字迹潦草或表达不清所引起的后果由投标人自行负责。</w:t>
      </w:r>
    </w:p>
    <w:p w14:paraId="22E4EEED">
      <w:pPr>
        <w:widowControl/>
        <w:numPr>
          <w:ilvl w:val="0"/>
          <w:numId w:val="11"/>
        </w:numPr>
        <w:snapToGrid w:val="0"/>
        <w:spacing w:line="400" w:lineRule="exact"/>
        <w:rPr>
          <w:rFonts w:ascii="Arial" w:hAnsi="Arial"/>
          <w:b/>
          <w:color w:val="auto"/>
          <w:sz w:val="24"/>
          <w:highlight w:val="none"/>
        </w:rPr>
      </w:pPr>
      <w:r>
        <w:rPr>
          <w:rFonts w:hint="eastAsia" w:ascii="Arial" w:hAnsi="Arial"/>
          <w:b/>
          <w:color w:val="auto"/>
          <w:sz w:val="24"/>
          <w:highlight w:val="none"/>
        </w:rPr>
        <w:t>知识产权</w:t>
      </w:r>
    </w:p>
    <w:p w14:paraId="623A9C83">
      <w:pPr>
        <w:widowControl/>
        <w:numPr>
          <w:ilvl w:val="1"/>
          <w:numId w:val="11"/>
        </w:numPr>
        <w:snapToGrid w:val="0"/>
        <w:spacing w:line="400" w:lineRule="exact"/>
        <w:rPr>
          <w:rFonts w:ascii="Arial" w:hAnsi="Arial"/>
          <w:b/>
          <w:color w:val="auto"/>
          <w:sz w:val="24"/>
          <w:highlight w:val="none"/>
        </w:rPr>
      </w:pPr>
      <w:r>
        <w:rPr>
          <w:rFonts w:hint="eastAsia" w:ascii="Arial" w:hAnsi="Arial"/>
          <w:color w:val="auto"/>
          <w:highlight w:val="none"/>
        </w:rPr>
        <w:t>投标人应保证，招标人在中华人民共和国使用服务时，招标人免受第三方提出侵犯其专利权、商标权或其它知识产权的起诉；</w:t>
      </w:r>
    </w:p>
    <w:p w14:paraId="211BE0F5">
      <w:pPr>
        <w:widowControl/>
        <w:numPr>
          <w:ilvl w:val="0"/>
          <w:numId w:val="11"/>
        </w:numPr>
        <w:snapToGrid w:val="0"/>
        <w:spacing w:line="400" w:lineRule="exact"/>
        <w:rPr>
          <w:rFonts w:ascii="Arial" w:hAnsi="Arial" w:cs="Arial"/>
          <w:b/>
          <w:bCs/>
          <w:color w:val="auto"/>
          <w:sz w:val="24"/>
          <w:highlight w:val="none"/>
        </w:rPr>
      </w:pPr>
      <w:r>
        <w:rPr>
          <w:rFonts w:hint="eastAsia" w:ascii="Arial" w:hAnsi="宋体" w:cs="Arial"/>
          <w:b/>
          <w:bCs/>
          <w:color w:val="auto"/>
          <w:sz w:val="24"/>
          <w:highlight w:val="none"/>
        </w:rPr>
        <w:t>串通行为</w:t>
      </w:r>
    </w:p>
    <w:p w14:paraId="645E717B">
      <w:pPr>
        <w:widowControl/>
        <w:numPr>
          <w:ilvl w:val="1"/>
          <w:numId w:val="11"/>
        </w:numPr>
        <w:snapToGrid w:val="0"/>
        <w:spacing w:line="400" w:lineRule="exact"/>
        <w:rPr>
          <w:rFonts w:ascii="Arial" w:hAnsi="Arial" w:cs="Arial"/>
          <w:color w:val="auto"/>
          <w:highlight w:val="none"/>
        </w:rPr>
      </w:pPr>
      <w:r>
        <w:rPr>
          <w:rFonts w:ascii="Arial" w:hAnsi="宋体" w:cs="Arial"/>
          <w:color w:val="auto"/>
          <w:highlight w:val="none"/>
        </w:rPr>
        <w:t>投标人或招标采购单位有下列情形之一的，属于串通行为：</w:t>
      </w:r>
    </w:p>
    <w:p w14:paraId="747A575C">
      <w:pPr>
        <w:widowControl/>
        <w:snapToGrid w:val="0"/>
        <w:spacing w:line="400" w:lineRule="exact"/>
        <w:ind w:left="840"/>
        <w:rPr>
          <w:rFonts w:ascii="宋体" w:hAnsi="宋体"/>
          <w:color w:val="auto"/>
          <w:highlight w:val="none"/>
        </w:rPr>
      </w:pPr>
      <w:r>
        <w:rPr>
          <w:rFonts w:hint="eastAsia" w:ascii="宋体" w:hAnsi="宋体"/>
          <w:color w:val="auto"/>
          <w:highlight w:val="none"/>
        </w:rPr>
        <w:t>（1）</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 xml:space="preserve">文件由同一单位或人员编制的； </w:t>
      </w:r>
    </w:p>
    <w:p w14:paraId="0D621E32">
      <w:pPr>
        <w:widowControl/>
        <w:snapToGrid w:val="0"/>
        <w:spacing w:line="400" w:lineRule="exact"/>
        <w:ind w:left="840"/>
        <w:rPr>
          <w:rFonts w:ascii="宋体" w:hAnsi="宋体"/>
          <w:color w:val="auto"/>
          <w:highlight w:val="none"/>
        </w:rPr>
      </w:pPr>
      <w:r>
        <w:rPr>
          <w:rFonts w:hint="eastAsia" w:ascii="宋体" w:hAnsi="宋体"/>
          <w:color w:val="auto"/>
          <w:highlight w:val="none"/>
        </w:rPr>
        <w:t>（2）</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委托同一单位或人员办理投标事宜的；</w:t>
      </w:r>
    </w:p>
    <w:p w14:paraId="270B0F75">
      <w:pPr>
        <w:widowControl/>
        <w:snapToGrid w:val="0"/>
        <w:spacing w:line="400" w:lineRule="exact"/>
        <w:ind w:left="840"/>
        <w:rPr>
          <w:rFonts w:ascii="宋体" w:hAnsi="宋体"/>
          <w:color w:val="auto"/>
          <w:highlight w:val="none"/>
        </w:rPr>
      </w:pPr>
      <w:r>
        <w:rPr>
          <w:rFonts w:hint="eastAsia" w:ascii="宋体" w:hAnsi="宋体"/>
          <w:color w:val="auto"/>
          <w:highlight w:val="none"/>
        </w:rPr>
        <w:t>（3）</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 xml:space="preserve">文件中的内容出现非正常的一致，或者报价细目呈明显规律性变化，或在完全可比的情况下投标总价均高于市场平均价的； </w:t>
      </w:r>
    </w:p>
    <w:p w14:paraId="75133D80">
      <w:pPr>
        <w:widowControl/>
        <w:snapToGrid w:val="0"/>
        <w:spacing w:line="400" w:lineRule="exact"/>
        <w:ind w:left="840"/>
        <w:rPr>
          <w:rFonts w:ascii="宋体" w:hAnsi="宋体"/>
          <w:color w:val="auto"/>
          <w:highlight w:val="none"/>
        </w:rPr>
      </w:pPr>
      <w:r>
        <w:rPr>
          <w:rFonts w:hint="eastAsia" w:ascii="宋体" w:hAnsi="宋体"/>
          <w:color w:val="auto"/>
          <w:highlight w:val="none"/>
        </w:rPr>
        <w:t>（4）</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文件载明的项目管理或</w:t>
      </w:r>
      <w:r>
        <w:rPr>
          <w:rFonts w:hint="eastAsia" w:ascii="宋体" w:hAnsi="宋体"/>
          <w:color w:val="auto"/>
          <w:highlight w:val="none"/>
        </w:rPr>
        <w:t>联系人员为同一人</w:t>
      </w:r>
      <w:r>
        <w:rPr>
          <w:rFonts w:ascii="宋体" w:hAnsi="宋体"/>
          <w:color w:val="auto"/>
          <w:highlight w:val="none"/>
        </w:rPr>
        <w:t>；</w:t>
      </w:r>
    </w:p>
    <w:p w14:paraId="18A32472">
      <w:pPr>
        <w:widowControl/>
        <w:snapToGrid w:val="0"/>
        <w:spacing w:line="400" w:lineRule="exact"/>
        <w:ind w:left="840"/>
        <w:rPr>
          <w:rFonts w:ascii="宋体" w:hAnsi="宋体"/>
          <w:color w:val="auto"/>
          <w:highlight w:val="none"/>
        </w:rPr>
      </w:pPr>
      <w:r>
        <w:rPr>
          <w:rFonts w:hint="eastAsia" w:ascii="宋体" w:hAnsi="宋体"/>
          <w:color w:val="auto"/>
          <w:highlight w:val="none"/>
        </w:rPr>
        <w:t>（5）</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 xml:space="preserve">的授权代表为同一单位的工作人员的； </w:t>
      </w:r>
    </w:p>
    <w:p w14:paraId="78D0CF2F">
      <w:pPr>
        <w:widowControl/>
        <w:snapToGrid w:val="0"/>
        <w:spacing w:line="400" w:lineRule="exact"/>
        <w:ind w:left="840"/>
        <w:rPr>
          <w:rFonts w:ascii="宋体" w:hAnsi="宋体"/>
          <w:color w:val="auto"/>
          <w:highlight w:val="none"/>
        </w:rPr>
      </w:pPr>
      <w:r>
        <w:rPr>
          <w:rFonts w:hint="eastAsia" w:ascii="宋体" w:hAnsi="宋体"/>
          <w:color w:val="auto"/>
          <w:highlight w:val="none"/>
        </w:rPr>
        <w:t>（6）</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文件相互混装，或在一个</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文件内遗留有其他</w:t>
      </w:r>
      <w:r>
        <w:rPr>
          <w:rFonts w:hint="eastAsia" w:ascii="宋体" w:hAnsi="宋体"/>
          <w:color w:val="auto"/>
          <w:highlight w:val="none"/>
        </w:rPr>
        <w:t>投标人</w:t>
      </w:r>
      <w:r>
        <w:rPr>
          <w:rFonts w:ascii="宋体" w:hAnsi="宋体"/>
          <w:color w:val="auto"/>
          <w:highlight w:val="none"/>
        </w:rPr>
        <w:t>的签名、盖章等不属于本</w:t>
      </w:r>
      <w:r>
        <w:rPr>
          <w:rFonts w:hint="eastAsia" w:ascii="宋体" w:hAnsi="宋体"/>
          <w:color w:val="auto"/>
          <w:highlight w:val="none"/>
        </w:rPr>
        <w:t>投标人</w:t>
      </w:r>
      <w:r>
        <w:rPr>
          <w:rFonts w:ascii="宋体" w:hAnsi="宋体"/>
          <w:color w:val="auto"/>
          <w:highlight w:val="none"/>
        </w:rPr>
        <w:t xml:space="preserve">参加采购必需的信息资料的； </w:t>
      </w:r>
    </w:p>
    <w:p w14:paraId="0D837D82">
      <w:pPr>
        <w:widowControl/>
        <w:snapToGrid w:val="0"/>
        <w:spacing w:line="400" w:lineRule="exact"/>
        <w:ind w:left="840"/>
        <w:rPr>
          <w:rFonts w:ascii="宋体" w:hAnsi="宋体"/>
          <w:color w:val="auto"/>
          <w:highlight w:val="none"/>
        </w:rPr>
      </w:pPr>
      <w:r>
        <w:rPr>
          <w:rFonts w:hint="eastAsia" w:ascii="宋体" w:hAnsi="宋体"/>
          <w:color w:val="auto"/>
          <w:highlight w:val="none"/>
        </w:rPr>
        <w:t>（7）</w:t>
      </w:r>
      <w:r>
        <w:rPr>
          <w:rFonts w:ascii="宋体" w:hAnsi="宋体"/>
          <w:color w:val="auto"/>
          <w:highlight w:val="none"/>
        </w:rPr>
        <w:t>采购响应截止时间后，</w:t>
      </w:r>
      <w:r>
        <w:rPr>
          <w:rFonts w:hint="eastAsia" w:ascii="Arial" w:hAnsi="Arial"/>
          <w:color w:val="auto"/>
          <w:highlight w:val="none"/>
        </w:rPr>
        <w:t>招标</w:t>
      </w:r>
      <w:r>
        <w:rPr>
          <w:rFonts w:ascii="Arial" w:hAnsi="Arial"/>
          <w:color w:val="auto"/>
          <w:highlight w:val="none"/>
        </w:rPr>
        <w:t>采购单位</w:t>
      </w:r>
      <w:r>
        <w:rPr>
          <w:rFonts w:ascii="宋体" w:hAnsi="宋体"/>
          <w:color w:val="auto"/>
          <w:highlight w:val="none"/>
        </w:rPr>
        <w:t>协助</w:t>
      </w:r>
      <w:r>
        <w:rPr>
          <w:rFonts w:hint="eastAsia" w:ascii="宋体" w:hAnsi="宋体"/>
          <w:color w:val="auto"/>
          <w:highlight w:val="none"/>
        </w:rPr>
        <w:t>投标人</w:t>
      </w:r>
      <w:r>
        <w:rPr>
          <w:rFonts w:ascii="宋体" w:hAnsi="宋体"/>
          <w:color w:val="auto"/>
          <w:highlight w:val="none"/>
        </w:rPr>
        <w:t>撤换或更改</w:t>
      </w:r>
      <w:r>
        <w:rPr>
          <w:rFonts w:hint="eastAsia" w:ascii="宋体" w:hAnsi="宋体"/>
          <w:color w:val="auto"/>
          <w:highlight w:val="none"/>
        </w:rPr>
        <w:t>投标</w:t>
      </w:r>
      <w:r>
        <w:rPr>
          <w:rFonts w:ascii="宋体" w:hAnsi="宋体"/>
          <w:color w:val="auto"/>
          <w:highlight w:val="none"/>
        </w:rPr>
        <w:t xml:space="preserve">文件的； </w:t>
      </w:r>
    </w:p>
    <w:p w14:paraId="06EAD0EB">
      <w:pPr>
        <w:widowControl/>
        <w:snapToGrid w:val="0"/>
        <w:spacing w:line="400" w:lineRule="exact"/>
        <w:ind w:left="840"/>
        <w:rPr>
          <w:rFonts w:ascii="宋体" w:hAnsi="宋体"/>
          <w:color w:val="auto"/>
          <w:highlight w:val="none"/>
        </w:rPr>
      </w:pPr>
      <w:r>
        <w:rPr>
          <w:rFonts w:hint="eastAsia" w:ascii="Arial" w:hAnsi="Arial"/>
          <w:color w:val="auto"/>
          <w:highlight w:val="none"/>
        </w:rPr>
        <w:t>（8）招标</w:t>
      </w:r>
      <w:r>
        <w:rPr>
          <w:rFonts w:ascii="Arial" w:hAnsi="Arial"/>
          <w:color w:val="auto"/>
          <w:highlight w:val="none"/>
        </w:rPr>
        <w:t>采购单位</w:t>
      </w:r>
      <w:r>
        <w:rPr>
          <w:rFonts w:ascii="宋体" w:hAnsi="宋体"/>
          <w:color w:val="auto"/>
          <w:highlight w:val="none"/>
        </w:rPr>
        <w:t>泄露有意向参加采购的</w:t>
      </w:r>
      <w:r>
        <w:rPr>
          <w:rFonts w:hint="eastAsia" w:ascii="宋体" w:hAnsi="宋体"/>
          <w:color w:val="auto"/>
          <w:highlight w:val="none"/>
        </w:rPr>
        <w:t>投标人</w:t>
      </w:r>
      <w:r>
        <w:rPr>
          <w:rFonts w:ascii="宋体" w:hAnsi="宋体"/>
          <w:color w:val="auto"/>
          <w:highlight w:val="none"/>
        </w:rPr>
        <w:t>名称、数量等应当保密的事项的；</w:t>
      </w:r>
    </w:p>
    <w:p w14:paraId="75BEC136">
      <w:pPr>
        <w:widowControl/>
        <w:snapToGrid w:val="0"/>
        <w:spacing w:line="400" w:lineRule="exact"/>
        <w:ind w:left="840"/>
        <w:rPr>
          <w:rFonts w:ascii="宋体" w:hAnsi="宋体"/>
          <w:color w:val="auto"/>
          <w:highlight w:val="none"/>
        </w:rPr>
      </w:pPr>
      <w:r>
        <w:rPr>
          <w:rFonts w:hint="eastAsia" w:ascii="宋体" w:hAnsi="宋体"/>
          <w:color w:val="auto"/>
          <w:highlight w:val="none"/>
        </w:rPr>
        <w:t>（9）</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之间私下达成书面或口头协议，指定一家</w:t>
      </w:r>
      <w:r>
        <w:rPr>
          <w:rFonts w:hint="eastAsia" w:ascii="宋体" w:hAnsi="宋体"/>
          <w:color w:val="auto"/>
          <w:highlight w:val="none"/>
        </w:rPr>
        <w:t>投标人</w:t>
      </w:r>
      <w:r>
        <w:rPr>
          <w:rFonts w:ascii="宋体" w:hAnsi="宋体"/>
          <w:color w:val="auto"/>
          <w:highlight w:val="none"/>
        </w:rPr>
        <w:t>中标或轮流中标的；</w:t>
      </w:r>
    </w:p>
    <w:p w14:paraId="536F6C18">
      <w:pPr>
        <w:widowControl/>
        <w:snapToGrid w:val="0"/>
        <w:spacing w:line="400" w:lineRule="exact"/>
        <w:ind w:left="840"/>
        <w:rPr>
          <w:rFonts w:ascii="宋体" w:hAnsi="宋体"/>
          <w:color w:val="auto"/>
          <w:highlight w:val="none"/>
        </w:rPr>
      </w:pPr>
      <w:r>
        <w:rPr>
          <w:rFonts w:hint="eastAsia" w:ascii="宋体" w:hAnsi="宋体"/>
          <w:color w:val="auto"/>
          <w:highlight w:val="none"/>
        </w:rPr>
        <w:t>（10）</w:t>
      </w:r>
      <w:r>
        <w:rPr>
          <w:rFonts w:ascii="宋体" w:hAnsi="宋体"/>
          <w:color w:val="auto"/>
          <w:highlight w:val="none"/>
        </w:rPr>
        <w:t>法律、法规或规章规定的其他串通行为。</w:t>
      </w:r>
    </w:p>
    <w:p w14:paraId="06586F3C">
      <w:pPr>
        <w:pStyle w:val="3"/>
        <w:spacing w:beforeLines="50" w:afterLines="50" w:line="400" w:lineRule="exact"/>
        <w:rPr>
          <w:color w:val="auto"/>
          <w:sz w:val="24"/>
          <w:szCs w:val="24"/>
          <w:highlight w:val="none"/>
        </w:rPr>
      </w:pPr>
      <w:bookmarkStart w:id="68" w:name="_Toc31468"/>
      <w:bookmarkStart w:id="69" w:name="_Toc27467"/>
      <w:bookmarkStart w:id="70" w:name="_Toc10188"/>
      <w:bookmarkStart w:id="71" w:name="_Toc22970"/>
      <w:bookmarkStart w:id="72" w:name="_Toc405556612"/>
      <w:r>
        <w:rPr>
          <w:rFonts w:hint="eastAsia"/>
          <w:color w:val="auto"/>
          <w:sz w:val="24"/>
          <w:szCs w:val="24"/>
          <w:highlight w:val="none"/>
        </w:rPr>
        <w:t>（五）投标文件的递交</w:t>
      </w:r>
      <w:bookmarkEnd w:id="68"/>
      <w:bookmarkEnd w:id="69"/>
      <w:bookmarkEnd w:id="70"/>
      <w:bookmarkEnd w:id="71"/>
      <w:bookmarkEnd w:id="72"/>
    </w:p>
    <w:p w14:paraId="6EE95561">
      <w:pPr>
        <w:pStyle w:val="33"/>
        <w:numPr>
          <w:ilvl w:val="0"/>
          <w:numId w:val="11"/>
        </w:numPr>
        <w:spacing w:line="400" w:lineRule="exact"/>
        <w:ind w:firstLineChars="0"/>
        <w:rPr>
          <w:color w:val="auto"/>
          <w:highlight w:val="none"/>
        </w:rPr>
      </w:pPr>
      <w:r>
        <w:rPr>
          <w:rFonts w:hint="eastAsia" w:ascii="宋体" w:hAnsi="宋体"/>
          <w:b/>
          <w:color w:val="auto"/>
          <w:spacing w:val="-6"/>
          <w:sz w:val="24"/>
          <w:highlight w:val="none"/>
        </w:rPr>
        <w:t>投标文件的上传、递交、修改和撤回</w:t>
      </w:r>
    </w:p>
    <w:p w14:paraId="5707F4D7">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▲投标人应在投标截止时间前将电子投标文件成功上传至政府采购云平台，否则投标无效。</w:t>
      </w:r>
    </w:p>
    <w:p w14:paraId="21643655">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54A43A5">
      <w:pPr>
        <w:widowControl/>
        <w:numPr>
          <w:ilvl w:val="0"/>
          <w:numId w:val="11"/>
        </w:numPr>
        <w:snapToGrid w:val="0"/>
        <w:spacing w:line="400" w:lineRule="exact"/>
        <w:rPr>
          <w:rFonts w:ascii="Arial" w:hAnsi="Arial"/>
          <w:b/>
          <w:color w:val="auto"/>
          <w:sz w:val="24"/>
          <w:highlight w:val="none"/>
        </w:rPr>
      </w:pPr>
      <w:r>
        <w:rPr>
          <w:rFonts w:hint="eastAsia" w:ascii="Arial" w:hAnsi="Arial"/>
          <w:b/>
          <w:color w:val="auto"/>
          <w:sz w:val="24"/>
          <w:highlight w:val="none"/>
        </w:rPr>
        <w:t>投标截止时间</w:t>
      </w:r>
    </w:p>
    <w:p w14:paraId="4ACF0E63">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本次招标的投标截止时间及投标文件递交截止时间：见本招标文件“招标公告”。采购代理机构收到投标文件的时间不得迟于规定的截止时间。</w:t>
      </w:r>
    </w:p>
    <w:p w14:paraId="2B0672E4">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在推迟了投标截止时间的情况下，采购代理机构、招标人和投标人受投标截止时间制约的所有权利和义务均应延长至新的截止时间。</w:t>
      </w:r>
    </w:p>
    <w:p w14:paraId="6CE35DD8">
      <w:pPr>
        <w:pStyle w:val="3"/>
        <w:spacing w:beforeLines="50" w:afterLines="50" w:line="400" w:lineRule="exact"/>
        <w:rPr>
          <w:color w:val="auto"/>
          <w:sz w:val="24"/>
          <w:szCs w:val="24"/>
          <w:highlight w:val="none"/>
        </w:rPr>
      </w:pPr>
      <w:bookmarkStart w:id="73" w:name="_Toc32619"/>
      <w:bookmarkStart w:id="74" w:name="_Toc274"/>
      <w:bookmarkStart w:id="75" w:name="_Toc21110"/>
      <w:bookmarkStart w:id="76" w:name="_Toc19233"/>
      <w:bookmarkStart w:id="77" w:name="_Toc405556613"/>
      <w:r>
        <w:rPr>
          <w:rFonts w:hint="eastAsia"/>
          <w:color w:val="auto"/>
          <w:sz w:val="24"/>
          <w:szCs w:val="24"/>
          <w:highlight w:val="none"/>
        </w:rPr>
        <w:t>（六）开标与评审</w:t>
      </w:r>
      <w:bookmarkEnd w:id="73"/>
      <w:bookmarkEnd w:id="74"/>
      <w:bookmarkEnd w:id="75"/>
      <w:bookmarkEnd w:id="76"/>
      <w:bookmarkEnd w:id="77"/>
    </w:p>
    <w:p w14:paraId="53E4D340">
      <w:pPr>
        <w:widowControl/>
        <w:numPr>
          <w:ilvl w:val="0"/>
          <w:numId w:val="11"/>
        </w:numPr>
        <w:snapToGrid w:val="0"/>
        <w:spacing w:line="400" w:lineRule="exact"/>
        <w:rPr>
          <w:rFonts w:ascii="Arial" w:hAnsi="Arial"/>
          <w:b/>
          <w:color w:val="auto"/>
          <w:sz w:val="24"/>
          <w:highlight w:val="none"/>
        </w:rPr>
      </w:pPr>
      <w:r>
        <w:rPr>
          <w:rFonts w:hint="eastAsia" w:ascii="Arial" w:hAnsi="Arial"/>
          <w:b/>
          <w:color w:val="auto"/>
          <w:sz w:val="24"/>
          <w:highlight w:val="none"/>
        </w:rPr>
        <w:t>开标</w:t>
      </w:r>
    </w:p>
    <w:p w14:paraId="72928053">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开标时间和地点：见本招标文件“招标公告”。</w:t>
      </w:r>
    </w:p>
    <w:p w14:paraId="6AF389C6">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开标准备</w:t>
      </w:r>
    </w:p>
    <w:p w14:paraId="12582908">
      <w:pPr>
        <w:pStyle w:val="10"/>
        <w:spacing w:after="0" w:line="400" w:lineRule="exact"/>
        <w:ind w:left="850" w:leftChars="0"/>
        <w:rPr>
          <w:rFonts w:hAnsi="宋体"/>
          <w:color w:val="auto"/>
          <w:spacing w:val="-6"/>
          <w:szCs w:val="21"/>
          <w:highlight w:val="none"/>
        </w:rPr>
      </w:pPr>
      <w:r>
        <w:rPr>
          <w:rFonts w:hint="eastAsia" w:ascii="Arial" w:hAnsi="Arial"/>
          <w:color w:val="auto"/>
          <w:highlight w:val="none"/>
        </w:rPr>
        <w:t>采购代理机构</w:t>
      </w:r>
      <w:r>
        <w:rPr>
          <w:rFonts w:hint="eastAsia" w:hAnsi="宋体"/>
          <w:color w:val="auto"/>
          <w:spacing w:val="-6"/>
          <w:szCs w:val="21"/>
          <w:highlight w:val="none"/>
        </w:rPr>
        <w:t>将按照招标文件规定的时间通过“政府采购云平台”组织在线开标，所有投标人均应当准时在线参加。投标人未在线参加开标的，视同认可开标结果，事后不得对采购相关人员、开标过程和开标结果提出异议。</w:t>
      </w:r>
    </w:p>
    <w:p w14:paraId="1DAF745F">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开标程序</w:t>
      </w:r>
    </w:p>
    <w:p w14:paraId="2A45A6CC">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投标截止时间止，在政采云平台开启投标文件。</w:t>
      </w:r>
    </w:p>
    <w:p w14:paraId="34DE5B96">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开标后，投标人代表完整填写《采购活动现场确认声明书》（详见本须知附表一）并签字后扫描，以电子邮件方式提交至采购代理机构指定邮箱（342286070@qq.com）。</w:t>
      </w:r>
    </w:p>
    <w:p w14:paraId="3E5C4F17">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评标委员会对投标文件进行综合评分，按照评审得分由高到低顺序推荐中标候选人。</w:t>
      </w:r>
    </w:p>
    <w:p w14:paraId="2E8E8223">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ab/>
      </w:r>
      <w:r>
        <w:rPr>
          <w:rFonts w:hint="eastAsia" w:hAnsi="宋体"/>
          <w:color w:val="auto"/>
          <w:szCs w:val="21"/>
          <w:highlight w:val="none"/>
          <w:lang w:eastAsia="zh-CN"/>
        </w:rPr>
        <w:t>公布评审结果</w:t>
      </w:r>
      <w:r>
        <w:rPr>
          <w:rFonts w:hint="eastAsia" w:hAnsi="宋体"/>
          <w:color w:val="auto"/>
          <w:szCs w:val="21"/>
          <w:highlight w:val="none"/>
        </w:rPr>
        <w:t>。</w:t>
      </w:r>
    </w:p>
    <w:p w14:paraId="349C5974">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开标会议结束。</w:t>
      </w:r>
    </w:p>
    <w:p w14:paraId="3BED9867">
      <w:pPr>
        <w:widowControl/>
        <w:numPr>
          <w:ilvl w:val="0"/>
          <w:numId w:val="11"/>
        </w:numPr>
        <w:snapToGrid w:val="0"/>
        <w:spacing w:line="400" w:lineRule="exact"/>
        <w:rPr>
          <w:rFonts w:ascii="Arial" w:hAnsi="Arial"/>
          <w:b/>
          <w:color w:val="auto"/>
          <w:sz w:val="24"/>
          <w:highlight w:val="none"/>
        </w:rPr>
      </w:pPr>
      <w:r>
        <w:rPr>
          <w:rFonts w:hint="eastAsia" w:ascii="Arial" w:hAnsi="Arial"/>
          <w:b/>
          <w:color w:val="auto"/>
          <w:sz w:val="24"/>
          <w:highlight w:val="none"/>
        </w:rPr>
        <w:t>可中止电子交易活动的情形</w:t>
      </w:r>
    </w:p>
    <w:p w14:paraId="7108E0BD">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采购过程中出现以下情形，导致电子交易平台无法正常运行，或者无法保证电子交易的公平、公正和安全时，采购代理机构可中止电子交易活动：</w:t>
      </w:r>
    </w:p>
    <w:p w14:paraId="7B4687EF">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电子交易平台发生故障而无法登录访问的；</w:t>
      </w:r>
    </w:p>
    <w:p w14:paraId="15799D5C">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电子交易平台应用或数据库出现错误，不能进行正常操作的；</w:t>
      </w:r>
    </w:p>
    <w:p w14:paraId="630C0B4A">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电子交易平台发现严重安全漏洞，有潜在泄密危险的；</w:t>
      </w:r>
    </w:p>
    <w:p w14:paraId="667F99E2">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病毒发作导致不能进行正常操作的；</w:t>
      </w:r>
    </w:p>
    <w:p w14:paraId="64042E55">
      <w:pPr>
        <w:widowControl/>
        <w:numPr>
          <w:ilvl w:val="0"/>
          <w:numId w:val="13"/>
        </w:numPr>
        <w:snapToGrid w:val="0"/>
        <w:spacing w:line="400" w:lineRule="exact"/>
        <w:rPr>
          <w:rFonts w:hAnsi="宋体"/>
          <w:color w:val="auto"/>
          <w:szCs w:val="21"/>
          <w:highlight w:val="none"/>
        </w:rPr>
      </w:pPr>
      <w:r>
        <w:rPr>
          <w:rFonts w:hint="eastAsia" w:hAnsi="宋体"/>
          <w:color w:val="auto"/>
          <w:szCs w:val="21"/>
          <w:highlight w:val="none"/>
        </w:rPr>
        <w:t>其他无法保证电子交易的公平、公正和安全的情况。</w:t>
      </w:r>
    </w:p>
    <w:p w14:paraId="773E8126">
      <w:pPr>
        <w:widowControl/>
        <w:snapToGrid w:val="0"/>
        <w:spacing w:line="400" w:lineRule="exact"/>
        <w:ind w:left="851"/>
        <w:rPr>
          <w:rFonts w:ascii="Arial" w:hAnsi="Arial"/>
          <w:color w:val="auto"/>
          <w:highlight w:val="none"/>
        </w:rPr>
      </w:pPr>
      <w:r>
        <w:rPr>
          <w:rFonts w:hint="eastAsia" w:ascii="Arial" w:hAnsi="Arial"/>
          <w:color w:val="auto"/>
          <w:highlight w:val="none"/>
        </w:rPr>
        <w:t>出现前款规定情形，不影响采购公平、公正性的，采购代理机构可以待上述情形消除后继续组织电子交易活动；影响或可能影响采购公平、公正性的，应当重新采购。</w:t>
      </w:r>
    </w:p>
    <w:p w14:paraId="4D6BB626">
      <w:pPr>
        <w:widowControl/>
        <w:numPr>
          <w:ilvl w:val="0"/>
          <w:numId w:val="11"/>
        </w:numPr>
        <w:spacing w:line="400" w:lineRule="exact"/>
        <w:jc w:val="left"/>
        <w:rPr>
          <w:rFonts w:ascii="Arial" w:hAnsi="Arial"/>
          <w:b/>
          <w:color w:val="auto"/>
          <w:sz w:val="24"/>
          <w:highlight w:val="none"/>
        </w:rPr>
      </w:pPr>
      <w:r>
        <w:rPr>
          <w:rFonts w:hint="eastAsia" w:ascii="Arial" w:hAnsi="Arial"/>
          <w:b/>
          <w:color w:val="auto"/>
          <w:sz w:val="24"/>
          <w:highlight w:val="none"/>
        </w:rPr>
        <w:t>评标委员会</w:t>
      </w:r>
    </w:p>
    <w:p w14:paraId="48DA8435">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本次招标</w:t>
      </w:r>
      <w:r>
        <w:rPr>
          <w:rFonts w:hint="eastAsia" w:ascii="宋体" w:hAnsi="宋体" w:cs="Arial"/>
          <w:color w:val="auto"/>
          <w:szCs w:val="21"/>
          <w:highlight w:val="none"/>
        </w:rPr>
        <w:t>评标委员会构成：应按规定建立5人及以上单数人员组成的评标委员会，评标委员会应当由单位内部成员和外部专家共同组成。外部专家比例不低于60%。</w:t>
      </w:r>
    </w:p>
    <w:p w14:paraId="67DCFA63">
      <w:pPr>
        <w:widowControl/>
        <w:numPr>
          <w:ilvl w:val="1"/>
          <w:numId w:val="11"/>
        </w:numPr>
        <w:snapToGrid w:val="0"/>
        <w:spacing w:line="400" w:lineRule="exact"/>
        <w:rPr>
          <w:color w:val="auto"/>
          <w:highlight w:val="none"/>
        </w:rPr>
      </w:pPr>
      <w:r>
        <w:rPr>
          <w:rFonts w:hint="eastAsia" w:ascii="Arial" w:hAnsi="Arial"/>
          <w:color w:val="auto"/>
          <w:highlight w:val="none"/>
        </w:rPr>
        <w:t>评标委员会依法根据招标文件的规定，按对每一个投标人的投标文件进行评审、提交评标报告</w:t>
      </w:r>
      <w:r>
        <w:rPr>
          <w:rFonts w:hint="eastAsia" w:ascii="宋体" w:hAnsi="宋体"/>
          <w:color w:val="auto"/>
          <w:highlight w:val="none"/>
        </w:rPr>
        <w:t>。</w:t>
      </w:r>
    </w:p>
    <w:p w14:paraId="23A08723">
      <w:pPr>
        <w:widowControl/>
        <w:numPr>
          <w:ilvl w:val="0"/>
          <w:numId w:val="11"/>
        </w:numPr>
        <w:spacing w:line="400" w:lineRule="exact"/>
        <w:jc w:val="left"/>
        <w:rPr>
          <w:rFonts w:ascii="Arial" w:hAnsi="Arial"/>
          <w:b/>
          <w:color w:val="auto"/>
          <w:sz w:val="24"/>
          <w:highlight w:val="none"/>
        </w:rPr>
      </w:pPr>
      <w:r>
        <w:rPr>
          <w:rFonts w:hint="eastAsia" w:ascii="Arial" w:hAnsi="Arial"/>
          <w:b/>
          <w:color w:val="auto"/>
          <w:sz w:val="24"/>
          <w:highlight w:val="none"/>
        </w:rPr>
        <w:t>评标原则和评标方法</w:t>
      </w:r>
    </w:p>
    <w:p w14:paraId="7E9A967B">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评标基本原则：评审工作应遵循“公开、公平、公正、择优、信用”的原则。</w:t>
      </w:r>
    </w:p>
    <w:p w14:paraId="6E3C69DA">
      <w:pPr>
        <w:widowControl/>
        <w:numPr>
          <w:ilvl w:val="0"/>
          <w:numId w:val="11"/>
        </w:numPr>
        <w:spacing w:line="400" w:lineRule="exact"/>
        <w:jc w:val="left"/>
        <w:rPr>
          <w:rFonts w:ascii="Arial" w:hAnsi="Arial"/>
          <w:color w:val="auto"/>
          <w:highlight w:val="none"/>
        </w:rPr>
      </w:pPr>
      <w:r>
        <w:rPr>
          <w:rFonts w:hint="eastAsia" w:ascii="Arial" w:hAnsi="Arial"/>
          <w:color w:val="auto"/>
          <w:highlight w:val="none"/>
        </w:rPr>
        <w:t>评审方法：本次招标的评审方法采用综合评分法；评标委员会根据各投标人的投标文件进行全面审查、比较、评估，加权计分后，按分值从高到低进行排序，排名第一的投标人推荐为中标候选人（得分相同时，</w:t>
      </w:r>
      <w:r>
        <w:rPr>
          <w:color w:val="auto"/>
          <w:highlight w:val="none"/>
        </w:rPr>
        <w:t>由</w:t>
      </w:r>
      <w:r>
        <w:rPr>
          <w:rFonts w:hint="eastAsia"/>
          <w:color w:val="auto"/>
          <w:highlight w:val="none"/>
        </w:rPr>
        <w:t>招标人代表抽签</w:t>
      </w:r>
      <w:r>
        <w:rPr>
          <w:color w:val="auto"/>
          <w:highlight w:val="none"/>
        </w:rPr>
        <w:t>决定</w:t>
      </w:r>
      <w:r>
        <w:rPr>
          <w:rFonts w:hint="eastAsia"/>
          <w:color w:val="auto"/>
          <w:highlight w:val="none"/>
        </w:rPr>
        <w:t>排序）；若有效投标人不足</w:t>
      </w:r>
      <w:r>
        <w:rPr>
          <w:color w:val="auto"/>
          <w:highlight w:val="none"/>
        </w:rPr>
        <w:t>3</w:t>
      </w:r>
      <w:r>
        <w:rPr>
          <w:rFonts w:hint="eastAsia"/>
          <w:color w:val="auto"/>
          <w:highlight w:val="none"/>
        </w:rPr>
        <w:t>家的，招标人有权宣布本次招标失败，重新组织招标。</w:t>
      </w:r>
    </w:p>
    <w:p w14:paraId="1A0350CA">
      <w:pPr>
        <w:widowControl/>
        <w:numPr>
          <w:ilvl w:val="0"/>
          <w:numId w:val="11"/>
        </w:numPr>
        <w:spacing w:line="400" w:lineRule="exact"/>
        <w:jc w:val="left"/>
        <w:rPr>
          <w:rFonts w:ascii="Arial" w:hAnsi="Arial"/>
          <w:color w:val="auto"/>
          <w:highlight w:val="none"/>
        </w:rPr>
      </w:pPr>
      <w:r>
        <w:rPr>
          <w:rFonts w:hint="eastAsia" w:ascii="Arial" w:hAnsi="Arial"/>
          <w:b/>
          <w:color w:val="auto"/>
          <w:sz w:val="24"/>
          <w:highlight w:val="none"/>
        </w:rPr>
        <w:t>评标工作程序</w:t>
      </w:r>
    </w:p>
    <w:p w14:paraId="3D9C877F">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 xml:space="preserve">初步评审： </w:t>
      </w:r>
    </w:p>
    <w:p w14:paraId="2FDEE383">
      <w:pPr>
        <w:widowControl/>
        <w:numPr>
          <w:ilvl w:val="0"/>
          <w:numId w:val="13"/>
        </w:numPr>
        <w:snapToGrid w:val="0"/>
        <w:spacing w:line="400" w:lineRule="exact"/>
        <w:rPr>
          <w:rFonts w:ascii="Arial" w:hAnsi="Arial"/>
          <w:color w:val="auto"/>
          <w:highlight w:val="none"/>
        </w:rPr>
      </w:pPr>
      <w:r>
        <w:rPr>
          <w:rFonts w:hint="eastAsia" w:ascii="Arial" w:hAnsi="Arial"/>
          <w:color w:val="auto"/>
          <w:highlight w:val="none"/>
        </w:rPr>
        <w:t>资格性检查：评标委员会根据法律法规和招标文件的规定，对各投标人进行资格性检查。</w:t>
      </w:r>
    </w:p>
    <w:p w14:paraId="7E36849D">
      <w:pPr>
        <w:widowControl/>
        <w:numPr>
          <w:ilvl w:val="0"/>
          <w:numId w:val="13"/>
        </w:numPr>
        <w:snapToGrid w:val="0"/>
        <w:spacing w:line="400" w:lineRule="exact"/>
        <w:rPr>
          <w:rFonts w:ascii="Arial" w:hAnsi="Arial"/>
          <w:color w:val="auto"/>
          <w:highlight w:val="none"/>
        </w:rPr>
      </w:pPr>
      <w:r>
        <w:rPr>
          <w:rFonts w:hint="eastAsia" w:ascii="Arial" w:hAnsi="Arial"/>
          <w:color w:val="auto"/>
          <w:highlight w:val="none"/>
        </w:rPr>
        <w:t>符合性检查：评标委员会根据法律法规和招标文件的规定，对各投标人进行符合性检查。</w:t>
      </w:r>
    </w:p>
    <w:p w14:paraId="4E7ED64E">
      <w:pPr>
        <w:widowControl/>
        <w:numPr>
          <w:ilvl w:val="0"/>
          <w:numId w:val="13"/>
        </w:numPr>
        <w:snapToGrid w:val="0"/>
        <w:spacing w:line="400" w:lineRule="exact"/>
        <w:rPr>
          <w:rFonts w:ascii="Arial" w:hAnsi="Arial"/>
          <w:color w:val="auto"/>
          <w:highlight w:val="none"/>
        </w:rPr>
      </w:pPr>
      <w:r>
        <w:rPr>
          <w:rFonts w:hint="eastAsia" w:ascii="Arial" w:hAnsi="Arial"/>
          <w:color w:val="auto"/>
          <w:highlight w:val="none"/>
        </w:rPr>
        <w:t>▲投标文件出现下列情况，按照</w:t>
      </w:r>
      <w:r>
        <w:rPr>
          <w:rFonts w:hint="eastAsia" w:ascii="Arial" w:hAnsi="Arial"/>
          <w:b/>
          <w:bCs/>
          <w:color w:val="auto"/>
          <w:highlight w:val="none"/>
        </w:rPr>
        <w:t>无效投标</w:t>
      </w:r>
      <w:r>
        <w:rPr>
          <w:rFonts w:hint="eastAsia" w:ascii="Arial" w:hAnsi="Arial"/>
          <w:color w:val="auto"/>
          <w:highlight w:val="none"/>
        </w:rPr>
        <w:t>处理</w:t>
      </w:r>
      <w:r>
        <w:rPr>
          <w:rFonts w:hint="eastAsia" w:ascii="Arial" w:hAnsi="Arial"/>
          <w:b/>
          <w:bCs/>
          <w:color w:val="auto"/>
          <w:highlight w:val="none"/>
        </w:rPr>
        <w:t>：</w:t>
      </w:r>
    </w:p>
    <w:p w14:paraId="7189AA6C">
      <w:pPr>
        <w:numPr>
          <w:ilvl w:val="0"/>
          <w:numId w:val="14"/>
        </w:numPr>
        <w:tabs>
          <w:tab w:val="left" w:pos="993"/>
        </w:tabs>
        <w:spacing w:line="400" w:lineRule="exact"/>
        <w:rPr>
          <w:rFonts w:ascii="宋体" w:hAnsi="宋体"/>
          <w:color w:val="auto"/>
          <w:szCs w:val="21"/>
          <w:highlight w:val="none"/>
        </w:rPr>
      </w:pPr>
      <w:bookmarkStart w:id="78" w:name="OLE_LINK5"/>
      <w:bookmarkStart w:id="79" w:name="OLE_LINK25"/>
      <w:r>
        <w:rPr>
          <w:rFonts w:hint="eastAsia" w:ascii="宋体" w:hAnsi="宋体"/>
          <w:color w:val="auto"/>
          <w:szCs w:val="21"/>
          <w:highlight w:val="none"/>
        </w:rPr>
        <w:t>投标不是固定价的；</w:t>
      </w:r>
    </w:p>
    <w:p w14:paraId="7112F7FD">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投标报价不是唯一的；</w:t>
      </w:r>
    </w:p>
    <w:bookmarkEnd w:id="78"/>
    <w:p w14:paraId="57D8A157">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协定起存金额（协定存款最低留存额）超过50万元的；</w:t>
      </w:r>
    </w:p>
    <w:p w14:paraId="06242DE3">
      <w:pPr>
        <w:numPr>
          <w:ilvl w:val="0"/>
          <w:numId w:val="14"/>
        </w:numPr>
        <w:tabs>
          <w:tab w:val="left" w:pos="993"/>
        </w:tabs>
        <w:spacing w:line="400" w:lineRule="exact"/>
        <w:rPr>
          <w:rFonts w:ascii="宋体" w:hAnsi="宋体"/>
          <w:color w:val="auto"/>
          <w:szCs w:val="21"/>
          <w:highlight w:val="none"/>
        </w:rPr>
      </w:pPr>
      <w:r>
        <w:rPr>
          <w:rFonts w:ascii="宋体" w:hAnsi="宋体"/>
          <w:color w:val="auto"/>
          <w:szCs w:val="21"/>
          <w:highlight w:val="none"/>
        </w:rPr>
        <w:t>投标有效期不足的；</w:t>
      </w:r>
    </w:p>
    <w:p w14:paraId="1E794670">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出现第二部分投标人须知26.3中的情形，又不接受评标委员会修正的或投标明显不合理而投标人不能合理说明的；</w:t>
      </w:r>
    </w:p>
    <w:p w14:paraId="178C37A6">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投标文件中需签字或盖章的地方未加盖投标人单位全称的公章，并未经法定代表人（分公司负责人）或其授权代表签字或盖章；或使用投标专用章、合同章等类似图章代替；</w:t>
      </w:r>
    </w:p>
    <w:p w14:paraId="0411AE76">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服务要求不满足招标内容实质性内容及商务有重大偏离或保留的；</w:t>
      </w:r>
    </w:p>
    <w:p w14:paraId="7F3FE156">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评标委员会认为投标文件未实质性响应招标文件的要求的；</w:t>
      </w:r>
    </w:p>
    <w:p w14:paraId="1A327B2B">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授权代表签字且未取得有效的法定代表人或分公司负责人授权书的；</w:t>
      </w:r>
    </w:p>
    <w:p w14:paraId="4541E392">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不具备招标文件中规定资格要求的；</w:t>
      </w:r>
    </w:p>
    <w:p w14:paraId="33107C1D">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符合性检查或资格性检查未通过；</w:t>
      </w:r>
    </w:p>
    <w:p w14:paraId="17C45B23">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存在串标、抬标或弄虚作假情况的；</w:t>
      </w:r>
    </w:p>
    <w:p w14:paraId="2F1AC106">
      <w:pPr>
        <w:numPr>
          <w:ilvl w:val="0"/>
          <w:numId w:val="14"/>
        </w:numPr>
        <w:tabs>
          <w:tab w:val="left" w:pos="993"/>
        </w:tabs>
        <w:spacing w:line="400" w:lineRule="exact"/>
        <w:rPr>
          <w:rFonts w:ascii="宋体" w:hAnsi="宋体"/>
          <w:color w:val="auto"/>
          <w:szCs w:val="21"/>
          <w:highlight w:val="none"/>
        </w:rPr>
      </w:pPr>
      <w:r>
        <w:rPr>
          <w:rFonts w:hint="eastAsia" w:ascii="宋体" w:hAnsi="宋体"/>
          <w:color w:val="auto"/>
          <w:szCs w:val="21"/>
          <w:highlight w:val="none"/>
        </w:rPr>
        <w:t>投标文件含有招标人不能接受的附加条件的；</w:t>
      </w:r>
    </w:p>
    <w:p w14:paraId="7BB30775">
      <w:pPr>
        <w:numPr>
          <w:ilvl w:val="0"/>
          <w:numId w:val="14"/>
        </w:numPr>
        <w:tabs>
          <w:tab w:val="left" w:pos="993"/>
          <w:tab w:val="left" w:pos="1134"/>
        </w:tabs>
        <w:spacing w:line="400" w:lineRule="exact"/>
        <w:rPr>
          <w:rFonts w:ascii="宋体" w:hAnsi="宋体"/>
          <w:color w:val="auto"/>
          <w:szCs w:val="21"/>
          <w:highlight w:val="none"/>
        </w:rPr>
      </w:pPr>
      <w:r>
        <w:rPr>
          <w:rFonts w:ascii="宋体" w:hAnsi="宋体"/>
          <w:color w:val="auto"/>
          <w:szCs w:val="21"/>
          <w:highlight w:val="none"/>
        </w:rPr>
        <w:t>不符合法律、法规和招标文件中规定的其他实质性要求的。</w:t>
      </w:r>
    </w:p>
    <w:bookmarkEnd w:id="79"/>
    <w:p w14:paraId="3F35A8B6">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澄清有关问题：评标委员会对资格性检查和符合性检查合格的投标文件进行澄清，对投标文件中含义不明确、同类问题表述不一致或者有明显文字和计算错误的内容，评标委员会可以书面形式（应当由评标委员会专家签字）要求投标人作出必要的澄清、说明或者纠正。投标人的澄清、说明或者补正答复先以口头形式答辩，然后在要求的时间内以书面形式提交，书面由法定代表人（分公司负责人）或其授权代表签字，并不得超出投标文件的范围或者改变投标文件的实质性内容。</w:t>
      </w:r>
    </w:p>
    <w:p w14:paraId="72B0B6C9">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开标时投标文件中报价一览表</w:t>
      </w:r>
      <w:r>
        <w:rPr>
          <w:rFonts w:hint="eastAsia"/>
          <w:color w:val="auto"/>
          <w:highlight w:val="none"/>
        </w:rPr>
        <w:t>中加减点数（基点）和加减点数（基点）</w:t>
      </w:r>
      <w:r>
        <w:rPr>
          <w:rFonts w:hint="eastAsia" w:cs="Calibri"/>
          <w:color w:val="auto"/>
          <w:highlight w:val="none"/>
        </w:rPr>
        <w:t>后的利率不符的，以加减点数（基点）</w:t>
      </w:r>
      <w:r>
        <w:rPr>
          <w:rFonts w:hint="eastAsia"/>
          <w:color w:val="auto"/>
          <w:highlight w:val="none"/>
        </w:rPr>
        <w:t>为准。开标时线上投标系统中填写的数据与投标文件中对应内容不一致时，以投标文件中对应内容为准。</w:t>
      </w:r>
    </w:p>
    <w:p w14:paraId="230B521F">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比较与评价：评标委员会按招标文件中规定的评标方法和标准，对资格性检查和符合性检查合格的投标文件进行技术评估，综合比较与评审，宣布评审结果；</w:t>
      </w:r>
      <w:r>
        <w:rPr>
          <w:rFonts w:ascii="Arial" w:hAnsi="Arial"/>
          <w:color w:val="auto"/>
          <w:highlight w:val="none"/>
        </w:rPr>
        <w:t>评标委员会对投标文件的判定，只依据投标文件内容本身，不依据任何外来证明</w:t>
      </w:r>
      <w:r>
        <w:rPr>
          <w:rFonts w:hint="eastAsia" w:ascii="Arial" w:hAnsi="Arial"/>
          <w:color w:val="auto"/>
          <w:highlight w:val="none"/>
        </w:rPr>
        <w:t>。</w:t>
      </w:r>
    </w:p>
    <w:p w14:paraId="370E45FA">
      <w:pPr>
        <w:widowControl/>
        <w:numPr>
          <w:ilvl w:val="0"/>
          <w:numId w:val="11"/>
        </w:numPr>
        <w:spacing w:line="400" w:lineRule="exact"/>
        <w:rPr>
          <w:rFonts w:ascii="Arial" w:hAnsi="Arial"/>
          <w:b/>
          <w:bCs/>
          <w:color w:val="auto"/>
          <w:sz w:val="24"/>
          <w:highlight w:val="none"/>
        </w:rPr>
      </w:pPr>
      <w:r>
        <w:rPr>
          <w:rFonts w:ascii="宋体" w:hAnsi="宋体"/>
          <w:b/>
          <w:bCs/>
          <w:color w:val="auto"/>
          <w:sz w:val="24"/>
          <w:highlight w:val="none"/>
        </w:rPr>
        <w:t>评标过程保密</w:t>
      </w:r>
    </w:p>
    <w:p w14:paraId="1434D428">
      <w:pPr>
        <w:widowControl/>
        <w:numPr>
          <w:ilvl w:val="1"/>
          <w:numId w:val="11"/>
        </w:numPr>
        <w:snapToGrid w:val="0"/>
        <w:spacing w:line="400" w:lineRule="exact"/>
        <w:rPr>
          <w:rFonts w:ascii="Arial" w:hAnsi="Arial"/>
          <w:color w:val="auto"/>
          <w:highlight w:val="none"/>
        </w:rPr>
      </w:pPr>
      <w:r>
        <w:rPr>
          <w:rFonts w:ascii="Arial" w:hAnsi="Arial"/>
          <w:color w:val="auto"/>
          <w:highlight w:val="none"/>
        </w:rPr>
        <w:t>开标之后，直到授予投标人合同止，凡是属于审查、澄清、评价和比较投标的有关资料以及授标意向等，均不得向投标人或其他无关的人员透露。</w:t>
      </w:r>
    </w:p>
    <w:p w14:paraId="59D0A3E8">
      <w:pPr>
        <w:widowControl/>
        <w:numPr>
          <w:ilvl w:val="1"/>
          <w:numId w:val="11"/>
        </w:numPr>
        <w:snapToGrid w:val="0"/>
        <w:spacing w:line="400" w:lineRule="exact"/>
        <w:rPr>
          <w:rFonts w:ascii="Arial" w:hAnsi="Arial"/>
          <w:color w:val="auto"/>
          <w:highlight w:val="none"/>
        </w:rPr>
      </w:pPr>
      <w:r>
        <w:rPr>
          <w:rFonts w:ascii="Arial" w:hAnsi="Arial"/>
          <w:color w:val="auto"/>
          <w:highlight w:val="none"/>
        </w:rPr>
        <w:t>在评标期间，投标人企图影响</w:t>
      </w:r>
      <w:r>
        <w:rPr>
          <w:rFonts w:hint="eastAsia" w:ascii="Arial" w:hAnsi="Arial"/>
          <w:color w:val="auto"/>
          <w:highlight w:val="none"/>
        </w:rPr>
        <w:t>采购代理机构</w:t>
      </w:r>
      <w:r>
        <w:rPr>
          <w:rFonts w:ascii="Arial" w:hAnsi="Arial"/>
          <w:color w:val="auto"/>
          <w:highlight w:val="none"/>
        </w:rPr>
        <w:t>或评标委员会的任何活动，都将导致投标被拒绝，并由其承担相应的法律责任</w:t>
      </w:r>
      <w:r>
        <w:rPr>
          <w:rFonts w:hint="eastAsia" w:ascii="Arial" w:hAnsi="Arial"/>
          <w:color w:val="auto"/>
          <w:highlight w:val="none"/>
        </w:rPr>
        <w:t>。</w:t>
      </w:r>
    </w:p>
    <w:p w14:paraId="07EED6A3">
      <w:pPr>
        <w:widowControl/>
        <w:numPr>
          <w:ilvl w:val="0"/>
          <w:numId w:val="11"/>
        </w:numPr>
        <w:spacing w:line="400" w:lineRule="exact"/>
        <w:rPr>
          <w:rFonts w:ascii="Arial" w:hAnsi="Arial"/>
          <w:b/>
          <w:color w:val="auto"/>
          <w:sz w:val="24"/>
          <w:highlight w:val="none"/>
        </w:rPr>
      </w:pPr>
      <w:r>
        <w:rPr>
          <w:rFonts w:hint="eastAsia" w:ascii="Arial" w:hAnsi="Arial"/>
          <w:b/>
          <w:color w:val="auto"/>
          <w:sz w:val="24"/>
          <w:highlight w:val="none"/>
        </w:rPr>
        <w:t>中标人的确定</w:t>
      </w:r>
    </w:p>
    <w:p w14:paraId="53DCB918">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招标人按评标委员会的评审结果，依法确定排名第一的候选人为中标人（不足3家时，招标人有权宣布本次招标失败，重新组织招标）。招标人将在浙江政府采购网（http://zfcg.czt.zj.gov.cn/）和</w:t>
      </w:r>
      <w:r>
        <w:rPr>
          <w:rFonts w:hint="eastAsia" w:ascii="Arial" w:hAnsi="Arial"/>
          <w:color w:val="auto"/>
          <w:highlight w:val="none"/>
          <w:lang w:eastAsia="zh-CN"/>
        </w:rPr>
        <w:t>温州市公共资源交易网瑞安分网</w:t>
      </w:r>
      <w:r>
        <w:rPr>
          <w:rFonts w:hint="eastAsia" w:ascii="Arial" w:hAnsi="Arial"/>
          <w:color w:val="auto"/>
          <w:highlight w:val="none"/>
        </w:rPr>
        <w:t>（</w:t>
      </w:r>
      <w:r>
        <w:rPr>
          <w:rFonts w:hint="eastAsia" w:ascii="Arial" w:hAnsi="Arial"/>
          <w:color w:val="auto"/>
          <w:highlight w:val="none"/>
          <w:lang w:eastAsia="zh-CN"/>
        </w:rPr>
        <w:t>https://ggzyjy-eweb.wenzhou.gov.cn/</w:t>
      </w:r>
      <w:r>
        <w:rPr>
          <w:rFonts w:hint="eastAsia" w:ascii="Arial" w:hAnsi="Arial"/>
          <w:color w:val="auto"/>
          <w:highlight w:val="none"/>
        </w:rPr>
        <w:t>）上发布《中标公告》，公示期限为1个工作日。</w:t>
      </w:r>
    </w:p>
    <w:p w14:paraId="1D9D36DE">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如出现下列情形之一的，招标人可以按照评标委员会评审结果排名顺序确定后续排名候选人为中标人。</w:t>
      </w:r>
    </w:p>
    <w:p w14:paraId="4D8205A2">
      <w:pPr>
        <w:widowControl/>
        <w:snapToGrid w:val="0"/>
        <w:spacing w:line="400" w:lineRule="exact"/>
        <w:ind w:left="420" w:firstLine="420"/>
        <w:rPr>
          <w:rFonts w:ascii="Arial" w:hAnsi="Arial"/>
          <w:color w:val="auto"/>
          <w:highlight w:val="none"/>
        </w:rPr>
      </w:pPr>
      <w:r>
        <w:rPr>
          <w:rFonts w:hint="eastAsia" w:ascii="Arial" w:hAnsi="Arial"/>
          <w:color w:val="auto"/>
          <w:highlight w:val="none"/>
        </w:rPr>
        <w:t>（1）排名第一的候选投标人，因自身原因放弃中标成交或因不可抗力不能履行合同的；</w:t>
      </w:r>
    </w:p>
    <w:p w14:paraId="19D973CF">
      <w:pPr>
        <w:widowControl/>
        <w:snapToGrid w:val="0"/>
        <w:spacing w:line="400" w:lineRule="exact"/>
        <w:ind w:left="420" w:firstLine="420"/>
        <w:rPr>
          <w:rFonts w:ascii="Arial" w:hAnsi="Arial"/>
          <w:color w:val="auto"/>
          <w:highlight w:val="none"/>
        </w:rPr>
      </w:pPr>
      <w:r>
        <w:rPr>
          <w:rFonts w:hint="eastAsia" w:ascii="Arial" w:hAnsi="Arial"/>
          <w:color w:val="auto"/>
          <w:highlight w:val="none"/>
        </w:rPr>
        <w:t>（2）经质疑，采购组织机构审查确认因排名第一的候选投标人在本次采购活动中存在违法违规行为或其他原因使质疑成立的。</w:t>
      </w:r>
    </w:p>
    <w:p w14:paraId="2BBE3D09">
      <w:pPr>
        <w:widowControl/>
        <w:numPr>
          <w:ilvl w:val="0"/>
          <w:numId w:val="11"/>
        </w:numPr>
        <w:spacing w:line="400" w:lineRule="exact"/>
        <w:rPr>
          <w:rFonts w:ascii="Arial" w:hAnsi="Arial"/>
          <w:b/>
          <w:color w:val="auto"/>
          <w:sz w:val="24"/>
          <w:highlight w:val="none"/>
        </w:rPr>
      </w:pPr>
      <w:r>
        <w:rPr>
          <w:rFonts w:hint="eastAsia" w:ascii="Arial" w:hAnsi="Arial"/>
          <w:b/>
          <w:color w:val="auto"/>
          <w:sz w:val="24"/>
          <w:highlight w:val="none"/>
        </w:rPr>
        <w:t>否决任何或所有投标的权利</w:t>
      </w:r>
    </w:p>
    <w:p w14:paraId="4F9C938C">
      <w:pPr>
        <w:widowControl/>
        <w:numPr>
          <w:ilvl w:val="1"/>
          <w:numId w:val="11"/>
        </w:numPr>
        <w:snapToGrid w:val="0"/>
        <w:spacing w:line="400" w:lineRule="exact"/>
        <w:rPr>
          <w:rFonts w:ascii="Arial" w:hAnsi="Arial"/>
          <w:color w:val="auto"/>
          <w:highlight w:val="none"/>
        </w:rPr>
      </w:pPr>
      <w:r>
        <w:rPr>
          <w:rFonts w:hint="eastAsia" w:ascii="Arial" w:hAnsi="Arial"/>
          <w:color w:val="auto"/>
          <w:highlight w:val="none"/>
        </w:rPr>
        <w:t>评标委员会经评审，认为所有投标都不符合招标文件要求的，可以否决所有投标。</w:t>
      </w:r>
    </w:p>
    <w:p w14:paraId="70AF0911">
      <w:pPr>
        <w:widowControl/>
        <w:numPr>
          <w:ilvl w:val="1"/>
          <w:numId w:val="11"/>
        </w:numPr>
        <w:snapToGrid w:val="0"/>
        <w:spacing w:line="400" w:lineRule="exact"/>
        <w:rPr>
          <w:rFonts w:ascii="Arial" w:hAnsi="Arial"/>
          <w:b/>
          <w:color w:val="auto"/>
          <w:sz w:val="24"/>
          <w:highlight w:val="none"/>
        </w:rPr>
      </w:pPr>
      <w:r>
        <w:rPr>
          <w:rFonts w:hint="eastAsia" w:ascii="Arial" w:hAnsi="Arial"/>
          <w:color w:val="auto"/>
          <w:highlight w:val="none"/>
        </w:rPr>
        <w:t>如有中标人不能按照招标文件要求及其投标文件的承诺签订合同或其投标文件与事实不符，影响招标的公平公开及合同的实施，招标人有权在授予合同前任何时候依照法定程序将合同授予后续排名候选人。</w:t>
      </w:r>
    </w:p>
    <w:p w14:paraId="19A3F578">
      <w:pPr>
        <w:widowControl/>
        <w:numPr>
          <w:ilvl w:val="0"/>
          <w:numId w:val="11"/>
        </w:numPr>
        <w:spacing w:line="400" w:lineRule="exact"/>
        <w:rPr>
          <w:rFonts w:ascii="Arial" w:hAnsi="Arial"/>
          <w:b/>
          <w:color w:val="auto"/>
          <w:sz w:val="24"/>
          <w:highlight w:val="none"/>
        </w:rPr>
      </w:pPr>
      <w:r>
        <w:rPr>
          <w:rFonts w:hint="eastAsia" w:ascii="Arial" w:hAnsi="Arial"/>
          <w:b/>
          <w:color w:val="auto"/>
          <w:sz w:val="24"/>
          <w:highlight w:val="none"/>
        </w:rPr>
        <w:t>质疑与投诉</w:t>
      </w:r>
    </w:p>
    <w:p w14:paraId="704D5974">
      <w:pPr>
        <w:widowControl/>
        <w:numPr>
          <w:ilvl w:val="1"/>
          <w:numId w:val="11"/>
        </w:numPr>
        <w:snapToGrid w:val="0"/>
        <w:spacing w:line="400" w:lineRule="exact"/>
        <w:rPr>
          <w:rFonts w:ascii="Arial" w:hAnsi="Arial"/>
          <w:color w:val="auto"/>
          <w:highlight w:val="none"/>
        </w:rPr>
      </w:pPr>
      <w:r>
        <w:rPr>
          <w:rFonts w:ascii="Arial" w:hAnsi="Arial"/>
          <w:color w:val="auto"/>
          <w:highlight w:val="none"/>
        </w:rPr>
        <w:t>投标人认为招标文件、招标过程和中标结果使自己的合法权益受到损害的，应当在知道或者应知其权益受到损害之日起七个工作日内，以书面形式向招标人、</w:t>
      </w:r>
      <w:r>
        <w:rPr>
          <w:rFonts w:hint="eastAsia" w:ascii="Arial" w:hAnsi="Arial"/>
          <w:color w:val="auto"/>
          <w:highlight w:val="none"/>
        </w:rPr>
        <w:t>采购代理机构</w:t>
      </w:r>
      <w:r>
        <w:rPr>
          <w:rFonts w:ascii="Arial" w:hAnsi="Arial"/>
          <w:color w:val="auto"/>
          <w:highlight w:val="none"/>
        </w:rPr>
        <w:t>提出质疑。投标人对招标单位的质疑答复不满意或者招标单位未在规定时间内作出答复的，可以在答复期满后十五个工作日内向</w:t>
      </w:r>
      <w:r>
        <w:rPr>
          <w:rFonts w:hint="eastAsia" w:ascii="宋体" w:hAnsi="宋体" w:cs="宋体"/>
          <w:color w:val="auto"/>
          <w:highlight w:val="none"/>
        </w:rPr>
        <w:t>瑞安市财政局</w:t>
      </w:r>
      <w:r>
        <w:rPr>
          <w:rFonts w:ascii="Arial" w:hAnsi="Arial"/>
          <w:color w:val="auto"/>
          <w:highlight w:val="none"/>
        </w:rPr>
        <w:t>投诉</w:t>
      </w:r>
      <w:r>
        <w:rPr>
          <w:rFonts w:hint="eastAsia" w:ascii="Arial" w:hAnsi="Arial"/>
          <w:color w:val="auto"/>
          <w:highlight w:val="none"/>
        </w:rPr>
        <w:t>。</w:t>
      </w:r>
    </w:p>
    <w:p w14:paraId="33CF331D">
      <w:pPr>
        <w:widowControl/>
        <w:numPr>
          <w:ilvl w:val="1"/>
          <w:numId w:val="11"/>
        </w:numPr>
        <w:snapToGrid w:val="0"/>
        <w:spacing w:line="400" w:lineRule="exact"/>
        <w:rPr>
          <w:rFonts w:ascii="Arial" w:hAnsi="Arial"/>
          <w:color w:val="auto"/>
          <w:highlight w:val="none"/>
        </w:rPr>
      </w:pPr>
      <w:r>
        <w:rPr>
          <w:rFonts w:ascii="Arial" w:hAnsi="Arial"/>
          <w:color w:val="auto"/>
          <w:highlight w:val="none"/>
        </w:rPr>
        <w:t>对</w:t>
      </w:r>
      <w:r>
        <w:rPr>
          <w:rFonts w:hint="eastAsia" w:ascii="Arial" w:hAnsi="Arial"/>
          <w:color w:val="auto"/>
          <w:highlight w:val="none"/>
        </w:rPr>
        <w:t>招标</w:t>
      </w:r>
      <w:r>
        <w:rPr>
          <w:rFonts w:ascii="Arial" w:hAnsi="Arial"/>
          <w:color w:val="auto"/>
          <w:highlight w:val="none"/>
        </w:rPr>
        <w:t>公告信息（含</w:t>
      </w:r>
      <w:r>
        <w:rPr>
          <w:rFonts w:hint="eastAsia" w:ascii="Arial" w:hAnsi="Arial"/>
          <w:color w:val="auto"/>
          <w:highlight w:val="none"/>
        </w:rPr>
        <w:t>投标人</w:t>
      </w:r>
      <w:r>
        <w:rPr>
          <w:rFonts w:ascii="Arial" w:hAnsi="Arial"/>
          <w:color w:val="auto"/>
          <w:highlight w:val="none"/>
        </w:rPr>
        <w:t>资格条件）</w:t>
      </w:r>
      <w:r>
        <w:rPr>
          <w:rFonts w:hint="eastAsia" w:ascii="Arial" w:hAnsi="Arial"/>
          <w:color w:val="auto"/>
          <w:highlight w:val="none"/>
        </w:rPr>
        <w:t>或网上下载的招标</w:t>
      </w:r>
      <w:r>
        <w:rPr>
          <w:rFonts w:ascii="Arial" w:hAnsi="Arial"/>
          <w:color w:val="auto"/>
          <w:highlight w:val="none"/>
        </w:rPr>
        <w:t>文件提出质疑的，质疑期限自</w:t>
      </w:r>
      <w:r>
        <w:rPr>
          <w:rFonts w:hint="eastAsia" w:ascii="Arial" w:hAnsi="Arial"/>
          <w:color w:val="auto"/>
          <w:highlight w:val="none"/>
        </w:rPr>
        <w:t>招标</w:t>
      </w:r>
      <w:r>
        <w:rPr>
          <w:rFonts w:ascii="Arial" w:hAnsi="Arial"/>
          <w:color w:val="auto"/>
          <w:highlight w:val="none"/>
        </w:rPr>
        <w:t>公告</w:t>
      </w:r>
      <w:r>
        <w:rPr>
          <w:rFonts w:hint="eastAsia" w:ascii="Arial" w:hAnsi="Arial"/>
          <w:color w:val="auto"/>
          <w:highlight w:val="none"/>
        </w:rPr>
        <w:t>或招标</w:t>
      </w:r>
      <w:r>
        <w:rPr>
          <w:rFonts w:ascii="Arial" w:hAnsi="Arial"/>
          <w:color w:val="auto"/>
          <w:highlight w:val="none"/>
        </w:rPr>
        <w:t>文件发布之日起计算。对</w:t>
      </w:r>
      <w:r>
        <w:rPr>
          <w:rFonts w:hint="eastAsia" w:ascii="Arial" w:hAnsi="Arial"/>
          <w:color w:val="auto"/>
          <w:highlight w:val="none"/>
        </w:rPr>
        <w:t>实行报名 获取的招标</w:t>
      </w:r>
      <w:r>
        <w:rPr>
          <w:rFonts w:ascii="Arial" w:hAnsi="Arial"/>
          <w:color w:val="auto"/>
          <w:highlight w:val="none"/>
        </w:rPr>
        <w:t>文件提出质疑的，质疑期限自投标人获得</w:t>
      </w:r>
      <w:r>
        <w:rPr>
          <w:rFonts w:hint="eastAsia" w:ascii="Arial" w:hAnsi="Arial"/>
          <w:color w:val="auto"/>
          <w:highlight w:val="none"/>
        </w:rPr>
        <w:t>招标</w:t>
      </w:r>
      <w:r>
        <w:rPr>
          <w:rFonts w:ascii="Arial" w:hAnsi="Arial"/>
          <w:color w:val="auto"/>
          <w:highlight w:val="none"/>
        </w:rPr>
        <w:t>文件之日起计算（但</w:t>
      </w:r>
      <w:r>
        <w:rPr>
          <w:rFonts w:hint="eastAsia" w:ascii="Arial" w:hAnsi="Arial"/>
          <w:color w:val="auto"/>
          <w:highlight w:val="none"/>
        </w:rPr>
        <w:t>招标</w:t>
      </w:r>
      <w:r>
        <w:rPr>
          <w:rFonts w:ascii="Arial" w:hAnsi="Arial"/>
          <w:color w:val="auto"/>
          <w:highlight w:val="none"/>
        </w:rPr>
        <w:t>文件在发售或报名截止日后获得的，应当自截止之日起计算），且应当在招标响应截止时间之前提出，否则，被质疑人可不予接受。</w:t>
      </w:r>
    </w:p>
    <w:p w14:paraId="5F2D4D89">
      <w:pPr>
        <w:widowControl/>
        <w:numPr>
          <w:ilvl w:val="1"/>
          <w:numId w:val="11"/>
        </w:numPr>
        <w:snapToGrid w:val="0"/>
        <w:spacing w:line="400" w:lineRule="exact"/>
        <w:rPr>
          <w:rFonts w:ascii="Arial" w:hAnsi="Arial"/>
          <w:color w:val="auto"/>
          <w:highlight w:val="none"/>
        </w:rPr>
      </w:pPr>
      <w:r>
        <w:rPr>
          <w:rFonts w:ascii="Arial" w:hAnsi="Arial"/>
          <w:color w:val="auto"/>
          <w:highlight w:val="none"/>
        </w:rP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ascii="Arial" w:hAnsi="Arial"/>
          <w:color w:val="auto"/>
          <w:highlight w:val="none"/>
        </w:rPr>
        <w:t>。质疑书格式可参考</w:t>
      </w:r>
      <w:r>
        <w:rPr>
          <w:rFonts w:hint="eastAsia" w:ascii="Arial" w:hAnsi="Arial"/>
          <w:color w:val="auto"/>
          <w:highlight w:val="none"/>
          <w:lang w:eastAsia="zh-CN"/>
        </w:rPr>
        <w:t>温州市公共资源交易网瑞安分网</w:t>
      </w:r>
      <w:r>
        <w:rPr>
          <w:rFonts w:hint="eastAsia" w:ascii="宋体" w:hAnsi="宋体"/>
          <w:color w:val="auto"/>
          <w:highlight w:val="none"/>
        </w:rPr>
        <w:t>表格下载处相关格式。</w:t>
      </w:r>
    </w:p>
    <w:p w14:paraId="497D422A">
      <w:pPr>
        <w:snapToGrid w:val="0"/>
        <w:spacing w:line="400" w:lineRule="exact"/>
        <w:ind w:firstLine="840" w:firstLineChars="400"/>
        <w:rPr>
          <w:rFonts w:ascii="Arial" w:hAnsi="Arial"/>
          <w:color w:val="auto"/>
          <w:highlight w:val="none"/>
        </w:rPr>
      </w:pPr>
      <w:bookmarkStart w:id="80" w:name="OLE_LINK11"/>
      <w:r>
        <w:rPr>
          <w:rFonts w:hint="eastAsia" w:ascii="宋体" w:hAnsi="宋体"/>
          <w:color w:val="auto"/>
          <w:highlight w:val="none"/>
        </w:rPr>
        <w:t xml:space="preserve">1）  </w:t>
      </w:r>
      <w:r>
        <w:rPr>
          <w:rFonts w:hint="eastAsia" w:ascii="Arial" w:hAnsi="Arial"/>
          <w:color w:val="auto"/>
          <w:highlight w:val="none"/>
        </w:rPr>
        <w:t>质疑受理机构：</w:t>
      </w:r>
      <w:bookmarkEnd w:id="80"/>
      <w:r>
        <w:rPr>
          <w:rFonts w:hint="eastAsia" w:ascii="Arial" w:hAnsi="Arial"/>
          <w:color w:val="auto"/>
          <w:highlight w:val="none"/>
        </w:rPr>
        <w:t>浙江瑞扬工程咨询招标代理股份有限公司</w:t>
      </w:r>
    </w:p>
    <w:p w14:paraId="6BFB75B0">
      <w:pPr>
        <w:tabs>
          <w:tab w:val="left" w:pos="900"/>
        </w:tabs>
        <w:spacing w:line="400" w:lineRule="exact"/>
        <w:ind w:left="750" w:leftChars="357" w:firstLine="630" w:firstLineChars="300"/>
        <w:rPr>
          <w:rFonts w:ascii="Arial" w:hAnsi="Arial"/>
          <w:color w:val="auto"/>
          <w:highlight w:val="none"/>
        </w:rPr>
      </w:pPr>
      <w:bookmarkStart w:id="81" w:name="OLE_LINK14"/>
      <w:r>
        <w:rPr>
          <w:rFonts w:hint="eastAsia" w:ascii="Arial" w:hAnsi="Arial"/>
          <w:color w:val="auto"/>
          <w:highlight w:val="none"/>
        </w:rPr>
        <w:t>联系电话：</w:t>
      </w:r>
      <w:r>
        <w:rPr>
          <w:rFonts w:hint="eastAsia" w:ascii="宋体" w:hAnsi="宋体" w:eastAsia="宋体" w:cs="宋体"/>
          <w:color w:val="auto"/>
          <w:highlight w:val="none"/>
        </w:rPr>
        <w:t>0577-65802277</w:t>
      </w:r>
    </w:p>
    <w:p w14:paraId="65BDCEBA">
      <w:pPr>
        <w:snapToGrid w:val="0"/>
        <w:spacing w:line="400" w:lineRule="exact"/>
        <w:ind w:firstLine="1260" w:firstLineChars="600"/>
        <w:rPr>
          <w:rFonts w:ascii="Arial" w:hAnsi="Arial"/>
          <w:color w:val="auto"/>
          <w:highlight w:val="none"/>
        </w:rPr>
      </w:pPr>
      <w:r>
        <w:rPr>
          <w:rFonts w:hint="eastAsia" w:ascii="Arial" w:hAnsi="Arial"/>
          <w:color w:val="auto"/>
          <w:highlight w:val="none"/>
        </w:rPr>
        <w:t xml:space="preserve"> 质疑受理机构：瑞安市卫生健康局</w:t>
      </w:r>
    </w:p>
    <w:p w14:paraId="5CB525C3">
      <w:pPr>
        <w:tabs>
          <w:tab w:val="left" w:pos="900"/>
        </w:tabs>
        <w:spacing w:line="400" w:lineRule="exact"/>
        <w:ind w:left="750" w:leftChars="357" w:firstLine="630" w:firstLineChars="300"/>
        <w:rPr>
          <w:color w:val="auto"/>
          <w:highlight w:val="none"/>
        </w:rPr>
      </w:pPr>
      <w:r>
        <w:rPr>
          <w:rFonts w:hint="eastAsia" w:ascii="Arial" w:hAnsi="Arial"/>
          <w:color w:val="auto"/>
          <w:highlight w:val="none"/>
        </w:rPr>
        <w:t>联系电</w:t>
      </w:r>
      <w:r>
        <w:rPr>
          <w:rFonts w:hint="eastAsia" w:ascii="宋体" w:hAnsi="宋体" w:eastAsia="宋体" w:cs="宋体"/>
          <w:color w:val="auto"/>
          <w:highlight w:val="none"/>
        </w:rPr>
        <w:t xml:space="preserve">话：0577-65800391  </w:t>
      </w:r>
    </w:p>
    <w:bookmarkEnd w:id="81"/>
    <w:p w14:paraId="1B7021D6">
      <w:pPr>
        <w:tabs>
          <w:tab w:val="left" w:pos="900"/>
        </w:tabs>
        <w:spacing w:line="400" w:lineRule="exact"/>
        <w:rPr>
          <w:rFonts w:ascii="Arial" w:hAnsi="Arial"/>
          <w:color w:val="auto"/>
          <w:highlight w:val="none"/>
        </w:rPr>
      </w:pPr>
      <w:r>
        <w:rPr>
          <w:rFonts w:hint="eastAsia" w:ascii="宋体" w:hAnsi="宋体"/>
          <w:color w:val="auto"/>
          <w:highlight w:val="none"/>
        </w:rPr>
        <w:tab/>
      </w:r>
      <w:r>
        <w:rPr>
          <w:rFonts w:hint="eastAsia" w:ascii="宋体" w:hAnsi="宋体"/>
          <w:color w:val="auto"/>
          <w:highlight w:val="none"/>
        </w:rPr>
        <w:t>2）  投诉</w:t>
      </w:r>
      <w:r>
        <w:rPr>
          <w:rFonts w:hint="eastAsia" w:ascii="Arial" w:hAnsi="Arial"/>
          <w:color w:val="auto"/>
          <w:highlight w:val="none"/>
        </w:rPr>
        <w:t>受理机构：</w:t>
      </w:r>
      <w:r>
        <w:rPr>
          <w:rFonts w:hint="eastAsia" w:ascii="宋体" w:hAnsi="宋体" w:cs="宋体"/>
          <w:color w:val="auto"/>
          <w:highlight w:val="none"/>
        </w:rPr>
        <w:t>瑞安市财政局</w:t>
      </w:r>
    </w:p>
    <w:p w14:paraId="2A6E3E02">
      <w:pPr>
        <w:tabs>
          <w:tab w:val="left" w:pos="900"/>
        </w:tabs>
        <w:spacing w:line="400" w:lineRule="exact"/>
        <w:ind w:firstLine="1470" w:firstLineChars="700"/>
        <w:rPr>
          <w:rFonts w:ascii="Arial" w:hAnsi="Arial"/>
          <w:color w:val="auto"/>
          <w:highlight w:val="none"/>
        </w:rPr>
      </w:pPr>
      <w:r>
        <w:rPr>
          <w:rFonts w:hint="eastAsia" w:ascii="Arial" w:hAnsi="Arial"/>
          <w:color w:val="auto"/>
          <w:highlight w:val="none"/>
        </w:rPr>
        <w:t>联系电话</w:t>
      </w:r>
      <w:r>
        <w:rPr>
          <w:rFonts w:hint="eastAsia" w:ascii="宋体" w:hAnsi="宋体" w:eastAsia="宋体" w:cs="宋体"/>
          <w:color w:val="auto"/>
          <w:highlight w:val="none"/>
        </w:rPr>
        <w:t>：0577-65827659</w:t>
      </w:r>
    </w:p>
    <w:p w14:paraId="3C24AFEF">
      <w:pPr>
        <w:pStyle w:val="3"/>
        <w:spacing w:beforeLines="50" w:afterLines="50" w:line="400" w:lineRule="exact"/>
        <w:rPr>
          <w:color w:val="auto"/>
          <w:sz w:val="24"/>
          <w:szCs w:val="24"/>
          <w:highlight w:val="none"/>
        </w:rPr>
      </w:pPr>
      <w:bookmarkStart w:id="82" w:name="_Toc405556614"/>
      <w:bookmarkStart w:id="83" w:name="_Toc25706"/>
      <w:bookmarkStart w:id="84" w:name="_Toc14787"/>
      <w:bookmarkStart w:id="85" w:name="_Toc10194"/>
      <w:bookmarkStart w:id="86" w:name="_Toc24790"/>
      <w:r>
        <w:rPr>
          <w:rFonts w:hint="eastAsia"/>
          <w:color w:val="auto"/>
          <w:sz w:val="24"/>
          <w:szCs w:val="24"/>
          <w:highlight w:val="none"/>
        </w:rPr>
        <w:t>（七）授予合同</w:t>
      </w:r>
      <w:bookmarkEnd w:id="82"/>
      <w:bookmarkEnd w:id="83"/>
      <w:bookmarkEnd w:id="84"/>
      <w:bookmarkEnd w:id="85"/>
      <w:bookmarkEnd w:id="86"/>
    </w:p>
    <w:p w14:paraId="5B1462DB">
      <w:pPr>
        <w:widowControl/>
        <w:numPr>
          <w:ilvl w:val="0"/>
          <w:numId w:val="11"/>
        </w:numPr>
        <w:spacing w:line="360" w:lineRule="exact"/>
        <w:rPr>
          <w:rFonts w:ascii="Arial" w:hAnsi="Arial"/>
          <w:color w:val="auto"/>
          <w:highlight w:val="none"/>
        </w:rPr>
      </w:pPr>
      <w:r>
        <w:rPr>
          <w:rFonts w:hint="eastAsia" w:ascii="Arial" w:hAnsi="Arial"/>
          <w:b/>
          <w:color w:val="auto"/>
          <w:sz w:val="24"/>
          <w:highlight w:val="none"/>
        </w:rPr>
        <w:t>中标通知</w:t>
      </w:r>
    </w:p>
    <w:p w14:paraId="432C7D5B">
      <w:pPr>
        <w:widowControl/>
        <w:numPr>
          <w:ilvl w:val="1"/>
          <w:numId w:val="11"/>
        </w:numPr>
        <w:snapToGrid w:val="0"/>
        <w:spacing w:line="360" w:lineRule="exact"/>
        <w:rPr>
          <w:rFonts w:ascii="Arial" w:hAnsi="Arial"/>
          <w:color w:val="auto"/>
          <w:highlight w:val="none"/>
        </w:rPr>
      </w:pPr>
      <w:r>
        <w:rPr>
          <w:rFonts w:hint="eastAsia" w:ascii="Arial" w:hAnsi="Arial"/>
          <w:color w:val="auto"/>
          <w:highlight w:val="none"/>
        </w:rPr>
        <w:t>在发布中标公告</w:t>
      </w:r>
      <w:r>
        <w:rPr>
          <w:rFonts w:hint="eastAsia" w:ascii="宋体" w:hAnsi="宋体"/>
          <w:color w:val="auto"/>
          <w:highlight w:val="none"/>
        </w:rPr>
        <w:t>同时</w:t>
      </w:r>
      <w:r>
        <w:rPr>
          <w:rFonts w:hint="eastAsia" w:ascii="Arial" w:hAnsi="Arial"/>
          <w:color w:val="auto"/>
          <w:highlight w:val="none"/>
        </w:rPr>
        <w:t>，采购代理机构将用书面形式向获接受的投标人发出书面的《中标通知书》。《中标通知书》将是合同的一个组成部分。</w:t>
      </w:r>
    </w:p>
    <w:p w14:paraId="19EB4555">
      <w:pPr>
        <w:widowControl/>
        <w:numPr>
          <w:ilvl w:val="0"/>
          <w:numId w:val="11"/>
        </w:numPr>
        <w:snapToGrid w:val="0"/>
        <w:spacing w:line="360" w:lineRule="exact"/>
        <w:rPr>
          <w:rFonts w:ascii="宋体" w:hAnsi="宋体"/>
          <w:color w:val="auto"/>
          <w:highlight w:val="none"/>
        </w:rPr>
      </w:pPr>
      <w:r>
        <w:rPr>
          <w:rFonts w:hint="eastAsia" w:ascii="Arial" w:hAnsi="Arial"/>
          <w:b/>
          <w:color w:val="auto"/>
          <w:sz w:val="24"/>
          <w:highlight w:val="none"/>
        </w:rPr>
        <w:t>签订合同</w:t>
      </w:r>
    </w:p>
    <w:p w14:paraId="7AE04230">
      <w:pPr>
        <w:widowControl/>
        <w:numPr>
          <w:ilvl w:val="1"/>
          <w:numId w:val="11"/>
        </w:numPr>
        <w:snapToGrid w:val="0"/>
        <w:spacing w:line="360" w:lineRule="exact"/>
        <w:rPr>
          <w:rFonts w:ascii="Arial" w:hAnsi="Arial"/>
          <w:color w:val="auto"/>
          <w:sz w:val="24"/>
          <w:highlight w:val="none"/>
        </w:rPr>
      </w:pPr>
      <w:r>
        <w:rPr>
          <w:rFonts w:hint="eastAsia" w:ascii="宋体" w:hAnsi="宋体"/>
          <w:color w:val="auto"/>
          <w:highlight w:val="none"/>
        </w:rPr>
        <w:t>招标文件、中标人的投标文件及其澄清文件等，均为签订合同的依据。中标人自发出中标通知书后30个日历天内与招标人签订合同。</w:t>
      </w:r>
    </w:p>
    <w:p w14:paraId="4EF019F0">
      <w:pPr>
        <w:widowControl/>
        <w:numPr>
          <w:ilvl w:val="1"/>
          <w:numId w:val="11"/>
        </w:numPr>
        <w:snapToGrid w:val="0"/>
        <w:spacing w:line="360" w:lineRule="exact"/>
        <w:rPr>
          <w:rFonts w:ascii="Arial" w:hAnsi="Arial"/>
          <w:color w:val="auto"/>
          <w:sz w:val="24"/>
          <w:highlight w:val="none"/>
        </w:rPr>
      </w:pPr>
      <w:r>
        <w:rPr>
          <w:rFonts w:hint="eastAsia" w:ascii="宋体" w:hAnsi="宋体"/>
          <w:color w:val="auto"/>
          <w:highlight w:val="none"/>
        </w:rPr>
        <w:t>中标人不遵守招标文件或投标文件的要约、承诺，或在接到中标通知书后，借故拖延、拒签合同者，招标人将取消该单位的中标资格，另选其它投标人中标。</w:t>
      </w:r>
    </w:p>
    <w:p w14:paraId="6A7F1F42">
      <w:pPr>
        <w:widowControl/>
        <w:numPr>
          <w:ilvl w:val="0"/>
          <w:numId w:val="11"/>
        </w:numPr>
        <w:snapToGrid w:val="0"/>
        <w:spacing w:line="360" w:lineRule="exact"/>
        <w:rPr>
          <w:rFonts w:ascii="Arial" w:hAnsi="Arial"/>
          <w:b/>
          <w:color w:val="auto"/>
          <w:sz w:val="24"/>
          <w:highlight w:val="none"/>
        </w:rPr>
      </w:pPr>
      <w:r>
        <w:rPr>
          <w:rFonts w:hint="eastAsia" w:ascii="Arial" w:hAnsi="Arial"/>
          <w:b/>
          <w:color w:val="auto"/>
          <w:sz w:val="24"/>
          <w:highlight w:val="none"/>
        </w:rPr>
        <w:t>招标结果通知</w:t>
      </w:r>
    </w:p>
    <w:p w14:paraId="39255402">
      <w:pPr>
        <w:snapToGrid w:val="0"/>
        <w:spacing w:line="360" w:lineRule="exact"/>
        <w:ind w:left="840" w:leftChars="400"/>
        <w:rPr>
          <w:rFonts w:ascii="宋体" w:hAnsi="宋体"/>
          <w:color w:val="auto"/>
          <w:highlight w:val="none"/>
        </w:rPr>
      </w:pPr>
      <w:r>
        <w:rPr>
          <w:rFonts w:hint="eastAsia" w:ascii="宋体" w:hAnsi="宋体"/>
          <w:color w:val="auto"/>
          <w:highlight w:val="none"/>
        </w:rPr>
        <w:t>采购代理机构在发出《中标通知书》的同时在 “</w:t>
      </w:r>
      <w:r>
        <w:rPr>
          <w:rFonts w:hint="eastAsia" w:ascii="宋体" w:hAnsi="宋体"/>
          <w:color w:val="auto"/>
          <w:highlight w:val="none"/>
          <w:lang w:eastAsia="zh-CN"/>
        </w:rPr>
        <w:t>温州市公共资源交易网瑞安分网</w:t>
      </w:r>
      <w:r>
        <w:rPr>
          <w:rFonts w:hint="eastAsia" w:ascii="宋体" w:hAnsi="宋体"/>
          <w:color w:val="auto"/>
          <w:highlight w:val="none"/>
        </w:rPr>
        <w:t>”（网址：</w:t>
      </w:r>
      <w:r>
        <w:rPr>
          <w:rFonts w:hint="eastAsia" w:ascii="宋体" w:hAnsi="宋体"/>
          <w:color w:val="auto"/>
          <w:highlight w:val="none"/>
          <w:lang w:eastAsia="zh-CN"/>
        </w:rPr>
        <w:t>https://ggzyjy-eweb.wenzhou.gov.cn/</w:t>
      </w:r>
      <w:r>
        <w:rPr>
          <w:rFonts w:hint="eastAsia" w:ascii="宋体" w:hAnsi="宋体"/>
          <w:color w:val="auto"/>
          <w:highlight w:val="none"/>
        </w:rPr>
        <w:t>）和浙江政府采购网（http://zfcg.czt.zj.gov.cn/）上发布中标结果。</w:t>
      </w:r>
    </w:p>
    <w:p w14:paraId="4441BE6D">
      <w:pPr>
        <w:widowControl/>
        <w:numPr>
          <w:ilvl w:val="0"/>
          <w:numId w:val="11"/>
        </w:numPr>
        <w:snapToGrid w:val="0"/>
        <w:spacing w:line="360" w:lineRule="exact"/>
        <w:rPr>
          <w:rFonts w:ascii="Arial" w:hAnsi="Arial"/>
          <w:b/>
          <w:color w:val="auto"/>
          <w:sz w:val="24"/>
          <w:highlight w:val="none"/>
        </w:rPr>
      </w:pPr>
      <w:r>
        <w:rPr>
          <w:rFonts w:hint="eastAsia" w:ascii="Arial" w:hAnsi="Arial"/>
          <w:b/>
          <w:color w:val="auto"/>
          <w:sz w:val="24"/>
          <w:highlight w:val="none"/>
        </w:rPr>
        <w:t>招标代理服务费</w:t>
      </w:r>
    </w:p>
    <w:p w14:paraId="2E96EC80">
      <w:pPr>
        <w:snapToGrid w:val="0"/>
        <w:spacing w:line="360" w:lineRule="exact"/>
        <w:ind w:left="840" w:leftChars="400"/>
        <w:rPr>
          <w:rFonts w:ascii="宋体" w:hAnsi="宋体"/>
          <w:bCs/>
          <w:color w:val="auto"/>
          <w:szCs w:val="21"/>
          <w:highlight w:val="none"/>
        </w:rPr>
      </w:pPr>
      <w:r>
        <w:rPr>
          <w:rFonts w:hint="eastAsia" w:ascii="宋体" w:hAnsi="宋体"/>
          <w:bCs/>
          <w:color w:val="auto"/>
          <w:highlight w:val="none"/>
        </w:rPr>
        <w:t>招标代理服务费：中标人须向采购代理机构交纳代理服务费捌仟元整</w:t>
      </w:r>
      <w:r>
        <w:rPr>
          <w:rFonts w:hint="eastAsia" w:ascii="宋体" w:hAnsi="宋体"/>
          <w:color w:val="auto"/>
          <w:highlight w:val="none"/>
        </w:rPr>
        <w:t>，该费用必须在领取中标通知书前一次性付清，请投标人予以考虑。</w:t>
      </w:r>
    </w:p>
    <w:p w14:paraId="08E2E629">
      <w:pPr>
        <w:snapToGrid w:val="0"/>
        <w:spacing w:line="360" w:lineRule="exact"/>
        <w:ind w:left="840" w:leftChars="400"/>
        <w:rPr>
          <w:rFonts w:ascii="宋体" w:hAnsi="宋体"/>
          <w:bCs/>
          <w:color w:val="auto"/>
          <w:highlight w:val="none"/>
        </w:rPr>
      </w:pPr>
    </w:p>
    <w:p w14:paraId="00CAE20F">
      <w:pPr>
        <w:pStyle w:val="2"/>
        <w:keepNext w:val="0"/>
        <w:keepLines w:val="0"/>
        <w:pageBreakBefore/>
        <w:spacing w:before="0" w:after="0" w:line="360" w:lineRule="auto"/>
        <w:rPr>
          <w:rFonts w:hAnsi="宋体"/>
          <w:color w:val="auto"/>
          <w:sz w:val="28"/>
          <w:szCs w:val="36"/>
          <w:highlight w:val="none"/>
        </w:rPr>
      </w:pPr>
      <w:bookmarkStart w:id="87" w:name="_Toc292804907"/>
      <w:bookmarkStart w:id="88" w:name="_Toc24803"/>
      <w:bookmarkStart w:id="89" w:name="_Toc405556615"/>
      <w:bookmarkStart w:id="90" w:name="_Toc6034"/>
      <w:bookmarkStart w:id="91" w:name="_Toc6948"/>
      <w:bookmarkStart w:id="92" w:name="_Toc2800"/>
      <w:r>
        <w:rPr>
          <w:rFonts w:hint="eastAsia" w:hAnsi="宋体"/>
          <w:color w:val="auto"/>
          <w:sz w:val="28"/>
          <w:szCs w:val="36"/>
          <w:highlight w:val="none"/>
        </w:rPr>
        <w:t>第三部分  招标内容和要求</w:t>
      </w:r>
      <w:bookmarkEnd w:id="87"/>
      <w:bookmarkEnd w:id="88"/>
      <w:bookmarkEnd w:id="89"/>
      <w:bookmarkEnd w:id="90"/>
      <w:bookmarkEnd w:id="91"/>
      <w:bookmarkEnd w:id="92"/>
    </w:p>
    <w:p w14:paraId="45F476A7">
      <w:pPr>
        <w:spacing w:line="400" w:lineRule="exact"/>
        <w:ind w:firstLine="422" w:firstLineChars="200"/>
        <w:outlineLvl w:val="1"/>
        <w:rPr>
          <w:b/>
          <w:bCs/>
          <w:color w:val="auto"/>
          <w:szCs w:val="21"/>
          <w:highlight w:val="none"/>
        </w:rPr>
      </w:pPr>
      <w:bookmarkStart w:id="93" w:name="_Toc7861"/>
      <w:bookmarkStart w:id="94" w:name="_Toc405556616"/>
      <w:bookmarkStart w:id="95" w:name="_Toc11094"/>
      <w:bookmarkStart w:id="96" w:name="_Toc20317"/>
      <w:bookmarkStart w:id="97" w:name="_Toc10344"/>
      <w:r>
        <w:rPr>
          <w:rFonts w:hint="eastAsia"/>
          <w:b/>
          <w:bCs/>
          <w:color w:val="auto"/>
          <w:szCs w:val="21"/>
          <w:highlight w:val="none"/>
        </w:rPr>
        <w:t>一、项目概述</w:t>
      </w:r>
      <w:bookmarkEnd w:id="93"/>
      <w:bookmarkEnd w:id="94"/>
      <w:bookmarkEnd w:id="95"/>
      <w:bookmarkEnd w:id="96"/>
      <w:bookmarkEnd w:id="97"/>
    </w:p>
    <w:p w14:paraId="1D5B365B">
      <w:pPr>
        <w:spacing w:line="400" w:lineRule="exact"/>
        <w:ind w:firstLine="420" w:firstLineChars="200"/>
        <w:rPr>
          <w:rFonts w:ascii="Arial" w:hAnsi="Arial"/>
          <w:color w:val="auto"/>
          <w:highlight w:val="none"/>
        </w:rPr>
      </w:pPr>
      <w:r>
        <w:rPr>
          <w:rFonts w:hint="eastAsia" w:ascii="Arial" w:hAnsi="Arial"/>
          <w:color w:val="auto"/>
          <w:highlight w:val="none"/>
        </w:rPr>
        <w:t>该项目是</w:t>
      </w:r>
      <w:r>
        <w:rPr>
          <w:rFonts w:hint="eastAsia" w:ascii="Arial" w:hAnsi="Arial"/>
          <w:color w:val="auto"/>
          <w:highlight w:val="none"/>
          <w:lang w:eastAsia="zh-CN"/>
        </w:rPr>
        <w:t>瑞安市基层卫生服务中心</w:t>
      </w:r>
      <w:r>
        <w:rPr>
          <w:rFonts w:hint="eastAsia" w:ascii="Arial" w:hAnsi="Arial"/>
          <w:color w:val="auto"/>
          <w:highlight w:val="none"/>
        </w:rPr>
        <w:t>专用账户开立招投标项目，现根据</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shd w:val="clear" w:color="auto" w:fill="FFFFFF"/>
        </w:rPr>
        <w:t>浙江省省级预算单位银行账户管理暂行办法</w:t>
      </w: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rPr>
        <w:t>(浙财预执〔2015〕16号)、</w:t>
      </w:r>
      <w:r>
        <w:rPr>
          <w:rFonts w:hint="eastAsia" w:ascii="Arial" w:hAnsi="Arial"/>
          <w:color w:val="auto"/>
          <w:highlight w:val="none"/>
        </w:rPr>
        <w:t>《瑞安市预算单位公款竞争性存放管理暂行办法》（瑞政办〔2015〕99号）和《瑞安市市级行政事业单位公款竞争性存放管理办法》(瑞财预执〔2021〕245号)等有关规定，通过公开招标的方式选择开户银行。</w:t>
      </w:r>
    </w:p>
    <w:p w14:paraId="42136361">
      <w:pPr>
        <w:spacing w:line="400" w:lineRule="exact"/>
        <w:ind w:firstLine="422" w:firstLineChars="200"/>
        <w:outlineLvl w:val="1"/>
        <w:rPr>
          <w:b/>
          <w:bCs/>
          <w:color w:val="auto"/>
          <w:szCs w:val="21"/>
          <w:highlight w:val="none"/>
        </w:rPr>
      </w:pPr>
      <w:bookmarkStart w:id="98" w:name="_Toc11602"/>
      <w:bookmarkStart w:id="99" w:name="_Toc7467"/>
      <w:bookmarkStart w:id="100" w:name="_Toc18097"/>
      <w:bookmarkStart w:id="101" w:name="_Toc26330"/>
      <w:bookmarkStart w:id="102" w:name="_Toc30605"/>
      <w:bookmarkStart w:id="103" w:name="_Toc3242"/>
      <w:bookmarkStart w:id="104" w:name="OLE_LINK24"/>
      <w:bookmarkStart w:id="105" w:name="_Toc6865"/>
      <w:bookmarkStart w:id="106" w:name="_Toc8246"/>
      <w:bookmarkStart w:id="107" w:name="_Toc17962"/>
      <w:bookmarkStart w:id="108" w:name="_Toc405556623"/>
      <w:r>
        <w:rPr>
          <w:rFonts w:hint="eastAsia"/>
          <w:b/>
          <w:bCs/>
          <w:color w:val="auto"/>
          <w:szCs w:val="21"/>
          <w:highlight w:val="none"/>
        </w:rPr>
        <w:t>二、资金开户管理方式的要求</w:t>
      </w:r>
      <w:bookmarkEnd w:id="98"/>
      <w:bookmarkEnd w:id="99"/>
      <w:bookmarkEnd w:id="100"/>
      <w:bookmarkEnd w:id="101"/>
      <w:bookmarkEnd w:id="102"/>
    </w:p>
    <w:p w14:paraId="19464F6E">
      <w:pPr>
        <w:pStyle w:val="29"/>
        <w:numPr>
          <w:ilvl w:val="0"/>
          <w:numId w:val="15"/>
        </w:numPr>
        <w:spacing w:line="400" w:lineRule="exact"/>
        <w:ind w:left="0" w:firstLine="420"/>
        <w:rPr>
          <w:rFonts w:ascii="Arial" w:hAnsi="Arial"/>
          <w:color w:val="auto"/>
          <w:highlight w:val="none"/>
        </w:rPr>
      </w:pPr>
      <w:bookmarkStart w:id="109" w:name="OLE_LINK22"/>
      <w:bookmarkStart w:id="110" w:name="_Toc12677"/>
      <w:bookmarkStart w:id="111" w:name="_Toc5007"/>
      <w:bookmarkStart w:id="112" w:name="_Toc32756"/>
      <w:bookmarkStart w:id="113" w:name="_Toc22965"/>
      <w:r>
        <w:rPr>
          <w:rFonts w:hint="eastAsia" w:ascii="Arial" w:hAnsi="Arial"/>
          <w:color w:val="auto"/>
          <w:highlight w:val="none"/>
        </w:rPr>
        <w:t>选择1家开户银行（经公告无异议的第一名候选人为中标人）。</w:t>
      </w:r>
    </w:p>
    <w:p w14:paraId="3A8462EE">
      <w:pPr>
        <w:pStyle w:val="29"/>
        <w:numPr>
          <w:ilvl w:val="0"/>
          <w:numId w:val="15"/>
        </w:numPr>
        <w:spacing w:line="400" w:lineRule="exact"/>
        <w:ind w:left="0" w:firstLine="420"/>
        <w:rPr>
          <w:rFonts w:ascii="Arial" w:hAnsi="Arial"/>
          <w:color w:val="auto"/>
          <w:highlight w:val="none"/>
        </w:rPr>
      </w:pPr>
      <w:r>
        <w:rPr>
          <w:rFonts w:hint="eastAsia" w:ascii="Arial" w:hAnsi="Arial"/>
          <w:color w:val="auto"/>
          <w:highlight w:val="none"/>
        </w:rPr>
        <w:t>专用账户采用协定存款形式。</w:t>
      </w:r>
    </w:p>
    <w:p w14:paraId="2D72C2BD">
      <w:pPr>
        <w:pStyle w:val="29"/>
        <w:numPr>
          <w:ilvl w:val="0"/>
          <w:numId w:val="15"/>
        </w:numPr>
        <w:spacing w:line="400" w:lineRule="exact"/>
        <w:ind w:left="0" w:firstLine="420"/>
        <w:rPr>
          <w:rFonts w:ascii="Arial" w:hAnsi="Arial"/>
          <w:color w:val="auto"/>
          <w:highlight w:val="none"/>
        </w:rPr>
      </w:pPr>
      <w:r>
        <w:rPr>
          <w:rFonts w:hint="eastAsia"/>
          <w:color w:val="auto"/>
          <w:szCs w:val="21"/>
          <w:highlight w:val="none"/>
        </w:rPr>
        <w:t>▲中标人须根据招标人需求在专用账户下设子账户，子账户赋予不同单位操作权限，但功能与主账户保持一致。</w:t>
      </w:r>
    </w:p>
    <w:p w14:paraId="337A9F31">
      <w:pPr>
        <w:pStyle w:val="29"/>
        <w:numPr>
          <w:ilvl w:val="0"/>
          <w:numId w:val="15"/>
        </w:numPr>
        <w:spacing w:line="400" w:lineRule="exact"/>
        <w:ind w:left="0" w:firstLine="420"/>
        <w:rPr>
          <w:rFonts w:ascii="Arial" w:hAnsi="Arial"/>
          <w:color w:val="auto"/>
          <w:highlight w:val="none"/>
        </w:rPr>
      </w:pPr>
      <w:r>
        <w:rPr>
          <w:rFonts w:hint="eastAsia" w:ascii="Arial" w:hAnsi="Arial"/>
          <w:color w:val="auto"/>
          <w:highlight w:val="none"/>
        </w:rPr>
        <w:t>根据中标人承诺及协议约定，招标人将对开户银行进行综合评估，不符合协议约定，限期进行整改，整改不合格的，招标人有权单方面终止协议，将违规中标人列入不诚信名单，五年内不得参加招标人组织的投标活动。</w:t>
      </w:r>
    </w:p>
    <w:p w14:paraId="6DD7EA20">
      <w:pPr>
        <w:pStyle w:val="29"/>
        <w:numPr>
          <w:ilvl w:val="0"/>
          <w:numId w:val="15"/>
        </w:numPr>
        <w:spacing w:line="400" w:lineRule="exact"/>
        <w:ind w:left="0" w:firstLine="420"/>
        <w:rPr>
          <w:rFonts w:ascii="Arial" w:hAnsi="Arial"/>
          <w:color w:val="auto"/>
          <w:highlight w:val="none"/>
        </w:rPr>
      </w:pPr>
      <w:r>
        <w:rPr>
          <w:rFonts w:hint="eastAsia" w:ascii="Arial" w:hAnsi="Arial"/>
          <w:color w:val="auto"/>
          <w:highlight w:val="none"/>
        </w:rPr>
        <w:t>中标人应按招标人需要配备至少1名与本项目相适应的专业工作人员对接服务。</w:t>
      </w:r>
    </w:p>
    <w:p w14:paraId="5A480A77">
      <w:pPr>
        <w:pStyle w:val="29"/>
        <w:numPr>
          <w:ilvl w:val="0"/>
          <w:numId w:val="15"/>
        </w:numPr>
        <w:spacing w:line="400" w:lineRule="exact"/>
        <w:ind w:left="0" w:firstLine="420"/>
        <w:rPr>
          <w:rFonts w:ascii="Arial" w:hAnsi="Arial"/>
          <w:color w:val="auto"/>
          <w:highlight w:val="none"/>
        </w:rPr>
      </w:pPr>
      <w:r>
        <w:rPr>
          <w:rFonts w:hint="eastAsia" w:ascii="Arial" w:hAnsi="Arial"/>
          <w:color w:val="auto"/>
          <w:highlight w:val="none"/>
        </w:rPr>
        <w:t>中标人在合同签订后，需根据招标人的要求，办理相关业务。</w:t>
      </w:r>
    </w:p>
    <w:bookmarkEnd w:id="109"/>
    <w:p w14:paraId="2AD89416">
      <w:pPr>
        <w:spacing w:line="400" w:lineRule="exact"/>
        <w:ind w:firstLine="422" w:firstLineChars="200"/>
        <w:outlineLvl w:val="1"/>
        <w:rPr>
          <w:b/>
          <w:bCs/>
          <w:color w:val="auto"/>
          <w:szCs w:val="21"/>
          <w:highlight w:val="none"/>
        </w:rPr>
      </w:pPr>
      <w:bookmarkStart w:id="114" w:name="_Toc19016"/>
      <w:r>
        <w:rPr>
          <w:rFonts w:hint="eastAsia"/>
          <w:b/>
          <w:bCs/>
          <w:color w:val="auto"/>
          <w:szCs w:val="21"/>
          <w:highlight w:val="none"/>
        </w:rPr>
        <w:t>三、其他说明</w:t>
      </w:r>
      <w:bookmarkEnd w:id="110"/>
      <w:bookmarkEnd w:id="111"/>
      <w:bookmarkEnd w:id="112"/>
      <w:bookmarkEnd w:id="113"/>
      <w:bookmarkEnd w:id="114"/>
    </w:p>
    <w:bookmarkEnd w:id="103"/>
    <w:bookmarkEnd w:id="104"/>
    <w:bookmarkEnd w:id="105"/>
    <w:bookmarkEnd w:id="106"/>
    <w:bookmarkEnd w:id="107"/>
    <w:p w14:paraId="6F0D88F7">
      <w:pPr>
        <w:pStyle w:val="29"/>
        <w:numPr>
          <w:ilvl w:val="0"/>
          <w:numId w:val="16"/>
        </w:numPr>
        <w:spacing w:line="400" w:lineRule="exact"/>
        <w:ind w:left="0" w:firstLine="420"/>
        <w:rPr>
          <w:rFonts w:ascii="Arial" w:hAnsi="Arial"/>
          <w:color w:val="auto"/>
          <w:highlight w:val="none"/>
        </w:rPr>
      </w:pPr>
      <w:bookmarkStart w:id="115" w:name="_Toc21018"/>
      <w:bookmarkStart w:id="116" w:name="_Toc7002"/>
      <w:bookmarkStart w:id="117" w:name="_Toc27325"/>
      <w:bookmarkStart w:id="118" w:name="_Toc2294"/>
      <w:r>
        <w:rPr>
          <w:rFonts w:hint="eastAsia" w:ascii="Arial" w:hAnsi="Arial"/>
          <w:color w:val="auto"/>
          <w:highlight w:val="none"/>
        </w:rPr>
        <w:t>根据中国人民银行的规定：对于招投标，一律按照《人民币单位存款管理办法》第十三条执行，提前支取的部分按支取日挂牌的活期存款利率计息。一律不准靠档计息。</w:t>
      </w:r>
    </w:p>
    <w:p w14:paraId="784219D2">
      <w:pPr>
        <w:pStyle w:val="29"/>
        <w:numPr>
          <w:ilvl w:val="0"/>
          <w:numId w:val="16"/>
        </w:numPr>
        <w:spacing w:line="400" w:lineRule="exact"/>
        <w:ind w:left="0" w:firstLine="420"/>
        <w:rPr>
          <w:rFonts w:ascii="Arial" w:hAnsi="Arial"/>
          <w:color w:val="auto"/>
          <w:highlight w:val="none"/>
        </w:rPr>
      </w:pPr>
      <w:r>
        <w:rPr>
          <w:rFonts w:hint="eastAsia" w:ascii="Arial" w:hAnsi="Arial"/>
          <w:color w:val="auto"/>
          <w:highlight w:val="none"/>
        </w:rPr>
        <w:t>在合同执行过程中，实际执行的活期存款和协定存款年利率根据中国人民银行发布的活期存款和协定存款基准利率及中标人活期存款和协定存款加减点数（基点）计算执行。</w:t>
      </w:r>
    </w:p>
    <w:p w14:paraId="5AAEC0F9">
      <w:pPr>
        <w:pStyle w:val="29"/>
        <w:numPr>
          <w:ilvl w:val="0"/>
          <w:numId w:val="16"/>
        </w:numPr>
        <w:spacing w:line="400" w:lineRule="exact"/>
        <w:ind w:left="0" w:firstLine="420"/>
        <w:rPr>
          <w:rFonts w:ascii="Arial" w:hAnsi="Arial"/>
          <w:color w:val="auto"/>
          <w:highlight w:val="none"/>
        </w:rPr>
      </w:pPr>
      <w:r>
        <w:rPr>
          <w:rFonts w:hint="eastAsia" w:ascii="Arial" w:hAnsi="Arial"/>
          <w:color w:val="auto"/>
          <w:highlight w:val="none"/>
        </w:rPr>
        <w:t>在合同执行过程中，如国家利率政策和利率自律约定调整，活期存款执行利率随国家利率政策和利率自律约定调整。</w:t>
      </w:r>
    </w:p>
    <w:p w14:paraId="5E172B28">
      <w:pPr>
        <w:pStyle w:val="29"/>
        <w:numPr>
          <w:ilvl w:val="0"/>
          <w:numId w:val="16"/>
        </w:numPr>
        <w:spacing w:line="400" w:lineRule="exact"/>
        <w:ind w:left="0" w:firstLine="420"/>
        <w:rPr>
          <w:rFonts w:ascii="Arial" w:hAnsi="Arial"/>
          <w:color w:val="auto"/>
          <w:highlight w:val="none"/>
        </w:rPr>
      </w:pPr>
      <w:r>
        <w:rPr>
          <w:rFonts w:hint="eastAsia" w:ascii="Arial" w:hAnsi="Arial"/>
          <w:color w:val="auto"/>
          <w:highlight w:val="none"/>
        </w:rPr>
        <w:t>协议有效期内，若利率相关的法律法规、规章政策调整，或中国人民银行存款基准利率、存款自律约定、银行总行存款利率内部授权上限等发生调整，导致协议约定的利率水平超出允许范围，中标人应在按本协议约定存款业务开办前及时通知招标人银行存款利率调整情况。</w:t>
      </w:r>
    </w:p>
    <w:p w14:paraId="6B256DE3">
      <w:pPr>
        <w:pStyle w:val="29"/>
        <w:numPr>
          <w:ilvl w:val="0"/>
          <w:numId w:val="16"/>
        </w:numPr>
        <w:spacing w:line="400" w:lineRule="exact"/>
        <w:ind w:left="0" w:firstLine="420"/>
        <w:rPr>
          <w:rFonts w:ascii="Arial" w:hAnsi="Arial"/>
          <w:color w:val="auto"/>
          <w:highlight w:val="none"/>
        </w:rPr>
      </w:pPr>
      <w:r>
        <w:rPr>
          <w:rFonts w:hint="eastAsia" w:ascii="Arial" w:hAnsi="Arial"/>
          <w:color w:val="auto"/>
          <w:highlight w:val="none"/>
        </w:rPr>
        <w:t>银行存款利率内部授权上限调整，是指中标人为满足国家宏观调控目标要求或落实存款利率市场化调整机制要求等，对中标人可执行的内部授权上限进行的具有主动性、自律性、普遍性的调整。</w:t>
      </w:r>
    </w:p>
    <w:p w14:paraId="0364D3DC">
      <w:pPr>
        <w:pStyle w:val="29"/>
        <w:numPr>
          <w:ilvl w:val="0"/>
          <w:numId w:val="16"/>
        </w:numPr>
        <w:spacing w:line="400" w:lineRule="exact"/>
        <w:ind w:left="0" w:firstLine="420"/>
        <w:rPr>
          <w:rFonts w:ascii="Arial" w:hAnsi="Arial"/>
          <w:color w:val="auto"/>
          <w:highlight w:val="none"/>
        </w:rPr>
      </w:pPr>
      <w:r>
        <w:rPr>
          <w:rFonts w:hint="eastAsia" w:ascii="Arial" w:hAnsi="Arial"/>
          <w:color w:val="auto"/>
          <w:highlight w:val="none"/>
        </w:rPr>
        <w:t>中标后，招标人有权提前终止协议，并以书面形式告知。若招标人选择继续执行协议，则自相应调整生效当日起，新办理存款业务执行利率按最新允许范围上限的利率执行。</w:t>
      </w:r>
    </w:p>
    <w:p w14:paraId="57C19325">
      <w:pPr>
        <w:pStyle w:val="29"/>
        <w:numPr>
          <w:ilvl w:val="0"/>
          <w:numId w:val="16"/>
        </w:numPr>
        <w:spacing w:line="400" w:lineRule="exact"/>
        <w:ind w:left="0" w:firstLine="420"/>
        <w:rPr>
          <w:rFonts w:ascii="Arial" w:hAnsi="Arial"/>
          <w:color w:val="auto"/>
          <w:highlight w:val="none"/>
        </w:rPr>
      </w:pPr>
      <w:r>
        <w:rPr>
          <w:rFonts w:hint="eastAsia" w:ascii="Arial" w:hAnsi="Arial"/>
          <w:color w:val="auto"/>
          <w:highlight w:val="none"/>
        </w:rPr>
        <w:t xml:space="preserve">若本项目涉及的存款品种为单位活期存款或协定存款的，计息期间遇利率调整应分段计息，自相应调整生效当日起，按最新允许范围上限的利率分段计息。    </w:t>
      </w:r>
    </w:p>
    <w:p w14:paraId="628C28A5">
      <w:pPr>
        <w:pStyle w:val="2"/>
        <w:keepNext w:val="0"/>
        <w:keepLines w:val="0"/>
        <w:pageBreakBefore/>
        <w:spacing w:before="0" w:afterLines="50" w:line="360" w:lineRule="auto"/>
        <w:rPr>
          <w:rFonts w:hAnsi="宋体"/>
          <w:color w:val="auto"/>
          <w:sz w:val="28"/>
          <w:szCs w:val="36"/>
          <w:highlight w:val="none"/>
        </w:rPr>
      </w:pPr>
      <w:r>
        <w:rPr>
          <w:rFonts w:hint="eastAsia" w:hAnsi="宋体"/>
          <w:color w:val="auto"/>
          <w:sz w:val="28"/>
          <w:szCs w:val="36"/>
          <w:highlight w:val="none"/>
        </w:rPr>
        <w:t>第四部分  合同主要格式</w:t>
      </w:r>
      <w:bookmarkEnd w:id="115"/>
    </w:p>
    <w:p w14:paraId="0FD6D7EB">
      <w:pPr>
        <w:spacing w:line="400" w:lineRule="exact"/>
        <w:jc w:val="center"/>
        <w:rPr>
          <w:b/>
          <w:bCs/>
          <w:color w:val="auto"/>
          <w:sz w:val="24"/>
          <w:szCs w:val="32"/>
          <w:highlight w:val="none"/>
        </w:rPr>
      </w:pPr>
      <w:r>
        <w:rPr>
          <w:rFonts w:hint="eastAsia"/>
          <w:b/>
          <w:bCs/>
          <w:color w:val="auto"/>
          <w:sz w:val="24"/>
          <w:szCs w:val="32"/>
          <w:highlight w:val="none"/>
        </w:rPr>
        <w:t>《</w:t>
      </w:r>
      <w:r>
        <w:rPr>
          <w:rFonts w:hint="eastAsia"/>
          <w:b/>
          <w:bCs/>
          <w:color w:val="auto"/>
          <w:sz w:val="24"/>
          <w:szCs w:val="32"/>
          <w:highlight w:val="none"/>
          <w:lang w:eastAsia="zh-CN"/>
        </w:rPr>
        <w:t>瑞安市基层卫生服务中心</w:t>
      </w:r>
      <w:r>
        <w:rPr>
          <w:rFonts w:hint="eastAsia"/>
          <w:b/>
          <w:bCs/>
          <w:color w:val="auto"/>
          <w:sz w:val="24"/>
          <w:szCs w:val="32"/>
          <w:highlight w:val="none"/>
        </w:rPr>
        <w:t>专用账户开立招投标项目合同》</w:t>
      </w:r>
    </w:p>
    <w:p w14:paraId="2DACD8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委托方：                             （以下简称甲方）</w:t>
      </w:r>
    </w:p>
    <w:p w14:paraId="24F3ED9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代理方：                             （以下简称乙方）</w:t>
      </w:r>
    </w:p>
    <w:p w14:paraId="0FA95965">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本合同文件的优先次序</w:t>
      </w:r>
    </w:p>
    <w:p w14:paraId="4F77C0E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合同文件由以下文件组成，如存在歧义或不一致则根据以下优先次序来判断：</w:t>
      </w:r>
    </w:p>
    <w:p w14:paraId="1B346E1A">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瑞安市基层卫生服务中心</w:t>
      </w:r>
      <w:r>
        <w:rPr>
          <w:rFonts w:hint="eastAsia" w:ascii="宋体" w:hAnsi="宋体" w:cs="宋体"/>
          <w:color w:val="auto"/>
          <w:kern w:val="0"/>
          <w:szCs w:val="21"/>
          <w:highlight w:val="none"/>
        </w:rPr>
        <w:t>专用账户开立招投标项目合同》</w:t>
      </w:r>
    </w:p>
    <w:p w14:paraId="2543FB32">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 合同书及合同补充条款或说明 </w:t>
      </w:r>
    </w:p>
    <w:p w14:paraId="2253EBB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3．中标通知书</w:t>
      </w:r>
    </w:p>
    <w:p w14:paraId="7D57B7F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4．承诺书（含询标记录和优惠条款）</w:t>
      </w:r>
    </w:p>
    <w:p w14:paraId="3EFC8BE8">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5．投标文件</w:t>
      </w:r>
    </w:p>
    <w:p w14:paraId="1B4BB214">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6．招标文件</w:t>
      </w:r>
    </w:p>
    <w:p w14:paraId="522D4416">
      <w:pPr>
        <w:spacing w:line="400" w:lineRule="exact"/>
        <w:ind w:firstLine="420" w:firstLineChars="200"/>
        <w:rPr>
          <w:rFonts w:ascii="宋体" w:hAnsi="宋体"/>
          <w:color w:val="auto"/>
          <w:highlight w:val="none"/>
        </w:rPr>
      </w:pPr>
      <w:r>
        <w:rPr>
          <w:rFonts w:hint="eastAsia" w:ascii="宋体" w:hAnsi="宋体"/>
          <w:color w:val="auto"/>
          <w:highlight w:val="none"/>
        </w:rPr>
        <w:t>根据《中华人民共和国民法典》、</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shd w:val="clear" w:color="auto" w:fill="FFFFFF"/>
        </w:rPr>
        <w:t>浙江省省级预算单位银行账户管理暂行办法</w:t>
      </w: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rPr>
        <w:t>(浙财预执〔2015〕16号)、</w:t>
      </w:r>
      <w:r>
        <w:rPr>
          <w:rFonts w:hint="eastAsia" w:ascii="宋体" w:hAnsi="宋体"/>
          <w:color w:val="auto"/>
          <w:highlight w:val="none"/>
        </w:rPr>
        <w:t>《瑞安市预算单位公款竞争性存放管理暂行办法》（瑞政办〔2015〕99号）和《瑞安市市级行政事业单位公款竞争性存放管理办法》(瑞财预执〔2021〕245号)等有关规定，结合本次招投标的相关内容，经甲乙双方协商，签订合同如下：</w:t>
      </w:r>
    </w:p>
    <w:p w14:paraId="3D93434E">
      <w:pPr>
        <w:spacing w:line="400" w:lineRule="exact"/>
        <w:ind w:firstLine="422" w:firstLineChars="200"/>
        <w:rPr>
          <w:rFonts w:ascii="宋体" w:hAnsi="宋体"/>
          <w:b/>
          <w:bCs/>
          <w:color w:val="auto"/>
          <w:highlight w:val="none"/>
        </w:rPr>
      </w:pPr>
      <w:r>
        <w:rPr>
          <w:rFonts w:hint="eastAsia" w:ascii="宋体" w:hAnsi="宋体"/>
          <w:b/>
          <w:bCs/>
          <w:color w:val="auto"/>
          <w:highlight w:val="none"/>
        </w:rPr>
        <w:t>第一条委托代理事项</w:t>
      </w:r>
    </w:p>
    <w:p w14:paraId="283B6F4D">
      <w:pPr>
        <w:spacing w:line="400" w:lineRule="exact"/>
        <w:ind w:firstLine="420" w:firstLineChars="200"/>
        <w:rPr>
          <w:rFonts w:ascii="Arial" w:hAnsi="Arial"/>
          <w:color w:val="auto"/>
          <w:highlight w:val="none"/>
        </w:rPr>
      </w:pPr>
      <w:r>
        <w:rPr>
          <w:rFonts w:hint="eastAsia" w:ascii="宋体" w:hAnsi="宋体"/>
          <w:color w:val="auto"/>
          <w:highlight w:val="none"/>
        </w:rPr>
        <w:t>甲方委托乙方承办</w:t>
      </w:r>
      <w:r>
        <w:rPr>
          <w:rFonts w:hint="eastAsia" w:ascii="宋体" w:hAnsi="宋体"/>
          <w:color w:val="auto"/>
          <w:highlight w:val="none"/>
        </w:rPr>
        <w:t>甲方银行</w:t>
      </w:r>
      <w:r>
        <w:rPr>
          <w:rFonts w:hint="eastAsia" w:ascii="宋体" w:hAnsi="宋体"/>
          <w:color w:val="auto"/>
          <w:highlight w:val="none"/>
          <w:lang w:eastAsia="zh-CN"/>
        </w:rPr>
        <w:t>专用账户</w:t>
      </w:r>
      <w:r>
        <w:rPr>
          <w:rFonts w:hint="eastAsia" w:ascii="宋体" w:hAnsi="宋体"/>
          <w:color w:val="auto"/>
          <w:highlight w:val="none"/>
        </w:rPr>
        <w:t>开立竞争性存放银行代理业务，甲方与乙方的关系是委托与被委托的关系，甲方在乙方开立</w:t>
      </w:r>
      <w:r>
        <w:rPr>
          <w:rFonts w:hint="eastAsia" w:ascii="宋体" w:hAnsi="宋体"/>
          <w:color w:val="auto"/>
          <w:highlight w:val="none"/>
          <w:lang w:eastAsia="zh-CN"/>
        </w:rPr>
        <w:t>专用账户</w:t>
      </w:r>
      <w:r>
        <w:rPr>
          <w:rFonts w:hint="eastAsia" w:ascii="Arial" w:hAnsi="Arial"/>
          <w:color w:val="auto"/>
          <w:highlight w:val="none"/>
        </w:rPr>
        <w:t>。</w:t>
      </w:r>
    </w:p>
    <w:p w14:paraId="05DB64C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协定存款协定起存金额（协定存款最低留存额）为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）。协定存款户按季结息，存款利息自动转入结算账户。账户余额超过约定的协定起存金额（协定存款最低留存额）部分，</w:t>
      </w:r>
      <w:r>
        <w:rPr>
          <w:rFonts w:hint="eastAsia" w:ascii="宋体" w:hAnsi="宋体" w:eastAsia="宋体" w:cs="宋体"/>
          <w:color w:val="auto"/>
          <w:highlight w:val="none"/>
        </w:rPr>
        <w:t>按</w:t>
      </w:r>
      <w:r>
        <w:rPr>
          <w:rFonts w:hint="eastAsia" w:ascii="宋体" w:hAnsi="宋体" w:eastAsia="宋体" w:cs="宋体"/>
          <w:color w:val="auto"/>
          <w:szCs w:val="21"/>
          <w:highlight w:val="none"/>
        </w:rPr>
        <w:t>协定存款</w:t>
      </w:r>
      <w:r>
        <w:rPr>
          <w:rFonts w:hint="eastAsia" w:ascii="宋体" w:hAnsi="宋体" w:eastAsia="宋体" w:cs="宋体"/>
          <w:color w:val="auto"/>
          <w:highlight w:val="none"/>
        </w:rPr>
        <w:t>年利率</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%执行（中国人民银行公布的协定存款基准利率为基础（加/减）个bp确定），其低于约定的最低留存额部分，按</w:t>
      </w:r>
      <w:r>
        <w:rPr>
          <w:rFonts w:hint="eastAsia" w:ascii="宋体" w:hAnsi="宋体" w:eastAsia="宋体" w:cs="宋体"/>
          <w:color w:val="auto"/>
          <w:szCs w:val="21"/>
          <w:highlight w:val="none"/>
        </w:rPr>
        <w:t>活期存款</w:t>
      </w:r>
      <w:r>
        <w:rPr>
          <w:rFonts w:hint="eastAsia" w:ascii="宋体" w:hAnsi="宋体" w:eastAsia="宋体" w:cs="宋体"/>
          <w:color w:val="auto"/>
          <w:highlight w:val="none"/>
        </w:rPr>
        <w:t>年利率</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%执行（中国人民银行公布的活期存款基准利率为基础（加/减）</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个bp确定）</w:t>
      </w:r>
      <w:r>
        <w:rPr>
          <w:rFonts w:hint="eastAsia" w:ascii="宋体" w:hAnsi="宋体" w:eastAsia="宋体" w:cs="宋体"/>
          <w:color w:val="auto"/>
          <w:szCs w:val="21"/>
          <w:highlight w:val="none"/>
        </w:rPr>
        <w:t>。</w:t>
      </w:r>
    </w:p>
    <w:p w14:paraId="6A5E4EFA">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第二条 甲方委托乙方承办甲方</w:t>
      </w:r>
      <w:r>
        <w:rPr>
          <w:rFonts w:hint="eastAsia" w:ascii="宋体" w:hAnsi="宋体"/>
          <w:b/>
          <w:bCs/>
          <w:color w:val="auto"/>
          <w:szCs w:val="21"/>
          <w:highlight w:val="none"/>
          <w:lang w:eastAsia="zh-CN"/>
        </w:rPr>
        <w:t>专用账户</w:t>
      </w:r>
      <w:r>
        <w:rPr>
          <w:rFonts w:hint="eastAsia" w:ascii="宋体" w:hAnsi="宋体"/>
          <w:b/>
          <w:bCs/>
          <w:color w:val="auto"/>
          <w:szCs w:val="21"/>
          <w:highlight w:val="none"/>
        </w:rPr>
        <w:t>的范围</w:t>
      </w:r>
    </w:p>
    <w:p w14:paraId="17015F6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（一）承办甲方</w:t>
      </w:r>
      <w:r>
        <w:rPr>
          <w:rFonts w:hint="eastAsia" w:ascii="宋体" w:hAnsi="宋体"/>
          <w:color w:val="auto"/>
          <w:szCs w:val="21"/>
          <w:highlight w:val="none"/>
          <w:lang w:eastAsia="zh-CN"/>
        </w:rPr>
        <w:t>专用账户</w:t>
      </w:r>
      <w:r>
        <w:rPr>
          <w:rFonts w:hint="eastAsia" w:ascii="宋体" w:hAnsi="宋体"/>
          <w:color w:val="auto"/>
          <w:szCs w:val="21"/>
          <w:highlight w:val="none"/>
        </w:rPr>
        <w:t>结算业务；</w:t>
      </w:r>
    </w:p>
    <w:p w14:paraId="0E5E1D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（二）承办甲方</w:t>
      </w:r>
      <w:r>
        <w:rPr>
          <w:rFonts w:hint="eastAsia" w:ascii="宋体" w:hAnsi="宋体"/>
          <w:color w:val="auto"/>
          <w:szCs w:val="21"/>
          <w:highlight w:val="none"/>
          <w:lang w:eastAsia="zh-CN"/>
        </w:rPr>
        <w:t>专用账户</w:t>
      </w:r>
      <w:r>
        <w:rPr>
          <w:rFonts w:hint="eastAsia" w:ascii="宋体" w:hAnsi="宋体"/>
          <w:color w:val="auto"/>
          <w:szCs w:val="21"/>
          <w:highlight w:val="none"/>
        </w:rPr>
        <w:t>委托的其他工作。</w:t>
      </w:r>
    </w:p>
    <w:p w14:paraId="51C62D7F">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第三条 甲方责任和义务</w:t>
      </w:r>
    </w:p>
    <w:p w14:paraId="622EE3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（一）负责甲方</w:t>
      </w:r>
      <w:r>
        <w:rPr>
          <w:rFonts w:hint="eastAsia" w:ascii="宋体" w:hAnsi="宋体"/>
          <w:color w:val="auto"/>
          <w:szCs w:val="21"/>
          <w:highlight w:val="none"/>
          <w:lang w:eastAsia="zh-CN"/>
        </w:rPr>
        <w:t>专用账户</w:t>
      </w:r>
      <w:r>
        <w:rPr>
          <w:rFonts w:hint="eastAsia" w:ascii="宋体" w:hAnsi="宋体"/>
          <w:color w:val="auto"/>
          <w:szCs w:val="21"/>
          <w:highlight w:val="none"/>
        </w:rPr>
        <w:t>开立、使用和撤销。</w:t>
      </w:r>
    </w:p>
    <w:p w14:paraId="46F323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（二）负责甲方</w:t>
      </w:r>
      <w:r>
        <w:rPr>
          <w:rFonts w:hint="eastAsia" w:ascii="宋体" w:hAnsi="宋体"/>
          <w:color w:val="auto"/>
          <w:szCs w:val="21"/>
          <w:highlight w:val="none"/>
          <w:lang w:eastAsia="zh-CN"/>
        </w:rPr>
        <w:t>专用账户</w:t>
      </w:r>
      <w:r>
        <w:rPr>
          <w:rFonts w:hint="eastAsia" w:ascii="宋体" w:hAnsi="宋体"/>
          <w:color w:val="auto"/>
          <w:szCs w:val="21"/>
          <w:highlight w:val="none"/>
        </w:rPr>
        <w:t>委托的支付、调度指令签发等。</w:t>
      </w:r>
    </w:p>
    <w:p w14:paraId="61A1185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（三）有权对乙方代理甲方</w:t>
      </w:r>
      <w:r>
        <w:rPr>
          <w:rFonts w:hint="eastAsia" w:ascii="宋体" w:hAnsi="宋体"/>
          <w:color w:val="auto"/>
          <w:szCs w:val="21"/>
          <w:highlight w:val="none"/>
          <w:lang w:eastAsia="zh-CN"/>
        </w:rPr>
        <w:t>专用账户</w:t>
      </w:r>
      <w:r>
        <w:rPr>
          <w:rFonts w:hint="eastAsia" w:ascii="宋体" w:hAnsi="宋体"/>
          <w:color w:val="auto"/>
          <w:szCs w:val="21"/>
          <w:highlight w:val="none"/>
        </w:rPr>
        <w:t>业务进行定期检查、考核和提出改进意见。</w:t>
      </w:r>
    </w:p>
    <w:p w14:paraId="4438953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（四）妥善保管乙方提供的支付清单及相关文件。</w:t>
      </w:r>
    </w:p>
    <w:p w14:paraId="7ABE369D">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第四条 乙方责任和义务 </w:t>
      </w:r>
    </w:p>
    <w:p w14:paraId="4206333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（一）根据甲方要求及时办理甲方</w:t>
      </w:r>
      <w:r>
        <w:rPr>
          <w:rFonts w:hint="eastAsia" w:ascii="宋体" w:hAnsi="宋体"/>
          <w:color w:val="auto"/>
          <w:szCs w:val="21"/>
          <w:highlight w:val="none"/>
          <w:lang w:eastAsia="zh-CN"/>
        </w:rPr>
        <w:t>专用账户</w:t>
      </w:r>
      <w:r>
        <w:rPr>
          <w:rFonts w:hint="eastAsia" w:ascii="宋体" w:hAnsi="宋体"/>
          <w:color w:val="auto"/>
          <w:szCs w:val="21"/>
          <w:highlight w:val="none"/>
        </w:rPr>
        <w:t>的开立、使用、变更和撤销事宜，并将办理情况以书面形式及时报告甲方。</w:t>
      </w:r>
    </w:p>
    <w:p w14:paraId="3D1E3A4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（二）按照甲方的要求及时、安全、准确地办理甲方</w:t>
      </w:r>
      <w:r>
        <w:rPr>
          <w:rFonts w:hint="eastAsia" w:ascii="宋体" w:hAnsi="宋体"/>
          <w:color w:val="auto"/>
          <w:szCs w:val="21"/>
          <w:highlight w:val="none"/>
          <w:lang w:eastAsia="zh-CN"/>
        </w:rPr>
        <w:t>专用账户</w:t>
      </w:r>
      <w:r>
        <w:rPr>
          <w:rFonts w:hint="eastAsia" w:ascii="宋体" w:hAnsi="宋体"/>
          <w:color w:val="auto"/>
          <w:szCs w:val="21"/>
          <w:highlight w:val="none"/>
        </w:rPr>
        <w:t>相关业务，不得压票。</w:t>
      </w:r>
    </w:p>
    <w:p w14:paraId="7516E8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（三）具有先进的资金汇划系统，适应我市银行系统实时清算要求，承担自身网络安全方面的有关责任，确保甲方</w:t>
      </w:r>
      <w:r>
        <w:rPr>
          <w:rFonts w:hint="eastAsia" w:ascii="宋体" w:hAnsi="宋体"/>
          <w:color w:val="auto"/>
          <w:szCs w:val="21"/>
          <w:highlight w:val="none"/>
          <w:lang w:eastAsia="zh-CN"/>
        </w:rPr>
        <w:t>专用账户</w:t>
      </w:r>
      <w:r>
        <w:rPr>
          <w:rFonts w:hint="eastAsia" w:ascii="宋体" w:hAnsi="宋体"/>
          <w:color w:val="auto"/>
          <w:szCs w:val="21"/>
          <w:highlight w:val="none"/>
        </w:rPr>
        <w:t xml:space="preserve">安全、及时、准确入账或付出，并能及时、清晰地为甲方提供回单。  </w:t>
      </w:r>
    </w:p>
    <w:p w14:paraId="46631D9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（四）当甲方</w:t>
      </w:r>
      <w:r>
        <w:rPr>
          <w:rFonts w:hint="eastAsia" w:ascii="宋体" w:hAnsi="宋体"/>
          <w:color w:val="auto"/>
          <w:szCs w:val="21"/>
          <w:highlight w:val="none"/>
          <w:lang w:eastAsia="zh-CN"/>
        </w:rPr>
        <w:t>专用账户</w:t>
      </w:r>
      <w:r>
        <w:rPr>
          <w:rFonts w:hint="eastAsia" w:ascii="宋体" w:hAnsi="宋体"/>
          <w:color w:val="auto"/>
          <w:szCs w:val="21"/>
          <w:highlight w:val="none"/>
        </w:rPr>
        <w:t>注销时，应提供所有收支情况帐目。</w:t>
      </w:r>
    </w:p>
    <w:p w14:paraId="7116D89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（五）乙方有权要求甲方提供足额委托资金，不为甲方垫付任何资金或款项。</w:t>
      </w:r>
    </w:p>
    <w:p w14:paraId="57663A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（六）乙方有权不予办理甲方违反国家有关规定的业务。</w:t>
      </w:r>
    </w:p>
    <w:p w14:paraId="1753FB5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（七）</w:t>
      </w:r>
      <w:r>
        <w:rPr>
          <w:rFonts w:hint="eastAsia" w:ascii="Arial" w:hAnsi="Arial"/>
          <w:color w:val="auto"/>
          <w:highlight w:val="none"/>
        </w:rPr>
        <w:t>配备至少1名资金管理相适应的在编正式的专业工作人员对接服务</w:t>
      </w:r>
      <w:r>
        <w:rPr>
          <w:rFonts w:hint="eastAsia" w:ascii="宋体" w:hAnsi="宋体"/>
          <w:color w:val="auto"/>
          <w:szCs w:val="21"/>
          <w:highlight w:val="none"/>
        </w:rPr>
        <w:t>。</w:t>
      </w:r>
    </w:p>
    <w:p w14:paraId="2DAF7973">
      <w:pPr>
        <w:pStyle w:val="29"/>
        <w:spacing w:line="400" w:lineRule="exact"/>
        <w:ind w:left="420" w:leftChars="200" w:firstLine="0" w:firstLineChars="0"/>
        <w:rPr>
          <w:rFonts w:ascii="Arial" w:hAnsi="Arial"/>
          <w:color w:val="auto"/>
          <w:highlight w:val="none"/>
        </w:rPr>
      </w:pPr>
      <w:r>
        <w:rPr>
          <w:rFonts w:hint="eastAsia" w:ascii="宋体" w:hAnsi="宋体"/>
          <w:color w:val="auto"/>
          <w:szCs w:val="21"/>
          <w:highlight w:val="none"/>
        </w:rPr>
        <w:t>（八）</w:t>
      </w:r>
      <w:r>
        <w:rPr>
          <w:rFonts w:hint="eastAsia" w:ascii="Arial" w:hAnsi="Arial"/>
          <w:color w:val="auto"/>
          <w:highlight w:val="none"/>
        </w:rPr>
        <w:t>乙方在合同签订后，需根据甲方的要求，办理相关业务。</w:t>
      </w:r>
    </w:p>
    <w:p w14:paraId="68742EA6">
      <w:pPr>
        <w:tabs>
          <w:tab w:val="left" w:pos="1260"/>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第五条 违约责任处理</w:t>
      </w:r>
    </w:p>
    <w:p w14:paraId="200DAE30">
      <w:pPr>
        <w:tabs>
          <w:tab w:val="left" w:pos="12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（一）甲方在履行合同过程中若违反合同约定的，应承担相应的责任。</w:t>
      </w:r>
    </w:p>
    <w:p w14:paraId="4795892D">
      <w:pPr>
        <w:tabs>
          <w:tab w:val="left" w:pos="12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（二）乙方违反本合同有关规定，给甲方造成经济利益损失或有损甲方公众形象的，除整顿改正，暂定相关业务外，应承担相应的民事责任。</w:t>
      </w:r>
    </w:p>
    <w:p w14:paraId="0D64B65E">
      <w:pPr>
        <w:tabs>
          <w:tab w:val="left" w:pos="1260"/>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第六条 其他约定事项</w:t>
      </w:r>
    </w:p>
    <w:p w14:paraId="10966FFB">
      <w:pPr>
        <w:tabs>
          <w:tab w:val="left" w:pos="1260"/>
        </w:tabs>
        <w:spacing w:line="400" w:lineRule="exact"/>
        <w:ind w:firstLine="420" w:firstLineChars="200"/>
        <w:rPr>
          <w:color w:val="auto"/>
          <w:highlight w:val="none"/>
        </w:rPr>
      </w:pPr>
      <w:r>
        <w:rPr>
          <w:rFonts w:hint="eastAsia" w:ascii="宋体" w:hAnsi="宋体"/>
          <w:color w:val="auto"/>
          <w:szCs w:val="21"/>
          <w:highlight w:val="none"/>
        </w:rPr>
        <w:t>（一）</w:t>
      </w:r>
      <w:r>
        <w:rPr>
          <w:rFonts w:hint="eastAsia"/>
          <w:color w:val="auto"/>
          <w:highlight w:val="none"/>
        </w:rPr>
        <w:t>若甲方认为有需要，乙方应配备相关人员提供上门服务。</w:t>
      </w:r>
    </w:p>
    <w:p w14:paraId="6EAFF04D">
      <w:pPr>
        <w:tabs>
          <w:tab w:val="left" w:pos="12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（二）根据中国人民银行的规定：对于招投标，一律按照《人民币单位存款管理办法》第十三条执行，提前支取的部分按支取日挂牌的活期存款利率计息。一律不准靠档计息。</w:t>
      </w:r>
    </w:p>
    <w:p w14:paraId="556D8280">
      <w:pPr>
        <w:tabs>
          <w:tab w:val="left" w:pos="12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（三）在合同执行过程中，实际执行的活期存款和协定存款年利率根据中国人民银行发布的活期存款和协定存款基准利率及乙方活期存款和协定存款年利率加减点数（基点）计算执行。</w:t>
      </w:r>
    </w:p>
    <w:p w14:paraId="53A9AB5F">
      <w:pPr>
        <w:tabs>
          <w:tab w:val="left" w:pos="12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（四）在合同执行过程中，如国家利率政策和利率自律约定调整，活期存款执行利率随国家利率政策和利率自律约定调整。</w:t>
      </w:r>
    </w:p>
    <w:p w14:paraId="0B3DBC90">
      <w:pPr>
        <w:tabs>
          <w:tab w:val="left" w:pos="12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协议有效期内，若利率相关的法律法规、规章政策调整，或中国人民银行存款基准利率、存款自律约定、银行总行存款利率内部授权上限等发生调整，导致协议约定的利率水平超出允许范围，乙方应在按本协议约定存款业务开办前及时通知甲方银行存款利率调整情况。</w:t>
      </w:r>
    </w:p>
    <w:p w14:paraId="67009A04">
      <w:pPr>
        <w:tabs>
          <w:tab w:val="left" w:pos="12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（六）银行存款利率内部授权上限调整，是指乙方为满足国家宏观调控目标要求或落实存款利率市场化调整机制要求等，对乙方可执行的内部授权上限进行的具有主动性、自律性、普遍性的调整。</w:t>
      </w:r>
    </w:p>
    <w:p w14:paraId="28338BC1">
      <w:pPr>
        <w:tabs>
          <w:tab w:val="left" w:pos="12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（七）甲方有权提前终止本协议，并以书面形式告知。若甲方选择继续执行本协议，则自相应调整生效当日起，新办理存款业务执行利率按最新允许范围上限的利率执行。</w:t>
      </w:r>
    </w:p>
    <w:p w14:paraId="7E0C9D78">
      <w:pPr>
        <w:tabs>
          <w:tab w:val="left" w:pos="12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（八）若协议涉及的存款品种为单位活期存款或协定存款的，计息期间遇利率调整应分段计息，自相应调整生效当日起，按最新允许范围上限的利率分段计息。</w:t>
      </w:r>
    </w:p>
    <w:p w14:paraId="122079FF">
      <w:pPr>
        <w:tabs>
          <w:tab w:val="left" w:pos="1260"/>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第七条  合同调整</w:t>
      </w:r>
    </w:p>
    <w:p w14:paraId="60559B64">
      <w:pPr>
        <w:pStyle w:val="27"/>
        <w:spacing w:line="380" w:lineRule="exact"/>
        <w:rPr>
          <w:rFonts w:ascii="Arial" w:hAnsi="Arial"/>
          <w:color w:val="auto"/>
          <w:highlight w:val="none"/>
        </w:rPr>
      </w:pPr>
      <w:r>
        <w:rPr>
          <w:rFonts w:hint="eastAsia" w:ascii="Arial" w:hAnsi="Arial"/>
          <w:color w:val="auto"/>
          <w:highlight w:val="none"/>
        </w:rPr>
        <w:t>本合同执行期间遇国家、省及市法律、法规、政策调整时，双方可协商取消或变更合同中的相关条款，其他条款仍继续执行。</w:t>
      </w:r>
    </w:p>
    <w:p w14:paraId="1A6E906E">
      <w:pPr>
        <w:tabs>
          <w:tab w:val="left" w:pos="1260"/>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第八条  未尽事项</w:t>
      </w:r>
    </w:p>
    <w:p w14:paraId="72143CBF">
      <w:pPr>
        <w:pStyle w:val="27"/>
        <w:spacing w:line="380" w:lineRule="exact"/>
        <w:rPr>
          <w:rFonts w:ascii="宋体" w:hAnsi="宋体"/>
          <w:color w:val="auto"/>
          <w:highlight w:val="none"/>
        </w:rPr>
      </w:pPr>
      <w:r>
        <w:rPr>
          <w:rFonts w:hint="eastAsia" w:ascii="Arial" w:hAnsi="Arial"/>
          <w:color w:val="auto"/>
          <w:highlight w:val="none"/>
        </w:rPr>
        <w:t>本合同未尽事项，经甲乙双方协商后，可签订补充协议，补充协议作为本合同的有效附件，具有同等法律效力。</w:t>
      </w:r>
    </w:p>
    <w:p w14:paraId="4C3AA3C9">
      <w:pPr>
        <w:tabs>
          <w:tab w:val="left" w:pos="1260"/>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第九条  争议的解决</w:t>
      </w:r>
    </w:p>
    <w:p w14:paraId="3E9410C6">
      <w:pPr>
        <w:spacing w:after="120" w:line="276" w:lineRule="auto"/>
        <w:ind w:firstLine="420" w:firstLineChars="200"/>
        <w:rPr>
          <w:rFonts w:ascii="宋体" w:hAnsi="宋体"/>
          <w:color w:val="auto"/>
          <w:szCs w:val="21"/>
          <w:highlight w:val="none"/>
        </w:rPr>
      </w:pPr>
      <w:r>
        <w:rPr>
          <w:rFonts w:hint="eastAsia" w:ascii="Arial" w:hAnsi="Arial"/>
          <w:color w:val="auto"/>
          <w:highlight w:val="none"/>
        </w:rPr>
        <w:t>因合同及合同有关事项发生的争议，</w:t>
      </w:r>
      <w:r>
        <w:rPr>
          <w:rFonts w:ascii="宋体" w:hAnsi="宋体"/>
          <w:color w:val="auto"/>
          <w:szCs w:val="21"/>
          <w:highlight w:val="none"/>
        </w:rPr>
        <w:t>按下列第</w:t>
      </w:r>
      <w:r>
        <w:rPr>
          <w:rFonts w:hint="eastAsia" w:ascii="宋体" w:hAnsi="宋体"/>
          <w:b/>
          <w:color w:val="auto"/>
          <w:szCs w:val="21"/>
          <w:highlight w:val="none"/>
          <w:u w:val="single"/>
        </w:rPr>
        <w:t>(2)</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2F2D1433">
      <w:pPr>
        <w:spacing w:line="276" w:lineRule="auto"/>
        <w:ind w:firstLine="420" w:firstLineChars="200"/>
        <w:rPr>
          <w:rFonts w:ascii="宋体" w:hAnsi="宋体"/>
          <w:color w:val="auto"/>
          <w:szCs w:val="21"/>
          <w:highlight w:val="none"/>
        </w:rPr>
      </w:pPr>
      <w:r>
        <w:rPr>
          <w:rFonts w:ascii="宋体" w:hAnsi="宋体"/>
          <w:color w:val="auto"/>
          <w:szCs w:val="21"/>
          <w:highlight w:val="none"/>
        </w:rPr>
        <w:t>（1）向仲裁委员会申请仲裁；</w:t>
      </w:r>
    </w:p>
    <w:p w14:paraId="421DBE4F">
      <w:pPr>
        <w:spacing w:line="276" w:lineRule="auto"/>
        <w:ind w:firstLine="420" w:firstLineChars="200"/>
        <w:rPr>
          <w:rFonts w:ascii="宋体" w:hAnsi="宋体"/>
          <w:color w:val="auto"/>
          <w:szCs w:val="21"/>
          <w:highlight w:val="none"/>
        </w:rPr>
      </w:pPr>
      <w:r>
        <w:rPr>
          <w:rFonts w:ascii="宋体" w:hAnsi="宋体"/>
          <w:color w:val="auto"/>
          <w:szCs w:val="21"/>
          <w:highlight w:val="none"/>
        </w:rPr>
        <w:t>（2）向</w:t>
      </w:r>
      <w:r>
        <w:rPr>
          <w:rFonts w:hint="eastAsia" w:ascii="宋体" w:hAnsi="宋体"/>
          <w:color w:val="auto"/>
          <w:szCs w:val="21"/>
          <w:highlight w:val="none"/>
          <w:u w:val="single"/>
        </w:rPr>
        <w:t>项目所在地</w:t>
      </w:r>
      <w:r>
        <w:rPr>
          <w:rFonts w:ascii="宋体" w:hAnsi="宋体"/>
          <w:color w:val="auto"/>
          <w:szCs w:val="21"/>
          <w:highlight w:val="none"/>
        </w:rPr>
        <w:t>人民法院起诉。</w:t>
      </w:r>
    </w:p>
    <w:p w14:paraId="0A10DEC6">
      <w:pPr>
        <w:tabs>
          <w:tab w:val="left" w:pos="1260"/>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第十条  合同生效及终止</w:t>
      </w:r>
    </w:p>
    <w:p w14:paraId="257AC3D5">
      <w:pPr>
        <w:pStyle w:val="26"/>
        <w:numPr>
          <w:ilvl w:val="0"/>
          <w:numId w:val="17"/>
        </w:numPr>
        <w:spacing w:line="380" w:lineRule="exact"/>
        <w:ind w:firstLine="6" w:firstLineChars="0"/>
        <w:rPr>
          <w:rFonts w:ascii="Arial" w:hAnsi="Arial"/>
          <w:color w:val="auto"/>
          <w:highlight w:val="none"/>
        </w:rPr>
      </w:pPr>
      <w:r>
        <w:rPr>
          <w:rFonts w:hint="eastAsia" w:ascii="Arial" w:hAnsi="Arial"/>
          <w:color w:val="auto"/>
          <w:highlight w:val="none"/>
        </w:rPr>
        <w:t>合同生效：本合同自甲乙双方</w:t>
      </w:r>
      <w:bookmarkStart w:id="119" w:name="OLE_LINK20"/>
      <w:r>
        <w:rPr>
          <w:rFonts w:hint="eastAsia" w:ascii="Arial" w:hAnsi="Arial"/>
          <w:color w:val="auto"/>
          <w:highlight w:val="none"/>
        </w:rPr>
        <w:t>法定代表人或</w:t>
      </w:r>
      <w:bookmarkEnd w:id="119"/>
      <w:r>
        <w:rPr>
          <w:rFonts w:hint="eastAsia" w:ascii="Arial" w:hAnsi="Arial"/>
          <w:color w:val="auto"/>
          <w:highlight w:val="none"/>
        </w:rPr>
        <w:t>分公司负责人签章并加盖单位公章之日起生效。</w:t>
      </w:r>
    </w:p>
    <w:p w14:paraId="771FCAD4">
      <w:pPr>
        <w:pStyle w:val="26"/>
        <w:numPr>
          <w:ilvl w:val="0"/>
          <w:numId w:val="17"/>
        </w:numPr>
        <w:spacing w:line="380" w:lineRule="exact"/>
        <w:ind w:firstLine="6" w:firstLineChars="0"/>
        <w:rPr>
          <w:rFonts w:ascii="Arial" w:hAnsi="Arial"/>
          <w:color w:val="auto"/>
          <w:highlight w:val="none"/>
        </w:rPr>
      </w:pPr>
      <w:r>
        <w:rPr>
          <w:rFonts w:hint="eastAsia" w:ascii="Arial" w:hAnsi="Arial"/>
          <w:color w:val="auto"/>
          <w:highlight w:val="none"/>
        </w:rPr>
        <w:t>合同终止：本合同出现以下情况时终止。</w:t>
      </w:r>
    </w:p>
    <w:p w14:paraId="5EADB61F">
      <w:pPr>
        <w:pStyle w:val="26"/>
        <w:spacing w:line="380" w:lineRule="exact"/>
        <w:ind w:left="426" w:firstLine="0" w:firstLineChars="0"/>
        <w:rPr>
          <w:rFonts w:ascii="Arial" w:hAnsi="Arial"/>
          <w:color w:val="auto"/>
          <w:highlight w:val="none"/>
        </w:rPr>
      </w:pPr>
      <w:r>
        <w:rPr>
          <w:rFonts w:hint="eastAsia" w:ascii="Arial" w:hAnsi="Arial"/>
          <w:color w:val="auto"/>
          <w:highlight w:val="none"/>
        </w:rPr>
        <w:t>1.期限届满时自行终止。</w:t>
      </w:r>
    </w:p>
    <w:p w14:paraId="2C8BDFCE">
      <w:pPr>
        <w:pStyle w:val="26"/>
        <w:spacing w:line="380" w:lineRule="exact"/>
        <w:ind w:left="426" w:firstLine="0" w:firstLineChars="0"/>
        <w:rPr>
          <w:rFonts w:ascii="Arial" w:hAnsi="Arial"/>
          <w:color w:val="auto"/>
          <w:highlight w:val="none"/>
        </w:rPr>
      </w:pPr>
      <w:r>
        <w:rPr>
          <w:rFonts w:hint="eastAsia" w:ascii="Arial" w:hAnsi="Arial"/>
          <w:color w:val="auto"/>
          <w:highlight w:val="none"/>
        </w:rPr>
        <w:t>2.有以下行为之一的：</w:t>
      </w:r>
    </w:p>
    <w:p w14:paraId="701A3461">
      <w:pPr>
        <w:pStyle w:val="26"/>
        <w:numPr>
          <w:ilvl w:val="2"/>
          <w:numId w:val="18"/>
        </w:numPr>
        <w:spacing w:line="380" w:lineRule="exact"/>
        <w:ind w:left="1134" w:firstLineChars="0"/>
        <w:rPr>
          <w:rFonts w:ascii="宋体" w:hAnsi="宋体"/>
          <w:color w:val="auto"/>
          <w:szCs w:val="21"/>
          <w:highlight w:val="none"/>
        </w:rPr>
      </w:pPr>
      <w:r>
        <w:rPr>
          <w:rFonts w:hint="eastAsia" w:ascii="宋体" w:hAnsi="宋体"/>
          <w:color w:val="auto"/>
          <w:szCs w:val="21"/>
          <w:highlight w:val="none"/>
        </w:rPr>
        <w:t>不</w:t>
      </w:r>
      <w:r>
        <w:rPr>
          <w:rFonts w:hint="eastAsia" w:ascii="Arial" w:hAnsi="Arial"/>
          <w:color w:val="auto"/>
          <w:highlight w:val="none"/>
        </w:rPr>
        <w:t>符合合同约定，限期整改不合格的</w:t>
      </w:r>
      <w:r>
        <w:rPr>
          <w:rFonts w:hint="eastAsia" w:ascii="宋体" w:hAnsi="宋体"/>
          <w:color w:val="auto"/>
          <w:szCs w:val="21"/>
          <w:highlight w:val="none"/>
        </w:rPr>
        <w:t>；</w:t>
      </w:r>
    </w:p>
    <w:p w14:paraId="5EAD4DD9">
      <w:pPr>
        <w:pStyle w:val="26"/>
        <w:numPr>
          <w:ilvl w:val="2"/>
          <w:numId w:val="18"/>
        </w:numPr>
        <w:spacing w:line="380" w:lineRule="exact"/>
        <w:ind w:left="1134" w:firstLineChars="0"/>
        <w:rPr>
          <w:rFonts w:ascii="宋体" w:hAnsi="宋体"/>
          <w:color w:val="auto"/>
          <w:szCs w:val="21"/>
          <w:highlight w:val="none"/>
        </w:rPr>
      </w:pPr>
      <w:r>
        <w:rPr>
          <w:rFonts w:hint="eastAsia" w:ascii="宋体" w:hAnsi="宋体"/>
          <w:color w:val="auto"/>
          <w:szCs w:val="21"/>
          <w:highlight w:val="none"/>
        </w:rPr>
        <w:t>弄虚作假及其他不正当行为。</w:t>
      </w:r>
    </w:p>
    <w:p w14:paraId="27C83E67">
      <w:pPr>
        <w:pStyle w:val="26"/>
        <w:numPr>
          <w:ilvl w:val="2"/>
          <w:numId w:val="18"/>
        </w:numPr>
        <w:spacing w:line="380" w:lineRule="exact"/>
        <w:ind w:left="1134" w:firstLineChars="0"/>
        <w:rPr>
          <w:rFonts w:ascii="宋体" w:hAnsi="宋体"/>
          <w:color w:val="auto"/>
          <w:szCs w:val="21"/>
          <w:highlight w:val="none"/>
        </w:rPr>
      </w:pPr>
      <w:r>
        <w:rPr>
          <w:rFonts w:hint="eastAsia" w:ascii="宋体" w:hAnsi="宋体"/>
          <w:color w:val="auto"/>
          <w:szCs w:val="21"/>
          <w:highlight w:val="none"/>
        </w:rPr>
        <w:t>法律规定的终止事由。</w:t>
      </w:r>
    </w:p>
    <w:p w14:paraId="7908C080">
      <w:pPr>
        <w:tabs>
          <w:tab w:val="left" w:pos="1260"/>
        </w:tabs>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第十一条  合同的份数</w:t>
      </w:r>
    </w:p>
    <w:p w14:paraId="7B5CAD5E">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本合同一式伍份，双方各执贰份，代理</w:t>
      </w:r>
      <w:r>
        <w:rPr>
          <w:rFonts w:ascii="宋体" w:hAnsi="宋体"/>
          <w:color w:val="auto"/>
          <w:szCs w:val="21"/>
          <w:highlight w:val="none"/>
        </w:rPr>
        <w:t>机构</w:t>
      </w:r>
      <w:r>
        <w:rPr>
          <w:rFonts w:hint="eastAsia" w:ascii="宋体" w:hAnsi="宋体"/>
          <w:color w:val="auto"/>
          <w:szCs w:val="21"/>
          <w:highlight w:val="none"/>
        </w:rPr>
        <w:t>执壹份，具有同等法律效力。</w:t>
      </w:r>
    </w:p>
    <w:p w14:paraId="4BC8EC44">
      <w:pPr>
        <w:spacing w:line="380" w:lineRule="exact"/>
        <w:ind w:firstLine="630" w:firstLineChars="300"/>
        <w:rPr>
          <w:rFonts w:ascii="宋体" w:hAnsi="宋体"/>
          <w:color w:val="auto"/>
          <w:szCs w:val="21"/>
          <w:highlight w:val="none"/>
        </w:rPr>
      </w:pPr>
      <w:r>
        <w:rPr>
          <w:rFonts w:hint="eastAsia" w:ascii="宋体" w:hAnsi="宋体"/>
          <w:color w:val="auto"/>
          <w:szCs w:val="21"/>
          <w:highlight w:val="none"/>
        </w:rPr>
        <w:t>甲    方：（印章）                     乙    方：（印章）</w:t>
      </w:r>
    </w:p>
    <w:p w14:paraId="6F0EA65D">
      <w:pPr>
        <w:spacing w:line="380" w:lineRule="exact"/>
        <w:rPr>
          <w:rFonts w:ascii="宋体" w:hAnsi="宋体"/>
          <w:color w:val="auto"/>
          <w:szCs w:val="21"/>
          <w:highlight w:val="none"/>
        </w:rPr>
      </w:pPr>
      <w:r>
        <w:rPr>
          <w:rFonts w:hint="eastAsia" w:ascii="宋体" w:hAnsi="宋体"/>
          <w:color w:val="auto"/>
          <w:szCs w:val="21"/>
          <w:highlight w:val="none"/>
        </w:rPr>
        <w:t xml:space="preserve">      法定代表人：                          法定代表人或分公司负责人：</w:t>
      </w:r>
    </w:p>
    <w:p w14:paraId="0CD536DF">
      <w:pPr>
        <w:spacing w:line="380" w:lineRule="exact"/>
        <w:ind w:firstLine="630" w:firstLineChars="300"/>
        <w:rPr>
          <w:rFonts w:ascii="宋体" w:hAnsi="宋体"/>
          <w:color w:val="auto"/>
          <w:szCs w:val="21"/>
          <w:highlight w:val="none"/>
        </w:rPr>
      </w:pPr>
      <w:bookmarkStart w:id="120" w:name="OLE_LINK21"/>
      <w:r>
        <w:rPr>
          <w:rFonts w:hint="eastAsia" w:ascii="宋体" w:hAnsi="宋体"/>
          <w:color w:val="auto"/>
          <w:szCs w:val="21"/>
          <w:highlight w:val="none"/>
        </w:rPr>
        <w:t>（签章）</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 xml:space="preserve">                              （签章）</w:t>
      </w:r>
    </w:p>
    <w:bookmarkEnd w:id="120"/>
    <w:p w14:paraId="04DB7691">
      <w:pPr>
        <w:spacing w:line="380" w:lineRule="exact"/>
        <w:ind w:firstLine="630" w:firstLineChars="300"/>
        <w:rPr>
          <w:rFonts w:ascii="宋体" w:hAnsi="宋体"/>
          <w:color w:val="auto"/>
          <w:szCs w:val="21"/>
          <w:highlight w:val="none"/>
        </w:rPr>
      </w:pPr>
      <w:r>
        <w:rPr>
          <w:rFonts w:hint="eastAsia" w:ascii="宋体" w:hAnsi="宋体"/>
          <w:color w:val="auto"/>
          <w:szCs w:val="21"/>
          <w:highlight w:val="none"/>
        </w:rPr>
        <w:t>地    址：                            地    址：</w:t>
      </w:r>
    </w:p>
    <w:p w14:paraId="71A0385D">
      <w:pPr>
        <w:spacing w:line="380" w:lineRule="exact"/>
        <w:ind w:firstLine="630" w:firstLineChars="300"/>
        <w:rPr>
          <w:rFonts w:ascii="宋体" w:hAnsi="宋体"/>
          <w:color w:val="auto"/>
          <w:szCs w:val="21"/>
          <w:highlight w:val="none"/>
        </w:rPr>
      </w:pPr>
      <w:r>
        <w:rPr>
          <w:rFonts w:hint="eastAsia" w:ascii="宋体" w:hAnsi="宋体"/>
          <w:color w:val="auto"/>
          <w:szCs w:val="21"/>
          <w:highlight w:val="none"/>
        </w:rPr>
        <w:t>邮政编码：                            邮政编码：</w:t>
      </w:r>
    </w:p>
    <w:p w14:paraId="78A946DF">
      <w:pPr>
        <w:spacing w:line="380" w:lineRule="exact"/>
        <w:ind w:firstLine="630" w:firstLineChars="300"/>
        <w:rPr>
          <w:rFonts w:ascii="宋体" w:hAnsi="宋体"/>
          <w:color w:val="auto"/>
          <w:szCs w:val="21"/>
          <w:highlight w:val="none"/>
        </w:rPr>
      </w:pPr>
      <w:r>
        <w:rPr>
          <w:rFonts w:hint="eastAsia" w:ascii="宋体" w:hAnsi="宋体"/>
          <w:color w:val="auto"/>
          <w:szCs w:val="21"/>
          <w:highlight w:val="none"/>
        </w:rPr>
        <w:t>电    话：                            电    话：</w:t>
      </w:r>
    </w:p>
    <w:p w14:paraId="2C393E19">
      <w:pPr>
        <w:spacing w:line="380" w:lineRule="exact"/>
        <w:ind w:firstLine="630" w:firstLineChars="300"/>
        <w:rPr>
          <w:rFonts w:ascii="宋体" w:hAnsi="宋体"/>
          <w:color w:val="auto"/>
          <w:szCs w:val="21"/>
          <w:highlight w:val="none"/>
        </w:rPr>
      </w:pPr>
      <w:r>
        <w:rPr>
          <w:rFonts w:hint="eastAsia" w:ascii="宋体" w:hAnsi="宋体"/>
          <w:color w:val="auto"/>
          <w:szCs w:val="21"/>
          <w:highlight w:val="none"/>
        </w:rPr>
        <w:t>传    真：                            传    真：</w:t>
      </w:r>
    </w:p>
    <w:p w14:paraId="7B18F6D5">
      <w:pPr>
        <w:spacing w:line="380" w:lineRule="exact"/>
        <w:ind w:firstLine="630" w:firstLineChars="300"/>
        <w:rPr>
          <w:rFonts w:ascii="宋体" w:hAnsi="宋体"/>
          <w:color w:val="auto"/>
          <w:szCs w:val="21"/>
          <w:highlight w:val="none"/>
        </w:rPr>
      </w:pPr>
      <w:r>
        <w:rPr>
          <w:rFonts w:hint="eastAsia" w:ascii="宋体" w:hAnsi="宋体"/>
          <w:color w:val="auto"/>
          <w:szCs w:val="21"/>
          <w:highlight w:val="none"/>
        </w:rPr>
        <w:t>开户银行：                            开户银行：</w:t>
      </w:r>
    </w:p>
    <w:p w14:paraId="7E20806C">
      <w:pPr>
        <w:spacing w:line="380" w:lineRule="exact"/>
        <w:ind w:firstLine="630" w:firstLineChars="300"/>
        <w:rPr>
          <w:rFonts w:ascii="宋体" w:hAnsi="宋体"/>
          <w:color w:val="auto"/>
          <w:szCs w:val="21"/>
          <w:highlight w:val="none"/>
        </w:rPr>
      </w:pPr>
      <w:r>
        <w:rPr>
          <w:rFonts w:hint="eastAsia" w:ascii="宋体" w:hAnsi="宋体"/>
          <w:color w:val="auto"/>
          <w:szCs w:val="21"/>
          <w:highlight w:val="none"/>
        </w:rPr>
        <w:t>帐    号：                            帐    号：</w:t>
      </w:r>
    </w:p>
    <w:p w14:paraId="744D893D">
      <w:pPr>
        <w:snapToGrid w:val="0"/>
        <w:spacing w:line="360" w:lineRule="exact"/>
        <w:rPr>
          <w:rFonts w:ascii="Arial" w:hAnsi="Arial" w:cs="Arial"/>
          <w:bCs/>
          <w:color w:val="auto"/>
          <w:highlight w:val="none"/>
        </w:rPr>
      </w:pPr>
    </w:p>
    <w:p w14:paraId="606A4135">
      <w:pPr>
        <w:snapToGrid w:val="0"/>
        <w:spacing w:line="360" w:lineRule="exact"/>
        <w:ind w:firstLine="630" w:firstLineChars="300"/>
        <w:rPr>
          <w:rFonts w:ascii="Arial" w:hAnsi="Arial" w:cs="Arial"/>
          <w:bCs/>
          <w:color w:val="auto"/>
          <w:highlight w:val="none"/>
        </w:rPr>
      </w:pPr>
      <w:r>
        <w:rPr>
          <w:rFonts w:hint="eastAsia" w:ascii="Arial" w:hAnsi="Arial" w:cs="Arial"/>
          <w:bCs/>
          <w:color w:val="auto"/>
          <w:highlight w:val="none"/>
        </w:rPr>
        <w:t>合同签订时间：     年    月    日</w:t>
      </w:r>
    </w:p>
    <w:p w14:paraId="0044742B">
      <w:pPr>
        <w:snapToGrid w:val="0"/>
        <w:spacing w:line="360" w:lineRule="exact"/>
        <w:rPr>
          <w:rFonts w:ascii="Arial" w:hAnsi="Arial" w:cs="Arial"/>
          <w:b/>
          <w:color w:val="auto"/>
          <w:highlight w:val="none"/>
        </w:rPr>
      </w:pPr>
    </w:p>
    <w:p w14:paraId="2A9685D0">
      <w:pPr>
        <w:snapToGrid w:val="0"/>
        <w:spacing w:line="360" w:lineRule="exact"/>
        <w:rPr>
          <w:rFonts w:ascii="Arial" w:hAnsi="Arial" w:cs="Arial"/>
          <w:b/>
          <w:color w:val="auto"/>
          <w:highlight w:val="none"/>
        </w:rPr>
      </w:pPr>
      <w:r>
        <w:rPr>
          <w:rFonts w:ascii="Arial" w:hAnsi="Arial" w:cs="Arial"/>
          <w:b/>
          <w:color w:val="auto"/>
          <w:highlight w:val="none"/>
        </w:rPr>
        <w:t>注：本合同作为示范文本，具体以</w:t>
      </w:r>
      <w:r>
        <w:rPr>
          <w:rFonts w:hint="eastAsia" w:ascii="Arial" w:hAnsi="Arial" w:cs="Arial"/>
          <w:b/>
          <w:color w:val="auto"/>
          <w:highlight w:val="none"/>
        </w:rPr>
        <w:t>中标</w:t>
      </w:r>
      <w:r>
        <w:rPr>
          <w:rFonts w:ascii="Arial" w:hAnsi="Arial" w:cs="Arial"/>
          <w:b/>
          <w:color w:val="auto"/>
          <w:highlight w:val="none"/>
        </w:rPr>
        <w:t>人与招标人所签定正式合同为准。</w:t>
      </w:r>
    </w:p>
    <w:p w14:paraId="6E98A704">
      <w:pPr>
        <w:snapToGrid w:val="0"/>
        <w:spacing w:line="360" w:lineRule="exact"/>
        <w:rPr>
          <w:rFonts w:ascii="Arial" w:hAnsi="Arial" w:cs="Arial"/>
          <w:b/>
          <w:color w:val="auto"/>
          <w:highlight w:val="none"/>
        </w:rPr>
      </w:pPr>
    </w:p>
    <w:p w14:paraId="6FBB97D9">
      <w:pPr>
        <w:rPr>
          <w:b/>
          <w:bCs/>
          <w:color w:val="auto"/>
          <w:sz w:val="24"/>
          <w:szCs w:val="32"/>
          <w:highlight w:val="none"/>
        </w:rPr>
      </w:pPr>
      <w:r>
        <w:rPr>
          <w:rFonts w:hint="eastAsia"/>
          <w:b/>
          <w:bCs/>
          <w:color w:val="auto"/>
          <w:sz w:val="24"/>
          <w:szCs w:val="32"/>
          <w:highlight w:val="none"/>
        </w:rPr>
        <w:br w:type="page"/>
      </w:r>
    </w:p>
    <w:p w14:paraId="381D04C3">
      <w:pPr>
        <w:pStyle w:val="2"/>
        <w:keepNext w:val="0"/>
        <w:keepLines w:val="0"/>
        <w:pageBreakBefore/>
        <w:spacing w:before="0" w:afterLines="100" w:line="240" w:lineRule="auto"/>
        <w:rPr>
          <w:rFonts w:hAnsi="宋体"/>
          <w:color w:val="auto"/>
          <w:sz w:val="28"/>
          <w:szCs w:val="36"/>
          <w:highlight w:val="none"/>
        </w:rPr>
      </w:pPr>
      <w:bookmarkStart w:id="121" w:name="_Toc14605"/>
      <w:r>
        <w:rPr>
          <w:rFonts w:hint="eastAsia" w:hAnsi="宋体"/>
          <w:color w:val="auto"/>
          <w:sz w:val="28"/>
          <w:szCs w:val="36"/>
          <w:highlight w:val="none"/>
        </w:rPr>
        <w:t>第五部分  投标文件格式</w:t>
      </w:r>
      <w:bookmarkEnd w:id="108"/>
      <w:bookmarkEnd w:id="116"/>
      <w:bookmarkEnd w:id="117"/>
      <w:bookmarkEnd w:id="118"/>
      <w:bookmarkEnd w:id="121"/>
    </w:p>
    <w:p w14:paraId="35150970">
      <w:pPr>
        <w:snapToGrid w:val="0"/>
        <w:spacing w:beforeLines="200" w:afterLines="50"/>
        <w:jc w:val="center"/>
        <w:rPr>
          <w:rFonts w:ascii="宋体" w:hAnsi="宋体"/>
          <w:b/>
          <w:bCs/>
          <w:color w:val="auto"/>
          <w:sz w:val="28"/>
          <w:highlight w:val="none"/>
        </w:rPr>
      </w:pPr>
      <w:r>
        <w:rPr>
          <w:rFonts w:hint="eastAsia" w:ascii="宋体" w:hAnsi="宋体"/>
          <w:b/>
          <w:bCs/>
          <w:color w:val="auto"/>
          <w:sz w:val="28"/>
          <w:highlight w:val="none"/>
        </w:rPr>
        <w:t>投标人提交投标文件须知</w:t>
      </w:r>
    </w:p>
    <w:p w14:paraId="38A18B5E">
      <w:pPr>
        <w:snapToGrid w:val="0"/>
        <w:jc w:val="center"/>
        <w:rPr>
          <w:color w:val="auto"/>
          <w:sz w:val="28"/>
          <w:szCs w:val="21"/>
          <w:highlight w:val="none"/>
        </w:rPr>
      </w:pPr>
    </w:p>
    <w:p w14:paraId="49F7F50A">
      <w:pPr>
        <w:numPr>
          <w:ilvl w:val="0"/>
          <w:numId w:val="19"/>
        </w:numPr>
        <w:snapToGrid w:val="0"/>
        <w:spacing w:line="480" w:lineRule="exact"/>
        <w:ind w:left="0" w:firstLine="420" w:firstLineChars="200"/>
        <w:rPr>
          <w:rFonts w:ascii="宋体" w:hAnsi="宋体"/>
          <w:color w:val="auto"/>
          <w:highlight w:val="none"/>
        </w:rPr>
      </w:pPr>
      <w:r>
        <w:rPr>
          <w:rFonts w:ascii="宋体" w:hAnsi="宋体"/>
          <w:color w:val="auto"/>
          <w:szCs w:val="22"/>
          <w:highlight w:val="none"/>
        </w:rPr>
        <w:t>投标</w:t>
      </w:r>
      <w:r>
        <w:rPr>
          <w:rFonts w:hint="eastAsia" w:ascii="宋体" w:hAnsi="宋体"/>
          <w:color w:val="auto"/>
          <w:szCs w:val="22"/>
          <w:highlight w:val="none"/>
        </w:rPr>
        <w:t>人</w:t>
      </w:r>
      <w:r>
        <w:rPr>
          <w:rFonts w:ascii="宋体" w:hAnsi="宋体"/>
          <w:color w:val="auto"/>
          <w:szCs w:val="22"/>
          <w:highlight w:val="none"/>
        </w:rPr>
        <w:t>应严格按照</w:t>
      </w:r>
      <w:r>
        <w:rPr>
          <w:rFonts w:hint="eastAsia" w:ascii="宋体" w:hAnsi="宋体"/>
          <w:color w:val="auto"/>
          <w:szCs w:val="22"/>
          <w:highlight w:val="none"/>
        </w:rPr>
        <w:t>投标文件的组成</w:t>
      </w:r>
      <w:r>
        <w:rPr>
          <w:rFonts w:ascii="宋体" w:hAnsi="宋体"/>
          <w:color w:val="auto"/>
          <w:szCs w:val="22"/>
          <w:highlight w:val="none"/>
        </w:rPr>
        <w:t>提交下述规定的全部格式文件以及其他有关资料，混乱的编排导致投标文件被误读</w:t>
      </w:r>
      <w:r>
        <w:rPr>
          <w:rFonts w:ascii="宋体" w:hAnsi="宋体"/>
          <w:color w:val="auto"/>
          <w:highlight w:val="none"/>
        </w:rPr>
        <w:t>或</w:t>
      </w:r>
      <w:r>
        <w:rPr>
          <w:rFonts w:hint="eastAsia" w:ascii="宋体" w:hAnsi="宋体"/>
          <w:color w:val="auto"/>
          <w:highlight w:val="none"/>
        </w:rPr>
        <w:t>采购代理机构</w:t>
      </w:r>
      <w:r>
        <w:rPr>
          <w:rFonts w:ascii="宋体" w:hAnsi="宋体"/>
          <w:color w:val="auto"/>
          <w:highlight w:val="none"/>
        </w:rPr>
        <w:t>查找不到有效文件是投标</w:t>
      </w:r>
      <w:r>
        <w:rPr>
          <w:rFonts w:hint="eastAsia" w:ascii="宋体" w:hAnsi="宋体"/>
          <w:color w:val="auto"/>
          <w:highlight w:val="none"/>
        </w:rPr>
        <w:t>人</w:t>
      </w:r>
      <w:r>
        <w:rPr>
          <w:rFonts w:ascii="宋体" w:hAnsi="宋体"/>
          <w:color w:val="auto"/>
          <w:highlight w:val="none"/>
        </w:rPr>
        <w:t>的风险。</w:t>
      </w:r>
    </w:p>
    <w:p w14:paraId="344D1EE4">
      <w:pPr>
        <w:numPr>
          <w:ilvl w:val="0"/>
          <w:numId w:val="19"/>
        </w:numPr>
        <w:snapToGrid w:val="0"/>
        <w:spacing w:line="480" w:lineRule="exact"/>
        <w:ind w:left="0" w:firstLine="420" w:firstLineChars="200"/>
        <w:rPr>
          <w:rFonts w:ascii="宋体" w:hAnsi="宋体"/>
          <w:color w:val="auto"/>
          <w:highlight w:val="none"/>
        </w:rPr>
      </w:pPr>
      <w:r>
        <w:rPr>
          <w:rFonts w:ascii="宋体" w:hAnsi="宋体"/>
          <w:color w:val="auto"/>
          <w:highlight w:val="none"/>
        </w:rPr>
        <w:t>所附表格中要求回答的全部问题和/或信息都必须正面回答。</w:t>
      </w:r>
    </w:p>
    <w:p w14:paraId="74553CC2">
      <w:pPr>
        <w:numPr>
          <w:ilvl w:val="0"/>
          <w:numId w:val="19"/>
        </w:numPr>
        <w:snapToGrid w:val="0"/>
        <w:spacing w:line="480" w:lineRule="exact"/>
        <w:ind w:left="0" w:firstLine="420" w:firstLineChars="200"/>
        <w:rPr>
          <w:rFonts w:ascii="宋体" w:hAnsi="宋体"/>
          <w:color w:val="auto"/>
          <w:highlight w:val="none"/>
        </w:rPr>
      </w:pPr>
      <w:r>
        <w:rPr>
          <w:rFonts w:ascii="宋体" w:hAnsi="宋体"/>
          <w:color w:val="auto"/>
          <w:highlight w:val="none"/>
        </w:rPr>
        <w:t>本资格声明的签字人应保证全部声明和问题的回答是真实的和准确的。</w:t>
      </w:r>
    </w:p>
    <w:p w14:paraId="1AF07B83">
      <w:pPr>
        <w:numPr>
          <w:ilvl w:val="0"/>
          <w:numId w:val="19"/>
        </w:numPr>
        <w:snapToGrid w:val="0"/>
        <w:spacing w:line="480" w:lineRule="exact"/>
        <w:ind w:left="0" w:firstLine="420" w:firstLineChars="200"/>
        <w:rPr>
          <w:rFonts w:ascii="宋体" w:hAnsi="宋体"/>
          <w:color w:val="auto"/>
          <w:highlight w:val="none"/>
        </w:rPr>
      </w:pPr>
      <w:r>
        <w:rPr>
          <w:rFonts w:ascii="宋体" w:hAnsi="宋体"/>
          <w:color w:val="auto"/>
          <w:highlight w:val="none"/>
        </w:rPr>
        <w:t>投标</w:t>
      </w:r>
      <w:r>
        <w:rPr>
          <w:rFonts w:hint="eastAsia" w:ascii="宋体" w:hAnsi="宋体"/>
          <w:color w:val="auto"/>
          <w:highlight w:val="none"/>
        </w:rPr>
        <w:t>人</w:t>
      </w:r>
      <w:r>
        <w:rPr>
          <w:rFonts w:ascii="宋体" w:hAnsi="宋体"/>
          <w:color w:val="auto"/>
          <w:highlight w:val="none"/>
        </w:rPr>
        <w:t>提交的材料将被保密保存，但不退还。</w:t>
      </w:r>
    </w:p>
    <w:p w14:paraId="1CE5BD3D">
      <w:pPr>
        <w:numPr>
          <w:ilvl w:val="0"/>
          <w:numId w:val="19"/>
        </w:numPr>
        <w:snapToGrid w:val="0"/>
        <w:spacing w:line="480" w:lineRule="exact"/>
        <w:ind w:left="0" w:firstLine="420" w:firstLineChars="200"/>
        <w:rPr>
          <w:color w:val="auto"/>
          <w:highlight w:val="none"/>
        </w:rPr>
      </w:pPr>
      <w:r>
        <w:rPr>
          <w:color w:val="auto"/>
          <w:highlight w:val="none"/>
        </w:rPr>
        <w:t>全部文件应按投标</w:t>
      </w:r>
      <w:r>
        <w:rPr>
          <w:rFonts w:hint="eastAsia"/>
          <w:color w:val="auto"/>
          <w:highlight w:val="none"/>
        </w:rPr>
        <w:t>人</w:t>
      </w:r>
      <w:r>
        <w:rPr>
          <w:color w:val="auto"/>
          <w:highlight w:val="none"/>
        </w:rPr>
        <w:t>须知中规定的语言和份数提交</w:t>
      </w:r>
      <w:r>
        <w:rPr>
          <w:rFonts w:hint="eastAsia"/>
          <w:color w:val="auto"/>
          <w:highlight w:val="none"/>
        </w:rPr>
        <w:t>。</w:t>
      </w:r>
    </w:p>
    <w:p w14:paraId="493556F3">
      <w:pPr>
        <w:rPr>
          <w:rFonts w:ascii="宋体" w:hAnsi="宋体"/>
          <w:color w:val="auto"/>
          <w:szCs w:val="21"/>
          <w:highlight w:val="none"/>
        </w:rPr>
      </w:pPr>
    </w:p>
    <w:p w14:paraId="4C384538">
      <w:pPr>
        <w:rPr>
          <w:rFonts w:ascii="宋体" w:hAnsi="宋体"/>
          <w:color w:val="auto"/>
          <w:szCs w:val="21"/>
          <w:highlight w:val="none"/>
        </w:rPr>
      </w:pPr>
    </w:p>
    <w:p w14:paraId="4CBA154A">
      <w:pPr>
        <w:rPr>
          <w:rFonts w:ascii="宋体" w:hAnsi="宋体"/>
          <w:color w:val="auto"/>
          <w:szCs w:val="21"/>
          <w:highlight w:val="none"/>
        </w:rPr>
      </w:pPr>
    </w:p>
    <w:p w14:paraId="0EB6F091">
      <w:pPr>
        <w:rPr>
          <w:rFonts w:ascii="宋体" w:hAnsi="宋体"/>
          <w:color w:val="auto"/>
          <w:szCs w:val="21"/>
          <w:highlight w:val="none"/>
        </w:rPr>
      </w:pPr>
    </w:p>
    <w:p w14:paraId="291A0079">
      <w:pPr>
        <w:rPr>
          <w:rFonts w:ascii="宋体" w:hAnsi="宋体"/>
          <w:color w:val="auto"/>
          <w:szCs w:val="21"/>
          <w:highlight w:val="none"/>
        </w:rPr>
      </w:pPr>
    </w:p>
    <w:p w14:paraId="1D0F85E1">
      <w:pPr>
        <w:rPr>
          <w:rFonts w:ascii="宋体" w:hAnsi="宋体"/>
          <w:color w:val="auto"/>
          <w:szCs w:val="21"/>
          <w:highlight w:val="none"/>
        </w:rPr>
      </w:pPr>
    </w:p>
    <w:p w14:paraId="0A5D8AE1">
      <w:pPr>
        <w:rPr>
          <w:rFonts w:ascii="宋体" w:hAnsi="宋体"/>
          <w:color w:val="auto"/>
          <w:szCs w:val="21"/>
          <w:highlight w:val="none"/>
        </w:rPr>
      </w:pPr>
    </w:p>
    <w:p w14:paraId="40A95A10">
      <w:pPr>
        <w:rPr>
          <w:rFonts w:ascii="宋体" w:hAnsi="宋体"/>
          <w:color w:val="auto"/>
          <w:szCs w:val="21"/>
          <w:highlight w:val="none"/>
        </w:rPr>
      </w:pPr>
    </w:p>
    <w:p w14:paraId="2655BEDF">
      <w:pPr>
        <w:rPr>
          <w:rFonts w:ascii="宋体" w:hAnsi="宋体"/>
          <w:color w:val="auto"/>
          <w:szCs w:val="21"/>
          <w:highlight w:val="none"/>
        </w:rPr>
      </w:pPr>
    </w:p>
    <w:p w14:paraId="1863420B">
      <w:pPr>
        <w:rPr>
          <w:rFonts w:ascii="宋体" w:hAnsi="宋体"/>
          <w:color w:val="auto"/>
          <w:szCs w:val="21"/>
          <w:highlight w:val="none"/>
        </w:rPr>
      </w:pPr>
    </w:p>
    <w:p w14:paraId="718A33F3">
      <w:pPr>
        <w:rPr>
          <w:rFonts w:ascii="宋体" w:hAnsi="宋体"/>
          <w:color w:val="auto"/>
          <w:szCs w:val="21"/>
          <w:highlight w:val="none"/>
        </w:rPr>
      </w:pPr>
    </w:p>
    <w:p w14:paraId="70D9FC5F">
      <w:pPr>
        <w:rPr>
          <w:rFonts w:ascii="宋体" w:hAnsi="宋体"/>
          <w:color w:val="auto"/>
          <w:szCs w:val="21"/>
          <w:highlight w:val="none"/>
        </w:rPr>
      </w:pPr>
    </w:p>
    <w:p w14:paraId="7D5427D4">
      <w:pPr>
        <w:rPr>
          <w:rFonts w:ascii="宋体" w:hAnsi="宋体"/>
          <w:color w:val="auto"/>
          <w:szCs w:val="21"/>
          <w:highlight w:val="none"/>
        </w:rPr>
      </w:pPr>
    </w:p>
    <w:p w14:paraId="769563DE">
      <w:pPr>
        <w:rPr>
          <w:rFonts w:ascii="宋体" w:hAnsi="宋体"/>
          <w:color w:val="auto"/>
          <w:szCs w:val="21"/>
          <w:highlight w:val="none"/>
        </w:rPr>
      </w:pPr>
    </w:p>
    <w:p w14:paraId="12DBDA83">
      <w:pPr>
        <w:rPr>
          <w:rFonts w:ascii="宋体" w:hAnsi="宋体"/>
          <w:color w:val="auto"/>
          <w:szCs w:val="21"/>
          <w:highlight w:val="none"/>
        </w:rPr>
      </w:pPr>
    </w:p>
    <w:p w14:paraId="74656F8A">
      <w:pPr>
        <w:rPr>
          <w:rFonts w:ascii="宋体" w:hAnsi="宋体"/>
          <w:color w:val="auto"/>
          <w:szCs w:val="21"/>
          <w:highlight w:val="none"/>
        </w:rPr>
      </w:pPr>
    </w:p>
    <w:p w14:paraId="38791D6A">
      <w:pPr>
        <w:rPr>
          <w:rFonts w:ascii="宋体" w:hAnsi="宋体"/>
          <w:color w:val="auto"/>
          <w:szCs w:val="21"/>
          <w:highlight w:val="none"/>
        </w:rPr>
      </w:pPr>
    </w:p>
    <w:p w14:paraId="127E5518">
      <w:pPr>
        <w:rPr>
          <w:rFonts w:ascii="宋体" w:hAnsi="宋体"/>
          <w:color w:val="auto"/>
          <w:szCs w:val="21"/>
          <w:highlight w:val="none"/>
        </w:rPr>
      </w:pPr>
    </w:p>
    <w:p w14:paraId="7C1E57ED">
      <w:pPr>
        <w:rPr>
          <w:rFonts w:ascii="宋体" w:hAnsi="宋体"/>
          <w:color w:val="auto"/>
          <w:szCs w:val="21"/>
          <w:highlight w:val="none"/>
        </w:rPr>
      </w:pPr>
    </w:p>
    <w:p w14:paraId="08C22D07">
      <w:pPr>
        <w:rPr>
          <w:rFonts w:ascii="宋体" w:hAnsi="宋体"/>
          <w:color w:val="auto"/>
          <w:szCs w:val="21"/>
          <w:highlight w:val="none"/>
        </w:rPr>
      </w:pPr>
    </w:p>
    <w:p w14:paraId="4B428657">
      <w:pPr>
        <w:rPr>
          <w:rFonts w:ascii="宋体" w:hAnsi="宋体"/>
          <w:color w:val="auto"/>
          <w:szCs w:val="21"/>
          <w:highlight w:val="none"/>
        </w:rPr>
      </w:pPr>
    </w:p>
    <w:p w14:paraId="1EE736EE">
      <w:pPr>
        <w:rPr>
          <w:rFonts w:ascii="宋体" w:hAnsi="宋体"/>
          <w:color w:val="auto"/>
          <w:szCs w:val="21"/>
          <w:highlight w:val="none"/>
        </w:rPr>
      </w:pPr>
    </w:p>
    <w:p w14:paraId="039CDC96">
      <w:pPr>
        <w:rPr>
          <w:rFonts w:ascii="宋体" w:hAnsi="宋体"/>
          <w:color w:val="auto"/>
          <w:szCs w:val="21"/>
          <w:highlight w:val="none"/>
        </w:rPr>
      </w:pPr>
    </w:p>
    <w:p w14:paraId="54097A17">
      <w:pPr>
        <w:rPr>
          <w:rFonts w:ascii="宋体" w:hAnsi="宋体"/>
          <w:color w:val="auto"/>
          <w:szCs w:val="21"/>
          <w:highlight w:val="none"/>
        </w:rPr>
      </w:pPr>
    </w:p>
    <w:p w14:paraId="410B69BA">
      <w:pPr>
        <w:rPr>
          <w:rFonts w:ascii="宋体" w:hAnsi="宋体"/>
          <w:color w:val="auto"/>
          <w:szCs w:val="21"/>
          <w:highlight w:val="none"/>
        </w:rPr>
      </w:pPr>
    </w:p>
    <w:p w14:paraId="39A8A011">
      <w:pPr>
        <w:rPr>
          <w:rFonts w:ascii="宋体" w:hAnsi="宋体"/>
          <w:color w:val="auto"/>
          <w:szCs w:val="21"/>
          <w:highlight w:val="none"/>
        </w:rPr>
      </w:pPr>
    </w:p>
    <w:p w14:paraId="3EF7A28A">
      <w:pPr>
        <w:rPr>
          <w:rFonts w:ascii="宋体" w:hAnsi="宋体"/>
          <w:color w:val="auto"/>
          <w:szCs w:val="21"/>
          <w:highlight w:val="none"/>
        </w:rPr>
      </w:pPr>
    </w:p>
    <w:p w14:paraId="5CFACB9B">
      <w:pPr>
        <w:pStyle w:val="23"/>
        <w:rPr>
          <w:color w:val="auto"/>
          <w:highlight w:val="none"/>
        </w:rPr>
      </w:pPr>
    </w:p>
    <w:p w14:paraId="26F8CFC9">
      <w:pPr>
        <w:rPr>
          <w:rFonts w:ascii="宋体" w:hAnsi="宋体"/>
          <w:color w:val="auto"/>
          <w:szCs w:val="21"/>
          <w:highlight w:val="none"/>
        </w:rPr>
      </w:pPr>
    </w:p>
    <w:p w14:paraId="57A74433">
      <w:pPr>
        <w:rPr>
          <w:color w:val="auto"/>
          <w:highlight w:val="none"/>
        </w:rPr>
      </w:pPr>
      <w:bookmarkStart w:id="122" w:name="OLE_LINK26"/>
      <w:bookmarkStart w:id="123" w:name="_Toc405556634"/>
    </w:p>
    <w:bookmarkEnd w:id="122"/>
    <w:p w14:paraId="5233B34A">
      <w:pPr>
        <w:spacing w:beforeLines="50" w:afterLines="50" w:line="360" w:lineRule="atLeast"/>
        <w:jc w:val="center"/>
        <w:outlineLvl w:val="1"/>
        <w:rPr>
          <w:b/>
          <w:bCs/>
          <w:color w:val="auto"/>
          <w:sz w:val="24"/>
          <w:highlight w:val="none"/>
        </w:rPr>
      </w:pPr>
      <w:bookmarkStart w:id="124" w:name="_Toc19806"/>
      <w:bookmarkStart w:id="125" w:name="_Toc6556"/>
      <w:bookmarkStart w:id="126" w:name="_Toc405556627"/>
      <w:bookmarkStart w:id="127" w:name="_Toc26777"/>
      <w:bookmarkStart w:id="128" w:name="_Toc9835"/>
      <w:bookmarkStart w:id="129" w:name="_Toc31316"/>
      <w:r>
        <w:rPr>
          <w:rFonts w:hint="eastAsia"/>
          <w:b/>
          <w:bCs/>
          <w:color w:val="auto"/>
          <w:sz w:val="24"/>
          <w:highlight w:val="none"/>
        </w:rPr>
        <w:t>附件一    投 标 函</w:t>
      </w:r>
      <w:bookmarkEnd w:id="124"/>
      <w:bookmarkEnd w:id="125"/>
      <w:bookmarkEnd w:id="126"/>
      <w:bookmarkEnd w:id="127"/>
      <w:bookmarkEnd w:id="128"/>
      <w:bookmarkEnd w:id="129"/>
    </w:p>
    <w:p w14:paraId="392BDAD9">
      <w:pPr>
        <w:spacing w:before="240" w:line="480" w:lineRule="auto"/>
        <w:rPr>
          <w:rFonts w:ascii="Arial" w:hAnsi="Arial"/>
          <w:b/>
          <w:color w:val="auto"/>
          <w:sz w:val="24"/>
          <w:highlight w:val="none"/>
        </w:rPr>
      </w:pPr>
      <w:r>
        <w:rPr>
          <w:rFonts w:hint="eastAsia" w:ascii="Arial" w:hAnsi="Arial"/>
          <w:b/>
          <w:color w:val="auto"/>
          <w:sz w:val="24"/>
          <w:highlight w:val="none"/>
          <w:u w:val="single"/>
        </w:rPr>
        <w:t>瑞安市卫生健康局</w:t>
      </w:r>
      <w:r>
        <w:rPr>
          <w:rFonts w:hint="eastAsia" w:ascii="Arial" w:hAnsi="Arial"/>
          <w:b/>
          <w:color w:val="auto"/>
          <w:sz w:val="24"/>
          <w:highlight w:val="none"/>
        </w:rPr>
        <w:t>：</w:t>
      </w:r>
    </w:p>
    <w:p w14:paraId="48A1B1BE">
      <w:pPr>
        <w:spacing w:line="480" w:lineRule="exact"/>
        <w:ind w:right="6" w:firstLine="420"/>
        <w:rPr>
          <w:rFonts w:ascii="Arial" w:hAnsi="Arial"/>
          <w:color w:val="auto"/>
          <w:highlight w:val="none"/>
        </w:rPr>
      </w:pPr>
      <w:r>
        <w:rPr>
          <w:rFonts w:hint="eastAsia" w:ascii="宋体" w:hAnsi="宋体"/>
          <w:color w:val="auto"/>
          <w:highlight w:val="none"/>
        </w:rPr>
        <w:t>我方确认收到贵方提供的</w:t>
      </w:r>
      <w:r>
        <w:rPr>
          <w:rFonts w:hint="eastAsia" w:ascii="宋体" w:hAnsi="宋体"/>
          <w:color w:val="auto"/>
          <w:highlight w:val="none"/>
          <w:lang w:eastAsia="zh-CN"/>
        </w:rPr>
        <w:t>瑞安市基层卫生服务中心</w:t>
      </w:r>
      <w:r>
        <w:rPr>
          <w:rFonts w:hint="eastAsia" w:ascii="宋体" w:hAnsi="宋体"/>
          <w:color w:val="auto"/>
          <w:highlight w:val="none"/>
        </w:rPr>
        <w:t>专用账户开立招投标项目的招标文件，遵照国家及地方政府相关招标投标法规的规定，我单位：</w:t>
      </w:r>
      <w:r>
        <w:rPr>
          <w:rFonts w:hint="eastAsia" w:ascii="宋体" w:hAnsi="宋体"/>
          <w:color w:val="auto"/>
          <w:highlight w:val="none"/>
          <w:u w:val="single"/>
        </w:rPr>
        <w:t xml:space="preserve">       （投标人名称）</w:t>
      </w:r>
      <w:r>
        <w:rPr>
          <w:rFonts w:hint="eastAsia" w:ascii="宋体" w:hAnsi="宋体"/>
          <w:color w:val="auto"/>
          <w:highlight w:val="none"/>
        </w:rPr>
        <w:t>研究上述招标文件</w:t>
      </w:r>
      <w:r>
        <w:rPr>
          <w:rFonts w:hint="eastAsia" w:ascii="Arial" w:hAnsi="Arial"/>
          <w:color w:val="auto"/>
          <w:highlight w:val="none"/>
        </w:rPr>
        <w:t>的投标须知、合同条款、技术要求和其他有关文件后，决定作为投标人正式授权</w:t>
      </w:r>
      <w:r>
        <w:rPr>
          <w:rFonts w:hint="eastAsia" w:ascii="Arial" w:hAnsi="Arial"/>
          <w:color w:val="auto"/>
          <w:highlight w:val="none"/>
          <w:u w:val="single"/>
        </w:rPr>
        <w:t xml:space="preserve">        （授权代表全名，职务）</w:t>
      </w:r>
      <w:r>
        <w:rPr>
          <w:rFonts w:hint="eastAsia" w:ascii="Arial" w:hAnsi="Arial"/>
          <w:color w:val="auto"/>
          <w:highlight w:val="none"/>
        </w:rPr>
        <w:t>代表我方进行有关本投标的一切事宜。</w:t>
      </w:r>
    </w:p>
    <w:p w14:paraId="2E807F38">
      <w:pPr>
        <w:widowControl/>
        <w:numPr>
          <w:ilvl w:val="0"/>
          <w:numId w:val="20"/>
        </w:numPr>
        <w:spacing w:line="480" w:lineRule="exact"/>
        <w:ind w:right="6"/>
        <w:jc w:val="left"/>
        <w:rPr>
          <w:rFonts w:ascii="Arial" w:hAnsi="Arial"/>
          <w:color w:val="auto"/>
          <w:highlight w:val="none"/>
        </w:rPr>
      </w:pPr>
      <w:r>
        <w:rPr>
          <w:rFonts w:ascii="Arial" w:hAnsi="Arial"/>
          <w:color w:val="auto"/>
          <w:highlight w:val="none"/>
        </w:rPr>
        <w:t>我方已完全明白招标文件的所有条款要求，并重申以下几点：</w:t>
      </w:r>
    </w:p>
    <w:p w14:paraId="6C3977EC">
      <w:pPr>
        <w:widowControl/>
        <w:numPr>
          <w:ilvl w:val="1"/>
          <w:numId w:val="20"/>
        </w:numPr>
        <w:spacing w:line="480" w:lineRule="exact"/>
        <w:ind w:right="6"/>
        <w:jc w:val="left"/>
        <w:rPr>
          <w:rFonts w:ascii="Arial" w:hAnsi="Arial"/>
          <w:color w:val="auto"/>
          <w:highlight w:val="none"/>
        </w:rPr>
      </w:pPr>
      <w:r>
        <w:rPr>
          <w:rFonts w:hint="eastAsia" w:ascii="Arial" w:hAnsi="Arial"/>
          <w:color w:val="auto"/>
          <w:highlight w:val="none"/>
        </w:rPr>
        <w:t>我方决定参加：作为本次投标人参与</w:t>
      </w:r>
      <w:r>
        <w:rPr>
          <w:rFonts w:hint="eastAsia" w:ascii="宋体" w:hAnsi="宋体"/>
          <w:color w:val="auto"/>
          <w:highlight w:val="none"/>
          <w:lang w:eastAsia="zh-CN"/>
        </w:rPr>
        <w:t>瑞安市基层卫生服务中心</w:t>
      </w:r>
      <w:r>
        <w:rPr>
          <w:rFonts w:hint="eastAsia" w:ascii="宋体" w:hAnsi="宋体"/>
          <w:color w:val="auto"/>
          <w:highlight w:val="none"/>
        </w:rPr>
        <w:t>专用账户开立招投标项目</w:t>
      </w:r>
      <w:r>
        <w:rPr>
          <w:rFonts w:hint="eastAsia" w:ascii="Arial" w:hAnsi="Arial"/>
          <w:color w:val="auto"/>
          <w:highlight w:val="none"/>
        </w:rPr>
        <w:t>的投标。</w:t>
      </w:r>
    </w:p>
    <w:p w14:paraId="674B3A4A">
      <w:pPr>
        <w:widowControl/>
        <w:numPr>
          <w:ilvl w:val="1"/>
          <w:numId w:val="20"/>
        </w:numPr>
        <w:spacing w:line="480" w:lineRule="exact"/>
        <w:ind w:right="6"/>
        <w:jc w:val="left"/>
        <w:rPr>
          <w:rFonts w:ascii="Arial" w:hAnsi="Arial"/>
          <w:color w:val="auto"/>
          <w:highlight w:val="none"/>
        </w:rPr>
      </w:pPr>
      <w:r>
        <w:rPr>
          <w:rFonts w:hint="eastAsia" w:ascii="Arial" w:hAnsi="Arial"/>
          <w:color w:val="auto"/>
          <w:highlight w:val="none"/>
        </w:rPr>
        <w:t>投标文件的有效期：提交投标文件截止日起 90天内有效。</w:t>
      </w:r>
    </w:p>
    <w:p w14:paraId="368472AF">
      <w:pPr>
        <w:widowControl/>
        <w:numPr>
          <w:ilvl w:val="1"/>
          <w:numId w:val="20"/>
        </w:numPr>
        <w:spacing w:line="480" w:lineRule="exact"/>
        <w:ind w:right="6"/>
        <w:jc w:val="left"/>
        <w:rPr>
          <w:rFonts w:ascii="Arial" w:hAnsi="Arial"/>
          <w:color w:val="auto"/>
          <w:highlight w:val="none"/>
        </w:rPr>
      </w:pPr>
      <w:r>
        <w:rPr>
          <w:rFonts w:hint="eastAsia" w:ascii="Arial" w:hAnsi="Arial"/>
          <w:color w:val="auto"/>
          <w:highlight w:val="none"/>
        </w:rPr>
        <w:t>我方已详细研究了招标文件的所有内容包括修正文件（如果有）和所有已提供的参考资料以及有关附件并完全明白，我方放弃在此方面提出含糊意见或误解的一切权力。</w:t>
      </w:r>
    </w:p>
    <w:p w14:paraId="0219B7F1">
      <w:pPr>
        <w:widowControl/>
        <w:numPr>
          <w:ilvl w:val="1"/>
          <w:numId w:val="20"/>
        </w:numPr>
        <w:spacing w:line="480" w:lineRule="exact"/>
        <w:ind w:right="6"/>
        <w:jc w:val="left"/>
        <w:rPr>
          <w:rFonts w:ascii="Arial" w:hAnsi="Arial"/>
          <w:color w:val="auto"/>
          <w:highlight w:val="none"/>
        </w:rPr>
      </w:pPr>
      <w:r>
        <w:rPr>
          <w:rFonts w:hint="eastAsia" w:ascii="Arial" w:hAnsi="Arial"/>
          <w:color w:val="auto"/>
          <w:highlight w:val="none"/>
        </w:rPr>
        <w:t>我方承诺我单位中国人民银行温州市分行关于2024年度在瑞银行业金融机构综合评价结果为B级及以上。</w:t>
      </w:r>
    </w:p>
    <w:p w14:paraId="5E75FA69">
      <w:pPr>
        <w:widowControl/>
        <w:numPr>
          <w:ilvl w:val="1"/>
          <w:numId w:val="20"/>
        </w:numPr>
        <w:spacing w:line="480" w:lineRule="exact"/>
        <w:ind w:right="6"/>
        <w:jc w:val="left"/>
        <w:rPr>
          <w:rFonts w:ascii="Arial" w:hAnsi="Arial"/>
          <w:color w:val="auto"/>
          <w:highlight w:val="none"/>
        </w:rPr>
      </w:pPr>
      <w:r>
        <w:rPr>
          <w:rFonts w:hint="eastAsia" w:ascii="Arial" w:hAnsi="Arial"/>
          <w:color w:val="auto"/>
          <w:highlight w:val="none"/>
        </w:rPr>
        <w:t>我方明白并愿意在规定的投标截止时间和日期之后，投标有效期之内撤回投标，则将承担相应责任。</w:t>
      </w:r>
    </w:p>
    <w:p w14:paraId="4C2994D9">
      <w:pPr>
        <w:widowControl/>
        <w:numPr>
          <w:ilvl w:val="1"/>
          <w:numId w:val="20"/>
        </w:numPr>
        <w:spacing w:line="480" w:lineRule="exact"/>
        <w:ind w:right="6"/>
        <w:jc w:val="left"/>
        <w:rPr>
          <w:rFonts w:ascii="Arial" w:hAnsi="Arial"/>
          <w:color w:val="auto"/>
          <w:highlight w:val="none"/>
        </w:rPr>
      </w:pPr>
      <w:r>
        <w:rPr>
          <w:rFonts w:hint="eastAsia" w:ascii="Arial" w:hAnsi="Arial"/>
          <w:color w:val="auto"/>
          <w:highlight w:val="none"/>
        </w:rPr>
        <w:t>我方同意按照贵方提出的要求而提供有关的数据或信息。</w:t>
      </w:r>
    </w:p>
    <w:p w14:paraId="0A2E7A5E">
      <w:pPr>
        <w:widowControl/>
        <w:numPr>
          <w:ilvl w:val="1"/>
          <w:numId w:val="20"/>
        </w:numPr>
        <w:spacing w:line="480" w:lineRule="exact"/>
        <w:ind w:right="6"/>
        <w:jc w:val="left"/>
        <w:rPr>
          <w:rFonts w:ascii="Arial" w:hAnsi="Arial"/>
          <w:color w:val="auto"/>
          <w:highlight w:val="none"/>
        </w:rPr>
      </w:pPr>
      <w:r>
        <w:rPr>
          <w:rFonts w:hint="eastAsia" w:ascii="Arial" w:hAnsi="Arial"/>
          <w:color w:val="auto"/>
          <w:highlight w:val="none"/>
        </w:rPr>
        <w:t>我方如果中标，将保证履行招标文件以及招标文件修改书（如果有的话）中的全部责任和义务，按质、按量、按期完成《</w:t>
      </w:r>
      <w:r>
        <w:rPr>
          <w:rFonts w:hint="eastAsia" w:ascii="Arial" w:hAnsi="Arial"/>
          <w:color w:val="auto"/>
          <w:highlight w:val="none"/>
          <w:lang w:eastAsia="zh-CN"/>
        </w:rPr>
        <w:t>瑞安市基层卫生服务中心</w:t>
      </w:r>
      <w:r>
        <w:rPr>
          <w:rFonts w:hint="eastAsia" w:ascii="Arial" w:hAnsi="Arial"/>
          <w:color w:val="auto"/>
          <w:highlight w:val="none"/>
        </w:rPr>
        <w:t>专用账户开立招投标项目合同》中的全部任务。</w:t>
      </w:r>
    </w:p>
    <w:p w14:paraId="3D95A832">
      <w:pPr>
        <w:tabs>
          <w:tab w:val="left" w:pos="4635"/>
        </w:tabs>
        <w:spacing w:line="360" w:lineRule="auto"/>
        <w:ind w:left="3826" w:leftChars="1822" w:right="840"/>
        <w:rPr>
          <w:rFonts w:ascii="Arial" w:hAnsi="Arial"/>
          <w:color w:val="auto"/>
          <w:highlight w:val="none"/>
        </w:rPr>
      </w:pPr>
    </w:p>
    <w:p w14:paraId="20D04650">
      <w:pPr>
        <w:tabs>
          <w:tab w:val="left" w:pos="4635"/>
        </w:tabs>
        <w:spacing w:line="360" w:lineRule="auto"/>
        <w:ind w:left="3826" w:leftChars="1822" w:right="840"/>
        <w:rPr>
          <w:rFonts w:ascii="Arial" w:hAnsi="Arial"/>
          <w:color w:val="auto"/>
          <w:highlight w:val="none"/>
        </w:rPr>
      </w:pPr>
    </w:p>
    <w:p w14:paraId="59179537">
      <w:pPr>
        <w:tabs>
          <w:tab w:val="left" w:pos="4635"/>
        </w:tabs>
        <w:spacing w:line="360" w:lineRule="auto"/>
        <w:ind w:right="840" w:firstLine="5250" w:firstLineChars="2500"/>
        <w:rPr>
          <w:rFonts w:ascii="Arial" w:hAnsi="Arial"/>
          <w:color w:val="auto"/>
          <w:highlight w:val="none"/>
        </w:rPr>
      </w:pPr>
      <w:r>
        <w:rPr>
          <w:rFonts w:hint="eastAsia" w:ascii="Arial" w:hAnsi="Arial"/>
          <w:color w:val="auto"/>
          <w:highlight w:val="none"/>
        </w:rPr>
        <w:t>投标人全称（公章）：</w:t>
      </w:r>
    </w:p>
    <w:p w14:paraId="2CB42934">
      <w:pPr>
        <w:tabs>
          <w:tab w:val="left" w:pos="4635"/>
        </w:tabs>
        <w:spacing w:line="360" w:lineRule="auto"/>
        <w:ind w:firstLine="1470" w:firstLineChars="700"/>
        <w:rPr>
          <w:rFonts w:ascii="Arial" w:hAnsi="Arial"/>
          <w:color w:val="auto"/>
          <w:highlight w:val="none"/>
        </w:rPr>
      </w:pPr>
      <w:r>
        <w:rPr>
          <w:rFonts w:hint="eastAsia" w:ascii="Arial" w:hAnsi="Arial"/>
          <w:color w:val="auto"/>
          <w:highlight w:val="none"/>
        </w:rPr>
        <w:t>法定代表人（或分公司负责人）或其授权代表（签字或盖章）：</w:t>
      </w:r>
    </w:p>
    <w:p w14:paraId="1F68D919">
      <w:pPr>
        <w:tabs>
          <w:tab w:val="left" w:pos="4635"/>
        </w:tabs>
        <w:spacing w:line="360" w:lineRule="auto"/>
        <w:ind w:left="3826" w:leftChars="1822" w:right="840" w:firstLine="1890" w:firstLineChars="900"/>
        <w:rPr>
          <w:rFonts w:ascii="Arial" w:hAnsi="Arial"/>
          <w:color w:val="auto"/>
          <w:highlight w:val="none"/>
        </w:rPr>
      </w:pPr>
      <w:r>
        <w:rPr>
          <w:rFonts w:hint="eastAsia" w:ascii="Arial" w:hAnsi="Arial"/>
          <w:color w:val="auto"/>
          <w:highlight w:val="none"/>
        </w:rPr>
        <w:t>日   期：</w:t>
      </w:r>
      <w:r>
        <w:rPr>
          <w:rFonts w:hint="eastAsia" w:ascii="宋体" w:hAnsi="宋体"/>
          <w:color w:val="auto"/>
          <w:szCs w:val="21"/>
          <w:highlight w:val="none"/>
        </w:rPr>
        <w:t xml:space="preserve">     年   月   日</w:t>
      </w:r>
    </w:p>
    <w:p w14:paraId="0C6EA1E1">
      <w:pPr>
        <w:tabs>
          <w:tab w:val="left" w:pos="4635"/>
        </w:tabs>
        <w:spacing w:line="360" w:lineRule="auto"/>
        <w:ind w:left="3826" w:leftChars="1822" w:right="840"/>
        <w:rPr>
          <w:rFonts w:ascii="Arial" w:hAnsi="Arial"/>
          <w:color w:val="auto"/>
          <w:highlight w:val="none"/>
        </w:rPr>
      </w:pPr>
    </w:p>
    <w:p w14:paraId="42A5B81A">
      <w:pPr>
        <w:tabs>
          <w:tab w:val="left" w:pos="4635"/>
        </w:tabs>
        <w:spacing w:line="360" w:lineRule="auto"/>
        <w:ind w:left="3826" w:leftChars="1822" w:right="840"/>
        <w:rPr>
          <w:rFonts w:ascii="Arial" w:hAnsi="Arial"/>
          <w:color w:val="auto"/>
          <w:highlight w:val="none"/>
        </w:rPr>
      </w:pPr>
    </w:p>
    <w:p w14:paraId="382D8104">
      <w:pPr>
        <w:tabs>
          <w:tab w:val="left" w:pos="4635"/>
        </w:tabs>
        <w:spacing w:line="360" w:lineRule="auto"/>
        <w:ind w:left="3826" w:leftChars="1822" w:right="840"/>
        <w:rPr>
          <w:rFonts w:ascii="Arial" w:hAnsi="Arial"/>
          <w:color w:val="auto"/>
          <w:highlight w:val="none"/>
        </w:rPr>
      </w:pPr>
    </w:p>
    <w:p w14:paraId="2F40ADBE">
      <w:pPr>
        <w:pageBreakBefore/>
        <w:spacing w:beforeLines="50" w:afterLines="50" w:line="360" w:lineRule="atLeast"/>
        <w:jc w:val="center"/>
        <w:outlineLvl w:val="1"/>
        <w:rPr>
          <w:color w:val="auto"/>
          <w:highlight w:val="none"/>
        </w:rPr>
      </w:pPr>
      <w:bookmarkStart w:id="130" w:name="_Toc26600"/>
      <w:bookmarkStart w:id="131" w:name="_Toc30390"/>
      <w:bookmarkStart w:id="132" w:name="_Toc4392"/>
      <w:bookmarkStart w:id="133" w:name="_Toc8331"/>
      <w:bookmarkStart w:id="134" w:name="_Toc24416"/>
      <w:bookmarkStart w:id="135" w:name="_Toc405556628"/>
      <w:r>
        <w:rPr>
          <w:rFonts w:hint="eastAsia"/>
          <w:b/>
          <w:bCs/>
          <w:color w:val="auto"/>
          <w:sz w:val="24"/>
          <w:highlight w:val="none"/>
        </w:rPr>
        <w:t>附件二-1  法定代表人或分公司负责人授权书</w:t>
      </w:r>
      <w:bookmarkEnd w:id="130"/>
      <w:bookmarkEnd w:id="131"/>
      <w:bookmarkEnd w:id="132"/>
      <w:bookmarkEnd w:id="133"/>
      <w:bookmarkEnd w:id="134"/>
      <w:bookmarkEnd w:id="135"/>
    </w:p>
    <w:p w14:paraId="57B4845F">
      <w:pPr>
        <w:spacing w:beforeLines="100" w:line="360" w:lineRule="auto"/>
        <w:rPr>
          <w:rFonts w:ascii="宋体" w:hAnsi="宋体"/>
          <w:color w:val="auto"/>
          <w:highlight w:val="none"/>
        </w:rPr>
      </w:pPr>
      <w:r>
        <w:rPr>
          <w:rFonts w:hint="eastAsia" w:ascii="Arial" w:hAnsi="Arial"/>
          <w:b/>
          <w:color w:val="auto"/>
          <w:sz w:val="24"/>
          <w:highlight w:val="none"/>
          <w:u w:val="single"/>
        </w:rPr>
        <w:t>瑞安市卫生健康局</w:t>
      </w:r>
      <w:r>
        <w:rPr>
          <w:rFonts w:hint="eastAsia" w:ascii="宋体" w:hAnsi="宋体"/>
          <w:color w:val="auto"/>
          <w:highlight w:val="none"/>
        </w:rPr>
        <w:t>：</w:t>
      </w:r>
    </w:p>
    <w:p w14:paraId="1FA576F1">
      <w:pPr>
        <w:snapToGrid w:val="0"/>
        <w:spacing w:beforeLines="50" w:after="50" w:line="480" w:lineRule="exact"/>
        <w:ind w:firstLine="630" w:firstLineChars="300"/>
        <w:rPr>
          <w:rFonts w:ascii="宋体" w:hAnsi="宋体"/>
          <w:color w:val="auto"/>
          <w:highlight w:val="none"/>
        </w:rPr>
      </w:pPr>
      <w:r>
        <w:rPr>
          <w:rFonts w:hint="eastAsia" w:ascii="宋体" w:hAnsi="宋体"/>
          <w:color w:val="auto"/>
          <w:highlight w:val="none"/>
        </w:rPr>
        <w:t>本授权委托书声明：我</w:t>
      </w:r>
      <w:r>
        <w:rPr>
          <w:rFonts w:hint="eastAsia" w:ascii="宋体" w:hAnsi="宋体"/>
          <w:color w:val="auto"/>
          <w:highlight w:val="none"/>
          <w:u w:val="single"/>
        </w:rPr>
        <w:t xml:space="preserve">（法定代表人或分公司负责人姓名）     </w:t>
      </w:r>
      <w:r>
        <w:rPr>
          <w:rFonts w:hint="eastAsia" w:ascii="宋体" w:hAnsi="宋体"/>
          <w:color w:val="auto"/>
          <w:highlight w:val="none"/>
        </w:rPr>
        <w:t>系</w:t>
      </w:r>
      <w:r>
        <w:rPr>
          <w:rFonts w:hint="eastAsia" w:ascii="宋体" w:hAnsi="宋体"/>
          <w:color w:val="auto"/>
          <w:highlight w:val="none"/>
          <w:u w:val="single"/>
        </w:rPr>
        <w:t xml:space="preserve">  （投标人名称）         </w:t>
      </w:r>
      <w:r>
        <w:rPr>
          <w:rFonts w:hint="eastAsia" w:ascii="宋体" w:hAnsi="宋体"/>
          <w:color w:val="auto"/>
          <w:highlight w:val="none"/>
        </w:rPr>
        <w:t>的法定代表人(或分公司负责人)，现授权委托本单位正式职工：</w:t>
      </w:r>
      <w:r>
        <w:rPr>
          <w:rFonts w:hint="eastAsia" w:ascii="宋体" w:hAnsi="宋体"/>
          <w:color w:val="auto"/>
          <w:highlight w:val="none"/>
          <w:u w:val="single"/>
        </w:rPr>
        <w:t xml:space="preserve">（授权代表姓名）     </w:t>
      </w:r>
      <w:r>
        <w:rPr>
          <w:rFonts w:hint="eastAsia" w:ascii="宋体" w:hAnsi="宋体"/>
          <w:color w:val="auto"/>
          <w:highlight w:val="none"/>
        </w:rPr>
        <w:t>为我公司法定代表人(或分公司负责人)授权代表，参加贵处组织的</w:t>
      </w:r>
      <w:r>
        <w:rPr>
          <w:rFonts w:hint="eastAsia" w:ascii="宋体" w:hAnsi="宋体"/>
          <w:color w:val="auto"/>
          <w:highlight w:val="none"/>
          <w:u w:val="single"/>
          <w:lang w:eastAsia="zh-CN"/>
        </w:rPr>
        <w:t>瑞安市基层卫生服务中心</w:t>
      </w:r>
      <w:r>
        <w:rPr>
          <w:rFonts w:hint="eastAsia" w:ascii="宋体" w:hAnsi="宋体"/>
          <w:color w:val="auto"/>
          <w:highlight w:val="none"/>
          <w:u w:val="single"/>
        </w:rPr>
        <w:t>专用账户开立招投标项目</w:t>
      </w:r>
      <w:r>
        <w:rPr>
          <w:rFonts w:hint="eastAsia" w:ascii="宋体" w:hAnsi="宋体"/>
          <w:color w:val="auto"/>
          <w:highlight w:val="none"/>
        </w:rPr>
        <w:t>投标，全权处理本次招投标活动中的一切事宜，并代表我方全权办理针对上述项目的投标、开标、评标、签约等具体事务和签署相关文件。</w:t>
      </w:r>
    </w:p>
    <w:p w14:paraId="5AC4B01F">
      <w:pPr>
        <w:snapToGrid w:val="0"/>
        <w:spacing w:beforeLines="50" w:after="50" w:line="480" w:lineRule="exact"/>
        <w:rPr>
          <w:rFonts w:ascii="宋体" w:hAnsi="宋体"/>
          <w:color w:val="auto"/>
          <w:highlight w:val="none"/>
        </w:rPr>
      </w:pPr>
      <w:r>
        <w:rPr>
          <w:rFonts w:hint="eastAsia" w:ascii="宋体" w:hAnsi="宋体"/>
          <w:color w:val="auto"/>
          <w:highlight w:val="none"/>
        </w:rPr>
        <w:t>我方对被授权人的签名负全部责任。</w:t>
      </w:r>
    </w:p>
    <w:p w14:paraId="375855C0">
      <w:pPr>
        <w:snapToGrid w:val="0"/>
        <w:spacing w:beforeLines="50" w:after="50" w:line="480" w:lineRule="exact"/>
        <w:ind w:firstLine="480"/>
        <w:rPr>
          <w:rFonts w:ascii="宋体" w:hAnsi="宋体"/>
          <w:color w:val="auto"/>
          <w:highlight w:val="none"/>
        </w:rPr>
      </w:pPr>
      <w:r>
        <w:rPr>
          <w:rFonts w:hint="eastAsia" w:ascii="宋体" w:hAnsi="宋体"/>
          <w:color w:val="auto"/>
          <w:highlight w:val="none"/>
        </w:rPr>
        <w:t>在撤销授权的书面通知以前，本授权书一直有效。被授权人在授权书有效期内签署的所有文件不因授权的撤销而失效。</w:t>
      </w:r>
    </w:p>
    <w:p w14:paraId="659A80EF">
      <w:pPr>
        <w:spacing w:line="480" w:lineRule="exact"/>
        <w:ind w:firstLine="612"/>
        <w:rPr>
          <w:rFonts w:ascii="宋体" w:hAnsi="宋体"/>
          <w:color w:val="auto"/>
          <w:highlight w:val="none"/>
        </w:rPr>
      </w:pPr>
      <w:r>
        <w:rPr>
          <w:rFonts w:hint="eastAsia" w:ascii="宋体" w:hAnsi="宋体"/>
          <w:color w:val="auto"/>
          <w:highlight w:val="none"/>
        </w:rPr>
        <w:t>被授权人无转委托权，特此委托。</w:t>
      </w:r>
    </w:p>
    <w:p w14:paraId="0602F521">
      <w:pPr>
        <w:spacing w:line="360" w:lineRule="auto"/>
        <w:ind w:firstLine="697"/>
        <w:rPr>
          <w:rFonts w:ascii="宋体" w:hAnsi="宋体"/>
          <w:color w:val="auto"/>
          <w:highlight w:val="none"/>
        </w:rPr>
      </w:pPr>
    </w:p>
    <w:p w14:paraId="7F6155C3">
      <w:pPr>
        <w:pStyle w:val="23"/>
        <w:rPr>
          <w:color w:val="auto"/>
          <w:highlight w:val="none"/>
        </w:rPr>
      </w:pPr>
    </w:p>
    <w:p w14:paraId="4C12BE21">
      <w:pPr>
        <w:spacing w:line="480" w:lineRule="auto"/>
        <w:ind w:firstLine="5145" w:firstLineChars="2450"/>
        <w:rPr>
          <w:rFonts w:ascii="Arial" w:hAnsi="Arial"/>
          <w:color w:val="auto"/>
          <w:highlight w:val="none"/>
        </w:rPr>
      </w:pPr>
      <w:r>
        <w:rPr>
          <w:rFonts w:hint="eastAsia" w:ascii="Arial" w:hAnsi="Arial"/>
          <w:color w:val="auto"/>
          <w:highlight w:val="none"/>
        </w:rPr>
        <w:t>投标人全称（盖章）：</w:t>
      </w:r>
    </w:p>
    <w:p w14:paraId="5D5827C7">
      <w:pPr>
        <w:spacing w:line="480" w:lineRule="auto"/>
        <w:ind w:firstLine="2940" w:firstLineChars="1400"/>
        <w:rPr>
          <w:rFonts w:ascii="Arial" w:hAnsi="Arial"/>
          <w:color w:val="auto"/>
          <w:highlight w:val="none"/>
        </w:rPr>
      </w:pPr>
      <w:r>
        <w:rPr>
          <w:rFonts w:hint="eastAsia" w:ascii="Arial" w:hAnsi="Arial"/>
          <w:color w:val="auto"/>
          <w:highlight w:val="none"/>
        </w:rPr>
        <w:t>法定代表人或分公司负责人（签字或盖章）：</w:t>
      </w:r>
    </w:p>
    <w:p w14:paraId="5684B0B4">
      <w:pPr>
        <w:spacing w:line="480" w:lineRule="auto"/>
        <w:ind w:firstLine="5985" w:firstLineChars="2850"/>
        <w:rPr>
          <w:rFonts w:ascii="Arial" w:hAnsi="Arial"/>
          <w:color w:val="auto"/>
          <w:highlight w:val="none"/>
        </w:rPr>
      </w:pPr>
      <w:r>
        <w:rPr>
          <w:rFonts w:hint="eastAsia" w:ascii="Arial" w:hAnsi="Arial"/>
          <w:color w:val="auto"/>
          <w:highlight w:val="none"/>
        </w:rPr>
        <w:t>日    期：</w:t>
      </w:r>
      <w:r>
        <w:rPr>
          <w:rFonts w:hint="eastAsia" w:ascii="宋体" w:hAnsi="宋体"/>
          <w:color w:val="auto"/>
          <w:szCs w:val="21"/>
          <w:highlight w:val="none"/>
        </w:rPr>
        <w:t xml:space="preserve">     年   月   日</w:t>
      </w:r>
    </w:p>
    <w:p w14:paraId="038D5D53">
      <w:pPr>
        <w:spacing w:line="360" w:lineRule="auto"/>
        <w:rPr>
          <w:rFonts w:ascii="宋体" w:hAnsi="宋体"/>
          <w:b/>
          <w:bCs/>
          <w:color w:val="auto"/>
          <w:highlight w:val="none"/>
        </w:rPr>
      </w:pPr>
    </w:p>
    <w:p w14:paraId="6219137C">
      <w:pPr>
        <w:spacing w:line="360" w:lineRule="auto"/>
        <w:rPr>
          <w:rFonts w:ascii="宋体" w:hAnsi="宋体"/>
          <w:b/>
          <w:bCs/>
          <w:color w:val="auto"/>
          <w:highlight w:val="none"/>
        </w:rPr>
      </w:pPr>
      <w:r>
        <w:rPr>
          <w:rFonts w:hint="eastAsia" w:ascii="宋体" w:hAnsi="宋体"/>
          <w:b/>
          <w:bCs/>
          <w:color w:val="auto"/>
          <w:highlight w:val="none"/>
        </w:rPr>
        <w:t>附：</w:t>
      </w:r>
      <w:r>
        <w:rPr>
          <w:rFonts w:ascii="Arial" w:cs="Arial"/>
          <w:b/>
          <w:bCs/>
          <w:color w:val="auto"/>
          <w:highlight w:val="none"/>
        </w:rPr>
        <w:t>投标人授权代表身份证扫描件</w:t>
      </w:r>
    </w:p>
    <w:p w14:paraId="5D13CB4A">
      <w:pPr>
        <w:spacing w:line="360" w:lineRule="auto"/>
        <w:ind w:left="601" w:leftChars="286" w:firstLine="329" w:firstLineChars="157"/>
        <w:rPr>
          <w:rFonts w:ascii="宋体" w:hAnsi="宋体"/>
          <w:color w:val="auto"/>
          <w:highlight w:val="none"/>
        </w:rPr>
      </w:pPr>
      <w:r>
        <w:rPr>
          <w:rFonts w:hint="eastAsia" w:ascii="宋体" w:hAnsi="宋体"/>
          <w:color w:val="auto"/>
          <w:highlight w:val="none"/>
        </w:rPr>
        <w:t>授权代表姓名：</w:t>
      </w:r>
    </w:p>
    <w:p w14:paraId="0CD20507">
      <w:pPr>
        <w:spacing w:line="360" w:lineRule="auto"/>
        <w:ind w:firstLine="909" w:firstLineChars="433"/>
        <w:rPr>
          <w:rFonts w:ascii="宋体" w:hAnsi="宋体"/>
          <w:color w:val="auto"/>
          <w:highlight w:val="none"/>
        </w:rPr>
      </w:pPr>
      <w:r>
        <w:rPr>
          <w:rFonts w:hint="eastAsia" w:ascii="宋体" w:hAnsi="宋体"/>
          <w:color w:val="auto"/>
          <w:highlight w:val="none"/>
        </w:rPr>
        <w:t>职  务：</w:t>
      </w:r>
    </w:p>
    <w:p w14:paraId="63CA208C">
      <w:pPr>
        <w:spacing w:line="360" w:lineRule="auto"/>
        <w:ind w:firstLine="924" w:firstLineChars="440"/>
        <w:rPr>
          <w:rFonts w:ascii="宋体" w:hAnsi="宋体"/>
          <w:color w:val="auto"/>
          <w:highlight w:val="none"/>
        </w:rPr>
      </w:pPr>
      <w:r>
        <w:rPr>
          <w:rFonts w:hint="eastAsia" w:ascii="宋体" w:hAnsi="宋体"/>
          <w:color w:val="auto"/>
          <w:highlight w:val="none"/>
        </w:rPr>
        <w:t>详细通讯地址：</w:t>
      </w:r>
    </w:p>
    <w:p w14:paraId="4D004A70">
      <w:pPr>
        <w:spacing w:line="360" w:lineRule="auto"/>
        <w:ind w:firstLine="924" w:firstLineChars="440"/>
        <w:rPr>
          <w:rFonts w:ascii="宋体" w:hAnsi="宋体"/>
          <w:color w:val="auto"/>
          <w:highlight w:val="none"/>
        </w:rPr>
      </w:pPr>
      <w:r>
        <w:rPr>
          <w:rFonts w:hint="eastAsia" w:ascii="宋体" w:hAnsi="宋体"/>
          <w:color w:val="auto"/>
          <w:highlight w:val="none"/>
        </w:rPr>
        <w:t>传  真：</w:t>
      </w:r>
    </w:p>
    <w:p w14:paraId="12543060">
      <w:pPr>
        <w:spacing w:line="360" w:lineRule="auto"/>
        <w:ind w:firstLine="924" w:firstLineChars="440"/>
        <w:rPr>
          <w:rFonts w:ascii="宋体" w:hAnsi="宋体"/>
          <w:color w:val="auto"/>
          <w:highlight w:val="none"/>
        </w:rPr>
      </w:pPr>
      <w:r>
        <w:rPr>
          <w:rFonts w:hint="eastAsia" w:ascii="宋体" w:hAnsi="宋体"/>
          <w:color w:val="auto"/>
          <w:highlight w:val="none"/>
        </w:rPr>
        <w:t>电  话：</w:t>
      </w:r>
    </w:p>
    <w:p w14:paraId="0509741D">
      <w:pPr>
        <w:spacing w:line="360" w:lineRule="auto"/>
        <w:ind w:firstLine="924" w:firstLineChars="440"/>
        <w:rPr>
          <w:rFonts w:ascii="宋体" w:hAnsi="宋体"/>
          <w:color w:val="auto"/>
          <w:highlight w:val="none"/>
        </w:rPr>
      </w:pPr>
      <w:r>
        <w:rPr>
          <w:rFonts w:hint="eastAsia" w:ascii="宋体" w:hAnsi="宋体"/>
          <w:color w:val="auto"/>
          <w:highlight w:val="none"/>
        </w:rPr>
        <w:t>邮政编码：</w:t>
      </w:r>
    </w:p>
    <w:p w14:paraId="385C6E77">
      <w:pPr>
        <w:spacing w:line="360" w:lineRule="auto"/>
        <w:ind w:firstLine="3150" w:firstLineChars="1500"/>
        <w:jc w:val="right"/>
        <w:rPr>
          <w:color w:val="auto"/>
          <w:highlight w:val="none"/>
        </w:rPr>
      </w:pPr>
    </w:p>
    <w:p w14:paraId="57D866B9">
      <w:pPr>
        <w:spacing w:beforeLines="50" w:afterLines="50" w:line="360" w:lineRule="atLeast"/>
        <w:jc w:val="center"/>
        <w:outlineLvl w:val="1"/>
        <w:rPr>
          <w:b/>
          <w:bCs/>
          <w:color w:val="auto"/>
          <w:sz w:val="24"/>
          <w:highlight w:val="none"/>
        </w:rPr>
      </w:pPr>
      <w:bookmarkStart w:id="136" w:name="_Toc360039959"/>
      <w:bookmarkStart w:id="137" w:name="_Toc28099"/>
      <w:bookmarkStart w:id="138" w:name="_Toc383173868"/>
      <w:bookmarkStart w:id="139" w:name="_Toc660"/>
      <w:bookmarkStart w:id="140" w:name="_Toc356553241"/>
      <w:bookmarkStart w:id="141" w:name="_Toc384370003"/>
      <w:bookmarkStart w:id="142" w:name="_Toc18260"/>
      <w:bookmarkStart w:id="143" w:name="_Toc376414486"/>
      <w:bookmarkStart w:id="144" w:name="_Toc447612875"/>
      <w:bookmarkStart w:id="145" w:name="_Toc392161690"/>
      <w:r>
        <w:rPr>
          <w:rFonts w:hint="eastAsia"/>
          <w:b/>
          <w:bCs/>
          <w:color w:val="auto"/>
          <w:sz w:val="24"/>
          <w:highlight w:val="none"/>
        </w:rPr>
        <w:br w:type="page"/>
      </w:r>
      <w:bookmarkStart w:id="146" w:name="_Toc14921"/>
      <w:bookmarkStart w:id="147" w:name="_Toc2491"/>
      <w:r>
        <w:rPr>
          <w:rFonts w:hint="eastAsia"/>
          <w:b/>
          <w:bCs/>
          <w:color w:val="auto"/>
          <w:sz w:val="24"/>
          <w:highlight w:val="none"/>
        </w:rPr>
        <w:t>附件二-2  法定代表人或分公司负责人身份证明</w:t>
      </w:r>
      <w:bookmarkEnd w:id="136"/>
      <w:bookmarkEnd w:id="137"/>
      <w:bookmarkEnd w:id="138"/>
      <w:bookmarkEnd w:id="139"/>
      <w:bookmarkEnd w:id="140"/>
      <w:bookmarkEnd w:id="141"/>
      <w:bookmarkEnd w:id="142"/>
      <w:bookmarkEnd w:id="143"/>
      <w:bookmarkEnd w:id="144"/>
      <w:bookmarkEnd w:id="145"/>
      <w:bookmarkEnd w:id="146"/>
      <w:bookmarkEnd w:id="147"/>
    </w:p>
    <w:p w14:paraId="307C8905">
      <w:pPr>
        <w:spacing w:line="360" w:lineRule="auto"/>
        <w:rPr>
          <w:rFonts w:ascii="宋体" w:hAnsi="宋体"/>
          <w:b/>
          <w:color w:val="auto"/>
          <w:highlight w:val="none"/>
        </w:rPr>
      </w:pPr>
    </w:p>
    <w:p w14:paraId="745F530C">
      <w:pPr>
        <w:spacing w:line="360" w:lineRule="auto"/>
        <w:ind w:firstLine="612"/>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7B6C0069">
      <w:pPr>
        <w:spacing w:line="360" w:lineRule="auto"/>
        <w:ind w:firstLine="610"/>
        <w:rPr>
          <w:rFonts w:ascii="宋体" w:hAnsi="宋体"/>
          <w:color w:val="auto"/>
          <w:highlight w:val="none"/>
          <w:u w:val="single"/>
        </w:rPr>
      </w:pPr>
      <w:r>
        <w:rPr>
          <w:rFonts w:hint="eastAsia" w:ascii="宋体" w:hAnsi="宋体"/>
          <w:color w:val="auto"/>
          <w:highlight w:val="none"/>
        </w:rPr>
        <w:t>单位性质：</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73F89D77">
      <w:pPr>
        <w:spacing w:line="360" w:lineRule="auto"/>
        <w:ind w:firstLine="610"/>
        <w:rPr>
          <w:rFonts w:ascii="宋体" w:hAnsi="宋体"/>
          <w:color w:val="auto"/>
          <w:highlight w:val="none"/>
          <w:u w:val="single"/>
        </w:rPr>
      </w:pPr>
      <w:r>
        <w:rPr>
          <w:rFonts w:hint="eastAsia" w:ascii="宋体" w:hAnsi="宋体"/>
          <w:color w:val="auto"/>
          <w:highlight w:val="none"/>
        </w:rPr>
        <w:t>地</w:t>
      </w:r>
      <w:r>
        <w:rPr>
          <w:rFonts w:ascii="宋体" w:hAnsi="宋体"/>
          <w:color w:val="auto"/>
          <w:highlight w:val="none"/>
        </w:rPr>
        <w:t xml:space="preserve">    址：</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34C4A790">
      <w:pPr>
        <w:spacing w:line="360" w:lineRule="auto"/>
        <w:ind w:firstLine="610"/>
        <w:rPr>
          <w:rFonts w:ascii="宋体" w:hAnsi="宋体"/>
          <w:color w:val="auto"/>
          <w:highlight w:val="none"/>
        </w:rPr>
      </w:pPr>
      <w:r>
        <w:rPr>
          <w:rFonts w:hint="eastAsia" w:ascii="宋体" w:hAnsi="宋体"/>
          <w:color w:val="auto"/>
          <w:highlight w:val="none"/>
        </w:rPr>
        <w:t>成立时间：年月日</w:t>
      </w:r>
    </w:p>
    <w:p w14:paraId="2EE5A4E1">
      <w:pPr>
        <w:spacing w:line="360" w:lineRule="auto"/>
        <w:ind w:firstLine="610"/>
        <w:rPr>
          <w:rFonts w:ascii="宋体" w:hAnsi="宋体"/>
          <w:color w:val="auto"/>
          <w:highlight w:val="none"/>
          <w:u w:val="single"/>
        </w:rPr>
      </w:pPr>
      <w:r>
        <w:rPr>
          <w:rFonts w:hint="eastAsia" w:ascii="宋体" w:hAnsi="宋体"/>
          <w:color w:val="auto"/>
          <w:highlight w:val="none"/>
        </w:rPr>
        <w:t>经营期限：</w:t>
      </w:r>
      <w:r>
        <w:rPr>
          <w:rFonts w:hint="eastAsia" w:ascii="宋体" w:hAnsi="宋体"/>
          <w:color w:val="auto"/>
          <w:highlight w:val="none"/>
          <w:u w:val="single"/>
        </w:rPr>
        <w:tab/>
      </w:r>
      <w:r>
        <w:rPr>
          <w:rFonts w:hint="eastAsia" w:ascii="宋体" w:hAnsi="宋体"/>
          <w:color w:val="auto"/>
          <w:highlight w:val="none"/>
          <w:u w:val="single"/>
        </w:rPr>
        <w:tab/>
      </w:r>
    </w:p>
    <w:p w14:paraId="6AE64BE6">
      <w:pPr>
        <w:spacing w:line="360" w:lineRule="auto"/>
        <w:ind w:firstLine="610"/>
        <w:rPr>
          <w:rFonts w:ascii="宋体" w:hAnsi="宋体"/>
          <w:color w:val="auto"/>
          <w:highlight w:val="none"/>
          <w:u w:val="single"/>
        </w:rPr>
      </w:pPr>
      <w:r>
        <w:rPr>
          <w:rFonts w:hint="eastAsia" w:ascii="宋体" w:hAnsi="宋体"/>
          <w:color w:val="auto"/>
          <w:highlight w:val="none"/>
        </w:rPr>
        <w:t>姓</w:t>
      </w:r>
      <w:r>
        <w:rPr>
          <w:rFonts w:ascii="宋体" w:hAnsi="宋体"/>
          <w:color w:val="auto"/>
          <w:highlight w:val="none"/>
        </w:rPr>
        <w:t xml:space="preserve">    名： 性别：</w:t>
      </w:r>
    </w:p>
    <w:p w14:paraId="10B2AAF6">
      <w:pPr>
        <w:spacing w:line="360" w:lineRule="auto"/>
        <w:ind w:firstLine="610"/>
        <w:rPr>
          <w:rFonts w:ascii="宋体" w:hAnsi="宋体"/>
          <w:color w:val="auto"/>
          <w:highlight w:val="none"/>
          <w:u w:val="single"/>
        </w:rPr>
      </w:pPr>
      <w:r>
        <w:rPr>
          <w:rFonts w:ascii="宋体" w:hAnsi="宋体"/>
          <w:color w:val="auto"/>
          <w:highlight w:val="none"/>
        </w:rPr>
        <w:t>年龄： 职务：</w:t>
      </w:r>
      <w:r>
        <w:rPr>
          <w:rFonts w:hint="eastAsia" w:ascii="宋体" w:hAnsi="宋体"/>
          <w:color w:val="auto"/>
          <w:highlight w:val="none"/>
          <w:u w:val="single"/>
        </w:rPr>
        <w:tab/>
      </w:r>
      <w:r>
        <w:rPr>
          <w:rFonts w:hint="eastAsia" w:ascii="宋体" w:hAnsi="宋体"/>
          <w:color w:val="auto"/>
          <w:highlight w:val="none"/>
          <w:u w:val="single"/>
        </w:rPr>
        <w:tab/>
      </w:r>
    </w:p>
    <w:p w14:paraId="28F8A7AE">
      <w:pPr>
        <w:spacing w:line="360" w:lineRule="auto"/>
        <w:ind w:firstLine="610"/>
        <w:rPr>
          <w:rFonts w:ascii="宋体" w:hAnsi="宋体"/>
          <w:color w:val="auto"/>
          <w:highlight w:val="none"/>
        </w:rPr>
      </w:pPr>
      <w:r>
        <w:rPr>
          <w:rFonts w:hint="eastAsia" w:ascii="宋体" w:hAnsi="宋体"/>
          <w:color w:val="auto"/>
          <w:highlight w:val="none"/>
        </w:rPr>
        <w:t>系</w:t>
      </w:r>
      <w:r>
        <w:rPr>
          <w:rFonts w:ascii="宋体" w:hAnsi="宋体"/>
          <w:color w:val="auto"/>
          <w:highlight w:val="none"/>
          <w:u w:val="single"/>
        </w:rPr>
        <w:t xml:space="preserve">          （投标</w:t>
      </w:r>
      <w:r>
        <w:rPr>
          <w:rFonts w:hint="eastAsia" w:ascii="宋体" w:hAnsi="宋体"/>
          <w:color w:val="auto"/>
          <w:highlight w:val="none"/>
          <w:u w:val="single"/>
        </w:rPr>
        <w:t>人</w:t>
      </w:r>
      <w:r>
        <w:rPr>
          <w:rFonts w:ascii="宋体" w:hAnsi="宋体"/>
          <w:color w:val="auto"/>
          <w:highlight w:val="none"/>
          <w:u w:val="single"/>
        </w:rPr>
        <w:t xml:space="preserve">单位名称）         </w:t>
      </w:r>
      <w:r>
        <w:rPr>
          <w:rFonts w:hint="eastAsia" w:ascii="宋体" w:hAnsi="宋体"/>
          <w:color w:val="auto"/>
          <w:highlight w:val="none"/>
        </w:rPr>
        <w:t>的法定代表人（或分公司负责人）。</w:t>
      </w:r>
    </w:p>
    <w:p w14:paraId="60D731FC">
      <w:pPr>
        <w:tabs>
          <w:tab w:val="left" w:pos="720"/>
          <w:tab w:val="left" w:pos="900"/>
        </w:tabs>
        <w:spacing w:line="360" w:lineRule="auto"/>
        <w:ind w:firstLine="567" w:firstLineChars="270"/>
        <w:rPr>
          <w:rFonts w:ascii="宋体" w:hAnsi="宋体"/>
          <w:color w:val="auto"/>
          <w:highlight w:val="none"/>
        </w:rPr>
      </w:pPr>
      <w:r>
        <w:rPr>
          <w:rFonts w:hint="eastAsia" w:ascii="宋体" w:hAnsi="宋体"/>
          <w:color w:val="auto"/>
          <w:highlight w:val="none"/>
        </w:rPr>
        <w:t>特此</w:t>
      </w:r>
      <w:r>
        <w:rPr>
          <w:rFonts w:ascii="宋体" w:hAnsi="宋体"/>
          <w:color w:val="auto"/>
          <w:highlight w:val="none"/>
        </w:rPr>
        <w:t>证明。</w:t>
      </w:r>
    </w:p>
    <w:p w14:paraId="39BEAF02">
      <w:pPr>
        <w:tabs>
          <w:tab w:val="left" w:pos="720"/>
          <w:tab w:val="left" w:pos="900"/>
        </w:tabs>
        <w:spacing w:line="360" w:lineRule="auto"/>
        <w:ind w:firstLine="567" w:firstLineChars="270"/>
        <w:rPr>
          <w:rFonts w:ascii="宋体" w:hAnsi="宋体"/>
          <w:color w:val="auto"/>
          <w:highlight w:val="none"/>
        </w:rPr>
      </w:pPr>
    </w:p>
    <w:p w14:paraId="0929577C">
      <w:pPr>
        <w:tabs>
          <w:tab w:val="left" w:pos="720"/>
          <w:tab w:val="left" w:pos="900"/>
        </w:tabs>
        <w:spacing w:line="360" w:lineRule="auto"/>
        <w:ind w:firstLine="567" w:firstLineChars="270"/>
        <w:rPr>
          <w:rFonts w:ascii="宋体" w:hAnsi="宋体"/>
          <w:color w:val="auto"/>
          <w:highlight w:val="none"/>
        </w:rPr>
      </w:pPr>
    </w:p>
    <w:p w14:paraId="08C52153">
      <w:pPr>
        <w:tabs>
          <w:tab w:val="left" w:pos="720"/>
          <w:tab w:val="left" w:pos="900"/>
        </w:tabs>
        <w:spacing w:line="360" w:lineRule="auto"/>
        <w:ind w:firstLine="567" w:firstLineChars="270"/>
        <w:rPr>
          <w:rFonts w:ascii="宋体" w:hAnsi="宋体"/>
          <w:color w:val="auto"/>
          <w:highlight w:val="none"/>
        </w:rPr>
      </w:pPr>
    </w:p>
    <w:p w14:paraId="713399F6">
      <w:pPr>
        <w:tabs>
          <w:tab w:val="left" w:pos="720"/>
          <w:tab w:val="left" w:pos="900"/>
        </w:tabs>
        <w:spacing w:line="360" w:lineRule="auto"/>
        <w:ind w:firstLine="569" w:firstLineChars="270"/>
        <w:rPr>
          <w:rFonts w:ascii="宋体" w:hAnsi="宋体"/>
          <w:b/>
          <w:bCs/>
          <w:color w:val="auto"/>
          <w:highlight w:val="none"/>
        </w:rPr>
      </w:pPr>
      <w:r>
        <w:rPr>
          <w:rFonts w:hint="eastAsia" w:ascii="宋体" w:hAnsi="宋体"/>
          <w:b/>
          <w:bCs/>
          <w:color w:val="auto"/>
          <w:highlight w:val="none"/>
        </w:rPr>
        <w:t>附法定代表人（或分公司负责人）身份</w:t>
      </w:r>
      <w:r>
        <w:rPr>
          <w:rFonts w:ascii="宋体" w:hAnsi="宋体"/>
          <w:b/>
          <w:bCs/>
          <w:color w:val="auto"/>
          <w:highlight w:val="none"/>
        </w:rPr>
        <w:t>证扫描件</w:t>
      </w:r>
    </w:p>
    <w:p w14:paraId="11403994">
      <w:pPr>
        <w:tabs>
          <w:tab w:val="left" w:pos="720"/>
          <w:tab w:val="left" w:pos="900"/>
        </w:tabs>
        <w:spacing w:line="360" w:lineRule="auto"/>
        <w:ind w:firstLine="4624" w:firstLineChars="2202"/>
        <w:rPr>
          <w:rFonts w:ascii="宋体" w:hAnsi="宋体"/>
          <w:color w:val="auto"/>
          <w:highlight w:val="none"/>
        </w:rPr>
      </w:pPr>
    </w:p>
    <w:p w14:paraId="14DCD9CA">
      <w:pPr>
        <w:tabs>
          <w:tab w:val="left" w:pos="720"/>
          <w:tab w:val="left" w:pos="900"/>
        </w:tabs>
        <w:spacing w:line="360" w:lineRule="auto"/>
        <w:ind w:firstLine="4624" w:firstLineChars="2202"/>
        <w:rPr>
          <w:rFonts w:ascii="宋体" w:hAnsi="宋体"/>
          <w:color w:val="auto"/>
          <w:highlight w:val="none"/>
        </w:rPr>
      </w:pPr>
    </w:p>
    <w:p w14:paraId="75955B4E">
      <w:pPr>
        <w:tabs>
          <w:tab w:val="left" w:pos="720"/>
          <w:tab w:val="left" w:pos="900"/>
        </w:tabs>
        <w:spacing w:line="360" w:lineRule="auto"/>
        <w:ind w:firstLine="4624" w:firstLineChars="2202"/>
        <w:rPr>
          <w:rFonts w:ascii="宋体" w:hAnsi="宋体"/>
          <w:color w:val="auto"/>
          <w:highlight w:val="none"/>
        </w:rPr>
      </w:pPr>
    </w:p>
    <w:p w14:paraId="00CC56A6">
      <w:pPr>
        <w:tabs>
          <w:tab w:val="left" w:pos="4635"/>
        </w:tabs>
        <w:spacing w:line="360" w:lineRule="auto"/>
        <w:ind w:right="840" w:firstLine="2730" w:firstLineChars="1300"/>
        <w:rPr>
          <w:rFonts w:ascii="Arial" w:hAnsi="Arial"/>
          <w:color w:val="auto"/>
          <w:highlight w:val="none"/>
        </w:rPr>
      </w:pPr>
      <w:r>
        <w:rPr>
          <w:rFonts w:hint="eastAsia" w:ascii="Arial" w:hAnsi="Arial"/>
          <w:color w:val="auto"/>
          <w:highlight w:val="none"/>
        </w:rPr>
        <w:t>投标人全称（公章）：</w:t>
      </w:r>
    </w:p>
    <w:p w14:paraId="692C005A">
      <w:pPr>
        <w:spacing w:beforeLines="100" w:afterLines="100" w:line="400" w:lineRule="atLeast"/>
        <w:ind w:firstLine="4200" w:firstLineChars="2000"/>
        <w:rPr>
          <w:rFonts w:ascii="宋体" w:hAnsi="宋体"/>
          <w:color w:val="auto"/>
          <w:szCs w:val="21"/>
          <w:highlight w:val="none"/>
        </w:rPr>
      </w:pPr>
      <w:r>
        <w:rPr>
          <w:rFonts w:hint="eastAsia" w:ascii="宋体" w:hAnsi="宋体"/>
          <w:color w:val="auto"/>
          <w:szCs w:val="21"/>
          <w:highlight w:val="none"/>
        </w:rPr>
        <w:t>日期：       年   月   日</w:t>
      </w:r>
    </w:p>
    <w:p w14:paraId="49BD8196">
      <w:pPr>
        <w:tabs>
          <w:tab w:val="left" w:pos="4532"/>
        </w:tabs>
        <w:spacing w:line="360" w:lineRule="auto"/>
        <w:ind w:firstLine="420" w:firstLineChars="200"/>
        <w:rPr>
          <w:color w:val="auto"/>
          <w:highlight w:val="none"/>
        </w:rPr>
      </w:pPr>
    </w:p>
    <w:p w14:paraId="11525A92">
      <w:pPr>
        <w:spacing w:beforeLines="50" w:afterLines="50" w:line="360" w:lineRule="atLeast"/>
        <w:jc w:val="center"/>
        <w:outlineLvl w:val="1"/>
        <w:rPr>
          <w:b/>
          <w:bCs/>
          <w:color w:val="auto"/>
          <w:sz w:val="24"/>
          <w:highlight w:val="none"/>
        </w:rPr>
      </w:pPr>
      <w:r>
        <w:rPr>
          <w:rFonts w:hint="eastAsia"/>
          <w:b/>
          <w:bCs/>
          <w:color w:val="auto"/>
          <w:sz w:val="24"/>
          <w:highlight w:val="none"/>
        </w:rPr>
        <w:br w:type="page"/>
      </w:r>
      <w:bookmarkStart w:id="148" w:name="_Toc26062"/>
      <w:bookmarkStart w:id="149" w:name="_Toc2750"/>
      <w:bookmarkStart w:id="150" w:name="_Toc22792"/>
      <w:bookmarkStart w:id="151" w:name="_Toc452412817"/>
      <w:bookmarkStart w:id="152" w:name="_Toc11661"/>
      <w:bookmarkStart w:id="153" w:name="_Toc15719"/>
      <w:bookmarkStart w:id="154" w:name="_Toc452412816"/>
      <w:bookmarkStart w:id="155" w:name="_Toc4844"/>
      <w:bookmarkStart w:id="156" w:name="_Toc9141"/>
      <w:bookmarkStart w:id="157" w:name="_Toc7241"/>
      <w:r>
        <w:rPr>
          <w:rFonts w:hint="eastAsia"/>
          <w:b/>
          <w:bCs/>
          <w:color w:val="auto"/>
          <w:sz w:val="24"/>
          <w:highlight w:val="none"/>
        </w:rPr>
        <w:t>附件三    投标人简介</w:t>
      </w:r>
      <w:bookmarkEnd w:id="148"/>
      <w:bookmarkEnd w:id="149"/>
      <w:bookmarkEnd w:id="150"/>
      <w:bookmarkEnd w:id="151"/>
      <w:bookmarkEnd w:id="152"/>
      <w:bookmarkEnd w:id="153"/>
    </w:p>
    <w:p w14:paraId="043E477A">
      <w:pPr>
        <w:spacing w:beforeLines="50" w:afterLines="50" w:line="360" w:lineRule="atLeast"/>
        <w:jc w:val="center"/>
        <w:rPr>
          <w:b/>
          <w:bCs/>
          <w:color w:val="auto"/>
          <w:sz w:val="24"/>
          <w:highlight w:val="none"/>
        </w:rPr>
      </w:pPr>
      <w:r>
        <w:rPr>
          <w:rFonts w:hint="eastAsia"/>
          <w:b/>
          <w:bCs/>
          <w:color w:val="auto"/>
          <w:sz w:val="24"/>
          <w:highlight w:val="none"/>
        </w:rPr>
        <w:br w:type="page"/>
      </w:r>
    </w:p>
    <w:p w14:paraId="5BEEB902">
      <w:pPr>
        <w:spacing w:beforeLines="50" w:afterLines="50" w:line="360" w:lineRule="atLeast"/>
        <w:jc w:val="center"/>
        <w:outlineLvl w:val="1"/>
        <w:rPr>
          <w:b/>
          <w:bCs/>
          <w:color w:val="auto"/>
          <w:sz w:val="24"/>
          <w:highlight w:val="none"/>
        </w:rPr>
      </w:pPr>
      <w:bookmarkStart w:id="158" w:name="_Toc12342"/>
      <w:bookmarkStart w:id="159" w:name="_Toc18672"/>
      <w:bookmarkStart w:id="160" w:name="_Toc5598"/>
      <w:bookmarkStart w:id="161" w:name="_Toc22488"/>
      <w:r>
        <w:rPr>
          <w:rFonts w:hint="eastAsia"/>
          <w:b/>
          <w:bCs/>
          <w:color w:val="auto"/>
          <w:sz w:val="24"/>
          <w:highlight w:val="none"/>
        </w:rPr>
        <w:t>附件四    投标人基本情况声明</w:t>
      </w:r>
      <w:bookmarkEnd w:id="154"/>
      <w:bookmarkEnd w:id="155"/>
      <w:bookmarkEnd w:id="158"/>
      <w:bookmarkEnd w:id="159"/>
      <w:bookmarkEnd w:id="160"/>
      <w:bookmarkEnd w:id="161"/>
    </w:p>
    <w:p w14:paraId="5D703DE3">
      <w:pPr>
        <w:tabs>
          <w:tab w:val="left" w:pos="4532"/>
        </w:tabs>
        <w:spacing w:line="360" w:lineRule="auto"/>
        <w:ind w:firstLine="420" w:firstLineChars="200"/>
        <w:rPr>
          <w:color w:val="auto"/>
          <w:highlight w:val="none"/>
        </w:rPr>
      </w:pPr>
      <w:r>
        <w:rPr>
          <w:rFonts w:hint="eastAsia"/>
          <w:color w:val="auto"/>
          <w:highlight w:val="none"/>
        </w:rPr>
        <w:t>（一）名称及其它资料：</w:t>
      </w:r>
    </w:p>
    <w:p w14:paraId="47C44A6E">
      <w:pPr>
        <w:tabs>
          <w:tab w:val="left" w:pos="4532"/>
        </w:tabs>
        <w:spacing w:line="360" w:lineRule="auto"/>
        <w:ind w:firstLine="420" w:firstLineChars="200"/>
        <w:rPr>
          <w:color w:val="auto"/>
          <w:highlight w:val="none"/>
        </w:rPr>
      </w:pPr>
      <w:r>
        <w:rPr>
          <w:rFonts w:hint="eastAsia"/>
          <w:color w:val="auto"/>
          <w:highlight w:val="none"/>
        </w:rPr>
        <w:t>银行名称：</w:t>
      </w:r>
    </w:p>
    <w:p w14:paraId="4DBB64C1">
      <w:pPr>
        <w:tabs>
          <w:tab w:val="left" w:pos="4532"/>
        </w:tabs>
        <w:spacing w:line="360" w:lineRule="auto"/>
        <w:ind w:firstLine="420" w:firstLineChars="200"/>
        <w:rPr>
          <w:color w:val="auto"/>
          <w:highlight w:val="none"/>
        </w:rPr>
      </w:pPr>
      <w:r>
        <w:rPr>
          <w:rFonts w:hint="eastAsia"/>
          <w:color w:val="auto"/>
          <w:highlight w:val="none"/>
        </w:rPr>
        <w:t>地址：</w:t>
      </w:r>
    </w:p>
    <w:p w14:paraId="3EA2ECFC">
      <w:pPr>
        <w:tabs>
          <w:tab w:val="left" w:pos="4532"/>
        </w:tabs>
        <w:spacing w:line="360" w:lineRule="auto"/>
        <w:ind w:firstLine="420" w:firstLineChars="200"/>
        <w:rPr>
          <w:color w:val="auto"/>
          <w:highlight w:val="none"/>
        </w:rPr>
      </w:pPr>
      <w:r>
        <w:rPr>
          <w:rFonts w:hint="eastAsia"/>
          <w:color w:val="auto"/>
          <w:highlight w:val="none"/>
        </w:rPr>
        <w:t>邮编：</w:t>
      </w:r>
    </w:p>
    <w:p w14:paraId="7FC20D3A">
      <w:pPr>
        <w:tabs>
          <w:tab w:val="left" w:pos="4532"/>
        </w:tabs>
        <w:spacing w:line="360" w:lineRule="auto"/>
        <w:ind w:firstLine="420" w:firstLineChars="200"/>
        <w:rPr>
          <w:color w:val="auto"/>
          <w:highlight w:val="none"/>
        </w:rPr>
      </w:pPr>
      <w:r>
        <w:rPr>
          <w:rFonts w:hint="eastAsia"/>
          <w:color w:val="auto"/>
          <w:highlight w:val="none"/>
        </w:rPr>
        <w:t>电话</w:t>
      </w:r>
      <w:r>
        <w:rPr>
          <w:color w:val="auto"/>
          <w:highlight w:val="none"/>
        </w:rPr>
        <w:t>/</w:t>
      </w:r>
      <w:r>
        <w:rPr>
          <w:rFonts w:hint="eastAsia"/>
          <w:color w:val="auto"/>
          <w:highlight w:val="none"/>
        </w:rPr>
        <w:t>传真：</w:t>
      </w:r>
    </w:p>
    <w:p w14:paraId="7C08BC35">
      <w:pPr>
        <w:tabs>
          <w:tab w:val="left" w:pos="4532"/>
        </w:tabs>
        <w:spacing w:line="360" w:lineRule="auto"/>
        <w:ind w:firstLine="420" w:firstLineChars="200"/>
        <w:rPr>
          <w:color w:val="auto"/>
          <w:highlight w:val="none"/>
        </w:rPr>
      </w:pPr>
      <w:r>
        <w:rPr>
          <w:rFonts w:hint="eastAsia"/>
          <w:color w:val="auto"/>
          <w:highlight w:val="none"/>
        </w:rPr>
        <w:t>成立日期或注册日期：</w:t>
      </w:r>
    </w:p>
    <w:p w14:paraId="31F3DB61">
      <w:pPr>
        <w:tabs>
          <w:tab w:val="left" w:pos="4532"/>
        </w:tabs>
        <w:spacing w:line="360" w:lineRule="auto"/>
        <w:ind w:firstLine="420" w:firstLineChars="200"/>
        <w:rPr>
          <w:color w:val="auto"/>
          <w:highlight w:val="none"/>
        </w:rPr>
      </w:pPr>
      <w:r>
        <w:rPr>
          <w:rFonts w:hint="eastAsia"/>
          <w:color w:val="auto"/>
          <w:highlight w:val="none"/>
        </w:rPr>
        <w:t>实收资本：</w:t>
      </w:r>
    </w:p>
    <w:p w14:paraId="7E3EED6C">
      <w:pPr>
        <w:tabs>
          <w:tab w:val="left" w:pos="4532"/>
        </w:tabs>
        <w:spacing w:line="360" w:lineRule="auto"/>
        <w:ind w:firstLine="420" w:firstLineChars="200"/>
        <w:rPr>
          <w:color w:val="auto"/>
          <w:highlight w:val="none"/>
        </w:rPr>
      </w:pPr>
      <w:r>
        <w:rPr>
          <w:rFonts w:hint="eastAsia"/>
          <w:color w:val="auto"/>
          <w:highlight w:val="none"/>
        </w:rPr>
        <w:t>最近资产负债表（到</w:t>
      </w:r>
      <w:r>
        <w:rPr>
          <w:rFonts w:hint="eastAsia"/>
          <w:color w:val="auto"/>
          <w:highlight w:val="none"/>
          <w:u w:val="single"/>
        </w:rPr>
        <w:t>2024年12月31日</w:t>
      </w:r>
      <w:r>
        <w:rPr>
          <w:rFonts w:hint="eastAsia"/>
          <w:color w:val="auto"/>
          <w:highlight w:val="none"/>
        </w:rPr>
        <w:t>止）</w:t>
      </w:r>
    </w:p>
    <w:p w14:paraId="495EE1B2">
      <w:pPr>
        <w:tabs>
          <w:tab w:val="left" w:pos="4532"/>
        </w:tabs>
        <w:spacing w:line="360" w:lineRule="auto"/>
        <w:ind w:firstLine="420" w:firstLineChars="200"/>
        <w:rPr>
          <w:color w:val="auto"/>
          <w:highlight w:val="none"/>
        </w:rPr>
      </w:pPr>
      <w:r>
        <w:rPr>
          <w:rFonts w:hint="eastAsia"/>
          <w:color w:val="auto"/>
          <w:highlight w:val="none"/>
        </w:rPr>
        <w:t>1）固定资产：</w:t>
      </w:r>
    </w:p>
    <w:p w14:paraId="745CF27A">
      <w:pPr>
        <w:tabs>
          <w:tab w:val="left" w:pos="4532"/>
        </w:tabs>
        <w:spacing w:line="360" w:lineRule="auto"/>
        <w:ind w:firstLine="420" w:firstLineChars="200"/>
        <w:rPr>
          <w:color w:val="auto"/>
          <w:highlight w:val="none"/>
        </w:rPr>
      </w:pPr>
      <w:r>
        <w:rPr>
          <w:rFonts w:hint="eastAsia"/>
          <w:color w:val="auto"/>
          <w:highlight w:val="none"/>
        </w:rPr>
        <w:t>2）流动资产：</w:t>
      </w:r>
    </w:p>
    <w:p w14:paraId="4553F476">
      <w:pPr>
        <w:tabs>
          <w:tab w:val="left" w:pos="4532"/>
        </w:tabs>
        <w:spacing w:line="360" w:lineRule="auto"/>
        <w:ind w:firstLine="420" w:firstLineChars="200"/>
        <w:rPr>
          <w:color w:val="auto"/>
          <w:highlight w:val="none"/>
        </w:rPr>
      </w:pPr>
      <w:r>
        <w:rPr>
          <w:rFonts w:hint="eastAsia"/>
          <w:color w:val="auto"/>
          <w:highlight w:val="none"/>
        </w:rPr>
        <w:t>3）长期债务：</w:t>
      </w:r>
    </w:p>
    <w:p w14:paraId="4DA18A3E">
      <w:pPr>
        <w:tabs>
          <w:tab w:val="left" w:pos="4532"/>
        </w:tabs>
        <w:spacing w:line="360" w:lineRule="auto"/>
        <w:ind w:firstLine="420" w:firstLineChars="200"/>
        <w:rPr>
          <w:color w:val="auto"/>
          <w:highlight w:val="none"/>
        </w:rPr>
      </w:pPr>
      <w:r>
        <w:rPr>
          <w:rFonts w:hint="eastAsia"/>
          <w:color w:val="auto"/>
          <w:highlight w:val="none"/>
        </w:rPr>
        <w:t>4）流动债务：</w:t>
      </w:r>
    </w:p>
    <w:p w14:paraId="306A0E26">
      <w:pPr>
        <w:tabs>
          <w:tab w:val="left" w:pos="4532"/>
        </w:tabs>
        <w:spacing w:line="360" w:lineRule="auto"/>
        <w:ind w:firstLine="420" w:firstLineChars="200"/>
        <w:rPr>
          <w:color w:val="auto"/>
          <w:highlight w:val="none"/>
        </w:rPr>
      </w:pPr>
      <w:r>
        <w:rPr>
          <w:rFonts w:hint="eastAsia"/>
          <w:color w:val="auto"/>
          <w:highlight w:val="none"/>
        </w:rPr>
        <w:t>5）净值：</w:t>
      </w:r>
    </w:p>
    <w:p w14:paraId="4D80B990">
      <w:pPr>
        <w:tabs>
          <w:tab w:val="left" w:pos="4532"/>
        </w:tabs>
        <w:spacing w:line="360" w:lineRule="auto"/>
        <w:ind w:firstLine="420" w:firstLineChars="200"/>
        <w:rPr>
          <w:color w:val="auto"/>
          <w:highlight w:val="none"/>
        </w:rPr>
      </w:pPr>
      <w:r>
        <w:rPr>
          <w:rFonts w:hint="eastAsia"/>
          <w:color w:val="auto"/>
          <w:highlight w:val="none"/>
        </w:rPr>
        <w:t>6）主要负责人姓名：</w:t>
      </w:r>
    </w:p>
    <w:p w14:paraId="309B395C">
      <w:pPr>
        <w:tabs>
          <w:tab w:val="left" w:pos="4532"/>
        </w:tabs>
        <w:spacing w:line="360" w:lineRule="auto"/>
        <w:ind w:firstLine="420" w:firstLineChars="200"/>
        <w:rPr>
          <w:color w:val="auto"/>
          <w:highlight w:val="none"/>
        </w:rPr>
      </w:pPr>
      <w:r>
        <w:rPr>
          <w:rFonts w:hint="eastAsia"/>
          <w:color w:val="auto"/>
          <w:highlight w:val="none"/>
        </w:rPr>
        <w:t>7）经营特色：</w:t>
      </w:r>
    </w:p>
    <w:p w14:paraId="64EBCCA4">
      <w:pPr>
        <w:tabs>
          <w:tab w:val="left" w:pos="4532"/>
        </w:tabs>
        <w:spacing w:line="360" w:lineRule="auto"/>
        <w:ind w:firstLine="420" w:firstLineChars="200"/>
        <w:rPr>
          <w:color w:val="auto"/>
          <w:highlight w:val="none"/>
        </w:rPr>
      </w:pPr>
      <w:r>
        <w:rPr>
          <w:rFonts w:hint="eastAsia"/>
          <w:color w:val="auto"/>
          <w:highlight w:val="none"/>
        </w:rPr>
        <w:t>（二）、其他情况</w:t>
      </w:r>
    </w:p>
    <w:p w14:paraId="4F7787DC">
      <w:pPr>
        <w:tabs>
          <w:tab w:val="left" w:pos="4532"/>
        </w:tabs>
        <w:spacing w:line="360" w:lineRule="auto"/>
        <w:ind w:firstLine="420" w:firstLineChars="200"/>
        <w:rPr>
          <w:color w:val="auto"/>
          <w:highlight w:val="none"/>
        </w:rPr>
      </w:pPr>
    </w:p>
    <w:p w14:paraId="13E4D8BF">
      <w:pPr>
        <w:tabs>
          <w:tab w:val="left" w:pos="4532"/>
        </w:tabs>
        <w:spacing w:line="360" w:lineRule="auto"/>
        <w:ind w:firstLine="420" w:firstLineChars="200"/>
        <w:rPr>
          <w:color w:val="auto"/>
          <w:highlight w:val="none"/>
        </w:rPr>
      </w:pPr>
      <w:r>
        <w:rPr>
          <w:rFonts w:hint="eastAsia"/>
          <w:color w:val="auto"/>
          <w:highlight w:val="none"/>
        </w:rPr>
        <w:t>就我方全部所知，兹证明上述表明是真实、准确的，并已提供了全部现有资料和数据，我方同意根据招标方要求出示文件予以证实。</w:t>
      </w:r>
    </w:p>
    <w:p w14:paraId="2785BA33">
      <w:pPr>
        <w:spacing w:line="360" w:lineRule="auto"/>
        <w:ind w:left="3360" w:firstLine="420"/>
        <w:rPr>
          <w:rFonts w:ascii="Arial" w:hAnsi="Arial"/>
          <w:color w:val="auto"/>
          <w:highlight w:val="none"/>
        </w:rPr>
      </w:pPr>
    </w:p>
    <w:p w14:paraId="66111026">
      <w:pPr>
        <w:spacing w:line="360" w:lineRule="auto"/>
        <w:ind w:left="3360" w:firstLine="420"/>
        <w:rPr>
          <w:rFonts w:ascii="Arial" w:hAnsi="Arial"/>
          <w:color w:val="auto"/>
          <w:highlight w:val="none"/>
        </w:rPr>
      </w:pPr>
    </w:p>
    <w:p w14:paraId="768BCDDB">
      <w:pPr>
        <w:spacing w:line="360" w:lineRule="auto"/>
        <w:ind w:left="3360" w:firstLine="420"/>
        <w:rPr>
          <w:rFonts w:ascii="Arial" w:hAnsi="Arial"/>
          <w:color w:val="auto"/>
          <w:highlight w:val="none"/>
        </w:rPr>
      </w:pPr>
      <w:r>
        <w:rPr>
          <w:rFonts w:hint="eastAsia" w:ascii="Arial" w:hAnsi="Arial"/>
          <w:color w:val="auto"/>
          <w:highlight w:val="none"/>
        </w:rPr>
        <w:t xml:space="preserve">          投标人全称（盖章）：</w:t>
      </w:r>
    </w:p>
    <w:p w14:paraId="448825E5">
      <w:pPr>
        <w:tabs>
          <w:tab w:val="left" w:pos="4635"/>
        </w:tabs>
        <w:spacing w:line="360" w:lineRule="auto"/>
        <w:ind w:firstLine="1050" w:firstLineChars="500"/>
        <w:rPr>
          <w:rFonts w:ascii="Arial" w:hAnsi="Arial"/>
          <w:color w:val="auto"/>
          <w:highlight w:val="none"/>
        </w:rPr>
      </w:pPr>
      <w:r>
        <w:rPr>
          <w:rFonts w:hint="eastAsia" w:ascii="Arial" w:hAnsi="Arial"/>
          <w:color w:val="auto"/>
          <w:highlight w:val="none"/>
        </w:rPr>
        <w:t>法定代表人（或分公司负责人）或其授权代表（签字或盖章）：</w:t>
      </w:r>
    </w:p>
    <w:p w14:paraId="1E378472">
      <w:pPr>
        <w:spacing w:line="360" w:lineRule="auto"/>
        <w:ind w:left="2940" w:firstLine="420"/>
        <w:rPr>
          <w:rFonts w:ascii="Arial" w:hAnsi="Arial"/>
          <w:color w:val="auto"/>
          <w:highlight w:val="none"/>
        </w:rPr>
      </w:pPr>
      <w:r>
        <w:rPr>
          <w:rFonts w:hint="eastAsia" w:ascii="Arial" w:hAnsi="Arial"/>
          <w:color w:val="auto"/>
          <w:highlight w:val="none"/>
        </w:rPr>
        <w:t xml:space="preserve">                      日    期：</w:t>
      </w:r>
      <w:r>
        <w:rPr>
          <w:rFonts w:hint="eastAsia" w:ascii="宋体" w:hAnsi="宋体"/>
          <w:color w:val="auto"/>
          <w:szCs w:val="21"/>
          <w:highlight w:val="none"/>
        </w:rPr>
        <w:t xml:space="preserve">     年   月   日</w:t>
      </w:r>
    </w:p>
    <w:p w14:paraId="7ED3F226">
      <w:pPr>
        <w:spacing w:beforeLines="50" w:afterLines="50" w:line="360" w:lineRule="atLeast"/>
        <w:jc w:val="center"/>
        <w:rPr>
          <w:b/>
          <w:bCs/>
          <w:color w:val="auto"/>
          <w:sz w:val="24"/>
          <w:highlight w:val="none"/>
        </w:rPr>
      </w:pPr>
      <w:bookmarkStart w:id="162" w:name="_Toc15366"/>
      <w:bookmarkStart w:id="163" w:name="_Toc19194"/>
      <w:bookmarkStart w:id="164" w:name="_Toc20742"/>
      <w:r>
        <w:rPr>
          <w:rFonts w:hint="eastAsia"/>
          <w:b/>
          <w:bCs/>
          <w:color w:val="auto"/>
          <w:sz w:val="24"/>
          <w:highlight w:val="none"/>
        </w:rPr>
        <w:br w:type="page"/>
      </w:r>
    </w:p>
    <w:bookmarkEnd w:id="162"/>
    <w:bookmarkEnd w:id="163"/>
    <w:bookmarkEnd w:id="164"/>
    <w:p w14:paraId="33BF91B7">
      <w:pPr>
        <w:spacing w:beforeLines="50" w:afterLines="50" w:line="360" w:lineRule="atLeast"/>
        <w:jc w:val="center"/>
        <w:outlineLvl w:val="1"/>
        <w:rPr>
          <w:b/>
          <w:bCs/>
          <w:color w:val="auto"/>
          <w:sz w:val="24"/>
          <w:highlight w:val="none"/>
        </w:rPr>
      </w:pPr>
      <w:bookmarkStart w:id="165" w:name="_Toc24071"/>
      <w:bookmarkStart w:id="166" w:name="_Toc13912"/>
      <w:bookmarkStart w:id="167" w:name="_Toc18932"/>
      <w:bookmarkStart w:id="168" w:name="_Toc14464"/>
      <w:r>
        <w:rPr>
          <w:rFonts w:hint="eastAsia"/>
          <w:b/>
          <w:bCs/>
          <w:color w:val="auto"/>
          <w:sz w:val="24"/>
          <w:highlight w:val="none"/>
        </w:rPr>
        <w:t>附件五    年度财务报表或审计报告</w:t>
      </w:r>
      <w:bookmarkEnd w:id="165"/>
      <w:bookmarkEnd w:id="166"/>
    </w:p>
    <w:p w14:paraId="43560F8C">
      <w:pPr>
        <w:rPr>
          <w:rFonts w:ascii="宋体" w:hAnsi="宋体"/>
          <w:color w:val="auto"/>
          <w:highlight w:val="none"/>
        </w:rPr>
      </w:pPr>
    </w:p>
    <w:p w14:paraId="728AF432">
      <w:pPr>
        <w:rPr>
          <w:rFonts w:ascii="宋体" w:hAnsi="宋体"/>
          <w:color w:val="auto"/>
          <w:highlight w:val="none"/>
        </w:rPr>
      </w:pPr>
      <w:r>
        <w:rPr>
          <w:rFonts w:hint="eastAsia" w:ascii="宋体" w:hAnsi="宋体"/>
          <w:color w:val="auto"/>
          <w:highlight w:val="none"/>
        </w:rPr>
        <w:t>注：提供</w:t>
      </w:r>
      <w:r>
        <w:rPr>
          <w:rFonts w:ascii="宋体" w:hAnsi="宋体"/>
          <w:color w:val="auto"/>
          <w:highlight w:val="none"/>
        </w:rPr>
        <w:t>投标人</w:t>
      </w:r>
      <w:r>
        <w:rPr>
          <w:rFonts w:hint="eastAsia" w:ascii="宋体" w:hAnsi="宋体"/>
          <w:color w:val="auto"/>
          <w:highlight w:val="none"/>
        </w:rPr>
        <w:t>截至2024年12月31日</w:t>
      </w:r>
      <w:r>
        <w:rPr>
          <w:rFonts w:ascii="宋体" w:hAnsi="宋体"/>
          <w:color w:val="auto"/>
          <w:highlight w:val="none"/>
        </w:rPr>
        <w:t>止</w:t>
      </w:r>
      <w:r>
        <w:rPr>
          <w:rFonts w:hint="eastAsia" w:ascii="宋体" w:hAnsi="宋体"/>
          <w:color w:val="auto"/>
          <w:highlight w:val="none"/>
        </w:rPr>
        <w:t>财务报表或审计报告</w:t>
      </w:r>
      <w:r>
        <w:rPr>
          <w:rFonts w:ascii="宋体" w:hAnsi="宋体"/>
          <w:color w:val="auto"/>
          <w:highlight w:val="none"/>
        </w:rPr>
        <w:t>，</w:t>
      </w:r>
      <w:r>
        <w:rPr>
          <w:rFonts w:hint="eastAsia" w:ascii="宋体" w:hAnsi="宋体"/>
          <w:color w:val="auto"/>
          <w:highlight w:val="none"/>
        </w:rPr>
        <w:t xml:space="preserve">扫描件加盖公章； </w:t>
      </w:r>
    </w:p>
    <w:p w14:paraId="63342465">
      <w:pPr>
        <w:spacing w:beforeLines="50" w:afterLines="50" w:line="360" w:lineRule="atLeast"/>
        <w:jc w:val="center"/>
        <w:rPr>
          <w:b/>
          <w:bCs/>
          <w:color w:val="auto"/>
          <w:sz w:val="24"/>
          <w:highlight w:val="none"/>
        </w:rPr>
      </w:pPr>
      <w:r>
        <w:rPr>
          <w:rFonts w:hint="eastAsia"/>
          <w:b/>
          <w:bCs/>
          <w:color w:val="auto"/>
          <w:sz w:val="24"/>
          <w:highlight w:val="none"/>
        </w:rPr>
        <w:br w:type="page"/>
      </w:r>
    </w:p>
    <w:p w14:paraId="397299F5">
      <w:pPr>
        <w:spacing w:beforeLines="50" w:afterLines="50" w:line="360" w:lineRule="atLeast"/>
        <w:jc w:val="center"/>
        <w:outlineLvl w:val="1"/>
        <w:rPr>
          <w:b/>
          <w:bCs/>
          <w:color w:val="auto"/>
          <w:sz w:val="24"/>
          <w:highlight w:val="none"/>
        </w:rPr>
      </w:pPr>
      <w:bookmarkStart w:id="169" w:name="_Toc4611"/>
      <w:bookmarkStart w:id="170" w:name="_Toc19696"/>
      <w:r>
        <w:rPr>
          <w:rFonts w:hint="eastAsia"/>
          <w:b/>
          <w:bCs/>
          <w:color w:val="auto"/>
          <w:sz w:val="24"/>
          <w:highlight w:val="none"/>
        </w:rPr>
        <w:t>附件六    投标人资格、资质证明文件</w:t>
      </w:r>
      <w:bookmarkEnd w:id="169"/>
      <w:bookmarkEnd w:id="170"/>
    </w:p>
    <w:p w14:paraId="464BF29C">
      <w:pPr>
        <w:rPr>
          <w:rFonts w:ascii="宋体" w:hAnsi="宋体"/>
          <w:b/>
          <w:color w:val="auto"/>
          <w:szCs w:val="21"/>
          <w:highlight w:val="none"/>
        </w:rPr>
      </w:pPr>
    </w:p>
    <w:p w14:paraId="315D22D9">
      <w:pPr>
        <w:spacing w:line="600" w:lineRule="exact"/>
        <w:ind w:firstLine="422" w:firstLineChars="200"/>
        <w:rPr>
          <w:rFonts w:ascii="宋体" w:hAnsi="宋体"/>
          <w:b/>
          <w:color w:val="auto"/>
          <w:szCs w:val="21"/>
          <w:highlight w:val="none"/>
        </w:rPr>
      </w:pPr>
      <w:r>
        <w:rPr>
          <w:rFonts w:hint="eastAsia" w:ascii="宋体" w:hAnsi="宋体"/>
          <w:b/>
          <w:color w:val="auto"/>
          <w:szCs w:val="21"/>
          <w:highlight w:val="none"/>
        </w:rPr>
        <w:t>投标人应提供下列文件或资料（扫描件，加盖投标人公章）：</w:t>
      </w:r>
    </w:p>
    <w:p w14:paraId="3DFB3D1A">
      <w:pPr>
        <w:spacing w:line="600" w:lineRule="exact"/>
        <w:ind w:firstLine="420" w:firstLineChars="200"/>
        <w:rPr>
          <w:color w:val="auto"/>
          <w:highlight w:val="none"/>
        </w:rPr>
      </w:pPr>
    </w:p>
    <w:p w14:paraId="30857862">
      <w:pPr>
        <w:widowControl/>
        <w:tabs>
          <w:tab w:val="left" w:pos="1260"/>
        </w:tabs>
        <w:snapToGrid w:val="0"/>
        <w:spacing w:line="600" w:lineRule="exact"/>
        <w:ind w:firstLine="420" w:firstLineChars="200"/>
        <w:rPr>
          <w:color w:val="auto"/>
          <w:highlight w:val="none"/>
        </w:rPr>
      </w:pPr>
      <w:r>
        <w:rPr>
          <w:rFonts w:hint="eastAsia"/>
          <w:color w:val="auto"/>
          <w:highlight w:val="none"/>
        </w:rPr>
        <w:t>1.中国银行保险监督管理委员会核发的金融业务许可证；</w:t>
      </w:r>
    </w:p>
    <w:p w14:paraId="29113103">
      <w:pPr>
        <w:widowControl/>
        <w:tabs>
          <w:tab w:val="left" w:pos="1260"/>
        </w:tabs>
        <w:snapToGrid w:val="0"/>
        <w:spacing w:line="600" w:lineRule="exact"/>
        <w:ind w:firstLine="420" w:firstLineChars="200"/>
        <w:rPr>
          <w:color w:val="auto"/>
          <w:highlight w:val="none"/>
        </w:rPr>
      </w:pPr>
      <w:r>
        <w:rPr>
          <w:rFonts w:hint="eastAsia"/>
          <w:color w:val="auto"/>
          <w:highlight w:val="none"/>
        </w:rPr>
        <w:t>2.工商行政管理部门颁布的营业执照；</w:t>
      </w:r>
    </w:p>
    <w:p w14:paraId="2F1830AC">
      <w:pPr>
        <w:widowControl/>
        <w:tabs>
          <w:tab w:val="left" w:pos="1260"/>
        </w:tabs>
        <w:snapToGrid w:val="0"/>
        <w:spacing w:line="600" w:lineRule="exact"/>
        <w:ind w:firstLine="420" w:firstLineChars="200"/>
        <w:rPr>
          <w:color w:val="auto"/>
          <w:highlight w:val="none"/>
        </w:rPr>
      </w:pPr>
      <w:r>
        <w:rPr>
          <w:rFonts w:hint="eastAsia"/>
          <w:color w:val="auto"/>
          <w:highlight w:val="none"/>
        </w:rPr>
        <w:t>3.中国人民银行温州市分行关于2024年度在瑞银行业金融机构综合评价结果B级及以上证明材料（以附件一 投标函中承诺为准）；</w:t>
      </w:r>
    </w:p>
    <w:p w14:paraId="2478549F">
      <w:pPr>
        <w:widowControl/>
        <w:tabs>
          <w:tab w:val="left" w:pos="1260"/>
        </w:tabs>
        <w:snapToGrid w:val="0"/>
        <w:spacing w:line="600" w:lineRule="exact"/>
        <w:ind w:firstLine="420" w:firstLineChars="200"/>
        <w:rPr>
          <w:color w:val="auto"/>
          <w:highlight w:val="none"/>
        </w:rPr>
      </w:pPr>
      <w:r>
        <w:rPr>
          <w:rFonts w:hint="eastAsia"/>
          <w:color w:val="auto"/>
          <w:highlight w:val="none"/>
        </w:rPr>
        <w:t>4.税务部门出具的相关证明材料；</w:t>
      </w:r>
    </w:p>
    <w:p w14:paraId="40C18E07">
      <w:pPr>
        <w:widowControl/>
        <w:tabs>
          <w:tab w:val="left" w:pos="1260"/>
        </w:tabs>
        <w:snapToGrid w:val="0"/>
        <w:spacing w:line="600" w:lineRule="exact"/>
        <w:ind w:firstLine="420" w:firstLineChars="200"/>
        <w:rPr>
          <w:color w:val="auto"/>
          <w:highlight w:val="none"/>
        </w:rPr>
      </w:pPr>
      <w:r>
        <w:rPr>
          <w:rFonts w:hint="eastAsia"/>
          <w:color w:val="auto"/>
          <w:highlight w:val="none"/>
        </w:rPr>
        <w:t>5.</w:t>
      </w:r>
      <w:r>
        <w:rPr>
          <w:rFonts w:hint="eastAsia" w:ascii="宋体" w:hAnsi="宋体" w:eastAsia="宋体" w:cs="宋体"/>
          <w:color w:val="auto"/>
          <w:highlight w:val="none"/>
        </w:rPr>
        <w:t>瑞安市金融工作服务中心《关于公布2024年度金融机构（组织）综合考核结果的</w:t>
      </w:r>
      <w:r>
        <w:rPr>
          <w:rFonts w:hint="eastAsia" w:ascii="宋体" w:hAnsi="宋体" w:eastAsia="宋体" w:cs="宋体"/>
          <w:color w:val="auto"/>
          <w:highlight w:val="none"/>
          <w:lang w:eastAsia="zh-CN"/>
        </w:rPr>
        <w:t>通知</w:t>
      </w:r>
      <w:r>
        <w:rPr>
          <w:rFonts w:hint="eastAsia" w:ascii="宋体" w:hAnsi="宋体" w:eastAsia="宋体" w:cs="宋体"/>
          <w:color w:val="auto"/>
          <w:highlight w:val="none"/>
        </w:rPr>
        <w:t>》</w:t>
      </w:r>
      <w:r>
        <w:rPr>
          <w:rFonts w:hint="eastAsia"/>
          <w:color w:val="auto"/>
          <w:highlight w:val="none"/>
        </w:rPr>
        <w:t>；</w:t>
      </w:r>
    </w:p>
    <w:p w14:paraId="529F6917">
      <w:pPr>
        <w:widowControl/>
        <w:tabs>
          <w:tab w:val="left" w:pos="1260"/>
        </w:tabs>
        <w:snapToGrid w:val="0"/>
        <w:spacing w:line="600" w:lineRule="exact"/>
        <w:ind w:firstLine="420" w:firstLineChars="200"/>
        <w:rPr>
          <w:color w:val="auto"/>
          <w:highlight w:val="none"/>
        </w:rPr>
      </w:pPr>
      <w:r>
        <w:rPr>
          <w:rFonts w:hint="eastAsia"/>
          <w:color w:val="auto"/>
          <w:highlight w:val="none"/>
        </w:rPr>
        <w:t>6.投标人</w:t>
      </w:r>
      <w:r>
        <w:rPr>
          <w:rFonts w:hint="eastAsia"/>
          <w:color w:val="auto"/>
          <w:highlight w:val="none"/>
          <w:lang w:val="zh-CN"/>
        </w:rPr>
        <w:t>其他</w:t>
      </w:r>
      <w:r>
        <w:rPr>
          <w:rFonts w:hint="eastAsia"/>
          <w:color w:val="auto"/>
          <w:highlight w:val="none"/>
        </w:rPr>
        <w:t>相关的资格、资质证明文件（如有）。</w:t>
      </w:r>
    </w:p>
    <w:p w14:paraId="782AD9D6">
      <w:pPr>
        <w:keepNext/>
        <w:keepLines/>
        <w:rPr>
          <w:color w:val="auto"/>
          <w:highlight w:val="none"/>
        </w:rPr>
      </w:pPr>
    </w:p>
    <w:p w14:paraId="7A1B5D73">
      <w:pPr>
        <w:widowControl/>
        <w:numPr>
          <w:ilvl w:val="0"/>
          <w:numId w:val="21"/>
        </w:numPr>
        <w:tabs>
          <w:tab w:val="left" w:pos="1260"/>
        </w:tabs>
        <w:snapToGrid w:val="0"/>
        <w:spacing w:line="360" w:lineRule="exact"/>
        <w:ind w:left="1469" w:leftChars="504" w:hanging="411" w:hangingChars="196"/>
        <w:rPr>
          <w:rFonts w:ascii="Arial" w:cs="Arial"/>
          <w:color w:val="auto"/>
          <w:highlight w:val="none"/>
          <w:lang w:val="zh-CN"/>
        </w:rPr>
      </w:pPr>
      <w:r>
        <w:rPr>
          <w:rFonts w:hint="eastAsia" w:ascii="Arial" w:cs="Arial"/>
          <w:color w:val="auto"/>
          <w:highlight w:val="none"/>
          <w:lang w:val="zh-CN"/>
        </w:rPr>
        <w:br w:type="page"/>
      </w:r>
    </w:p>
    <w:bookmarkEnd w:id="167"/>
    <w:bookmarkEnd w:id="168"/>
    <w:p w14:paraId="6DFCBDB9">
      <w:pPr>
        <w:spacing w:beforeLines="50" w:afterLines="50" w:line="360" w:lineRule="atLeast"/>
        <w:jc w:val="center"/>
        <w:outlineLvl w:val="1"/>
        <w:rPr>
          <w:b/>
          <w:bCs/>
          <w:color w:val="auto"/>
          <w:sz w:val="24"/>
          <w:highlight w:val="none"/>
        </w:rPr>
      </w:pPr>
      <w:bookmarkStart w:id="171" w:name="_Toc22409"/>
      <w:bookmarkStart w:id="172" w:name="_Toc30904"/>
      <w:r>
        <w:rPr>
          <w:rFonts w:hint="eastAsia"/>
          <w:b/>
          <w:bCs/>
          <w:color w:val="auto"/>
          <w:sz w:val="24"/>
          <w:highlight w:val="none"/>
        </w:rPr>
        <w:t>附件七    服务水平</w:t>
      </w:r>
      <w:bookmarkEnd w:id="171"/>
      <w:bookmarkEnd w:id="172"/>
    </w:p>
    <w:p w14:paraId="6A991EDD">
      <w:pPr>
        <w:pStyle w:val="23"/>
        <w:ind w:left="0" w:firstLine="0"/>
        <w:rPr>
          <w:color w:val="auto"/>
          <w:highlight w:val="none"/>
        </w:rPr>
      </w:pPr>
    </w:p>
    <w:bookmarkEnd w:id="123"/>
    <w:bookmarkEnd w:id="156"/>
    <w:bookmarkEnd w:id="157"/>
    <w:p w14:paraId="6074E793">
      <w:pPr>
        <w:numPr>
          <w:ilvl w:val="0"/>
          <w:numId w:val="22"/>
        </w:numPr>
        <w:spacing w:line="600" w:lineRule="exact"/>
        <w:ind w:left="0" w:firstLine="420" w:firstLineChars="200"/>
        <w:rPr>
          <w:rFonts w:ascii="宋体" w:hAnsi="Arial" w:cs="宋体"/>
          <w:color w:val="auto"/>
          <w:kern w:val="0"/>
          <w:highlight w:val="none"/>
        </w:rPr>
      </w:pPr>
      <w:bookmarkStart w:id="173" w:name="_Toc24516"/>
      <w:bookmarkStart w:id="174" w:name="_Toc8882"/>
      <w:bookmarkStart w:id="175" w:name="_Toc4558"/>
      <w:bookmarkStart w:id="176" w:name="_Toc29067"/>
      <w:bookmarkStart w:id="177" w:name="_Toc7101328"/>
      <w:bookmarkStart w:id="178" w:name="_Toc10319"/>
      <w:bookmarkStart w:id="179" w:name="_Toc18610"/>
      <w:bookmarkStart w:id="180" w:name="_Toc14530"/>
      <w:bookmarkStart w:id="181" w:name="_Toc13746"/>
      <w:bookmarkStart w:id="182" w:name="_Toc32464"/>
      <w:bookmarkStart w:id="183" w:name="_Toc346178852"/>
      <w:bookmarkStart w:id="184" w:name="_Toc25065"/>
      <w:bookmarkStart w:id="185" w:name="_Toc26566"/>
      <w:bookmarkStart w:id="186" w:name="_Toc14116"/>
      <w:bookmarkStart w:id="187" w:name="_Toc21166"/>
      <w:r>
        <w:rPr>
          <w:rFonts w:hint="eastAsia" w:ascii="宋体" w:hAnsi="Arial" w:cs="宋体"/>
          <w:color w:val="auto"/>
          <w:kern w:val="0"/>
          <w:highlight w:val="none"/>
        </w:rPr>
        <w:t>投标人</w:t>
      </w:r>
      <w:r>
        <w:rPr>
          <w:rFonts w:hint="eastAsia" w:ascii="宋体" w:hAnsi="Arial" w:cs="宋体"/>
          <w:color w:val="auto"/>
          <w:kern w:val="0"/>
          <w:highlight w:val="none"/>
          <w:lang w:val="zh-CN"/>
        </w:rPr>
        <w:t>支付结算、对账、分账核算等服务的</w:t>
      </w:r>
      <w:r>
        <w:rPr>
          <w:rFonts w:hint="eastAsia" w:ascii="宋体" w:hAnsi="Arial" w:cs="宋体"/>
          <w:color w:val="auto"/>
          <w:kern w:val="0"/>
          <w:highlight w:val="none"/>
        </w:rPr>
        <w:t>制度和系统情况介绍；</w:t>
      </w:r>
    </w:p>
    <w:p w14:paraId="660C559E">
      <w:pPr>
        <w:numPr>
          <w:ilvl w:val="0"/>
          <w:numId w:val="22"/>
        </w:numPr>
        <w:spacing w:line="600" w:lineRule="exact"/>
        <w:ind w:left="0" w:firstLine="420" w:firstLineChars="200"/>
        <w:rPr>
          <w:rFonts w:ascii="宋体" w:hAnsi="Arial" w:cs="宋体"/>
          <w:color w:val="auto"/>
          <w:kern w:val="0"/>
          <w:highlight w:val="none"/>
        </w:rPr>
      </w:pPr>
      <w:r>
        <w:rPr>
          <w:rFonts w:hint="eastAsia" w:ascii="宋体" w:hAnsi="Arial" w:cs="宋体"/>
          <w:color w:val="auto"/>
          <w:kern w:val="0"/>
          <w:highlight w:val="none"/>
        </w:rPr>
        <w:t>跨行、跨区域汇款（含电汇）优惠承诺；</w:t>
      </w:r>
    </w:p>
    <w:p w14:paraId="164576E8">
      <w:pPr>
        <w:numPr>
          <w:ilvl w:val="0"/>
          <w:numId w:val="22"/>
        </w:numPr>
        <w:spacing w:line="600" w:lineRule="exact"/>
        <w:ind w:left="0" w:firstLine="420" w:firstLineChars="200"/>
        <w:rPr>
          <w:rFonts w:ascii="宋体" w:hAnsi="Arial" w:cs="宋体"/>
          <w:color w:val="auto"/>
          <w:kern w:val="0"/>
          <w:highlight w:val="none"/>
        </w:rPr>
      </w:pPr>
      <w:r>
        <w:rPr>
          <w:rFonts w:hint="eastAsia" w:ascii="宋体" w:hAnsi="Arial" w:cs="宋体"/>
          <w:color w:val="auto"/>
          <w:kern w:val="0"/>
          <w:highlight w:val="none"/>
        </w:rPr>
        <w:t>专人服务（</w:t>
      </w:r>
      <w:r>
        <w:rPr>
          <w:rFonts w:hint="eastAsia" w:ascii="宋体" w:hAnsi="宋体"/>
          <w:color w:val="auto"/>
          <w:highlight w:val="none"/>
        </w:rPr>
        <w:t>投标人需提供专人针对本项目进行服务，保证随叫随到</w:t>
      </w:r>
      <w:r>
        <w:rPr>
          <w:rFonts w:hint="eastAsia" w:ascii="宋体" w:hAnsi="Arial" w:cs="宋体"/>
          <w:color w:val="auto"/>
          <w:kern w:val="0"/>
          <w:highlight w:val="none"/>
        </w:rPr>
        <w:t>）；</w:t>
      </w:r>
    </w:p>
    <w:p w14:paraId="68B5AC26">
      <w:pPr>
        <w:numPr>
          <w:ilvl w:val="0"/>
          <w:numId w:val="22"/>
        </w:numPr>
        <w:spacing w:line="600" w:lineRule="exact"/>
        <w:ind w:left="0" w:firstLine="420" w:firstLineChars="200"/>
        <w:rPr>
          <w:rFonts w:ascii="宋体" w:hAnsi="Arial" w:cs="宋体"/>
          <w:color w:val="auto"/>
          <w:kern w:val="0"/>
          <w:highlight w:val="none"/>
        </w:rPr>
      </w:pPr>
      <w:r>
        <w:rPr>
          <w:rFonts w:hint="eastAsia" w:ascii="宋体" w:hAnsi="Arial" w:cs="宋体"/>
          <w:color w:val="auto"/>
          <w:kern w:val="0"/>
          <w:highlight w:val="none"/>
        </w:rPr>
        <w:t>绿色通道VIP服务</w:t>
      </w:r>
      <w:r>
        <w:rPr>
          <w:rFonts w:hint="eastAsia" w:ascii="宋体" w:hAnsi="宋体" w:eastAsia="宋体" w:cs="宋体"/>
          <w:color w:val="auto"/>
          <w:szCs w:val="21"/>
          <w:highlight w:val="none"/>
        </w:rPr>
        <w:t>（招标人在瑞安市区域内办理业务时可享受免排队直通业务）</w:t>
      </w:r>
      <w:r>
        <w:rPr>
          <w:rFonts w:hint="eastAsia" w:ascii="宋体" w:hAnsi="Arial" w:cs="宋体"/>
          <w:color w:val="auto"/>
          <w:kern w:val="0"/>
          <w:highlight w:val="none"/>
        </w:rPr>
        <w:t>；</w:t>
      </w:r>
    </w:p>
    <w:p w14:paraId="048662F4">
      <w:pPr>
        <w:numPr>
          <w:ilvl w:val="0"/>
          <w:numId w:val="22"/>
        </w:numPr>
        <w:spacing w:line="600" w:lineRule="exact"/>
        <w:ind w:left="0" w:firstLine="420" w:firstLineChars="200"/>
        <w:rPr>
          <w:rFonts w:ascii="宋体" w:hAnsi="Arial" w:cs="宋体"/>
          <w:color w:val="auto"/>
          <w:kern w:val="0"/>
          <w:highlight w:val="none"/>
        </w:rPr>
      </w:pPr>
      <w:r>
        <w:rPr>
          <w:rFonts w:hint="eastAsia" w:ascii="宋体" w:hAnsi="Arial" w:cs="宋体"/>
          <w:color w:val="auto"/>
          <w:kern w:val="0"/>
          <w:highlight w:val="none"/>
        </w:rPr>
        <w:t>银行自收的各项服务费用</w:t>
      </w:r>
      <w:r>
        <w:rPr>
          <w:rFonts w:hint="eastAsia" w:ascii="宋体" w:hAnsi="Arial" w:cs="宋体"/>
          <w:color w:val="auto"/>
          <w:kern w:val="0"/>
          <w:highlight w:val="none"/>
          <w:lang w:val="zh-CN"/>
        </w:rPr>
        <w:t>减免情况；</w:t>
      </w:r>
    </w:p>
    <w:p w14:paraId="7704CC05">
      <w:pPr>
        <w:numPr>
          <w:ilvl w:val="0"/>
          <w:numId w:val="22"/>
        </w:numPr>
        <w:spacing w:line="600" w:lineRule="exact"/>
        <w:ind w:left="0" w:firstLine="420" w:firstLineChars="200"/>
        <w:rPr>
          <w:color w:val="auto"/>
          <w:highlight w:val="none"/>
        </w:rPr>
      </w:pPr>
      <w:r>
        <w:rPr>
          <w:rFonts w:hint="eastAsia" w:ascii="宋体" w:hAnsi="Arial" w:cs="宋体"/>
          <w:color w:val="auto"/>
          <w:kern w:val="0"/>
          <w:highlight w:val="none"/>
        </w:rPr>
        <w:t>投标人提供的服务网点数量及分布情况（须提供网点营业执照及网点分布情况图加盖公章。）；</w:t>
      </w:r>
    </w:p>
    <w:p w14:paraId="0D988B6D">
      <w:pPr>
        <w:numPr>
          <w:ilvl w:val="0"/>
          <w:numId w:val="22"/>
        </w:numPr>
        <w:spacing w:line="600" w:lineRule="exact"/>
        <w:ind w:left="0" w:firstLine="420" w:firstLineChars="200"/>
        <w:rPr>
          <w:rFonts w:ascii="宋体" w:hAnsi="Arial" w:cs="宋体"/>
          <w:color w:val="auto"/>
          <w:kern w:val="0"/>
          <w:highlight w:val="none"/>
        </w:rPr>
      </w:pPr>
      <w:r>
        <w:rPr>
          <w:rFonts w:hint="eastAsia" w:ascii="宋体" w:hAnsi="宋体" w:eastAsia="宋体" w:cs="宋体"/>
          <w:color w:val="auto"/>
          <w:szCs w:val="21"/>
          <w:highlight w:val="none"/>
        </w:rPr>
        <w:t>提供办公设备方案；（根据招标人需求提供办公设备（包括但不限于电脑、凭证装订机等））</w:t>
      </w:r>
    </w:p>
    <w:p w14:paraId="7856DCF3">
      <w:pPr>
        <w:numPr>
          <w:ilvl w:val="0"/>
          <w:numId w:val="22"/>
        </w:numPr>
        <w:spacing w:line="600" w:lineRule="exact"/>
        <w:ind w:left="0" w:firstLine="420" w:firstLineChars="200"/>
        <w:rPr>
          <w:rFonts w:ascii="宋体" w:hAnsi="Arial" w:cs="宋体"/>
          <w:color w:val="auto"/>
          <w:kern w:val="0"/>
          <w:highlight w:val="none"/>
        </w:rPr>
      </w:pPr>
      <w:r>
        <w:rPr>
          <w:rFonts w:hint="eastAsia" w:ascii="宋体" w:hAnsi="Arial" w:cs="宋体"/>
          <w:color w:val="auto"/>
          <w:kern w:val="0"/>
          <w:highlight w:val="none"/>
        </w:rPr>
        <w:t>其他服务。（投标人提供针对本项目的其他服务，可为招标人提供更多的便利）</w:t>
      </w:r>
    </w:p>
    <w:p w14:paraId="56EC881A">
      <w:pPr>
        <w:rPr>
          <w:rFonts w:ascii="宋体" w:hAnsi="Arial" w:cs="宋体"/>
          <w:color w:val="auto"/>
          <w:kern w:val="0"/>
          <w:highlight w:val="none"/>
        </w:rPr>
      </w:pPr>
      <w:r>
        <w:rPr>
          <w:rFonts w:hint="eastAsia" w:ascii="宋体" w:hAnsi="Arial" w:cs="宋体"/>
          <w:color w:val="auto"/>
          <w:kern w:val="0"/>
          <w:highlight w:val="none"/>
        </w:rPr>
        <w:br w:type="page"/>
      </w:r>
    </w:p>
    <w:p w14:paraId="0BF7CB05">
      <w:pPr>
        <w:rPr>
          <w:b/>
          <w:bCs/>
          <w:color w:val="auto"/>
          <w:sz w:val="24"/>
          <w:highlight w:val="none"/>
        </w:rPr>
      </w:pPr>
    </w:p>
    <w:p w14:paraId="688F56DC">
      <w:pPr>
        <w:spacing w:beforeLines="50" w:afterLines="50" w:line="360" w:lineRule="atLeast"/>
        <w:jc w:val="center"/>
        <w:outlineLvl w:val="1"/>
        <w:rPr>
          <w:b/>
          <w:bCs/>
          <w:color w:val="auto"/>
          <w:sz w:val="24"/>
          <w:highlight w:val="none"/>
        </w:rPr>
      </w:pPr>
      <w:bookmarkStart w:id="188" w:name="_Toc28886"/>
      <w:r>
        <w:rPr>
          <w:rFonts w:hint="eastAsia"/>
          <w:b/>
          <w:bCs/>
          <w:color w:val="auto"/>
          <w:sz w:val="24"/>
          <w:highlight w:val="none"/>
        </w:rPr>
        <w:t xml:space="preserve">附件八    </w:t>
      </w:r>
      <w:bookmarkEnd w:id="173"/>
      <w:bookmarkEnd w:id="174"/>
      <w:bookmarkEnd w:id="175"/>
      <w:r>
        <w:rPr>
          <w:rFonts w:hint="eastAsia"/>
          <w:b/>
          <w:bCs/>
          <w:color w:val="auto"/>
          <w:sz w:val="24"/>
          <w:highlight w:val="none"/>
        </w:rPr>
        <w:t>报价一览表</w:t>
      </w:r>
      <w:bookmarkEnd w:id="176"/>
      <w:bookmarkEnd w:id="188"/>
    </w:p>
    <w:p w14:paraId="29C2DA21">
      <w:pPr>
        <w:spacing w:line="440" w:lineRule="exact"/>
        <w:rPr>
          <w:color w:val="auto"/>
          <w:highlight w:val="none"/>
        </w:rPr>
      </w:pPr>
      <w:r>
        <w:rPr>
          <w:rFonts w:hint="eastAsia"/>
          <w:color w:val="auto"/>
          <w:highlight w:val="none"/>
        </w:rPr>
        <w:t>项目名称</w:t>
      </w:r>
      <w:r>
        <w:rPr>
          <w:color w:val="auto"/>
          <w:highlight w:val="none"/>
        </w:rPr>
        <w:t>：</w:t>
      </w:r>
      <w:r>
        <w:rPr>
          <w:rFonts w:hint="eastAsia"/>
          <w:color w:val="auto"/>
          <w:highlight w:val="none"/>
          <w:lang w:eastAsia="zh-CN"/>
        </w:rPr>
        <w:t>瑞安市基层卫生服务中心</w:t>
      </w:r>
      <w:r>
        <w:rPr>
          <w:rFonts w:hint="eastAsia"/>
          <w:color w:val="auto"/>
          <w:highlight w:val="none"/>
        </w:rPr>
        <w:t>专用账户开立招投标项目</w:t>
      </w:r>
    </w:p>
    <w:tbl>
      <w:tblPr>
        <w:tblStyle w:val="20"/>
        <w:tblW w:w="9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2415"/>
        <w:gridCol w:w="1244"/>
        <w:gridCol w:w="2056"/>
        <w:gridCol w:w="1825"/>
        <w:gridCol w:w="841"/>
      </w:tblGrid>
      <w:tr w14:paraId="575F2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59" w:type="dxa"/>
            <w:vAlign w:val="center"/>
          </w:tcPr>
          <w:p w14:paraId="40D3D740">
            <w:pPr>
              <w:spacing w:line="440" w:lineRule="exact"/>
              <w:jc w:val="center"/>
              <w:rPr>
                <w:rFonts w:cs="Calibri"/>
                <w:color w:val="auto"/>
                <w:highlight w:val="none"/>
              </w:rPr>
            </w:pPr>
            <w:r>
              <w:rPr>
                <w:rFonts w:hint="eastAsia" w:cs="Calibri"/>
                <w:color w:val="auto"/>
                <w:highlight w:val="none"/>
              </w:rPr>
              <w:t>序号</w:t>
            </w:r>
          </w:p>
        </w:tc>
        <w:tc>
          <w:tcPr>
            <w:tcW w:w="2415" w:type="dxa"/>
            <w:vAlign w:val="center"/>
          </w:tcPr>
          <w:p w14:paraId="4525DCDD">
            <w:pPr>
              <w:spacing w:line="440" w:lineRule="exact"/>
              <w:jc w:val="center"/>
              <w:rPr>
                <w:rFonts w:cs="Calibri"/>
                <w:color w:val="auto"/>
                <w:highlight w:val="none"/>
              </w:rPr>
            </w:pPr>
            <w:r>
              <w:rPr>
                <w:rFonts w:hint="eastAsia" w:cs="Calibri"/>
                <w:color w:val="auto"/>
                <w:highlight w:val="none"/>
              </w:rPr>
              <w:t>利率名称</w:t>
            </w:r>
          </w:p>
        </w:tc>
        <w:tc>
          <w:tcPr>
            <w:tcW w:w="1244" w:type="dxa"/>
            <w:vAlign w:val="center"/>
          </w:tcPr>
          <w:p w14:paraId="79F4CB66">
            <w:pPr>
              <w:spacing w:line="440" w:lineRule="exact"/>
              <w:jc w:val="center"/>
              <w:rPr>
                <w:rFonts w:cs="Calibri"/>
                <w:color w:val="auto"/>
                <w:highlight w:val="none"/>
              </w:rPr>
            </w:pPr>
            <w:r>
              <w:rPr>
                <w:rFonts w:hint="eastAsia" w:cs="Calibri"/>
                <w:color w:val="auto"/>
                <w:highlight w:val="none"/>
              </w:rPr>
              <w:t>基准利率</w:t>
            </w:r>
          </w:p>
        </w:tc>
        <w:tc>
          <w:tcPr>
            <w:tcW w:w="2056" w:type="dxa"/>
            <w:vAlign w:val="center"/>
          </w:tcPr>
          <w:p w14:paraId="7C907511">
            <w:pPr>
              <w:spacing w:line="440" w:lineRule="exact"/>
              <w:jc w:val="center"/>
              <w:rPr>
                <w:rFonts w:cs="Calibri"/>
                <w:color w:val="auto"/>
                <w:highlight w:val="none"/>
              </w:rPr>
            </w:pPr>
            <w:r>
              <w:rPr>
                <w:rFonts w:hint="eastAsia" w:cs="Calibri"/>
                <w:color w:val="auto"/>
                <w:highlight w:val="none"/>
              </w:rPr>
              <w:t>加减点数（基点）</w:t>
            </w:r>
          </w:p>
        </w:tc>
        <w:tc>
          <w:tcPr>
            <w:tcW w:w="1825" w:type="dxa"/>
            <w:vAlign w:val="center"/>
          </w:tcPr>
          <w:p w14:paraId="32EE1AA6">
            <w:pPr>
              <w:spacing w:line="440" w:lineRule="exact"/>
              <w:jc w:val="center"/>
              <w:rPr>
                <w:rFonts w:cs="Calibri"/>
                <w:color w:val="auto"/>
                <w:highlight w:val="none"/>
              </w:rPr>
            </w:pPr>
            <w:r>
              <w:rPr>
                <w:rFonts w:hint="eastAsia" w:cs="Calibri"/>
                <w:color w:val="auto"/>
                <w:highlight w:val="none"/>
              </w:rPr>
              <w:t>加减点数（基点）后的利率</w:t>
            </w:r>
          </w:p>
        </w:tc>
        <w:tc>
          <w:tcPr>
            <w:tcW w:w="841" w:type="dxa"/>
            <w:vAlign w:val="center"/>
          </w:tcPr>
          <w:p w14:paraId="044E2A0F">
            <w:pPr>
              <w:spacing w:line="440" w:lineRule="exact"/>
              <w:jc w:val="center"/>
              <w:rPr>
                <w:rFonts w:cs="Calibri"/>
                <w:color w:val="auto"/>
                <w:highlight w:val="none"/>
              </w:rPr>
            </w:pPr>
            <w:r>
              <w:rPr>
                <w:rFonts w:hint="eastAsia" w:cs="Calibri"/>
                <w:color w:val="auto"/>
                <w:highlight w:val="none"/>
              </w:rPr>
              <w:t>备注</w:t>
            </w:r>
          </w:p>
        </w:tc>
      </w:tr>
      <w:tr w14:paraId="33635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59" w:type="dxa"/>
            <w:vAlign w:val="center"/>
          </w:tcPr>
          <w:p w14:paraId="05136FF4">
            <w:pPr>
              <w:spacing w:line="440" w:lineRule="exact"/>
              <w:jc w:val="center"/>
              <w:rPr>
                <w:rFonts w:cs="Calibri"/>
                <w:color w:val="auto"/>
                <w:highlight w:val="none"/>
              </w:rPr>
            </w:pPr>
            <w:r>
              <w:rPr>
                <w:rFonts w:hint="eastAsia" w:cs="Calibri"/>
                <w:color w:val="auto"/>
                <w:highlight w:val="none"/>
              </w:rPr>
              <w:t>1</w:t>
            </w:r>
          </w:p>
        </w:tc>
        <w:tc>
          <w:tcPr>
            <w:tcW w:w="2415" w:type="dxa"/>
            <w:vAlign w:val="center"/>
          </w:tcPr>
          <w:p w14:paraId="0F964D65">
            <w:pPr>
              <w:spacing w:line="440" w:lineRule="exact"/>
              <w:jc w:val="center"/>
              <w:rPr>
                <w:rFonts w:cs="Calibri"/>
                <w:color w:val="auto"/>
                <w:highlight w:val="none"/>
              </w:rPr>
            </w:pPr>
            <w:r>
              <w:rPr>
                <w:rFonts w:hint="eastAsia" w:ascii="Calibri" w:hAnsi="Calibri" w:cs="Calibri"/>
                <w:color w:val="auto"/>
                <w:highlight w:val="none"/>
              </w:rPr>
              <w:t>活期</w:t>
            </w:r>
            <w:r>
              <w:rPr>
                <w:rFonts w:ascii="Calibri" w:hAnsi="Calibri" w:cs="Calibri"/>
                <w:color w:val="auto"/>
                <w:highlight w:val="none"/>
              </w:rPr>
              <w:t>存款</w:t>
            </w:r>
            <w:r>
              <w:rPr>
                <w:rFonts w:hint="eastAsia" w:ascii="Calibri" w:hAnsi="Calibri" w:cs="Calibri"/>
                <w:color w:val="auto"/>
                <w:highlight w:val="none"/>
              </w:rPr>
              <w:t>年利率</w:t>
            </w:r>
          </w:p>
        </w:tc>
        <w:tc>
          <w:tcPr>
            <w:tcW w:w="1244" w:type="dxa"/>
            <w:vAlign w:val="center"/>
          </w:tcPr>
          <w:p w14:paraId="3D26D441">
            <w:pPr>
              <w:spacing w:line="440" w:lineRule="exact"/>
              <w:jc w:val="center"/>
              <w:rPr>
                <w:rFonts w:cs="Calibri"/>
                <w:color w:val="auto"/>
                <w:highlight w:val="none"/>
              </w:rPr>
            </w:pPr>
            <w:r>
              <w:rPr>
                <w:rFonts w:hint="eastAsia" w:cs="Calibri"/>
                <w:color w:val="auto"/>
                <w:highlight w:val="none"/>
              </w:rPr>
              <w:t>0.35（</w:t>
            </w:r>
            <w:r>
              <w:rPr>
                <w:rFonts w:cs="Calibri"/>
                <w:color w:val="auto"/>
                <w:highlight w:val="none"/>
              </w:rPr>
              <w:t>%）</w:t>
            </w:r>
          </w:p>
        </w:tc>
        <w:tc>
          <w:tcPr>
            <w:tcW w:w="2056" w:type="dxa"/>
            <w:vAlign w:val="center"/>
          </w:tcPr>
          <w:p w14:paraId="63F4957E">
            <w:pPr>
              <w:spacing w:line="440" w:lineRule="exact"/>
              <w:jc w:val="center"/>
              <w:rPr>
                <w:rFonts w:ascii="Arial" w:cs="Arial"/>
                <w:color w:val="auto"/>
                <w:szCs w:val="21"/>
                <w:highlight w:val="none"/>
                <w:u w:val="single"/>
              </w:rPr>
            </w:pPr>
            <w:r>
              <w:rPr>
                <w:rFonts w:hint="eastAsia" w:ascii="宋体" w:hAnsi="宋体" w:eastAsia="宋体" w:cs="宋体"/>
                <w:color w:val="auto"/>
                <w:szCs w:val="21"/>
                <w:highlight w:val="none"/>
              </w:rPr>
              <w:t xml:space="preserve">----------- </w:t>
            </w:r>
          </w:p>
        </w:tc>
        <w:tc>
          <w:tcPr>
            <w:tcW w:w="1825" w:type="dxa"/>
            <w:vAlign w:val="center"/>
          </w:tcPr>
          <w:p w14:paraId="321B9938">
            <w:pPr>
              <w:spacing w:line="440" w:lineRule="exact"/>
              <w:jc w:val="center"/>
              <w:rPr>
                <w:rFonts w:ascii="Arial" w:cs="Arial"/>
                <w:color w:val="auto"/>
                <w:szCs w:val="21"/>
                <w:highlight w:val="none"/>
                <w:u w:val="single"/>
              </w:rPr>
            </w:pPr>
            <w:r>
              <w:rPr>
                <w:rFonts w:hint="eastAsia" w:cs="Calibri"/>
                <w:color w:val="auto"/>
                <w:highlight w:val="none"/>
              </w:rPr>
              <w:t>（</w:t>
            </w:r>
            <w:r>
              <w:rPr>
                <w:rFonts w:cs="Calibri"/>
                <w:color w:val="auto"/>
                <w:highlight w:val="none"/>
              </w:rPr>
              <w:t>%）</w:t>
            </w:r>
          </w:p>
        </w:tc>
        <w:tc>
          <w:tcPr>
            <w:tcW w:w="841" w:type="dxa"/>
            <w:vAlign w:val="center"/>
          </w:tcPr>
          <w:p w14:paraId="33287977">
            <w:pPr>
              <w:spacing w:line="440" w:lineRule="exact"/>
              <w:jc w:val="center"/>
              <w:rPr>
                <w:rFonts w:cs="Calibri"/>
                <w:color w:val="auto"/>
                <w:highlight w:val="none"/>
              </w:rPr>
            </w:pPr>
          </w:p>
        </w:tc>
      </w:tr>
      <w:tr w14:paraId="7F487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59" w:type="dxa"/>
            <w:vAlign w:val="center"/>
          </w:tcPr>
          <w:p w14:paraId="49A1B68E">
            <w:pPr>
              <w:spacing w:line="440" w:lineRule="exact"/>
              <w:jc w:val="center"/>
              <w:rPr>
                <w:rFonts w:cs="Calibri"/>
                <w:color w:val="auto"/>
                <w:highlight w:val="none"/>
              </w:rPr>
            </w:pPr>
            <w:r>
              <w:rPr>
                <w:rFonts w:hint="eastAsia" w:cs="Calibri"/>
                <w:color w:val="auto"/>
                <w:highlight w:val="none"/>
              </w:rPr>
              <w:t>2</w:t>
            </w:r>
          </w:p>
        </w:tc>
        <w:tc>
          <w:tcPr>
            <w:tcW w:w="2415" w:type="dxa"/>
            <w:vAlign w:val="center"/>
          </w:tcPr>
          <w:p w14:paraId="4FE0F73E">
            <w:pPr>
              <w:spacing w:line="440" w:lineRule="exact"/>
              <w:jc w:val="center"/>
              <w:rPr>
                <w:rFonts w:ascii="Calibri" w:hAnsi="Calibri" w:cs="Calibri"/>
                <w:color w:val="auto"/>
                <w:highlight w:val="none"/>
              </w:rPr>
            </w:pPr>
            <w:r>
              <w:rPr>
                <w:rFonts w:hint="eastAsia" w:ascii="Calibri" w:hAnsi="Calibri" w:cs="Calibri"/>
                <w:color w:val="auto"/>
                <w:highlight w:val="none"/>
              </w:rPr>
              <w:t>协定存款年利率</w:t>
            </w:r>
          </w:p>
        </w:tc>
        <w:tc>
          <w:tcPr>
            <w:tcW w:w="1244" w:type="dxa"/>
            <w:vAlign w:val="center"/>
          </w:tcPr>
          <w:p w14:paraId="4EDB6456">
            <w:pPr>
              <w:spacing w:line="440" w:lineRule="exact"/>
              <w:jc w:val="center"/>
              <w:rPr>
                <w:rFonts w:ascii="Calibri" w:hAnsi="Calibri" w:cs="Calibri"/>
                <w:color w:val="auto"/>
                <w:highlight w:val="none"/>
              </w:rPr>
            </w:pPr>
            <w:r>
              <w:rPr>
                <w:rFonts w:hint="eastAsia" w:ascii="Calibri" w:hAnsi="Calibri" w:cs="Calibri"/>
                <w:color w:val="auto"/>
                <w:highlight w:val="none"/>
              </w:rPr>
              <w:t>1.15</w:t>
            </w:r>
            <w:r>
              <w:rPr>
                <w:rFonts w:hint="eastAsia" w:cs="Calibri"/>
                <w:color w:val="auto"/>
                <w:highlight w:val="none"/>
              </w:rPr>
              <w:t>（</w:t>
            </w:r>
            <w:r>
              <w:rPr>
                <w:rFonts w:cs="Calibri"/>
                <w:color w:val="auto"/>
                <w:highlight w:val="none"/>
              </w:rPr>
              <w:t>%）</w:t>
            </w:r>
          </w:p>
        </w:tc>
        <w:tc>
          <w:tcPr>
            <w:tcW w:w="2056" w:type="dxa"/>
            <w:vAlign w:val="center"/>
          </w:tcPr>
          <w:p w14:paraId="3D07438B">
            <w:pPr>
              <w:spacing w:line="440" w:lineRule="exact"/>
              <w:jc w:val="center"/>
              <w:rPr>
                <w:rFonts w:ascii="宋体" w:hAnsi="宋体" w:cs="宋体"/>
                <w:color w:val="auto"/>
                <w:highlight w:val="none"/>
                <w:u w:val="single"/>
              </w:rPr>
            </w:pPr>
            <w:r>
              <w:rPr>
                <w:rFonts w:hint="eastAsia" w:ascii="宋体" w:hAnsi="宋体" w:eastAsia="宋体" w:cs="宋体"/>
                <w:color w:val="auto"/>
                <w:szCs w:val="21"/>
                <w:highlight w:val="none"/>
              </w:rPr>
              <w:t xml:space="preserve">----------- </w:t>
            </w:r>
          </w:p>
        </w:tc>
        <w:tc>
          <w:tcPr>
            <w:tcW w:w="1825" w:type="dxa"/>
            <w:vAlign w:val="center"/>
          </w:tcPr>
          <w:p w14:paraId="7DDAF765">
            <w:pPr>
              <w:spacing w:line="440" w:lineRule="exact"/>
              <w:jc w:val="center"/>
              <w:rPr>
                <w:rFonts w:cs="Calibri"/>
                <w:color w:val="auto"/>
                <w:highlight w:val="none"/>
                <w:u w:val="single"/>
              </w:rPr>
            </w:pPr>
            <w:r>
              <w:rPr>
                <w:rFonts w:hint="eastAsia" w:cs="Calibri"/>
                <w:color w:val="auto"/>
                <w:highlight w:val="none"/>
              </w:rPr>
              <w:t>（</w:t>
            </w:r>
            <w:r>
              <w:rPr>
                <w:rFonts w:cs="Calibri"/>
                <w:color w:val="auto"/>
                <w:highlight w:val="none"/>
              </w:rPr>
              <w:t>%）</w:t>
            </w:r>
          </w:p>
        </w:tc>
        <w:tc>
          <w:tcPr>
            <w:tcW w:w="841" w:type="dxa"/>
            <w:vAlign w:val="center"/>
          </w:tcPr>
          <w:p w14:paraId="6AFAE311">
            <w:pPr>
              <w:spacing w:line="440" w:lineRule="exact"/>
              <w:jc w:val="center"/>
              <w:rPr>
                <w:rFonts w:cs="Calibri"/>
                <w:color w:val="auto"/>
                <w:highlight w:val="none"/>
              </w:rPr>
            </w:pPr>
          </w:p>
        </w:tc>
      </w:tr>
      <w:tr w14:paraId="35182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59" w:type="dxa"/>
            <w:vAlign w:val="center"/>
          </w:tcPr>
          <w:p w14:paraId="5E1CF4D7">
            <w:pPr>
              <w:spacing w:line="440" w:lineRule="exact"/>
              <w:jc w:val="center"/>
              <w:rPr>
                <w:rFonts w:cs="Calibri"/>
                <w:color w:val="auto"/>
                <w:highlight w:val="none"/>
              </w:rPr>
            </w:pPr>
            <w:r>
              <w:rPr>
                <w:rFonts w:hint="eastAsia" w:cs="Calibri"/>
                <w:color w:val="auto"/>
                <w:highlight w:val="none"/>
              </w:rPr>
              <w:t>3</w:t>
            </w:r>
          </w:p>
        </w:tc>
        <w:tc>
          <w:tcPr>
            <w:tcW w:w="2415" w:type="dxa"/>
            <w:vAlign w:val="center"/>
          </w:tcPr>
          <w:p w14:paraId="25FDE973">
            <w:pPr>
              <w:spacing w:line="440" w:lineRule="exact"/>
              <w:jc w:val="center"/>
              <w:rPr>
                <w:rFonts w:ascii="Calibri" w:hAnsi="Calibri" w:cs="Calibri"/>
                <w:color w:val="auto"/>
                <w:highlight w:val="none"/>
              </w:rPr>
            </w:pPr>
            <w:r>
              <w:rPr>
                <w:rFonts w:hint="eastAsia"/>
                <w:color w:val="auto"/>
                <w:highlight w:val="none"/>
              </w:rPr>
              <w:t>协定起存金额（协定存款最低留存额）</w:t>
            </w:r>
          </w:p>
        </w:tc>
        <w:tc>
          <w:tcPr>
            <w:tcW w:w="5966" w:type="dxa"/>
            <w:gridSpan w:val="4"/>
            <w:vAlign w:val="center"/>
          </w:tcPr>
          <w:p w14:paraId="0A83F795">
            <w:pPr>
              <w:pStyle w:val="11"/>
              <w:adjustRightInd w:val="0"/>
              <w:snapToGrid w:val="0"/>
              <w:spacing w:line="400" w:lineRule="atLeast"/>
              <w:rPr>
                <w:color w:val="auto"/>
                <w:highlight w:val="none"/>
              </w:rPr>
            </w:pPr>
            <w:r>
              <w:rPr>
                <w:rFonts w:hint="eastAsia"/>
                <w:color w:val="auto"/>
                <w:highlight w:val="none"/>
              </w:rPr>
              <w:t>小写：</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w:t>
            </w:r>
          </w:p>
          <w:p w14:paraId="5CAB6C82">
            <w:pPr>
              <w:spacing w:line="440" w:lineRule="exact"/>
              <w:jc w:val="left"/>
              <w:rPr>
                <w:rFonts w:cs="Calibri"/>
                <w:color w:val="auto"/>
                <w:highlight w:val="none"/>
              </w:rPr>
            </w:pPr>
            <w:r>
              <w:rPr>
                <w:rFonts w:hint="eastAsia"/>
                <w:color w:val="auto"/>
                <w:highlight w:val="none"/>
              </w:rPr>
              <w:t>大写：</w:t>
            </w:r>
            <w:r>
              <w:rPr>
                <w:rFonts w:hint="eastAsia"/>
                <w:color w:val="auto"/>
                <w:highlight w:val="none"/>
                <w:u w:val="single"/>
              </w:rPr>
              <w:t xml:space="preserve">      元整</w:t>
            </w:r>
            <w:r>
              <w:rPr>
                <w:rFonts w:hint="eastAsia"/>
                <w:color w:val="auto"/>
                <w:highlight w:val="none"/>
              </w:rPr>
              <w:t>；</w:t>
            </w:r>
          </w:p>
        </w:tc>
      </w:tr>
    </w:tbl>
    <w:p w14:paraId="450DF6EF">
      <w:pPr>
        <w:pStyle w:val="11"/>
        <w:adjustRightInd w:val="0"/>
        <w:snapToGrid w:val="0"/>
        <w:spacing w:line="400" w:lineRule="atLeast"/>
        <w:ind w:left="480"/>
        <w:rPr>
          <w:rFonts w:hAnsi="宋体"/>
          <w:b/>
          <w:color w:val="auto"/>
          <w:sz w:val="22"/>
          <w:szCs w:val="22"/>
          <w:highlight w:val="none"/>
        </w:rPr>
      </w:pPr>
      <w:r>
        <w:rPr>
          <w:rFonts w:hint="eastAsia" w:hAnsi="宋体"/>
          <w:b/>
          <w:color w:val="auto"/>
          <w:sz w:val="22"/>
          <w:szCs w:val="22"/>
          <w:highlight w:val="none"/>
        </w:rPr>
        <w:t>注：</w:t>
      </w:r>
    </w:p>
    <w:p w14:paraId="59E8203C">
      <w:pPr>
        <w:pStyle w:val="11"/>
        <w:adjustRightInd w:val="0"/>
        <w:snapToGrid w:val="0"/>
        <w:spacing w:line="400" w:lineRule="atLeast"/>
        <w:ind w:left="480" w:firstLine="442" w:firstLineChars="200"/>
        <w:rPr>
          <w:rFonts w:hAnsi="宋体"/>
          <w:b/>
          <w:color w:val="auto"/>
          <w:sz w:val="22"/>
          <w:szCs w:val="22"/>
          <w:highlight w:val="none"/>
        </w:rPr>
      </w:pPr>
      <w:r>
        <w:rPr>
          <w:rFonts w:hint="eastAsia" w:hAnsi="宋体"/>
          <w:b/>
          <w:color w:val="auto"/>
          <w:sz w:val="22"/>
          <w:szCs w:val="22"/>
          <w:highlight w:val="none"/>
        </w:rPr>
        <w:t>1.填写说明：加点以“+”表示，减点以“－”表示。（其中1个基点=0.01%），例如：减点数为10基点，可填写为“-10”（四舍五入，最多保留两位小数）。</w:t>
      </w:r>
    </w:p>
    <w:p w14:paraId="5A0D2D6C">
      <w:pPr>
        <w:pStyle w:val="11"/>
        <w:adjustRightInd w:val="0"/>
        <w:snapToGrid w:val="0"/>
        <w:spacing w:line="400" w:lineRule="atLeast"/>
        <w:ind w:left="480" w:firstLine="442" w:firstLineChars="200"/>
        <w:rPr>
          <w:rFonts w:hAnsi="宋体"/>
          <w:b/>
          <w:color w:val="auto"/>
          <w:sz w:val="22"/>
          <w:szCs w:val="22"/>
          <w:highlight w:val="none"/>
        </w:rPr>
      </w:pPr>
      <w:r>
        <w:rPr>
          <w:rFonts w:hint="eastAsia" w:hAnsi="宋体"/>
          <w:b/>
          <w:color w:val="auto"/>
          <w:sz w:val="22"/>
          <w:szCs w:val="22"/>
          <w:highlight w:val="none"/>
        </w:rPr>
        <w:t>2.此表不得自行增减内容，不提供详细此表将视为没有实质性响应招标文件。</w:t>
      </w:r>
    </w:p>
    <w:p w14:paraId="0D6393EF">
      <w:pPr>
        <w:pStyle w:val="11"/>
        <w:adjustRightInd w:val="0"/>
        <w:snapToGrid w:val="0"/>
        <w:spacing w:line="400" w:lineRule="atLeast"/>
        <w:ind w:left="480" w:firstLine="442" w:firstLineChars="200"/>
        <w:rPr>
          <w:rFonts w:hAnsi="宋体"/>
          <w:b/>
          <w:color w:val="auto"/>
          <w:sz w:val="22"/>
          <w:szCs w:val="22"/>
          <w:highlight w:val="none"/>
        </w:rPr>
      </w:pPr>
      <w:r>
        <w:rPr>
          <w:rFonts w:hint="eastAsia" w:hAnsi="宋体"/>
          <w:b/>
          <w:color w:val="auto"/>
          <w:sz w:val="22"/>
          <w:szCs w:val="22"/>
          <w:highlight w:val="none"/>
        </w:rPr>
        <w:t>3.活期存款和协定存款基准利率和加减点数（基点）必须符合国家利率政策规定和中国人民银行、银监会有关规定。</w:t>
      </w:r>
    </w:p>
    <w:p w14:paraId="0EC27FEA">
      <w:pPr>
        <w:pStyle w:val="11"/>
        <w:adjustRightInd w:val="0"/>
        <w:snapToGrid w:val="0"/>
        <w:spacing w:line="400" w:lineRule="atLeast"/>
        <w:ind w:left="480" w:firstLine="442" w:firstLineChars="200"/>
        <w:rPr>
          <w:rFonts w:hAnsi="宋体"/>
          <w:b/>
          <w:color w:val="auto"/>
          <w:sz w:val="22"/>
          <w:szCs w:val="22"/>
          <w:highlight w:val="none"/>
        </w:rPr>
      </w:pPr>
      <w:r>
        <w:rPr>
          <w:rFonts w:hint="eastAsia" w:hAnsi="宋体"/>
          <w:b/>
          <w:color w:val="auto"/>
          <w:sz w:val="22"/>
          <w:szCs w:val="22"/>
          <w:highlight w:val="none"/>
        </w:rPr>
        <w:t>4.协定起存金额（协定存款最低留存额）超过50万元的，作无效标处理。</w:t>
      </w:r>
    </w:p>
    <w:p w14:paraId="39A086E3">
      <w:pPr>
        <w:spacing w:line="480" w:lineRule="auto"/>
        <w:ind w:firstLine="4830" w:firstLineChars="2300"/>
        <w:rPr>
          <w:rFonts w:ascii="Arial" w:hAnsi="Arial"/>
          <w:color w:val="auto"/>
          <w:highlight w:val="none"/>
        </w:rPr>
      </w:pPr>
    </w:p>
    <w:p w14:paraId="38BBB5A4">
      <w:pPr>
        <w:spacing w:line="480" w:lineRule="auto"/>
        <w:rPr>
          <w:rFonts w:ascii="Arial" w:hAnsi="Arial"/>
          <w:color w:val="auto"/>
          <w:highlight w:val="none"/>
        </w:rPr>
      </w:pPr>
    </w:p>
    <w:p w14:paraId="073615E6">
      <w:pPr>
        <w:spacing w:line="480" w:lineRule="auto"/>
        <w:ind w:left="3360" w:firstLine="420"/>
        <w:rPr>
          <w:rFonts w:ascii="Arial" w:hAnsi="Arial"/>
          <w:color w:val="auto"/>
          <w:highlight w:val="none"/>
        </w:rPr>
      </w:pPr>
      <w:r>
        <w:rPr>
          <w:rFonts w:hint="eastAsia" w:ascii="Arial" w:hAnsi="Arial"/>
          <w:color w:val="auto"/>
          <w:highlight w:val="none"/>
        </w:rPr>
        <w:t xml:space="preserve">                投标人全称（盖章）：</w:t>
      </w:r>
    </w:p>
    <w:p w14:paraId="41F8BA44">
      <w:pPr>
        <w:tabs>
          <w:tab w:val="left" w:pos="4635"/>
        </w:tabs>
        <w:spacing w:line="360" w:lineRule="auto"/>
        <w:ind w:firstLine="1890" w:firstLineChars="900"/>
        <w:rPr>
          <w:rFonts w:ascii="Arial" w:hAnsi="Arial"/>
          <w:color w:val="auto"/>
          <w:highlight w:val="none"/>
        </w:rPr>
      </w:pPr>
      <w:r>
        <w:rPr>
          <w:rFonts w:hint="eastAsia" w:ascii="Arial" w:hAnsi="Arial"/>
          <w:color w:val="auto"/>
          <w:highlight w:val="none"/>
        </w:rPr>
        <w:t>法定代表人（或分公司负责人）或其授权代表（签字或盖章）：</w:t>
      </w:r>
    </w:p>
    <w:p w14:paraId="40E5646A">
      <w:pPr>
        <w:spacing w:line="480" w:lineRule="auto"/>
        <w:ind w:left="3360" w:firstLine="2520" w:firstLineChars="1200"/>
        <w:rPr>
          <w:rFonts w:ascii="Arial" w:hAnsi="Arial"/>
          <w:color w:val="auto"/>
          <w:highlight w:val="none"/>
        </w:rPr>
      </w:pPr>
      <w:r>
        <w:rPr>
          <w:rFonts w:hint="eastAsia" w:ascii="Arial" w:hAnsi="Arial"/>
          <w:color w:val="auto"/>
          <w:highlight w:val="none"/>
        </w:rPr>
        <w:t xml:space="preserve"> 日    期：</w:t>
      </w:r>
      <w:r>
        <w:rPr>
          <w:rFonts w:hint="eastAsia" w:ascii="宋体" w:hAnsi="宋体"/>
          <w:color w:val="auto"/>
          <w:szCs w:val="21"/>
          <w:highlight w:val="none"/>
        </w:rPr>
        <w:t xml:space="preserve">     年   月   日</w:t>
      </w:r>
    </w:p>
    <w:p w14:paraId="0763C6A1">
      <w:pPr>
        <w:spacing w:line="480" w:lineRule="auto"/>
        <w:ind w:left="3360" w:firstLine="420"/>
        <w:rPr>
          <w:rFonts w:ascii="Arial" w:hAnsi="Arial"/>
          <w:color w:val="auto"/>
          <w:highlight w:val="none"/>
        </w:rPr>
      </w:pPr>
    </w:p>
    <w:p w14:paraId="7D1C5875">
      <w:pPr>
        <w:spacing w:line="480" w:lineRule="auto"/>
        <w:ind w:left="3360" w:firstLine="420"/>
        <w:rPr>
          <w:rFonts w:ascii="Arial" w:hAnsi="Arial"/>
          <w:color w:val="auto"/>
          <w:highlight w:val="none"/>
        </w:rPr>
      </w:pPr>
    </w:p>
    <w:p w14:paraId="5DA774B6">
      <w:pPr>
        <w:spacing w:line="480" w:lineRule="auto"/>
        <w:ind w:left="3360" w:firstLine="420"/>
        <w:rPr>
          <w:rFonts w:ascii="Arial" w:hAnsi="Arial"/>
          <w:color w:val="auto"/>
          <w:highlight w:val="none"/>
        </w:rPr>
      </w:pPr>
    </w:p>
    <w:p w14:paraId="73E2338F">
      <w:pPr>
        <w:spacing w:line="480" w:lineRule="auto"/>
        <w:ind w:firstLine="4830" w:firstLineChars="2300"/>
        <w:rPr>
          <w:rFonts w:ascii="Arial" w:hAnsi="Arial"/>
          <w:color w:val="auto"/>
          <w:highlight w:val="none"/>
        </w:rPr>
      </w:pPr>
      <w:bookmarkStart w:id="189" w:name="_Toc458085598"/>
      <w:bookmarkStart w:id="190" w:name="_Toc452412823"/>
    </w:p>
    <w:p w14:paraId="0C8B7F28">
      <w:pPr>
        <w:spacing w:line="480" w:lineRule="auto"/>
        <w:rPr>
          <w:rFonts w:ascii="Arial" w:hAnsi="Arial"/>
          <w:color w:val="auto"/>
          <w:highlight w:val="none"/>
        </w:rPr>
      </w:pPr>
    </w:p>
    <w:bookmarkEnd w:id="189"/>
    <w:bookmarkEnd w:id="190"/>
    <w:p w14:paraId="18BA6DFA">
      <w:pPr>
        <w:spacing w:beforeLines="50" w:afterLines="50" w:line="360" w:lineRule="atLeast"/>
        <w:jc w:val="center"/>
        <w:rPr>
          <w:color w:val="auto"/>
          <w:highlight w:val="none"/>
        </w:rPr>
      </w:pPr>
      <w:r>
        <w:rPr>
          <w:rFonts w:hint="eastAsia"/>
          <w:b/>
          <w:bCs/>
          <w:color w:val="auto"/>
          <w:sz w:val="24"/>
          <w:highlight w:val="none"/>
        </w:rPr>
        <w:br w:type="page"/>
      </w:r>
    </w:p>
    <w:bookmarkEnd w:id="177"/>
    <w:bookmarkEnd w:id="178"/>
    <w:bookmarkEnd w:id="179"/>
    <w:bookmarkEnd w:id="180"/>
    <w:bookmarkEnd w:id="181"/>
    <w:bookmarkEnd w:id="182"/>
    <w:p w14:paraId="132A3BF8">
      <w:pPr>
        <w:jc w:val="center"/>
        <w:outlineLvl w:val="1"/>
        <w:rPr>
          <w:b/>
          <w:bCs/>
          <w:color w:val="auto"/>
          <w:sz w:val="24"/>
          <w:highlight w:val="none"/>
        </w:rPr>
      </w:pPr>
      <w:bookmarkStart w:id="191" w:name="_Toc29509"/>
      <w:bookmarkStart w:id="192" w:name="_Toc11870"/>
      <w:bookmarkStart w:id="193" w:name="_Toc24471"/>
      <w:bookmarkStart w:id="194" w:name="_Toc21668"/>
      <w:bookmarkStart w:id="195" w:name="_Toc19718"/>
      <w:bookmarkStart w:id="196" w:name="_Toc16251"/>
      <w:r>
        <w:rPr>
          <w:rFonts w:hint="eastAsia"/>
          <w:b/>
          <w:bCs/>
          <w:color w:val="auto"/>
          <w:sz w:val="24"/>
          <w:highlight w:val="none"/>
        </w:rPr>
        <w:t>附件九    服务承诺书</w:t>
      </w:r>
      <w:bookmarkEnd w:id="191"/>
      <w:bookmarkEnd w:id="192"/>
      <w:bookmarkEnd w:id="193"/>
      <w:bookmarkEnd w:id="194"/>
      <w:bookmarkEnd w:id="195"/>
      <w:bookmarkEnd w:id="196"/>
    </w:p>
    <w:p w14:paraId="2E001227">
      <w:pPr>
        <w:spacing w:beforeLines="100"/>
        <w:rPr>
          <w:b/>
          <w:bCs/>
          <w:color w:val="auto"/>
          <w:highlight w:val="none"/>
          <w:u w:val="single"/>
        </w:rPr>
      </w:pPr>
      <w:r>
        <w:rPr>
          <w:rFonts w:hint="eastAsia" w:ascii="Arial" w:hAnsi="Arial"/>
          <w:b/>
          <w:color w:val="auto"/>
          <w:sz w:val="24"/>
          <w:highlight w:val="none"/>
          <w:u w:val="single"/>
        </w:rPr>
        <w:t>瑞安市卫生健康局</w:t>
      </w:r>
      <w:r>
        <w:rPr>
          <w:rFonts w:hint="eastAsia"/>
          <w:b/>
          <w:color w:val="auto"/>
          <w:highlight w:val="none"/>
          <w:u w:val="single"/>
        </w:rPr>
        <w:t>：</w:t>
      </w:r>
    </w:p>
    <w:p w14:paraId="0A2A9CCF">
      <w:pPr>
        <w:spacing w:line="440" w:lineRule="exact"/>
        <w:ind w:firstLine="525" w:firstLineChars="250"/>
        <w:rPr>
          <w:color w:val="auto"/>
          <w:highlight w:val="none"/>
        </w:rPr>
      </w:pPr>
      <w:r>
        <w:rPr>
          <w:rFonts w:hint="eastAsia"/>
          <w:color w:val="auto"/>
          <w:highlight w:val="none"/>
        </w:rPr>
        <w:t>根据</w:t>
      </w:r>
      <w:r>
        <w:rPr>
          <w:rFonts w:hint="eastAsia"/>
          <w:color w:val="auto"/>
          <w:highlight w:val="none"/>
          <w:lang w:eastAsia="zh-CN"/>
        </w:rPr>
        <w:t>瑞安市基层卫生服务中心</w:t>
      </w:r>
      <w:r>
        <w:rPr>
          <w:rFonts w:hint="eastAsia"/>
          <w:color w:val="auto"/>
          <w:highlight w:val="none"/>
        </w:rPr>
        <w:t>专用账户开立招投标项目招标文件的要求，我行在提供银行服务期间，郑重承诺：</w:t>
      </w:r>
    </w:p>
    <w:p w14:paraId="003A295A">
      <w:pPr>
        <w:numPr>
          <w:ilvl w:val="0"/>
          <w:numId w:val="23"/>
        </w:numPr>
        <w:spacing w:line="440" w:lineRule="exact"/>
        <w:ind w:left="780" w:hanging="360"/>
        <w:rPr>
          <w:color w:val="auto"/>
          <w:highlight w:val="none"/>
        </w:rPr>
      </w:pPr>
      <w:r>
        <w:rPr>
          <w:rFonts w:hint="eastAsia"/>
          <w:color w:val="auto"/>
          <w:highlight w:val="none"/>
        </w:rPr>
        <w:t>保证依据招标文件要求和我行投标文件的承诺，按投标实施方案向贵单位提供高质量服务；</w:t>
      </w:r>
    </w:p>
    <w:p w14:paraId="6A8B714C">
      <w:pPr>
        <w:numPr>
          <w:ilvl w:val="0"/>
          <w:numId w:val="23"/>
        </w:numPr>
        <w:spacing w:line="440" w:lineRule="exact"/>
        <w:ind w:left="780" w:hanging="360"/>
        <w:rPr>
          <w:color w:val="auto"/>
          <w:highlight w:val="none"/>
        </w:rPr>
      </w:pPr>
      <w:r>
        <w:rPr>
          <w:rFonts w:hint="eastAsia"/>
          <w:color w:val="auto"/>
          <w:highlight w:val="none"/>
        </w:rPr>
        <w:t>保证本行及本行系统转账及时、不压票；</w:t>
      </w:r>
    </w:p>
    <w:p w14:paraId="6D4BBEB1">
      <w:pPr>
        <w:numPr>
          <w:ilvl w:val="0"/>
          <w:numId w:val="23"/>
        </w:numPr>
        <w:spacing w:line="440" w:lineRule="exact"/>
        <w:ind w:left="780" w:hanging="360"/>
        <w:rPr>
          <w:color w:val="auto"/>
          <w:highlight w:val="none"/>
        </w:rPr>
      </w:pPr>
      <w:r>
        <w:rPr>
          <w:rFonts w:hint="eastAsia"/>
          <w:color w:val="auto"/>
          <w:highlight w:val="none"/>
        </w:rPr>
        <w:t>保证妥善保管贵单位提供的各种单据和资料，按时送报表及对账，严格遵守保密规定；</w:t>
      </w:r>
    </w:p>
    <w:p w14:paraId="165C9234">
      <w:pPr>
        <w:numPr>
          <w:ilvl w:val="0"/>
          <w:numId w:val="23"/>
        </w:numPr>
        <w:spacing w:line="440" w:lineRule="exact"/>
        <w:ind w:left="780" w:hanging="360"/>
        <w:rPr>
          <w:color w:val="auto"/>
          <w:highlight w:val="none"/>
        </w:rPr>
      </w:pPr>
      <w:r>
        <w:rPr>
          <w:rFonts w:hint="eastAsia"/>
          <w:color w:val="auto"/>
          <w:highlight w:val="none"/>
        </w:rPr>
        <w:t>保证与贵单位密切配合，做好资金的交、存、支付等工作和台账登记等辅助管理服务。按要求配备与之相适应的专业工作人员，办公自动化设备；</w:t>
      </w:r>
    </w:p>
    <w:p w14:paraId="3028111F">
      <w:pPr>
        <w:numPr>
          <w:ilvl w:val="0"/>
          <w:numId w:val="23"/>
        </w:numPr>
        <w:spacing w:line="440" w:lineRule="exact"/>
        <w:ind w:left="780" w:hanging="360"/>
        <w:rPr>
          <w:color w:val="auto"/>
          <w:highlight w:val="none"/>
        </w:rPr>
      </w:pPr>
      <w:r>
        <w:rPr>
          <w:rFonts w:hint="eastAsia"/>
          <w:color w:val="auto"/>
          <w:highlight w:val="none"/>
        </w:rPr>
        <w:t>对违规、违法的支付要求予以拒绝，并及时报告；</w:t>
      </w:r>
    </w:p>
    <w:p w14:paraId="3B96B3F6">
      <w:pPr>
        <w:numPr>
          <w:ilvl w:val="0"/>
          <w:numId w:val="23"/>
        </w:numPr>
        <w:spacing w:line="440" w:lineRule="exact"/>
        <w:ind w:left="780" w:hanging="360"/>
        <w:rPr>
          <w:color w:val="auto"/>
          <w:highlight w:val="none"/>
        </w:rPr>
      </w:pPr>
      <w:r>
        <w:rPr>
          <w:rFonts w:hint="eastAsia"/>
          <w:color w:val="auto"/>
          <w:highlight w:val="none"/>
        </w:rPr>
        <w:t>确保资金在系统内的安全运行；</w:t>
      </w:r>
    </w:p>
    <w:p w14:paraId="6B10C025">
      <w:pPr>
        <w:numPr>
          <w:ilvl w:val="0"/>
          <w:numId w:val="23"/>
        </w:numPr>
        <w:spacing w:line="440" w:lineRule="exact"/>
        <w:ind w:left="780" w:hanging="360"/>
        <w:rPr>
          <w:color w:val="auto"/>
          <w:highlight w:val="none"/>
        </w:rPr>
      </w:pPr>
      <w:r>
        <w:rPr>
          <w:rFonts w:hint="eastAsia"/>
          <w:color w:val="auto"/>
          <w:highlight w:val="none"/>
        </w:rPr>
        <w:t>如因资金调度需要而给我行带来的损失，由我行自行承担；</w:t>
      </w:r>
    </w:p>
    <w:p w14:paraId="49C2955C">
      <w:pPr>
        <w:numPr>
          <w:ilvl w:val="0"/>
          <w:numId w:val="23"/>
        </w:numPr>
        <w:spacing w:line="440" w:lineRule="exact"/>
        <w:ind w:left="780" w:hanging="360"/>
        <w:rPr>
          <w:color w:val="auto"/>
          <w:highlight w:val="none"/>
        </w:rPr>
      </w:pPr>
      <w:r>
        <w:rPr>
          <w:rFonts w:hint="eastAsia" w:ascii="Arial" w:hAnsi="Arial"/>
          <w:color w:val="auto"/>
          <w:highlight w:val="none"/>
        </w:rPr>
        <w:t>配备至少1名与本项目相适应的专业工作人员对接服务</w:t>
      </w:r>
      <w:r>
        <w:rPr>
          <w:rFonts w:hint="eastAsia"/>
          <w:color w:val="auto"/>
          <w:highlight w:val="none"/>
        </w:rPr>
        <w:t>；</w:t>
      </w:r>
    </w:p>
    <w:p w14:paraId="4DB8474C">
      <w:pPr>
        <w:numPr>
          <w:ilvl w:val="0"/>
          <w:numId w:val="23"/>
        </w:numPr>
        <w:spacing w:line="440" w:lineRule="exact"/>
        <w:ind w:left="780" w:hanging="360"/>
        <w:rPr>
          <w:color w:val="auto"/>
          <w:highlight w:val="none"/>
        </w:rPr>
      </w:pPr>
      <w:r>
        <w:rPr>
          <w:rFonts w:hint="eastAsia"/>
          <w:color w:val="auto"/>
          <w:highlight w:val="none"/>
        </w:rPr>
        <w:t>根据贵单位的要求，办理相关业务；</w:t>
      </w:r>
    </w:p>
    <w:p w14:paraId="7912515D">
      <w:pPr>
        <w:numPr>
          <w:ilvl w:val="0"/>
          <w:numId w:val="23"/>
        </w:numPr>
        <w:spacing w:line="440" w:lineRule="exact"/>
        <w:ind w:left="780" w:hanging="360"/>
        <w:rPr>
          <w:color w:val="auto"/>
          <w:highlight w:val="none"/>
        </w:rPr>
      </w:pPr>
      <w:r>
        <w:rPr>
          <w:rFonts w:hint="eastAsia"/>
          <w:color w:val="auto"/>
          <w:highlight w:val="none"/>
        </w:rPr>
        <w:t>如发现我行及我行系统因自身原因违反合同和本承诺书的有关规定或承诺，有权停止我行本项目资金存放资格，我行将承担由此造成的经济损失。</w:t>
      </w:r>
    </w:p>
    <w:p w14:paraId="3DD4D329">
      <w:pPr>
        <w:numPr>
          <w:ilvl w:val="0"/>
          <w:numId w:val="23"/>
        </w:numPr>
        <w:spacing w:line="440" w:lineRule="exact"/>
        <w:ind w:left="780" w:hanging="360"/>
        <w:rPr>
          <w:color w:val="auto"/>
          <w:highlight w:val="none"/>
        </w:rPr>
      </w:pPr>
      <w:r>
        <w:rPr>
          <w:rFonts w:hint="eastAsia"/>
          <w:color w:val="auto"/>
          <w:highlight w:val="none"/>
        </w:rPr>
        <w:t>根据贵单位需求在专用账户下设子账户，子账户赋予不同单位操作权限，但功能与主账户保持一致。</w:t>
      </w:r>
    </w:p>
    <w:p w14:paraId="28DFA900">
      <w:pPr>
        <w:numPr>
          <w:ilvl w:val="0"/>
          <w:numId w:val="23"/>
        </w:numPr>
        <w:spacing w:line="440" w:lineRule="exact"/>
        <w:ind w:left="780" w:hanging="360"/>
        <w:rPr>
          <w:color w:val="auto"/>
          <w:highlight w:val="none"/>
        </w:rPr>
      </w:pPr>
      <w:r>
        <w:rPr>
          <w:rFonts w:ascii="宋体" w:hAnsi="宋体"/>
          <w:b/>
          <w:color w:val="auto"/>
          <w:highlight w:val="none"/>
        </w:rPr>
        <w:t>……</w:t>
      </w:r>
      <w:r>
        <w:rPr>
          <w:rFonts w:hint="eastAsia"/>
          <w:color w:val="auto"/>
          <w:highlight w:val="none"/>
        </w:rPr>
        <w:t>（上述承诺以外的其它内容。）</w:t>
      </w:r>
    </w:p>
    <w:p w14:paraId="4D7660E1">
      <w:pPr>
        <w:spacing w:line="440" w:lineRule="exact"/>
        <w:ind w:firstLine="420" w:firstLineChars="200"/>
        <w:rPr>
          <w:color w:val="auto"/>
          <w:highlight w:val="none"/>
        </w:rPr>
      </w:pPr>
      <w:r>
        <w:rPr>
          <w:rFonts w:hint="eastAsia"/>
          <w:color w:val="auto"/>
          <w:highlight w:val="none"/>
        </w:rPr>
        <w:t>本承诺书自签字之日起有效。</w:t>
      </w:r>
    </w:p>
    <w:p w14:paraId="3DC0DD9A">
      <w:pPr>
        <w:rPr>
          <w:color w:val="auto"/>
          <w:highlight w:val="none"/>
        </w:rPr>
      </w:pPr>
    </w:p>
    <w:p w14:paraId="2B994B17">
      <w:pPr>
        <w:spacing w:line="480" w:lineRule="auto"/>
        <w:ind w:firstLine="4515" w:firstLineChars="2150"/>
        <w:rPr>
          <w:rFonts w:ascii="Arial" w:hAnsi="Arial"/>
          <w:color w:val="auto"/>
          <w:highlight w:val="none"/>
        </w:rPr>
      </w:pPr>
    </w:p>
    <w:p w14:paraId="5EB1F4D2">
      <w:pPr>
        <w:spacing w:line="480" w:lineRule="auto"/>
        <w:ind w:firstLine="4515" w:firstLineChars="2150"/>
        <w:rPr>
          <w:rFonts w:ascii="Arial" w:hAnsi="Arial"/>
          <w:color w:val="auto"/>
          <w:highlight w:val="none"/>
        </w:rPr>
      </w:pPr>
    </w:p>
    <w:p w14:paraId="4F0CFF2B">
      <w:pPr>
        <w:spacing w:line="480" w:lineRule="auto"/>
        <w:ind w:left="3360" w:firstLine="420"/>
        <w:rPr>
          <w:rFonts w:ascii="Arial" w:hAnsi="Arial"/>
          <w:color w:val="auto"/>
          <w:highlight w:val="none"/>
        </w:rPr>
      </w:pPr>
      <w:r>
        <w:rPr>
          <w:rFonts w:hint="eastAsia" w:ascii="Arial" w:hAnsi="Arial"/>
          <w:color w:val="auto"/>
          <w:highlight w:val="none"/>
        </w:rPr>
        <w:t xml:space="preserve">                   投标人全称（盖章）：</w:t>
      </w:r>
    </w:p>
    <w:p w14:paraId="52A66C81">
      <w:pPr>
        <w:tabs>
          <w:tab w:val="left" w:pos="4635"/>
        </w:tabs>
        <w:spacing w:line="360" w:lineRule="auto"/>
        <w:ind w:firstLine="2100" w:firstLineChars="1000"/>
        <w:rPr>
          <w:rFonts w:ascii="Arial" w:hAnsi="Arial"/>
          <w:color w:val="auto"/>
          <w:highlight w:val="none"/>
        </w:rPr>
      </w:pPr>
      <w:r>
        <w:rPr>
          <w:rFonts w:hint="eastAsia" w:ascii="Arial" w:hAnsi="Arial"/>
          <w:color w:val="auto"/>
          <w:highlight w:val="none"/>
        </w:rPr>
        <w:t>法定代表人（或分公司负责人）或其授权代表（签字或盖章）：</w:t>
      </w:r>
    </w:p>
    <w:p w14:paraId="08A6C7FC">
      <w:pPr>
        <w:spacing w:line="480" w:lineRule="auto"/>
        <w:ind w:left="3360" w:firstLine="2520" w:firstLineChars="1200"/>
        <w:rPr>
          <w:rFonts w:ascii="宋体" w:hAnsi="宋体"/>
          <w:color w:val="auto"/>
          <w:szCs w:val="21"/>
          <w:highlight w:val="none"/>
        </w:rPr>
      </w:pPr>
      <w:r>
        <w:rPr>
          <w:rFonts w:hint="eastAsia" w:ascii="Arial" w:hAnsi="Arial"/>
          <w:color w:val="auto"/>
          <w:highlight w:val="none"/>
        </w:rPr>
        <w:t xml:space="preserve"> 日    期：</w:t>
      </w:r>
      <w:r>
        <w:rPr>
          <w:rFonts w:hint="eastAsia" w:ascii="宋体" w:hAnsi="宋体"/>
          <w:color w:val="auto"/>
          <w:szCs w:val="21"/>
          <w:highlight w:val="none"/>
        </w:rPr>
        <w:t xml:space="preserve">     年   月   日</w:t>
      </w:r>
    </w:p>
    <w:p w14:paraId="2A3356A5">
      <w:pPr>
        <w:spacing w:beforeLines="50" w:afterLines="50" w:line="360" w:lineRule="atLeast"/>
        <w:rPr>
          <w:b/>
          <w:bCs/>
          <w:color w:val="auto"/>
          <w:sz w:val="24"/>
          <w:highlight w:val="none"/>
        </w:rPr>
      </w:pPr>
      <w:bookmarkStart w:id="197" w:name="_Toc3876"/>
      <w:r>
        <w:rPr>
          <w:rFonts w:hint="eastAsia"/>
          <w:b/>
          <w:bCs/>
          <w:color w:val="auto"/>
          <w:sz w:val="24"/>
          <w:highlight w:val="none"/>
        </w:rPr>
        <w:br w:type="page"/>
      </w:r>
    </w:p>
    <w:p w14:paraId="7A444E06">
      <w:pPr>
        <w:spacing w:beforeLines="50" w:afterLines="50" w:line="360" w:lineRule="atLeast"/>
        <w:jc w:val="center"/>
        <w:outlineLvl w:val="1"/>
        <w:rPr>
          <w:rFonts w:ascii="仿宋_GB2312" w:hAnsi="仿宋_GB2312" w:eastAsia="仿宋_GB2312"/>
          <w:color w:val="auto"/>
          <w:sz w:val="32"/>
          <w:highlight w:val="none"/>
        </w:rPr>
      </w:pPr>
      <w:bookmarkStart w:id="198" w:name="_Toc2244"/>
      <w:bookmarkStart w:id="199" w:name="_Toc20255"/>
      <w:bookmarkStart w:id="200" w:name="_Toc14038"/>
      <w:r>
        <w:rPr>
          <w:rFonts w:hint="eastAsia"/>
          <w:b/>
          <w:bCs/>
          <w:color w:val="auto"/>
          <w:sz w:val="24"/>
          <w:highlight w:val="none"/>
        </w:rPr>
        <w:t>附件十    廉政承诺书</w:t>
      </w:r>
      <w:bookmarkEnd w:id="197"/>
      <w:bookmarkEnd w:id="198"/>
      <w:bookmarkEnd w:id="199"/>
      <w:bookmarkEnd w:id="200"/>
    </w:p>
    <w:p w14:paraId="3E9D3919">
      <w:pPr>
        <w:spacing w:line="500" w:lineRule="exact"/>
        <w:rPr>
          <w:rFonts w:ascii="宋体" w:hAnsi="宋体" w:eastAsia="宋体" w:cs="宋体"/>
          <w:color w:val="auto"/>
          <w:szCs w:val="21"/>
          <w:highlight w:val="none"/>
        </w:rPr>
      </w:pPr>
      <w:r>
        <w:rPr>
          <w:rFonts w:hint="eastAsia" w:ascii="Arial" w:hAnsi="Arial" w:eastAsia="宋体"/>
          <w:b/>
          <w:color w:val="auto"/>
          <w:sz w:val="24"/>
          <w:highlight w:val="none"/>
          <w:u w:val="single"/>
        </w:rPr>
        <w:t>瑞安市卫生健康局</w:t>
      </w:r>
      <w:r>
        <w:rPr>
          <w:rFonts w:hint="eastAsia" w:ascii="宋体" w:hAnsi="宋体" w:eastAsia="宋体" w:cs="宋体"/>
          <w:color w:val="auto"/>
          <w:szCs w:val="21"/>
          <w:highlight w:val="none"/>
        </w:rPr>
        <w:t>：</w:t>
      </w:r>
    </w:p>
    <w:p w14:paraId="76649AB2">
      <w:pPr>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根据《瑞安市市级行政事业单位公款竞争性存放管理暂行办法》(瑞财预执〔2021〕245号)相关规定，现就本行参加贵单位</w:t>
      </w:r>
      <w:r>
        <w:rPr>
          <w:rFonts w:hint="eastAsia" w:ascii="宋体" w:hAnsi="宋体" w:eastAsia="宋体" w:cs="宋体"/>
          <w:color w:val="auto"/>
          <w:szCs w:val="21"/>
          <w:highlight w:val="none"/>
          <w:lang w:eastAsia="zh-CN"/>
        </w:rPr>
        <w:t>瑞安市基层卫生服务中心</w:t>
      </w:r>
      <w:r>
        <w:rPr>
          <w:rFonts w:hint="eastAsia" w:ascii="宋体" w:hAnsi="宋体" w:eastAsia="宋体" w:cs="宋体"/>
          <w:color w:val="auto"/>
          <w:szCs w:val="21"/>
          <w:highlight w:val="none"/>
        </w:rPr>
        <w:t>专用账户开立招投标项目作出如下承诺：</w:t>
      </w:r>
    </w:p>
    <w:p w14:paraId="4246D384">
      <w:pPr>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1.不向贵单位负责公款存放管理的领导及相关人员进行利益输送；</w:t>
      </w:r>
    </w:p>
    <w:p w14:paraId="59174125">
      <w:pPr>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2.不将公款存放与贵单位负责公款存放管理的领导及相关人员在本行的配偶、子女及其配偶和其他直接利益相关人员的业绩、收入、晋升等利益挂钩；</w:t>
      </w:r>
    </w:p>
    <w:p w14:paraId="419CEC15">
      <w:pPr>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3.严格执行利益回避制度，贵单位负责公款竞争性存放相关人员的配偶、子女及其配偶和其他直接利益相关人员为本行工作人员的，不参与公款竞争性存放工作；</w:t>
      </w:r>
    </w:p>
    <w:p w14:paraId="58D344A8">
      <w:pPr>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4.不发生除上述行为之外的其他任何利益输送行为。</w:t>
      </w:r>
    </w:p>
    <w:p w14:paraId="529C62CD">
      <w:pPr>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未遵守以上承诺的，本行自愿接受财政部门通报和处理，承担相应的一切后果。</w:t>
      </w:r>
    </w:p>
    <w:p w14:paraId="2963CD41">
      <w:pPr>
        <w:ind w:firstLine="420"/>
        <w:rPr>
          <w:color w:val="auto"/>
          <w:highlight w:val="none"/>
        </w:rPr>
      </w:pPr>
    </w:p>
    <w:p w14:paraId="5330D98C">
      <w:pPr>
        <w:spacing w:line="500" w:lineRule="exact"/>
        <w:rPr>
          <w:rFonts w:ascii="宋体" w:hAnsi="宋体" w:eastAsia="宋体" w:cs="宋体"/>
          <w:color w:val="auto"/>
          <w:szCs w:val="21"/>
          <w:highlight w:val="none"/>
        </w:rPr>
      </w:pPr>
    </w:p>
    <w:p w14:paraId="645E3CA9">
      <w:pPr>
        <w:spacing w:line="480" w:lineRule="auto"/>
        <w:ind w:firstLine="4830" w:firstLineChars="2300"/>
        <w:rPr>
          <w:rFonts w:ascii="宋体" w:hAnsi="宋体" w:eastAsia="宋体" w:cs="宋体"/>
          <w:color w:val="auto"/>
          <w:szCs w:val="21"/>
          <w:highlight w:val="none"/>
        </w:rPr>
      </w:pPr>
      <w:r>
        <w:rPr>
          <w:rFonts w:hint="eastAsia" w:ascii="Arial" w:hAnsi="Arial"/>
          <w:color w:val="auto"/>
          <w:highlight w:val="none"/>
        </w:rPr>
        <w:t>投标人全称（盖章）：</w:t>
      </w:r>
    </w:p>
    <w:p w14:paraId="60DBB8B7">
      <w:pPr>
        <w:tabs>
          <w:tab w:val="left" w:pos="4635"/>
        </w:tabs>
        <w:spacing w:line="480" w:lineRule="auto"/>
        <w:ind w:firstLine="1050" w:firstLineChars="500"/>
        <w:rPr>
          <w:rFonts w:ascii="Arial" w:hAnsi="Arial"/>
          <w:color w:val="auto"/>
          <w:highlight w:val="none"/>
        </w:rPr>
      </w:pPr>
      <w:r>
        <w:rPr>
          <w:rFonts w:hint="eastAsia" w:ascii="Arial" w:hAnsi="Arial"/>
          <w:color w:val="auto"/>
          <w:highlight w:val="none"/>
        </w:rPr>
        <w:t>法定代表人（或分公司负责人）或其授权代表（签字或盖章）：</w:t>
      </w:r>
    </w:p>
    <w:p w14:paraId="0D48D61D">
      <w:pPr>
        <w:tabs>
          <w:tab w:val="left" w:pos="4635"/>
        </w:tabs>
        <w:spacing w:line="480" w:lineRule="auto"/>
        <w:ind w:firstLine="5880" w:firstLineChars="2800"/>
        <w:rPr>
          <w:rFonts w:ascii="宋体" w:hAnsi="宋体"/>
          <w:color w:val="auto"/>
          <w:szCs w:val="21"/>
          <w:highlight w:val="none"/>
        </w:rPr>
      </w:pPr>
      <w:r>
        <w:rPr>
          <w:rFonts w:hint="eastAsia" w:ascii="Arial" w:hAnsi="Arial"/>
          <w:color w:val="auto"/>
          <w:highlight w:val="none"/>
        </w:rPr>
        <w:t>日    期：</w:t>
      </w:r>
      <w:r>
        <w:rPr>
          <w:rFonts w:hint="eastAsia" w:ascii="宋体" w:hAnsi="宋体"/>
          <w:color w:val="auto"/>
          <w:szCs w:val="21"/>
          <w:highlight w:val="none"/>
        </w:rPr>
        <w:t xml:space="preserve">     年   月   日</w:t>
      </w:r>
    </w:p>
    <w:p w14:paraId="7EA97C6C">
      <w:pPr>
        <w:spacing w:line="500" w:lineRule="exact"/>
        <w:jc w:val="right"/>
        <w:rPr>
          <w:rFonts w:ascii="宋体" w:hAnsi="宋体" w:eastAsia="宋体" w:cs="宋体"/>
          <w:color w:val="auto"/>
          <w:szCs w:val="21"/>
          <w:highlight w:val="none"/>
        </w:rPr>
      </w:pPr>
    </w:p>
    <w:p w14:paraId="0D29127F">
      <w:pPr>
        <w:spacing w:line="480" w:lineRule="auto"/>
        <w:jc w:val="right"/>
        <w:rPr>
          <w:color w:val="auto"/>
          <w:highlight w:val="none"/>
        </w:rPr>
      </w:pPr>
    </w:p>
    <w:p w14:paraId="63E56BC0">
      <w:pPr>
        <w:rPr>
          <w:rFonts w:hAnsi="宋体"/>
          <w:color w:val="auto"/>
          <w:sz w:val="28"/>
          <w:szCs w:val="36"/>
          <w:highlight w:val="none"/>
        </w:rPr>
      </w:pPr>
      <w:bookmarkStart w:id="201" w:name="_Toc4593"/>
      <w:bookmarkStart w:id="202" w:name="_Toc31042"/>
      <w:bookmarkStart w:id="203" w:name="_Toc27553"/>
      <w:r>
        <w:rPr>
          <w:rFonts w:hint="eastAsia" w:hAnsi="宋体"/>
          <w:color w:val="auto"/>
          <w:sz w:val="28"/>
          <w:szCs w:val="36"/>
          <w:highlight w:val="none"/>
        </w:rPr>
        <w:br w:type="page"/>
      </w:r>
    </w:p>
    <w:p w14:paraId="6F60DDBD">
      <w:pPr>
        <w:spacing w:line="480" w:lineRule="auto"/>
        <w:jc w:val="center"/>
        <w:outlineLvl w:val="1"/>
        <w:rPr>
          <w:rFonts w:ascii="Calibri" w:hAnsi="Calibri" w:eastAsia="宋体" w:cs="宋体"/>
          <w:b/>
          <w:bCs/>
          <w:color w:val="auto"/>
          <w:sz w:val="24"/>
          <w:highlight w:val="none"/>
        </w:rPr>
      </w:pPr>
      <w:bookmarkStart w:id="204" w:name="_Toc6147"/>
      <w:bookmarkStart w:id="205" w:name="_Toc29625"/>
      <w:bookmarkStart w:id="206" w:name="_Toc3712"/>
      <w:r>
        <w:rPr>
          <w:rFonts w:hint="eastAsia" w:cs="宋体"/>
          <w:b/>
          <w:bCs/>
          <w:color w:val="auto"/>
          <w:sz w:val="24"/>
          <w:highlight w:val="none"/>
        </w:rPr>
        <w:t xml:space="preserve">附件十一  </w:t>
      </w:r>
      <w:r>
        <w:rPr>
          <w:rFonts w:hint="eastAsia" w:ascii="Calibri" w:hAnsi="Calibri" w:eastAsia="宋体" w:cs="宋体"/>
          <w:b/>
          <w:bCs/>
          <w:color w:val="auto"/>
          <w:sz w:val="24"/>
          <w:highlight w:val="none"/>
        </w:rPr>
        <w:t>近3年无重大违法违规记录及重大违约事件承诺书</w:t>
      </w:r>
      <w:bookmarkEnd w:id="204"/>
      <w:bookmarkEnd w:id="205"/>
      <w:bookmarkEnd w:id="206"/>
    </w:p>
    <w:p w14:paraId="1356E76D">
      <w:pPr>
        <w:spacing w:line="480" w:lineRule="auto"/>
        <w:jc w:val="center"/>
        <w:rPr>
          <w:rFonts w:cs="Times New Roman"/>
          <w:b/>
          <w:bCs/>
          <w:color w:val="auto"/>
          <w:sz w:val="24"/>
          <w:highlight w:val="none"/>
        </w:rPr>
      </w:pPr>
      <w:r>
        <w:rPr>
          <w:rFonts w:hint="eastAsia" w:cs="宋体"/>
          <w:b/>
          <w:bCs/>
          <w:color w:val="auto"/>
          <w:sz w:val="24"/>
          <w:highlight w:val="none"/>
        </w:rPr>
        <w:t>（格式自拟）</w:t>
      </w:r>
    </w:p>
    <w:p w14:paraId="433C0408">
      <w:pPr>
        <w:rPr>
          <w:rFonts w:hAnsi="宋体"/>
          <w:color w:val="auto"/>
          <w:sz w:val="28"/>
          <w:szCs w:val="36"/>
          <w:highlight w:val="none"/>
        </w:rPr>
      </w:pPr>
    </w:p>
    <w:bookmarkEnd w:id="201"/>
    <w:bookmarkEnd w:id="202"/>
    <w:bookmarkEnd w:id="203"/>
    <w:p w14:paraId="0F13A605">
      <w:pPr>
        <w:pStyle w:val="2"/>
        <w:keepNext w:val="0"/>
        <w:keepLines w:val="0"/>
        <w:pageBreakBefore/>
        <w:spacing w:before="0" w:after="0" w:line="240" w:lineRule="auto"/>
        <w:rPr>
          <w:rFonts w:hAnsi="宋体"/>
          <w:color w:val="auto"/>
          <w:sz w:val="28"/>
          <w:szCs w:val="36"/>
          <w:highlight w:val="none"/>
        </w:rPr>
      </w:pPr>
      <w:bookmarkStart w:id="207" w:name="_Toc22074"/>
      <w:r>
        <w:rPr>
          <w:rFonts w:hint="eastAsia" w:hAnsi="宋体"/>
          <w:color w:val="auto"/>
          <w:sz w:val="28"/>
          <w:szCs w:val="36"/>
          <w:highlight w:val="none"/>
        </w:rPr>
        <w:t>第六部分  评标办法</w:t>
      </w:r>
      <w:bookmarkEnd w:id="207"/>
    </w:p>
    <w:p w14:paraId="192CC9C2">
      <w:pPr>
        <w:spacing w:line="400" w:lineRule="exac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一、 评标原则</w:t>
      </w:r>
    </w:p>
    <w:p w14:paraId="7605C02F">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为最大限度地保护当事人的权益，评标委员会应严格按照招标文件的技术、资信要求，对投标文件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投标文件将被拒绝。</w:t>
      </w:r>
    </w:p>
    <w:p w14:paraId="0F7D64D6">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评标应遵循公平、公正、科学、择优的原则推荐候选中标人。</w:t>
      </w:r>
    </w:p>
    <w:p w14:paraId="674197E1">
      <w:pPr>
        <w:spacing w:line="400" w:lineRule="exac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二、评标组织</w:t>
      </w:r>
    </w:p>
    <w:p w14:paraId="3D6A0ECE">
      <w:pPr>
        <w:spacing w:line="400" w:lineRule="exact"/>
        <w:ind w:firstLine="420" w:firstLineChars="200"/>
        <w:rPr>
          <w:rFonts w:ascii="宋体" w:hAnsi="宋体" w:cs="Arial"/>
          <w:bCs/>
          <w:color w:val="auto"/>
          <w:kern w:val="28"/>
          <w:highlight w:val="none"/>
        </w:rPr>
      </w:pPr>
      <w:r>
        <w:rPr>
          <w:rFonts w:hint="eastAsia" w:ascii="宋体" w:hAnsi="宋体" w:cs="Arial"/>
          <w:color w:val="auto"/>
          <w:szCs w:val="21"/>
          <w:highlight w:val="none"/>
        </w:rPr>
        <w:t>评标委员会构成：应按规定建立5人及以上单数人员组成的评标委员会，评标委员会应当由单位内部成员和外部专家共同组成。外部专家比例不低于60%。</w:t>
      </w:r>
    </w:p>
    <w:p w14:paraId="7929E34C">
      <w:pPr>
        <w:spacing w:line="400" w:lineRule="exac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三、评标程序</w:t>
      </w:r>
    </w:p>
    <w:p w14:paraId="324E3C42">
      <w:pPr>
        <w:spacing w:line="400" w:lineRule="exact"/>
        <w:ind w:firstLine="420" w:firstLineChars="200"/>
        <w:rPr>
          <w:rFonts w:ascii="Arial" w:hAnsi="Arial" w:cs="Arial"/>
          <w:bCs/>
          <w:color w:val="auto"/>
          <w:kern w:val="28"/>
          <w:highlight w:val="none"/>
        </w:rPr>
      </w:pPr>
      <w:r>
        <w:rPr>
          <w:rFonts w:ascii="Arial" w:hAnsi="Arial" w:cs="Arial"/>
          <w:bCs/>
          <w:color w:val="auto"/>
          <w:kern w:val="28"/>
          <w:highlight w:val="none"/>
        </w:rPr>
        <w:t>1</w:t>
      </w:r>
      <w:r>
        <w:rPr>
          <w:rFonts w:hint="eastAsia" w:ascii="Arial" w:hAnsi="宋体" w:cs="Arial"/>
          <w:bCs/>
          <w:color w:val="auto"/>
          <w:kern w:val="28"/>
          <w:highlight w:val="none"/>
        </w:rPr>
        <w:t>.</w:t>
      </w:r>
      <w:r>
        <w:rPr>
          <w:rFonts w:ascii="Arial" w:hAnsi="宋体" w:cs="Arial"/>
          <w:bCs/>
          <w:color w:val="auto"/>
          <w:kern w:val="28"/>
          <w:highlight w:val="none"/>
        </w:rPr>
        <w:t>投标人</w:t>
      </w:r>
      <w:r>
        <w:rPr>
          <w:rFonts w:hint="eastAsia" w:ascii="宋体" w:hAnsi="宋体" w:cs="Arial"/>
          <w:bCs/>
          <w:color w:val="auto"/>
          <w:kern w:val="28"/>
          <w:highlight w:val="none"/>
        </w:rPr>
        <w:t>技术、资信的</w:t>
      </w:r>
      <w:r>
        <w:rPr>
          <w:rFonts w:ascii="Arial" w:hAnsi="宋体" w:cs="Arial"/>
          <w:bCs/>
          <w:color w:val="auto"/>
          <w:kern w:val="28"/>
          <w:highlight w:val="none"/>
        </w:rPr>
        <w:t>评分：由各</w:t>
      </w:r>
      <w:r>
        <w:rPr>
          <w:rFonts w:hint="eastAsia"/>
          <w:color w:val="auto"/>
          <w:highlight w:val="none"/>
        </w:rPr>
        <w:t>评审专家</w:t>
      </w:r>
      <w:r>
        <w:rPr>
          <w:rFonts w:ascii="Arial" w:hAnsi="宋体" w:cs="Arial"/>
          <w:bCs/>
          <w:color w:val="auto"/>
          <w:kern w:val="28"/>
          <w:highlight w:val="none"/>
        </w:rPr>
        <w:t>按评标细则，采用记名方式各自评分，此项评分为全部有效评分</w:t>
      </w:r>
      <w:r>
        <w:rPr>
          <w:rFonts w:hint="eastAsia" w:ascii="Arial" w:hAnsi="宋体" w:cs="Arial"/>
          <w:bCs/>
          <w:color w:val="auto"/>
          <w:kern w:val="28"/>
          <w:highlight w:val="none"/>
        </w:rPr>
        <w:t>的</w:t>
      </w:r>
      <w:r>
        <w:rPr>
          <w:rFonts w:ascii="Arial" w:hAnsi="宋体" w:cs="Arial"/>
          <w:bCs/>
          <w:color w:val="auto"/>
          <w:kern w:val="28"/>
          <w:highlight w:val="none"/>
        </w:rPr>
        <w:t>算术平均值。如果一份评分表中某一项评分，超过评分细则所规定的分值范围，则该张打分表无效。</w:t>
      </w:r>
    </w:p>
    <w:p w14:paraId="789291FD">
      <w:pPr>
        <w:spacing w:line="400" w:lineRule="exact"/>
        <w:ind w:firstLine="420" w:firstLineChars="200"/>
        <w:rPr>
          <w:color w:val="auto"/>
          <w:highlight w:val="none"/>
        </w:rPr>
      </w:pPr>
      <w:r>
        <w:rPr>
          <w:rFonts w:hint="eastAsia" w:ascii="Arial" w:hAnsi="Arial" w:cs="Arial"/>
          <w:bCs/>
          <w:color w:val="auto"/>
          <w:kern w:val="28"/>
          <w:highlight w:val="none"/>
        </w:rPr>
        <w:t>2</w:t>
      </w:r>
      <w:r>
        <w:rPr>
          <w:rFonts w:hint="eastAsia" w:ascii="Arial" w:hAnsi="宋体" w:cs="Arial"/>
          <w:bCs/>
          <w:color w:val="auto"/>
          <w:kern w:val="28"/>
          <w:highlight w:val="none"/>
        </w:rPr>
        <w:t>.</w:t>
      </w:r>
      <w:r>
        <w:rPr>
          <w:rFonts w:ascii="Arial" w:hAnsi="宋体" w:cs="Arial"/>
          <w:bCs/>
          <w:color w:val="auto"/>
          <w:kern w:val="28"/>
          <w:highlight w:val="none"/>
        </w:rPr>
        <w:t>评标委员会应根据评标情况和结果向招标</w:t>
      </w:r>
      <w:r>
        <w:rPr>
          <w:rFonts w:hint="eastAsia" w:ascii="Arial" w:hAnsi="宋体" w:cs="Arial"/>
          <w:bCs/>
          <w:color w:val="auto"/>
          <w:kern w:val="28"/>
          <w:highlight w:val="none"/>
        </w:rPr>
        <w:t>人</w:t>
      </w:r>
      <w:r>
        <w:rPr>
          <w:rFonts w:ascii="Arial" w:hAnsi="宋体" w:cs="Arial"/>
          <w:bCs/>
          <w:color w:val="auto"/>
          <w:kern w:val="28"/>
          <w:highlight w:val="none"/>
        </w:rPr>
        <w:t>提交评标报告</w:t>
      </w:r>
      <w:r>
        <w:rPr>
          <w:rFonts w:hint="eastAsia"/>
          <w:b/>
          <w:color w:val="auto"/>
          <w:highlight w:val="none"/>
        </w:rPr>
        <w:t>。</w:t>
      </w:r>
    </w:p>
    <w:p w14:paraId="20960AC4">
      <w:pPr>
        <w:spacing w:line="400" w:lineRule="exact"/>
        <w:ind w:firstLine="422" w:firstLineChars="200"/>
        <w:rPr>
          <w:b/>
          <w:color w:val="auto"/>
          <w:highlight w:val="none"/>
        </w:rPr>
      </w:pPr>
      <w:r>
        <w:rPr>
          <w:rFonts w:hint="eastAsia"/>
          <w:b/>
          <w:color w:val="auto"/>
          <w:highlight w:val="none"/>
        </w:rPr>
        <w:t>四、评标办法</w:t>
      </w:r>
    </w:p>
    <w:p w14:paraId="272C2CFA">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1、本评标办法采取综合评分法（百分制法）。</w:t>
      </w:r>
    </w:p>
    <w:p w14:paraId="6BB55BCB">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2、开标后，评标委员会首先对投标文件进行资格性检查，再对资格性审查合格的投标文件进行符合性检查，凡投标人资格不符合招标文件要求；投标文件实质性内容和格式严重不符合有关规定或不响应招标文件要求者，经评标委员会认定作为无效投标。对投标文件中的疑问，由评标委员会对投标人进行询标，投标人做出书面答复作为投标文件的补充文件，但不得在询标过程中修改投标文件的实质性条款内容。</w:t>
      </w:r>
    </w:p>
    <w:p w14:paraId="614F5860">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评标委员会以审标、询标、评标和考察情况为基础依据，对资格性检查和符合性检查后有效的投标文件进行分析、对比、评议。</w:t>
      </w:r>
    </w:p>
    <w:p w14:paraId="41D4E7C5">
      <w:pPr>
        <w:spacing w:line="400" w:lineRule="exac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 xml:space="preserve">五、评标细则 </w:t>
      </w:r>
    </w:p>
    <w:tbl>
      <w:tblPr>
        <w:tblStyle w:val="20"/>
        <w:tblW w:w="9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75"/>
        <w:gridCol w:w="175"/>
        <w:gridCol w:w="2656"/>
        <w:gridCol w:w="3694"/>
        <w:gridCol w:w="965"/>
      </w:tblGrid>
      <w:tr w14:paraId="42BE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698" w:type="dxa"/>
            <w:vAlign w:val="center"/>
          </w:tcPr>
          <w:p w14:paraId="3BDEC54B">
            <w:pPr>
              <w:spacing w:line="300" w:lineRule="exact"/>
              <w:ind w:right="3"/>
              <w:jc w:val="center"/>
              <w:rPr>
                <w:rFonts w:ascii="宋体" w:hAnsi="宋体"/>
                <w:color w:val="auto"/>
                <w:szCs w:val="21"/>
                <w:highlight w:val="none"/>
              </w:rPr>
            </w:pPr>
            <w:r>
              <w:rPr>
                <w:rFonts w:hint="eastAsia" w:ascii="宋体" w:hAnsi="宋体"/>
                <w:color w:val="auto"/>
                <w:szCs w:val="21"/>
                <w:highlight w:val="none"/>
              </w:rPr>
              <w:t>项号</w:t>
            </w:r>
          </w:p>
        </w:tc>
        <w:tc>
          <w:tcPr>
            <w:tcW w:w="1450" w:type="dxa"/>
            <w:gridSpan w:val="2"/>
            <w:vAlign w:val="center"/>
          </w:tcPr>
          <w:p w14:paraId="22D81600">
            <w:pPr>
              <w:spacing w:line="300" w:lineRule="exact"/>
              <w:ind w:right="3"/>
              <w:jc w:val="center"/>
              <w:rPr>
                <w:rFonts w:ascii="宋体" w:hAnsi="宋体"/>
                <w:color w:val="auto"/>
                <w:szCs w:val="21"/>
                <w:highlight w:val="none"/>
              </w:rPr>
            </w:pPr>
            <w:r>
              <w:rPr>
                <w:rFonts w:hint="eastAsia" w:ascii="宋体" w:hAnsi="宋体"/>
                <w:color w:val="auto"/>
                <w:szCs w:val="21"/>
                <w:highlight w:val="none"/>
              </w:rPr>
              <w:t>评审类型</w:t>
            </w:r>
          </w:p>
        </w:tc>
        <w:tc>
          <w:tcPr>
            <w:tcW w:w="2656" w:type="dxa"/>
            <w:vAlign w:val="center"/>
          </w:tcPr>
          <w:p w14:paraId="4A0AFE83">
            <w:pPr>
              <w:pStyle w:val="5"/>
              <w:spacing w:line="300" w:lineRule="exact"/>
              <w:ind w:left="900" w:hanging="480"/>
              <w:jc w:val="center"/>
              <w:rPr>
                <w:color w:val="auto"/>
                <w:sz w:val="21"/>
                <w:szCs w:val="21"/>
                <w:highlight w:val="none"/>
              </w:rPr>
            </w:pPr>
            <w:r>
              <w:rPr>
                <w:rFonts w:hint="eastAsia"/>
                <w:color w:val="auto"/>
                <w:sz w:val="21"/>
                <w:szCs w:val="21"/>
                <w:highlight w:val="none"/>
              </w:rPr>
              <w:t>评审内容</w:t>
            </w:r>
          </w:p>
        </w:tc>
        <w:tc>
          <w:tcPr>
            <w:tcW w:w="4659" w:type="dxa"/>
            <w:gridSpan w:val="2"/>
            <w:vAlign w:val="center"/>
          </w:tcPr>
          <w:p w14:paraId="4E23A76F">
            <w:pPr>
              <w:pStyle w:val="5"/>
              <w:spacing w:line="300" w:lineRule="exact"/>
              <w:ind w:firstLine="0"/>
              <w:jc w:val="center"/>
              <w:rPr>
                <w:color w:val="auto"/>
                <w:sz w:val="21"/>
                <w:szCs w:val="21"/>
                <w:highlight w:val="none"/>
              </w:rPr>
            </w:pPr>
            <w:r>
              <w:rPr>
                <w:rFonts w:hint="eastAsia"/>
                <w:color w:val="auto"/>
                <w:sz w:val="21"/>
                <w:szCs w:val="21"/>
                <w:highlight w:val="none"/>
              </w:rPr>
              <w:t>评审标准</w:t>
            </w:r>
          </w:p>
        </w:tc>
      </w:tr>
      <w:tr w14:paraId="66F6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98" w:type="dxa"/>
            <w:vMerge w:val="restart"/>
            <w:vAlign w:val="center"/>
          </w:tcPr>
          <w:p w14:paraId="622C4814">
            <w:pPr>
              <w:spacing w:line="300" w:lineRule="exact"/>
              <w:ind w:right="3"/>
              <w:jc w:val="center"/>
              <w:rPr>
                <w:rFonts w:ascii="宋体" w:hAnsi="宋体"/>
                <w:color w:val="auto"/>
                <w:spacing w:val="4"/>
                <w:szCs w:val="21"/>
                <w:highlight w:val="none"/>
              </w:rPr>
            </w:pPr>
            <w:r>
              <w:rPr>
                <w:rFonts w:hint="eastAsia" w:ascii="宋体" w:hAnsi="宋体"/>
                <w:color w:val="auto"/>
                <w:spacing w:val="4"/>
                <w:szCs w:val="21"/>
                <w:highlight w:val="none"/>
              </w:rPr>
              <w:t>1</w:t>
            </w:r>
          </w:p>
        </w:tc>
        <w:tc>
          <w:tcPr>
            <w:tcW w:w="1450" w:type="dxa"/>
            <w:gridSpan w:val="2"/>
            <w:vMerge w:val="restart"/>
            <w:vAlign w:val="center"/>
          </w:tcPr>
          <w:p w14:paraId="0273C24E">
            <w:pPr>
              <w:spacing w:line="300" w:lineRule="exact"/>
              <w:ind w:right="3"/>
              <w:jc w:val="center"/>
              <w:rPr>
                <w:rFonts w:ascii="宋体" w:hAnsi="宋体"/>
                <w:b/>
                <w:color w:val="auto"/>
                <w:spacing w:val="4"/>
                <w:szCs w:val="21"/>
                <w:highlight w:val="none"/>
              </w:rPr>
            </w:pPr>
            <w:r>
              <w:rPr>
                <w:rFonts w:hint="eastAsia" w:ascii="宋体" w:hAnsi="宋体" w:cs="Arial"/>
                <w:b/>
                <w:bCs/>
                <w:color w:val="auto"/>
                <w:kern w:val="28"/>
                <w:szCs w:val="21"/>
                <w:highlight w:val="none"/>
              </w:rPr>
              <w:t>符合性检查</w:t>
            </w:r>
          </w:p>
        </w:tc>
        <w:tc>
          <w:tcPr>
            <w:tcW w:w="2656" w:type="dxa"/>
            <w:vAlign w:val="center"/>
          </w:tcPr>
          <w:p w14:paraId="4A71B439">
            <w:pPr>
              <w:pStyle w:val="5"/>
              <w:spacing w:line="300" w:lineRule="exact"/>
              <w:ind w:left="105" w:leftChars="50" w:firstLine="0"/>
              <w:jc w:val="center"/>
              <w:rPr>
                <w:rFonts w:ascii="宋体" w:hAnsi="宋体"/>
                <w:color w:val="auto"/>
                <w:sz w:val="21"/>
                <w:szCs w:val="21"/>
                <w:highlight w:val="none"/>
              </w:rPr>
            </w:pPr>
            <w:r>
              <w:rPr>
                <w:rFonts w:hint="eastAsia" w:ascii="宋体" w:hAnsi="宋体"/>
                <w:color w:val="auto"/>
                <w:sz w:val="21"/>
                <w:szCs w:val="21"/>
                <w:highlight w:val="none"/>
              </w:rPr>
              <w:t>投标人名称</w:t>
            </w:r>
          </w:p>
        </w:tc>
        <w:tc>
          <w:tcPr>
            <w:tcW w:w="4659" w:type="dxa"/>
            <w:gridSpan w:val="2"/>
            <w:vAlign w:val="center"/>
          </w:tcPr>
          <w:p w14:paraId="656654A0">
            <w:pPr>
              <w:pStyle w:val="5"/>
              <w:spacing w:line="3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与营业执照一致</w:t>
            </w:r>
          </w:p>
        </w:tc>
      </w:tr>
      <w:tr w14:paraId="59F2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98" w:type="dxa"/>
            <w:vMerge w:val="continue"/>
            <w:vAlign w:val="center"/>
          </w:tcPr>
          <w:p w14:paraId="6191B3A6">
            <w:pPr>
              <w:spacing w:line="300" w:lineRule="exact"/>
              <w:ind w:right="3"/>
              <w:jc w:val="center"/>
              <w:rPr>
                <w:rFonts w:ascii="宋体" w:hAnsi="宋体" w:cs="宋体"/>
                <w:color w:val="auto"/>
                <w:szCs w:val="21"/>
                <w:highlight w:val="none"/>
              </w:rPr>
            </w:pPr>
          </w:p>
        </w:tc>
        <w:tc>
          <w:tcPr>
            <w:tcW w:w="1450" w:type="dxa"/>
            <w:gridSpan w:val="2"/>
            <w:vMerge w:val="continue"/>
            <w:vAlign w:val="center"/>
          </w:tcPr>
          <w:p w14:paraId="2682D892">
            <w:pPr>
              <w:spacing w:line="300" w:lineRule="exact"/>
              <w:ind w:right="3"/>
              <w:jc w:val="center"/>
              <w:rPr>
                <w:rFonts w:ascii="宋体" w:hAnsi="宋体" w:cs="宋体"/>
                <w:color w:val="auto"/>
                <w:szCs w:val="21"/>
                <w:highlight w:val="none"/>
              </w:rPr>
            </w:pPr>
          </w:p>
        </w:tc>
        <w:tc>
          <w:tcPr>
            <w:tcW w:w="2656" w:type="dxa"/>
            <w:vAlign w:val="center"/>
          </w:tcPr>
          <w:p w14:paraId="034C1207">
            <w:pPr>
              <w:pStyle w:val="5"/>
              <w:spacing w:line="3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投标函签字盖章</w:t>
            </w:r>
          </w:p>
        </w:tc>
        <w:tc>
          <w:tcPr>
            <w:tcW w:w="4659" w:type="dxa"/>
            <w:gridSpan w:val="2"/>
            <w:vAlign w:val="center"/>
          </w:tcPr>
          <w:p w14:paraId="1343773D">
            <w:pPr>
              <w:pStyle w:val="5"/>
              <w:spacing w:line="3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有法定代表人或分公司负责人或其授权代表签字（或盖章）并加盖单位公章</w:t>
            </w:r>
          </w:p>
        </w:tc>
      </w:tr>
      <w:tr w14:paraId="2ED0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698" w:type="dxa"/>
            <w:vMerge w:val="continue"/>
            <w:vAlign w:val="center"/>
          </w:tcPr>
          <w:p w14:paraId="191C9E82">
            <w:pPr>
              <w:spacing w:line="300" w:lineRule="exact"/>
              <w:ind w:right="3"/>
              <w:jc w:val="center"/>
              <w:rPr>
                <w:rFonts w:ascii="宋体" w:hAnsi="宋体" w:cs="宋体"/>
                <w:color w:val="auto"/>
                <w:szCs w:val="21"/>
                <w:highlight w:val="none"/>
              </w:rPr>
            </w:pPr>
          </w:p>
        </w:tc>
        <w:tc>
          <w:tcPr>
            <w:tcW w:w="1450" w:type="dxa"/>
            <w:gridSpan w:val="2"/>
            <w:vMerge w:val="continue"/>
            <w:vAlign w:val="center"/>
          </w:tcPr>
          <w:p w14:paraId="14F35E20">
            <w:pPr>
              <w:spacing w:line="300" w:lineRule="exact"/>
              <w:ind w:right="3"/>
              <w:jc w:val="center"/>
              <w:rPr>
                <w:rFonts w:ascii="宋体" w:hAnsi="宋体" w:cs="宋体"/>
                <w:color w:val="auto"/>
                <w:szCs w:val="21"/>
                <w:highlight w:val="none"/>
              </w:rPr>
            </w:pPr>
          </w:p>
        </w:tc>
        <w:tc>
          <w:tcPr>
            <w:tcW w:w="2656" w:type="dxa"/>
            <w:vAlign w:val="center"/>
          </w:tcPr>
          <w:p w14:paraId="0F48D998">
            <w:pPr>
              <w:pStyle w:val="5"/>
              <w:spacing w:line="3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投标有效期</w:t>
            </w:r>
          </w:p>
        </w:tc>
        <w:tc>
          <w:tcPr>
            <w:tcW w:w="4659" w:type="dxa"/>
            <w:gridSpan w:val="2"/>
            <w:vAlign w:val="center"/>
          </w:tcPr>
          <w:p w14:paraId="2A7F7EB4">
            <w:pPr>
              <w:pStyle w:val="5"/>
              <w:spacing w:line="3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不少于90天</w:t>
            </w:r>
          </w:p>
        </w:tc>
      </w:tr>
      <w:tr w14:paraId="6E72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98" w:type="dxa"/>
            <w:vMerge w:val="restart"/>
            <w:vAlign w:val="center"/>
          </w:tcPr>
          <w:p w14:paraId="16E8FD46">
            <w:pPr>
              <w:spacing w:line="300" w:lineRule="exact"/>
              <w:ind w:right="3"/>
              <w:jc w:val="center"/>
              <w:rPr>
                <w:rFonts w:ascii="宋体" w:hAnsi="宋体" w:cs="宋体"/>
                <w:color w:val="auto"/>
                <w:szCs w:val="21"/>
                <w:highlight w:val="none"/>
              </w:rPr>
            </w:pPr>
            <w:r>
              <w:rPr>
                <w:rFonts w:hint="eastAsia" w:ascii="宋体" w:hAnsi="宋体" w:cs="宋体"/>
                <w:color w:val="auto"/>
                <w:szCs w:val="21"/>
                <w:highlight w:val="none"/>
              </w:rPr>
              <w:t>2</w:t>
            </w:r>
          </w:p>
        </w:tc>
        <w:tc>
          <w:tcPr>
            <w:tcW w:w="1450" w:type="dxa"/>
            <w:gridSpan w:val="2"/>
            <w:vMerge w:val="restart"/>
            <w:vAlign w:val="center"/>
          </w:tcPr>
          <w:p w14:paraId="1B8EEDDE">
            <w:pPr>
              <w:spacing w:line="300" w:lineRule="exact"/>
              <w:ind w:right="3"/>
              <w:jc w:val="center"/>
              <w:rPr>
                <w:rFonts w:ascii="宋体" w:hAnsi="宋体" w:cs="宋体"/>
                <w:b/>
                <w:color w:val="auto"/>
                <w:szCs w:val="21"/>
                <w:highlight w:val="none"/>
              </w:rPr>
            </w:pPr>
            <w:r>
              <w:rPr>
                <w:rFonts w:hint="eastAsia" w:ascii="宋体" w:hAnsi="宋体"/>
                <w:b/>
                <w:color w:val="auto"/>
                <w:szCs w:val="21"/>
                <w:highlight w:val="none"/>
              </w:rPr>
              <w:t>资格</w:t>
            </w:r>
            <w:r>
              <w:rPr>
                <w:rFonts w:hint="eastAsia" w:ascii="宋体" w:hAnsi="宋体" w:cs="Arial"/>
                <w:b/>
                <w:bCs/>
                <w:color w:val="auto"/>
                <w:kern w:val="28"/>
                <w:szCs w:val="21"/>
                <w:highlight w:val="none"/>
              </w:rPr>
              <w:t>性检查</w:t>
            </w:r>
          </w:p>
        </w:tc>
        <w:tc>
          <w:tcPr>
            <w:tcW w:w="2656" w:type="dxa"/>
            <w:vAlign w:val="center"/>
          </w:tcPr>
          <w:p w14:paraId="35B4CD9B">
            <w:pPr>
              <w:pStyle w:val="5"/>
              <w:spacing w:line="300" w:lineRule="exact"/>
              <w:ind w:left="105" w:leftChars="50" w:firstLine="0"/>
              <w:jc w:val="center"/>
              <w:rPr>
                <w:rFonts w:ascii="宋体" w:hAnsi="宋体"/>
                <w:color w:val="auto"/>
                <w:sz w:val="21"/>
                <w:szCs w:val="21"/>
                <w:highlight w:val="none"/>
              </w:rPr>
            </w:pPr>
            <w:r>
              <w:rPr>
                <w:rFonts w:hint="eastAsia" w:ascii="宋体" w:hAnsi="宋体"/>
                <w:color w:val="auto"/>
                <w:sz w:val="21"/>
                <w:szCs w:val="21"/>
                <w:highlight w:val="none"/>
              </w:rPr>
              <w:t>营业执照</w:t>
            </w:r>
          </w:p>
        </w:tc>
        <w:tc>
          <w:tcPr>
            <w:tcW w:w="4659" w:type="dxa"/>
            <w:gridSpan w:val="2"/>
            <w:vAlign w:val="center"/>
          </w:tcPr>
          <w:p w14:paraId="6B44949F">
            <w:pPr>
              <w:pStyle w:val="5"/>
              <w:spacing w:line="3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具备有效的营业执照</w:t>
            </w:r>
          </w:p>
        </w:tc>
      </w:tr>
      <w:tr w14:paraId="2610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698" w:type="dxa"/>
            <w:vMerge w:val="continue"/>
            <w:vAlign w:val="center"/>
          </w:tcPr>
          <w:p w14:paraId="33B14FF2">
            <w:pPr>
              <w:spacing w:line="300" w:lineRule="exact"/>
              <w:ind w:right="3"/>
              <w:jc w:val="center"/>
              <w:rPr>
                <w:rFonts w:ascii="宋体" w:hAnsi="宋体" w:cs="宋体"/>
                <w:color w:val="auto"/>
                <w:szCs w:val="21"/>
                <w:highlight w:val="none"/>
              </w:rPr>
            </w:pPr>
          </w:p>
        </w:tc>
        <w:tc>
          <w:tcPr>
            <w:tcW w:w="1450" w:type="dxa"/>
            <w:gridSpan w:val="2"/>
            <w:vMerge w:val="continue"/>
            <w:vAlign w:val="center"/>
          </w:tcPr>
          <w:p w14:paraId="6A76BB91">
            <w:pPr>
              <w:spacing w:line="300" w:lineRule="exact"/>
              <w:ind w:right="3"/>
              <w:jc w:val="center"/>
              <w:rPr>
                <w:rFonts w:ascii="宋体" w:hAnsi="宋体"/>
                <w:b/>
                <w:color w:val="auto"/>
                <w:szCs w:val="21"/>
                <w:highlight w:val="none"/>
              </w:rPr>
            </w:pPr>
          </w:p>
        </w:tc>
        <w:tc>
          <w:tcPr>
            <w:tcW w:w="2656" w:type="dxa"/>
            <w:vAlign w:val="center"/>
          </w:tcPr>
          <w:p w14:paraId="4D40DD00">
            <w:pPr>
              <w:pStyle w:val="5"/>
              <w:spacing w:line="300" w:lineRule="exact"/>
              <w:ind w:left="105" w:leftChars="50" w:firstLine="0"/>
              <w:jc w:val="center"/>
              <w:rPr>
                <w:rFonts w:ascii="宋体" w:hAnsi="宋体"/>
                <w:color w:val="auto"/>
                <w:sz w:val="21"/>
                <w:szCs w:val="21"/>
                <w:highlight w:val="none"/>
              </w:rPr>
            </w:pPr>
            <w:r>
              <w:rPr>
                <w:rFonts w:hint="eastAsia" w:ascii="宋体" w:hAnsi="宋体"/>
                <w:color w:val="auto"/>
                <w:sz w:val="21"/>
                <w:szCs w:val="21"/>
                <w:highlight w:val="none"/>
              </w:rPr>
              <w:t>金融业务许可证</w:t>
            </w:r>
          </w:p>
        </w:tc>
        <w:tc>
          <w:tcPr>
            <w:tcW w:w="4659" w:type="dxa"/>
            <w:gridSpan w:val="2"/>
            <w:vAlign w:val="center"/>
          </w:tcPr>
          <w:p w14:paraId="1216383E">
            <w:pPr>
              <w:pStyle w:val="5"/>
              <w:spacing w:line="3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具备有效的金融业务许可证</w:t>
            </w:r>
          </w:p>
        </w:tc>
      </w:tr>
      <w:tr w14:paraId="32B2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698" w:type="dxa"/>
            <w:vMerge w:val="continue"/>
            <w:vAlign w:val="center"/>
          </w:tcPr>
          <w:p w14:paraId="17F26B60">
            <w:pPr>
              <w:spacing w:line="300" w:lineRule="exact"/>
              <w:ind w:right="3"/>
              <w:jc w:val="center"/>
              <w:rPr>
                <w:rFonts w:ascii="宋体" w:hAnsi="宋体" w:cs="宋体"/>
                <w:color w:val="auto"/>
                <w:szCs w:val="21"/>
                <w:highlight w:val="none"/>
              </w:rPr>
            </w:pPr>
          </w:p>
        </w:tc>
        <w:tc>
          <w:tcPr>
            <w:tcW w:w="1450" w:type="dxa"/>
            <w:gridSpan w:val="2"/>
            <w:vMerge w:val="continue"/>
            <w:vAlign w:val="center"/>
          </w:tcPr>
          <w:p w14:paraId="2B6415E3">
            <w:pPr>
              <w:spacing w:line="300" w:lineRule="exact"/>
              <w:ind w:right="3"/>
              <w:jc w:val="center"/>
              <w:rPr>
                <w:rFonts w:ascii="宋体" w:hAnsi="宋体"/>
                <w:b/>
                <w:color w:val="auto"/>
                <w:szCs w:val="21"/>
                <w:highlight w:val="none"/>
              </w:rPr>
            </w:pPr>
          </w:p>
        </w:tc>
        <w:tc>
          <w:tcPr>
            <w:tcW w:w="2656" w:type="dxa"/>
            <w:vAlign w:val="center"/>
          </w:tcPr>
          <w:p w14:paraId="6D684011">
            <w:pPr>
              <w:pStyle w:val="5"/>
              <w:spacing w:line="300" w:lineRule="exact"/>
              <w:ind w:left="105" w:leftChars="50" w:firstLine="0"/>
              <w:jc w:val="center"/>
              <w:rPr>
                <w:rFonts w:ascii="宋体" w:hAnsi="宋体"/>
                <w:color w:val="auto"/>
                <w:sz w:val="21"/>
                <w:szCs w:val="21"/>
                <w:highlight w:val="none"/>
              </w:rPr>
            </w:pPr>
            <w:r>
              <w:rPr>
                <w:rFonts w:hint="eastAsia" w:ascii="宋体" w:hAnsi="宋体" w:eastAsia="宋体" w:cs="Times New Roman"/>
                <w:color w:val="auto"/>
                <w:sz w:val="21"/>
                <w:szCs w:val="21"/>
                <w:highlight w:val="none"/>
              </w:rPr>
              <w:t>廉政承诺书</w:t>
            </w:r>
          </w:p>
        </w:tc>
        <w:tc>
          <w:tcPr>
            <w:tcW w:w="4659" w:type="dxa"/>
            <w:gridSpan w:val="2"/>
            <w:vAlign w:val="center"/>
          </w:tcPr>
          <w:p w14:paraId="3961C27C">
            <w:pPr>
              <w:pStyle w:val="5"/>
              <w:spacing w:line="300" w:lineRule="exact"/>
              <w:ind w:left="105" w:leftChars="50" w:firstLine="0"/>
              <w:jc w:val="center"/>
              <w:rPr>
                <w:rFonts w:ascii="宋体" w:hAnsi="宋体"/>
                <w:color w:val="auto"/>
                <w:sz w:val="21"/>
                <w:szCs w:val="21"/>
                <w:highlight w:val="none"/>
              </w:rPr>
            </w:pPr>
            <w:r>
              <w:rPr>
                <w:rFonts w:hint="eastAsia" w:ascii="宋体" w:hAnsi="宋体" w:eastAsia="宋体" w:cs="Times New Roman"/>
                <w:color w:val="auto"/>
                <w:sz w:val="21"/>
                <w:szCs w:val="21"/>
                <w:highlight w:val="none"/>
              </w:rPr>
              <w:t>廉政承诺书</w:t>
            </w:r>
          </w:p>
        </w:tc>
      </w:tr>
      <w:tr w14:paraId="761C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98" w:type="dxa"/>
            <w:vMerge w:val="continue"/>
            <w:vAlign w:val="center"/>
          </w:tcPr>
          <w:p w14:paraId="6F27923F">
            <w:pPr>
              <w:spacing w:line="300" w:lineRule="exact"/>
              <w:ind w:right="3"/>
              <w:jc w:val="center"/>
              <w:rPr>
                <w:rFonts w:ascii="宋体" w:hAnsi="宋体"/>
                <w:color w:val="auto"/>
                <w:szCs w:val="21"/>
                <w:highlight w:val="none"/>
              </w:rPr>
            </w:pPr>
          </w:p>
        </w:tc>
        <w:tc>
          <w:tcPr>
            <w:tcW w:w="1450" w:type="dxa"/>
            <w:gridSpan w:val="2"/>
            <w:vMerge w:val="continue"/>
            <w:vAlign w:val="center"/>
          </w:tcPr>
          <w:p w14:paraId="0BF07E14">
            <w:pPr>
              <w:spacing w:line="300" w:lineRule="exact"/>
              <w:ind w:right="3"/>
              <w:jc w:val="center"/>
              <w:rPr>
                <w:rFonts w:ascii="宋体" w:hAnsi="宋体"/>
                <w:color w:val="auto"/>
                <w:szCs w:val="21"/>
                <w:highlight w:val="none"/>
              </w:rPr>
            </w:pPr>
          </w:p>
        </w:tc>
        <w:tc>
          <w:tcPr>
            <w:tcW w:w="2656" w:type="dxa"/>
            <w:tcBorders>
              <w:top w:val="single" w:color="auto" w:sz="4" w:space="0"/>
              <w:bottom w:val="single" w:color="auto" w:sz="4" w:space="0"/>
            </w:tcBorders>
            <w:vAlign w:val="center"/>
          </w:tcPr>
          <w:p w14:paraId="62BF5E39">
            <w:pPr>
              <w:pStyle w:val="5"/>
              <w:spacing w:line="3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投标人资格</w:t>
            </w:r>
          </w:p>
        </w:tc>
        <w:tc>
          <w:tcPr>
            <w:tcW w:w="4659" w:type="dxa"/>
            <w:gridSpan w:val="2"/>
            <w:vAlign w:val="center"/>
          </w:tcPr>
          <w:p w14:paraId="7E9A2A51">
            <w:pPr>
              <w:pStyle w:val="5"/>
              <w:spacing w:line="3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符合第二部分“投标须知前附表”第5项“投标人资格要求</w:t>
            </w:r>
            <w:r>
              <w:rPr>
                <w:rFonts w:ascii="宋体" w:hAnsi="宋体"/>
                <w:color w:val="auto"/>
                <w:sz w:val="21"/>
                <w:szCs w:val="21"/>
                <w:highlight w:val="none"/>
              </w:rPr>
              <w:t>”</w:t>
            </w:r>
            <w:r>
              <w:rPr>
                <w:rFonts w:hint="eastAsia" w:ascii="宋体" w:hAnsi="宋体"/>
                <w:color w:val="auto"/>
                <w:sz w:val="21"/>
                <w:szCs w:val="21"/>
                <w:highlight w:val="none"/>
              </w:rPr>
              <w:t>的规定</w:t>
            </w:r>
          </w:p>
        </w:tc>
      </w:tr>
      <w:tr w14:paraId="1576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9" w:hRule="atLeast"/>
        </w:trPr>
        <w:tc>
          <w:tcPr>
            <w:tcW w:w="698" w:type="dxa"/>
            <w:vAlign w:val="center"/>
          </w:tcPr>
          <w:p w14:paraId="5AF0FB3E">
            <w:pPr>
              <w:spacing w:line="300" w:lineRule="exact"/>
              <w:ind w:right="3"/>
              <w:jc w:val="center"/>
              <w:rPr>
                <w:rFonts w:ascii="宋体" w:hAnsi="宋体"/>
                <w:color w:val="auto"/>
                <w:szCs w:val="21"/>
                <w:highlight w:val="none"/>
              </w:rPr>
            </w:pPr>
            <w:r>
              <w:rPr>
                <w:rFonts w:hint="eastAsia" w:ascii="宋体" w:hAnsi="宋体"/>
                <w:color w:val="auto"/>
                <w:szCs w:val="21"/>
                <w:highlight w:val="none"/>
              </w:rPr>
              <w:t>3</w:t>
            </w:r>
          </w:p>
        </w:tc>
        <w:tc>
          <w:tcPr>
            <w:tcW w:w="1450" w:type="dxa"/>
            <w:gridSpan w:val="2"/>
            <w:vAlign w:val="center"/>
          </w:tcPr>
          <w:p w14:paraId="65819B75">
            <w:pPr>
              <w:spacing w:line="300" w:lineRule="exact"/>
              <w:ind w:right="3"/>
              <w:jc w:val="center"/>
              <w:rPr>
                <w:rFonts w:ascii="宋体" w:hAnsi="宋体"/>
                <w:b/>
                <w:color w:val="auto"/>
                <w:szCs w:val="21"/>
                <w:highlight w:val="none"/>
              </w:rPr>
            </w:pPr>
            <w:r>
              <w:rPr>
                <w:rFonts w:hint="eastAsia" w:ascii="宋体" w:hAnsi="宋体"/>
                <w:b/>
                <w:color w:val="auto"/>
                <w:szCs w:val="21"/>
                <w:highlight w:val="none"/>
              </w:rPr>
              <w:t>无效标条款</w:t>
            </w:r>
          </w:p>
        </w:tc>
        <w:tc>
          <w:tcPr>
            <w:tcW w:w="7315" w:type="dxa"/>
            <w:gridSpan w:val="3"/>
            <w:tcBorders>
              <w:top w:val="single" w:color="auto" w:sz="4" w:space="0"/>
            </w:tcBorders>
            <w:vAlign w:val="center"/>
          </w:tcPr>
          <w:p w14:paraId="22201565">
            <w:pPr>
              <w:numPr>
                <w:ilvl w:val="0"/>
                <w:numId w:val="24"/>
              </w:numPr>
              <w:tabs>
                <w:tab w:val="left" w:pos="993"/>
                <w:tab w:val="left" w:pos="1134"/>
              </w:tabs>
              <w:spacing w:line="300" w:lineRule="exact"/>
              <w:rPr>
                <w:color w:val="auto"/>
                <w:highlight w:val="none"/>
              </w:rPr>
            </w:pPr>
            <w:r>
              <w:rPr>
                <w:rFonts w:hint="eastAsia"/>
                <w:color w:val="auto"/>
                <w:highlight w:val="none"/>
              </w:rPr>
              <w:t>投标不是固定价的；</w:t>
            </w:r>
          </w:p>
          <w:p w14:paraId="404F2069">
            <w:pPr>
              <w:numPr>
                <w:ilvl w:val="0"/>
                <w:numId w:val="24"/>
              </w:numPr>
              <w:tabs>
                <w:tab w:val="left" w:pos="993"/>
                <w:tab w:val="left" w:pos="1134"/>
              </w:tabs>
              <w:spacing w:line="300" w:lineRule="exact"/>
              <w:rPr>
                <w:color w:val="auto"/>
                <w:highlight w:val="none"/>
              </w:rPr>
            </w:pPr>
            <w:r>
              <w:rPr>
                <w:rFonts w:hint="eastAsia"/>
                <w:color w:val="auto"/>
                <w:highlight w:val="none"/>
              </w:rPr>
              <w:t>投标报价不是唯一的；</w:t>
            </w:r>
          </w:p>
          <w:p w14:paraId="298E6978">
            <w:pPr>
              <w:numPr>
                <w:ilvl w:val="0"/>
                <w:numId w:val="24"/>
              </w:numPr>
              <w:tabs>
                <w:tab w:val="left" w:pos="993"/>
                <w:tab w:val="left" w:pos="1134"/>
              </w:tabs>
              <w:spacing w:line="300" w:lineRule="exact"/>
              <w:rPr>
                <w:color w:val="auto"/>
                <w:highlight w:val="none"/>
              </w:rPr>
            </w:pPr>
            <w:r>
              <w:rPr>
                <w:rFonts w:hint="eastAsia"/>
                <w:color w:val="auto"/>
                <w:highlight w:val="none"/>
              </w:rPr>
              <w:t>协定起存金额（协定存款最低留</w:t>
            </w:r>
            <w:r>
              <w:rPr>
                <w:rFonts w:hint="eastAsia"/>
                <w:color w:val="auto"/>
                <w:highlight w:val="none"/>
              </w:rPr>
              <w:t>存额）超过50万元的；</w:t>
            </w:r>
          </w:p>
          <w:p w14:paraId="543462BB">
            <w:pPr>
              <w:numPr>
                <w:ilvl w:val="0"/>
                <w:numId w:val="24"/>
              </w:numPr>
              <w:tabs>
                <w:tab w:val="left" w:pos="993"/>
                <w:tab w:val="left" w:pos="1134"/>
              </w:tabs>
              <w:spacing w:line="300" w:lineRule="exact"/>
              <w:rPr>
                <w:color w:val="auto"/>
                <w:highlight w:val="none"/>
              </w:rPr>
            </w:pPr>
            <w:r>
              <w:rPr>
                <w:rFonts w:hint="eastAsia"/>
                <w:color w:val="auto"/>
                <w:highlight w:val="none"/>
              </w:rPr>
              <w:t>投标有效期不足的；</w:t>
            </w:r>
          </w:p>
          <w:p w14:paraId="06E5C4FD">
            <w:pPr>
              <w:numPr>
                <w:ilvl w:val="0"/>
                <w:numId w:val="24"/>
              </w:numPr>
              <w:tabs>
                <w:tab w:val="left" w:pos="993"/>
                <w:tab w:val="left" w:pos="1134"/>
              </w:tabs>
              <w:spacing w:line="300" w:lineRule="exact"/>
              <w:rPr>
                <w:color w:val="auto"/>
                <w:highlight w:val="none"/>
              </w:rPr>
            </w:pPr>
            <w:r>
              <w:rPr>
                <w:rFonts w:hint="eastAsia"/>
                <w:color w:val="auto"/>
                <w:highlight w:val="none"/>
              </w:rPr>
              <w:t>出现第二部分 投标人须知 26.3中的情形，又不接受评标委员会修正的或投标明显不合理而投标人不能合理说明的；</w:t>
            </w:r>
          </w:p>
          <w:p w14:paraId="4E2D5AA5">
            <w:pPr>
              <w:numPr>
                <w:ilvl w:val="0"/>
                <w:numId w:val="24"/>
              </w:numPr>
              <w:tabs>
                <w:tab w:val="left" w:pos="993"/>
                <w:tab w:val="left" w:pos="1134"/>
              </w:tabs>
              <w:spacing w:line="300" w:lineRule="exact"/>
              <w:rPr>
                <w:color w:val="auto"/>
                <w:highlight w:val="none"/>
              </w:rPr>
            </w:pPr>
            <w:r>
              <w:rPr>
                <w:rFonts w:hint="eastAsia"/>
                <w:color w:val="auto"/>
                <w:highlight w:val="none"/>
              </w:rPr>
              <w:t>投标文件中需签字或盖章的地方未加盖投标人单位全称的公章，并未经法定代表人（分公司负责人）或其授权代表签字或盖章；或使用投标专用章、合同章等类似图章代替；</w:t>
            </w:r>
          </w:p>
          <w:p w14:paraId="67B57BF8">
            <w:pPr>
              <w:numPr>
                <w:ilvl w:val="0"/>
                <w:numId w:val="24"/>
              </w:numPr>
              <w:tabs>
                <w:tab w:val="left" w:pos="993"/>
                <w:tab w:val="left" w:pos="1134"/>
              </w:tabs>
              <w:spacing w:line="300" w:lineRule="exact"/>
              <w:rPr>
                <w:color w:val="auto"/>
                <w:highlight w:val="none"/>
              </w:rPr>
            </w:pPr>
            <w:r>
              <w:rPr>
                <w:rFonts w:hint="eastAsia"/>
                <w:color w:val="auto"/>
                <w:highlight w:val="none"/>
              </w:rPr>
              <w:t>服务要求不满足招标内容实质性内容及商务有重大偏离或保留的；</w:t>
            </w:r>
          </w:p>
          <w:p w14:paraId="69740C2E">
            <w:pPr>
              <w:numPr>
                <w:ilvl w:val="0"/>
                <w:numId w:val="24"/>
              </w:numPr>
              <w:tabs>
                <w:tab w:val="left" w:pos="993"/>
                <w:tab w:val="left" w:pos="1134"/>
              </w:tabs>
              <w:spacing w:line="300" w:lineRule="exact"/>
              <w:rPr>
                <w:color w:val="auto"/>
                <w:highlight w:val="none"/>
              </w:rPr>
            </w:pPr>
            <w:r>
              <w:rPr>
                <w:rFonts w:hint="eastAsia"/>
                <w:color w:val="auto"/>
                <w:highlight w:val="none"/>
              </w:rPr>
              <w:t>评标委员会认为投标文件未实质性响应招标文件的要求的；</w:t>
            </w:r>
          </w:p>
          <w:p w14:paraId="5D6C0C4E">
            <w:pPr>
              <w:numPr>
                <w:ilvl w:val="0"/>
                <w:numId w:val="24"/>
              </w:numPr>
              <w:tabs>
                <w:tab w:val="left" w:pos="993"/>
                <w:tab w:val="left" w:pos="1134"/>
              </w:tabs>
              <w:spacing w:line="300" w:lineRule="exact"/>
              <w:rPr>
                <w:color w:val="auto"/>
                <w:highlight w:val="none"/>
              </w:rPr>
            </w:pPr>
            <w:r>
              <w:rPr>
                <w:rFonts w:hint="eastAsia"/>
                <w:color w:val="auto"/>
                <w:highlight w:val="none"/>
              </w:rPr>
              <w:t>授权代表</w:t>
            </w:r>
            <w:r>
              <w:rPr>
                <w:rFonts w:hint="eastAsia" w:ascii="宋体" w:hAnsi="宋体"/>
                <w:color w:val="auto"/>
                <w:szCs w:val="21"/>
                <w:highlight w:val="none"/>
              </w:rPr>
              <w:t>签字且</w:t>
            </w:r>
            <w:r>
              <w:rPr>
                <w:rFonts w:hint="eastAsia"/>
                <w:color w:val="auto"/>
                <w:highlight w:val="none"/>
              </w:rPr>
              <w:t>未取得有效的法定代表人或分公司负责人授权书的；</w:t>
            </w:r>
          </w:p>
          <w:p w14:paraId="2AA8A8F6">
            <w:pPr>
              <w:numPr>
                <w:ilvl w:val="0"/>
                <w:numId w:val="24"/>
              </w:numPr>
              <w:tabs>
                <w:tab w:val="left" w:pos="993"/>
                <w:tab w:val="left" w:pos="1134"/>
              </w:tabs>
              <w:spacing w:line="300" w:lineRule="exact"/>
              <w:rPr>
                <w:color w:val="auto"/>
                <w:highlight w:val="none"/>
              </w:rPr>
            </w:pPr>
            <w:r>
              <w:rPr>
                <w:rFonts w:hint="eastAsia"/>
                <w:color w:val="auto"/>
                <w:highlight w:val="none"/>
              </w:rPr>
              <w:t>不具备招标文件中规定资格要求的；</w:t>
            </w:r>
          </w:p>
          <w:p w14:paraId="4BCE16A9">
            <w:pPr>
              <w:numPr>
                <w:ilvl w:val="0"/>
                <w:numId w:val="24"/>
              </w:numPr>
              <w:tabs>
                <w:tab w:val="left" w:pos="993"/>
                <w:tab w:val="left" w:pos="1134"/>
              </w:tabs>
              <w:spacing w:line="300" w:lineRule="exact"/>
              <w:rPr>
                <w:color w:val="auto"/>
                <w:highlight w:val="none"/>
              </w:rPr>
            </w:pPr>
            <w:r>
              <w:rPr>
                <w:rFonts w:hint="eastAsia"/>
                <w:color w:val="auto"/>
                <w:highlight w:val="none"/>
              </w:rPr>
              <w:t>符合性检查或资格性检查未通过；</w:t>
            </w:r>
          </w:p>
          <w:p w14:paraId="07170359">
            <w:pPr>
              <w:numPr>
                <w:ilvl w:val="0"/>
                <w:numId w:val="24"/>
              </w:numPr>
              <w:tabs>
                <w:tab w:val="left" w:pos="993"/>
                <w:tab w:val="left" w:pos="1134"/>
              </w:tabs>
              <w:spacing w:line="300" w:lineRule="exact"/>
              <w:rPr>
                <w:color w:val="auto"/>
                <w:highlight w:val="none"/>
              </w:rPr>
            </w:pPr>
            <w:r>
              <w:rPr>
                <w:rFonts w:hint="eastAsia"/>
                <w:color w:val="auto"/>
                <w:highlight w:val="none"/>
              </w:rPr>
              <w:t>存在串标、抬标或弄虚作假情况的；</w:t>
            </w:r>
          </w:p>
          <w:p w14:paraId="5CBFD89B">
            <w:pPr>
              <w:numPr>
                <w:ilvl w:val="0"/>
                <w:numId w:val="24"/>
              </w:numPr>
              <w:tabs>
                <w:tab w:val="left" w:pos="993"/>
                <w:tab w:val="left" w:pos="1134"/>
              </w:tabs>
              <w:spacing w:line="300" w:lineRule="exact"/>
              <w:rPr>
                <w:color w:val="auto"/>
                <w:highlight w:val="none"/>
              </w:rPr>
            </w:pPr>
            <w:r>
              <w:rPr>
                <w:rFonts w:hint="eastAsia"/>
                <w:color w:val="auto"/>
                <w:highlight w:val="none"/>
              </w:rPr>
              <w:t>投标文件含有招标人不能接受的附加条件的；</w:t>
            </w:r>
          </w:p>
          <w:p w14:paraId="2F45C606">
            <w:pPr>
              <w:numPr>
                <w:ilvl w:val="0"/>
                <w:numId w:val="24"/>
              </w:numPr>
              <w:tabs>
                <w:tab w:val="left" w:pos="993"/>
                <w:tab w:val="left" w:pos="1134"/>
              </w:tabs>
              <w:spacing w:line="300" w:lineRule="exact"/>
              <w:rPr>
                <w:color w:val="auto"/>
                <w:highlight w:val="none"/>
              </w:rPr>
            </w:pPr>
            <w:r>
              <w:rPr>
                <w:rFonts w:hint="eastAsia"/>
                <w:color w:val="auto"/>
                <w:highlight w:val="none"/>
              </w:rPr>
              <w:t>不符合法律、法规和招标文件中规定的其他实质性要求的。</w:t>
            </w:r>
          </w:p>
        </w:tc>
      </w:tr>
      <w:tr w14:paraId="3563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98" w:type="dxa"/>
            <w:vAlign w:val="center"/>
          </w:tcPr>
          <w:p w14:paraId="6416F257">
            <w:pPr>
              <w:spacing w:line="300" w:lineRule="exact"/>
              <w:ind w:right="3"/>
              <w:jc w:val="center"/>
              <w:rPr>
                <w:rFonts w:ascii="宋体" w:hAnsi="宋体"/>
                <w:color w:val="auto"/>
                <w:szCs w:val="21"/>
                <w:highlight w:val="none"/>
              </w:rPr>
            </w:pPr>
            <w:r>
              <w:rPr>
                <w:rFonts w:hint="eastAsia" w:ascii="宋体" w:hAnsi="宋体" w:cs="Arial"/>
                <w:bCs/>
                <w:color w:val="auto"/>
                <w:kern w:val="28"/>
                <w:highlight w:val="none"/>
              </w:rPr>
              <w:t xml:space="preserve">  4                           </w:t>
            </w:r>
          </w:p>
        </w:tc>
        <w:tc>
          <w:tcPr>
            <w:tcW w:w="4106" w:type="dxa"/>
            <w:gridSpan w:val="3"/>
            <w:vAlign w:val="center"/>
          </w:tcPr>
          <w:p w14:paraId="0286FEC1">
            <w:pPr>
              <w:spacing w:line="300" w:lineRule="exact"/>
              <w:ind w:right="3"/>
              <w:jc w:val="center"/>
              <w:rPr>
                <w:rFonts w:ascii="宋体" w:hAnsi="宋体"/>
                <w:b/>
                <w:color w:val="auto"/>
                <w:szCs w:val="21"/>
                <w:highlight w:val="none"/>
              </w:rPr>
            </w:pPr>
            <w:r>
              <w:rPr>
                <w:rFonts w:hint="eastAsia" w:ascii="宋体" w:hAnsi="宋体" w:cs="Arial"/>
                <w:b/>
                <w:bCs/>
                <w:color w:val="auto"/>
                <w:kern w:val="28"/>
                <w:highlight w:val="none"/>
              </w:rPr>
              <w:t>投标文件评审</w:t>
            </w:r>
          </w:p>
        </w:tc>
        <w:tc>
          <w:tcPr>
            <w:tcW w:w="4659" w:type="dxa"/>
            <w:gridSpan w:val="2"/>
            <w:vAlign w:val="center"/>
          </w:tcPr>
          <w:p w14:paraId="7EE6537C">
            <w:pPr>
              <w:spacing w:line="300" w:lineRule="exact"/>
              <w:ind w:left="315" w:right="6" w:hanging="315" w:hangingChars="150"/>
              <w:jc w:val="center"/>
              <w:rPr>
                <w:rFonts w:ascii="宋体" w:hAnsi="宋体"/>
                <w:color w:val="auto"/>
                <w:szCs w:val="21"/>
                <w:highlight w:val="none"/>
              </w:rPr>
            </w:pPr>
            <w:r>
              <w:rPr>
                <w:rFonts w:ascii="Arial" w:hAnsi="宋体" w:cs="Arial"/>
                <w:bCs/>
                <w:color w:val="auto"/>
                <w:kern w:val="28"/>
                <w:highlight w:val="none"/>
              </w:rPr>
              <w:t>合计</w:t>
            </w:r>
            <w:r>
              <w:rPr>
                <w:rFonts w:hint="eastAsia" w:ascii="Arial" w:hAnsi="Arial" w:cs="Arial"/>
                <w:bCs/>
                <w:color w:val="auto"/>
                <w:kern w:val="28"/>
                <w:highlight w:val="none"/>
              </w:rPr>
              <w:t>100</w:t>
            </w:r>
            <w:r>
              <w:rPr>
                <w:rFonts w:ascii="Arial" w:hAnsi="宋体" w:cs="Arial"/>
                <w:bCs/>
                <w:color w:val="auto"/>
                <w:kern w:val="28"/>
                <w:highlight w:val="none"/>
              </w:rPr>
              <w:t>分</w:t>
            </w:r>
          </w:p>
        </w:tc>
      </w:tr>
      <w:tr w14:paraId="1C3B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698" w:type="dxa"/>
            <w:vAlign w:val="center"/>
          </w:tcPr>
          <w:p w14:paraId="6E88BD2D">
            <w:pPr>
              <w:spacing w:line="300" w:lineRule="exact"/>
              <w:ind w:right="3"/>
              <w:jc w:val="center"/>
              <w:rPr>
                <w:rFonts w:ascii="宋体" w:hAnsi="宋体"/>
                <w:color w:val="auto"/>
                <w:szCs w:val="21"/>
                <w:highlight w:val="none"/>
              </w:rPr>
            </w:pPr>
            <w:r>
              <w:rPr>
                <w:rFonts w:hint="eastAsia" w:ascii="宋体" w:hAnsi="宋体"/>
                <w:color w:val="auto"/>
                <w:szCs w:val="21"/>
                <w:highlight w:val="none"/>
              </w:rPr>
              <w:t>序号</w:t>
            </w:r>
          </w:p>
        </w:tc>
        <w:tc>
          <w:tcPr>
            <w:tcW w:w="1275" w:type="dxa"/>
            <w:vAlign w:val="center"/>
          </w:tcPr>
          <w:p w14:paraId="0564BA3A">
            <w:pPr>
              <w:spacing w:line="300" w:lineRule="exact"/>
              <w:jc w:val="center"/>
              <w:rPr>
                <w:rFonts w:ascii="宋体" w:hAnsi="宋体"/>
                <w:color w:val="auto"/>
                <w:spacing w:val="-20"/>
                <w:szCs w:val="21"/>
                <w:highlight w:val="none"/>
              </w:rPr>
            </w:pPr>
            <w:r>
              <w:rPr>
                <w:rFonts w:hint="eastAsia" w:ascii="宋体" w:hAnsi="宋体"/>
                <w:color w:val="auto"/>
                <w:spacing w:val="-20"/>
                <w:szCs w:val="21"/>
                <w:highlight w:val="none"/>
              </w:rPr>
              <w:t>评分内容</w:t>
            </w:r>
          </w:p>
        </w:tc>
        <w:tc>
          <w:tcPr>
            <w:tcW w:w="2831" w:type="dxa"/>
            <w:gridSpan w:val="2"/>
            <w:vAlign w:val="center"/>
          </w:tcPr>
          <w:p w14:paraId="2570034E">
            <w:pPr>
              <w:spacing w:line="300" w:lineRule="exact"/>
              <w:jc w:val="center"/>
              <w:rPr>
                <w:rFonts w:ascii="宋体" w:hAnsi="宋体"/>
                <w:color w:val="auto"/>
                <w:szCs w:val="21"/>
                <w:highlight w:val="none"/>
              </w:rPr>
            </w:pPr>
            <w:r>
              <w:rPr>
                <w:rFonts w:hint="eastAsia" w:ascii="宋体" w:hAnsi="宋体"/>
                <w:color w:val="auto"/>
                <w:szCs w:val="21"/>
                <w:highlight w:val="none"/>
              </w:rPr>
              <w:t>评分细则</w:t>
            </w:r>
          </w:p>
        </w:tc>
        <w:tc>
          <w:tcPr>
            <w:tcW w:w="3694" w:type="dxa"/>
            <w:vAlign w:val="center"/>
          </w:tcPr>
          <w:p w14:paraId="4FDFC4EE">
            <w:pPr>
              <w:spacing w:line="300" w:lineRule="exact"/>
              <w:jc w:val="center"/>
              <w:rPr>
                <w:rFonts w:ascii="宋体" w:hAnsi="宋体"/>
                <w:color w:val="auto"/>
                <w:szCs w:val="21"/>
                <w:highlight w:val="none"/>
              </w:rPr>
            </w:pPr>
            <w:r>
              <w:rPr>
                <w:rFonts w:hint="eastAsia" w:ascii="宋体" w:hAnsi="宋体"/>
                <w:color w:val="auto"/>
                <w:szCs w:val="21"/>
                <w:highlight w:val="none"/>
              </w:rPr>
              <w:t>评分标准</w:t>
            </w:r>
          </w:p>
        </w:tc>
        <w:tc>
          <w:tcPr>
            <w:tcW w:w="965" w:type="dxa"/>
            <w:vAlign w:val="center"/>
          </w:tcPr>
          <w:p w14:paraId="40D81071">
            <w:pPr>
              <w:spacing w:line="300" w:lineRule="exact"/>
              <w:jc w:val="center"/>
              <w:rPr>
                <w:rFonts w:ascii="宋体" w:hAnsi="宋体"/>
                <w:color w:val="auto"/>
                <w:szCs w:val="21"/>
                <w:highlight w:val="none"/>
              </w:rPr>
            </w:pPr>
            <w:r>
              <w:rPr>
                <w:rFonts w:hint="eastAsia" w:ascii="宋体" w:hAnsi="宋体"/>
                <w:color w:val="auto"/>
                <w:szCs w:val="21"/>
                <w:highlight w:val="none"/>
              </w:rPr>
              <w:t>评分值</w:t>
            </w:r>
          </w:p>
        </w:tc>
      </w:tr>
      <w:tr w14:paraId="0EFB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Align w:val="center"/>
          </w:tcPr>
          <w:p w14:paraId="49A5958F">
            <w:pPr>
              <w:spacing w:line="300" w:lineRule="exact"/>
              <w:ind w:right="3"/>
              <w:jc w:val="center"/>
              <w:rPr>
                <w:rFonts w:ascii="宋体" w:hAnsi="宋体"/>
                <w:color w:val="auto"/>
                <w:szCs w:val="21"/>
                <w:highlight w:val="none"/>
              </w:rPr>
            </w:pPr>
            <w:r>
              <w:rPr>
                <w:rFonts w:hint="eastAsia" w:ascii="宋体" w:hAnsi="宋体"/>
                <w:color w:val="auto"/>
                <w:szCs w:val="21"/>
                <w:highlight w:val="none"/>
              </w:rPr>
              <w:t>4.1</w:t>
            </w:r>
          </w:p>
        </w:tc>
        <w:tc>
          <w:tcPr>
            <w:tcW w:w="1275" w:type="dxa"/>
            <w:vAlign w:val="center"/>
          </w:tcPr>
          <w:p w14:paraId="614B08AB">
            <w:pPr>
              <w:spacing w:before="100" w:beforeAutospacing="1" w:after="100" w:afterAutospacing="1" w:line="30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利率水平</w:t>
            </w:r>
          </w:p>
        </w:tc>
        <w:tc>
          <w:tcPr>
            <w:tcW w:w="6525" w:type="dxa"/>
            <w:gridSpan w:val="3"/>
            <w:vAlign w:val="center"/>
          </w:tcPr>
          <w:p w14:paraId="5653C35B">
            <w:pPr>
              <w:widowControl/>
              <w:numPr>
                <w:ilvl w:val="0"/>
                <w:numId w:val="25"/>
              </w:numPr>
              <w:spacing w:line="32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以各投标银行提交的活期存款年利率加减点数（基点）最高者为基准值，得8分，加减点数（基点）每下降一个基点扣0.03分，扣完为止。</w:t>
            </w:r>
          </w:p>
          <w:p w14:paraId="41D22696">
            <w:pPr>
              <w:widowControl/>
              <w:numPr>
                <w:ilvl w:val="0"/>
                <w:numId w:val="25"/>
              </w:numPr>
              <w:spacing w:line="32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以各投标银行提交的</w:t>
            </w:r>
            <w:r>
              <w:rPr>
                <w:rFonts w:hint="eastAsia" w:asciiTheme="minorEastAsia" w:hAnsiTheme="minorEastAsia" w:cstheme="minorEastAsia"/>
                <w:color w:val="auto"/>
                <w:szCs w:val="21"/>
                <w:highlight w:val="none"/>
                <w:lang w:val="en-US" w:eastAsia="zh-CN"/>
              </w:rPr>
              <w:t>协定</w:t>
            </w:r>
            <w:r>
              <w:rPr>
                <w:rFonts w:hint="eastAsia" w:asciiTheme="minorEastAsia" w:hAnsiTheme="minorEastAsia" w:cstheme="minorEastAsia"/>
                <w:color w:val="auto"/>
                <w:szCs w:val="21"/>
                <w:highlight w:val="none"/>
              </w:rPr>
              <w:t>存款年利率加减点数（基点）最高者为基准值，得8分，加减点数（基点）每下降一个基点扣0.03分，扣完为止。</w:t>
            </w:r>
          </w:p>
          <w:p w14:paraId="1022F94C">
            <w:pPr>
              <w:widowControl/>
              <w:spacing w:line="320" w:lineRule="exact"/>
              <w:jc w:val="left"/>
              <w:textAlignment w:val="center"/>
              <w:rPr>
                <w:color w:val="auto"/>
                <w:highlight w:val="none"/>
              </w:rPr>
            </w:pPr>
            <w:r>
              <w:rPr>
                <w:rFonts w:hint="eastAsia" w:asciiTheme="minorEastAsia" w:hAnsiTheme="minorEastAsia" w:cstheme="minorEastAsia"/>
                <w:color w:val="auto"/>
                <w:szCs w:val="21"/>
                <w:highlight w:val="none"/>
              </w:rPr>
              <w:t>3.投标人协定存款金额（协定存款最低留存金）小于等于</w:t>
            </w:r>
            <w:r>
              <w:rPr>
                <w:rFonts w:hint="eastAsia" w:asciiTheme="minorEastAsia" w:hAnsiTheme="minorEastAsia" w:cstheme="minorEastAsia"/>
                <w:color w:val="auto"/>
                <w:szCs w:val="21"/>
                <w:highlight w:val="none"/>
              </w:rPr>
              <w:t>壹拾万元整</w:t>
            </w:r>
            <w:r>
              <w:rPr>
                <w:rFonts w:hint="eastAsia" w:asciiTheme="minorEastAsia" w:hAnsiTheme="minorEastAsia" w:cstheme="minorEastAsia"/>
                <w:color w:val="auto"/>
                <w:szCs w:val="21"/>
                <w:highlight w:val="none"/>
              </w:rPr>
              <w:t>的，得4分，否则不得分。</w:t>
            </w:r>
          </w:p>
        </w:tc>
        <w:tc>
          <w:tcPr>
            <w:tcW w:w="965" w:type="dxa"/>
            <w:vAlign w:val="center"/>
          </w:tcPr>
          <w:p w14:paraId="6B22F11D">
            <w:pPr>
              <w:autoSpaceDE w:val="0"/>
              <w:autoSpaceDN w:val="0"/>
              <w:adjustRightInd w:val="0"/>
              <w:spacing w:line="300" w:lineRule="atLeast"/>
              <w:jc w:val="center"/>
              <w:rPr>
                <w:rFonts w:ascii="新宋体" w:eastAsia="新宋体" w:cs="新宋体"/>
                <w:bCs/>
                <w:color w:val="auto"/>
                <w:kern w:val="0"/>
                <w:highlight w:val="none"/>
              </w:rPr>
            </w:pPr>
            <w:r>
              <w:rPr>
                <w:rFonts w:hint="eastAsia" w:ascii="新宋体" w:eastAsia="新宋体" w:cs="新宋体"/>
                <w:bCs/>
                <w:color w:val="auto"/>
                <w:kern w:val="0"/>
                <w:highlight w:val="none"/>
              </w:rPr>
              <w:t>20分</w:t>
            </w:r>
          </w:p>
        </w:tc>
      </w:tr>
      <w:tr w14:paraId="0648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698" w:type="dxa"/>
            <w:vMerge w:val="restart"/>
            <w:vAlign w:val="center"/>
          </w:tcPr>
          <w:p w14:paraId="696B38FE">
            <w:pPr>
              <w:spacing w:line="300" w:lineRule="exact"/>
              <w:ind w:right="3"/>
              <w:jc w:val="center"/>
              <w:rPr>
                <w:rFonts w:ascii="宋体" w:hAnsi="宋体"/>
                <w:color w:val="auto"/>
                <w:szCs w:val="21"/>
                <w:highlight w:val="none"/>
              </w:rPr>
            </w:pPr>
            <w:r>
              <w:rPr>
                <w:rFonts w:hint="eastAsia" w:ascii="宋体" w:hAnsi="宋体"/>
                <w:color w:val="auto"/>
                <w:highlight w:val="none"/>
              </w:rPr>
              <w:t>4.2</w:t>
            </w:r>
          </w:p>
        </w:tc>
        <w:tc>
          <w:tcPr>
            <w:tcW w:w="1275" w:type="dxa"/>
            <w:vMerge w:val="restart"/>
            <w:vAlign w:val="center"/>
          </w:tcPr>
          <w:p w14:paraId="65ED9B63">
            <w:pPr>
              <w:autoSpaceDE w:val="0"/>
              <w:autoSpaceDN w:val="0"/>
              <w:adjustRightInd w:val="0"/>
              <w:spacing w:line="300" w:lineRule="atLeast"/>
              <w:jc w:val="center"/>
              <w:rPr>
                <w:rFonts w:asciiTheme="minorEastAsia" w:hAnsiTheme="minorEastAsia" w:cstheme="minorEastAsia"/>
                <w:color w:val="auto"/>
                <w:spacing w:val="-20"/>
                <w:szCs w:val="21"/>
                <w:highlight w:val="none"/>
              </w:rPr>
            </w:pPr>
            <w:r>
              <w:rPr>
                <w:rFonts w:hint="eastAsia" w:asciiTheme="minorEastAsia" w:hAnsiTheme="minorEastAsia" w:cstheme="minorEastAsia"/>
                <w:color w:val="auto"/>
                <w:kern w:val="0"/>
                <w:szCs w:val="21"/>
                <w:highlight w:val="none"/>
                <w:lang w:val="zh-CN"/>
              </w:rPr>
              <w:t>经营状况</w:t>
            </w:r>
          </w:p>
        </w:tc>
        <w:tc>
          <w:tcPr>
            <w:tcW w:w="6525" w:type="dxa"/>
            <w:gridSpan w:val="3"/>
            <w:vAlign w:val="center"/>
          </w:tcPr>
          <w:p w14:paraId="6100F08F">
            <w:pPr>
              <w:spacing w:line="340" w:lineRule="exact"/>
              <w:jc w:val="left"/>
              <w:rPr>
                <w:rFonts w:ascii="宋体" w:hAnsi="宋体" w:eastAsia="宋体" w:cs="宋体"/>
                <w:color w:val="auto"/>
                <w:szCs w:val="21"/>
                <w:highlight w:val="none"/>
              </w:rPr>
            </w:pPr>
            <w:r>
              <w:rPr>
                <w:rFonts w:hint="eastAsia" w:asciiTheme="minorEastAsia" w:hAnsiTheme="minorEastAsia" w:cstheme="minorEastAsia"/>
                <w:color w:val="auto"/>
                <w:kern w:val="0"/>
                <w:szCs w:val="21"/>
                <w:highlight w:val="none"/>
              </w:rPr>
              <w:t>1.</w:t>
            </w:r>
            <w:r>
              <w:rPr>
                <w:rFonts w:hint="eastAsia" w:ascii="宋体" w:hAnsi="宋体" w:eastAsia="宋体" w:cs="宋体"/>
                <w:color w:val="auto"/>
                <w:szCs w:val="21"/>
                <w:highlight w:val="none"/>
              </w:rPr>
              <w:t>根据投标人截止2024年12月31日止资产总额情况从高到低进行排名，排名最高得15分，每降低一个位次减0.5分，本项保底得7分。未进入评审的不计入排名。</w:t>
            </w:r>
            <w:r>
              <w:rPr>
                <w:rFonts w:hint="eastAsia" w:ascii="宋体" w:hAnsi="宋体" w:eastAsia="宋体" w:cs="宋体"/>
                <w:b/>
                <w:bCs/>
                <w:color w:val="auto"/>
                <w:szCs w:val="21"/>
                <w:highlight w:val="none"/>
              </w:rPr>
              <w:t>（证明材料：以投标人提供的2024年财务报表或审计报告扫描件加盖公章为准。投标人应对财务报表或审计报告的真实性负责。）</w:t>
            </w:r>
          </w:p>
          <w:p w14:paraId="782D56B7">
            <w:pPr>
              <w:autoSpaceDE w:val="0"/>
              <w:autoSpaceDN w:val="0"/>
              <w:adjustRightInd w:val="0"/>
              <w:spacing w:line="320" w:lineRule="exact"/>
              <w:jc w:val="left"/>
              <w:rPr>
                <w:rFonts w:asciiTheme="minorEastAsia" w:hAnsiTheme="minorEastAsia" w:cstheme="minorEastAsia"/>
                <w:color w:val="auto"/>
                <w:szCs w:val="21"/>
                <w:highlight w:val="none"/>
              </w:rPr>
            </w:pPr>
            <w:r>
              <w:rPr>
                <w:rFonts w:hint="eastAsia" w:ascii="宋体" w:hAnsi="宋体" w:eastAsia="宋体" w:cs="宋体"/>
                <w:b/>
                <w:bCs/>
                <w:color w:val="auto"/>
                <w:szCs w:val="21"/>
                <w:highlight w:val="none"/>
              </w:rPr>
              <w:t>注：此项线上投标系统中数据填写以万元为单位，只需填写数字，如资产总额为100万元，仅填写100。</w:t>
            </w:r>
          </w:p>
        </w:tc>
        <w:tc>
          <w:tcPr>
            <w:tcW w:w="965" w:type="dxa"/>
            <w:vMerge w:val="restart"/>
            <w:vAlign w:val="center"/>
          </w:tcPr>
          <w:p w14:paraId="03C369FB">
            <w:pPr>
              <w:autoSpaceDE w:val="0"/>
              <w:autoSpaceDN w:val="0"/>
              <w:adjustRightInd w:val="0"/>
              <w:spacing w:line="300" w:lineRule="atLeast"/>
              <w:jc w:val="center"/>
              <w:rPr>
                <w:rFonts w:ascii="新宋体" w:eastAsia="新宋体" w:cs="新宋体"/>
                <w:bCs/>
                <w:color w:val="auto"/>
                <w:kern w:val="0"/>
                <w:highlight w:val="none"/>
              </w:rPr>
            </w:pPr>
            <w:r>
              <w:rPr>
                <w:rFonts w:hint="eastAsia" w:ascii="新宋体" w:eastAsia="新宋体" w:cs="新宋体"/>
                <w:bCs/>
                <w:color w:val="auto"/>
                <w:kern w:val="0"/>
                <w:highlight w:val="none"/>
              </w:rPr>
              <w:t>30分</w:t>
            </w:r>
          </w:p>
        </w:tc>
      </w:tr>
      <w:tr w14:paraId="5558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98" w:type="dxa"/>
            <w:vMerge w:val="continue"/>
            <w:vAlign w:val="center"/>
          </w:tcPr>
          <w:p w14:paraId="4EA2A056">
            <w:pPr>
              <w:spacing w:line="300" w:lineRule="exact"/>
              <w:ind w:right="3"/>
              <w:jc w:val="center"/>
              <w:rPr>
                <w:rFonts w:ascii="宋体" w:hAnsi="宋体"/>
                <w:color w:val="auto"/>
                <w:highlight w:val="none"/>
              </w:rPr>
            </w:pPr>
          </w:p>
        </w:tc>
        <w:tc>
          <w:tcPr>
            <w:tcW w:w="1275" w:type="dxa"/>
            <w:vMerge w:val="continue"/>
            <w:vAlign w:val="center"/>
          </w:tcPr>
          <w:p w14:paraId="5F84D272">
            <w:pPr>
              <w:autoSpaceDE w:val="0"/>
              <w:autoSpaceDN w:val="0"/>
              <w:adjustRightInd w:val="0"/>
              <w:spacing w:line="300" w:lineRule="atLeast"/>
              <w:jc w:val="center"/>
              <w:rPr>
                <w:rFonts w:asciiTheme="minorEastAsia" w:hAnsiTheme="minorEastAsia" w:cstheme="minorEastAsia"/>
                <w:color w:val="auto"/>
                <w:kern w:val="0"/>
                <w:szCs w:val="21"/>
                <w:highlight w:val="none"/>
                <w:lang w:val="zh-CN"/>
              </w:rPr>
            </w:pPr>
          </w:p>
        </w:tc>
        <w:tc>
          <w:tcPr>
            <w:tcW w:w="6525" w:type="dxa"/>
            <w:gridSpan w:val="3"/>
            <w:vAlign w:val="center"/>
          </w:tcPr>
          <w:p w14:paraId="05694A47">
            <w:pPr>
              <w:widowControl/>
              <w:spacing w:line="320" w:lineRule="exact"/>
              <w:jc w:val="left"/>
              <w:textAlignment w:val="center"/>
              <w:rPr>
                <w:rFonts w:asciiTheme="minorEastAsia" w:hAnsiTheme="minorEastAsia" w:cstheme="minorEastAsia"/>
                <w:color w:val="auto"/>
                <w:szCs w:val="21"/>
                <w:highlight w:val="none"/>
              </w:rPr>
            </w:pPr>
            <w:r>
              <w:rPr>
                <w:rFonts w:hint="eastAsia" w:ascii="宋体" w:hAnsi="宋体" w:cs="宋体"/>
                <w:color w:val="auto"/>
                <w:szCs w:val="21"/>
                <w:highlight w:val="none"/>
              </w:rPr>
              <w:t>2.</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zh-CN"/>
              </w:rPr>
              <w:t>投标人截止</w:t>
            </w:r>
            <w:r>
              <w:rPr>
                <w:rFonts w:hint="eastAsia" w:ascii="宋体" w:hAnsi="宋体" w:eastAsia="宋体" w:cs="宋体"/>
                <w:color w:val="auto"/>
                <w:kern w:val="0"/>
                <w:szCs w:val="21"/>
                <w:highlight w:val="none"/>
              </w:rPr>
              <w:t>2024年12月31日</w:t>
            </w:r>
            <w:r>
              <w:rPr>
                <w:rFonts w:hint="eastAsia" w:ascii="宋体" w:hAnsi="宋体" w:eastAsia="宋体" w:cs="宋体"/>
                <w:color w:val="auto"/>
                <w:szCs w:val="21"/>
                <w:highlight w:val="none"/>
                <w:lang w:val="zh-CN"/>
              </w:rPr>
              <w:t>止</w:t>
            </w:r>
            <w:r>
              <w:rPr>
                <w:rFonts w:hint="eastAsia" w:ascii="宋体" w:hAnsi="宋体" w:eastAsia="宋体" w:cs="宋体"/>
                <w:color w:val="auto"/>
                <w:kern w:val="0"/>
                <w:szCs w:val="21"/>
                <w:highlight w:val="none"/>
              </w:rPr>
              <w:t>利息净收入</w:t>
            </w:r>
            <w:r>
              <w:rPr>
                <w:rFonts w:hint="eastAsia" w:ascii="宋体" w:hAnsi="宋体" w:eastAsia="宋体" w:cs="宋体"/>
                <w:color w:val="auto"/>
                <w:szCs w:val="21"/>
                <w:highlight w:val="none"/>
              </w:rPr>
              <w:t>情况从高到低进行排名，排名最高得15分，每降低一个位次减0.5分，本项保底得7分。未进入评审的不计入排名。</w:t>
            </w:r>
            <w:r>
              <w:rPr>
                <w:rFonts w:hint="eastAsia" w:ascii="宋体" w:hAnsi="宋体" w:eastAsia="宋体" w:cs="宋体"/>
                <w:b/>
                <w:bCs/>
                <w:color w:val="auto"/>
                <w:kern w:val="0"/>
                <w:szCs w:val="21"/>
                <w:highlight w:val="none"/>
              </w:rPr>
              <w:t>（证明材料：以瑞安市财政局预算执行局出具的来源于中国人民银行的</w:t>
            </w:r>
            <w:r>
              <w:rPr>
                <w:rFonts w:hint="eastAsia" w:ascii="宋体" w:hAnsi="宋体" w:cs="宋体"/>
                <w:b/>
                <w:bCs/>
                <w:color w:val="auto"/>
                <w:szCs w:val="21"/>
                <w:highlight w:val="none"/>
              </w:rPr>
              <w:t>的截止2024年12月31日止</w:t>
            </w:r>
            <w:r>
              <w:rPr>
                <w:rFonts w:hint="eastAsia" w:ascii="宋体" w:hAnsi="宋体" w:eastAsia="宋体" w:cs="宋体"/>
                <w:b/>
                <w:bCs/>
                <w:color w:val="auto"/>
                <w:kern w:val="0"/>
                <w:szCs w:val="21"/>
                <w:highlight w:val="none"/>
              </w:rPr>
              <w:t>利息净收入数据表为评分依据，投标人不需要在投标文件中提供该证明材料。）</w:t>
            </w:r>
          </w:p>
        </w:tc>
        <w:tc>
          <w:tcPr>
            <w:tcW w:w="965" w:type="dxa"/>
            <w:vMerge w:val="continue"/>
            <w:vAlign w:val="center"/>
          </w:tcPr>
          <w:p w14:paraId="1EF03A3A">
            <w:pPr>
              <w:autoSpaceDE w:val="0"/>
              <w:autoSpaceDN w:val="0"/>
              <w:adjustRightInd w:val="0"/>
              <w:spacing w:line="300" w:lineRule="atLeast"/>
              <w:jc w:val="center"/>
              <w:rPr>
                <w:rFonts w:ascii="新宋体" w:eastAsia="新宋体" w:cs="新宋体"/>
                <w:bCs/>
                <w:color w:val="auto"/>
                <w:kern w:val="0"/>
                <w:highlight w:val="none"/>
              </w:rPr>
            </w:pPr>
          </w:p>
        </w:tc>
      </w:tr>
      <w:tr w14:paraId="7BE6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98" w:type="dxa"/>
            <w:vMerge w:val="restart"/>
            <w:vAlign w:val="center"/>
          </w:tcPr>
          <w:p w14:paraId="0CC830F0">
            <w:pPr>
              <w:spacing w:line="300" w:lineRule="exact"/>
              <w:ind w:right="3"/>
              <w:jc w:val="center"/>
              <w:rPr>
                <w:rFonts w:ascii="宋体" w:hAnsi="宋体"/>
                <w:color w:val="auto"/>
                <w:highlight w:val="none"/>
              </w:rPr>
            </w:pPr>
            <w:r>
              <w:rPr>
                <w:rFonts w:hint="eastAsia" w:ascii="宋体" w:hAnsi="宋体"/>
                <w:color w:val="auto"/>
                <w:highlight w:val="none"/>
              </w:rPr>
              <w:t>4.3</w:t>
            </w:r>
          </w:p>
        </w:tc>
        <w:tc>
          <w:tcPr>
            <w:tcW w:w="1275" w:type="dxa"/>
            <w:vMerge w:val="restart"/>
            <w:vAlign w:val="center"/>
          </w:tcPr>
          <w:p w14:paraId="1AEDE7FA">
            <w:pPr>
              <w:autoSpaceDE w:val="0"/>
              <w:autoSpaceDN w:val="0"/>
              <w:adjustRightInd w:val="0"/>
              <w:spacing w:line="300" w:lineRule="atLeast"/>
              <w:jc w:val="center"/>
              <w:rPr>
                <w:rFonts w:asciiTheme="minorEastAsia" w:hAnsiTheme="minorEastAsia" w:cstheme="minorEastAsia"/>
                <w:color w:val="auto"/>
                <w:kern w:val="0"/>
                <w:szCs w:val="21"/>
                <w:highlight w:val="none"/>
                <w:lang w:val="zh-CN"/>
              </w:rPr>
            </w:pPr>
            <w:r>
              <w:rPr>
                <w:rFonts w:hint="eastAsia" w:asciiTheme="minorEastAsia" w:hAnsiTheme="minorEastAsia" w:cstheme="minorEastAsia"/>
                <w:color w:val="auto"/>
                <w:kern w:val="0"/>
                <w:szCs w:val="21"/>
                <w:highlight w:val="none"/>
              </w:rPr>
              <w:t>经济贡献度</w:t>
            </w:r>
          </w:p>
        </w:tc>
        <w:tc>
          <w:tcPr>
            <w:tcW w:w="6525" w:type="dxa"/>
            <w:gridSpan w:val="3"/>
            <w:vAlign w:val="center"/>
          </w:tcPr>
          <w:p w14:paraId="2741DB07">
            <w:pPr>
              <w:widowControl/>
              <w:spacing w:line="340" w:lineRule="exact"/>
              <w:jc w:val="left"/>
              <w:rPr>
                <w:rFonts w:ascii="宋体" w:hAnsi="宋体" w:cs="宋体"/>
                <w:b/>
                <w:bCs/>
                <w:color w:val="auto"/>
                <w:kern w:val="0"/>
                <w:szCs w:val="21"/>
                <w:highlight w:val="none"/>
              </w:rPr>
            </w:pPr>
            <w:r>
              <w:rPr>
                <w:rFonts w:hint="eastAsia" w:ascii="宋体" w:hAnsi="宋体" w:eastAsia="宋体" w:cs="宋体"/>
                <w:color w:val="auto"/>
                <w:szCs w:val="21"/>
                <w:highlight w:val="none"/>
              </w:rPr>
              <w:t>1.根据投标人2024年度（指税款所属期为2024年1月1日至2024年12月31日）在瑞安市的纳税总额从高到低进行排名</w:t>
            </w:r>
            <w:r>
              <w:rPr>
                <w:rFonts w:hint="eastAsia" w:ascii="宋体" w:hAnsi="宋体" w:cs="宋体"/>
                <w:color w:val="auto"/>
                <w:kern w:val="0"/>
                <w:szCs w:val="21"/>
                <w:highlight w:val="none"/>
              </w:rPr>
              <w:t>，</w:t>
            </w:r>
            <w:r>
              <w:rPr>
                <w:rFonts w:hint="eastAsia" w:ascii="宋体" w:hAnsi="宋体" w:eastAsia="宋体" w:cs="宋体"/>
                <w:color w:val="auto"/>
                <w:szCs w:val="21"/>
                <w:highlight w:val="none"/>
              </w:rPr>
              <w:t>排名最高得15分，每降低一个位次减0.5分，本项保底得7分。未进入评审的不计入排名。</w:t>
            </w:r>
            <w:r>
              <w:rPr>
                <w:rFonts w:hint="eastAsia" w:ascii="宋体" w:hAnsi="宋体" w:cs="宋体"/>
                <w:b/>
                <w:bCs/>
                <w:color w:val="auto"/>
                <w:kern w:val="0"/>
                <w:szCs w:val="21"/>
                <w:highlight w:val="none"/>
              </w:rPr>
              <w:t>（证明材料：以投标人提供的税务部门出具的相关证明材料为准。）</w:t>
            </w:r>
          </w:p>
          <w:p w14:paraId="0272A2B4">
            <w:pPr>
              <w:widowControl/>
              <w:spacing w:line="320" w:lineRule="exact"/>
              <w:jc w:val="left"/>
              <w:textAlignment w:val="center"/>
              <w:rPr>
                <w:rFonts w:asciiTheme="minorEastAsia" w:hAnsiTheme="minorEastAsia" w:cstheme="minorEastAsia"/>
                <w:color w:val="auto"/>
                <w:szCs w:val="21"/>
                <w:highlight w:val="none"/>
              </w:rPr>
            </w:pPr>
            <w:r>
              <w:rPr>
                <w:rFonts w:hint="eastAsia" w:ascii="宋体" w:hAnsi="宋体" w:cs="宋体"/>
                <w:b/>
                <w:bCs/>
                <w:color w:val="auto"/>
                <w:kern w:val="0"/>
                <w:szCs w:val="21"/>
                <w:highlight w:val="none"/>
              </w:rPr>
              <w:t>注：</w:t>
            </w:r>
            <w:r>
              <w:rPr>
                <w:rFonts w:hint="eastAsia" w:ascii="宋体" w:hAnsi="宋体" w:cs="宋体"/>
                <w:b/>
                <w:bCs/>
                <w:color w:val="auto"/>
                <w:szCs w:val="21"/>
                <w:highlight w:val="none"/>
              </w:rPr>
              <w:t>此项线上投标系统中数据填写以万元为单位，只需填写数字，如纳税总额为100万元，仅填写100。</w:t>
            </w:r>
          </w:p>
        </w:tc>
        <w:tc>
          <w:tcPr>
            <w:tcW w:w="965" w:type="dxa"/>
            <w:vMerge w:val="restart"/>
            <w:vAlign w:val="center"/>
          </w:tcPr>
          <w:p w14:paraId="6A710F42">
            <w:pPr>
              <w:autoSpaceDE w:val="0"/>
              <w:autoSpaceDN w:val="0"/>
              <w:adjustRightInd w:val="0"/>
              <w:spacing w:line="300" w:lineRule="atLeast"/>
              <w:jc w:val="center"/>
              <w:rPr>
                <w:rFonts w:ascii="新宋体" w:eastAsia="新宋体" w:cs="新宋体"/>
                <w:bCs/>
                <w:color w:val="auto"/>
                <w:kern w:val="0"/>
                <w:highlight w:val="none"/>
              </w:rPr>
            </w:pPr>
            <w:r>
              <w:rPr>
                <w:rFonts w:hint="eastAsia" w:ascii="新宋体" w:eastAsia="新宋体" w:cs="新宋体"/>
                <w:bCs/>
                <w:color w:val="auto"/>
                <w:kern w:val="0"/>
                <w:highlight w:val="none"/>
              </w:rPr>
              <w:t>30分</w:t>
            </w:r>
          </w:p>
        </w:tc>
      </w:tr>
      <w:tr w14:paraId="1B30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continue"/>
            <w:vAlign w:val="center"/>
          </w:tcPr>
          <w:p w14:paraId="0A6826EE">
            <w:pPr>
              <w:spacing w:line="300" w:lineRule="exact"/>
              <w:ind w:right="3"/>
              <w:jc w:val="center"/>
              <w:rPr>
                <w:rFonts w:ascii="宋体" w:hAnsi="宋体"/>
                <w:color w:val="auto"/>
                <w:highlight w:val="none"/>
              </w:rPr>
            </w:pPr>
          </w:p>
        </w:tc>
        <w:tc>
          <w:tcPr>
            <w:tcW w:w="1275" w:type="dxa"/>
            <w:vMerge w:val="continue"/>
            <w:vAlign w:val="center"/>
          </w:tcPr>
          <w:p w14:paraId="7FADC353">
            <w:pPr>
              <w:autoSpaceDE w:val="0"/>
              <w:autoSpaceDN w:val="0"/>
              <w:adjustRightInd w:val="0"/>
              <w:spacing w:line="300" w:lineRule="atLeast"/>
              <w:jc w:val="center"/>
              <w:rPr>
                <w:rFonts w:asciiTheme="minorEastAsia" w:hAnsiTheme="minorEastAsia" w:cstheme="minorEastAsia"/>
                <w:color w:val="auto"/>
                <w:kern w:val="0"/>
                <w:szCs w:val="21"/>
                <w:highlight w:val="none"/>
                <w:lang w:val="zh-CN"/>
              </w:rPr>
            </w:pPr>
          </w:p>
        </w:tc>
        <w:tc>
          <w:tcPr>
            <w:tcW w:w="6525" w:type="dxa"/>
            <w:gridSpan w:val="3"/>
            <w:vAlign w:val="center"/>
          </w:tcPr>
          <w:p w14:paraId="1CD4CD4E">
            <w:pPr>
              <w:autoSpaceDE w:val="0"/>
              <w:autoSpaceDN w:val="0"/>
              <w:spacing w:line="340" w:lineRule="exact"/>
              <w:jc w:val="left"/>
              <w:rPr>
                <w:rFonts w:ascii="宋体" w:hAnsi="宋体" w:cs="宋体"/>
                <w:b/>
                <w:bCs/>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瑞安市金融工作服务中心 关于公布2024年度金融机构（组织）综合考核结果：</w:t>
            </w:r>
            <w:r>
              <w:rPr>
                <w:rFonts w:ascii="宋体" w:hAnsi="宋体" w:cs="宋体"/>
                <w:color w:val="auto"/>
                <w:szCs w:val="21"/>
                <w:highlight w:val="none"/>
              </w:rPr>
              <w:t>第一等次</w:t>
            </w:r>
            <w:r>
              <w:rPr>
                <w:rFonts w:hint="eastAsia" w:ascii="宋体" w:hAnsi="宋体" w:cs="宋体"/>
                <w:color w:val="auto"/>
                <w:szCs w:val="21"/>
                <w:highlight w:val="none"/>
              </w:rPr>
              <w:t>得15分，</w:t>
            </w:r>
            <w:r>
              <w:rPr>
                <w:rFonts w:ascii="宋体" w:hAnsi="宋体" w:cs="宋体"/>
                <w:color w:val="auto"/>
                <w:szCs w:val="21"/>
                <w:highlight w:val="none"/>
              </w:rPr>
              <w:t>第二等次</w:t>
            </w:r>
            <w:r>
              <w:rPr>
                <w:rFonts w:hint="eastAsia" w:ascii="宋体" w:hAnsi="宋体" w:cs="宋体"/>
                <w:color w:val="auto"/>
                <w:szCs w:val="21"/>
                <w:highlight w:val="none"/>
              </w:rPr>
              <w:t>得14.5分，</w:t>
            </w:r>
            <w:r>
              <w:rPr>
                <w:rFonts w:ascii="宋体" w:hAnsi="宋体" w:cs="宋体"/>
                <w:color w:val="auto"/>
                <w:szCs w:val="21"/>
                <w:highlight w:val="none"/>
              </w:rPr>
              <w:t>第三等次</w:t>
            </w:r>
            <w:r>
              <w:rPr>
                <w:rFonts w:hint="eastAsia" w:ascii="宋体" w:hAnsi="宋体" w:cs="宋体"/>
                <w:color w:val="auto"/>
                <w:szCs w:val="21"/>
                <w:highlight w:val="none"/>
              </w:rPr>
              <w:t>得14分，其余的得13.5分。</w:t>
            </w:r>
            <w:r>
              <w:rPr>
                <w:rFonts w:ascii="宋体" w:hAnsi="宋体" w:cs="宋体"/>
                <w:b/>
                <w:bCs/>
                <w:color w:val="auto"/>
                <w:szCs w:val="21"/>
                <w:highlight w:val="none"/>
              </w:rPr>
              <w:t>（证明材料：投标人需提供瑞安市金融工作服务中心 《关于公布2024年度金融机构（组织）综合考核结果的</w:t>
            </w:r>
            <w:r>
              <w:rPr>
                <w:rFonts w:hint="eastAsia" w:ascii="宋体" w:hAnsi="宋体" w:cs="宋体"/>
                <w:b/>
                <w:bCs/>
                <w:color w:val="auto"/>
                <w:szCs w:val="21"/>
                <w:highlight w:val="none"/>
                <w:lang w:eastAsia="zh-CN"/>
              </w:rPr>
              <w:t>通知</w:t>
            </w:r>
            <w:r>
              <w:rPr>
                <w:rFonts w:ascii="宋体" w:hAnsi="宋体" w:cs="宋体"/>
                <w:b/>
                <w:bCs/>
                <w:color w:val="auto"/>
                <w:szCs w:val="21"/>
                <w:highlight w:val="none"/>
              </w:rPr>
              <w:t>》加盖投标单位公章为准。）</w:t>
            </w:r>
          </w:p>
          <w:p w14:paraId="40B9D69E">
            <w:pPr>
              <w:autoSpaceDE w:val="0"/>
              <w:autoSpaceDN w:val="0"/>
              <w:adjustRightInd w:val="0"/>
              <w:spacing w:line="320" w:lineRule="exact"/>
              <w:jc w:val="left"/>
              <w:rPr>
                <w:rFonts w:asciiTheme="minorEastAsia" w:hAnsiTheme="minorEastAsia" w:cstheme="minorEastAsia"/>
                <w:color w:val="auto"/>
                <w:szCs w:val="21"/>
                <w:highlight w:val="none"/>
              </w:rPr>
            </w:pPr>
            <w:r>
              <w:rPr>
                <w:rFonts w:ascii="宋体" w:hAnsi="宋体" w:cs="宋体"/>
                <w:b/>
                <w:bCs/>
                <w:color w:val="auto"/>
                <w:szCs w:val="21"/>
                <w:highlight w:val="none"/>
              </w:rPr>
              <w:t>注：此项线上投标系统中文本填写第一等次或第二等次或第三等次或其余。</w:t>
            </w:r>
          </w:p>
        </w:tc>
        <w:tc>
          <w:tcPr>
            <w:tcW w:w="965" w:type="dxa"/>
            <w:vMerge w:val="continue"/>
            <w:vAlign w:val="center"/>
          </w:tcPr>
          <w:p w14:paraId="1EF7A634">
            <w:pPr>
              <w:autoSpaceDE w:val="0"/>
              <w:autoSpaceDN w:val="0"/>
              <w:adjustRightInd w:val="0"/>
              <w:spacing w:line="300" w:lineRule="atLeast"/>
              <w:jc w:val="center"/>
              <w:rPr>
                <w:rFonts w:ascii="新宋体" w:eastAsia="新宋体" w:cs="新宋体"/>
                <w:bCs/>
                <w:color w:val="auto"/>
                <w:kern w:val="0"/>
                <w:highlight w:val="none"/>
              </w:rPr>
            </w:pPr>
          </w:p>
        </w:tc>
      </w:tr>
      <w:tr w14:paraId="4F5F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restart"/>
            <w:vAlign w:val="center"/>
          </w:tcPr>
          <w:p w14:paraId="07B21FB2">
            <w:pPr>
              <w:spacing w:line="276" w:lineRule="auto"/>
              <w:ind w:right="3"/>
              <w:jc w:val="center"/>
              <w:rPr>
                <w:rFonts w:ascii="宋体" w:hAnsi="宋体"/>
                <w:color w:val="auto"/>
                <w:highlight w:val="none"/>
              </w:rPr>
            </w:pPr>
            <w:r>
              <w:rPr>
                <w:rFonts w:hint="eastAsia" w:ascii="宋体" w:hAnsi="宋体" w:cs="宋体"/>
                <w:color w:val="auto"/>
                <w:highlight w:val="none"/>
              </w:rPr>
              <w:t>4.4</w:t>
            </w:r>
          </w:p>
        </w:tc>
        <w:tc>
          <w:tcPr>
            <w:tcW w:w="1275" w:type="dxa"/>
            <w:vMerge w:val="restart"/>
            <w:vAlign w:val="center"/>
          </w:tcPr>
          <w:p w14:paraId="792B4BB9">
            <w:pPr>
              <w:tabs>
                <w:tab w:val="left" w:pos="193"/>
              </w:tabs>
              <w:spacing w:before="100" w:beforeAutospacing="1" w:after="100" w:afterAutospacing="1" w:line="276" w:lineRule="auto"/>
              <w:jc w:val="center"/>
              <w:rPr>
                <w:rFonts w:asciiTheme="minorEastAsia" w:hAnsiTheme="minorEastAsia" w:cstheme="minorEastAsia"/>
                <w:color w:val="auto"/>
                <w:kern w:val="0"/>
                <w:szCs w:val="21"/>
                <w:highlight w:val="none"/>
                <w:lang w:val="zh-CN"/>
              </w:rPr>
            </w:pPr>
            <w:r>
              <w:rPr>
                <w:rFonts w:hint="eastAsia" w:asciiTheme="minorEastAsia" w:hAnsiTheme="minorEastAsia" w:cstheme="minorEastAsia"/>
                <w:color w:val="auto"/>
                <w:szCs w:val="21"/>
                <w:highlight w:val="none"/>
              </w:rPr>
              <w:t>服务水平</w:t>
            </w:r>
          </w:p>
        </w:tc>
        <w:tc>
          <w:tcPr>
            <w:tcW w:w="6525" w:type="dxa"/>
            <w:gridSpan w:val="3"/>
            <w:vAlign w:val="center"/>
          </w:tcPr>
          <w:p w14:paraId="59F0D292">
            <w:pPr>
              <w:widowControl/>
              <w:jc w:val="left"/>
              <w:textAlignment w:val="center"/>
              <w:rPr>
                <w:rFonts w:eastAsia="宋体" w:asciiTheme="minorEastAsia" w:hAnsiTheme="minorEastAsia" w:cstheme="minorEastAsia"/>
                <w:color w:val="auto"/>
                <w:kern w:val="0"/>
                <w:szCs w:val="21"/>
                <w:highlight w:val="none"/>
              </w:rPr>
            </w:pPr>
            <w:r>
              <w:rPr>
                <w:rFonts w:hint="eastAsia" w:ascii="宋体" w:hAnsi="宋体" w:eastAsia="宋体" w:cs="宋体"/>
                <w:color w:val="auto"/>
                <w:kern w:val="0"/>
                <w:szCs w:val="21"/>
                <w:highlight w:val="none"/>
              </w:rPr>
              <w:t>1.根据投标人</w:t>
            </w:r>
            <w:r>
              <w:rPr>
                <w:rFonts w:hint="eastAsia" w:ascii="宋体" w:hAnsi="宋体" w:eastAsia="宋体" w:cs="宋体"/>
                <w:color w:val="auto"/>
                <w:kern w:val="0"/>
                <w:szCs w:val="21"/>
                <w:highlight w:val="none"/>
                <w:lang w:val="zh-CN"/>
              </w:rPr>
              <w:t>支付结算、对账、分账核算等服务的</w:t>
            </w:r>
            <w:r>
              <w:rPr>
                <w:rFonts w:hint="eastAsia" w:ascii="宋体" w:hAnsi="宋体" w:eastAsia="宋体" w:cs="宋体"/>
                <w:color w:val="auto"/>
                <w:kern w:val="0"/>
                <w:szCs w:val="21"/>
                <w:highlight w:val="none"/>
              </w:rPr>
              <w:t>制度和系统情况，由评标委员会酌情打分</w:t>
            </w:r>
            <w:r>
              <w:rPr>
                <w:rFonts w:hint="eastAsia" w:ascii="宋体" w:hAnsi="宋体" w:eastAsia="宋体" w:cs="宋体"/>
                <w:color w:val="auto"/>
                <w:szCs w:val="21"/>
                <w:highlight w:val="none"/>
              </w:rPr>
              <w:t>（0-2分)。</w:t>
            </w:r>
          </w:p>
        </w:tc>
        <w:tc>
          <w:tcPr>
            <w:tcW w:w="965" w:type="dxa"/>
            <w:vMerge w:val="restart"/>
            <w:vAlign w:val="center"/>
          </w:tcPr>
          <w:p w14:paraId="78AC2372">
            <w:pPr>
              <w:autoSpaceDE w:val="0"/>
              <w:autoSpaceDN w:val="0"/>
              <w:adjustRightInd w:val="0"/>
              <w:spacing w:line="300" w:lineRule="atLeast"/>
              <w:jc w:val="center"/>
              <w:rPr>
                <w:rFonts w:ascii="新宋体" w:eastAsia="新宋体" w:cs="新宋体"/>
                <w:bCs/>
                <w:color w:val="auto"/>
                <w:kern w:val="0"/>
                <w:highlight w:val="none"/>
              </w:rPr>
            </w:pPr>
            <w:r>
              <w:rPr>
                <w:rFonts w:hint="eastAsia" w:ascii="新宋体" w:eastAsia="新宋体" w:cs="新宋体"/>
                <w:bCs/>
                <w:color w:val="auto"/>
                <w:kern w:val="0"/>
                <w:highlight w:val="none"/>
              </w:rPr>
              <w:t>20分</w:t>
            </w:r>
          </w:p>
        </w:tc>
      </w:tr>
      <w:tr w14:paraId="2FDB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continue"/>
            <w:vAlign w:val="center"/>
          </w:tcPr>
          <w:p w14:paraId="363814F3">
            <w:pPr>
              <w:spacing w:line="276" w:lineRule="auto"/>
              <w:ind w:right="3"/>
              <w:jc w:val="center"/>
              <w:rPr>
                <w:rFonts w:ascii="宋体" w:hAnsi="宋体" w:cs="宋体"/>
                <w:color w:val="auto"/>
                <w:highlight w:val="none"/>
              </w:rPr>
            </w:pPr>
          </w:p>
        </w:tc>
        <w:tc>
          <w:tcPr>
            <w:tcW w:w="1275" w:type="dxa"/>
            <w:vMerge w:val="continue"/>
            <w:vAlign w:val="center"/>
          </w:tcPr>
          <w:p w14:paraId="568755D4">
            <w:pPr>
              <w:tabs>
                <w:tab w:val="left" w:pos="193"/>
              </w:tabs>
              <w:spacing w:before="100" w:beforeAutospacing="1" w:after="100" w:afterAutospacing="1" w:line="276" w:lineRule="auto"/>
              <w:jc w:val="center"/>
              <w:rPr>
                <w:rFonts w:asciiTheme="minorEastAsia" w:hAnsiTheme="minorEastAsia" w:cstheme="minorEastAsia"/>
                <w:color w:val="auto"/>
                <w:szCs w:val="21"/>
                <w:highlight w:val="none"/>
              </w:rPr>
            </w:pPr>
          </w:p>
        </w:tc>
        <w:tc>
          <w:tcPr>
            <w:tcW w:w="6525" w:type="dxa"/>
            <w:gridSpan w:val="3"/>
            <w:vAlign w:val="center"/>
          </w:tcPr>
          <w:p w14:paraId="75FFD001">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2.</w:t>
            </w:r>
            <w:r>
              <w:rPr>
                <w:rFonts w:hint="eastAsia" w:ascii="宋体" w:hAnsi="宋体" w:eastAsia="宋体" w:cs="宋体"/>
                <w:color w:val="auto"/>
                <w:kern w:val="0"/>
                <w:szCs w:val="21"/>
                <w:highlight w:val="none"/>
              </w:rPr>
              <w:t>根据投标人的跨行、跨区域汇款（含电汇）优惠承诺</w:t>
            </w:r>
            <w:r>
              <w:rPr>
                <w:rFonts w:hint="eastAsia" w:ascii="宋体" w:hAnsi="宋体" w:eastAsia="宋体" w:cs="宋体"/>
                <w:color w:val="auto"/>
                <w:szCs w:val="21"/>
                <w:highlight w:val="none"/>
              </w:rPr>
              <w:t>由评标委员会酌情打分（0-2分)。</w:t>
            </w:r>
          </w:p>
        </w:tc>
        <w:tc>
          <w:tcPr>
            <w:tcW w:w="965" w:type="dxa"/>
            <w:vMerge w:val="continue"/>
            <w:vAlign w:val="center"/>
          </w:tcPr>
          <w:p w14:paraId="785F543E">
            <w:pPr>
              <w:spacing w:line="300" w:lineRule="exact"/>
              <w:jc w:val="center"/>
              <w:rPr>
                <w:rFonts w:ascii="新宋体" w:eastAsia="新宋体" w:cs="新宋体"/>
                <w:bCs/>
                <w:color w:val="auto"/>
                <w:kern w:val="0"/>
                <w:highlight w:val="none"/>
              </w:rPr>
            </w:pPr>
          </w:p>
        </w:tc>
      </w:tr>
      <w:tr w14:paraId="44ED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continue"/>
            <w:vAlign w:val="center"/>
          </w:tcPr>
          <w:p w14:paraId="5A2AFC4B">
            <w:pPr>
              <w:spacing w:line="276" w:lineRule="auto"/>
              <w:ind w:right="3"/>
              <w:jc w:val="center"/>
              <w:rPr>
                <w:rFonts w:ascii="宋体" w:hAnsi="宋体" w:cs="宋体"/>
                <w:color w:val="auto"/>
                <w:highlight w:val="none"/>
              </w:rPr>
            </w:pPr>
          </w:p>
        </w:tc>
        <w:tc>
          <w:tcPr>
            <w:tcW w:w="1275" w:type="dxa"/>
            <w:vMerge w:val="continue"/>
            <w:vAlign w:val="center"/>
          </w:tcPr>
          <w:p w14:paraId="01D8C3E4">
            <w:pPr>
              <w:tabs>
                <w:tab w:val="left" w:pos="193"/>
              </w:tabs>
              <w:spacing w:before="100" w:beforeAutospacing="1" w:after="100" w:afterAutospacing="1" w:line="276" w:lineRule="auto"/>
              <w:jc w:val="center"/>
              <w:rPr>
                <w:rFonts w:asciiTheme="minorEastAsia" w:hAnsiTheme="minorEastAsia" w:cstheme="minorEastAsia"/>
                <w:color w:val="auto"/>
                <w:szCs w:val="21"/>
                <w:highlight w:val="none"/>
              </w:rPr>
            </w:pPr>
          </w:p>
        </w:tc>
        <w:tc>
          <w:tcPr>
            <w:tcW w:w="6525" w:type="dxa"/>
            <w:gridSpan w:val="3"/>
            <w:vAlign w:val="center"/>
          </w:tcPr>
          <w:p w14:paraId="10D7FEAB">
            <w:pPr>
              <w:widowControl/>
              <w:jc w:val="left"/>
              <w:textAlignment w:val="center"/>
              <w:rPr>
                <w:rFonts w:asciiTheme="minorEastAsia" w:hAnsiTheme="minorEastAsia" w:cstheme="minorEastAsia"/>
                <w:color w:val="auto"/>
                <w:kern w:val="0"/>
                <w:szCs w:val="21"/>
                <w:highlight w:val="none"/>
              </w:rPr>
            </w:pPr>
            <w:r>
              <w:rPr>
                <w:rFonts w:hint="eastAsia" w:ascii="宋体" w:hAnsi="宋体" w:eastAsia="宋体" w:cs="宋体"/>
                <w:color w:val="auto"/>
                <w:szCs w:val="21"/>
                <w:highlight w:val="none"/>
              </w:rPr>
              <w:t>3.根据投标人是否承诺专人服务，并可保证随叫随到，由评标委员会酌情打分（0-2分)。</w:t>
            </w:r>
          </w:p>
        </w:tc>
        <w:tc>
          <w:tcPr>
            <w:tcW w:w="965" w:type="dxa"/>
            <w:vMerge w:val="continue"/>
            <w:vAlign w:val="center"/>
          </w:tcPr>
          <w:p w14:paraId="05870F3D">
            <w:pPr>
              <w:autoSpaceDE w:val="0"/>
              <w:autoSpaceDN w:val="0"/>
              <w:adjustRightInd w:val="0"/>
              <w:spacing w:line="300" w:lineRule="atLeast"/>
              <w:jc w:val="center"/>
              <w:rPr>
                <w:rFonts w:ascii="新宋体" w:eastAsia="新宋体" w:cs="新宋体"/>
                <w:bCs/>
                <w:color w:val="auto"/>
                <w:kern w:val="0"/>
                <w:highlight w:val="none"/>
              </w:rPr>
            </w:pPr>
          </w:p>
        </w:tc>
      </w:tr>
      <w:tr w14:paraId="5F88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continue"/>
            <w:vAlign w:val="center"/>
          </w:tcPr>
          <w:p w14:paraId="417F840B">
            <w:pPr>
              <w:spacing w:line="276" w:lineRule="auto"/>
              <w:ind w:right="3"/>
              <w:jc w:val="center"/>
              <w:rPr>
                <w:rFonts w:ascii="宋体" w:hAnsi="宋体" w:cs="宋体"/>
                <w:color w:val="auto"/>
                <w:highlight w:val="none"/>
              </w:rPr>
            </w:pPr>
          </w:p>
        </w:tc>
        <w:tc>
          <w:tcPr>
            <w:tcW w:w="1275" w:type="dxa"/>
            <w:vMerge w:val="continue"/>
            <w:vAlign w:val="center"/>
          </w:tcPr>
          <w:p w14:paraId="4612DC4F">
            <w:pPr>
              <w:tabs>
                <w:tab w:val="left" w:pos="193"/>
              </w:tabs>
              <w:spacing w:before="100" w:beforeAutospacing="1" w:after="100" w:afterAutospacing="1" w:line="276" w:lineRule="auto"/>
              <w:jc w:val="center"/>
              <w:rPr>
                <w:rFonts w:asciiTheme="minorEastAsia" w:hAnsiTheme="minorEastAsia" w:cstheme="minorEastAsia"/>
                <w:color w:val="auto"/>
                <w:szCs w:val="21"/>
                <w:highlight w:val="none"/>
              </w:rPr>
            </w:pPr>
          </w:p>
        </w:tc>
        <w:tc>
          <w:tcPr>
            <w:tcW w:w="6525" w:type="dxa"/>
            <w:gridSpan w:val="3"/>
            <w:vAlign w:val="center"/>
          </w:tcPr>
          <w:p w14:paraId="223147B8">
            <w:pPr>
              <w:widowControl/>
              <w:jc w:val="left"/>
              <w:textAlignment w:val="center"/>
              <w:rPr>
                <w:rFonts w:eastAsia="宋体" w:asciiTheme="minorEastAsia" w:hAnsiTheme="minorEastAsia" w:cstheme="minorEastAsia"/>
                <w:color w:val="auto"/>
                <w:kern w:val="0"/>
                <w:szCs w:val="21"/>
                <w:highlight w:val="none"/>
              </w:rPr>
            </w:pPr>
            <w:r>
              <w:rPr>
                <w:rFonts w:hint="eastAsia" w:ascii="宋体" w:hAnsi="宋体" w:eastAsia="宋体" w:cs="宋体"/>
                <w:color w:val="auto"/>
                <w:szCs w:val="21"/>
                <w:highlight w:val="none"/>
              </w:rPr>
              <w:t>4.根据投标人提供的绿色通道VIP服务，是否保证招标人在瑞安市区域内办理业务时可享受免排队直通业务，由评标委员会酌情打分（0-2分)。</w:t>
            </w:r>
          </w:p>
        </w:tc>
        <w:tc>
          <w:tcPr>
            <w:tcW w:w="965" w:type="dxa"/>
            <w:vMerge w:val="continue"/>
            <w:vAlign w:val="center"/>
          </w:tcPr>
          <w:p w14:paraId="3E8464B8">
            <w:pPr>
              <w:autoSpaceDE w:val="0"/>
              <w:autoSpaceDN w:val="0"/>
              <w:adjustRightInd w:val="0"/>
              <w:spacing w:line="300" w:lineRule="atLeast"/>
              <w:jc w:val="center"/>
              <w:rPr>
                <w:rFonts w:ascii="新宋体" w:eastAsia="新宋体" w:cs="新宋体"/>
                <w:bCs/>
                <w:color w:val="auto"/>
                <w:kern w:val="0"/>
                <w:highlight w:val="none"/>
              </w:rPr>
            </w:pPr>
          </w:p>
        </w:tc>
      </w:tr>
      <w:tr w14:paraId="1165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98" w:type="dxa"/>
            <w:vMerge w:val="continue"/>
            <w:vAlign w:val="center"/>
          </w:tcPr>
          <w:p w14:paraId="76FB01E8">
            <w:pPr>
              <w:spacing w:line="276" w:lineRule="auto"/>
              <w:ind w:right="3"/>
              <w:jc w:val="center"/>
              <w:rPr>
                <w:rFonts w:ascii="宋体" w:hAnsi="宋体" w:cs="宋体"/>
                <w:color w:val="auto"/>
                <w:highlight w:val="none"/>
              </w:rPr>
            </w:pPr>
          </w:p>
        </w:tc>
        <w:tc>
          <w:tcPr>
            <w:tcW w:w="1275" w:type="dxa"/>
            <w:vMerge w:val="continue"/>
            <w:vAlign w:val="center"/>
          </w:tcPr>
          <w:p w14:paraId="52870D45">
            <w:pPr>
              <w:tabs>
                <w:tab w:val="left" w:pos="193"/>
              </w:tabs>
              <w:spacing w:before="100" w:beforeAutospacing="1" w:after="100" w:afterAutospacing="1" w:line="276" w:lineRule="auto"/>
              <w:jc w:val="center"/>
              <w:rPr>
                <w:rFonts w:asciiTheme="minorEastAsia" w:hAnsiTheme="minorEastAsia" w:cstheme="minorEastAsia"/>
                <w:color w:val="auto"/>
                <w:szCs w:val="21"/>
                <w:highlight w:val="none"/>
              </w:rPr>
            </w:pPr>
          </w:p>
        </w:tc>
        <w:tc>
          <w:tcPr>
            <w:tcW w:w="6525" w:type="dxa"/>
            <w:gridSpan w:val="3"/>
            <w:vAlign w:val="center"/>
          </w:tcPr>
          <w:p w14:paraId="20B0415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5.根据投标人提供银行自收的各项服务费用减免情况，由评标委员会酌情打分（0-2分)；</w:t>
            </w:r>
          </w:p>
        </w:tc>
        <w:tc>
          <w:tcPr>
            <w:tcW w:w="965" w:type="dxa"/>
            <w:vMerge w:val="continue"/>
            <w:vAlign w:val="center"/>
          </w:tcPr>
          <w:p w14:paraId="385E6C0F">
            <w:pPr>
              <w:autoSpaceDE w:val="0"/>
              <w:autoSpaceDN w:val="0"/>
              <w:adjustRightInd w:val="0"/>
              <w:spacing w:line="300" w:lineRule="atLeast"/>
              <w:jc w:val="center"/>
              <w:rPr>
                <w:rFonts w:ascii="新宋体" w:eastAsia="新宋体" w:cs="新宋体"/>
                <w:bCs/>
                <w:color w:val="auto"/>
                <w:kern w:val="0"/>
                <w:highlight w:val="none"/>
              </w:rPr>
            </w:pPr>
          </w:p>
        </w:tc>
      </w:tr>
      <w:tr w14:paraId="35AA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98" w:type="dxa"/>
            <w:vMerge w:val="continue"/>
            <w:vAlign w:val="center"/>
          </w:tcPr>
          <w:p w14:paraId="4DE496E5">
            <w:pPr>
              <w:spacing w:line="276" w:lineRule="auto"/>
              <w:ind w:right="3"/>
              <w:jc w:val="center"/>
              <w:rPr>
                <w:rFonts w:ascii="宋体" w:hAnsi="宋体" w:cs="宋体"/>
                <w:color w:val="auto"/>
                <w:highlight w:val="none"/>
              </w:rPr>
            </w:pPr>
          </w:p>
        </w:tc>
        <w:tc>
          <w:tcPr>
            <w:tcW w:w="1275" w:type="dxa"/>
            <w:vMerge w:val="continue"/>
            <w:vAlign w:val="center"/>
          </w:tcPr>
          <w:p w14:paraId="5028EC5D">
            <w:pPr>
              <w:tabs>
                <w:tab w:val="left" w:pos="193"/>
              </w:tabs>
              <w:spacing w:before="100" w:beforeAutospacing="1" w:after="100" w:afterAutospacing="1" w:line="276" w:lineRule="auto"/>
              <w:jc w:val="center"/>
              <w:rPr>
                <w:rFonts w:asciiTheme="minorEastAsia" w:hAnsiTheme="minorEastAsia" w:cstheme="minorEastAsia"/>
                <w:color w:val="auto"/>
                <w:szCs w:val="21"/>
                <w:highlight w:val="none"/>
              </w:rPr>
            </w:pPr>
          </w:p>
        </w:tc>
        <w:tc>
          <w:tcPr>
            <w:tcW w:w="6525" w:type="dxa"/>
            <w:gridSpan w:val="3"/>
            <w:vAlign w:val="center"/>
          </w:tcPr>
          <w:p w14:paraId="0947097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6.根据投标人提供的服务网点数量及分布情况，由评标委员会进行综合评分（0-3分)。须提供网点营业执照及网点分布情况图加盖公章。</w:t>
            </w:r>
          </w:p>
        </w:tc>
        <w:tc>
          <w:tcPr>
            <w:tcW w:w="965" w:type="dxa"/>
            <w:vMerge w:val="continue"/>
            <w:vAlign w:val="center"/>
          </w:tcPr>
          <w:p w14:paraId="0962ABA5">
            <w:pPr>
              <w:autoSpaceDE w:val="0"/>
              <w:autoSpaceDN w:val="0"/>
              <w:adjustRightInd w:val="0"/>
              <w:spacing w:line="300" w:lineRule="atLeast"/>
              <w:jc w:val="center"/>
              <w:rPr>
                <w:rFonts w:ascii="新宋体" w:eastAsia="新宋体" w:cs="新宋体"/>
                <w:bCs/>
                <w:color w:val="auto"/>
                <w:kern w:val="0"/>
                <w:highlight w:val="none"/>
              </w:rPr>
            </w:pPr>
          </w:p>
        </w:tc>
      </w:tr>
      <w:tr w14:paraId="6E00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698" w:type="dxa"/>
            <w:vMerge w:val="continue"/>
            <w:vAlign w:val="center"/>
          </w:tcPr>
          <w:p w14:paraId="710826C9">
            <w:pPr>
              <w:spacing w:line="276" w:lineRule="auto"/>
              <w:ind w:right="3"/>
              <w:jc w:val="center"/>
              <w:rPr>
                <w:rFonts w:ascii="宋体" w:hAnsi="宋体" w:cs="宋体"/>
                <w:color w:val="auto"/>
                <w:highlight w:val="none"/>
              </w:rPr>
            </w:pPr>
          </w:p>
        </w:tc>
        <w:tc>
          <w:tcPr>
            <w:tcW w:w="1275" w:type="dxa"/>
            <w:vMerge w:val="continue"/>
            <w:vAlign w:val="center"/>
          </w:tcPr>
          <w:p w14:paraId="45BC5D92">
            <w:pPr>
              <w:tabs>
                <w:tab w:val="left" w:pos="193"/>
              </w:tabs>
              <w:spacing w:before="100" w:beforeAutospacing="1" w:after="100" w:afterAutospacing="1" w:line="276" w:lineRule="auto"/>
              <w:jc w:val="center"/>
              <w:rPr>
                <w:rFonts w:asciiTheme="minorEastAsia" w:hAnsiTheme="minorEastAsia" w:cstheme="minorEastAsia"/>
                <w:color w:val="auto"/>
                <w:szCs w:val="21"/>
                <w:highlight w:val="none"/>
              </w:rPr>
            </w:pPr>
          </w:p>
        </w:tc>
        <w:tc>
          <w:tcPr>
            <w:tcW w:w="6525" w:type="dxa"/>
            <w:gridSpan w:val="3"/>
            <w:vAlign w:val="center"/>
          </w:tcPr>
          <w:p w14:paraId="0DBA3A29">
            <w:pPr>
              <w:widowControl/>
              <w:jc w:val="left"/>
              <w:textAlignment w:val="center"/>
              <w:rPr>
                <w:rFonts w:asciiTheme="minorEastAsia" w:hAnsiTheme="minorEastAsia" w:cstheme="minorEastAsia"/>
                <w:color w:val="auto"/>
                <w:szCs w:val="21"/>
                <w:highlight w:val="none"/>
              </w:rPr>
            </w:pPr>
            <w:r>
              <w:rPr>
                <w:rFonts w:hint="eastAsia" w:ascii="宋体" w:hAnsi="宋体" w:eastAsia="宋体" w:cs="宋体"/>
                <w:color w:val="auto"/>
                <w:szCs w:val="21"/>
                <w:highlight w:val="none"/>
              </w:rPr>
              <w:t>7.投标人根据招标人需求提供办公设备（包括但不限于电脑、凭证装订机等），由评标委员会进行综合评分（0-4分)。</w:t>
            </w:r>
          </w:p>
        </w:tc>
        <w:tc>
          <w:tcPr>
            <w:tcW w:w="965" w:type="dxa"/>
            <w:vMerge w:val="continue"/>
            <w:vAlign w:val="center"/>
          </w:tcPr>
          <w:p w14:paraId="3FB9EEF0">
            <w:pPr>
              <w:autoSpaceDE w:val="0"/>
              <w:autoSpaceDN w:val="0"/>
              <w:adjustRightInd w:val="0"/>
              <w:spacing w:line="300" w:lineRule="atLeast"/>
              <w:jc w:val="center"/>
              <w:rPr>
                <w:rFonts w:ascii="新宋体" w:eastAsia="新宋体" w:cs="新宋体"/>
                <w:bCs/>
                <w:color w:val="auto"/>
                <w:kern w:val="0"/>
                <w:highlight w:val="none"/>
              </w:rPr>
            </w:pPr>
          </w:p>
        </w:tc>
      </w:tr>
      <w:tr w14:paraId="092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698" w:type="dxa"/>
            <w:vMerge w:val="continue"/>
            <w:vAlign w:val="center"/>
          </w:tcPr>
          <w:p w14:paraId="779563D3">
            <w:pPr>
              <w:spacing w:line="276" w:lineRule="auto"/>
              <w:ind w:right="3"/>
              <w:jc w:val="center"/>
              <w:rPr>
                <w:rFonts w:ascii="宋体" w:hAnsi="宋体" w:cs="宋体"/>
                <w:color w:val="auto"/>
                <w:highlight w:val="none"/>
              </w:rPr>
            </w:pPr>
          </w:p>
        </w:tc>
        <w:tc>
          <w:tcPr>
            <w:tcW w:w="1275" w:type="dxa"/>
            <w:vMerge w:val="continue"/>
            <w:vAlign w:val="center"/>
          </w:tcPr>
          <w:p w14:paraId="140A5783">
            <w:pPr>
              <w:tabs>
                <w:tab w:val="left" w:pos="193"/>
              </w:tabs>
              <w:spacing w:before="100" w:beforeAutospacing="1" w:after="100" w:afterAutospacing="1" w:line="276" w:lineRule="auto"/>
              <w:jc w:val="center"/>
              <w:rPr>
                <w:rFonts w:asciiTheme="minorEastAsia" w:hAnsiTheme="minorEastAsia" w:cstheme="minorEastAsia"/>
                <w:color w:val="auto"/>
                <w:szCs w:val="21"/>
                <w:highlight w:val="none"/>
              </w:rPr>
            </w:pPr>
          </w:p>
        </w:tc>
        <w:tc>
          <w:tcPr>
            <w:tcW w:w="6525" w:type="dxa"/>
            <w:gridSpan w:val="3"/>
            <w:vAlign w:val="center"/>
          </w:tcPr>
          <w:p w14:paraId="25EADEF8">
            <w:pPr>
              <w:widowControl/>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w:t>
            </w:r>
            <w:r>
              <w:rPr>
                <w:rFonts w:hint="eastAsia" w:ascii="宋体" w:hAnsi="宋体" w:eastAsia="宋体" w:cs="宋体"/>
                <w:color w:val="auto"/>
                <w:szCs w:val="21"/>
                <w:highlight w:val="none"/>
              </w:rPr>
              <w:t>投标人提供针对本项目的其他服务，是否可为招标人提供更多的便利，由评标委员会酌情打分（0-3分)。</w:t>
            </w:r>
          </w:p>
        </w:tc>
        <w:tc>
          <w:tcPr>
            <w:tcW w:w="965" w:type="dxa"/>
            <w:vMerge w:val="continue"/>
            <w:vAlign w:val="center"/>
          </w:tcPr>
          <w:p w14:paraId="134D7E62">
            <w:pPr>
              <w:autoSpaceDE w:val="0"/>
              <w:autoSpaceDN w:val="0"/>
              <w:adjustRightInd w:val="0"/>
              <w:spacing w:line="300" w:lineRule="atLeast"/>
              <w:jc w:val="center"/>
              <w:rPr>
                <w:rFonts w:ascii="新宋体" w:eastAsia="新宋体" w:cs="新宋体"/>
                <w:bCs/>
                <w:color w:val="auto"/>
                <w:kern w:val="0"/>
                <w:highlight w:val="none"/>
              </w:rPr>
            </w:pPr>
          </w:p>
        </w:tc>
      </w:tr>
      <w:tr w14:paraId="7723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Align w:val="center"/>
          </w:tcPr>
          <w:p w14:paraId="191D32FB">
            <w:pPr>
              <w:spacing w:line="276" w:lineRule="auto"/>
              <w:ind w:right="3"/>
              <w:jc w:val="center"/>
              <w:rPr>
                <w:rFonts w:ascii="宋体" w:hAnsi="宋体" w:cs="宋体"/>
                <w:color w:val="auto"/>
                <w:highlight w:val="none"/>
              </w:rPr>
            </w:pPr>
            <w:r>
              <w:rPr>
                <w:rFonts w:hint="eastAsia" w:ascii="宋体" w:hAnsi="宋体" w:cs="宋体"/>
                <w:color w:val="auto"/>
                <w:highlight w:val="none"/>
              </w:rPr>
              <w:t>备注</w:t>
            </w:r>
          </w:p>
        </w:tc>
        <w:tc>
          <w:tcPr>
            <w:tcW w:w="8765" w:type="dxa"/>
            <w:gridSpan w:val="5"/>
            <w:vAlign w:val="center"/>
          </w:tcPr>
          <w:p w14:paraId="22CDC0F7">
            <w:pPr>
              <w:autoSpaceDE w:val="0"/>
              <w:autoSpaceDN w:val="0"/>
              <w:adjustRightInd w:val="0"/>
              <w:spacing w:line="300" w:lineRule="atLeast"/>
              <w:jc w:val="left"/>
              <w:rPr>
                <w:color w:val="auto"/>
                <w:highlight w:val="none"/>
              </w:rPr>
            </w:pPr>
            <w:r>
              <w:rPr>
                <w:rFonts w:hint="eastAsia"/>
                <w:color w:val="auto"/>
                <w:highlight w:val="none"/>
              </w:rPr>
              <w:t>1.名次并列时，后续排名顺延。例如两家银行同时排名第3，后续排名从第5名开始。</w:t>
            </w:r>
          </w:p>
          <w:p w14:paraId="02452FC1">
            <w:pPr>
              <w:autoSpaceDE w:val="0"/>
              <w:autoSpaceDN w:val="0"/>
              <w:adjustRightInd w:val="0"/>
              <w:spacing w:line="300" w:lineRule="atLeast"/>
              <w:jc w:val="left"/>
              <w:rPr>
                <w:color w:val="auto"/>
                <w:highlight w:val="none"/>
              </w:rPr>
            </w:pPr>
            <w:r>
              <w:rPr>
                <w:rFonts w:hint="eastAsia"/>
                <w:color w:val="auto"/>
                <w:highlight w:val="none"/>
              </w:rPr>
              <w:t>2.得分四舍五入，保留两位小数。</w:t>
            </w:r>
          </w:p>
        </w:tc>
      </w:tr>
    </w:tbl>
    <w:p w14:paraId="5E9EA52A">
      <w:pPr>
        <w:spacing w:line="420" w:lineRule="exact"/>
        <w:ind w:firstLine="422" w:firstLineChars="200"/>
        <w:rPr>
          <w:b/>
          <w:color w:val="auto"/>
          <w:highlight w:val="none"/>
        </w:rPr>
      </w:pPr>
      <w:r>
        <w:rPr>
          <w:rFonts w:hint="eastAsia"/>
          <w:b/>
          <w:color w:val="auto"/>
          <w:highlight w:val="none"/>
        </w:rPr>
        <w:t>六、投标人义务</w:t>
      </w:r>
    </w:p>
    <w:p w14:paraId="0EAA27E9">
      <w:pPr>
        <w:snapToGrid w:val="0"/>
        <w:spacing w:line="420" w:lineRule="exact"/>
        <w:ind w:left="680" w:leftChars="324" w:firstLine="420" w:firstLineChars="200"/>
        <w:rPr>
          <w:rFonts w:ascii="宋体" w:hAnsi="宋体"/>
          <w:b/>
          <w:bCs/>
          <w:snapToGrid w:val="0"/>
          <w:color w:val="auto"/>
          <w:szCs w:val="21"/>
          <w:highlight w:val="none"/>
        </w:rPr>
      </w:pPr>
      <w:r>
        <w:rPr>
          <w:rFonts w:hint="eastAsia" w:ascii="宋体" w:hAnsi="宋体"/>
          <w:color w:val="auto"/>
          <w:szCs w:val="21"/>
          <w:highlight w:val="none"/>
        </w:rPr>
        <w:t>投标人应随时随地答复评标委员会的询标，解答包括有关的资信、技术问题等。</w:t>
      </w:r>
    </w:p>
    <w:p w14:paraId="35C13DDA">
      <w:pPr>
        <w:snapToGrid w:val="0"/>
        <w:spacing w:line="420" w:lineRule="exact"/>
        <w:ind w:firstLine="422" w:firstLineChars="200"/>
        <w:rPr>
          <w:color w:val="auto"/>
          <w:highlight w:val="none"/>
        </w:rPr>
      </w:pPr>
      <w:r>
        <w:rPr>
          <w:rFonts w:hint="eastAsia" w:ascii="宋体" w:hAnsi="宋体"/>
          <w:b/>
          <w:bCs/>
          <w:snapToGrid w:val="0"/>
          <w:color w:val="auto"/>
          <w:szCs w:val="21"/>
          <w:highlight w:val="none"/>
        </w:rPr>
        <w:t>未尽事宜按有关法律法规规定执行。</w:t>
      </w:r>
    </w:p>
    <w:bookmarkEnd w:id="183"/>
    <w:bookmarkEnd w:id="184"/>
    <w:bookmarkEnd w:id="185"/>
    <w:bookmarkEnd w:id="186"/>
    <w:bookmarkEnd w:id="187"/>
    <w:p w14:paraId="661CF096">
      <w:pPr>
        <w:rPr>
          <w:color w:val="auto"/>
          <w:highlight w:val="none"/>
        </w:rPr>
      </w:pPr>
    </w:p>
    <w:sectPr>
      <w:headerReference r:id="rId7" w:type="first"/>
      <w:footerReference r:id="rId9" w:type="first"/>
      <w:headerReference r:id="rId6" w:type="default"/>
      <w:footerReference r:id="rId8" w:type="default"/>
      <w:pgSz w:w="11906" w:h="16838"/>
      <w:pgMar w:top="1134" w:right="1247" w:bottom="1020" w:left="1400" w:header="680"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4765">
    <w:pPr>
      <w:pStyle w:val="14"/>
      <w:tabs>
        <w:tab w:val="center" w:pos="4629"/>
        <w:tab w:val="left" w:pos="504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7140">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8B7F0A">
                          <w:pPr>
                            <w:pStyle w:val="14"/>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gi88YBAACb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42CLzxgEAAJsDAAAOAAAAAAAAAAEAIAAAAB4BAABkcnMvZTJvRG9jLnht&#10;bFBLBQYAAAAABgAGAFkBAABWBQAAAAA=&#10;">
              <v:fill on="f" focussize="0,0"/>
              <v:stroke on="f"/>
              <v:imagedata o:title=""/>
              <o:lock v:ext="edit" aspectratio="f"/>
              <v:textbox inset="0mm,0mm,0mm,0mm" style="mso-fit-shape-to-text:t;">
                <w:txbxContent>
                  <w:p w14:paraId="3E8B7F0A">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7FE8">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CDFB39">
                          <w:pPr>
                            <w:pStyle w:val="14"/>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1VqXnWAQAAsA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uFSg8i5MMInSOHqy4rAfJj57aM5E&#10;s6d9qLmj9efMvHckd1qd2QizsZ+Now/60NHEy9wd/ZtjpNnyyKnDCEtUk0MPmUlPS5c25W8/Vz3+&#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D1VqXnWAQAAsAMAAA4AAAAAAAAAAQAgAAAA&#10;HwEAAGRycy9lMm9Eb2MueG1sUEsFBgAAAAAGAAYAWQEAAGcFAAAAAA==&#10;">
              <v:fill on="f" focussize="0,0"/>
              <v:stroke on="f" weight="0.5pt"/>
              <v:imagedata o:title=""/>
              <o:lock v:ext="edit" aspectratio="f"/>
              <v:textbox inset="0mm,0mm,0mm,0mm" style="mso-fit-shape-to-text:t;">
                <w:txbxContent>
                  <w:p w14:paraId="03CDFB39">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E85C">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D68EBA">
                          <w:pPr>
                            <w:pStyle w:val="14"/>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35D68EBA">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F2113">
    <w:pPr>
      <w:pStyle w:val="15"/>
      <w:rPr>
        <w:szCs w:val="21"/>
      </w:rPr>
    </w:pPr>
  </w:p>
  <w:p w14:paraId="563859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ABD5">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EC38">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ABB0A"/>
    <w:multiLevelType w:val="singleLevel"/>
    <w:tmpl w:val="832ABB0A"/>
    <w:lvl w:ilvl="0" w:tentative="0">
      <w:start w:val="1"/>
      <w:numFmt w:val="decimal"/>
      <w:lvlText w:val="%1."/>
      <w:lvlJc w:val="left"/>
      <w:pPr>
        <w:tabs>
          <w:tab w:val="left" w:pos="312"/>
        </w:tabs>
      </w:pPr>
    </w:lvl>
  </w:abstractNum>
  <w:abstractNum w:abstractNumId="1">
    <w:nsid w:val="91E4C901"/>
    <w:multiLevelType w:val="singleLevel"/>
    <w:tmpl w:val="91E4C901"/>
    <w:lvl w:ilvl="0" w:tentative="0">
      <w:start w:val="1"/>
      <w:numFmt w:val="decimal"/>
      <w:lvlText w:val="%1."/>
      <w:lvlJc w:val="left"/>
      <w:pPr>
        <w:ind w:left="425" w:hanging="425"/>
      </w:pPr>
      <w:rPr>
        <w:rFonts w:hint="default"/>
      </w:rPr>
    </w:lvl>
  </w:abstractNum>
  <w:abstractNum w:abstractNumId="2">
    <w:nsid w:val="B0321677"/>
    <w:multiLevelType w:val="multilevel"/>
    <w:tmpl w:val="B0321677"/>
    <w:lvl w:ilvl="0" w:tentative="0">
      <w:start w:val="2"/>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66E47CD"/>
    <w:multiLevelType w:val="singleLevel"/>
    <w:tmpl w:val="B66E47CD"/>
    <w:lvl w:ilvl="0" w:tentative="0">
      <w:start w:val="1"/>
      <w:numFmt w:val="decimal"/>
      <w:lvlText w:val="%1."/>
      <w:lvlJc w:val="left"/>
      <w:pPr>
        <w:ind w:left="425" w:hanging="425"/>
      </w:pPr>
      <w:rPr>
        <w:rFonts w:hint="default"/>
      </w:rPr>
    </w:lvl>
  </w:abstractNum>
  <w:abstractNum w:abstractNumId="4">
    <w:nsid w:val="BB014B8D"/>
    <w:multiLevelType w:val="singleLevel"/>
    <w:tmpl w:val="BB014B8D"/>
    <w:lvl w:ilvl="0" w:tentative="0">
      <w:start w:val="1"/>
      <w:numFmt w:val="decimal"/>
      <w:lvlText w:val="%1."/>
      <w:lvlJc w:val="left"/>
      <w:pPr>
        <w:ind w:left="425" w:hanging="425"/>
      </w:pPr>
      <w:rPr>
        <w:rFonts w:hint="default"/>
      </w:rPr>
    </w:lvl>
  </w:abstractNum>
  <w:abstractNum w:abstractNumId="5">
    <w:nsid w:val="BB0A8C53"/>
    <w:multiLevelType w:val="singleLevel"/>
    <w:tmpl w:val="BB0A8C53"/>
    <w:lvl w:ilvl="0" w:tentative="0">
      <w:start w:val="1"/>
      <w:numFmt w:val="decimal"/>
      <w:lvlText w:val="%1."/>
      <w:lvlJc w:val="left"/>
      <w:pPr>
        <w:ind w:left="425" w:hanging="425"/>
      </w:pPr>
      <w:rPr>
        <w:rFonts w:hint="default"/>
      </w:rPr>
    </w:lvl>
  </w:abstractNum>
  <w:abstractNum w:abstractNumId="6">
    <w:nsid w:val="01D03FCF"/>
    <w:multiLevelType w:val="singleLevel"/>
    <w:tmpl w:val="01D03FCF"/>
    <w:lvl w:ilvl="0" w:tentative="0">
      <w:start w:val="1"/>
      <w:numFmt w:val="chineseCounting"/>
      <w:suff w:val="nothing"/>
      <w:lvlText w:val="（%1）"/>
      <w:lvlJc w:val="left"/>
      <w:pPr>
        <w:ind w:left="0" w:firstLine="420"/>
      </w:pPr>
      <w:rPr>
        <w:rFonts w:hint="eastAsia"/>
      </w:rPr>
    </w:lvl>
  </w:abstractNum>
  <w:abstractNum w:abstractNumId="7">
    <w:nsid w:val="08654E4F"/>
    <w:multiLevelType w:val="singleLevel"/>
    <w:tmpl w:val="08654E4F"/>
    <w:lvl w:ilvl="0" w:tentative="0">
      <w:start w:val="1"/>
      <w:numFmt w:val="chineseCounting"/>
      <w:suff w:val="nothing"/>
      <w:lvlText w:val="%1、"/>
      <w:lvlJc w:val="left"/>
      <w:pPr>
        <w:ind w:left="0" w:firstLine="420"/>
      </w:pPr>
      <w:rPr>
        <w:rFonts w:hint="eastAsia"/>
      </w:rPr>
    </w:lvl>
  </w:abstractNum>
  <w:abstractNum w:abstractNumId="8">
    <w:nsid w:val="16696D5E"/>
    <w:multiLevelType w:val="singleLevel"/>
    <w:tmpl w:val="16696D5E"/>
    <w:lvl w:ilvl="0" w:tentative="0">
      <w:start w:val="1"/>
      <w:numFmt w:val="decimal"/>
      <w:lvlText w:val="%1)"/>
      <w:lvlJc w:val="left"/>
      <w:pPr>
        <w:tabs>
          <w:tab w:val="left" w:pos="601"/>
        </w:tabs>
        <w:ind w:left="601" w:hanging="425"/>
      </w:pPr>
    </w:lvl>
  </w:abstractNum>
  <w:abstractNum w:abstractNumId="9">
    <w:nsid w:val="18936314"/>
    <w:multiLevelType w:val="multilevel"/>
    <w:tmpl w:val="18936314"/>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1BCA42FC"/>
    <w:multiLevelType w:val="multilevel"/>
    <w:tmpl w:val="1BCA42F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decimal"/>
      <w:lvlText w:val="%3）"/>
      <w:lvlJc w:val="left"/>
      <w:pPr>
        <w:ind w:left="168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E83BAEC"/>
    <w:multiLevelType w:val="singleLevel"/>
    <w:tmpl w:val="1E83BAEC"/>
    <w:lvl w:ilvl="0" w:tentative="0">
      <w:start w:val="1"/>
      <w:numFmt w:val="decimal"/>
      <w:suff w:val="nothing"/>
      <w:lvlText w:val="%1．"/>
      <w:lvlJc w:val="left"/>
      <w:pPr>
        <w:ind w:left="0" w:firstLine="400"/>
      </w:pPr>
      <w:rPr>
        <w:rFonts w:hint="default"/>
      </w:rPr>
    </w:lvl>
  </w:abstractNum>
  <w:abstractNum w:abstractNumId="12">
    <w:nsid w:val="20922AAD"/>
    <w:multiLevelType w:val="multilevel"/>
    <w:tmpl w:val="20922AA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4">
    <w:nsid w:val="40165998"/>
    <w:multiLevelType w:val="singleLevel"/>
    <w:tmpl w:val="40165998"/>
    <w:lvl w:ilvl="0" w:tentative="0">
      <w:start w:val="1"/>
      <w:numFmt w:val="decimal"/>
      <w:lvlText w:val="%1."/>
      <w:lvlJc w:val="left"/>
      <w:pPr>
        <w:ind w:left="425" w:hanging="425"/>
      </w:pPr>
      <w:rPr>
        <w:rFonts w:hint="default"/>
      </w:rPr>
    </w:lvl>
  </w:abstractNum>
  <w:abstractNum w:abstractNumId="15">
    <w:nsid w:val="42BB50F0"/>
    <w:multiLevelType w:val="multilevel"/>
    <w:tmpl w:val="42BB50F0"/>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992"/>
        </w:tabs>
        <w:ind w:left="992" w:hanging="567"/>
      </w:pPr>
      <w:rPr>
        <w:rFonts w:hint="default"/>
        <w:b w:val="0"/>
        <w:i w:val="0"/>
        <w:sz w:val="21"/>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46E72949"/>
    <w:multiLevelType w:val="singleLevel"/>
    <w:tmpl w:val="46E72949"/>
    <w:lvl w:ilvl="0" w:tentative="0">
      <w:start w:val="1"/>
      <w:numFmt w:val="chineseCounting"/>
      <w:suff w:val="nothing"/>
      <w:lvlText w:val="（%1）"/>
      <w:lvlJc w:val="left"/>
      <w:pPr>
        <w:ind w:left="0" w:firstLine="420"/>
      </w:pPr>
      <w:rPr>
        <w:rFonts w:hint="eastAsia"/>
      </w:rPr>
    </w:lvl>
  </w:abstractNum>
  <w:abstractNum w:abstractNumId="17">
    <w:nsid w:val="4A427D8D"/>
    <w:multiLevelType w:val="multilevel"/>
    <w:tmpl w:val="4A427D8D"/>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4E651DC"/>
    <w:multiLevelType w:val="singleLevel"/>
    <w:tmpl w:val="54E651DC"/>
    <w:lvl w:ilvl="0" w:tentative="0">
      <w:start w:val="1"/>
      <w:numFmt w:val="decimal"/>
      <w:lvlText w:val="%1."/>
      <w:lvlJc w:val="left"/>
      <w:pPr>
        <w:ind w:left="425" w:hanging="425"/>
      </w:pPr>
      <w:rPr>
        <w:rFonts w:hint="default"/>
      </w:rPr>
    </w:lvl>
  </w:abstractNum>
  <w:abstractNum w:abstractNumId="19">
    <w:nsid w:val="57F84D34"/>
    <w:multiLevelType w:val="singleLevel"/>
    <w:tmpl w:val="57F84D34"/>
    <w:lvl w:ilvl="0" w:tentative="0">
      <w:start w:val="1"/>
      <w:numFmt w:val="chineseCounting"/>
      <w:suff w:val="nothing"/>
      <w:lvlText w:val="（%1）"/>
      <w:lvlJc w:val="left"/>
      <w:pPr>
        <w:ind w:left="0" w:firstLine="420"/>
      </w:pPr>
      <w:rPr>
        <w:rFonts w:hint="eastAsia"/>
      </w:rPr>
    </w:lvl>
  </w:abstractNum>
  <w:abstractNum w:abstractNumId="20">
    <w:nsid w:val="686B1F6F"/>
    <w:multiLevelType w:val="singleLevel"/>
    <w:tmpl w:val="686B1F6F"/>
    <w:lvl w:ilvl="0" w:tentative="0">
      <w:start w:val="1"/>
      <w:numFmt w:val="decimal"/>
      <w:lvlText w:val="%1)"/>
      <w:lvlJc w:val="left"/>
      <w:pPr>
        <w:tabs>
          <w:tab w:val="left" w:pos="1559"/>
        </w:tabs>
        <w:ind w:left="1559" w:hanging="425"/>
      </w:pPr>
    </w:lvl>
  </w:abstractNum>
  <w:abstractNum w:abstractNumId="21">
    <w:nsid w:val="6C80695A"/>
    <w:multiLevelType w:val="singleLevel"/>
    <w:tmpl w:val="6C80695A"/>
    <w:lvl w:ilvl="0" w:tentative="0">
      <w:start w:val="1"/>
      <w:numFmt w:val="decimal"/>
      <w:lvlText w:val="%1."/>
      <w:lvlJc w:val="left"/>
      <w:pPr>
        <w:tabs>
          <w:tab w:val="left" w:pos="312"/>
        </w:tabs>
      </w:pPr>
    </w:lvl>
  </w:abstractNum>
  <w:abstractNum w:abstractNumId="22">
    <w:nsid w:val="6DAF3311"/>
    <w:multiLevelType w:val="multilevel"/>
    <w:tmpl w:val="6DAF33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9366F8"/>
    <w:multiLevelType w:val="multilevel"/>
    <w:tmpl w:val="789366F8"/>
    <w:lvl w:ilvl="0" w:tentative="0">
      <w:start w:val="1"/>
      <w:numFmt w:val="decimal"/>
      <w:lvlText w:val="（%1）"/>
      <w:lvlJc w:val="left"/>
      <w:pPr>
        <w:tabs>
          <w:tab w:val="left" w:pos="1544"/>
        </w:tabs>
        <w:ind w:left="1544" w:hanging="720"/>
      </w:pPr>
      <w:rPr>
        <w:rFonts w:hint="eastAsia"/>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num w:numId="1">
    <w:abstractNumId w:val="2"/>
  </w:num>
  <w:num w:numId="2">
    <w:abstractNumId w:val="7"/>
  </w:num>
  <w:num w:numId="3">
    <w:abstractNumId w:val="6"/>
  </w:num>
  <w:num w:numId="4">
    <w:abstractNumId w:val="16"/>
  </w:num>
  <w:num w:numId="5">
    <w:abstractNumId w:val="4"/>
  </w:num>
  <w:num w:numId="6">
    <w:abstractNumId w:val="0"/>
  </w:num>
  <w:num w:numId="7">
    <w:abstractNumId w:val="19"/>
  </w:num>
  <w:num w:numId="8">
    <w:abstractNumId w:val="22"/>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23"/>
  </w:num>
  <w:num w:numId="13">
    <w:abstractNumId w:val="9"/>
  </w:num>
  <w:num w:numId="14">
    <w:abstractNumId w:val="20"/>
  </w:num>
  <w:num w:numId="15">
    <w:abstractNumId w:val="18"/>
  </w:num>
  <w:num w:numId="16">
    <w:abstractNumId w:val="5"/>
  </w:num>
  <w:num w:numId="17">
    <w:abstractNumId w:val="12"/>
  </w:num>
  <w:num w:numId="18">
    <w:abstractNumId w:val="10"/>
  </w:num>
  <w:num w:numId="19">
    <w:abstractNumId w:val="14"/>
  </w:num>
  <w:num w:numId="20">
    <w:abstractNumId w:val="15"/>
  </w:num>
  <w:num w:numId="21">
    <w:abstractNumId w:val="11"/>
  </w:num>
  <w:num w:numId="22">
    <w:abstractNumId w:val="3"/>
  </w:num>
  <w:num w:numId="23">
    <w:abstractNumId w:val="1"/>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jVhODQ0NTA5NmUzM2JhNzhkMTk4YTE0NTQ0ODQifQ=="/>
  </w:docVars>
  <w:rsids>
    <w:rsidRoot w:val="00172A27"/>
    <w:rsid w:val="00044F72"/>
    <w:rsid w:val="000469CD"/>
    <w:rsid w:val="00090A20"/>
    <w:rsid w:val="00094196"/>
    <w:rsid w:val="000C3C88"/>
    <w:rsid w:val="000E5306"/>
    <w:rsid w:val="00107772"/>
    <w:rsid w:val="001275C9"/>
    <w:rsid w:val="00163121"/>
    <w:rsid w:val="00172A27"/>
    <w:rsid w:val="00190D22"/>
    <w:rsid w:val="00192D0D"/>
    <w:rsid w:val="00246CA5"/>
    <w:rsid w:val="00254F61"/>
    <w:rsid w:val="0027791A"/>
    <w:rsid w:val="00281DF4"/>
    <w:rsid w:val="00293AB2"/>
    <w:rsid w:val="002D0B8E"/>
    <w:rsid w:val="002E0549"/>
    <w:rsid w:val="002F5BDD"/>
    <w:rsid w:val="003123EF"/>
    <w:rsid w:val="00337982"/>
    <w:rsid w:val="00345900"/>
    <w:rsid w:val="0034615A"/>
    <w:rsid w:val="00361B5E"/>
    <w:rsid w:val="00396F5F"/>
    <w:rsid w:val="003A3116"/>
    <w:rsid w:val="003B7915"/>
    <w:rsid w:val="003C09F1"/>
    <w:rsid w:val="003C1C1C"/>
    <w:rsid w:val="003D5942"/>
    <w:rsid w:val="003D7328"/>
    <w:rsid w:val="004210BA"/>
    <w:rsid w:val="004B21DE"/>
    <w:rsid w:val="004D0A24"/>
    <w:rsid w:val="005175AA"/>
    <w:rsid w:val="005715A5"/>
    <w:rsid w:val="005912F7"/>
    <w:rsid w:val="00691583"/>
    <w:rsid w:val="006A79CA"/>
    <w:rsid w:val="0070270B"/>
    <w:rsid w:val="007124C1"/>
    <w:rsid w:val="00743100"/>
    <w:rsid w:val="00760C01"/>
    <w:rsid w:val="007E47A5"/>
    <w:rsid w:val="007E4CA5"/>
    <w:rsid w:val="00853E67"/>
    <w:rsid w:val="0086444D"/>
    <w:rsid w:val="008A28F6"/>
    <w:rsid w:val="008A55CC"/>
    <w:rsid w:val="008B681B"/>
    <w:rsid w:val="00930EDF"/>
    <w:rsid w:val="00952DB7"/>
    <w:rsid w:val="00A10175"/>
    <w:rsid w:val="00A12FA5"/>
    <w:rsid w:val="00A27721"/>
    <w:rsid w:val="00A30C5C"/>
    <w:rsid w:val="00A330C2"/>
    <w:rsid w:val="00A52F31"/>
    <w:rsid w:val="00A5603F"/>
    <w:rsid w:val="00B42E42"/>
    <w:rsid w:val="00BA5612"/>
    <w:rsid w:val="00BB7861"/>
    <w:rsid w:val="00BC6ED7"/>
    <w:rsid w:val="00BD00C0"/>
    <w:rsid w:val="00BF4110"/>
    <w:rsid w:val="00C54F8F"/>
    <w:rsid w:val="00C560D2"/>
    <w:rsid w:val="00CC4CC6"/>
    <w:rsid w:val="00CC6F9E"/>
    <w:rsid w:val="00D039E7"/>
    <w:rsid w:val="00D74EDA"/>
    <w:rsid w:val="00D95E69"/>
    <w:rsid w:val="00DC5276"/>
    <w:rsid w:val="00DD2734"/>
    <w:rsid w:val="00E223D1"/>
    <w:rsid w:val="00E415E6"/>
    <w:rsid w:val="00E868EE"/>
    <w:rsid w:val="00EC2A9B"/>
    <w:rsid w:val="00ED52B4"/>
    <w:rsid w:val="00F16B78"/>
    <w:rsid w:val="00F36D03"/>
    <w:rsid w:val="00F440D1"/>
    <w:rsid w:val="00FC0F38"/>
    <w:rsid w:val="00FC4DA1"/>
    <w:rsid w:val="00FE59A3"/>
    <w:rsid w:val="01656BEE"/>
    <w:rsid w:val="01801C1D"/>
    <w:rsid w:val="01AB4F32"/>
    <w:rsid w:val="01B87BAA"/>
    <w:rsid w:val="01F22635"/>
    <w:rsid w:val="01FF3BC3"/>
    <w:rsid w:val="0201695D"/>
    <w:rsid w:val="023F3BBA"/>
    <w:rsid w:val="025263E9"/>
    <w:rsid w:val="029A7D90"/>
    <w:rsid w:val="02C170CB"/>
    <w:rsid w:val="02E211A2"/>
    <w:rsid w:val="02E264F8"/>
    <w:rsid w:val="02FF02A1"/>
    <w:rsid w:val="03110C51"/>
    <w:rsid w:val="03546191"/>
    <w:rsid w:val="035C705E"/>
    <w:rsid w:val="038F07DA"/>
    <w:rsid w:val="04030753"/>
    <w:rsid w:val="04253689"/>
    <w:rsid w:val="045D1075"/>
    <w:rsid w:val="046E7428"/>
    <w:rsid w:val="04EF531A"/>
    <w:rsid w:val="0512408C"/>
    <w:rsid w:val="052878D5"/>
    <w:rsid w:val="052B3E09"/>
    <w:rsid w:val="055C30DB"/>
    <w:rsid w:val="057443F9"/>
    <w:rsid w:val="05D01263"/>
    <w:rsid w:val="064712B6"/>
    <w:rsid w:val="06562220"/>
    <w:rsid w:val="0696261C"/>
    <w:rsid w:val="06AE669F"/>
    <w:rsid w:val="070A2791"/>
    <w:rsid w:val="075C1AB8"/>
    <w:rsid w:val="075D67CF"/>
    <w:rsid w:val="079923C4"/>
    <w:rsid w:val="07B51F41"/>
    <w:rsid w:val="07B862BC"/>
    <w:rsid w:val="07E43BD5"/>
    <w:rsid w:val="087F28FA"/>
    <w:rsid w:val="087F4EF0"/>
    <w:rsid w:val="088306D9"/>
    <w:rsid w:val="088E2D2B"/>
    <w:rsid w:val="08C30285"/>
    <w:rsid w:val="09371E95"/>
    <w:rsid w:val="0969226A"/>
    <w:rsid w:val="09893F6C"/>
    <w:rsid w:val="098D41AA"/>
    <w:rsid w:val="09971282"/>
    <w:rsid w:val="09A242CA"/>
    <w:rsid w:val="09A75B4C"/>
    <w:rsid w:val="09B47989"/>
    <w:rsid w:val="09CF7029"/>
    <w:rsid w:val="0A121C66"/>
    <w:rsid w:val="0A1847FB"/>
    <w:rsid w:val="0A4F3AA4"/>
    <w:rsid w:val="0A8E01DA"/>
    <w:rsid w:val="0B0269E2"/>
    <w:rsid w:val="0B141D7A"/>
    <w:rsid w:val="0B1E7D2D"/>
    <w:rsid w:val="0B447F80"/>
    <w:rsid w:val="0B5C3E34"/>
    <w:rsid w:val="0B6602D4"/>
    <w:rsid w:val="0BA66028"/>
    <w:rsid w:val="0BAB6B6A"/>
    <w:rsid w:val="0BBD4033"/>
    <w:rsid w:val="0BC518CA"/>
    <w:rsid w:val="0BD530EC"/>
    <w:rsid w:val="0BDC6D23"/>
    <w:rsid w:val="0BEB6412"/>
    <w:rsid w:val="0C1224DC"/>
    <w:rsid w:val="0C4C301E"/>
    <w:rsid w:val="0C9F0C4C"/>
    <w:rsid w:val="0CA4092C"/>
    <w:rsid w:val="0D0725FC"/>
    <w:rsid w:val="0D1F53C9"/>
    <w:rsid w:val="0DA3431A"/>
    <w:rsid w:val="0DDE3227"/>
    <w:rsid w:val="0E436A7A"/>
    <w:rsid w:val="0E87741A"/>
    <w:rsid w:val="0F430386"/>
    <w:rsid w:val="0F4C0664"/>
    <w:rsid w:val="0F4E7F38"/>
    <w:rsid w:val="0F5F5251"/>
    <w:rsid w:val="0F9E2124"/>
    <w:rsid w:val="101629A2"/>
    <w:rsid w:val="104C69B3"/>
    <w:rsid w:val="10742D86"/>
    <w:rsid w:val="1088747A"/>
    <w:rsid w:val="109710A2"/>
    <w:rsid w:val="10B8464E"/>
    <w:rsid w:val="11581DD0"/>
    <w:rsid w:val="11736F0A"/>
    <w:rsid w:val="11766FDB"/>
    <w:rsid w:val="11802FED"/>
    <w:rsid w:val="1186751D"/>
    <w:rsid w:val="118E79DE"/>
    <w:rsid w:val="11C064F8"/>
    <w:rsid w:val="11F0177A"/>
    <w:rsid w:val="13385187"/>
    <w:rsid w:val="1373354D"/>
    <w:rsid w:val="137A57A0"/>
    <w:rsid w:val="13A353D0"/>
    <w:rsid w:val="13B16CE7"/>
    <w:rsid w:val="13C7475D"/>
    <w:rsid w:val="13D37411"/>
    <w:rsid w:val="13F34C8A"/>
    <w:rsid w:val="142100DC"/>
    <w:rsid w:val="14223AA0"/>
    <w:rsid w:val="14A10AFD"/>
    <w:rsid w:val="152A0FBE"/>
    <w:rsid w:val="15510782"/>
    <w:rsid w:val="15622253"/>
    <w:rsid w:val="1585042C"/>
    <w:rsid w:val="15B605E5"/>
    <w:rsid w:val="15D942D4"/>
    <w:rsid w:val="161C2B3E"/>
    <w:rsid w:val="16604009"/>
    <w:rsid w:val="16674636"/>
    <w:rsid w:val="16730284"/>
    <w:rsid w:val="168F6180"/>
    <w:rsid w:val="16AE5760"/>
    <w:rsid w:val="16B11FEB"/>
    <w:rsid w:val="16DB6AC8"/>
    <w:rsid w:val="17600358"/>
    <w:rsid w:val="17920BDE"/>
    <w:rsid w:val="17BB419B"/>
    <w:rsid w:val="182E530C"/>
    <w:rsid w:val="18415F1E"/>
    <w:rsid w:val="188624F1"/>
    <w:rsid w:val="18C2156B"/>
    <w:rsid w:val="19032BE7"/>
    <w:rsid w:val="192412B8"/>
    <w:rsid w:val="193564D1"/>
    <w:rsid w:val="19494843"/>
    <w:rsid w:val="198A6011"/>
    <w:rsid w:val="19E82D37"/>
    <w:rsid w:val="1A282952"/>
    <w:rsid w:val="1A3342D1"/>
    <w:rsid w:val="1A3A3B67"/>
    <w:rsid w:val="1A4563DB"/>
    <w:rsid w:val="1A710498"/>
    <w:rsid w:val="1B0818E3"/>
    <w:rsid w:val="1B234BCE"/>
    <w:rsid w:val="1B3F107D"/>
    <w:rsid w:val="1BA23FC3"/>
    <w:rsid w:val="1BA449E1"/>
    <w:rsid w:val="1BD846CE"/>
    <w:rsid w:val="1BEB2717"/>
    <w:rsid w:val="1C1B3898"/>
    <w:rsid w:val="1C295FB5"/>
    <w:rsid w:val="1C43585C"/>
    <w:rsid w:val="1C931680"/>
    <w:rsid w:val="1CA62D99"/>
    <w:rsid w:val="1CAE64BA"/>
    <w:rsid w:val="1CC22119"/>
    <w:rsid w:val="1CC45CDD"/>
    <w:rsid w:val="1CCB08C4"/>
    <w:rsid w:val="1CED4E0A"/>
    <w:rsid w:val="1D0272BB"/>
    <w:rsid w:val="1D317801"/>
    <w:rsid w:val="1D5025F3"/>
    <w:rsid w:val="1DB93368"/>
    <w:rsid w:val="1DE653AC"/>
    <w:rsid w:val="1E0B0E08"/>
    <w:rsid w:val="1E0E388A"/>
    <w:rsid w:val="1E984D30"/>
    <w:rsid w:val="1EB51EFC"/>
    <w:rsid w:val="1EC73863"/>
    <w:rsid w:val="1EE614AE"/>
    <w:rsid w:val="1F755DC1"/>
    <w:rsid w:val="1F7C289F"/>
    <w:rsid w:val="1F7D6514"/>
    <w:rsid w:val="1FCA736A"/>
    <w:rsid w:val="1FD607C0"/>
    <w:rsid w:val="200B156F"/>
    <w:rsid w:val="202E3848"/>
    <w:rsid w:val="20B51B68"/>
    <w:rsid w:val="20B53D8C"/>
    <w:rsid w:val="20BA1000"/>
    <w:rsid w:val="20BF3236"/>
    <w:rsid w:val="20DB51D2"/>
    <w:rsid w:val="218A7B5E"/>
    <w:rsid w:val="21997AB8"/>
    <w:rsid w:val="220224DA"/>
    <w:rsid w:val="221F7512"/>
    <w:rsid w:val="22322C1C"/>
    <w:rsid w:val="22327245"/>
    <w:rsid w:val="226C12D2"/>
    <w:rsid w:val="228D5BFB"/>
    <w:rsid w:val="22C03DE3"/>
    <w:rsid w:val="22D622C7"/>
    <w:rsid w:val="22E41253"/>
    <w:rsid w:val="22FB7F7F"/>
    <w:rsid w:val="236623BF"/>
    <w:rsid w:val="239459BD"/>
    <w:rsid w:val="23A31918"/>
    <w:rsid w:val="23F66872"/>
    <w:rsid w:val="23FB5122"/>
    <w:rsid w:val="2428490B"/>
    <w:rsid w:val="246D236C"/>
    <w:rsid w:val="24A37292"/>
    <w:rsid w:val="24EC1113"/>
    <w:rsid w:val="24ED5813"/>
    <w:rsid w:val="25520CB4"/>
    <w:rsid w:val="257552AB"/>
    <w:rsid w:val="257E08A7"/>
    <w:rsid w:val="25F81110"/>
    <w:rsid w:val="261634AE"/>
    <w:rsid w:val="26167402"/>
    <w:rsid w:val="262B0B7B"/>
    <w:rsid w:val="26983EDF"/>
    <w:rsid w:val="26D46AF2"/>
    <w:rsid w:val="27201D62"/>
    <w:rsid w:val="274C2B57"/>
    <w:rsid w:val="27837AD0"/>
    <w:rsid w:val="27D35027"/>
    <w:rsid w:val="27DD7C53"/>
    <w:rsid w:val="28107E71"/>
    <w:rsid w:val="281A52B6"/>
    <w:rsid w:val="282B4305"/>
    <w:rsid w:val="284E3DED"/>
    <w:rsid w:val="28570CFC"/>
    <w:rsid w:val="28A4471D"/>
    <w:rsid w:val="29013EF4"/>
    <w:rsid w:val="29263B99"/>
    <w:rsid w:val="29414095"/>
    <w:rsid w:val="295A7368"/>
    <w:rsid w:val="29735FE6"/>
    <w:rsid w:val="298A5B3D"/>
    <w:rsid w:val="29A104CA"/>
    <w:rsid w:val="29B26C99"/>
    <w:rsid w:val="29C46B73"/>
    <w:rsid w:val="29D64E4A"/>
    <w:rsid w:val="29DC0575"/>
    <w:rsid w:val="29F86184"/>
    <w:rsid w:val="29FF6720"/>
    <w:rsid w:val="2A00095F"/>
    <w:rsid w:val="2A2D4EC2"/>
    <w:rsid w:val="2A9A4B08"/>
    <w:rsid w:val="2A9E1BDE"/>
    <w:rsid w:val="2AA13343"/>
    <w:rsid w:val="2B786611"/>
    <w:rsid w:val="2BC84D8F"/>
    <w:rsid w:val="2BC96E6C"/>
    <w:rsid w:val="2BF65788"/>
    <w:rsid w:val="2BF8505C"/>
    <w:rsid w:val="2C462078"/>
    <w:rsid w:val="2C7E6A91"/>
    <w:rsid w:val="2C82675F"/>
    <w:rsid w:val="2CD61A2B"/>
    <w:rsid w:val="2D794055"/>
    <w:rsid w:val="2D7F0E3C"/>
    <w:rsid w:val="2DA11C70"/>
    <w:rsid w:val="2DBC21CF"/>
    <w:rsid w:val="2DF126FB"/>
    <w:rsid w:val="2E3507E9"/>
    <w:rsid w:val="2E431B52"/>
    <w:rsid w:val="2E806BE6"/>
    <w:rsid w:val="2E8277CD"/>
    <w:rsid w:val="2EA74B17"/>
    <w:rsid w:val="2EBC4A66"/>
    <w:rsid w:val="2EE256B8"/>
    <w:rsid w:val="2EE747ED"/>
    <w:rsid w:val="2EEE0025"/>
    <w:rsid w:val="2F49454E"/>
    <w:rsid w:val="2F6F3887"/>
    <w:rsid w:val="2F8C4439"/>
    <w:rsid w:val="2F9521CD"/>
    <w:rsid w:val="2FC040E2"/>
    <w:rsid w:val="2FC47D25"/>
    <w:rsid w:val="301E3AFF"/>
    <w:rsid w:val="304F7BF1"/>
    <w:rsid w:val="30867DF9"/>
    <w:rsid w:val="309A4933"/>
    <w:rsid w:val="30A23965"/>
    <w:rsid w:val="30B73737"/>
    <w:rsid w:val="30C32E39"/>
    <w:rsid w:val="30F6626C"/>
    <w:rsid w:val="30F74212"/>
    <w:rsid w:val="31230DCD"/>
    <w:rsid w:val="31377BC4"/>
    <w:rsid w:val="313A7654"/>
    <w:rsid w:val="313B6FBB"/>
    <w:rsid w:val="313D2953"/>
    <w:rsid w:val="317E2BF9"/>
    <w:rsid w:val="31AF5C1C"/>
    <w:rsid w:val="31D97270"/>
    <w:rsid w:val="31E96E7E"/>
    <w:rsid w:val="320329A3"/>
    <w:rsid w:val="32221084"/>
    <w:rsid w:val="322272D6"/>
    <w:rsid w:val="325160FC"/>
    <w:rsid w:val="3260441B"/>
    <w:rsid w:val="32A809A6"/>
    <w:rsid w:val="32BF0539"/>
    <w:rsid w:val="332826CA"/>
    <w:rsid w:val="33B646CF"/>
    <w:rsid w:val="33EF5D35"/>
    <w:rsid w:val="33F02D50"/>
    <w:rsid w:val="33FD6355"/>
    <w:rsid w:val="342D6696"/>
    <w:rsid w:val="34362BC5"/>
    <w:rsid w:val="34546D75"/>
    <w:rsid w:val="3482419A"/>
    <w:rsid w:val="34A35F14"/>
    <w:rsid w:val="34B0279D"/>
    <w:rsid w:val="34DF50CB"/>
    <w:rsid w:val="34E63F89"/>
    <w:rsid w:val="35965BB0"/>
    <w:rsid w:val="35B74B6A"/>
    <w:rsid w:val="35DD69FB"/>
    <w:rsid w:val="35F3454D"/>
    <w:rsid w:val="365F4B8D"/>
    <w:rsid w:val="36EE3C2B"/>
    <w:rsid w:val="36F907D1"/>
    <w:rsid w:val="37166086"/>
    <w:rsid w:val="372211A7"/>
    <w:rsid w:val="373C6A30"/>
    <w:rsid w:val="375D490D"/>
    <w:rsid w:val="37943CD5"/>
    <w:rsid w:val="37DE4F22"/>
    <w:rsid w:val="37F54B45"/>
    <w:rsid w:val="38404012"/>
    <w:rsid w:val="38EA1A60"/>
    <w:rsid w:val="38FC7513"/>
    <w:rsid w:val="392B718B"/>
    <w:rsid w:val="39307CFE"/>
    <w:rsid w:val="396E6925"/>
    <w:rsid w:val="39783FCD"/>
    <w:rsid w:val="39986B27"/>
    <w:rsid w:val="39AB7BB1"/>
    <w:rsid w:val="39AE1450"/>
    <w:rsid w:val="39F73AAA"/>
    <w:rsid w:val="39FC7772"/>
    <w:rsid w:val="3A0A458E"/>
    <w:rsid w:val="3A396186"/>
    <w:rsid w:val="3A4A73CA"/>
    <w:rsid w:val="3A937A64"/>
    <w:rsid w:val="3AAD0C44"/>
    <w:rsid w:val="3AE754DB"/>
    <w:rsid w:val="3AFA0DF0"/>
    <w:rsid w:val="3B306B35"/>
    <w:rsid w:val="3B4C4753"/>
    <w:rsid w:val="3B5D137F"/>
    <w:rsid w:val="3B68259B"/>
    <w:rsid w:val="3B8C62D6"/>
    <w:rsid w:val="3BB6283D"/>
    <w:rsid w:val="3BEB24E7"/>
    <w:rsid w:val="3BF004EE"/>
    <w:rsid w:val="3C321A0B"/>
    <w:rsid w:val="3C3948FE"/>
    <w:rsid w:val="3C4D6CFE"/>
    <w:rsid w:val="3C566BE8"/>
    <w:rsid w:val="3CE70FB9"/>
    <w:rsid w:val="3D2C1479"/>
    <w:rsid w:val="3D2E159D"/>
    <w:rsid w:val="3D484485"/>
    <w:rsid w:val="3D613D22"/>
    <w:rsid w:val="3D875316"/>
    <w:rsid w:val="3DB22851"/>
    <w:rsid w:val="3DBD2A1B"/>
    <w:rsid w:val="3DC957DE"/>
    <w:rsid w:val="3DE04ADB"/>
    <w:rsid w:val="3E0C7D30"/>
    <w:rsid w:val="3E23636C"/>
    <w:rsid w:val="3E655D6D"/>
    <w:rsid w:val="3E8C4E3A"/>
    <w:rsid w:val="3E9A1FA2"/>
    <w:rsid w:val="3EA41179"/>
    <w:rsid w:val="3ED622C5"/>
    <w:rsid w:val="3EF618CF"/>
    <w:rsid w:val="3EF6461D"/>
    <w:rsid w:val="3F206DF6"/>
    <w:rsid w:val="3F5605BF"/>
    <w:rsid w:val="3F5B25FF"/>
    <w:rsid w:val="3F7942AE"/>
    <w:rsid w:val="3FAE03FB"/>
    <w:rsid w:val="3FBA4E99"/>
    <w:rsid w:val="3FEC69F0"/>
    <w:rsid w:val="3FF83425"/>
    <w:rsid w:val="40041DC9"/>
    <w:rsid w:val="404C551E"/>
    <w:rsid w:val="408B7F88"/>
    <w:rsid w:val="40A25650"/>
    <w:rsid w:val="40F926BC"/>
    <w:rsid w:val="40FF7BF5"/>
    <w:rsid w:val="41004C87"/>
    <w:rsid w:val="410B498A"/>
    <w:rsid w:val="41175793"/>
    <w:rsid w:val="414C4113"/>
    <w:rsid w:val="417F41B5"/>
    <w:rsid w:val="418E0C20"/>
    <w:rsid w:val="41B95166"/>
    <w:rsid w:val="41C65CFC"/>
    <w:rsid w:val="41D06A79"/>
    <w:rsid w:val="42281180"/>
    <w:rsid w:val="42283963"/>
    <w:rsid w:val="42A27809"/>
    <w:rsid w:val="42C74DD8"/>
    <w:rsid w:val="42E75186"/>
    <w:rsid w:val="4300063E"/>
    <w:rsid w:val="432307B8"/>
    <w:rsid w:val="43247070"/>
    <w:rsid w:val="433B7463"/>
    <w:rsid w:val="43571E07"/>
    <w:rsid w:val="43690719"/>
    <w:rsid w:val="43772B55"/>
    <w:rsid w:val="43943464"/>
    <w:rsid w:val="43C6125E"/>
    <w:rsid w:val="440D5B70"/>
    <w:rsid w:val="440F02B0"/>
    <w:rsid w:val="44366160"/>
    <w:rsid w:val="44466E54"/>
    <w:rsid w:val="44615DE7"/>
    <w:rsid w:val="44737429"/>
    <w:rsid w:val="447C2876"/>
    <w:rsid w:val="449F020D"/>
    <w:rsid w:val="44AB6CB7"/>
    <w:rsid w:val="44ED5175"/>
    <w:rsid w:val="45040A01"/>
    <w:rsid w:val="452D65D8"/>
    <w:rsid w:val="45430567"/>
    <w:rsid w:val="45725A27"/>
    <w:rsid w:val="458E773A"/>
    <w:rsid w:val="459B6D2C"/>
    <w:rsid w:val="46141837"/>
    <w:rsid w:val="462470ED"/>
    <w:rsid w:val="46370479"/>
    <w:rsid w:val="46405B25"/>
    <w:rsid w:val="465E71A5"/>
    <w:rsid w:val="468C72F5"/>
    <w:rsid w:val="46B840E1"/>
    <w:rsid w:val="46C45109"/>
    <w:rsid w:val="4724785D"/>
    <w:rsid w:val="472A58B4"/>
    <w:rsid w:val="473231CF"/>
    <w:rsid w:val="478661AE"/>
    <w:rsid w:val="47A05997"/>
    <w:rsid w:val="47E473CF"/>
    <w:rsid w:val="47F76015"/>
    <w:rsid w:val="47F81B94"/>
    <w:rsid w:val="48165A4B"/>
    <w:rsid w:val="48952158"/>
    <w:rsid w:val="48A57EC2"/>
    <w:rsid w:val="48A804B1"/>
    <w:rsid w:val="48A8111F"/>
    <w:rsid w:val="48B42B58"/>
    <w:rsid w:val="48E21116"/>
    <w:rsid w:val="49434FF2"/>
    <w:rsid w:val="494F4BA2"/>
    <w:rsid w:val="495A0CAC"/>
    <w:rsid w:val="495F4BDB"/>
    <w:rsid w:val="49CB1BAA"/>
    <w:rsid w:val="49E557AB"/>
    <w:rsid w:val="49F60327"/>
    <w:rsid w:val="4A2D63C1"/>
    <w:rsid w:val="4AC833AF"/>
    <w:rsid w:val="4B314E5D"/>
    <w:rsid w:val="4B3E6502"/>
    <w:rsid w:val="4B633F8A"/>
    <w:rsid w:val="4B635E4C"/>
    <w:rsid w:val="4B793B8A"/>
    <w:rsid w:val="4B885FA4"/>
    <w:rsid w:val="4BA9599C"/>
    <w:rsid w:val="4BD00295"/>
    <w:rsid w:val="4BFD6D31"/>
    <w:rsid w:val="4C0F5D7E"/>
    <w:rsid w:val="4C485B9E"/>
    <w:rsid w:val="4C716A38"/>
    <w:rsid w:val="4C7879BE"/>
    <w:rsid w:val="4C931746"/>
    <w:rsid w:val="4CFE6AD7"/>
    <w:rsid w:val="4D2849E5"/>
    <w:rsid w:val="4D4A731B"/>
    <w:rsid w:val="4D893DA2"/>
    <w:rsid w:val="4D9129C2"/>
    <w:rsid w:val="4DB86FBC"/>
    <w:rsid w:val="4DFC6742"/>
    <w:rsid w:val="4E297B21"/>
    <w:rsid w:val="4E3046D1"/>
    <w:rsid w:val="4E854A1D"/>
    <w:rsid w:val="4F0E38EB"/>
    <w:rsid w:val="4F244236"/>
    <w:rsid w:val="4F380D10"/>
    <w:rsid w:val="4F742838"/>
    <w:rsid w:val="4F8D344B"/>
    <w:rsid w:val="4FBD0B43"/>
    <w:rsid w:val="4FC2519A"/>
    <w:rsid w:val="4FCA1FF5"/>
    <w:rsid w:val="5006393C"/>
    <w:rsid w:val="501716A5"/>
    <w:rsid w:val="50304F23"/>
    <w:rsid w:val="50565362"/>
    <w:rsid w:val="505C3A92"/>
    <w:rsid w:val="50692D17"/>
    <w:rsid w:val="508D7BB9"/>
    <w:rsid w:val="50BC3FFA"/>
    <w:rsid w:val="50D346A0"/>
    <w:rsid w:val="50D747BA"/>
    <w:rsid w:val="50DA4587"/>
    <w:rsid w:val="5119152B"/>
    <w:rsid w:val="51986815"/>
    <w:rsid w:val="51E443CF"/>
    <w:rsid w:val="51F114C0"/>
    <w:rsid w:val="520A028E"/>
    <w:rsid w:val="522474AD"/>
    <w:rsid w:val="52911BE2"/>
    <w:rsid w:val="52974D1F"/>
    <w:rsid w:val="52985B4C"/>
    <w:rsid w:val="52B15DE1"/>
    <w:rsid w:val="52CE3093"/>
    <w:rsid w:val="52E33AC0"/>
    <w:rsid w:val="531B6434"/>
    <w:rsid w:val="53672872"/>
    <w:rsid w:val="546F0E8E"/>
    <w:rsid w:val="54A75F97"/>
    <w:rsid w:val="54A8140F"/>
    <w:rsid w:val="54BB2BC8"/>
    <w:rsid w:val="54C10843"/>
    <w:rsid w:val="54CF0BBD"/>
    <w:rsid w:val="54D36316"/>
    <w:rsid w:val="54DE03E4"/>
    <w:rsid w:val="55690BF5"/>
    <w:rsid w:val="55A20309"/>
    <w:rsid w:val="55D818D6"/>
    <w:rsid w:val="56392E04"/>
    <w:rsid w:val="565A71A8"/>
    <w:rsid w:val="57882E88"/>
    <w:rsid w:val="57CC4263"/>
    <w:rsid w:val="57D64129"/>
    <w:rsid w:val="57E7714E"/>
    <w:rsid w:val="57F105C4"/>
    <w:rsid w:val="58101143"/>
    <w:rsid w:val="583B433D"/>
    <w:rsid w:val="58496ABB"/>
    <w:rsid w:val="587A0175"/>
    <w:rsid w:val="58953450"/>
    <w:rsid w:val="58F033DB"/>
    <w:rsid w:val="58F92290"/>
    <w:rsid w:val="59F44805"/>
    <w:rsid w:val="5A226B87"/>
    <w:rsid w:val="5A337797"/>
    <w:rsid w:val="5A871B1D"/>
    <w:rsid w:val="5AA4622B"/>
    <w:rsid w:val="5ABA16C1"/>
    <w:rsid w:val="5AC0741A"/>
    <w:rsid w:val="5AF727FF"/>
    <w:rsid w:val="5B045B13"/>
    <w:rsid w:val="5B191981"/>
    <w:rsid w:val="5B1A473F"/>
    <w:rsid w:val="5B407B58"/>
    <w:rsid w:val="5B61411C"/>
    <w:rsid w:val="5BCF552A"/>
    <w:rsid w:val="5BEA2363"/>
    <w:rsid w:val="5C573D07"/>
    <w:rsid w:val="5CAC7619"/>
    <w:rsid w:val="5CB41729"/>
    <w:rsid w:val="5CBA0B1C"/>
    <w:rsid w:val="5CD35FCD"/>
    <w:rsid w:val="5D2B49C1"/>
    <w:rsid w:val="5D300DE3"/>
    <w:rsid w:val="5D4E4527"/>
    <w:rsid w:val="5D573A29"/>
    <w:rsid w:val="5D5A13D3"/>
    <w:rsid w:val="5D9E312A"/>
    <w:rsid w:val="5DB0730D"/>
    <w:rsid w:val="5DD538B7"/>
    <w:rsid w:val="5E8B5F3A"/>
    <w:rsid w:val="5E8B6AAB"/>
    <w:rsid w:val="5EC63DEE"/>
    <w:rsid w:val="5EF71883"/>
    <w:rsid w:val="5F136BFC"/>
    <w:rsid w:val="5F1C6CD8"/>
    <w:rsid w:val="5F8A7E84"/>
    <w:rsid w:val="5F926F9A"/>
    <w:rsid w:val="5FA02702"/>
    <w:rsid w:val="5FB00CEC"/>
    <w:rsid w:val="5FC2311B"/>
    <w:rsid w:val="5FEB66AA"/>
    <w:rsid w:val="5FFB6629"/>
    <w:rsid w:val="6017578D"/>
    <w:rsid w:val="60235E44"/>
    <w:rsid w:val="60365CF7"/>
    <w:rsid w:val="6059630B"/>
    <w:rsid w:val="60B73B1F"/>
    <w:rsid w:val="60CE5DB0"/>
    <w:rsid w:val="61271864"/>
    <w:rsid w:val="616555FD"/>
    <w:rsid w:val="6187689B"/>
    <w:rsid w:val="618D08B5"/>
    <w:rsid w:val="61971C06"/>
    <w:rsid w:val="61C5756C"/>
    <w:rsid w:val="61E33B73"/>
    <w:rsid w:val="61F02865"/>
    <w:rsid w:val="61FD3181"/>
    <w:rsid w:val="62320EBB"/>
    <w:rsid w:val="6268557B"/>
    <w:rsid w:val="627E6DF6"/>
    <w:rsid w:val="629B4BFF"/>
    <w:rsid w:val="62C7586B"/>
    <w:rsid w:val="62CA6A4B"/>
    <w:rsid w:val="62D0106A"/>
    <w:rsid w:val="62D13CD8"/>
    <w:rsid w:val="62FD64FC"/>
    <w:rsid w:val="632A2214"/>
    <w:rsid w:val="63B92FEE"/>
    <w:rsid w:val="63CE2E0E"/>
    <w:rsid w:val="64555EE6"/>
    <w:rsid w:val="64837248"/>
    <w:rsid w:val="64D65ECF"/>
    <w:rsid w:val="650507B6"/>
    <w:rsid w:val="65224510"/>
    <w:rsid w:val="652E4B6E"/>
    <w:rsid w:val="65427A4C"/>
    <w:rsid w:val="655A40B6"/>
    <w:rsid w:val="65661033"/>
    <w:rsid w:val="656A05F9"/>
    <w:rsid w:val="657B2454"/>
    <w:rsid w:val="65853F1A"/>
    <w:rsid w:val="659F3F9B"/>
    <w:rsid w:val="65A5411A"/>
    <w:rsid w:val="65F80EC3"/>
    <w:rsid w:val="662B7697"/>
    <w:rsid w:val="668B199B"/>
    <w:rsid w:val="66F51F27"/>
    <w:rsid w:val="672E0F0E"/>
    <w:rsid w:val="67413B60"/>
    <w:rsid w:val="674E4EDE"/>
    <w:rsid w:val="6769259A"/>
    <w:rsid w:val="67713939"/>
    <w:rsid w:val="67785198"/>
    <w:rsid w:val="679D13BE"/>
    <w:rsid w:val="67C50B43"/>
    <w:rsid w:val="67DB49A4"/>
    <w:rsid w:val="67E81E4D"/>
    <w:rsid w:val="67F500C6"/>
    <w:rsid w:val="6804655B"/>
    <w:rsid w:val="68752B13"/>
    <w:rsid w:val="68772BAF"/>
    <w:rsid w:val="68774F7F"/>
    <w:rsid w:val="68983DB8"/>
    <w:rsid w:val="69153F3D"/>
    <w:rsid w:val="692D3440"/>
    <w:rsid w:val="693E2E77"/>
    <w:rsid w:val="69424465"/>
    <w:rsid w:val="694C1F68"/>
    <w:rsid w:val="69855479"/>
    <w:rsid w:val="698F62F8"/>
    <w:rsid w:val="69B878FF"/>
    <w:rsid w:val="6A424555"/>
    <w:rsid w:val="6A756263"/>
    <w:rsid w:val="6ABB4A68"/>
    <w:rsid w:val="6AE47690"/>
    <w:rsid w:val="6B18277F"/>
    <w:rsid w:val="6B3E34A3"/>
    <w:rsid w:val="6B9D7DEC"/>
    <w:rsid w:val="6BAF4A30"/>
    <w:rsid w:val="6BB721C8"/>
    <w:rsid w:val="6BCC55E2"/>
    <w:rsid w:val="6BF5292E"/>
    <w:rsid w:val="6C0109E0"/>
    <w:rsid w:val="6C2E1AFF"/>
    <w:rsid w:val="6C523D39"/>
    <w:rsid w:val="6C6E15EF"/>
    <w:rsid w:val="6CB12D5D"/>
    <w:rsid w:val="6CBF49EC"/>
    <w:rsid w:val="6CC508E2"/>
    <w:rsid w:val="6CEA21C3"/>
    <w:rsid w:val="6D02747D"/>
    <w:rsid w:val="6D226EDB"/>
    <w:rsid w:val="6D286848"/>
    <w:rsid w:val="6D392803"/>
    <w:rsid w:val="6D400035"/>
    <w:rsid w:val="6D5B09CB"/>
    <w:rsid w:val="6DC04CF5"/>
    <w:rsid w:val="6DD43879"/>
    <w:rsid w:val="6E1D3ED3"/>
    <w:rsid w:val="6E647D53"/>
    <w:rsid w:val="6E881C94"/>
    <w:rsid w:val="6E907CB6"/>
    <w:rsid w:val="6EAD1F77"/>
    <w:rsid w:val="6EB5359D"/>
    <w:rsid w:val="6EC13851"/>
    <w:rsid w:val="6EC95E08"/>
    <w:rsid w:val="6EDA0723"/>
    <w:rsid w:val="6EEE586F"/>
    <w:rsid w:val="6F2B5920"/>
    <w:rsid w:val="6FE07E43"/>
    <w:rsid w:val="70286EFA"/>
    <w:rsid w:val="704E61A4"/>
    <w:rsid w:val="708C1B30"/>
    <w:rsid w:val="70DE2439"/>
    <w:rsid w:val="718F33F1"/>
    <w:rsid w:val="71DC03E0"/>
    <w:rsid w:val="71E47543"/>
    <w:rsid w:val="71ED62B2"/>
    <w:rsid w:val="720E15CB"/>
    <w:rsid w:val="721750DD"/>
    <w:rsid w:val="72265D55"/>
    <w:rsid w:val="72715055"/>
    <w:rsid w:val="72764540"/>
    <w:rsid w:val="728140D5"/>
    <w:rsid w:val="72B2210C"/>
    <w:rsid w:val="72CD570B"/>
    <w:rsid w:val="72DF3E4C"/>
    <w:rsid w:val="738441B7"/>
    <w:rsid w:val="73981D8D"/>
    <w:rsid w:val="73D239B1"/>
    <w:rsid w:val="741B1F61"/>
    <w:rsid w:val="74523E39"/>
    <w:rsid w:val="748C0004"/>
    <w:rsid w:val="74A028A9"/>
    <w:rsid w:val="750965C9"/>
    <w:rsid w:val="75120509"/>
    <w:rsid w:val="75A44C96"/>
    <w:rsid w:val="75E8409E"/>
    <w:rsid w:val="75FB71EF"/>
    <w:rsid w:val="75FE52F7"/>
    <w:rsid w:val="763C5112"/>
    <w:rsid w:val="7662726E"/>
    <w:rsid w:val="766D7BFA"/>
    <w:rsid w:val="76906F93"/>
    <w:rsid w:val="76970ACE"/>
    <w:rsid w:val="77FB0EF6"/>
    <w:rsid w:val="78224195"/>
    <w:rsid w:val="78411105"/>
    <w:rsid w:val="78442B87"/>
    <w:rsid w:val="78686CB1"/>
    <w:rsid w:val="78767001"/>
    <w:rsid w:val="78AC246C"/>
    <w:rsid w:val="78D154CC"/>
    <w:rsid w:val="78F921D5"/>
    <w:rsid w:val="78FD6365"/>
    <w:rsid w:val="79082362"/>
    <w:rsid w:val="791C41D4"/>
    <w:rsid w:val="796E09D1"/>
    <w:rsid w:val="797A14A7"/>
    <w:rsid w:val="797B3443"/>
    <w:rsid w:val="79C97604"/>
    <w:rsid w:val="79F24465"/>
    <w:rsid w:val="7A2B2C06"/>
    <w:rsid w:val="7A3727C0"/>
    <w:rsid w:val="7A6332F5"/>
    <w:rsid w:val="7A691449"/>
    <w:rsid w:val="7AA02113"/>
    <w:rsid w:val="7AB43E11"/>
    <w:rsid w:val="7AC322A6"/>
    <w:rsid w:val="7ACA3634"/>
    <w:rsid w:val="7AE449BA"/>
    <w:rsid w:val="7AFE6232"/>
    <w:rsid w:val="7B035BC2"/>
    <w:rsid w:val="7B1171E3"/>
    <w:rsid w:val="7B164F5C"/>
    <w:rsid w:val="7B1A2445"/>
    <w:rsid w:val="7BB67714"/>
    <w:rsid w:val="7BCC1FDA"/>
    <w:rsid w:val="7C887303"/>
    <w:rsid w:val="7C91612A"/>
    <w:rsid w:val="7C982B53"/>
    <w:rsid w:val="7CC6375E"/>
    <w:rsid w:val="7CD10415"/>
    <w:rsid w:val="7D342FE7"/>
    <w:rsid w:val="7D741498"/>
    <w:rsid w:val="7DCD35A5"/>
    <w:rsid w:val="7DD81DCF"/>
    <w:rsid w:val="7DE61623"/>
    <w:rsid w:val="7E4105FB"/>
    <w:rsid w:val="7E5C1F49"/>
    <w:rsid w:val="7E914923"/>
    <w:rsid w:val="7EBC2C9B"/>
    <w:rsid w:val="7F1A1CDD"/>
    <w:rsid w:val="7F230B55"/>
    <w:rsid w:val="7F2F7F0A"/>
    <w:rsid w:val="7F797039"/>
    <w:rsid w:val="7FE65C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jc w:val="center"/>
      <w:outlineLvl w:val="0"/>
    </w:pPr>
    <w:rPr>
      <w:b/>
      <w:spacing w:val="14"/>
      <w:kern w:val="44"/>
      <w:sz w:val="36"/>
      <w:szCs w:val="20"/>
    </w:rPr>
  </w:style>
  <w:style w:type="paragraph" w:styleId="3">
    <w:name w:val="heading 2"/>
    <w:basedOn w:val="2"/>
    <w:next w:val="4"/>
    <w:autoRedefine/>
    <w:unhideWhenUsed/>
    <w:qFormat/>
    <w:uiPriority w:val="0"/>
    <w:pPr>
      <w:spacing w:before="260" w:after="260" w:line="413" w:lineRule="auto"/>
      <w:outlineLvl w:val="1"/>
    </w:pPr>
    <w:rPr>
      <w:rFonts w:ascii="Arial" w:hAnsi="Arial" w:eastAsia="黑体"/>
      <w:bCs/>
      <w:sz w:val="32"/>
      <w:szCs w:val="32"/>
    </w:rPr>
  </w:style>
  <w:style w:type="paragraph" w:styleId="4">
    <w:name w:val="heading 3"/>
    <w:basedOn w:val="1"/>
    <w:next w:val="1"/>
    <w:autoRedefine/>
    <w:unhideWhenUsed/>
    <w:qFormat/>
    <w:uiPriority w:val="9"/>
    <w:pPr>
      <w:numPr>
        <w:ilvl w:val="2"/>
        <w:numId w:val="1"/>
      </w:numPr>
      <w:tabs>
        <w:tab w:val="left" w:pos="840"/>
      </w:tabs>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460" w:lineRule="exact"/>
      <w:ind w:firstLine="420"/>
    </w:pPr>
    <w:rPr>
      <w:spacing w:val="14"/>
      <w:kern w:val="24"/>
      <w:sz w:val="24"/>
      <w:szCs w:val="20"/>
    </w:rPr>
  </w:style>
  <w:style w:type="paragraph" w:styleId="6">
    <w:name w:val="Document Map"/>
    <w:basedOn w:val="1"/>
    <w:link w:val="30"/>
    <w:autoRedefine/>
    <w:qFormat/>
    <w:uiPriority w:val="0"/>
    <w:rPr>
      <w:rFonts w:ascii="宋体" w:eastAsia="宋体"/>
      <w:sz w:val="18"/>
      <w:szCs w:val="18"/>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line="360" w:lineRule="auto"/>
    </w:pPr>
    <w:rPr>
      <w:rFonts w:ascii="楷体_GB2312" w:hAnsi="Times New Roman" w:eastAsia="楷体_GB2312" w:cs="Times New Roman"/>
      <w:sz w:val="32"/>
    </w:rPr>
  </w:style>
  <w:style w:type="paragraph" w:styleId="9">
    <w:name w:val="Body Text First Indent"/>
    <w:basedOn w:val="8"/>
    <w:next w:val="1"/>
    <w:autoRedefine/>
    <w:unhideWhenUsed/>
    <w:qFormat/>
    <w:uiPriority w:val="0"/>
    <w:pPr>
      <w:spacing w:after="120"/>
      <w:ind w:firstLine="420" w:firstLineChars="100"/>
    </w:pPr>
    <w:rPr>
      <w:rFonts w:ascii="Times New Roman" w:eastAsia="宋体"/>
      <w:sz w:val="21"/>
    </w:rPr>
  </w:style>
  <w:style w:type="paragraph" w:styleId="10">
    <w:name w:val="Body Text Indent"/>
    <w:basedOn w:val="1"/>
    <w:link w:val="35"/>
    <w:autoRedefine/>
    <w:qFormat/>
    <w:uiPriority w:val="0"/>
    <w:pPr>
      <w:spacing w:after="120"/>
      <w:ind w:left="420" w:leftChars="200"/>
    </w:p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ind w:left="100" w:leftChars="2500"/>
    </w:pPr>
    <w:rPr>
      <w:sz w:val="24"/>
    </w:rPr>
  </w:style>
  <w:style w:type="paragraph" w:styleId="13">
    <w:name w:val="endnote text"/>
    <w:basedOn w:val="1"/>
    <w:autoRedefine/>
    <w:qFormat/>
    <w:uiPriority w:val="0"/>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rFonts w:ascii="Arial" w:hAnsi="Arial" w:cs="Arial"/>
      <w:bCs/>
      <w:kern w:val="0"/>
    </w:rPr>
  </w:style>
  <w:style w:type="paragraph" w:styleId="17">
    <w:name w:val="toc 6"/>
    <w:basedOn w:val="1"/>
    <w:next w:val="1"/>
    <w:autoRedefine/>
    <w:qFormat/>
    <w:uiPriority w:val="39"/>
    <w:pPr>
      <w:ind w:left="2100" w:leftChars="1000"/>
    </w:p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jc w:val="left"/>
    </w:pPr>
    <w:rPr>
      <w:rFonts w:cs="Times New Roman"/>
      <w:kern w:val="0"/>
      <w:sz w:val="24"/>
    </w:rPr>
  </w:style>
  <w:style w:type="character" w:styleId="22">
    <w:name w:val="Hyperlink"/>
    <w:basedOn w:val="21"/>
    <w:autoRedefine/>
    <w:qFormat/>
    <w:uiPriority w:val="0"/>
    <w:rPr>
      <w:color w:val="0000FF"/>
      <w:u w:val="single"/>
    </w:rPr>
  </w:style>
  <w:style w:type="paragraph" w:customStyle="1" w:styleId="23">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24">
    <w:name w:val="TOC 标题1"/>
    <w:basedOn w:val="2"/>
    <w:next w:val="1"/>
    <w:autoRedefine/>
    <w:qFormat/>
    <w:uiPriority w:val="39"/>
    <w:pPr>
      <w:widowControl/>
      <w:spacing w:before="480" w:after="0" w:line="276" w:lineRule="auto"/>
      <w:jc w:val="left"/>
      <w:outlineLvl w:val="9"/>
    </w:pPr>
    <w:rPr>
      <w:rFonts w:ascii="Cambria" w:hAnsi="Cambria"/>
      <w:bCs/>
      <w:color w:val="365F91"/>
      <w:spacing w:val="0"/>
      <w:kern w:val="0"/>
      <w:sz w:val="28"/>
      <w:szCs w:val="28"/>
    </w:rPr>
  </w:style>
  <w:style w:type="character" w:customStyle="1" w:styleId="25">
    <w:name w:val="标题 1 Char"/>
    <w:link w:val="2"/>
    <w:autoRedefine/>
    <w:qFormat/>
    <w:uiPriority w:val="0"/>
    <w:rPr>
      <w:b/>
      <w:spacing w:val="14"/>
      <w:kern w:val="44"/>
      <w:sz w:val="36"/>
      <w:szCs w:val="20"/>
    </w:rPr>
  </w:style>
  <w:style w:type="paragraph" w:customStyle="1" w:styleId="26">
    <w:name w:val="列出段落1"/>
    <w:basedOn w:val="1"/>
    <w:autoRedefine/>
    <w:qFormat/>
    <w:uiPriority w:val="0"/>
    <w:pPr>
      <w:ind w:firstLine="420" w:firstLineChars="200"/>
    </w:pPr>
  </w:style>
  <w:style w:type="paragraph" w:customStyle="1" w:styleId="27">
    <w:name w:val="列出段落2"/>
    <w:basedOn w:val="1"/>
    <w:autoRedefine/>
    <w:qFormat/>
    <w:uiPriority w:val="34"/>
    <w:pPr>
      <w:ind w:firstLine="420" w:firstLineChars="200"/>
    </w:pPr>
  </w:style>
  <w:style w:type="character" w:customStyle="1" w:styleId="28">
    <w:name w:val="bsharetext"/>
    <w:basedOn w:val="21"/>
    <w:autoRedefine/>
    <w:qFormat/>
    <w:uiPriority w:val="0"/>
  </w:style>
  <w:style w:type="paragraph" w:customStyle="1" w:styleId="29">
    <w:name w:val="列出段落11"/>
    <w:basedOn w:val="1"/>
    <w:autoRedefine/>
    <w:qFormat/>
    <w:uiPriority w:val="34"/>
    <w:pPr>
      <w:ind w:firstLine="420" w:firstLineChars="200"/>
    </w:pPr>
  </w:style>
  <w:style w:type="character" w:customStyle="1" w:styleId="30">
    <w:name w:val="文档结构图 Char"/>
    <w:basedOn w:val="21"/>
    <w:link w:val="6"/>
    <w:autoRedefine/>
    <w:qFormat/>
    <w:uiPriority w:val="0"/>
    <w:rPr>
      <w:rFonts w:ascii="宋体" w:eastAsia="宋体"/>
      <w:kern w:val="2"/>
      <w:sz w:val="18"/>
      <w:szCs w:val="18"/>
    </w:rPr>
  </w:style>
  <w:style w:type="paragraph" w:customStyle="1" w:styleId="31">
    <w:name w:val="表格文字"/>
    <w:basedOn w:val="1"/>
    <w:next w:val="8"/>
    <w:autoRedefine/>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32">
    <w:name w:val="页脚1"/>
    <w:basedOn w:val="1"/>
    <w:autoRedefine/>
    <w:qFormat/>
    <w:uiPriority w:val="0"/>
    <w:pPr>
      <w:tabs>
        <w:tab w:val="center" w:pos="4153"/>
        <w:tab w:val="right" w:pos="8306"/>
      </w:tabs>
      <w:snapToGrid w:val="0"/>
      <w:jc w:val="left"/>
    </w:pPr>
    <w:rPr>
      <w:sz w:val="18"/>
    </w:rPr>
  </w:style>
  <w:style w:type="paragraph" w:styleId="33">
    <w:name w:val="List Paragraph"/>
    <w:basedOn w:val="1"/>
    <w:autoRedefine/>
    <w:unhideWhenUsed/>
    <w:qFormat/>
    <w:uiPriority w:val="99"/>
    <w:pPr>
      <w:ind w:firstLine="420" w:firstLineChars="200"/>
    </w:pPr>
  </w:style>
  <w:style w:type="paragraph" w:customStyle="1" w:styleId="34">
    <w:name w:val="_Style 1"/>
    <w:basedOn w:val="1"/>
    <w:autoRedefine/>
    <w:qFormat/>
    <w:uiPriority w:val="0"/>
    <w:pPr>
      <w:ind w:firstLine="420" w:firstLineChars="200"/>
    </w:pPr>
    <w:rPr>
      <w:rFonts w:ascii="Times New Roman" w:hAnsi="Times New Roman" w:eastAsia="宋体" w:cs="Times New Roman"/>
      <w:szCs w:val="21"/>
    </w:rPr>
  </w:style>
  <w:style w:type="character" w:customStyle="1" w:styleId="35">
    <w:name w:val="正文文本缩进 Char"/>
    <w:basedOn w:val="21"/>
    <w:link w:val="10"/>
    <w:autoRedefine/>
    <w:qFormat/>
    <w:uiPriority w:val="0"/>
    <w:rPr>
      <w:rFonts w:asciiTheme="minorHAnsi" w:hAnsiTheme="minorHAnsi" w:eastAsiaTheme="minorEastAsia" w:cstheme="minorBidi"/>
      <w:kern w:val="2"/>
      <w:sz w:val="21"/>
      <w:szCs w:val="24"/>
    </w:rPr>
  </w:style>
  <w:style w:type="paragraph" w:customStyle="1" w:styleId="36">
    <w:name w:val="纯文本1"/>
    <w:basedOn w:val="1"/>
    <w:autoRedefine/>
    <w:qFormat/>
    <w:uiPriority w:val="0"/>
    <w:pPr>
      <w:spacing w:beforeLines="50" w:afterLines="50" w:line="400" w:lineRule="exact"/>
    </w:pPr>
    <w:rPr>
      <w:rFonts w:ascii="宋体" w:hAnsi="Courier New" w:eastAsia="宋体" w:cs="宋体"/>
      <w:sz w:val="24"/>
    </w:rPr>
  </w:style>
  <w:style w:type="paragraph" w:customStyle="1" w:styleId="37">
    <w:name w:val="正文11"/>
    <w:basedOn w:val="1"/>
    <w:autoRedefine/>
    <w:qFormat/>
    <w:uiPriority w:val="0"/>
    <w:rPr>
      <w:rFonts w:ascii="宋体" w:hAnsi="宋体" w:eastAsia="宋体" w:cs="宋体"/>
      <w:szCs w:val="21"/>
    </w:rPr>
  </w:style>
  <w:style w:type="paragraph" w:customStyle="1" w:styleId="38">
    <w:name w:val="BodyText1I"/>
    <w:basedOn w:val="39"/>
    <w:next w:val="1"/>
    <w:autoRedefine/>
    <w:qFormat/>
    <w:uiPriority w:val="0"/>
    <w:pPr>
      <w:ind w:firstLine="420" w:firstLineChars="100"/>
      <w:jc w:val="left"/>
    </w:pPr>
    <w:rPr>
      <w:rFonts w:ascii="Times New Roman" w:hAnsi="Times New Roman" w:eastAsia="仿宋_GB2312" w:cs="Times New Roman"/>
      <w:kern w:val="0"/>
      <w:sz w:val="20"/>
      <w:szCs w:val="20"/>
    </w:rPr>
  </w:style>
  <w:style w:type="paragraph" w:customStyle="1" w:styleId="39">
    <w:name w:val="BodyText"/>
    <w:basedOn w:val="1"/>
    <w:next w:val="38"/>
    <w:autoRedefine/>
    <w:qFormat/>
    <w:uiPriority w:val="0"/>
    <w:rPr>
      <w:rFonts w:ascii="宋体" w:hAnsi="宋体" w:eastAsia="宋体" w:cs="宋体"/>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2571</Words>
  <Characters>3064</Characters>
  <Lines>175</Lines>
  <Paragraphs>49</Paragraphs>
  <TotalTime>6</TotalTime>
  <ScaleCrop>false</ScaleCrop>
  <LinksUpToDate>false</LinksUpToDate>
  <CharactersWithSpaces>3279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2025-05-20T09:08:00Z</dcterms:created>
  <dc:creator>ASUS</dc:creator>
  <cp:lastModifiedBy>NTKO</cp:lastModifiedBy>
  <cp:lastPrinted>2024-12-27T01:59:00Z</cp:lastPrinted>
  <dcterms:modified xsi:type="dcterms:W3CDTF">2025-06-10T00:33:25Z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0C50A63D884340B0899C7AAD7A80CED3_13</vt:lpwstr>
  </property>
  <property fmtid="{D5CDD505-2E9C-101B-9397-08002B2CF9AE}" pid="4" name="KSOTemplateDocerSaveRecord">
    <vt:lpwstr>eyJoZGlkIjoiOWY5NzAwM2ZjNTA4MDVkZTA3ZWJmZDU2NGQzZDM0OTMiLCJ1c2VySWQiOiIyMjk1MDcxODcifQ==</vt:lpwstr>
  </property>
</Properties>
</file>