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0A6B8">
      <w:pPr>
        <w:rPr>
          <w:rFonts w:ascii="新宋体" w:hAnsi="新宋体" w:eastAsia="新宋体" w:cs="新宋体"/>
          <w:b/>
          <w:bCs/>
          <w:spacing w:val="120"/>
          <w:sz w:val="52"/>
          <w:szCs w:val="52"/>
        </w:rPr>
      </w:pPr>
    </w:p>
    <w:p w14:paraId="348620CB"/>
    <w:p w14:paraId="68C9E7D0">
      <w:pPr>
        <w:jc w:val="distribute"/>
        <w:rPr>
          <w:rFonts w:ascii="新宋体" w:hAnsi="新宋体" w:eastAsia="新宋体" w:cs="新宋体"/>
          <w:b/>
          <w:sz w:val="56"/>
          <w:szCs w:val="56"/>
        </w:rPr>
      </w:pPr>
      <w:r>
        <w:rPr>
          <w:rFonts w:hint="eastAsia" w:ascii="新宋体" w:hAnsi="新宋体" w:eastAsia="新宋体" w:cs="新宋体"/>
          <w:b/>
          <w:sz w:val="56"/>
          <w:szCs w:val="56"/>
        </w:rPr>
        <w:t>温州市龙湾区城市建设中心(温州市龙湾区土地储备中心)</w:t>
      </w:r>
    </w:p>
    <w:p w14:paraId="37795138">
      <w:pPr>
        <w:jc w:val="distribute"/>
        <w:rPr>
          <w:rFonts w:ascii="新宋体" w:hAnsi="新宋体" w:eastAsia="新宋体" w:cs="新宋体"/>
          <w:b/>
          <w:bCs/>
          <w:spacing w:val="26"/>
          <w:sz w:val="44"/>
          <w:szCs w:val="21"/>
        </w:rPr>
      </w:pPr>
    </w:p>
    <w:p w14:paraId="04ADF4B4">
      <w:pPr>
        <w:pStyle w:val="6"/>
        <w:ind w:firstLine="0"/>
        <w:rPr>
          <w:rFonts w:ascii="新宋体" w:hAnsi="新宋体" w:eastAsia="新宋体" w:cs="新宋体"/>
          <w:b/>
          <w:bCs/>
          <w:spacing w:val="26"/>
          <w:sz w:val="52"/>
        </w:rPr>
      </w:pPr>
    </w:p>
    <w:p w14:paraId="07BE3BDE">
      <w:pPr>
        <w:pStyle w:val="6"/>
        <w:ind w:firstLine="0"/>
        <w:rPr>
          <w:rFonts w:ascii="新宋体" w:hAnsi="新宋体" w:eastAsia="新宋体" w:cs="新宋体"/>
        </w:rPr>
      </w:pPr>
    </w:p>
    <w:p w14:paraId="12356FEB">
      <w:pPr>
        <w:rPr>
          <w:rFonts w:ascii="新宋体" w:hAnsi="新宋体" w:eastAsia="新宋体" w:cs="新宋体"/>
        </w:rPr>
      </w:pPr>
    </w:p>
    <w:p w14:paraId="040892DF">
      <w:pPr>
        <w:adjustRightInd w:val="0"/>
        <w:snapToGrid w:val="0"/>
        <w:spacing w:line="480" w:lineRule="auto"/>
        <w:ind w:right="361"/>
        <w:jc w:val="center"/>
        <w:rPr>
          <w:rFonts w:ascii="新宋体" w:hAnsi="新宋体" w:eastAsia="新宋体" w:cs="新宋体"/>
          <w:sz w:val="84"/>
          <w:szCs w:val="84"/>
        </w:rPr>
      </w:pPr>
      <w:r>
        <w:rPr>
          <w:rFonts w:hint="eastAsia" w:ascii="新宋体" w:hAnsi="新宋体" w:eastAsia="新宋体" w:cs="新宋体"/>
          <w:b/>
          <w:bCs/>
          <w:sz w:val="84"/>
          <w:szCs w:val="84"/>
        </w:rPr>
        <w:t>招 标 文 件</w:t>
      </w:r>
    </w:p>
    <w:p w14:paraId="688311DF">
      <w:pPr>
        <w:spacing w:line="800" w:lineRule="exact"/>
        <w:rPr>
          <w:rFonts w:ascii="新宋体" w:hAnsi="新宋体" w:eastAsia="新宋体" w:cs="新宋体"/>
          <w:spacing w:val="40"/>
          <w:sz w:val="30"/>
          <w:szCs w:val="30"/>
        </w:rPr>
      </w:pPr>
    </w:p>
    <w:p w14:paraId="4855E44D">
      <w:pPr>
        <w:spacing w:line="800" w:lineRule="exact"/>
        <w:ind w:firstLine="900" w:firstLineChars="300"/>
        <w:rPr>
          <w:rFonts w:hint="eastAsia" w:ascii="新宋体" w:hAnsi="新宋体" w:eastAsia="新宋体" w:cs="新宋体"/>
          <w:sz w:val="30"/>
          <w:szCs w:val="30"/>
          <w:lang w:eastAsia="zh-CN"/>
        </w:rPr>
      </w:pPr>
      <w:r>
        <w:rPr>
          <w:rFonts w:hint="eastAsia" w:ascii="新宋体" w:hAnsi="新宋体" w:eastAsia="新宋体" w:cs="新宋体"/>
          <w:sz w:val="30"/>
          <w:szCs w:val="30"/>
        </w:rPr>
        <w:t>项目编号：</w:t>
      </w:r>
      <w:r>
        <w:rPr>
          <w:rFonts w:hint="eastAsia" w:ascii="新宋体" w:hAnsi="新宋体" w:eastAsia="新宋体" w:cs="新宋体"/>
          <w:sz w:val="30"/>
          <w:szCs w:val="30"/>
          <w:lang w:eastAsia="zh-CN"/>
        </w:rPr>
        <w:t>wzsn202572</w:t>
      </w:r>
    </w:p>
    <w:p w14:paraId="1A3B70B6">
      <w:pPr>
        <w:spacing w:line="800" w:lineRule="exact"/>
        <w:ind w:left="895" w:leftChars="426"/>
        <w:rPr>
          <w:rFonts w:ascii="新宋体" w:hAnsi="新宋体" w:eastAsia="新宋体" w:cs="新宋体"/>
          <w:sz w:val="30"/>
          <w:szCs w:val="30"/>
        </w:rPr>
      </w:pPr>
      <w:r>
        <w:rPr>
          <w:rFonts w:hint="eastAsia" w:ascii="新宋体" w:hAnsi="新宋体" w:eastAsia="新宋体" w:cs="新宋体"/>
          <w:sz w:val="30"/>
          <w:szCs w:val="30"/>
        </w:rPr>
        <w:t>项目名称：</w:t>
      </w:r>
      <w:bookmarkStart w:id="200" w:name="_GoBack"/>
      <w:r>
        <w:rPr>
          <w:rFonts w:hint="eastAsia" w:ascii="新宋体" w:hAnsi="新宋体" w:eastAsia="新宋体" w:cs="新宋体"/>
          <w:sz w:val="30"/>
          <w:szCs w:val="30"/>
        </w:rPr>
        <w:t>温州市龙湾区城市建设中心(温州市龙湾区土地储备中心)公款竞争性存放</w:t>
      </w:r>
      <w:bookmarkEnd w:id="200"/>
    </w:p>
    <w:p w14:paraId="73CE3409">
      <w:pPr>
        <w:spacing w:line="800" w:lineRule="exact"/>
        <w:ind w:firstLine="900" w:firstLineChars="300"/>
        <w:rPr>
          <w:rFonts w:ascii="新宋体" w:hAnsi="新宋体" w:eastAsia="新宋体" w:cs="新宋体"/>
          <w:sz w:val="30"/>
          <w:szCs w:val="30"/>
        </w:rPr>
      </w:pPr>
      <w:r>
        <w:rPr>
          <w:rFonts w:hint="eastAsia" w:ascii="新宋体" w:hAnsi="新宋体" w:eastAsia="新宋体" w:cs="新宋体"/>
          <w:sz w:val="30"/>
          <w:szCs w:val="30"/>
        </w:rPr>
        <w:t>采购方式：公开招标</w:t>
      </w:r>
    </w:p>
    <w:p w14:paraId="18B9EE24">
      <w:pPr>
        <w:spacing w:line="800" w:lineRule="exact"/>
        <w:ind w:firstLine="900" w:firstLineChars="300"/>
        <w:rPr>
          <w:rFonts w:ascii="新宋体" w:hAnsi="新宋体" w:eastAsia="新宋体" w:cs="新宋体"/>
          <w:sz w:val="30"/>
          <w:szCs w:val="30"/>
        </w:rPr>
      </w:pPr>
      <w:r>
        <w:rPr>
          <w:rFonts w:hint="eastAsia" w:ascii="新宋体" w:hAnsi="新宋体" w:eastAsia="新宋体" w:cs="新宋体"/>
          <w:sz w:val="30"/>
          <w:szCs w:val="30"/>
        </w:rPr>
        <w:t>评审方式：线上电子评审</w:t>
      </w:r>
    </w:p>
    <w:p w14:paraId="6F466DA3">
      <w:pPr>
        <w:spacing w:line="600" w:lineRule="exact"/>
        <w:rPr>
          <w:rFonts w:ascii="新宋体" w:hAnsi="新宋体" w:eastAsia="新宋体" w:cs="新宋体"/>
          <w:spacing w:val="30"/>
          <w:sz w:val="30"/>
        </w:rPr>
      </w:pPr>
    </w:p>
    <w:p w14:paraId="67DD303A">
      <w:pPr>
        <w:spacing w:line="800" w:lineRule="exact"/>
        <w:jc w:val="center"/>
        <w:rPr>
          <w:rFonts w:ascii="新宋体" w:hAnsi="新宋体" w:eastAsia="新宋体" w:cs="新宋体"/>
          <w:sz w:val="30"/>
          <w:szCs w:val="30"/>
        </w:rPr>
      </w:pPr>
      <w:r>
        <w:rPr>
          <w:rFonts w:hint="eastAsia" w:ascii="新宋体" w:hAnsi="新宋体" w:eastAsia="新宋体" w:cs="新宋体"/>
          <w:sz w:val="30"/>
          <w:szCs w:val="30"/>
        </w:rPr>
        <w:t>招标人：温州市龙湾区城市建设中心(温州市龙湾区土地储备中心)</w:t>
      </w:r>
    </w:p>
    <w:p w14:paraId="7591D33B">
      <w:pPr>
        <w:spacing w:line="800" w:lineRule="exact"/>
        <w:jc w:val="center"/>
        <w:rPr>
          <w:rFonts w:ascii="新宋体" w:hAnsi="新宋体" w:eastAsia="新宋体" w:cs="新宋体"/>
          <w:sz w:val="30"/>
          <w:szCs w:val="30"/>
        </w:rPr>
      </w:pPr>
      <w:r>
        <w:rPr>
          <w:rFonts w:hint="eastAsia" w:ascii="新宋体" w:hAnsi="新宋体" w:eastAsia="新宋体" w:cs="新宋体"/>
          <w:sz w:val="30"/>
          <w:szCs w:val="30"/>
        </w:rPr>
        <w:t>招标代理公司：温州世诺招标代理有限公司</w:t>
      </w:r>
    </w:p>
    <w:p w14:paraId="770CE401">
      <w:pPr>
        <w:spacing w:line="800" w:lineRule="exact"/>
        <w:jc w:val="center"/>
        <w:rPr>
          <w:rFonts w:ascii="新宋体" w:hAnsi="新宋体" w:eastAsia="新宋体" w:cs="新宋体"/>
          <w:sz w:val="30"/>
          <w:szCs w:val="30"/>
        </w:rPr>
      </w:pPr>
      <w:r>
        <w:rPr>
          <w:rFonts w:hint="eastAsia" w:ascii="新宋体" w:hAnsi="新宋体" w:eastAsia="新宋体" w:cs="新宋体"/>
          <w:sz w:val="30"/>
          <w:szCs w:val="30"/>
        </w:rPr>
        <w:t>二〇二五年</w:t>
      </w:r>
      <w:r>
        <w:rPr>
          <w:rFonts w:hint="eastAsia" w:ascii="新宋体" w:hAnsi="新宋体" w:eastAsia="新宋体" w:cs="新宋体"/>
          <w:sz w:val="30"/>
          <w:szCs w:val="30"/>
          <w:lang w:val="en-US" w:eastAsia="zh-CN"/>
        </w:rPr>
        <w:t>七</w:t>
      </w:r>
      <w:r>
        <w:rPr>
          <w:rFonts w:hint="eastAsia" w:ascii="新宋体" w:hAnsi="新宋体" w:eastAsia="新宋体" w:cs="新宋体"/>
          <w:sz w:val="30"/>
          <w:szCs w:val="30"/>
        </w:rPr>
        <w:t>月</w:t>
      </w:r>
    </w:p>
    <w:p w14:paraId="4F4F5008">
      <w:pPr>
        <w:pStyle w:val="6"/>
        <w:rPr>
          <w:rFonts w:ascii="新宋体" w:hAnsi="新宋体" w:eastAsia="新宋体" w:cs="新宋体"/>
          <w:b/>
          <w:bCs/>
          <w:sz w:val="32"/>
          <w:szCs w:val="32"/>
        </w:rPr>
        <w:sectPr>
          <w:footerReference r:id="rId6" w:type="first"/>
          <w:headerReference r:id="rId3" w:type="default"/>
          <w:footerReference r:id="rId4" w:type="default"/>
          <w:footerReference r:id="rId5" w:type="even"/>
          <w:pgSz w:w="11907" w:h="16840"/>
          <w:pgMar w:top="1134" w:right="1134" w:bottom="1134" w:left="1134" w:header="851" w:footer="992" w:gutter="0"/>
          <w:pgNumType w:start="1"/>
          <w:cols w:space="720" w:num="1"/>
          <w:titlePg/>
          <w:docGrid w:linePitch="312" w:charSpace="0"/>
        </w:sectPr>
      </w:pPr>
    </w:p>
    <w:p w14:paraId="6483032E">
      <w:pPr>
        <w:jc w:val="center"/>
        <w:outlineLvl w:val="0"/>
        <w:rPr>
          <w:rFonts w:ascii="新宋体" w:hAnsi="新宋体" w:eastAsia="新宋体" w:cs="新宋体"/>
        </w:rPr>
      </w:pPr>
      <w:bookmarkStart w:id="0" w:name="_Toc20525"/>
      <w:r>
        <w:rPr>
          <w:rFonts w:hint="eastAsia" w:ascii="新宋体" w:hAnsi="新宋体" w:eastAsia="新宋体" w:cs="新宋体"/>
          <w:sz w:val="32"/>
          <w:szCs w:val="32"/>
        </w:rPr>
        <w:t>目  录</w:t>
      </w:r>
      <w:bookmarkEnd w:id="0"/>
    </w:p>
    <w:p w14:paraId="65E9BAC0">
      <w:pPr>
        <w:pStyle w:val="23"/>
        <w:tabs>
          <w:tab w:val="right" w:leader="dot" w:pos="9639"/>
        </w:tabs>
        <w:spacing w:line="460" w:lineRule="exact"/>
        <w:rPr>
          <w:rFonts w:ascii="新宋体" w:hAnsi="新宋体" w:eastAsia="新宋体" w:cs="新宋体"/>
          <w:sz w:val="22"/>
          <w:szCs w:val="22"/>
        </w:rPr>
      </w:pPr>
      <w:r>
        <w:rPr>
          <w:rFonts w:hint="eastAsia" w:ascii="新宋体" w:hAnsi="新宋体" w:eastAsia="新宋体" w:cs="新宋体"/>
          <w:b/>
          <w:sz w:val="22"/>
          <w:szCs w:val="22"/>
        </w:rPr>
        <w:fldChar w:fldCharType="begin"/>
      </w:r>
      <w:r>
        <w:rPr>
          <w:rFonts w:hint="eastAsia" w:ascii="新宋体" w:hAnsi="新宋体" w:eastAsia="新宋体" w:cs="新宋体"/>
          <w:b/>
          <w:sz w:val="22"/>
          <w:szCs w:val="22"/>
        </w:rPr>
        <w:instrText xml:space="preserve">TOC \o "1-3" \h \u </w:instrText>
      </w:r>
      <w:r>
        <w:rPr>
          <w:rFonts w:hint="eastAsia" w:ascii="新宋体" w:hAnsi="新宋体" w:eastAsia="新宋体" w:cs="新宋体"/>
          <w:b/>
          <w:sz w:val="22"/>
          <w:szCs w:val="22"/>
        </w:rPr>
        <w:fldChar w:fldCharType="separate"/>
      </w:r>
      <w:r>
        <w:fldChar w:fldCharType="begin"/>
      </w:r>
      <w:r>
        <w:instrText xml:space="preserve"> HYPERLINK \l "_Toc20525" </w:instrText>
      </w:r>
      <w:r>
        <w:fldChar w:fldCharType="separate"/>
      </w:r>
      <w:r>
        <w:rPr>
          <w:rFonts w:hint="eastAsia" w:ascii="新宋体" w:hAnsi="新宋体" w:eastAsia="新宋体" w:cs="新宋体"/>
          <w:sz w:val="22"/>
          <w:szCs w:val="22"/>
        </w:rPr>
        <w:t>目  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_Toc20525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14BEF275">
      <w:pPr>
        <w:pStyle w:val="23"/>
        <w:tabs>
          <w:tab w:val="right" w:leader="dot" w:pos="9639"/>
        </w:tabs>
        <w:spacing w:line="460" w:lineRule="exact"/>
        <w:rPr>
          <w:rFonts w:ascii="新宋体" w:hAnsi="新宋体" w:eastAsia="新宋体" w:cs="新宋体"/>
          <w:sz w:val="22"/>
          <w:szCs w:val="22"/>
        </w:rPr>
      </w:pPr>
      <w:r>
        <w:fldChar w:fldCharType="begin"/>
      </w:r>
      <w:r>
        <w:instrText xml:space="preserve"> HYPERLINK \l "_Toc7129" </w:instrText>
      </w:r>
      <w:r>
        <w:fldChar w:fldCharType="separate"/>
      </w:r>
      <w:r>
        <w:rPr>
          <w:rFonts w:hint="eastAsia" w:ascii="新宋体" w:hAnsi="新宋体" w:eastAsia="新宋体" w:cs="新宋体"/>
          <w:bCs/>
          <w:sz w:val="22"/>
          <w:szCs w:val="22"/>
        </w:rPr>
        <w:t>招标公告</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_Toc7129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2B34BB6A">
      <w:pPr>
        <w:pStyle w:val="23"/>
        <w:tabs>
          <w:tab w:val="right" w:leader="dot" w:pos="9639"/>
        </w:tabs>
        <w:spacing w:line="460" w:lineRule="exact"/>
        <w:rPr>
          <w:rFonts w:ascii="新宋体" w:hAnsi="新宋体" w:eastAsia="新宋体" w:cs="新宋体"/>
          <w:sz w:val="22"/>
          <w:szCs w:val="22"/>
        </w:rPr>
      </w:pPr>
      <w:r>
        <w:fldChar w:fldCharType="begin"/>
      </w:r>
      <w:r>
        <w:instrText xml:space="preserve"> HYPERLINK \l "_Toc17097" </w:instrText>
      </w:r>
      <w:r>
        <w:fldChar w:fldCharType="separate"/>
      </w:r>
      <w:r>
        <w:rPr>
          <w:rFonts w:hint="eastAsia" w:ascii="新宋体" w:hAnsi="新宋体" w:eastAsia="新宋体" w:cs="新宋体"/>
          <w:bCs/>
          <w:sz w:val="22"/>
          <w:szCs w:val="22"/>
        </w:rPr>
        <w:t>第一部分   投标银行须知</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_Toc17097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1C18A513">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"_Toc26767" </w:instrText>
      </w:r>
      <w:r>
        <w:fldChar w:fldCharType="separate"/>
      </w:r>
      <w:r>
        <w:rPr>
          <w:rFonts w:hint="eastAsia" w:ascii="新宋体" w:hAnsi="新宋体" w:eastAsia="新宋体" w:cs="新宋体"/>
          <w:bCs/>
          <w:sz w:val="22"/>
          <w:szCs w:val="22"/>
        </w:rPr>
        <w:t>一、 说   明</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_Toc26767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016B439E">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"_Toc15915" </w:instrText>
      </w:r>
      <w:r>
        <w:fldChar w:fldCharType="separate"/>
      </w:r>
      <w:r>
        <w:rPr>
          <w:rFonts w:hint="eastAsia" w:ascii="新宋体" w:hAnsi="新宋体" w:eastAsia="新宋体" w:cs="新宋体"/>
          <w:bCs/>
          <w:sz w:val="22"/>
          <w:szCs w:val="22"/>
        </w:rPr>
        <w:t>二、 招标文件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_Toc15915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5</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2B4B5E6F">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"_Toc25724" </w:instrText>
      </w:r>
      <w:r>
        <w:fldChar w:fldCharType="separate"/>
      </w:r>
      <w:r>
        <w:rPr>
          <w:rFonts w:hint="eastAsia" w:ascii="新宋体" w:hAnsi="新宋体" w:eastAsia="新宋体" w:cs="新宋体"/>
          <w:bCs/>
          <w:sz w:val="22"/>
          <w:szCs w:val="22"/>
        </w:rPr>
        <w:t>三、 投标文件的编制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_Toc25724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6</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4C3731E2">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"_Toc18505" </w:instrText>
      </w:r>
      <w:r>
        <w:fldChar w:fldCharType="separate"/>
      </w:r>
      <w:r>
        <w:rPr>
          <w:rFonts w:hint="eastAsia" w:ascii="新宋体" w:hAnsi="新宋体" w:eastAsia="新宋体" w:cs="新宋体"/>
          <w:bCs/>
          <w:sz w:val="22"/>
          <w:szCs w:val="22"/>
        </w:rPr>
        <w:t>四、 投标文件的递交</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_Toc18505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7</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6F5B0F0B">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"_Toc29714" </w:instrText>
      </w:r>
      <w:r>
        <w:fldChar w:fldCharType="separate"/>
      </w:r>
      <w:r>
        <w:rPr>
          <w:rFonts w:hint="eastAsia" w:ascii="新宋体" w:hAnsi="新宋体" w:eastAsia="新宋体" w:cs="新宋体"/>
          <w:bCs/>
          <w:sz w:val="22"/>
          <w:szCs w:val="22"/>
        </w:rPr>
        <w:t>五、 开标和评标</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_Toc29714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8</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0404AEB9">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"_Toc6360" </w:instrText>
      </w:r>
      <w:r>
        <w:fldChar w:fldCharType="separate"/>
      </w:r>
      <w:r>
        <w:rPr>
          <w:rFonts w:hint="eastAsia" w:ascii="新宋体" w:hAnsi="新宋体" w:eastAsia="新宋体" w:cs="新宋体"/>
          <w:bCs/>
          <w:sz w:val="22"/>
          <w:szCs w:val="22"/>
        </w:rPr>
        <w:t>六、 授予合同</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_Toc6360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12</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7C26B72F">
      <w:pPr>
        <w:pStyle w:val="23"/>
        <w:tabs>
          <w:tab w:val="right" w:leader="dot" w:pos="9639"/>
        </w:tabs>
        <w:spacing w:line="460" w:lineRule="exact"/>
        <w:rPr>
          <w:rFonts w:ascii="新宋体" w:hAnsi="新宋体" w:eastAsia="新宋体" w:cs="新宋体"/>
          <w:sz w:val="22"/>
          <w:szCs w:val="22"/>
        </w:rPr>
      </w:pPr>
      <w:r>
        <w:fldChar w:fldCharType="begin"/>
      </w:r>
      <w:r>
        <w:instrText xml:space="preserve"> HYPERLINK \l "_Toc22502" </w:instrText>
      </w:r>
      <w:r>
        <w:fldChar w:fldCharType="separate"/>
      </w:r>
      <w:r>
        <w:rPr>
          <w:rFonts w:hint="eastAsia" w:ascii="新宋体" w:hAnsi="新宋体" w:eastAsia="新宋体" w:cs="新宋体"/>
          <w:bCs/>
          <w:sz w:val="22"/>
          <w:szCs w:val="22"/>
        </w:rPr>
        <w:t>第二部分   合同主要条款</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_Toc22502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13</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528FB3E0">
      <w:pPr>
        <w:pStyle w:val="23"/>
        <w:tabs>
          <w:tab w:val="right" w:leader="dot" w:pos="9639"/>
        </w:tabs>
        <w:spacing w:line="460" w:lineRule="exact"/>
        <w:rPr>
          <w:rFonts w:ascii="新宋体" w:hAnsi="新宋体" w:eastAsia="新宋体" w:cs="新宋体"/>
          <w:sz w:val="22"/>
          <w:szCs w:val="22"/>
        </w:rPr>
      </w:pPr>
      <w:r>
        <w:fldChar w:fldCharType="begin"/>
      </w:r>
      <w:r>
        <w:instrText xml:space="preserve"> HYPERLINK \l "_Toc23368" </w:instrText>
      </w:r>
      <w:r>
        <w:fldChar w:fldCharType="separate"/>
      </w:r>
      <w:r>
        <w:rPr>
          <w:rFonts w:hint="eastAsia" w:ascii="新宋体" w:hAnsi="新宋体" w:eastAsia="新宋体" w:cs="新宋体"/>
          <w:bCs/>
          <w:sz w:val="22"/>
          <w:szCs w:val="22"/>
        </w:rPr>
        <w:t>第三部分   附件</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_Toc23368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17</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56E8D035">
      <w:pPr>
        <w:pStyle w:val="23"/>
        <w:tabs>
          <w:tab w:val="right" w:leader="dot" w:pos="9639"/>
        </w:tabs>
        <w:spacing w:line="460" w:lineRule="exact"/>
        <w:rPr>
          <w:rFonts w:ascii="新宋体" w:hAnsi="新宋体" w:eastAsia="新宋体" w:cs="新宋体"/>
          <w:sz w:val="22"/>
          <w:szCs w:val="22"/>
        </w:rPr>
      </w:pPr>
      <w:r>
        <w:fldChar w:fldCharType="begin"/>
      </w:r>
      <w:r>
        <w:instrText xml:space="preserve"> HYPERLINK \l "_Toc20040" </w:instrText>
      </w:r>
      <w:r>
        <w:fldChar w:fldCharType="separate"/>
      </w:r>
      <w:r>
        <w:rPr>
          <w:rFonts w:hint="eastAsia" w:ascii="新宋体" w:hAnsi="新宋体" w:eastAsia="新宋体" w:cs="新宋体"/>
          <w:sz w:val="22"/>
          <w:szCs w:val="22"/>
        </w:rPr>
        <w:t>第四部分   招标内容及要求</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_Toc20040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29</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1F25511E">
      <w:pPr>
        <w:pStyle w:val="23"/>
        <w:tabs>
          <w:tab w:val="right" w:leader="dot" w:pos="9639"/>
        </w:tabs>
        <w:spacing w:line="460" w:lineRule="exact"/>
        <w:rPr>
          <w:rFonts w:ascii="新宋体" w:hAnsi="新宋体" w:eastAsia="新宋体" w:cs="新宋体"/>
          <w:sz w:val="22"/>
          <w:szCs w:val="22"/>
        </w:rPr>
      </w:pPr>
      <w:r>
        <w:fldChar w:fldCharType="begin"/>
      </w:r>
      <w:r>
        <w:instrText xml:space="preserve"> HYPERLINK \l "_Toc10184" </w:instrText>
      </w:r>
      <w:r>
        <w:fldChar w:fldCharType="separate"/>
      </w:r>
      <w:r>
        <w:rPr>
          <w:rFonts w:hint="eastAsia" w:ascii="新宋体" w:hAnsi="新宋体" w:eastAsia="新宋体" w:cs="新宋体"/>
          <w:sz w:val="22"/>
          <w:szCs w:val="22"/>
        </w:rPr>
        <w:t>第五部分   评标原则及方法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_Toc10184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31</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15A8C5DC">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"_Toc10547" </w:instrText>
      </w:r>
      <w:r>
        <w:fldChar w:fldCharType="separate"/>
      </w:r>
      <w:r>
        <w:rPr>
          <w:rFonts w:hint="eastAsia" w:ascii="新宋体" w:hAnsi="新宋体" w:eastAsia="新宋体" w:cs="新宋体"/>
          <w:sz w:val="22"/>
          <w:szCs w:val="22"/>
        </w:rPr>
        <w:t>一、总 则</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_Toc10547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31</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375DB27A">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"_Toc6299" </w:instrText>
      </w:r>
      <w:r>
        <w:fldChar w:fldCharType="separate"/>
      </w:r>
      <w:r>
        <w:rPr>
          <w:rFonts w:hint="eastAsia" w:ascii="新宋体" w:hAnsi="新宋体" w:eastAsia="新宋体" w:cs="新宋体"/>
          <w:sz w:val="22"/>
          <w:szCs w:val="22"/>
        </w:rPr>
        <w:t>二、评标组织</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_Toc6299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31</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50B5DBB5">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"_Toc15966" </w:instrText>
      </w:r>
      <w:r>
        <w:fldChar w:fldCharType="separate"/>
      </w:r>
      <w:r>
        <w:rPr>
          <w:rFonts w:hint="eastAsia" w:ascii="新宋体" w:hAnsi="新宋体" w:eastAsia="新宋体" w:cs="新宋体"/>
          <w:sz w:val="22"/>
          <w:szCs w:val="22"/>
        </w:rPr>
        <w:t>三、评标程序</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_Toc15966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31</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033EB189">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"_Toc17490" </w:instrText>
      </w:r>
      <w:r>
        <w:fldChar w:fldCharType="separate"/>
      </w:r>
      <w:r>
        <w:rPr>
          <w:rFonts w:hint="eastAsia" w:ascii="新宋体" w:hAnsi="新宋体" w:eastAsia="新宋体" w:cs="新宋体"/>
          <w:sz w:val="22"/>
          <w:szCs w:val="22"/>
        </w:rPr>
        <w:t>四、评标规则</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_Toc17490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31</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72BF608D">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"_Toc4906" </w:instrText>
      </w:r>
      <w:r>
        <w:fldChar w:fldCharType="separate"/>
      </w:r>
      <w:r>
        <w:rPr>
          <w:rFonts w:hint="eastAsia" w:ascii="新宋体" w:hAnsi="新宋体" w:eastAsia="新宋体" w:cs="新宋体"/>
          <w:bCs/>
          <w:sz w:val="22"/>
          <w:szCs w:val="22"/>
        </w:rPr>
        <w:t>五、定标办法</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_Toc4906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33</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14BDF596">
      <w:pPr>
        <w:pStyle w:val="26"/>
        <w:tabs>
          <w:tab w:val="right" w:leader="dot" w:pos="9639"/>
        </w:tabs>
        <w:spacing w:line="460" w:lineRule="exact"/>
        <w:rPr>
          <w:rFonts w:ascii="新宋体" w:hAnsi="新宋体" w:eastAsia="新宋体" w:cs="新宋体"/>
          <w:sz w:val="22"/>
          <w:szCs w:val="22"/>
        </w:rPr>
      </w:pPr>
      <w:r>
        <w:fldChar w:fldCharType="begin"/>
      </w:r>
      <w:r>
        <w:instrText xml:space="preserve"> HYPERLINK \l "_Toc28984" </w:instrText>
      </w:r>
      <w:r>
        <w:fldChar w:fldCharType="separate"/>
      </w:r>
      <w:r>
        <w:rPr>
          <w:rFonts w:hint="eastAsia" w:ascii="新宋体" w:hAnsi="新宋体" w:eastAsia="新宋体" w:cs="新宋体"/>
          <w:sz w:val="22"/>
          <w:szCs w:val="22"/>
        </w:rPr>
        <w:t>六、投标银行义务</w:t>
      </w:r>
      <w:r>
        <w:rPr>
          <w:rFonts w:hint="eastAsia" w:ascii="新宋体" w:hAnsi="新宋体" w:eastAsia="新宋体" w:cs="新宋体"/>
          <w:sz w:val="22"/>
          <w:szCs w:val="22"/>
        </w:rPr>
        <w:tab/>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PAGEREF _Toc28984 \h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33</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fldChar w:fldCharType="end"/>
      </w:r>
    </w:p>
    <w:p w14:paraId="4C5F8C42">
      <w:pPr>
        <w:spacing w:line="460" w:lineRule="exact"/>
        <w:jc w:val="center"/>
        <w:rPr>
          <w:rFonts w:ascii="新宋体" w:hAnsi="新宋体" w:eastAsia="新宋体" w:cs="新宋体"/>
          <w:b/>
          <w:sz w:val="22"/>
          <w:szCs w:val="22"/>
        </w:rPr>
      </w:pPr>
      <w:r>
        <w:rPr>
          <w:rFonts w:hint="eastAsia" w:ascii="新宋体" w:hAnsi="新宋体" w:eastAsia="新宋体" w:cs="新宋体"/>
          <w:sz w:val="22"/>
          <w:szCs w:val="22"/>
        </w:rPr>
        <w:fldChar w:fldCharType="end"/>
      </w:r>
    </w:p>
    <w:p w14:paraId="2BD601EF">
      <w:pPr>
        <w:spacing w:line="360" w:lineRule="auto"/>
        <w:jc w:val="center"/>
        <w:rPr>
          <w:rFonts w:ascii="新宋体" w:hAnsi="新宋体" w:eastAsia="新宋体" w:cs="新宋体"/>
          <w:b/>
          <w:sz w:val="22"/>
          <w:szCs w:val="22"/>
        </w:rPr>
      </w:pPr>
    </w:p>
    <w:p w14:paraId="643C9854">
      <w:pPr>
        <w:pStyle w:val="15"/>
        <w:spacing w:line="460" w:lineRule="exact"/>
        <w:ind w:left="-2" w:firstLine="0" w:firstLineChars="0"/>
        <w:jc w:val="center"/>
        <w:rPr>
          <w:rFonts w:ascii="新宋体" w:hAnsi="新宋体" w:eastAsia="新宋体" w:cs="新宋体"/>
          <w:spacing w:val="-15"/>
          <w:sz w:val="34"/>
          <w:szCs w:val="34"/>
        </w:rPr>
      </w:pPr>
      <w:r>
        <w:rPr>
          <w:rFonts w:hint="eastAsia" w:ascii="新宋体" w:hAnsi="新宋体" w:eastAsia="新宋体" w:cs="新宋体"/>
          <w:b/>
          <w:sz w:val="28"/>
          <w:szCs w:val="28"/>
        </w:rPr>
        <w:br w:type="page"/>
      </w:r>
      <w:bookmarkStart w:id="1" w:name="_Toc3544"/>
      <w:bookmarkStart w:id="2" w:name="_Toc14921"/>
    </w:p>
    <w:bookmarkEnd w:id="1"/>
    <w:bookmarkEnd w:id="2"/>
    <w:p w14:paraId="31041332">
      <w:pPr>
        <w:spacing w:line="460" w:lineRule="exact"/>
        <w:jc w:val="center"/>
        <w:outlineLvl w:val="0"/>
        <w:rPr>
          <w:rFonts w:ascii="新宋体" w:hAnsi="新宋体" w:eastAsia="新宋体" w:cs="新宋体"/>
          <w:b/>
          <w:bCs/>
          <w:sz w:val="28"/>
          <w:szCs w:val="28"/>
        </w:rPr>
      </w:pPr>
      <w:bookmarkStart w:id="3" w:name="_Toc7129"/>
      <w:r>
        <w:rPr>
          <w:rFonts w:hint="eastAsia" w:ascii="新宋体" w:hAnsi="新宋体" w:eastAsia="新宋体" w:cs="新宋体"/>
          <w:b/>
          <w:bCs/>
          <w:sz w:val="28"/>
          <w:szCs w:val="28"/>
        </w:rPr>
        <w:t>温州市龙湾区城市建设中心(温州市龙湾区土地储备中心)公款竞争性存放招标公告</w:t>
      </w:r>
      <w:bookmarkEnd w:id="3"/>
    </w:p>
    <w:p w14:paraId="68FBE948">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根据《关于防止领导干部在公款存放方面发生利益冲突和利益输送的办法》(浙委办发〔2015〕8号)、《关于印发龙湾区行政事业单位公款竞争性存放管理办法的通知》温龙政办发〔2022〕30号等文件精神，</w:t>
      </w:r>
      <w:r>
        <w:rPr>
          <w:rFonts w:hint="eastAsia" w:ascii="新宋体" w:hAnsi="新宋体" w:eastAsia="新宋体" w:cs="新宋体"/>
          <w:kern w:val="0"/>
          <w:sz w:val="22"/>
          <w:szCs w:val="22"/>
        </w:rPr>
        <w:t>温州世诺招标代理有限公司受温州市龙湾区城市建设中心(温州市龙湾区土地储备中心)委托，就温州市龙湾区城市建设中心(温州市龙湾区土地储备中心)公款竞争性存放项目决定开展公款存放招标工作，</w:t>
      </w:r>
      <w:r>
        <w:rPr>
          <w:rFonts w:hint="eastAsia" w:ascii="新宋体" w:hAnsi="新宋体" w:eastAsia="新宋体" w:cs="新宋体"/>
          <w:sz w:val="22"/>
          <w:szCs w:val="22"/>
        </w:rPr>
        <w:t>欢迎符合条件的银行机构参加投标。</w:t>
      </w:r>
    </w:p>
    <w:p w14:paraId="4B577280">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一、招标人名称：</w:t>
      </w:r>
      <w:r>
        <w:rPr>
          <w:rFonts w:hint="eastAsia" w:ascii="新宋体" w:hAnsi="新宋体" w:eastAsia="新宋体" w:cs="新宋体"/>
          <w:sz w:val="22"/>
          <w:szCs w:val="22"/>
        </w:rPr>
        <w:t>温州市龙湾区城市建设中心(温州市龙湾区土地储备中心)</w:t>
      </w:r>
    </w:p>
    <w:p w14:paraId="3DEDE897">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二、招标项目名称：</w:t>
      </w:r>
      <w:r>
        <w:rPr>
          <w:rFonts w:hint="eastAsia" w:ascii="新宋体" w:hAnsi="新宋体" w:eastAsia="新宋体" w:cs="新宋体"/>
          <w:sz w:val="22"/>
          <w:szCs w:val="22"/>
        </w:rPr>
        <w:t>温州市龙湾区城市建设中心(温州市龙湾区土地储备中心)公款竞争性存放</w:t>
      </w:r>
    </w:p>
    <w:p w14:paraId="226926CB">
      <w:pPr>
        <w:spacing w:line="460" w:lineRule="exact"/>
        <w:ind w:firstLine="442" w:firstLineChars="200"/>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rPr>
        <w:t>三、项目编号：</w:t>
      </w:r>
      <w:r>
        <w:rPr>
          <w:rFonts w:hint="eastAsia" w:ascii="新宋体" w:hAnsi="新宋体" w:eastAsia="新宋体" w:cs="新宋体"/>
          <w:sz w:val="22"/>
          <w:szCs w:val="22"/>
          <w:lang w:eastAsia="zh-CN"/>
        </w:rPr>
        <w:t>wzsn202572</w:t>
      </w:r>
    </w:p>
    <w:p w14:paraId="50C7F9F9">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四、招标项目内容：</w:t>
      </w:r>
    </w:p>
    <w:p w14:paraId="7E09CD29">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温州市龙湾区城市建设中心(温州市龙湾区土地储备中心)公款存放，</w:t>
      </w:r>
      <w:r>
        <w:rPr>
          <w:rFonts w:hint="eastAsia" w:ascii="新宋体" w:hAnsi="新宋体" w:eastAsia="新宋体" w:cs="新宋体"/>
          <w:sz w:val="22"/>
        </w:rPr>
        <w:t>存款资金：</w:t>
      </w:r>
      <w:r>
        <w:rPr>
          <w:rFonts w:ascii="新宋体" w:hAnsi="新宋体" w:eastAsia="新宋体" w:cs="新宋体"/>
          <w:color w:val="0000FF"/>
          <w:sz w:val="22"/>
        </w:rPr>
        <w:t>518</w:t>
      </w:r>
      <w:r>
        <w:rPr>
          <w:rFonts w:hint="eastAsia" w:ascii="新宋体" w:hAnsi="新宋体" w:eastAsia="新宋体" w:cs="新宋体"/>
          <w:color w:val="0000FF"/>
          <w:sz w:val="22"/>
        </w:rPr>
        <w:t>万元</w:t>
      </w:r>
      <w:r>
        <w:rPr>
          <w:rFonts w:hint="eastAsia" w:ascii="新宋体" w:hAnsi="新宋体" w:eastAsia="新宋体" w:cs="新宋体"/>
          <w:sz w:val="22"/>
        </w:rPr>
        <w:t>，定期存款期限：12个月，通过公开招标方式选择1家银行做为公款定期存放单位。（</w:t>
      </w:r>
      <w:r>
        <w:rPr>
          <w:rFonts w:hint="eastAsia" w:ascii="宋体"/>
          <w:sz w:val="22"/>
        </w:rPr>
        <w:t>中标人可按就近原则，由属地分支机构承担本项工作。</w:t>
      </w:r>
      <w:r>
        <w:rPr>
          <w:rFonts w:hint="eastAsia" w:ascii="新宋体" w:hAnsi="新宋体" w:eastAsia="新宋体" w:cs="新宋体"/>
          <w:sz w:val="22"/>
        </w:rPr>
        <w:t>）</w:t>
      </w:r>
    </w:p>
    <w:p w14:paraId="0EABB810">
      <w:pPr>
        <w:widowControl/>
        <w:snapToGrid w:val="0"/>
        <w:spacing w:line="460" w:lineRule="exact"/>
        <w:ind w:firstLine="442" w:firstLineChars="200"/>
        <w:jc w:val="left"/>
        <w:rPr>
          <w:rFonts w:ascii="新宋体" w:hAnsi="新宋体" w:eastAsia="新宋体" w:cs="新宋体"/>
          <w:b/>
          <w:bCs/>
          <w:sz w:val="22"/>
          <w:szCs w:val="22"/>
        </w:rPr>
      </w:pPr>
      <w:r>
        <w:rPr>
          <w:rFonts w:hint="eastAsia" w:ascii="新宋体" w:hAnsi="新宋体" w:eastAsia="新宋体" w:cs="新宋体"/>
          <w:b/>
          <w:bCs/>
          <w:sz w:val="22"/>
          <w:szCs w:val="22"/>
        </w:rPr>
        <w:t>五、投标银行资格要求：</w:t>
      </w:r>
    </w:p>
    <w:p w14:paraId="2510FE03">
      <w:pPr>
        <w:tabs>
          <w:tab w:val="left" w:pos="360"/>
        </w:tabs>
        <w:spacing w:line="400" w:lineRule="exact"/>
        <w:ind w:left="440" w:hanging="440" w:hangingChars="200"/>
        <w:rPr>
          <w:rFonts w:ascii="宋体" w:hAnsi="宋体"/>
          <w:sz w:val="22"/>
        </w:rPr>
      </w:pPr>
      <w:r>
        <w:rPr>
          <w:rFonts w:hint="eastAsia" w:ascii="宋体" w:hAnsi="宋体"/>
          <w:sz w:val="22"/>
        </w:rPr>
        <w:t xml:space="preserve">1.  </w:t>
      </w:r>
      <w:r>
        <w:rPr>
          <w:rFonts w:ascii="宋体" w:hAnsi="宋体"/>
          <w:sz w:val="22"/>
        </w:rPr>
        <w:t>中华人民共和国境内依法设立的商业银行、农村信用合作联社等银行业金融机构</w:t>
      </w:r>
      <w:r>
        <w:rPr>
          <w:rFonts w:hint="eastAsia" w:ascii="宋体" w:hAnsi="宋体"/>
          <w:sz w:val="22"/>
        </w:rPr>
        <w:t>；</w:t>
      </w:r>
    </w:p>
    <w:p w14:paraId="68A1F567">
      <w:pPr>
        <w:tabs>
          <w:tab w:val="left" w:pos="360"/>
        </w:tabs>
        <w:spacing w:line="400" w:lineRule="exact"/>
        <w:ind w:left="440" w:hanging="440" w:hangingChars="200"/>
        <w:rPr>
          <w:rFonts w:ascii="宋体" w:hAnsi="宋体"/>
          <w:sz w:val="22"/>
        </w:rPr>
      </w:pPr>
      <w:r>
        <w:rPr>
          <w:rFonts w:ascii="宋体" w:hAnsi="宋体"/>
          <w:sz w:val="22"/>
        </w:rPr>
        <w:t>2</w:t>
      </w:r>
      <w:r>
        <w:rPr>
          <w:rFonts w:hint="eastAsia" w:ascii="宋体" w:hAnsi="宋体"/>
          <w:sz w:val="22"/>
        </w:rPr>
        <w:t xml:space="preserve">.  </w:t>
      </w:r>
      <w:r>
        <w:rPr>
          <w:rFonts w:ascii="宋体" w:hAnsi="宋体"/>
          <w:sz w:val="22"/>
        </w:rPr>
        <w:t>在</w:t>
      </w:r>
      <w:r>
        <w:rPr>
          <w:rFonts w:hint="eastAsia" w:ascii="宋体" w:hAnsi="宋体"/>
          <w:sz w:val="22"/>
        </w:rPr>
        <w:t>温州</w:t>
      </w:r>
      <w:r>
        <w:rPr>
          <w:rFonts w:ascii="宋体" w:hAnsi="宋体"/>
          <w:sz w:val="22"/>
        </w:rPr>
        <w:t>市</w:t>
      </w:r>
      <w:r>
        <w:rPr>
          <w:rFonts w:hint="eastAsia" w:ascii="宋体" w:hAnsi="宋体"/>
          <w:sz w:val="22"/>
        </w:rPr>
        <w:t>龙湾区</w:t>
      </w:r>
      <w:r>
        <w:rPr>
          <w:rFonts w:ascii="宋体" w:hAnsi="宋体"/>
          <w:sz w:val="22"/>
        </w:rPr>
        <w:t>设有分支机构；</w:t>
      </w:r>
    </w:p>
    <w:p w14:paraId="539E3D70">
      <w:pPr>
        <w:tabs>
          <w:tab w:val="left" w:pos="360"/>
        </w:tabs>
        <w:spacing w:line="400" w:lineRule="exact"/>
        <w:ind w:left="440" w:hanging="440" w:hangingChars="200"/>
        <w:rPr>
          <w:rFonts w:ascii="宋体" w:hAnsi="宋体"/>
          <w:sz w:val="22"/>
        </w:rPr>
      </w:pPr>
      <w:r>
        <w:rPr>
          <w:rFonts w:ascii="宋体" w:hAnsi="宋体"/>
          <w:sz w:val="22"/>
        </w:rPr>
        <w:t>3.  依法开展经营活动，近3年内在经营活动中无重大违法违规记录及重大违约事件；</w:t>
      </w:r>
    </w:p>
    <w:p w14:paraId="0E446B28">
      <w:pPr>
        <w:tabs>
          <w:tab w:val="left" w:pos="360"/>
        </w:tabs>
        <w:spacing w:line="440" w:lineRule="exact"/>
        <w:ind w:left="440" w:hanging="440" w:hangingChars="200"/>
        <w:rPr>
          <w:rFonts w:ascii="宋体" w:hAnsi="宋体"/>
          <w:sz w:val="22"/>
        </w:rPr>
      </w:pPr>
      <w:r>
        <w:rPr>
          <w:rFonts w:ascii="宋体" w:hAnsi="宋体"/>
          <w:sz w:val="22"/>
        </w:rPr>
        <w:t xml:space="preserve">4.  </w:t>
      </w:r>
      <w:r>
        <w:rPr>
          <w:rFonts w:hint="eastAsia" w:ascii="宋体" w:hAnsi="宋体"/>
          <w:sz w:val="22"/>
        </w:rPr>
        <w:t>内部管理机制健全，具有较强的风险控制能力；</w:t>
      </w:r>
    </w:p>
    <w:p w14:paraId="46EA1DC5">
      <w:pPr>
        <w:tabs>
          <w:tab w:val="left" w:pos="360"/>
        </w:tabs>
        <w:spacing w:line="400" w:lineRule="exact"/>
        <w:ind w:left="440" w:hanging="440" w:hangingChars="200"/>
        <w:rPr>
          <w:rFonts w:ascii="宋体" w:hAnsi="宋体"/>
          <w:sz w:val="22"/>
        </w:rPr>
      </w:pPr>
      <w:r>
        <w:rPr>
          <w:rFonts w:ascii="宋体" w:hAnsi="宋体"/>
          <w:sz w:val="22"/>
        </w:rPr>
        <w:t>5.  纳入人民银行综合评价的银行，人民银行上年度综合评价应达到B级及以上，不纳入人民银行综合评价范围的银行不受此限制</w:t>
      </w:r>
      <w:r>
        <w:rPr>
          <w:rFonts w:hint="eastAsia" w:ascii="宋体" w:hAnsi="宋体"/>
          <w:sz w:val="22"/>
        </w:rPr>
        <w:t>；</w:t>
      </w:r>
    </w:p>
    <w:p w14:paraId="6D665CD0">
      <w:pPr>
        <w:tabs>
          <w:tab w:val="left" w:pos="360"/>
        </w:tabs>
        <w:spacing w:line="440" w:lineRule="exact"/>
        <w:ind w:left="440" w:hanging="440" w:hangingChars="200"/>
        <w:rPr>
          <w:rFonts w:ascii="宋体" w:hAnsi="宋体"/>
          <w:sz w:val="22"/>
        </w:rPr>
      </w:pPr>
      <w:bookmarkStart w:id="4" w:name="_Hlk181347973"/>
      <w:r>
        <w:rPr>
          <w:rFonts w:ascii="宋体" w:hAnsi="宋体"/>
          <w:sz w:val="22"/>
        </w:rPr>
        <w:t>6</w:t>
      </w:r>
      <w:r>
        <w:rPr>
          <w:rFonts w:hint="eastAsia" w:ascii="宋体" w:hAnsi="宋体"/>
          <w:sz w:val="22"/>
        </w:rPr>
        <w:t>.  每家银行只能有一个主体参与投标，参与投标主体为温州市级分行的下级机构的，则必须取得该行针对本项目的唯一授权；</w:t>
      </w:r>
    </w:p>
    <w:p w14:paraId="4EFC63FD">
      <w:pPr>
        <w:tabs>
          <w:tab w:val="left" w:pos="360"/>
        </w:tabs>
        <w:spacing w:line="440" w:lineRule="exact"/>
        <w:ind w:left="440" w:hanging="440" w:hangingChars="200"/>
        <w:rPr>
          <w:rFonts w:ascii="宋体" w:hAnsi="宋体"/>
          <w:sz w:val="22"/>
        </w:rPr>
      </w:pPr>
      <w:r>
        <w:rPr>
          <w:rFonts w:ascii="宋体" w:hAnsi="宋体"/>
          <w:sz w:val="22"/>
        </w:rPr>
        <w:t>7</w:t>
      </w:r>
      <w:r>
        <w:rPr>
          <w:rFonts w:hint="eastAsia" w:ascii="宋体" w:hAnsi="宋体"/>
          <w:sz w:val="22"/>
        </w:rPr>
        <w:t>.  参与投标的主体为温州地区农村信用合作社、农村商业银行、农村合作银行的，则必须获得浙江农村商业联合银行股份有限公司温州管理部出具的唯一授权；</w:t>
      </w:r>
    </w:p>
    <w:bookmarkEnd w:id="4"/>
    <w:p w14:paraId="719E60D0">
      <w:pPr>
        <w:tabs>
          <w:tab w:val="left" w:pos="360"/>
        </w:tabs>
        <w:spacing w:line="440" w:lineRule="exact"/>
        <w:ind w:left="440" w:hanging="440" w:hangingChars="200"/>
        <w:rPr>
          <w:rFonts w:ascii="宋体" w:hAnsi="宋体"/>
          <w:sz w:val="22"/>
        </w:rPr>
      </w:pPr>
      <w:r>
        <w:rPr>
          <w:rFonts w:hint="eastAsia" w:ascii="宋体" w:hAnsi="宋体"/>
          <w:sz w:val="22"/>
        </w:rPr>
        <w:t>8.  不接受联合体投标。</w:t>
      </w:r>
    </w:p>
    <w:p w14:paraId="58E76D00">
      <w:pPr>
        <w:widowControl/>
        <w:snapToGrid w:val="0"/>
        <w:spacing w:line="460" w:lineRule="exact"/>
        <w:ind w:firstLine="442" w:firstLineChars="200"/>
        <w:jc w:val="left"/>
        <w:rPr>
          <w:rFonts w:ascii="新宋体" w:hAnsi="新宋体" w:eastAsia="新宋体" w:cs="新宋体"/>
          <w:b/>
          <w:bCs/>
          <w:sz w:val="22"/>
          <w:szCs w:val="22"/>
        </w:rPr>
      </w:pPr>
      <w:r>
        <w:rPr>
          <w:rFonts w:hint="eastAsia" w:ascii="新宋体" w:hAnsi="新宋体" w:eastAsia="新宋体" w:cs="新宋体"/>
          <w:b/>
          <w:bCs/>
          <w:sz w:val="22"/>
          <w:szCs w:val="22"/>
        </w:rPr>
        <w:t>六、投标报名：</w:t>
      </w:r>
    </w:p>
    <w:p w14:paraId="129C6DBA">
      <w:pPr>
        <w:pStyle w:val="28"/>
        <w:spacing w:before="0" w:beforeAutospacing="0" w:after="0" w:afterAutospacing="0"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1、报名时间：2025年</w:t>
      </w: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日起至2025年</w:t>
      </w: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10</w:t>
      </w:r>
      <w:r>
        <w:rPr>
          <w:rFonts w:hint="eastAsia" w:ascii="新宋体" w:hAnsi="新宋体" w:eastAsia="新宋体" w:cs="新宋体"/>
          <w:sz w:val="22"/>
          <w:szCs w:val="22"/>
        </w:rPr>
        <w:t>日止（上午9：00-11：30，下午2：00-5：00，法定休息日除外）（递交投标文件截止之前获取招标文件均有效，未获取招标文件的潜在投标银行拒绝参加投标）</w:t>
      </w:r>
    </w:p>
    <w:p w14:paraId="6B0F44A7">
      <w:pPr>
        <w:pStyle w:val="28"/>
        <w:spacing w:before="0" w:beforeAutospacing="0" w:after="0" w:afterAutospacing="0"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报名方式：本项目实行网上报名，不接受现场报名。报名银行须登录政府采购云平台（https：//www.zcygov.cn），进入公款竞争性存放招标系统（以下简称“招标系统”），在竞标项目内按规定进行报名。报名成功后联系人会收到短信通知，逾期报名视为未报名。（公告规定的招标文件获取方式为依法获取招标文件的方式，未按照公告规定的方式获取招标文件的，不得对招标文件提起质疑、投诉。）</w:t>
      </w:r>
    </w:p>
    <w:p w14:paraId="1905C87A">
      <w:pPr>
        <w:pStyle w:val="28"/>
        <w:spacing w:before="0" w:beforeAutospacing="0" w:after="0" w:afterAutospacing="0" w:line="460" w:lineRule="exact"/>
        <w:ind w:firstLine="495"/>
        <w:rPr>
          <w:rFonts w:ascii="新宋体" w:hAnsi="新宋体" w:eastAsia="新宋体" w:cs="新宋体"/>
          <w:sz w:val="22"/>
          <w:szCs w:val="22"/>
        </w:rPr>
      </w:pPr>
      <w:r>
        <w:rPr>
          <w:rFonts w:hint="eastAsia" w:ascii="新宋体" w:hAnsi="新宋体" w:eastAsia="新宋体" w:cs="新宋体"/>
          <w:sz w:val="22"/>
          <w:szCs w:val="22"/>
        </w:rPr>
        <w:t>3、招标文件获取方式：报名成功后可在线直接获取。</w:t>
      </w:r>
    </w:p>
    <w:p w14:paraId="77C4A099">
      <w:pPr>
        <w:widowControl/>
        <w:snapToGrid w:val="0"/>
        <w:spacing w:line="460" w:lineRule="exact"/>
        <w:ind w:firstLine="442" w:firstLineChars="200"/>
        <w:jc w:val="left"/>
        <w:rPr>
          <w:rFonts w:ascii="新宋体" w:hAnsi="新宋体" w:eastAsia="新宋体" w:cs="新宋体"/>
          <w:sz w:val="22"/>
          <w:szCs w:val="22"/>
        </w:rPr>
      </w:pPr>
      <w:r>
        <w:rPr>
          <w:rFonts w:hint="eastAsia" w:ascii="新宋体" w:hAnsi="新宋体" w:eastAsia="新宋体" w:cs="新宋体"/>
          <w:b/>
          <w:bCs/>
          <w:sz w:val="22"/>
          <w:szCs w:val="22"/>
        </w:rPr>
        <w:t>七、投标截止时间：</w:t>
      </w:r>
      <w:r>
        <w:rPr>
          <w:rFonts w:hint="eastAsia" w:ascii="新宋体" w:hAnsi="新宋体" w:eastAsia="新宋体" w:cs="新宋体"/>
          <w:sz w:val="22"/>
          <w:szCs w:val="22"/>
        </w:rPr>
        <w:t>2025年</w:t>
      </w: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11</w:t>
      </w:r>
      <w:r>
        <w:rPr>
          <w:rFonts w:hint="eastAsia" w:ascii="新宋体" w:hAnsi="新宋体" w:eastAsia="新宋体" w:cs="新宋体"/>
          <w:sz w:val="22"/>
          <w:szCs w:val="22"/>
        </w:rPr>
        <w:t>日</w:t>
      </w:r>
      <w:r>
        <w:rPr>
          <w:rFonts w:hint="eastAsia" w:ascii="新宋体" w:hAnsi="新宋体" w:eastAsia="新宋体" w:cs="新宋体"/>
          <w:sz w:val="22"/>
          <w:szCs w:val="22"/>
          <w:lang w:val="en-US" w:eastAsia="zh-CN"/>
        </w:rPr>
        <w:t>9</w:t>
      </w: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0</w:t>
      </w:r>
    </w:p>
    <w:p w14:paraId="5277A8AA">
      <w:pPr>
        <w:widowControl/>
        <w:snapToGrid w:val="0"/>
        <w:spacing w:line="460" w:lineRule="exact"/>
        <w:ind w:firstLine="442" w:firstLineChars="200"/>
        <w:jc w:val="left"/>
        <w:rPr>
          <w:rFonts w:ascii="新宋体" w:hAnsi="新宋体" w:eastAsia="新宋体" w:cs="新宋体"/>
          <w:sz w:val="22"/>
          <w:szCs w:val="22"/>
        </w:rPr>
      </w:pPr>
      <w:r>
        <w:rPr>
          <w:rFonts w:hint="eastAsia" w:ascii="新宋体" w:hAnsi="新宋体" w:eastAsia="新宋体" w:cs="新宋体"/>
          <w:b/>
          <w:bCs/>
          <w:sz w:val="22"/>
          <w:szCs w:val="22"/>
        </w:rPr>
        <w:t>八、投标地点：</w:t>
      </w:r>
      <w:r>
        <w:rPr>
          <w:rFonts w:hint="eastAsia" w:ascii="新宋体" w:hAnsi="新宋体" w:eastAsia="新宋体" w:cs="新宋体"/>
          <w:sz w:val="22"/>
          <w:szCs w:val="22"/>
        </w:rPr>
        <w:t>本项目实行网上电子投标，投标人应在投标截止时间前登录政府采购云平台，进入招标系统，按规定进行投标。</w:t>
      </w:r>
    </w:p>
    <w:p w14:paraId="48249EB2">
      <w:pPr>
        <w:widowControl/>
        <w:snapToGrid w:val="0"/>
        <w:spacing w:line="460" w:lineRule="exact"/>
        <w:ind w:firstLine="442" w:firstLineChars="200"/>
        <w:jc w:val="left"/>
        <w:rPr>
          <w:rFonts w:ascii="新宋体" w:hAnsi="新宋体" w:eastAsia="新宋体" w:cs="新宋体"/>
          <w:sz w:val="22"/>
          <w:szCs w:val="22"/>
        </w:rPr>
      </w:pPr>
      <w:r>
        <w:rPr>
          <w:rFonts w:hint="eastAsia" w:ascii="新宋体" w:hAnsi="新宋体" w:eastAsia="新宋体" w:cs="新宋体"/>
          <w:b/>
          <w:bCs/>
          <w:sz w:val="22"/>
          <w:szCs w:val="22"/>
        </w:rPr>
        <w:t>九、开标时间：</w:t>
      </w:r>
      <w:r>
        <w:rPr>
          <w:rFonts w:hint="eastAsia" w:ascii="新宋体" w:hAnsi="新宋体" w:eastAsia="新宋体" w:cs="新宋体"/>
          <w:sz w:val="22"/>
          <w:szCs w:val="22"/>
        </w:rPr>
        <w:t>2025年</w:t>
      </w: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rPr>
        <w:t>月</w:t>
      </w:r>
      <w:r>
        <w:rPr>
          <w:rFonts w:hint="eastAsia" w:ascii="新宋体" w:hAnsi="新宋体" w:eastAsia="新宋体" w:cs="新宋体"/>
          <w:sz w:val="22"/>
          <w:szCs w:val="22"/>
          <w:lang w:val="en-US" w:eastAsia="zh-CN"/>
        </w:rPr>
        <w:t>11</w:t>
      </w:r>
      <w:r>
        <w:rPr>
          <w:rFonts w:hint="eastAsia" w:ascii="新宋体" w:hAnsi="新宋体" w:eastAsia="新宋体" w:cs="新宋体"/>
          <w:sz w:val="22"/>
          <w:szCs w:val="22"/>
        </w:rPr>
        <w:t>日</w:t>
      </w:r>
      <w:r>
        <w:rPr>
          <w:rFonts w:hint="eastAsia" w:ascii="新宋体" w:hAnsi="新宋体" w:eastAsia="新宋体" w:cs="新宋体"/>
          <w:sz w:val="22"/>
          <w:szCs w:val="22"/>
          <w:lang w:val="en-US" w:eastAsia="zh-CN"/>
        </w:rPr>
        <w:t>9</w:t>
      </w: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0</w:t>
      </w:r>
    </w:p>
    <w:p w14:paraId="3F4640CD">
      <w:pPr>
        <w:widowControl/>
        <w:snapToGrid w:val="0"/>
        <w:spacing w:line="460" w:lineRule="exact"/>
        <w:ind w:firstLine="442" w:firstLineChars="200"/>
        <w:jc w:val="left"/>
        <w:rPr>
          <w:rFonts w:ascii="新宋体" w:hAnsi="新宋体" w:eastAsia="新宋体" w:cs="新宋体"/>
          <w:sz w:val="22"/>
          <w:szCs w:val="22"/>
        </w:rPr>
      </w:pPr>
      <w:r>
        <w:rPr>
          <w:rFonts w:hint="eastAsia" w:ascii="新宋体" w:hAnsi="新宋体" w:eastAsia="新宋体" w:cs="新宋体"/>
          <w:b/>
          <w:bCs/>
          <w:sz w:val="22"/>
          <w:szCs w:val="22"/>
        </w:rPr>
        <w:t>十、开标地点：</w:t>
      </w:r>
      <w:r>
        <w:rPr>
          <w:rFonts w:hint="eastAsia" w:ascii="新宋体" w:hAnsi="新宋体" w:eastAsia="新宋体" w:cs="新宋体"/>
          <w:sz w:val="22"/>
          <w:szCs w:val="22"/>
        </w:rPr>
        <w:t>龙湾区凯悦园9栋704温州世诺招标代理有限公司（</w:t>
      </w:r>
      <w:r>
        <w:rPr>
          <w:rFonts w:hint="eastAsia" w:ascii="新宋体" w:hAnsi="新宋体" w:eastAsia="新宋体" w:cs="新宋体"/>
          <w:sz w:val="22"/>
        </w:rPr>
        <w:t>政采云平台：http：//zfcg.czt.zj.gov.cn</w:t>
      </w:r>
      <w:r>
        <w:rPr>
          <w:rFonts w:hint="eastAsia" w:ascii="新宋体" w:hAnsi="新宋体" w:eastAsia="新宋体" w:cs="新宋体"/>
          <w:sz w:val="22"/>
          <w:szCs w:val="22"/>
        </w:rPr>
        <w:t>）</w:t>
      </w:r>
    </w:p>
    <w:p w14:paraId="7FFE378B">
      <w:pPr>
        <w:widowControl/>
        <w:snapToGrid w:val="0"/>
        <w:spacing w:line="460" w:lineRule="exact"/>
        <w:ind w:firstLine="442" w:firstLineChars="200"/>
        <w:jc w:val="left"/>
        <w:rPr>
          <w:rFonts w:ascii="新宋体" w:hAnsi="新宋体" w:eastAsia="新宋体" w:cs="新宋体"/>
          <w:b/>
          <w:bCs/>
          <w:sz w:val="22"/>
          <w:szCs w:val="22"/>
        </w:rPr>
      </w:pPr>
      <w:r>
        <w:rPr>
          <w:rFonts w:hint="eastAsia" w:ascii="新宋体" w:hAnsi="新宋体" w:eastAsia="新宋体" w:cs="新宋体"/>
          <w:b/>
          <w:bCs/>
          <w:sz w:val="22"/>
          <w:szCs w:val="22"/>
        </w:rPr>
        <w:t>十一、其他事项：</w:t>
      </w:r>
    </w:p>
    <w:p w14:paraId="1696ACA0">
      <w:pPr>
        <w:widowControl/>
        <w:snapToGrid w:val="0"/>
        <w:spacing w:line="460" w:lineRule="exact"/>
        <w:ind w:firstLine="440" w:firstLineChars="200"/>
        <w:jc w:val="left"/>
        <w:rPr>
          <w:rFonts w:ascii="新宋体" w:hAnsi="新宋体" w:eastAsia="新宋体" w:cs="新宋体"/>
          <w:sz w:val="22"/>
          <w:szCs w:val="22"/>
        </w:rPr>
      </w:pPr>
      <w:r>
        <w:rPr>
          <w:rFonts w:hint="eastAsia" w:ascii="新宋体" w:hAnsi="新宋体" w:eastAsia="新宋体" w:cs="新宋体"/>
          <w:sz w:val="22"/>
          <w:szCs w:val="22"/>
        </w:rPr>
        <w:t>报名时须提交以下文件资料：</w:t>
      </w:r>
    </w:p>
    <w:p w14:paraId="34E3A0D1">
      <w:pPr>
        <w:widowControl/>
        <w:snapToGrid w:val="0"/>
        <w:spacing w:line="460" w:lineRule="exact"/>
        <w:ind w:firstLine="440" w:firstLineChars="200"/>
        <w:jc w:val="left"/>
        <w:rPr>
          <w:rFonts w:ascii="新宋体" w:hAnsi="新宋体" w:eastAsia="新宋体" w:cs="新宋体"/>
          <w:sz w:val="22"/>
          <w:szCs w:val="22"/>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）投标人法定代表人（或法定负责人）特别授权委托书；</w:t>
      </w:r>
    </w:p>
    <w:p w14:paraId="77E7A548">
      <w:pPr>
        <w:widowControl/>
        <w:snapToGrid w:val="0"/>
        <w:spacing w:line="460" w:lineRule="exact"/>
        <w:ind w:firstLine="440" w:firstLineChars="200"/>
        <w:jc w:val="left"/>
        <w:rPr>
          <w:rFonts w:ascii="新宋体" w:hAnsi="新宋体" w:eastAsia="新宋体" w:cs="新宋体"/>
          <w:sz w:val="22"/>
          <w:szCs w:val="22"/>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）投标人有效的营业执照（复印件加盖公章）；</w:t>
      </w:r>
    </w:p>
    <w:p w14:paraId="26922D5E">
      <w:pPr>
        <w:widowControl/>
        <w:snapToGrid w:val="0"/>
        <w:spacing w:line="460" w:lineRule="exact"/>
        <w:ind w:firstLine="440" w:firstLineChars="200"/>
        <w:jc w:val="left"/>
        <w:rPr>
          <w:rFonts w:ascii="新宋体" w:hAnsi="新宋体" w:eastAsia="新宋体" w:cs="新宋体"/>
          <w:sz w:val="22"/>
          <w:szCs w:val="22"/>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）在龙湾区范围内设立的分支机构（不含社区网点、自助网点）营业执照复印件</w:t>
      </w:r>
    </w:p>
    <w:p w14:paraId="1C5F9E06">
      <w:pPr>
        <w:widowControl/>
        <w:snapToGrid w:val="0"/>
        <w:spacing w:line="460" w:lineRule="exact"/>
        <w:ind w:firstLine="440" w:firstLineChars="200"/>
        <w:jc w:val="left"/>
        <w:rPr>
          <w:rFonts w:ascii="新宋体" w:hAnsi="新宋体" w:eastAsia="新宋体" w:cs="新宋体"/>
          <w:sz w:val="22"/>
          <w:szCs w:val="22"/>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rPr>
        <w:t>）上年度人民银行年度综合评价为B级及以上（不纳入人民银行评级范围的银行不受此限制）；</w:t>
      </w:r>
    </w:p>
    <w:p w14:paraId="096474EA">
      <w:pPr>
        <w:widowControl/>
        <w:snapToGrid w:val="0"/>
        <w:spacing w:line="460" w:lineRule="exact"/>
        <w:ind w:firstLine="440" w:firstLineChars="200"/>
        <w:jc w:val="left"/>
        <w:rPr>
          <w:rFonts w:ascii="新宋体" w:hAnsi="新宋体" w:eastAsia="新宋体" w:cs="新宋体"/>
          <w:sz w:val="22"/>
          <w:szCs w:val="22"/>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rPr>
        <w:t>）如为温州市分支机构需提供总行或温州市分行唯一授权，温州市域农村商业银行（温州地区农村信用合作联社、农村商业银行、农村合作银行）提供浙江农商联合银行温州管理部唯一授权书复印件（格式自拟，在唯一授权中体现项目名称、编号和唯一授权等相关信息）。</w:t>
      </w:r>
    </w:p>
    <w:p w14:paraId="39582FAF">
      <w:pPr>
        <w:spacing w:line="460" w:lineRule="exact"/>
        <w:ind w:firstLine="442" w:firstLineChars="200"/>
        <w:rPr>
          <w:rFonts w:ascii="新宋体" w:hAnsi="新宋体" w:eastAsia="新宋体" w:cs="新宋体"/>
          <w:b/>
          <w:bCs/>
          <w:sz w:val="22"/>
          <w:szCs w:val="22"/>
        </w:rPr>
      </w:pPr>
      <w:bookmarkStart w:id="5" w:name="_Toc3615"/>
      <w:r>
        <w:rPr>
          <w:rFonts w:hint="eastAsia" w:ascii="新宋体" w:hAnsi="新宋体" w:eastAsia="新宋体" w:cs="新宋体"/>
          <w:b/>
          <w:bCs/>
          <w:sz w:val="22"/>
          <w:szCs w:val="22"/>
        </w:rPr>
        <w:t>十二、</w:t>
      </w:r>
      <w:r>
        <w:rPr>
          <w:rFonts w:hint="eastAsia" w:ascii="新宋体" w:hAnsi="新宋体" w:eastAsia="新宋体" w:cs="新宋体"/>
          <w:b/>
          <w:sz w:val="22"/>
          <w:szCs w:val="22"/>
          <w:shd w:val="clear" w:color="auto" w:fill="FFFFFF"/>
        </w:rPr>
        <w:t>联系人及联系电话：</w:t>
      </w:r>
      <w:bookmarkEnd w:id="5"/>
    </w:p>
    <w:p w14:paraId="181F72F5">
      <w:pPr>
        <w:spacing w:line="440" w:lineRule="exact"/>
        <w:ind w:firstLine="440" w:firstLineChars="200"/>
        <w:rPr>
          <w:rFonts w:ascii="宋体" w:hAnsi="宋体" w:cs="宋体"/>
          <w:kern w:val="0"/>
          <w:sz w:val="22"/>
        </w:rPr>
      </w:pPr>
      <w:r>
        <w:rPr>
          <w:rFonts w:hint="eastAsia" w:ascii="宋体" w:hAnsi="宋体" w:cs="宋体"/>
          <w:sz w:val="22"/>
        </w:rPr>
        <w:t>1、招标人：温州市龙湾区城市建设中心(温州市龙湾区土地储备中心) </w:t>
      </w:r>
      <w:r>
        <w:rPr>
          <w:rFonts w:hint="eastAsia" w:ascii="宋体" w:hAnsi="宋体" w:cs="宋体"/>
          <w:kern w:val="0"/>
          <w:sz w:val="22"/>
        </w:rPr>
        <w:t>   </w:t>
      </w:r>
    </w:p>
    <w:p w14:paraId="0EECDC30">
      <w:pPr>
        <w:spacing w:line="440" w:lineRule="exact"/>
        <w:ind w:firstLine="440" w:firstLineChars="200"/>
        <w:rPr>
          <w:rFonts w:ascii="宋体" w:hAnsi="宋体" w:cs="宋体"/>
          <w:kern w:val="0"/>
          <w:sz w:val="22"/>
        </w:rPr>
      </w:pPr>
      <w:r>
        <w:rPr>
          <w:rFonts w:hint="eastAsia" w:ascii="宋体" w:hAnsi="宋体" w:cs="宋体"/>
          <w:sz w:val="22"/>
        </w:rPr>
        <w:t>联系人：</w:t>
      </w:r>
      <w:r>
        <w:rPr>
          <w:rFonts w:hint="eastAsia" w:ascii="宋体" w:hAnsi="宋体" w:cs="宋体"/>
          <w:kern w:val="0"/>
          <w:sz w:val="22"/>
        </w:rPr>
        <w:t>邵先生</w:t>
      </w:r>
    </w:p>
    <w:p w14:paraId="0A91776B">
      <w:pPr>
        <w:spacing w:line="440" w:lineRule="exact"/>
        <w:ind w:firstLine="440" w:firstLineChars="200"/>
        <w:rPr>
          <w:rFonts w:ascii="宋体" w:hAnsi="宋体" w:cs="宋体"/>
          <w:sz w:val="22"/>
        </w:rPr>
      </w:pPr>
      <w:r>
        <w:rPr>
          <w:rFonts w:hint="eastAsia" w:ascii="宋体" w:hAnsi="宋体" w:cs="宋体"/>
          <w:sz w:val="22"/>
        </w:rPr>
        <w:t>电话：</w:t>
      </w:r>
      <w:r>
        <w:rPr>
          <w:rFonts w:ascii="宋体" w:hAnsi="宋体" w:cs="宋体"/>
          <w:sz w:val="22"/>
        </w:rPr>
        <w:t>0577-</w:t>
      </w:r>
      <w:r>
        <w:rPr>
          <w:rFonts w:hint="eastAsia" w:ascii="宋体" w:hAnsi="宋体" w:cs="宋体"/>
          <w:sz w:val="22"/>
        </w:rPr>
        <w:t>86968567</w:t>
      </w:r>
    </w:p>
    <w:p w14:paraId="24466A3E">
      <w:pPr>
        <w:spacing w:line="440" w:lineRule="exact"/>
        <w:ind w:firstLine="440" w:firstLineChars="200"/>
        <w:rPr>
          <w:rFonts w:ascii="宋体" w:hAnsi="宋体" w:cs="宋体"/>
          <w:sz w:val="22"/>
        </w:rPr>
      </w:pPr>
      <w:r>
        <w:rPr>
          <w:rFonts w:hint="eastAsia" w:ascii="宋体" w:hAnsi="宋体" w:cs="宋体"/>
          <w:sz w:val="22"/>
        </w:rPr>
        <w:t>2、招标代理机构名称：温州世诺招标代理有限公司</w:t>
      </w:r>
    </w:p>
    <w:p w14:paraId="1C4EF172">
      <w:pPr>
        <w:spacing w:line="440" w:lineRule="exact"/>
        <w:ind w:firstLine="440" w:firstLineChars="200"/>
        <w:rPr>
          <w:rFonts w:ascii="宋体" w:hAnsi="宋体" w:cs="宋体"/>
          <w:sz w:val="22"/>
        </w:rPr>
      </w:pPr>
      <w:r>
        <w:rPr>
          <w:rFonts w:hint="eastAsia" w:ascii="宋体" w:hAnsi="宋体" w:cs="宋体"/>
          <w:sz w:val="22"/>
        </w:rPr>
        <w:t>业务联系人：方先生</w:t>
      </w:r>
    </w:p>
    <w:p w14:paraId="6C552CD4">
      <w:pPr>
        <w:spacing w:line="440" w:lineRule="exact"/>
        <w:ind w:firstLine="440" w:firstLineChars="200"/>
        <w:rPr>
          <w:rFonts w:ascii="宋体" w:hAnsi="宋体" w:cs="宋体"/>
          <w:sz w:val="22"/>
        </w:rPr>
      </w:pPr>
      <w:r>
        <w:rPr>
          <w:rFonts w:hint="eastAsia" w:ascii="宋体" w:hAnsi="宋体" w:cs="宋体"/>
          <w:sz w:val="22"/>
        </w:rPr>
        <w:t>电话：18005871397</w:t>
      </w:r>
    </w:p>
    <w:p w14:paraId="7837DB71">
      <w:pPr>
        <w:spacing w:line="440" w:lineRule="exact"/>
        <w:ind w:firstLine="440" w:firstLineChars="200"/>
        <w:rPr>
          <w:rFonts w:ascii="宋体" w:hAnsi="宋体" w:cs="宋体"/>
          <w:sz w:val="22"/>
        </w:rPr>
      </w:pPr>
      <w:r>
        <w:rPr>
          <w:rFonts w:hint="eastAsia" w:ascii="宋体" w:hAnsi="宋体" w:cs="宋体"/>
          <w:sz w:val="22"/>
        </w:rPr>
        <w:t>获取联系人：陈小姐</w:t>
      </w:r>
    </w:p>
    <w:p w14:paraId="4F8CDE43">
      <w:pPr>
        <w:spacing w:line="440" w:lineRule="exact"/>
        <w:ind w:firstLine="440" w:firstLineChars="200"/>
        <w:rPr>
          <w:rFonts w:ascii="宋体" w:hAnsi="宋体" w:cs="宋体"/>
          <w:sz w:val="22"/>
        </w:rPr>
      </w:pPr>
      <w:r>
        <w:rPr>
          <w:rFonts w:hint="eastAsia" w:ascii="宋体" w:hAnsi="宋体" w:cs="宋体"/>
          <w:sz w:val="22"/>
        </w:rPr>
        <w:t>电话：</w:t>
      </w:r>
      <w:r>
        <w:rPr>
          <w:rFonts w:hint="eastAsia" w:ascii="宋体" w:hAnsi="宋体" w:cs="宋体"/>
          <w:kern w:val="0"/>
          <w:sz w:val="22"/>
        </w:rPr>
        <w:t>13989750851</w:t>
      </w:r>
      <w:r>
        <w:rPr>
          <w:rFonts w:hint="eastAsia" w:ascii="宋体" w:hAnsi="宋体" w:cs="宋体"/>
          <w:sz w:val="22"/>
        </w:rPr>
        <w:t xml:space="preserve">   </w:t>
      </w:r>
    </w:p>
    <w:p w14:paraId="49EB845C">
      <w:pPr>
        <w:spacing w:line="440" w:lineRule="exact"/>
        <w:ind w:firstLine="440" w:firstLineChars="200"/>
        <w:jc w:val="center"/>
        <w:rPr>
          <w:rFonts w:ascii="宋体" w:hAnsi="宋体" w:cs="宋体"/>
          <w:sz w:val="22"/>
        </w:rPr>
      </w:pPr>
      <w:r>
        <w:rPr>
          <w:rFonts w:hint="eastAsia" w:ascii="宋体" w:hAnsi="宋体" w:cs="宋体"/>
          <w:sz w:val="22"/>
        </w:rPr>
        <w:t>地址：龙湾区凯悦园9栋704</w:t>
      </w:r>
      <w:r>
        <w:rPr>
          <w:rFonts w:hint="eastAsia" w:ascii="新宋体" w:hAnsi="新宋体" w:eastAsia="新宋体" w:cs="新宋体"/>
          <w:b/>
          <w:bCs/>
          <w:sz w:val="32"/>
          <w:szCs w:val="32"/>
        </w:rPr>
        <w:br w:type="page"/>
      </w:r>
      <w:bookmarkStart w:id="6" w:name="_Toc1004"/>
      <w:bookmarkStart w:id="7" w:name="_Toc17097"/>
      <w:bookmarkStart w:id="8" w:name="_Toc20051"/>
      <w:r>
        <w:rPr>
          <w:rFonts w:hint="eastAsia" w:ascii="新宋体" w:hAnsi="新宋体" w:eastAsia="新宋体" w:cs="新宋体"/>
          <w:b/>
          <w:bCs/>
          <w:sz w:val="32"/>
          <w:szCs w:val="32"/>
        </w:rPr>
        <w:t>第一部分   投标银行须知</w:t>
      </w:r>
      <w:bookmarkEnd w:id="6"/>
      <w:bookmarkEnd w:id="7"/>
      <w:bookmarkEnd w:id="8"/>
    </w:p>
    <w:p w14:paraId="309CD9AD">
      <w:pPr>
        <w:spacing w:before="100" w:beforeAutospacing="1" w:after="100" w:afterAutospacing="1" w:line="460" w:lineRule="exact"/>
        <w:jc w:val="center"/>
        <w:outlineLvl w:val="1"/>
        <w:rPr>
          <w:rFonts w:ascii="新宋体" w:hAnsi="新宋体" w:eastAsia="新宋体" w:cs="新宋体"/>
          <w:b/>
          <w:bCs/>
          <w:sz w:val="26"/>
          <w:szCs w:val="26"/>
        </w:rPr>
      </w:pPr>
      <w:bookmarkStart w:id="9" w:name="_Toc13278"/>
      <w:bookmarkStart w:id="10" w:name="_Toc24822"/>
      <w:bookmarkStart w:id="11" w:name="_Toc26767"/>
      <w:r>
        <w:rPr>
          <w:rFonts w:hint="eastAsia" w:ascii="新宋体" w:hAnsi="新宋体" w:eastAsia="新宋体" w:cs="新宋体"/>
          <w:b/>
          <w:bCs/>
          <w:sz w:val="26"/>
          <w:szCs w:val="26"/>
        </w:rPr>
        <w:t>一、 说   明</w:t>
      </w:r>
      <w:bookmarkEnd w:id="9"/>
      <w:bookmarkEnd w:id="10"/>
      <w:bookmarkEnd w:id="11"/>
    </w:p>
    <w:p w14:paraId="7BD004C6">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1、本次招标根据《关于防止领导干部在公款存放方面发生利益冲突和利益输送的办法》(浙委办发〔2015〕8号)、《关于印发龙湾区行政事业单位公款竞争性存放管理办法的通知》温龙政办发〔2022〕30号等文件精神规定组织和实施的。</w:t>
      </w:r>
    </w:p>
    <w:p w14:paraId="51FF98A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 xml:space="preserve">2、投标银行代表 </w:t>
      </w:r>
    </w:p>
    <w:p w14:paraId="48508896">
      <w:pPr>
        <w:spacing w:line="460" w:lineRule="exact"/>
        <w:ind w:firstLine="442" w:firstLineChars="200"/>
        <w:rPr>
          <w:rFonts w:ascii="新宋体" w:hAnsi="新宋体" w:eastAsia="新宋体" w:cs="新宋体"/>
          <w:sz w:val="22"/>
        </w:rPr>
      </w:pPr>
      <w:r>
        <w:rPr>
          <w:rFonts w:hint="eastAsia" w:ascii="新宋体" w:hAnsi="新宋体" w:eastAsia="新宋体" w:cs="新宋体"/>
          <w:b/>
          <w:bCs/>
          <w:sz w:val="22"/>
        </w:rPr>
        <w:t>指全权代表投标银行参加投标活动并签署投标文件的人。如果投标银行代表不是法定代表人 ，须持有《法定代表人</w:t>
      </w:r>
      <w:r>
        <w:rPr>
          <w:rFonts w:hint="eastAsia" w:ascii="新宋体" w:hAnsi="新宋体" w:eastAsia="新宋体" w:cs="新宋体"/>
          <w:b/>
          <w:sz w:val="22"/>
          <w:szCs w:val="22"/>
        </w:rPr>
        <w:t>（或法定负责人）特别授权委托书</w:t>
      </w:r>
      <w:r>
        <w:rPr>
          <w:rFonts w:hint="eastAsia" w:ascii="新宋体" w:hAnsi="新宋体" w:eastAsia="新宋体" w:cs="新宋体"/>
          <w:b/>
          <w:bCs/>
          <w:sz w:val="22"/>
        </w:rPr>
        <w:t>》（见附件）</w:t>
      </w:r>
    </w:p>
    <w:p w14:paraId="74E1C433">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3、投标费用</w:t>
      </w:r>
    </w:p>
    <w:p w14:paraId="7884185C">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rPr>
        <w:t>投标银行应承担所有与准备和参加投标有关费用，不论投标的结果如何，招标人或招标代理公司均无义务和责任承担这些费用。</w:t>
      </w:r>
    </w:p>
    <w:p w14:paraId="3CA923B2">
      <w:pPr>
        <w:spacing w:before="100" w:beforeAutospacing="1" w:after="100" w:afterAutospacing="1" w:line="460" w:lineRule="exact"/>
        <w:jc w:val="center"/>
        <w:outlineLvl w:val="1"/>
        <w:rPr>
          <w:rFonts w:ascii="新宋体" w:hAnsi="新宋体" w:eastAsia="新宋体" w:cs="新宋体"/>
          <w:b/>
          <w:sz w:val="22"/>
          <w:szCs w:val="22"/>
        </w:rPr>
      </w:pPr>
      <w:bookmarkStart w:id="12" w:name="_Toc15915"/>
      <w:bookmarkStart w:id="13" w:name="_Toc13020"/>
      <w:bookmarkStart w:id="14" w:name="_Toc25297"/>
      <w:r>
        <w:rPr>
          <w:rFonts w:hint="eastAsia" w:ascii="新宋体" w:hAnsi="新宋体" w:eastAsia="新宋体" w:cs="新宋体"/>
          <w:b/>
          <w:bCs/>
          <w:sz w:val="26"/>
          <w:szCs w:val="26"/>
        </w:rPr>
        <w:t>二、 招标文件</w:t>
      </w:r>
      <w:bookmarkEnd w:id="12"/>
      <w:bookmarkEnd w:id="13"/>
      <w:bookmarkEnd w:id="14"/>
    </w:p>
    <w:p w14:paraId="02E74CB0">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1、招标文件由招标文件目录所列内容及相关资料组成。</w:t>
      </w:r>
    </w:p>
    <w:p w14:paraId="0BCD2B1F">
      <w:pPr>
        <w:spacing w:line="460" w:lineRule="exact"/>
        <w:ind w:firstLine="442" w:firstLineChars="200"/>
        <w:rPr>
          <w:rFonts w:ascii="新宋体" w:hAnsi="新宋体" w:eastAsia="新宋体" w:cs="新宋体"/>
          <w:b/>
          <w:sz w:val="22"/>
        </w:rPr>
      </w:pPr>
      <w:r>
        <w:rPr>
          <w:rFonts w:hint="eastAsia" w:ascii="新宋体" w:hAnsi="新宋体" w:eastAsia="新宋体" w:cs="新宋体"/>
          <w:b/>
          <w:sz w:val="22"/>
        </w:rPr>
        <w:t>2、招标文件的澄清</w:t>
      </w:r>
    </w:p>
    <w:p w14:paraId="1DA28113">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任何要求对招标文件进行澄清的投标银行，均应以书面形式（信函、传真，下同）通知，但该通知在知道或应知道其权益受到损害之日起至投标截止日这前以使招标人或招标代理公司收到，招标人或招标代理公司将以书面形式予以答复。如有必要，可将不说明问题来源的答复发给各投标文件收受人或召开答疑会。如果招标文件澄清期内未收到有关澄清要求，视为投标银行完全同意招标文件所有条款，且对于招标文件有关表述以及未尽事宜如有异议，以招标人或招标代理公司解释为准。</w:t>
      </w:r>
    </w:p>
    <w:p w14:paraId="46B45149">
      <w:pPr>
        <w:spacing w:line="460" w:lineRule="exact"/>
        <w:ind w:firstLine="442" w:firstLineChars="200"/>
        <w:rPr>
          <w:rFonts w:ascii="新宋体" w:hAnsi="新宋体" w:eastAsia="新宋体" w:cs="新宋体"/>
          <w:b/>
          <w:sz w:val="22"/>
        </w:rPr>
      </w:pPr>
      <w:r>
        <w:rPr>
          <w:rFonts w:hint="eastAsia" w:ascii="新宋体" w:hAnsi="新宋体" w:eastAsia="新宋体" w:cs="新宋体"/>
          <w:b/>
          <w:sz w:val="22"/>
        </w:rPr>
        <w:t>3、招标文件的修改</w:t>
      </w:r>
    </w:p>
    <w:p w14:paraId="251D4D9A">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3.1招标人或招标代理公司对已发出的招标文件进行必要的澄清或者修改的，应当在招标文件要求递交投标文件截止时间前，在浙江省政府采购网上发布更正公告，并以书面形式通知所有招标文件收受人。该澄清或修改内容为招标文件的组成部分。招标文件收受人收到该书面通知后，应立即书面回复确认已收到该通知。</w:t>
      </w:r>
    </w:p>
    <w:p w14:paraId="09439FCF">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rPr>
        <w:t>3.2招标人、招标代理公司可以视招标的具体情况决定是否延长投标截止时间和开标时间，并在招标文件要求递交投标文件的截止时间前，将变更时间书面通知所有招标文件收受人，同时在浙江省政府采购网上发布变更公告。招标文件收受人收到变更时间的书面通知后，应立即书面回复确认已收到该通知。</w:t>
      </w:r>
    </w:p>
    <w:p w14:paraId="1F182ED2">
      <w:pPr>
        <w:spacing w:before="100" w:beforeAutospacing="1" w:after="100" w:afterAutospacing="1" w:line="460" w:lineRule="exact"/>
        <w:jc w:val="center"/>
        <w:outlineLvl w:val="1"/>
        <w:rPr>
          <w:rFonts w:ascii="新宋体" w:hAnsi="新宋体" w:eastAsia="新宋体" w:cs="新宋体"/>
          <w:b/>
          <w:sz w:val="22"/>
          <w:szCs w:val="22"/>
        </w:rPr>
      </w:pPr>
      <w:bookmarkStart w:id="15" w:name="_Toc25724"/>
      <w:bookmarkStart w:id="16" w:name="_Toc16922"/>
      <w:bookmarkStart w:id="17" w:name="_Toc17986"/>
      <w:r>
        <w:rPr>
          <w:rFonts w:hint="eastAsia" w:ascii="新宋体" w:hAnsi="新宋体" w:eastAsia="新宋体" w:cs="新宋体"/>
          <w:b/>
          <w:bCs/>
          <w:sz w:val="26"/>
          <w:szCs w:val="26"/>
        </w:rPr>
        <w:t>三、 投标文件的编制</w:t>
      </w:r>
      <w:bookmarkEnd w:id="15"/>
      <w:bookmarkEnd w:id="16"/>
      <w:bookmarkEnd w:id="17"/>
    </w:p>
    <w:p w14:paraId="2DBEAFD2">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1、投标银行应认真阅读招标文件中所有事项、格式、条款和技术规范等。</w:t>
      </w:r>
      <w:r>
        <w:rPr>
          <w:rFonts w:hint="eastAsia" w:ascii="新宋体" w:hAnsi="新宋体" w:eastAsia="新宋体" w:cs="新宋体"/>
          <w:b/>
          <w:sz w:val="22"/>
        </w:rPr>
        <w:t>投标银行没有按照招标文件要求提交全部资料，或者没有对招标文件各个方面做出实质性响应，导致投标被拒绝的风险由投标银行自行承担。</w:t>
      </w:r>
    </w:p>
    <w:p w14:paraId="63F861C5">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rPr>
        <w:t>2、投标银行应保证所提供文件资料的真实性，所有文件资料必须是针对本次投标的。如发现投标银行提供了虚假文件资料，其投标将被拒绝，并自行承担相应的法律责任。</w:t>
      </w:r>
    </w:p>
    <w:p w14:paraId="0C4D6F18">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sz w:val="22"/>
          <w:szCs w:val="22"/>
        </w:rPr>
        <w:t>3、</w:t>
      </w:r>
      <w:r>
        <w:rPr>
          <w:rFonts w:hint="eastAsia" w:ascii="新宋体" w:hAnsi="新宋体" w:eastAsia="新宋体" w:cs="新宋体"/>
          <w:b/>
          <w:bCs/>
          <w:sz w:val="22"/>
          <w:szCs w:val="22"/>
        </w:rPr>
        <w:t>投标文件的构成：</w:t>
      </w:r>
    </w:p>
    <w:p w14:paraId="4CE558CF">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3.1投标文件由下列部分构成：</w:t>
      </w:r>
    </w:p>
    <w:tbl>
      <w:tblPr>
        <w:tblStyle w:val="30"/>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662"/>
        <w:gridCol w:w="1122"/>
      </w:tblGrid>
      <w:tr w14:paraId="358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8" w:type="dxa"/>
            <w:vAlign w:val="center"/>
          </w:tcPr>
          <w:p w14:paraId="372A6EA1">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序号</w:t>
            </w:r>
          </w:p>
        </w:tc>
        <w:tc>
          <w:tcPr>
            <w:tcW w:w="7662" w:type="dxa"/>
            <w:vAlign w:val="center"/>
          </w:tcPr>
          <w:p w14:paraId="6375F6AC">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内容</w:t>
            </w:r>
          </w:p>
        </w:tc>
        <w:tc>
          <w:tcPr>
            <w:tcW w:w="1122" w:type="dxa"/>
            <w:vAlign w:val="center"/>
          </w:tcPr>
          <w:p w14:paraId="6506F2F5">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备注</w:t>
            </w:r>
          </w:p>
        </w:tc>
      </w:tr>
      <w:tr w14:paraId="791F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AC263A6">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7662" w:type="dxa"/>
            <w:vAlign w:val="center"/>
          </w:tcPr>
          <w:p w14:paraId="479C997D">
            <w:pPr>
              <w:spacing w:line="460" w:lineRule="exact"/>
              <w:rPr>
                <w:rFonts w:ascii="新宋体" w:hAnsi="新宋体" w:eastAsia="新宋体" w:cs="新宋体"/>
                <w:sz w:val="22"/>
                <w:szCs w:val="22"/>
              </w:rPr>
            </w:pPr>
            <w:r>
              <w:rPr>
                <w:rFonts w:hint="eastAsia" w:ascii="新宋体" w:hAnsi="新宋体" w:eastAsia="新宋体" w:cs="新宋体"/>
                <w:sz w:val="22"/>
                <w:szCs w:val="22"/>
              </w:rPr>
              <w:t>投标函</w:t>
            </w:r>
          </w:p>
        </w:tc>
        <w:tc>
          <w:tcPr>
            <w:tcW w:w="1122" w:type="dxa"/>
            <w:vAlign w:val="center"/>
          </w:tcPr>
          <w:p w14:paraId="605F2C62">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附件一</w:t>
            </w:r>
          </w:p>
        </w:tc>
      </w:tr>
      <w:tr w14:paraId="51C0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D622EA1">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7662" w:type="dxa"/>
            <w:vAlign w:val="center"/>
          </w:tcPr>
          <w:p w14:paraId="0B4F4791">
            <w:pPr>
              <w:spacing w:line="460" w:lineRule="exact"/>
              <w:rPr>
                <w:rFonts w:ascii="新宋体" w:hAnsi="新宋体" w:eastAsia="新宋体" w:cs="新宋体"/>
                <w:sz w:val="22"/>
                <w:szCs w:val="22"/>
              </w:rPr>
            </w:pPr>
            <w:r>
              <w:rPr>
                <w:rFonts w:hint="eastAsia" w:ascii="新宋体" w:hAnsi="新宋体" w:eastAsia="新宋体" w:cs="新宋体"/>
                <w:sz w:val="22"/>
                <w:szCs w:val="22"/>
              </w:rPr>
              <w:t>投标报价一览表</w:t>
            </w:r>
          </w:p>
        </w:tc>
        <w:tc>
          <w:tcPr>
            <w:tcW w:w="1122" w:type="dxa"/>
            <w:vAlign w:val="center"/>
          </w:tcPr>
          <w:p w14:paraId="776FF811">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附件二</w:t>
            </w:r>
          </w:p>
        </w:tc>
      </w:tr>
      <w:tr w14:paraId="7EEA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38C60DFB">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7662" w:type="dxa"/>
            <w:vAlign w:val="center"/>
          </w:tcPr>
          <w:p w14:paraId="2179A37B">
            <w:pPr>
              <w:spacing w:line="460" w:lineRule="exact"/>
              <w:rPr>
                <w:rFonts w:ascii="新宋体" w:hAnsi="新宋体" w:eastAsia="新宋体" w:cs="新宋体"/>
                <w:sz w:val="22"/>
                <w:szCs w:val="22"/>
                <w:lang w:val="zh-CN"/>
              </w:rPr>
            </w:pPr>
            <w:r>
              <w:rPr>
                <w:rFonts w:hint="eastAsia" w:ascii="新宋体" w:hAnsi="新宋体" w:eastAsia="新宋体" w:cs="新宋体"/>
                <w:sz w:val="22"/>
                <w:szCs w:val="22"/>
              </w:rPr>
              <w:t>资格证明文件</w:t>
            </w:r>
          </w:p>
        </w:tc>
        <w:tc>
          <w:tcPr>
            <w:tcW w:w="1122" w:type="dxa"/>
            <w:vAlign w:val="center"/>
          </w:tcPr>
          <w:p w14:paraId="150FE651">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附件三</w:t>
            </w:r>
          </w:p>
        </w:tc>
      </w:tr>
      <w:tr w14:paraId="0787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32B9BBA7">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3.1</w:t>
            </w:r>
          </w:p>
        </w:tc>
        <w:tc>
          <w:tcPr>
            <w:tcW w:w="7662" w:type="dxa"/>
            <w:vAlign w:val="center"/>
          </w:tcPr>
          <w:p w14:paraId="092AB166">
            <w:pPr>
              <w:spacing w:line="460" w:lineRule="exact"/>
              <w:rPr>
                <w:rFonts w:ascii="新宋体" w:hAnsi="新宋体" w:eastAsia="新宋体" w:cs="新宋体"/>
                <w:sz w:val="22"/>
                <w:szCs w:val="22"/>
              </w:rPr>
            </w:pPr>
            <w:r>
              <w:rPr>
                <w:rFonts w:hint="eastAsia" w:ascii="新宋体" w:hAnsi="新宋体" w:eastAsia="新宋体" w:cs="新宋体"/>
                <w:sz w:val="22"/>
                <w:szCs w:val="22"/>
              </w:rPr>
              <w:t>法定代表人（或法定负责人）特别授权委托书</w:t>
            </w:r>
          </w:p>
        </w:tc>
        <w:tc>
          <w:tcPr>
            <w:tcW w:w="1122" w:type="dxa"/>
            <w:vAlign w:val="center"/>
          </w:tcPr>
          <w:p w14:paraId="38294FB4">
            <w:pPr>
              <w:spacing w:line="460" w:lineRule="exact"/>
              <w:rPr>
                <w:rFonts w:ascii="新宋体" w:hAnsi="新宋体" w:eastAsia="新宋体" w:cs="新宋体"/>
                <w:sz w:val="22"/>
                <w:szCs w:val="22"/>
              </w:rPr>
            </w:pPr>
          </w:p>
        </w:tc>
      </w:tr>
      <w:tr w14:paraId="65F3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23A1B0DF">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3.2</w:t>
            </w:r>
          </w:p>
        </w:tc>
        <w:tc>
          <w:tcPr>
            <w:tcW w:w="7662" w:type="dxa"/>
            <w:vAlign w:val="center"/>
          </w:tcPr>
          <w:p w14:paraId="31A1F587">
            <w:pPr>
              <w:spacing w:line="460" w:lineRule="exact"/>
              <w:rPr>
                <w:rFonts w:ascii="新宋体" w:hAnsi="新宋体" w:eastAsia="新宋体" w:cs="新宋体"/>
                <w:sz w:val="22"/>
                <w:szCs w:val="22"/>
              </w:rPr>
            </w:pPr>
            <w:r>
              <w:rPr>
                <w:rFonts w:hint="eastAsia" w:ascii="新宋体" w:hAnsi="新宋体" w:eastAsia="新宋体" w:cs="新宋体"/>
                <w:sz w:val="22"/>
                <w:szCs w:val="22"/>
              </w:rPr>
              <w:t>投标人的营业执照复印件</w:t>
            </w:r>
          </w:p>
        </w:tc>
        <w:tc>
          <w:tcPr>
            <w:tcW w:w="1122" w:type="dxa"/>
            <w:vAlign w:val="center"/>
          </w:tcPr>
          <w:p w14:paraId="1CCFEEAA">
            <w:pPr>
              <w:spacing w:line="460" w:lineRule="exact"/>
              <w:rPr>
                <w:rFonts w:ascii="新宋体" w:hAnsi="新宋体" w:eastAsia="新宋体" w:cs="新宋体"/>
                <w:sz w:val="22"/>
                <w:szCs w:val="22"/>
              </w:rPr>
            </w:pPr>
          </w:p>
        </w:tc>
      </w:tr>
      <w:tr w14:paraId="337B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14:paraId="05965652">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3.3</w:t>
            </w:r>
          </w:p>
        </w:tc>
        <w:tc>
          <w:tcPr>
            <w:tcW w:w="7662" w:type="dxa"/>
            <w:vAlign w:val="center"/>
          </w:tcPr>
          <w:p w14:paraId="08E933FA">
            <w:pPr>
              <w:spacing w:line="460" w:lineRule="exact"/>
              <w:rPr>
                <w:rFonts w:ascii="新宋体" w:hAnsi="新宋体" w:eastAsia="新宋体" w:cs="新宋体"/>
                <w:sz w:val="22"/>
                <w:szCs w:val="22"/>
              </w:rPr>
            </w:pPr>
            <w:r>
              <w:rPr>
                <w:rFonts w:hint="eastAsia" w:ascii="新宋体" w:hAnsi="新宋体" w:eastAsia="新宋体" w:cs="新宋体"/>
                <w:sz w:val="22"/>
                <w:szCs w:val="22"/>
              </w:rPr>
              <w:t>纳入监管评级的银行，人民银行上年度综合评价应达到B级及以上证明材料。</w:t>
            </w:r>
          </w:p>
        </w:tc>
        <w:tc>
          <w:tcPr>
            <w:tcW w:w="1122" w:type="dxa"/>
            <w:vAlign w:val="center"/>
          </w:tcPr>
          <w:p w14:paraId="4C621BD8">
            <w:pPr>
              <w:spacing w:line="460" w:lineRule="exact"/>
              <w:rPr>
                <w:rFonts w:ascii="新宋体" w:hAnsi="新宋体" w:eastAsia="新宋体" w:cs="新宋体"/>
                <w:sz w:val="22"/>
                <w:szCs w:val="22"/>
              </w:rPr>
            </w:pPr>
          </w:p>
        </w:tc>
      </w:tr>
      <w:tr w14:paraId="5E24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41D4A2C0">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7662" w:type="dxa"/>
            <w:vAlign w:val="center"/>
          </w:tcPr>
          <w:p w14:paraId="05F40F06">
            <w:pPr>
              <w:spacing w:line="460" w:lineRule="exact"/>
              <w:rPr>
                <w:rFonts w:ascii="新宋体" w:hAnsi="新宋体" w:eastAsia="新宋体" w:cs="新宋体"/>
                <w:sz w:val="22"/>
                <w:szCs w:val="22"/>
              </w:rPr>
            </w:pPr>
            <w:r>
              <w:rPr>
                <w:rFonts w:hint="eastAsia" w:ascii="新宋体" w:hAnsi="新宋体" w:eastAsia="新宋体" w:cs="新宋体"/>
                <w:sz w:val="22"/>
                <w:szCs w:val="22"/>
              </w:rPr>
              <w:t>总行或温州市分行唯一授权（如有）</w:t>
            </w:r>
          </w:p>
        </w:tc>
        <w:tc>
          <w:tcPr>
            <w:tcW w:w="1122" w:type="dxa"/>
            <w:vAlign w:val="center"/>
          </w:tcPr>
          <w:p w14:paraId="32FB1A1D">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附件四</w:t>
            </w:r>
          </w:p>
        </w:tc>
      </w:tr>
      <w:tr w14:paraId="4515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D39D400">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7662" w:type="dxa"/>
            <w:vAlign w:val="center"/>
          </w:tcPr>
          <w:p w14:paraId="12D3AA01">
            <w:pPr>
              <w:spacing w:line="460" w:lineRule="exact"/>
              <w:rPr>
                <w:rFonts w:ascii="新宋体" w:hAnsi="新宋体" w:eastAsia="新宋体" w:cs="新宋体"/>
                <w:sz w:val="22"/>
                <w:szCs w:val="22"/>
              </w:rPr>
            </w:pPr>
            <w:bookmarkStart w:id="18" w:name="_Toc25918865"/>
            <w:r>
              <w:rPr>
                <w:rFonts w:hint="eastAsia" w:ascii="新宋体" w:hAnsi="新宋体" w:eastAsia="新宋体" w:cs="新宋体"/>
                <w:sz w:val="22"/>
                <w:szCs w:val="22"/>
              </w:rPr>
              <w:t>无重大违法记录声明</w:t>
            </w:r>
            <w:bookmarkEnd w:id="18"/>
          </w:p>
        </w:tc>
        <w:tc>
          <w:tcPr>
            <w:tcW w:w="1122" w:type="dxa"/>
            <w:vAlign w:val="center"/>
          </w:tcPr>
          <w:p w14:paraId="66382239">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附件五</w:t>
            </w:r>
          </w:p>
        </w:tc>
      </w:tr>
      <w:tr w14:paraId="78D0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14:paraId="1888C568">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7662" w:type="dxa"/>
            <w:vAlign w:val="center"/>
          </w:tcPr>
          <w:p w14:paraId="486677E6">
            <w:pPr>
              <w:spacing w:line="460" w:lineRule="exact"/>
              <w:rPr>
                <w:rFonts w:ascii="新宋体" w:hAnsi="新宋体" w:eastAsia="新宋体" w:cs="新宋体"/>
                <w:sz w:val="22"/>
                <w:szCs w:val="22"/>
              </w:rPr>
            </w:pPr>
            <w:r>
              <w:rPr>
                <w:rFonts w:hint="eastAsia" w:ascii="新宋体" w:hAnsi="新宋体" w:eastAsia="新宋体" w:cs="新宋体"/>
                <w:sz w:val="22"/>
                <w:szCs w:val="22"/>
              </w:rPr>
              <w:t>廉政承诺书</w:t>
            </w:r>
          </w:p>
        </w:tc>
        <w:tc>
          <w:tcPr>
            <w:tcW w:w="1122" w:type="dxa"/>
            <w:vAlign w:val="center"/>
          </w:tcPr>
          <w:p w14:paraId="5E187C37">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附件六</w:t>
            </w:r>
          </w:p>
        </w:tc>
      </w:tr>
      <w:tr w14:paraId="48B7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14:paraId="0F065C3F">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7662" w:type="dxa"/>
            <w:vAlign w:val="center"/>
          </w:tcPr>
          <w:p w14:paraId="2A5A019B">
            <w:pPr>
              <w:spacing w:line="460" w:lineRule="exact"/>
              <w:rPr>
                <w:rFonts w:ascii="新宋体" w:hAnsi="新宋体" w:eastAsia="新宋体" w:cs="新宋体"/>
                <w:sz w:val="22"/>
                <w:szCs w:val="22"/>
              </w:rPr>
            </w:pPr>
            <w:r>
              <w:rPr>
                <w:rFonts w:hint="eastAsia" w:ascii="新宋体" w:hAnsi="新宋体" w:eastAsia="新宋体" w:cs="新宋体"/>
                <w:sz w:val="22"/>
                <w:szCs w:val="22"/>
              </w:rPr>
              <w:t>存款提前兑付承诺表</w:t>
            </w:r>
          </w:p>
        </w:tc>
        <w:tc>
          <w:tcPr>
            <w:tcW w:w="1122" w:type="dxa"/>
            <w:vAlign w:val="center"/>
          </w:tcPr>
          <w:p w14:paraId="2789B153">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附件七</w:t>
            </w:r>
          </w:p>
        </w:tc>
      </w:tr>
      <w:tr w14:paraId="5FF9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14:paraId="4DD3D1A5">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7662" w:type="dxa"/>
            <w:vAlign w:val="center"/>
          </w:tcPr>
          <w:p w14:paraId="58959EB2">
            <w:pPr>
              <w:spacing w:line="460" w:lineRule="exact"/>
              <w:rPr>
                <w:rFonts w:ascii="新宋体" w:hAnsi="新宋体" w:eastAsia="新宋体" w:cs="新宋体"/>
                <w:sz w:val="22"/>
                <w:szCs w:val="22"/>
              </w:rPr>
            </w:pPr>
            <w:r>
              <w:rPr>
                <w:rFonts w:hint="eastAsia" w:ascii="新宋体" w:hAnsi="新宋体" w:eastAsia="新宋体" w:cs="新宋体"/>
                <w:sz w:val="22"/>
                <w:szCs w:val="22"/>
                <w:lang w:val="zh-CN"/>
              </w:rPr>
              <w:t>确定中标后负责主办本项目业务主办银行声明</w:t>
            </w:r>
          </w:p>
        </w:tc>
        <w:tc>
          <w:tcPr>
            <w:tcW w:w="1122" w:type="dxa"/>
            <w:vAlign w:val="center"/>
          </w:tcPr>
          <w:p w14:paraId="2DB6CE9D">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附件八</w:t>
            </w:r>
          </w:p>
        </w:tc>
      </w:tr>
      <w:tr w14:paraId="3859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14:paraId="13363BA7">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7662" w:type="dxa"/>
            <w:vAlign w:val="center"/>
          </w:tcPr>
          <w:p w14:paraId="62113DF4">
            <w:pPr>
              <w:spacing w:line="460" w:lineRule="exact"/>
              <w:rPr>
                <w:rFonts w:ascii="新宋体" w:hAnsi="新宋体" w:eastAsia="新宋体" w:cs="新宋体"/>
                <w:sz w:val="22"/>
                <w:szCs w:val="22"/>
              </w:rPr>
            </w:pPr>
            <w:r>
              <w:rPr>
                <w:rFonts w:hint="eastAsia" w:ascii="新宋体" w:hAnsi="新宋体" w:eastAsia="新宋体" w:cs="新宋体"/>
                <w:sz w:val="22"/>
                <w:szCs w:val="22"/>
              </w:rPr>
              <w:t>经营状况指标申报书</w:t>
            </w:r>
          </w:p>
        </w:tc>
        <w:tc>
          <w:tcPr>
            <w:tcW w:w="1122" w:type="dxa"/>
            <w:vAlign w:val="center"/>
          </w:tcPr>
          <w:p w14:paraId="12978066">
            <w:pPr>
              <w:spacing w:line="460" w:lineRule="exact"/>
              <w:rPr>
                <w:rFonts w:ascii="新宋体" w:hAnsi="新宋体" w:eastAsia="新宋体" w:cs="新宋体"/>
                <w:sz w:val="22"/>
                <w:szCs w:val="22"/>
              </w:rPr>
            </w:pPr>
            <w:r>
              <w:rPr>
                <w:rFonts w:hint="eastAsia" w:ascii="新宋体" w:hAnsi="新宋体" w:eastAsia="新宋体" w:cs="新宋体"/>
                <w:sz w:val="22"/>
                <w:szCs w:val="22"/>
              </w:rPr>
              <w:t>附件九</w:t>
            </w:r>
          </w:p>
        </w:tc>
      </w:tr>
    </w:tbl>
    <w:p w14:paraId="238D22B7">
      <w:pPr>
        <w:spacing w:line="460" w:lineRule="exact"/>
        <w:ind w:firstLine="442" w:firstLineChars="200"/>
        <w:rPr>
          <w:rFonts w:ascii="新宋体" w:hAnsi="新宋体" w:eastAsia="新宋体" w:cs="新宋体"/>
          <w:b/>
          <w:sz w:val="22"/>
          <w:szCs w:val="22"/>
          <w:lang w:val="zh-CN"/>
        </w:rPr>
      </w:pPr>
      <w:r>
        <w:rPr>
          <w:rFonts w:hint="eastAsia" w:ascii="新宋体" w:hAnsi="新宋体" w:eastAsia="新宋体" w:cs="新宋体"/>
          <w:b/>
          <w:sz w:val="22"/>
          <w:szCs w:val="22"/>
        </w:rPr>
        <w:t>3.2投标文件</w:t>
      </w:r>
    </w:p>
    <w:p w14:paraId="065835B3">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本项目实行网上电子投标。</w:t>
      </w:r>
    </w:p>
    <w:p w14:paraId="62C76092">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投标人应按照本项目招标文件和政采云平台的要求编制并递交投标文件。投标人在使用系统进行投标的过程中遇到涉及平台使用的任何问题，可致电政采云平台技术支持热线咨询，联系方式：95763。</w:t>
      </w:r>
    </w:p>
    <w:p w14:paraId="058CB729">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投标文件必须以pdf格式上传（加盖公章或上传后银行使用CA对上传文件进行签章，CA电子签章与公章具有同等法律效力）。</w:t>
      </w:r>
    </w:p>
    <w:p w14:paraId="187EA1D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公款竞争性存放（单位公款）管理操作指南-供应商：</w:t>
      </w:r>
      <w:r>
        <w:fldChar w:fldCharType="begin"/>
      </w:r>
      <w:r>
        <w:instrText xml:space="preserve"> HYPERLINK "https://service.zcygov.cn/#/knowledges/F21HtGwBFdiHxlNdMo0U/oBxOWW0B_qo-E1OhTRwL?keyword=公款" </w:instrText>
      </w:r>
      <w:r>
        <w:fldChar w:fldCharType="separate"/>
      </w:r>
      <w:r>
        <w:rPr>
          <w:rFonts w:hint="eastAsia" w:ascii="新宋体" w:hAnsi="新宋体" w:eastAsia="新宋体" w:cs="新宋体"/>
          <w:sz w:val="22"/>
          <w:szCs w:val="22"/>
        </w:rPr>
        <w:t>https：//service.zcygov.cn/#/knowledges/F21HtGwBFdiHxlNdMo0U/oBxOWW0B_qo-E1OhTRwL?keyword=公款</w:t>
      </w:r>
      <w:r>
        <w:rPr>
          <w:rFonts w:hint="eastAsia" w:ascii="新宋体" w:hAnsi="新宋体" w:eastAsia="新宋体" w:cs="新宋体"/>
          <w:sz w:val="22"/>
          <w:szCs w:val="22"/>
        </w:rPr>
        <w:fldChar w:fldCharType="end"/>
      </w:r>
    </w:p>
    <w:p w14:paraId="42BD867F">
      <w:pPr>
        <w:spacing w:line="460" w:lineRule="exact"/>
        <w:ind w:firstLine="440" w:firstLineChars="200"/>
        <w:rPr>
          <w:rFonts w:ascii="新宋体" w:hAnsi="新宋体" w:eastAsia="新宋体" w:cs="新宋体"/>
          <w:b/>
          <w:bCs/>
          <w:sz w:val="22"/>
          <w:szCs w:val="22"/>
        </w:rPr>
      </w:pPr>
      <w:r>
        <w:rPr>
          <w:rFonts w:hint="eastAsia" w:ascii="新宋体" w:hAnsi="新宋体" w:eastAsia="新宋体" w:cs="新宋体"/>
          <w:sz w:val="22"/>
          <w:szCs w:val="22"/>
        </w:rPr>
        <w:t>注：中标人在领取中标通知书时按招标人要求提供全套纸质投标文件叁份。</w:t>
      </w:r>
    </w:p>
    <w:p w14:paraId="6E6A57ED">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bCs/>
          <w:sz w:val="22"/>
          <w:szCs w:val="22"/>
        </w:rPr>
        <w:t>4、投标报价</w:t>
      </w:r>
    </w:p>
    <w:p w14:paraId="75EAC9C0">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4.1</w:t>
      </w:r>
      <w:r>
        <w:rPr>
          <w:rFonts w:hint="eastAsia" w:ascii="新宋体" w:hAnsi="新宋体" w:eastAsia="新宋体" w:cs="新宋体"/>
          <w:b/>
          <w:bCs/>
          <w:sz w:val="22"/>
          <w:szCs w:val="22"/>
        </w:rPr>
        <w:t>投标报价是指投标银行在国家利率政策及银行自律公约规定范围内定期存款上浮基点，但不得超过国家规定及银行自律公约的定期存款利率浮动区间的上限。</w:t>
      </w:r>
    </w:p>
    <w:p w14:paraId="058CFB76">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4.2投标银行按附件中的投标报价一览表内容填写价格，并由投标银行代表签署并加盖公章。</w:t>
      </w:r>
    </w:p>
    <w:p w14:paraId="1955D0EB">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4.3</w:t>
      </w:r>
      <w:r>
        <w:rPr>
          <w:rFonts w:hint="eastAsia" w:ascii="新宋体" w:hAnsi="新宋体" w:eastAsia="新宋体" w:cs="新宋体"/>
          <w:b/>
          <w:sz w:val="22"/>
        </w:rPr>
        <w:t>投标以定期存款上浮基点进行投标</w:t>
      </w:r>
      <w:r>
        <w:rPr>
          <w:rFonts w:hint="eastAsia" w:ascii="新宋体" w:hAnsi="新宋体" w:eastAsia="新宋体" w:cs="新宋体"/>
          <w:b/>
          <w:sz w:val="22"/>
          <w:szCs w:val="22"/>
        </w:rPr>
        <w:t>。</w:t>
      </w:r>
    </w:p>
    <w:p w14:paraId="0CCBE235">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4.4投标文件只允许有一个报价，有选择的或有条件的报价将不予接受</w:t>
      </w:r>
      <w:r>
        <w:rPr>
          <w:rFonts w:hint="eastAsia" w:ascii="新宋体" w:hAnsi="新宋体" w:eastAsia="新宋体" w:cs="新宋体"/>
          <w:b/>
          <w:sz w:val="22"/>
        </w:rPr>
        <w:t>。</w:t>
      </w:r>
    </w:p>
    <w:p w14:paraId="1F7D375B">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4.5招标人和招标代理公司要求分类报价是为了方便评标，但在任何情况下不限制招标人以其认为最合适的条款、条件签订合同的权利。</w:t>
      </w:r>
    </w:p>
    <w:p w14:paraId="44C88CA8">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4.6投标报价报出后，投标银行不得以任何理由予以变更。任何包含价格调整的要求，将被认为是非实质性响应投标而予以拒绝。</w:t>
      </w:r>
    </w:p>
    <w:p w14:paraId="36B3D795">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4.7最高报价不能作为中标的保证。</w:t>
      </w:r>
    </w:p>
    <w:p w14:paraId="36FC61B3">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bCs/>
          <w:sz w:val="22"/>
          <w:szCs w:val="22"/>
        </w:rPr>
        <w:t>5、投标有效期</w:t>
      </w:r>
    </w:p>
    <w:p w14:paraId="61C5F6AD">
      <w:pPr>
        <w:spacing w:line="460" w:lineRule="exact"/>
        <w:ind w:firstLine="442" w:firstLineChars="200"/>
        <w:rPr>
          <w:rFonts w:ascii="新宋体" w:hAnsi="新宋体" w:eastAsia="新宋体" w:cs="新宋体"/>
          <w:b/>
          <w:sz w:val="22"/>
          <w:szCs w:val="22"/>
        </w:rPr>
      </w:pPr>
      <w:bookmarkStart w:id="19" w:name="OLE_LINK3"/>
      <w:r>
        <w:rPr>
          <w:rFonts w:hint="eastAsia" w:ascii="新宋体" w:hAnsi="新宋体" w:eastAsia="新宋体" w:cs="新宋体"/>
          <w:b/>
          <w:sz w:val="22"/>
          <w:szCs w:val="22"/>
        </w:rPr>
        <w:t>5.1自开标之日起</w:t>
      </w:r>
      <w:r>
        <w:rPr>
          <w:rFonts w:hint="eastAsia" w:ascii="新宋体" w:hAnsi="新宋体" w:eastAsia="新宋体" w:cs="新宋体"/>
          <w:b/>
          <w:bCs/>
          <w:sz w:val="22"/>
          <w:szCs w:val="22"/>
        </w:rPr>
        <w:t>90</w:t>
      </w:r>
      <w:r>
        <w:rPr>
          <w:rFonts w:hint="eastAsia" w:ascii="新宋体" w:hAnsi="新宋体" w:eastAsia="新宋体" w:cs="新宋体"/>
          <w:b/>
          <w:sz w:val="22"/>
          <w:szCs w:val="22"/>
        </w:rPr>
        <w:t>天内投标应保持有效。</w:t>
      </w:r>
    </w:p>
    <w:bookmarkEnd w:id="19"/>
    <w:p w14:paraId="3B787AC0">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5.2特殊情况下，在原投标有效期截止前，招标人、招标代理公司可与投标银行协商延长投标有效期，这种要求和答复均以书面形式进行。同意延长投标有效期的投标银行不得修改投标文件。</w:t>
      </w:r>
    </w:p>
    <w:p w14:paraId="137034DC">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6、投标文件的签署和规定</w:t>
      </w:r>
    </w:p>
    <w:p w14:paraId="0F73A274">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6.1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由投标人自行负责。</w:t>
      </w:r>
    </w:p>
    <w:p w14:paraId="6DF5303D">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6.2投标文件须由投标人在规定位置加盖公章并由投标人代表签署，投标人应写全称。</w:t>
      </w:r>
    </w:p>
    <w:p w14:paraId="3EA73149">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6.3投标文件不得涂改，若有修改错漏处，须由投标人代表签字并加盖公章。投标文件因字迹潦草或表达不清所引起的后果由投标人负责。</w:t>
      </w:r>
    </w:p>
    <w:p w14:paraId="2F7AAAF8">
      <w:pPr>
        <w:spacing w:before="100" w:beforeAutospacing="1" w:after="100" w:afterAutospacing="1" w:line="440" w:lineRule="exact"/>
        <w:jc w:val="center"/>
        <w:outlineLvl w:val="1"/>
        <w:rPr>
          <w:rFonts w:ascii="新宋体" w:hAnsi="新宋体" w:eastAsia="新宋体" w:cs="新宋体"/>
          <w:b/>
          <w:bCs/>
          <w:sz w:val="26"/>
          <w:szCs w:val="26"/>
        </w:rPr>
      </w:pPr>
      <w:bookmarkStart w:id="20" w:name="_Toc22621"/>
      <w:bookmarkStart w:id="21" w:name="_Toc28002"/>
      <w:bookmarkStart w:id="22" w:name="_Toc18505"/>
      <w:r>
        <w:rPr>
          <w:rFonts w:hint="eastAsia" w:ascii="新宋体" w:hAnsi="新宋体" w:eastAsia="新宋体" w:cs="新宋体"/>
          <w:b/>
          <w:bCs/>
          <w:sz w:val="26"/>
          <w:szCs w:val="26"/>
        </w:rPr>
        <w:t>四、 投标文件的递交</w:t>
      </w:r>
      <w:bookmarkEnd w:id="20"/>
      <w:bookmarkEnd w:id="21"/>
      <w:bookmarkEnd w:id="22"/>
    </w:p>
    <w:p w14:paraId="0632DEC5">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1、投标文件的递交</w:t>
      </w:r>
    </w:p>
    <w:p w14:paraId="0B5A81F9">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1.1投标文件必须在规定的投标截止时间前在“政采云”平台上完成在线投标和投标信息确认，逾期或未上传成功的视为未投标。</w:t>
      </w:r>
    </w:p>
    <w:p w14:paraId="328DBE46">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2、投标文件的修改和撤回</w:t>
      </w:r>
    </w:p>
    <w:p w14:paraId="0532052B">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4E61AAA5">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2.2在投标截止时间之后，投标人不得对其投标做任何修改。</w:t>
      </w:r>
    </w:p>
    <w:p w14:paraId="4C8F57CB">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2.3从投标截止时间至投标人在投标书格式中确定的投标有效期期满这段时间内，投标人不得撤回其投标。</w:t>
      </w:r>
    </w:p>
    <w:p w14:paraId="6E3F5DD3">
      <w:pPr>
        <w:spacing w:before="100" w:beforeAutospacing="1" w:after="100" w:afterAutospacing="1" w:line="440" w:lineRule="exact"/>
        <w:jc w:val="center"/>
        <w:outlineLvl w:val="1"/>
        <w:rPr>
          <w:rFonts w:ascii="新宋体" w:hAnsi="新宋体" w:eastAsia="新宋体" w:cs="新宋体"/>
          <w:b/>
          <w:bCs/>
          <w:sz w:val="26"/>
          <w:szCs w:val="26"/>
        </w:rPr>
      </w:pPr>
      <w:bookmarkStart w:id="23" w:name="_Toc26901"/>
      <w:bookmarkStart w:id="24" w:name="_Toc1235"/>
      <w:bookmarkStart w:id="25" w:name="_Toc29714"/>
      <w:r>
        <w:rPr>
          <w:rFonts w:hint="eastAsia" w:ascii="新宋体" w:hAnsi="新宋体" w:eastAsia="新宋体" w:cs="新宋体"/>
          <w:b/>
          <w:bCs/>
          <w:sz w:val="26"/>
          <w:szCs w:val="26"/>
        </w:rPr>
        <w:t>五、 开标和评标</w:t>
      </w:r>
      <w:bookmarkEnd w:id="23"/>
      <w:bookmarkEnd w:id="24"/>
      <w:bookmarkEnd w:id="25"/>
    </w:p>
    <w:p w14:paraId="76487B33">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bCs/>
          <w:sz w:val="22"/>
          <w:szCs w:val="22"/>
        </w:rPr>
        <w:t>1、评标委员会</w:t>
      </w:r>
    </w:p>
    <w:p w14:paraId="2CDF47F5">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bCs/>
          <w:sz w:val="22"/>
          <w:szCs w:val="22"/>
        </w:rPr>
        <w:t>1.1招标人和招标代理公司组建评标委员会。评标委员会的成员在评标过程中必须严格遵守</w:t>
      </w:r>
      <w:r>
        <w:rPr>
          <w:rFonts w:hint="eastAsia" w:ascii="新宋体" w:hAnsi="新宋体" w:eastAsia="新宋体" w:cs="新宋体"/>
          <w:sz w:val="22"/>
          <w:szCs w:val="22"/>
        </w:rPr>
        <w:t>招投标相关法律法规</w:t>
      </w:r>
      <w:r>
        <w:rPr>
          <w:rFonts w:hint="eastAsia" w:ascii="新宋体" w:hAnsi="新宋体" w:eastAsia="新宋体" w:cs="新宋体"/>
          <w:bCs/>
          <w:sz w:val="22"/>
          <w:szCs w:val="22"/>
        </w:rPr>
        <w:t>的规定。</w:t>
      </w:r>
    </w:p>
    <w:p w14:paraId="6F4D0293">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bCs/>
          <w:sz w:val="22"/>
          <w:szCs w:val="22"/>
        </w:rPr>
        <w:t>2、评标过程的保密性</w:t>
      </w:r>
    </w:p>
    <w:p w14:paraId="30F67775">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2.1开标后直至向中标银行授予合同时止，凡与评审有关的资料均不得向投标银行及与评标无关人员透露。如果投标银行在评标过程中试图向招标人和招标代理公司施加影响，其投标将被拒绝。</w:t>
      </w:r>
    </w:p>
    <w:p w14:paraId="1E1580D4">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3、开标形式</w:t>
      </w:r>
    </w:p>
    <w:p w14:paraId="79FCDB0B">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采购组织机构将按照招标文件规定的时间通过“政府采购云平台”组织开标、开启投标文件，所有投标人均应当准时（在线）参加。</w:t>
      </w:r>
    </w:p>
    <w:p w14:paraId="33D6B675">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4、开标准备</w:t>
      </w:r>
    </w:p>
    <w:p w14:paraId="0465F6E2">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4.1制订开标、评审工作的组织方案，落实工作场地、设施，检查录音录像采集设备运行情况。</w:t>
      </w:r>
    </w:p>
    <w:p w14:paraId="33145CA5">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4.2通知或邀请相关单位和人员出席开标、评审活动。</w:t>
      </w:r>
    </w:p>
    <w:p w14:paraId="2BA67575">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4.3准备招标项目的相关文件资料，如项目专家抽取有关凭证、项目书面说明、招标文件、补充文件及质疑答复情况、现场工作所需的相关登记表单、评审工作底稿等。</w:t>
      </w:r>
    </w:p>
    <w:p w14:paraId="2C7698B6">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4.4其他应准备的事项。</w:t>
      </w:r>
    </w:p>
    <w:p w14:paraId="456E15B6">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5、开标程序：</w:t>
      </w:r>
    </w:p>
    <w:p w14:paraId="27D0D9D3">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招标代理机构按照招标文件规定的时间、地点和程序组织开标，具体按以下程序进行：</w:t>
      </w:r>
    </w:p>
    <w:p w14:paraId="1ED8559D">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5.1本项目实行电子开评标，投标人无需前往开评标现场，只需在规定时间内在“政采云”平台上上传电子投标文件并确认。</w:t>
      </w:r>
    </w:p>
    <w:p w14:paraId="3EE4FE18">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5.2开标会由代理机构主持，主持人宣布开标会议开始；</w:t>
      </w:r>
    </w:p>
    <w:p w14:paraId="49732ADA">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5.3主持人介绍参加开标会的工作人员名单；</w:t>
      </w:r>
    </w:p>
    <w:p w14:paraId="2059CA01">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5.4主持人宣布评标的有关事项；告知专家应当回避的情形；</w:t>
      </w:r>
    </w:p>
    <w:p w14:paraId="3D6D8A9C">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5.5线上开启投标文件；</w:t>
      </w:r>
    </w:p>
    <w:p w14:paraId="5A5655F9">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5.6评标委员会对投标人的投标文件进行审查；</w:t>
      </w:r>
    </w:p>
    <w:p w14:paraId="2A07874C">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5.7评标委员会按招标文件要求对各投标人的投标文件进行评审，并推荐中标银行；</w:t>
      </w:r>
    </w:p>
    <w:p w14:paraId="01CD0338">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5.8评审结束后，由主持人公布无效投标的投标人名单、投标无效的原因及有效投标的评分结果和推荐的中标银行；</w:t>
      </w:r>
    </w:p>
    <w:p w14:paraId="5C0E8C26">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5.9评标委员会编写评审报告。</w:t>
      </w:r>
    </w:p>
    <w:p w14:paraId="09884D74">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6、评标</w:t>
      </w:r>
    </w:p>
    <w:p w14:paraId="6EFEF01D">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招标代理机构按照招标文件规定的时间、地点及程序组织评审。评审活动一般应按以下程序组织开展：</w:t>
      </w:r>
    </w:p>
    <w:p w14:paraId="1FBE142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6.1开启评审场地的录音录像采集设备，并确保其正常运行。</w:t>
      </w:r>
    </w:p>
    <w:p w14:paraId="08E3A851">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6.2核验出席评审活动现场的评标委员会各成员身份，并要求其分别登记、签到，按规定统一收缴、保存其通讯工具。</w:t>
      </w:r>
    </w:p>
    <w:p w14:paraId="27F1043B">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6.3介绍评审现场的人员情况，宣布评审工作纪律，告知评标委员会应当回避情形；组织推选评标委员会组长。</w:t>
      </w:r>
    </w:p>
    <w:p w14:paraId="5A870078">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6.4宣布参加本项目招标的投标人名单，组织评标委员会各位成员签订《评审人员廉洁自律承诺书》。</w:t>
      </w:r>
    </w:p>
    <w:p w14:paraId="1D4946E3">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650FABE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6.6评标委员会</w:t>
      </w:r>
      <w:r>
        <w:rPr>
          <w:rFonts w:hint="eastAsia" w:ascii="新宋体" w:hAnsi="新宋体" w:eastAsia="新宋体" w:cs="新宋体"/>
          <w:bCs/>
          <w:sz w:val="22"/>
          <w:szCs w:val="22"/>
          <w:lang w:val="zh-CN"/>
        </w:rPr>
        <w:t>将依法对投标人的资格进行审查，投标人未按照招标文件要求提供与资格条件相应的有效资格</w:t>
      </w:r>
      <w:r>
        <w:rPr>
          <w:rFonts w:hint="eastAsia" w:ascii="新宋体" w:hAnsi="新宋体" w:eastAsia="新宋体" w:cs="新宋体"/>
          <w:bCs/>
          <w:sz w:val="22"/>
          <w:szCs w:val="22"/>
        </w:rPr>
        <w:t>审查资料</w:t>
      </w:r>
      <w:r>
        <w:rPr>
          <w:rFonts w:hint="eastAsia" w:ascii="新宋体" w:hAnsi="新宋体" w:eastAsia="新宋体" w:cs="新宋体"/>
          <w:bCs/>
          <w:sz w:val="22"/>
          <w:szCs w:val="22"/>
          <w:lang w:val="zh-CN"/>
        </w:rPr>
        <w:t>的，视为投标人不具备招标文件中规定的资格要求，其投标无效。</w:t>
      </w:r>
      <w:r>
        <w:rPr>
          <w:rFonts w:hint="eastAsia" w:ascii="新宋体" w:hAnsi="新宋体" w:eastAsia="新宋体" w:cs="新宋体"/>
          <w:bCs/>
          <w:sz w:val="22"/>
          <w:szCs w:val="22"/>
        </w:rPr>
        <w:t>评标委员会</w:t>
      </w:r>
      <w:r>
        <w:rPr>
          <w:rFonts w:hint="eastAsia" w:ascii="新宋体" w:hAnsi="新宋体" w:eastAsia="新宋体" w:cs="新宋体"/>
          <w:bCs/>
          <w:sz w:val="22"/>
          <w:szCs w:val="22"/>
          <w:lang w:val="zh-CN"/>
        </w:rPr>
        <w:t>按照招标文件要求，以确认承诺、现场查询等方式进行。</w:t>
      </w:r>
    </w:p>
    <w:p w14:paraId="5AF3CD4B">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6.7评标委员会将根据投标人的投标文件进行审查、核对，如有疑问，将通过电话、电子邮件或传真等方式对投标人进行询标，投标人要向评标委员会澄清有关问题，并最终以书面形式进行答复。</w:t>
      </w:r>
    </w:p>
    <w:p w14:paraId="67D0F399">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6.8评标委员会组长组织评标委员会独立评审。评标委员会对拟认定为投标文件无效的，应组织相关投标人全权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35A85E85">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6.9做好评审现场相关记录，协助评标委员会组长做好评审报告起草、有关内容电脑文字录入等工作，并要求评标委员会各成员签字确认。</w:t>
      </w:r>
    </w:p>
    <w:p w14:paraId="3395BC6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6.10若无法联系或拒绝澄清的，评标委员会有权对该投标文件作出不利于投标人的评判。</w:t>
      </w:r>
    </w:p>
    <w:p w14:paraId="51955BAF">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6.11评审结束后，招标代理机构交还评审人员及其他现场相关人员的通讯工具。</w:t>
      </w:r>
    </w:p>
    <w:p w14:paraId="679F83E2">
      <w:pPr>
        <w:spacing w:line="460" w:lineRule="exact"/>
        <w:ind w:firstLine="442" w:firstLineChars="200"/>
        <w:rPr>
          <w:rFonts w:ascii="新宋体" w:hAnsi="新宋体" w:eastAsia="新宋体" w:cs="新宋体"/>
          <w:b/>
          <w:sz w:val="22"/>
          <w:szCs w:val="22"/>
          <w:u w:val="single"/>
        </w:rPr>
      </w:pPr>
      <w:r>
        <w:rPr>
          <w:rFonts w:hint="eastAsia" w:ascii="新宋体" w:hAnsi="新宋体" w:eastAsia="新宋体" w:cs="新宋体"/>
          <w:b/>
          <w:sz w:val="22"/>
          <w:szCs w:val="22"/>
          <w:u w:val="single"/>
        </w:rPr>
        <w:t>7、投标人存在下列情况之一的，投标无效：</w:t>
      </w:r>
    </w:p>
    <w:p w14:paraId="2D9FEDD4">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（1）投标文件未按招标文件要求签署、盖章的；</w:t>
      </w:r>
    </w:p>
    <w:p w14:paraId="6FC26F50">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 xml:space="preserve">（2）不具备招标文件中规定的资格要求的； </w:t>
      </w:r>
    </w:p>
    <w:p w14:paraId="02AAF006">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（3）明显不符合招标文件中主要技术规格、技术标准的；</w:t>
      </w:r>
    </w:p>
    <w:p w14:paraId="797EDA5C">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（4）投标文件内容不全或关键字迹模糊无法辨认的；</w:t>
      </w:r>
    </w:p>
    <w:p w14:paraId="211B7980">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（5）投标人代表没有法定代表人合法、有效委托的；</w:t>
      </w:r>
    </w:p>
    <w:p w14:paraId="581D43CD">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（6）投标文件存在一个或一个以上备选（替代）投标方案的；</w:t>
      </w:r>
    </w:p>
    <w:p w14:paraId="0660D4CA">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（7）仅提交“备份投标文件”的；</w:t>
      </w:r>
    </w:p>
    <w:p w14:paraId="7C9D5BB6">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kern w:val="0"/>
          <w:sz w:val="22"/>
          <w:szCs w:val="22"/>
        </w:rPr>
        <w:t>（8</w:t>
      </w:r>
      <w:r>
        <w:rPr>
          <w:rFonts w:hint="eastAsia" w:ascii="新宋体" w:hAnsi="新宋体" w:eastAsia="新宋体" w:cs="新宋体"/>
          <w:bCs/>
          <w:sz w:val="22"/>
          <w:szCs w:val="22"/>
        </w:rPr>
        <w:t>）投标文件含有招标人不能接受的附加条件的；</w:t>
      </w:r>
    </w:p>
    <w:p w14:paraId="7775C3E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（9）法律、法规和招标文件规定的其他无效情形。</w:t>
      </w:r>
    </w:p>
    <w:p w14:paraId="23E33B5D">
      <w:pPr>
        <w:spacing w:line="460" w:lineRule="exact"/>
        <w:ind w:firstLine="442" w:firstLineChars="200"/>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8、有下列情形之一的，视为投标银行串通投标，其投标无效</w:t>
      </w:r>
    </w:p>
    <w:p w14:paraId="548A7BCA">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（1）不同投标银行的投标文件由同一单位或者个人编制；</w:t>
      </w:r>
    </w:p>
    <w:p w14:paraId="1A7D6C43">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（2）不同投标银行委托同一单位或者个人办理投标事宜；</w:t>
      </w:r>
    </w:p>
    <w:p w14:paraId="1386F105">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（3）不同投标银行的投标文件载明的项目管理成员或者联系人员为同一人；</w:t>
      </w:r>
    </w:p>
    <w:p w14:paraId="72FF85C3">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（4）不同投标银行的投标文件异常一致或者投标报价呈规律性差异；</w:t>
      </w:r>
    </w:p>
    <w:p w14:paraId="55EDFF71">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（5）不同投标银行的投标文件相互混装；</w:t>
      </w:r>
    </w:p>
    <w:p w14:paraId="157AFF7B">
      <w:pPr>
        <w:spacing w:line="460" w:lineRule="exact"/>
        <w:ind w:firstLine="442" w:firstLineChars="200"/>
        <w:rPr>
          <w:rFonts w:ascii="新宋体" w:hAnsi="新宋体" w:eastAsia="新宋体" w:cs="新宋体"/>
          <w:b/>
          <w:bCs/>
          <w:sz w:val="22"/>
          <w:szCs w:val="22"/>
          <w:u w:val="single"/>
        </w:rPr>
      </w:pPr>
      <w:r>
        <w:rPr>
          <w:rFonts w:hint="eastAsia" w:ascii="新宋体" w:hAnsi="新宋体" w:eastAsia="新宋体" w:cs="新宋体"/>
          <w:b/>
          <w:bCs/>
          <w:sz w:val="22"/>
          <w:szCs w:val="22"/>
          <w:u w:val="single"/>
        </w:rPr>
        <w:t>9、投标文件报价出现前后不一致的，按照下列规定修正：</w:t>
      </w:r>
    </w:p>
    <w:p w14:paraId="119CC35C">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（1）系统上传的投标文件中开标一览表（报价表）（加盖公章）内容与投标文件中相应内容不一致的，以系统上传的投标文件中开标一览表（报价表）（加盖公章）为准；</w:t>
      </w:r>
    </w:p>
    <w:p w14:paraId="7F47208B">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（2）大写金额和小写金额不一致的，以大写金额为准；</w:t>
      </w:r>
    </w:p>
    <w:p w14:paraId="24B1E06E">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（3）单价金额小数点或者百分比有明显错位的，以开标一览表的总价为准，并修改单价；</w:t>
      </w:r>
    </w:p>
    <w:p w14:paraId="33FC8927">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（4）总价金额与按单价汇总金额不一致的，以单价金额计算结果为准。</w:t>
      </w:r>
    </w:p>
    <w:p w14:paraId="4446403B">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同时出现两种以上不一致的，按照前款规定的顺序修正。修正后的报价按照本小节第12条第12.2款的规定经投标人确认后产生约束力，投标人不确认的，其投标无效。</w:t>
      </w:r>
    </w:p>
    <w:p w14:paraId="5806B3F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kern w:val="0"/>
          <w:sz w:val="22"/>
          <w:szCs w:val="22"/>
        </w:rPr>
        <w:t>10</w:t>
      </w:r>
      <w:r>
        <w:rPr>
          <w:rFonts w:hint="eastAsia" w:ascii="新宋体" w:hAnsi="新宋体" w:eastAsia="新宋体" w:cs="新宋体"/>
          <w:bCs/>
          <w:sz w:val="22"/>
          <w:szCs w:val="22"/>
        </w:rPr>
        <w:t>、评标委员会成员对需要共同认定的事项存在争议的，应当按照少数服从多数的原则作出结论。持不同意见的评标委员会成员应当在评标报告上签署不同意见及理由，否则视为同意评标报告。</w:t>
      </w:r>
    </w:p>
    <w:p w14:paraId="7E93A61D">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11、投标文件的澄清</w:t>
      </w:r>
    </w:p>
    <w:p w14:paraId="3988CFD6">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11.1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6741CED7">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kern w:val="0"/>
          <w:sz w:val="22"/>
          <w:szCs w:val="22"/>
        </w:rPr>
        <w:t>11.2投标人的澄清、说明或者补正应当采用书面形式（或通过“政府采购云平台”在线答复），并加盖公章，或者由法定代表人或其授权的代表签字。投标人的澄清、说明或者补正不得超出投标文件的范围</w:t>
      </w:r>
      <w:r>
        <w:rPr>
          <w:rFonts w:hint="eastAsia" w:ascii="新宋体" w:hAnsi="新宋体" w:eastAsia="新宋体" w:cs="新宋体"/>
          <w:bCs/>
          <w:sz w:val="22"/>
          <w:szCs w:val="22"/>
        </w:rPr>
        <w:t>或者改变投标文件的实质性内容。</w:t>
      </w:r>
    </w:p>
    <w:p w14:paraId="0802B6EB">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拒不按要求对其投标文件进行澄清，说明或补正的投标人，评标委员会可以否决其投标。</w:t>
      </w:r>
    </w:p>
    <w:p w14:paraId="6E585D6C">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11.2</w:t>
      </w:r>
      <w:r>
        <w:rPr>
          <w:rFonts w:hint="eastAsia" w:ascii="新宋体" w:hAnsi="新宋体" w:eastAsia="新宋体" w:cs="新宋体"/>
          <w:b/>
          <w:sz w:val="22"/>
          <w:szCs w:val="22"/>
        </w:rPr>
        <w:t>经澄清后，若偏差仍存在，且不可接受，投标人则被认为是“没有实质性响应招标文件要求”，其投标将被拒绝。</w:t>
      </w:r>
    </w:p>
    <w:p w14:paraId="0481294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12、评审结果的修改</w:t>
      </w:r>
    </w:p>
    <w:p w14:paraId="1046813D">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12.1评标结果汇总完成后，除下列情形外，任何人不得修改评标结果：</w:t>
      </w:r>
    </w:p>
    <w:p w14:paraId="69A17BA6">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（1）分值汇总计算错误的；</w:t>
      </w:r>
    </w:p>
    <w:p w14:paraId="02250C03">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（2）分项评分超出评分标准范围的；</w:t>
      </w:r>
    </w:p>
    <w:p w14:paraId="3E144C5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（3）评标委员会成员对客观评审因素评分不一致的；</w:t>
      </w:r>
    </w:p>
    <w:p w14:paraId="4ECA68C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（4）经评标委员会认定评分畸高、畸低的。</w:t>
      </w:r>
    </w:p>
    <w:p w14:paraId="4908B54C">
      <w:pPr>
        <w:spacing w:line="460" w:lineRule="exact"/>
        <w:ind w:firstLine="440" w:firstLineChars="200"/>
        <w:rPr>
          <w:rFonts w:ascii="新宋体" w:hAnsi="新宋体" w:eastAsia="新宋体" w:cs="新宋体"/>
        </w:rPr>
      </w:pPr>
      <w:r>
        <w:rPr>
          <w:rFonts w:hint="eastAsia" w:ascii="新宋体" w:hAnsi="新宋体" w:eastAsia="新宋体" w:cs="新宋体"/>
          <w:bCs/>
          <w:sz w:val="22"/>
          <w:szCs w:val="22"/>
        </w:rPr>
        <w:t>12.2书面评标报告签署前，经复核发现存在以上情形之一的，评标委员会将当场修改评标结果，并在</w:t>
      </w:r>
      <w:r>
        <w:rPr>
          <w:rFonts w:hint="eastAsia" w:ascii="新宋体" w:hAnsi="新宋体" w:eastAsia="新宋体" w:cs="新宋体"/>
          <w:b/>
          <w:sz w:val="22"/>
          <w:szCs w:val="22"/>
        </w:rPr>
        <w:t>评标报告中记载。</w:t>
      </w:r>
    </w:p>
    <w:p w14:paraId="7799922F">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13、确定中标候选人</w:t>
      </w:r>
    </w:p>
    <w:p w14:paraId="547A9E78">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13.1由评标委员会确定中标候选人。</w:t>
      </w:r>
    </w:p>
    <w:p w14:paraId="475E4299">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kern w:val="0"/>
          <w:sz w:val="22"/>
          <w:szCs w:val="22"/>
        </w:rPr>
        <w:t>13.2评标委员会依据法律、法规及招标文件有关规定按评审后得分由高到低顺序排序，得分第一的</w:t>
      </w:r>
      <w:r>
        <w:rPr>
          <w:rFonts w:hint="eastAsia" w:ascii="新宋体" w:hAnsi="新宋体" w:eastAsia="新宋体" w:cs="新宋体"/>
          <w:sz w:val="22"/>
          <w:szCs w:val="22"/>
        </w:rPr>
        <w:t>投标人确定为该项目的第一中标候选人，其他投标人按排名依次为第二、第三中标候选人（以此类推）向招标人推荐。</w:t>
      </w:r>
    </w:p>
    <w:p w14:paraId="3B6F9DEA">
      <w:pPr>
        <w:spacing w:line="460" w:lineRule="exact"/>
        <w:ind w:firstLine="442" w:firstLineChars="200"/>
        <w:rPr>
          <w:rFonts w:ascii="新宋体" w:hAnsi="新宋体" w:eastAsia="新宋体" w:cs="新宋体"/>
          <w:bCs/>
          <w:sz w:val="22"/>
          <w:szCs w:val="22"/>
        </w:rPr>
      </w:pPr>
      <w:r>
        <w:rPr>
          <w:rFonts w:hint="eastAsia" w:ascii="新宋体" w:hAnsi="新宋体" w:eastAsia="新宋体" w:cs="新宋体"/>
          <w:b/>
          <w:bCs/>
          <w:sz w:val="22"/>
          <w:szCs w:val="22"/>
        </w:rPr>
        <w:t>14、确定成交投标人</w:t>
      </w:r>
    </w:p>
    <w:p w14:paraId="03026B61">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sz w:val="22"/>
          <w:szCs w:val="22"/>
        </w:rPr>
        <w:t>14</w:t>
      </w:r>
      <w:r>
        <w:rPr>
          <w:rFonts w:hint="eastAsia" w:ascii="新宋体" w:hAnsi="新宋体" w:eastAsia="新宋体" w:cs="新宋体"/>
          <w:b/>
          <w:bCs/>
          <w:sz w:val="22"/>
          <w:szCs w:val="22"/>
        </w:rPr>
        <w:t>.1招标人按照书面评标报告中推荐的中标候选投标人顺序确定成交投标人；也可以事先授权评标委员会按照推荐的中标候选投标人顺序直接确定成交投标人。</w:t>
      </w:r>
    </w:p>
    <w:p w14:paraId="7D1478B5">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14.2如成交投标人放弃中标；或未能在规定时间内与采购单位签订合同的；或者经质疑，招标人审查后，确因排名第一的候选人在本次采购活动中存在违法违规行为或其他原因使质疑成立的，招标人可以视情况依次直接确定排名第二的候选人为中标银行或重新组织招标。</w:t>
      </w:r>
    </w:p>
    <w:p w14:paraId="6E4E48C3">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15、起草、签署评审报告</w:t>
      </w:r>
    </w:p>
    <w:p w14:paraId="1F7939A6">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257FA4C2">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16、成交投标人确定后，招标人将在政府指定媒体公告中标结果，招标人向成交投标人发出中标通知书。</w:t>
      </w:r>
    </w:p>
    <w:p w14:paraId="0E72F432">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17、</w:t>
      </w:r>
      <w:r>
        <w:rPr>
          <w:rFonts w:hint="eastAsia" w:ascii="新宋体" w:hAnsi="新宋体" w:eastAsia="新宋体" w:cs="新宋体"/>
          <w:b/>
          <w:sz w:val="22"/>
          <w:szCs w:val="22"/>
        </w:rPr>
        <w:t>招标人对决标结果不做任何解释，也不保证最高价中标。</w:t>
      </w:r>
    </w:p>
    <w:p w14:paraId="642381AE">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18、评标细则详见“评标原则及方法”。</w:t>
      </w:r>
    </w:p>
    <w:p w14:paraId="373C9310">
      <w:pPr>
        <w:spacing w:before="100" w:beforeAutospacing="1" w:after="100" w:afterAutospacing="1" w:line="440" w:lineRule="exact"/>
        <w:jc w:val="center"/>
        <w:outlineLvl w:val="1"/>
        <w:rPr>
          <w:rFonts w:ascii="新宋体" w:hAnsi="新宋体" w:eastAsia="新宋体" w:cs="新宋体"/>
          <w:b/>
          <w:bCs/>
          <w:sz w:val="26"/>
          <w:szCs w:val="26"/>
        </w:rPr>
      </w:pPr>
      <w:bookmarkStart w:id="26" w:name="_Toc16401"/>
      <w:bookmarkStart w:id="27" w:name="_Toc6360"/>
      <w:bookmarkStart w:id="28" w:name="_Toc12936"/>
      <w:r>
        <w:rPr>
          <w:rFonts w:hint="eastAsia" w:ascii="新宋体" w:hAnsi="新宋体" w:eastAsia="新宋体" w:cs="新宋体"/>
          <w:b/>
          <w:bCs/>
          <w:sz w:val="26"/>
          <w:szCs w:val="26"/>
        </w:rPr>
        <w:t>六、 授予合同</w:t>
      </w:r>
      <w:bookmarkEnd w:id="26"/>
      <w:bookmarkEnd w:id="27"/>
      <w:bookmarkEnd w:id="28"/>
    </w:p>
    <w:p w14:paraId="65FA31C7">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rPr>
        <w:t>1、中标通知书</w:t>
      </w:r>
    </w:p>
    <w:p w14:paraId="61494CC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 xml:space="preserve">1.1中标银行确定后，招标人将向中标银行发出中标通知书。 </w:t>
      </w:r>
    </w:p>
    <w:p w14:paraId="5B848251">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1.2中标通知书是合同的一个组成部分，对招标人和中标银行均具有同等法律效力。</w:t>
      </w:r>
    </w:p>
    <w:p w14:paraId="44CAB72F">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rPr>
        <w:t>2</w:t>
      </w:r>
      <w:r>
        <w:rPr>
          <w:rFonts w:hint="eastAsia" w:ascii="新宋体" w:hAnsi="新宋体" w:eastAsia="新宋体" w:cs="新宋体"/>
          <w:kern w:val="0"/>
          <w:sz w:val="22"/>
          <w:szCs w:val="22"/>
        </w:rPr>
        <w:t>、</w:t>
      </w:r>
      <w:r>
        <w:rPr>
          <w:rFonts w:hint="eastAsia" w:ascii="新宋体" w:hAnsi="新宋体" w:eastAsia="新宋体" w:cs="新宋体"/>
          <w:sz w:val="22"/>
        </w:rPr>
        <w:t>签订合同</w:t>
      </w:r>
    </w:p>
    <w:p w14:paraId="6FA9D675">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bCs/>
          <w:sz w:val="22"/>
          <w:szCs w:val="22"/>
        </w:rPr>
        <w:t>2.1中标银行应按中标通知书规定的时间、地点与招标人签订合同。</w:t>
      </w:r>
    </w:p>
    <w:p w14:paraId="227012C7">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2.2招标文件、中标银行的投标文件、投标修改文件、评标过程中有关澄清文件及经投标银行和评委双方签字的询标纪要和中标通知书均作为合同附件。</w:t>
      </w:r>
    </w:p>
    <w:p w14:paraId="47D389A2">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2.3拒签合同的违约责任</w:t>
      </w:r>
    </w:p>
    <w:p w14:paraId="4F4035B7">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中标银行接到中标通知书后，在规定时间内借故否认已经承诺的条件而拒签合同的，以违约处理。</w:t>
      </w:r>
    </w:p>
    <w:p w14:paraId="17F1F36E">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rPr>
        <w:t>3、质疑与投诉</w:t>
      </w:r>
    </w:p>
    <w:p w14:paraId="212C3FEA">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rPr>
        <w:t>3.1投标银行认为招标文件、招标过程、中标和成交结果使自己的合法权益受到损害的，可以在知道或应知道其权益受到损害之日起七个工作日内以书面形式向招标人或招标代理公司提出质疑。</w:t>
      </w:r>
    </w:p>
    <w:p w14:paraId="5337467D">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sz w:val="22"/>
        </w:rPr>
        <w:t>3.2招标人或招标代理公司在收到投标银行的书面质疑后七个工作日内作出答复，但答复的内容不得</w:t>
      </w:r>
      <w:r>
        <w:rPr>
          <w:rFonts w:hint="eastAsia" w:ascii="新宋体" w:hAnsi="新宋体" w:eastAsia="新宋体" w:cs="新宋体"/>
          <w:kern w:val="0"/>
          <w:sz w:val="22"/>
          <w:szCs w:val="22"/>
        </w:rPr>
        <w:t>涉及商业秘密。质疑供应商对招标人或招标代理公司的答复不满意，可以在答复期满后十五个工作日内向同级采购监督管理部门投诉。</w:t>
      </w:r>
    </w:p>
    <w:p w14:paraId="73E444E3">
      <w:pPr>
        <w:spacing w:line="460" w:lineRule="exact"/>
        <w:ind w:firstLine="440" w:firstLineChars="200"/>
        <w:rPr>
          <w:rFonts w:ascii="新宋体" w:hAnsi="新宋体" w:eastAsia="新宋体" w:cs="新宋体"/>
          <w:sz w:val="22"/>
        </w:rPr>
      </w:pPr>
      <w:r>
        <w:rPr>
          <w:rFonts w:hint="eastAsia" w:ascii="新宋体" w:hAnsi="新宋体" w:eastAsia="新宋体" w:cs="新宋体"/>
          <w:kern w:val="0"/>
          <w:sz w:val="22"/>
          <w:szCs w:val="22"/>
        </w:rPr>
        <w:t>3.3投诉人投诉时，应提交投诉书，投诉书应当由本人并由法定代表人签字盖公章，投诉书应说明具体</w:t>
      </w:r>
      <w:r>
        <w:rPr>
          <w:rFonts w:hint="eastAsia" w:ascii="新宋体" w:hAnsi="新宋体" w:eastAsia="新宋体" w:cs="新宋体"/>
          <w:sz w:val="22"/>
        </w:rPr>
        <w:t>的投诉事项及事实依据。投诉人对投诉书的真实性负责，恶意投诉将承当相应的法律和民事责任。</w:t>
      </w:r>
    </w:p>
    <w:p w14:paraId="44A9B0BB">
      <w:pPr>
        <w:tabs>
          <w:tab w:val="left" w:pos="360"/>
        </w:tabs>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rPr>
        <w:t>4、招标代理服务费</w:t>
      </w:r>
    </w:p>
    <w:p w14:paraId="7BBEF886">
      <w:pPr>
        <w:tabs>
          <w:tab w:val="left" w:pos="360"/>
        </w:tabs>
        <w:spacing w:line="460" w:lineRule="exact"/>
        <w:ind w:firstLine="440" w:firstLineChars="200"/>
        <w:rPr>
          <w:rFonts w:ascii="新宋体" w:hAnsi="新宋体" w:eastAsia="新宋体" w:cs="新宋体"/>
          <w:b/>
          <w:bCs/>
          <w:sz w:val="22"/>
        </w:rPr>
      </w:pPr>
      <w:r>
        <w:rPr>
          <w:rFonts w:hint="eastAsia" w:ascii="新宋体" w:hAnsi="新宋体" w:eastAsia="新宋体" w:cs="新宋体"/>
          <w:sz w:val="22"/>
        </w:rPr>
        <w:t>4.1招标代理服务费：</w:t>
      </w:r>
      <w:r>
        <w:rPr>
          <w:rFonts w:hint="eastAsia" w:ascii="新宋体" w:hAnsi="新宋体" w:eastAsia="新宋体" w:cs="新宋体"/>
          <w:b/>
          <w:bCs/>
          <w:sz w:val="22"/>
        </w:rPr>
        <w:t>人民币柒仟元整（¥ 7000 .00）；由中标银行在领取中标通知书时支付。</w:t>
      </w:r>
    </w:p>
    <w:p w14:paraId="2B3CA0D2">
      <w:pPr>
        <w:tabs>
          <w:tab w:val="left" w:pos="360"/>
        </w:tabs>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4.2招标代理服务费可以是现金、支票或汇票。</w:t>
      </w:r>
    </w:p>
    <w:p w14:paraId="0B96C07F">
      <w:pPr>
        <w:spacing w:line="500" w:lineRule="exact"/>
        <w:jc w:val="center"/>
        <w:outlineLvl w:val="0"/>
        <w:rPr>
          <w:rFonts w:ascii="新宋体" w:hAnsi="新宋体" w:eastAsia="新宋体" w:cs="新宋体"/>
          <w:b/>
          <w:bCs/>
          <w:sz w:val="32"/>
          <w:szCs w:val="32"/>
        </w:rPr>
      </w:pPr>
      <w:bookmarkStart w:id="29" w:name="_Toc16633"/>
      <w:bookmarkStart w:id="30" w:name="_Toc20903"/>
      <w:r>
        <w:rPr>
          <w:rFonts w:hint="eastAsia" w:ascii="新宋体" w:hAnsi="新宋体" w:eastAsia="新宋体" w:cs="新宋体"/>
          <w:b/>
          <w:bCs/>
          <w:sz w:val="32"/>
          <w:szCs w:val="32"/>
        </w:rPr>
        <w:br w:type="page"/>
      </w:r>
      <w:bookmarkEnd w:id="29"/>
      <w:bookmarkEnd w:id="30"/>
      <w:bookmarkStart w:id="31" w:name="_Toc22502"/>
      <w:r>
        <w:rPr>
          <w:rFonts w:hint="eastAsia" w:ascii="新宋体" w:hAnsi="新宋体" w:eastAsia="新宋体" w:cs="新宋体"/>
          <w:b/>
          <w:bCs/>
          <w:sz w:val="32"/>
          <w:szCs w:val="32"/>
        </w:rPr>
        <w:t>第二部分   合同主要条款</w:t>
      </w:r>
      <w:bookmarkEnd w:id="31"/>
    </w:p>
    <w:p w14:paraId="18CEA5C5">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甲方：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（招标人）</w:t>
      </w:r>
    </w:p>
    <w:p w14:paraId="08189549">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szCs w:val="22"/>
        </w:rPr>
        <w:t>乙方：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（中标银行）</w:t>
      </w:r>
    </w:p>
    <w:p w14:paraId="54E66CE7">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u w:val="single"/>
        </w:rPr>
        <w:t xml:space="preserve">                 </w:t>
      </w:r>
      <w:r>
        <w:rPr>
          <w:rFonts w:hint="eastAsia" w:ascii="新宋体" w:hAnsi="新宋体" w:eastAsia="新宋体" w:cs="新宋体"/>
          <w:sz w:val="22"/>
        </w:rPr>
        <w:t>（甲方名称）的</w:t>
      </w:r>
      <w:r>
        <w:rPr>
          <w:rFonts w:hint="eastAsia" w:ascii="新宋体" w:hAnsi="新宋体" w:eastAsia="新宋体" w:cs="新宋体"/>
          <w:sz w:val="22"/>
          <w:u w:val="single"/>
        </w:rPr>
        <w:t xml:space="preserve">               </w:t>
      </w:r>
      <w:r>
        <w:rPr>
          <w:rFonts w:hint="eastAsia" w:ascii="新宋体" w:hAnsi="新宋体" w:eastAsia="新宋体" w:cs="新宋体"/>
          <w:sz w:val="22"/>
        </w:rPr>
        <w:t>（项目名称、编号）在国内以公开招标方式进行招标，经评标委员会评定</w:t>
      </w:r>
      <w:r>
        <w:rPr>
          <w:rFonts w:hint="eastAsia" w:ascii="新宋体" w:hAnsi="新宋体" w:eastAsia="新宋体" w:cs="新宋体"/>
          <w:sz w:val="22"/>
          <w:u w:val="single"/>
        </w:rPr>
        <w:t xml:space="preserve">                 </w:t>
      </w:r>
      <w:r>
        <w:rPr>
          <w:rFonts w:hint="eastAsia" w:ascii="新宋体" w:hAnsi="新宋体" w:eastAsia="新宋体" w:cs="新宋体"/>
          <w:sz w:val="22"/>
        </w:rPr>
        <w:t>（乙方名称）为中标银行。甲、乙双方本着诚信及互利互惠的原则，同意按照下面条款和条件，签署本合同。</w:t>
      </w:r>
    </w:p>
    <w:p w14:paraId="197F1AEE">
      <w:pPr>
        <w:spacing w:line="460" w:lineRule="exact"/>
        <w:ind w:firstLine="442" w:firstLineChars="200"/>
        <w:rPr>
          <w:rFonts w:ascii="新宋体" w:hAnsi="新宋体" w:eastAsia="新宋体" w:cs="新宋体"/>
          <w:b/>
          <w:sz w:val="22"/>
        </w:rPr>
      </w:pPr>
      <w:bookmarkStart w:id="32" w:name="_Toc866"/>
      <w:bookmarkStart w:id="33" w:name="_Toc22047"/>
      <w:bookmarkStart w:id="34" w:name="_Toc13310"/>
      <w:bookmarkStart w:id="35" w:name="_Toc13841"/>
      <w:bookmarkStart w:id="36" w:name="_Toc25317"/>
      <w:r>
        <w:rPr>
          <w:rFonts w:hint="eastAsia" w:ascii="新宋体" w:hAnsi="新宋体" w:eastAsia="新宋体" w:cs="新宋体"/>
          <w:b/>
          <w:sz w:val="22"/>
        </w:rPr>
        <w:t>一、本合同文件的优先次序</w:t>
      </w:r>
      <w:bookmarkEnd w:id="32"/>
      <w:bookmarkEnd w:id="33"/>
      <w:bookmarkEnd w:id="34"/>
      <w:bookmarkEnd w:id="35"/>
      <w:bookmarkEnd w:id="36"/>
    </w:p>
    <w:p w14:paraId="706CE3F9">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合同文件由以下文件组成，如存在歧义或不一致则根据以下优先次序来判断：</w:t>
      </w:r>
    </w:p>
    <w:p w14:paraId="63A1251C">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1</w:t>
      </w:r>
      <w:r>
        <w:rPr>
          <w:rFonts w:hint="eastAsia" w:ascii="新宋体" w:hAnsi="新宋体" w:eastAsia="新宋体" w:cs="新宋体"/>
          <w:kern w:val="0"/>
          <w:sz w:val="22"/>
          <w:szCs w:val="22"/>
        </w:rPr>
        <w:t>、</w:t>
      </w:r>
      <w:r>
        <w:rPr>
          <w:rFonts w:hint="eastAsia" w:ascii="新宋体" w:hAnsi="新宋体" w:eastAsia="新宋体" w:cs="新宋体"/>
          <w:sz w:val="22"/>
        </w:rPr>
        <w:t>合同书及合同补充条款或说明</w:t>
      </w:r>
    </w:p>
    <w:p w14:paraId="35409DCC">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2</w:t>
      </w:r>
      <w:r>
        <w:rPr>
          <w:rFonts w:hint="eastAsia" w:ascii="新宋体" w:hAnsi="新宋体" w:eastAsia="新宋体" w:cs="新宋体"/>
          <w:kern w:val="0"/>
          <w:sz w:val="22"/>
          <w:szCs w:val="22"/>
        </w:rPr>
        <w:t>、</w:t>
      </w:r>
      <w:r>
        <w:rPr>
          <w:rFonts w:hint="eastAsia" w:ascii="新宋体" w:hAnsi="新宋体" w:eastAsia="新宋体" w:cs="新宋体"/>
          <w:sz w:val="22"/>
        </w:rPr>
        <w:t>中标通知书</w:t>
      </w:r>
    </w:p>
    <w:p w14:paraId="6E11E301">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3</w:t>
      </w:r>
      <w:r>
        <w:rPr>
          <w:rFonts w:hint="eastAsia" w:ascii="新宋体" w:hAnsi="新宋体" w:eastAsia="新宋体" w:cs="新宋体"/>
          <w:kern w:val="0"/>
          <w:sz w:val="22"/>
          <w:szCs w:val="22"/>
        </w:rPr>
        <w:t>、</w:t>
      </w:r>
      <w:r>
        <w:rPr>
          <w:rFonts w:hint="eastAsia" w:ascii="新宋体" w:hAnsi="新宋体" w:eastAsia="新宋体" w:cs="新宋体"/>
          <w:sz w:val="22"/>
        </w:rPr>
        <w:t>承诺书（含询标记录和优惠条款）</w:t>
      </w:r>
    </w:p>
    <w:p w14:paraId="28506408">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4</w:t>
      </w:r>
      <w:r>
        <w:rPr>
          <w:rFonts w:hint="eastAsia" w:ascii="新宋体" w:hAnsi="新宋体" w:eastAsia="新宋体" w:cs="新宋体"/>
          <w:kern w:val="0"/>
          <w:sz w:val="22"/>
          <w:szCs w:val="22"/>
        </w:rPr>
        <w:t>、</w:t>
      </w:r>
      <w:r>
        <w:rPr>
          <w:rFonts w:hint="eastAsia" w:ascii="新宋体" w:hAnsi="新宋体" w:eastAsia="新宋体" w:cs="新宋体"/>
          <w:sz w:val="22"/>
        </w:rPr>
        <w:t>投标文件</w:t>
      </w:r>
    </w:p>
    <w:p w14:paraId="24456145">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5</w:t>
      </w:r>
      <w:r>
        <w:rPr>
          <w:rFonts w:hint="eastAsia" w:ascii="新宋体" w:hAnsi="新宋体" w:eastAsia="新宋体" w:cs="新宋体"/>
          <w:kern w:val="0"/>
          <w:sz w:val="22"/>
          <w:szCs w:val="22"/>
        </w:rPr>
        <w:t>、</w:t>
      </w:r>
      <w:r>
        <w:rPr>
          <w:rFonts w:hint="eastAsia" w:ascii="新宋体" w:hAnsi="新宋体" w:eastAsia="新宋体" w:cs="新宋体"/>
          <w:sz w:val="22"/>
        </w:rPr>
        <w:t>招标文件</w:t>
      </w:r>
    </w:p>
    <w:p w14:paraId="68604018">
      <w:pPr>
        <w:spacing w:line="460" w:lineRule="exact"/>
        <w:ind w:firstLine="442" w:firstLineChars="200"/>
        <w:rPr>
          <w:rFonts w:ascii="新宋体" w:hAnsi="新宋体" w:eastAsia="新宋体" w:cs="新宋体"/>
          <w:kern w:val="0"/>
          <w:sz w:val="22"/>
          <w:szCs w:val="22"/>
        </w:rPr>
      </w:pPr>
      <w:bookmarkStart w:id="37" w:name="_Toc22620"/>
      <w:bookmarkStart w:id="38" w:name="_Toc27993"/>
      <w:bookmarkStart w:id="39" w:name="_Toc12079"/>
      <w:bookmarkStart w:id="40" w:name="_Toc26990"/>
      <w:bookmarkStart w:id="41" w:name="_Toc9173"/>
      <w:r>
        <w:rPr>
          <w:rFonts w:hint="eastAsia" w:ascii="新宋体" w:hAnsi="新宋体" w:eastAsia="新宋体" w:cs="新宋体"/>
          <w:b/>
          <w:sz w:val="22"/>
        </w:rPr>
        <w:t>二、总则</w:t>
      </w:r>
      <w:bookmarkEnd w:id="37"/>
      <w:bookmarkEnd w:id="38"/>
      <w:bookmarkEnd w:id="39"/>
      <w:bookmarkEnd w:id="40"/>
      <w:bookmarkEnd w:id="41"/>
    </w:p>
    <w:p w14:paraId="6D94090E">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1</w:t>
      </w:r>
      <w:r>
        <w:rPr>
          <w:rFonts w:hint="eastAsia" w:ascii="新宋体" w:hAnsi="新宋体" w:eastAsia="新宋体" w:cs="新宋体"/>
          <w:kern w:val="0"/>
          <w:sz w:val="22"/>
          <w:szCs w:val="22"/>
        </w:rPr>
        <w:t>、参考</w:t>
      </w:r>
      <w:r>
        <w:rPr>
          <w:rFonts w:hint="eastAsia" w:ascii="新宋体" w:hAnsi="新宋体" w:eastAsia="新宋体" w:cs="新宋体"/>
          <w:sz w:val="22"/>
          <w:szCs w:val="22"/>
        </w:rPr>
        <w:t>招投标相关法律法规和根据《关于防止领导干部在公款存放方面发生利益冲突和利益输送的办法》(浙委办发〔2015〕8号)、《关于印发龙湾区行政事业单位公款竞争性存放管理办法的通知》温龙政办发〔2022〕30号等文件的规定</w:t>
      </w:r>
      <w:r>
        <w:rPr>
          <w:rFonts w:hint="eastAsia" w:ascii="新宋体" w:hAnsi="新宋体" w:eastAsia="新宋体" w:cs="新宋体"/>
          <w:sz w:val="22"/>
        </w:rPr>
        <w:t>，经甲乙双方平等协商，签订本合同。</w:t>
      </w:r>
    </w:p>
    <w:p w14:paraId="6C68E26F">
      <w:pPr>
        <w:spacing w:line="460" w:lineRule="exact"/>
        <w:ind w:firstLine="440" w:firstLineChars="200"/>
        <w:rPr>
          <w:rFonts w:ascii="新宋体" w:hAnsi="新宋体" w:eastAsia="新宋体" w:cs="新宋体"/>
          <w:b/>
          <w:bCs/>
          <w:sz w:val="22"/>
          <w:szCs w:val="22"/>
        </w:rPr>
      </w:pPr>
      <w:r>
        <w:rPr>
          <w:rFonts w:hint="eastAsia" w:ascii="新宋体" w:hAnsi="新宋体" w:eastAsia="新宋体" w:cs="新宋体"/>
          <w:sz w:val="22"/>
        </w:rPr>
        <w:t>2、</w:t>
      </w:r>
      <w:r>
        <w:rPr>
          <w:rFonts w:hint="eastAsia" w:ascii="新宋体" w:hAnsi="新宋体" w:eastAsia="新宋体" w:cs="新宋体"/>
          <w:b/>
          <w:bCs/>
          <w:sz w:val="22"/>
          <w:szCs w:val="22"/>
        </w:rPr>
        <w:t>经招标确定，</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单位在乙方存放资金</w:t>
      </w:r>
      <w:r>
        <w:rPr>
          <w:rFonts w:hint="eastAsia" w:ascii="新宋体" w:hAnsi="新宋体" w:eastAsia="新宋体" w:cs="新宋体"/>
          <w:b/>
          <w:bCs/>
          <w:sz w:val="22"/>
          <w:szCs w:val="22"/>
          <w:lang w:val="en-US" w:eastAsia="zh-CN"/>
        </w:rPr>
        <w:t>人民币（大写）</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万元</w:t>
      </w:r>
      <w:r>
        <w:rPr>
          <w:rFonts w:hint="eastAsia" w:ascii="新宋体" w:hAnsi="新宋体" w:eastAsia="新宋体" w:cs="新宋体"/>
          <w:b/>
          <w:bCs/>
          <w:sz w:val="22"/>
          <w:szCs w:val="22"/>
          <w:lang w:eastAsia="zh-CN"/>
        </w:rPr>
        <w:t>（￥</w:t>
      </w:r>
      <w:r>
        <w:rPr>
          <w:rFonts w:hint="eastAsia" w:ascii="新宋体" w:hAnsi="新宋体" w:eastAsia="新宋体" w:cs="新宋体"/>
          <w:b/>
          <w:bCs/>
          <w:sz w:val="22"/>
          <w:szCs w:val="22"/>
          <w:lang w:val="en-US" w:eastAsia="zh-CN"/>
        </w:rPr>
        <w:t xml:space="preserve">       </w:t>
      </w:r>
      <w:r>
        <w:rPr>
          <w:rFonts w:hint="eastAsia" w:ascii="新宋体" w:hAnsi="新宋体" w:eastAsia="新宋体" w:cs="新宋体"/>
          <w:b/>
          <w:bCs/>
          <w:sz w:val="22"/>
          <w:szCs w:val="22"/>
          <w:lang w:eastAsia="zh-CN"/>
        </w:rPr>
        <w:t>）</w:t>
      </w:r>
      <w:r>
        <w:rPr>
          <w:rFonts w:hint="eastAsia" w:ascii="新宋体" w:hAnsi="新宋体" w:eastAsia="新宋体" w:cs="新宋体"/>
          <w:b/>
          <w:bCs/>
          <w:sz w:val="22"/>
          <w:szCs w:val="22"/>
        </w:rPr>
        <w:t>，存放期限</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（自</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年</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月</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日起至</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年</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月</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日止），定期存款利率</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。（乙方指定办理存款的分支机构为：</w:t>
      </w:r>
      <w:r>
        <w:rPr>
          <w:rFonts w:hint="eastAsia" w:ascii="新宋体" w:hAnsi="新宋体" w:eastAsia="新宋体" w:cs="新宋体"/>
          <w:b/>
          <w:bCs/>
          <w:sz w:val="22"/>
          <w:szCs w:val="22"/>
          <w:u w:val="single"/>
        </w:rPr>
        <w:t xml:space="preserve">                         </w:t>
      </w:r>
      <w:r>
        <w:rPr>
          <w:rFonts w:hint="eastAsia" w:ascii="新宋体" w:hAnsi="新宋体" w:eastAsia="新宋体" w:cs="新宋体"/>
          <w:b/>
          <w:bCs/>
          <w:sz w:val="22"/>
          <w:szCs w:val="22"/>
        </w:rPr>
        <w:t>）。</w:t>
      </w:r>
    </w:p>
    <w:p w14:paraId="6EEAB1E8">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lang w:val="en-US" w:eastAsia="zh-CN"/>
        </w:rPr>
        <w:t>三、双方</w:t>
      </w:r>
      <w:r>
        <w:rPr>
          <w:rFonts w:hint="eastAsia" w:ascii="新宋体" w:hAnsi="新宋体" w:eastAsia="新宋体" w:cs="新宋体"/>
          <w:b/>
          <w:bCs/>
          <w:sz w:val="22"/>
          <w:szCs w:val="22"/>
        </w:rPr>
        <w:t>权利与义务</w:t>
      </w:r>
    </w:p>
    <w:p w14:paraId="10F26C03">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（一）甲方权利</w:t>
      </w:r>
      <w:r>
        <w:rPr>
          <w:rFonts w:hint="eastAsia" w:ascii="新宋体" w:hAnsi="新宋体" w:eastAsia="新宋体" w:cs="新宋体"/>
          <w:sz w:val="22"/>
          <w:szCs w:val="22"/>
          <w:lang w:val="en-US" w:eastAsia="zh-CN"/>
        </w:rPr>
        <w:t>与义务</w:t>
      </w:r>
      <w:r>
        <w:rPr>
          <w:rFonts w:hint="eastAsia" w:ascii="新宋体" w:hAnsi="新宋体" w:eastAsia="新宋体" w:cs="新宋体"/>
          <w:sz w:val="22"/>
          <w:szCs w:val="22"/>
        </w:rPr>
        <w:t>：</w:t>
      </w:r>
    </w:p>
    <w:p w14:paraId="3E2D1969">
      <w:pPr>
        <w:spacing w:line="460" w:lineRule="exact"/>
        <w:ind w:firstLine="440" w:firstLineChars="200"/>
        <w:rPr>
          <w:rFonts w:hint="eastAsia" w:ascii="新宋体" w:hAnsi="新宋体" w:eastAsia="新宋体" w:cs="新宋体"/>
          <w:kern w:val="0"/>
          <w:sz w:val="22"/>
          <w:szCs w:val="22"/>
        </w:rPr>
      </w:pPr>
      <w:r>
        <w:rPr>
          <w:rFonts w:hint="eastAsia" w:ascii="新宋体" w:hAnsi="新宋体" w:eastAsia="新宋体" w:cs="新宋体"/>
          <w:sz w:val="22"/>
          <w:szCs w:val="22"/>
        </w:rPr>
        <w:t>1、</w:t>
      </w:r>
      <w:r>
        <w:rPr>
          <w:rFonts w:hint="eastAsia" w:ascii="新宋体" w:hAnsi="新宋体" w:eastAsia="新宋体" w:cs="新宋体"/>
          <w:kern w:val="0"/>
          <w:sz w:val="22"/>
          <w:szCs w:val="22"/>
        </w:rPr>
        <w:t>按合同约定开户及存放资金；</w:t>
      </w:r>
    </w:p>
    <w:p w14:paraId="6A99EC35">
      <w:pPr>
        <w:spacing w:line="460" w:lineRule="exact"/>
        <w:ind w:firstLine="440" w:firstLineChars="200"/>
        <w:rPr>
          <w:rFonts w:hint="eastAsia" w:ascii="新宋体" w:hAnsi="新宋体" w:eastAsia="新宋体" w:cs="新宋体"/>
          <w:sz w:val="22"/>
          <w:szCs w:val="22"/>
          <w:lang w:eastAsia="zh-CN"/>
        </w:rPr>
      </w:pPr>
      <w:r>
        <w:rPr>
          <w:rFonts w:hint="eastAsia" w:ascii="新宋体" w:hAnsi="新宋体" w:eastAsia="新宋体" w:cs="新宋体"/>
          <w:kern w:val="0"/>
          <w:sz w:val="22"/>
          <w:szCs w:val="22"/>
          <w:lang w:val="en-US" w:eastAsia="zh-CN"/>
        </w:rPr>
        <w:t>2、</w:t>
      </w:r>
      <w:r>
        <w:rPr>
          <w:rFonts w:hint="eastAsia" w:ascii="新宋体" w:hAnsi="新宋体" w:eastAsia="新宋体" w:cs="新宋体"/>
          <w:sz w:val="22"/>
          <w:szCs w:val="22"/>
        </w:rPr>
        <w:t>按合同约定获取存款利息</w:t>
      </w:r>
      <w:r>
        <w:rPr>
          <w:rFonts w:hint="eastAsia" w:ascii="新宋体" w:hAnsi="新宋体" w:eastAsia="新宋体" w:cs="新宋体"/>
          <w:sz w:val="22"/>
          <w:szCs w:val="22"/>
          <w:lang w:eastAsia="zh-CN"/>
        </w:rPr>
        <w:t>；</w:t>
      </w:r>
    </w:p>
    <w:p w14:paraId="409D2B46">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lang w:val="en-US" w:eastAsia="zh-CN"/>
        </w:rPr>
        <w:t>3、按合同约定办理提前支取、到期支取等手续；</w:t>
      </w:r>
    </w:p>
    <w:p w14:paraId="049EBAF3">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4、对</w:t>
      </w:r>
      <w:r>
        <w:rPr>
          <w:rFonts w:hint="eastAsia" w:ascii="新宋体" w:hAnsi="新宋体" w:eastAsia="新宋体" w:cs="新宋体"/>
          <w:kern w:val="0"/>
          <w:sz w:val="22"/>
          <w:szCs w:val="22"/>
          <w:lang w:val="en-US" w:eastAsia="zh-CN"/>
        </w:rPr>
        <w:t>本合同</w:t>
      </w:r>
      <w:r>
        <w:rPr>
          <w:rFonts w:hint="eastAsia" w:ascii="新宋体" w:hAnsi="新宋体" w:eastAsia="新宋体" w:cs="新宋体"/>
          <w:kern w:val="0"/>
          <w:sz w:val="22"/>
          <w:szCs w:val="22"/>
        </w:rPr>
        <w:t>资金存款业务实施监督管理；</w:t>
      </w:r>
    </w:p>
    <w:p w14:paraId="24B0BCF5">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rPr>
        <w:t>、在</w:t>
      </w:r>
      <w:r>
        <w:rPr>
          <w:rFonts w:hint="eastAsia" w:ascii="新宋体" w:hAnsi="新宋体" w:eastAsia="新宋体" w:cs="新宋体"/>
          <w:kern w:val="0"/>
          <w:sz w:val="22"/>
          <w:szCs w:val="22"/>
        </w:rPr>
        <w:t>乙方不按约定提供服务时，甲方有权更改开户行并撤回存放的资金；</w:t>
      </w:r>
    </w:p>
    <w:p w14:paraId="62E217D1">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kern w:val="0"/>
          <w:sz w:val="22"/>
          <w:szCs w:val="22"/>
          <w:lang w:val="en-US" w:eastAsia="zh-CN"/>
        </w:rPr>
        <w:t>6</w:t>
      </w:r>
      <w:r>
        <w:rPr>
          <w:rFonts w:hint="eastAsia" w:ascii="新宋体" w:hAnsi="新宋体" w:eastAsia="新宋体" w:cs="新宋体"/>
          <w:kern w:val="0"/>
          <w:sz w:val="22"/>
          <w:szCs w:val="22"/>
        </w:rPr>
        <w:t>、</w:t>
      </w:r>
      <w:r>
        <w:rPr>
          <w:rFonts w:hint="eastAsia" w:ascii="新宋体" w:hAnsi="新宋体" w:eastAsia="新宋体" w:cs="新宋体"/>
          <w:kern w:val="0"/>
          <w:sz w:val="22"/>
          <w:szCs w:val="22"/>
          <w:lang w:eastAsia="zh-CN"/>
        </w:rPr>
        <w:t>其他</w:t>
      </w:r>
      <w:r>
        <w:rPr>
          <w:rFonts w:hint="eastAsia" w:ascii="新宋体" w:hAnsi="新宋体" w:eastAsia="新宋体" w:cs="新宋体"/>
          <w:kern w:val="0"/>
          <w:sz w:val="22"/>
          <w:szCs w:val="22"/>
          <w:u w:val="single"/>
        </w:rPr>
        <w:t xml:space="preserve">                                   </w:t>
      </w:r>
      <w:r>
        <w:rPr>
          <w:rFonts w:hint="eastAsia" w:ascii="新宋体" w:hAnsi="新宋体" w:eastAsia="新宋体" w:cs="新宋体"/>
          <w:kern w:val="0"/>
          <w:sz w:val="22"/>
          <w:szCs w:val="22"/>
        </w:rPr>
        <w:t>。</w:t>
      </w:r>
    </w:p>
    <w:p w14:paraId="78A3D2FA">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（二）乙方</w:t>
      </w:r>
      <w:r>
        <w:rPr>
          <w:rFonts w:hint="eastAsia" w:ascii="新宋体" w:hAnsi="新宋体" w:eastAsia="新宋体" w:cs="新宋体"/>
          <w:bCs/>
          <w:sz w:val="22"/>
          <w:szCs w:val="22"/>
          <w:lang w:val="en-US" w:eastAsia="zh-CN"/>
        </w:rPr>
        <w:t>权利与</w:t>
      </w:r>
      <w:r>
        <w:rPr>
          <w:rFonts w:hint="eastAsia" w:ascii="新宋体" w:hAnsi="新宋体" w:eastAsia="新宋体" w:cs="新宋体"/>
          <w:bCs/>
          <w:sz w:val="22"/>
          <w:szCs w:val="22"/>
        </w:rPr>
        <w:t>义务：</w:t>
      </w:r>
    </w:p>
    <w:p w14:paraId="149A5D7A">
      <w:pPr>
        <w:spacing w:line="460" w:lineRule="exact"/>
        <w:ind w:firstLine="440" w:firstLineChars="200"/>
        <w:rPr>
          <w:rFonts w:hint="eastAsia" w:ascii="新宋体" w:hAnsi="新宋体" w:eastAsia="新宋体" w:cs="新宋体"/>
          <w:bCs/>
          <w:sz w:val="22"/>
          <w:szCs w:val="22"/>
          <w:lang w:val="en-US" w:eastAsia="zh-CN"/>
        </w:rPr>
      </w:pPr>
      <w:r>
        <w:rPr>
          <w:rFonts w:hint="eastAsia" w:ascii="新宋体" w:hAnsi="新宋体" w:eastAsia="新宋体" w:cs="新宋体"/>
          <w:bCs/>
          <w:sz w:val="22"/>
          <w:szCs w:val="22"/>
        </w:rPr>
        <w:t>1、</w:t>
      </w:r>
      <w:r>
        <w:rPr>
          <w:rFonts w:hint="eastAsia" w:ascii="新宋体" w:hAnsi="新宋体" w:eastAsia="新宋体" w:cs="新宋体"/>
          <w:bCs/>
          <w:sz w:val="22"/>
          <w:szCs w:val="22"/>
          <w:lang w:val="en-US" w:eastAsia="zh-CN"/>
        </w:rPr>
        <w:t>按合同约定为甲方开立存款账户并提供相关服务；</w:t>
      </w:r>
    </w:p>
    <w:p w14:paraId="3BF2F1BA">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2、</w:t>
      </w:r>
      <w:r>
        <w:rPr>
          <w:rFonts w:hint="eastAsia" w:ascii="新宋体" w:hAnsi="新宋体" w:eastAsia="新宋体" w:cs="新宋体"/>
          <w:bCs/>
          <w:sz w:val="22"/>
          <w:szCs w:val="22"/>
        </w:rPr>
        <w:t>按规定预留甲方印鉴、办理账户信息备案手续；</w:t>
      </w:r>
    </w:p>
    <w:p w14:paraId="26C4644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3、</w:t>
      </w:r>
      <w:r>
        <w:rPr>
          <w:rFonts w:hint="eastAsia" w:ascii="新宋体" w:hAnsi="新宋体" w:eastAsia="新宋体" w:cs="新宋体"/>
          <w:bCs/>
          <w:sz w:val="22"/>
          <w:szCs w:val="22"/>
        </w:rPr>
        <w:t>向甲方提供开户及存款证明；</w:t>
      </w:r>
    </w:p>
    <w:p w14:paraId="39878ED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4</w:t>
      </w:r>
      <w:r>
        <w:rPr>
          <w:rFonts w:hint="eastAsia" w:ascii="新宋体" w:hAnsi="新宋体" w:eastAsia="新宋体" w:cs="新宋体"/>
          <w:bCs/>
          <w:sz w:val="22"/>
          <w:szCs w:val="22"/>
        </w:rPr>
        <w:t>、提供甲方单位资金存放期存款相关单据及报表；</w:t>
      </w:r>
    </w:p>
    <w:p w14:paraId="2A2FDC54">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5、</w:t>
      </w:r>
      <w:r>
        <w:rPr>
          <w:rFonts w:hint="default" w:ascii="新宋体" w:hAnsi="新宋体" w:eastAsia="新宋体" w:cs="新宋体"/>
          <w:bCs/>
          <w:sz w:val="22"/>
          <w:szCs w:val="22"/>
          <w:lang w:val="en-US"/>
        </w:rPr>
        <w:t>确保</w:t>
      </w:r>
      <w:r>
        <w:rPr>
          <w:rFonts w:hint="eastAsia" w:ascii="新宋体" w:hAnsi="新宋体" w:eastAsia="新宋体" w:cs="新宋体"/>
          <w:bCs/>
          <w:sz w:val="22"/>
          <w:szCs w:val="22"/>
        </w:rPr>
        <w:t>甲方资金在开户及存款期间的资金安全；</w:t>
      </w:r>
    </w:p>
    <w:p w14:paraId="00EFC075">
      <w:pPr>
        <w:spacing w:line="460" w:lineRule="exact"/>
        <w:ind w:firstLine="440" w:firstLineChars="200"/>
        <w:rPr>
          <w:rFonts w:hint="eastAsia" w:ascii="新宋体" w:hAnsi="新宋体" w:eastAsia="新宋体" w:cs="新宋体"/>
          <w:bCs/>
          <w:sz w:val="22"/>
          <w:szCs w:val="22"/>
          <w:lang w:val="en-US" w:eastAsia="zh-CN"/>
        </w:rPr>
      </w:pPr>
      <w:r>
        <w:rPr>
          <w:rFonts w:hint="eastAsia" w:ascii="新宋体" w:hAnsi="新宋体" w:eastAsia="新宋体" w:cs="新宋体"/>
          <w:bCs/>
          <w:sz w:val="22"/>
          <w:szCs w:val="22"/>
          <w:lang w:val="en-US" w:eastAsia="zh-CN"/>
        </w:rPr>
        <w:t>6、按合同约定的利率、期限和方式为甲方存款计付利息；</w:t>
      </w:r>
    </w:p>
    <w:p w14:paraId="4D1DB56B">
      <w:pPr>
        <w:spacing w:line="460" w:lineRule="exact"/>
        <w:ind w:firstLine="440" w:firstLineChars="200"/>
        <w:rPr>
          <w:rFonts w:hint="eastAsia" w:ascii="新宋体" w:hAnsi="新宋体" w:eastAsia="新宋体" w:cs="新宋体"/>
          <w:bCs/>
          <w:sz w:val="22"/>
          <w:szCs w:val="22"/>
          <w:lang w:val="en-US" w:eastAsia="zh-CN"/>
        </w:rPr>
      </w:pPr>
      <w:r>
        <w:rPr>
          <w:rFonts w:hint="eastAsia" w:ascii="新宋体" w:hAnsi="新宋体" w:eastAsia="新宋体" w:cs="新宋体"/>
          <w:bCs/>
          <w:sz w:val="22"/>
          <w:szCs w:val="22"/>
          <w:lang w:val="en-US" w:eastAsia="zh-CN"/>
        </w:rPr>
        <w:t>7、按合同约定办理甲方提出的支取业务申请；</w:t>
      </w:r>
    </w:p>
    <w:p w14:paraId="1ACDB758">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8</w:t>
      </w:r>
      <w:r>
        <w:rPr>
          <w:rFonts w:hint="eastAsia" w:ascii="新宋体" w:hAnsi="新宋体" w:eastAsia="新宋体" w:cs="新宋体"/>
          <w:bCs/>
          <w:sz w:val="22"/>
          <w:szCs w:val="22"/>
        </w:rPr>
        <w:t>、存款到期及时足额缴清甲方存款本息；</w:t>
      </w:r>
    </w:p>
    <w:p w14:paraId="4DA9CFDB">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9</w:t>
      </w:r>
      <w:r>
        <w:rPr>
          <w:rFonts w:hint="eastAsia" w:ascii="新宋体" w:hAnsi="新宋体" w:eastAsia="新宋体" w:cs="新宋体"/>
          <w:bCs/>
          <w:sz w:val="22"/>
          <w:szCs w:val="22"/>
        </w:rPr>
        <w:t>、监测存款有关情况，并及时通报甲方；</w:t>
      </w:r>
    </w:p>
    <w:p w14:paraId="520C71DA">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lang w:val="en-US" w:eastAsia="zh-CN"/>
        </w:rPr>
        <w:t>10</w:t>
      </w:r>
      <w:r>
        <w:rPr>
          <w:rFonts w:hint="eastAsia" w:ascii="新宋体" w:hAnsi="新宋体" w:eastAsia="新宋体" w:cs="新宋体"/>
          <w:bCs/>
          <w:sz w:val="22"/>
          <w:szCs w:val="22"/>
        </w:rPr>
        <w:t>、配合甲方对在乙方开户及资金存款业务实施监督管理；</w:t>
      </w:r>
    </w:p>
    <w:p w14:paraId="737CC0FF">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1</w:t>
      </w:r>
      <w:r>
        <w:rPr>
          <w:rFonts w:hint="eastAsia" w:ascii="新宋体" w:hAnsi="新宋体" w:eastAsia="新宋体" w:cs="新宋体"/>
          <w:bCs/>
          <w:sz w:val="22"/>
          <w:szCs w:val="22"/>
          <w:lang w:val="en-US" w:eastAsia="zh-CN"/>
        </w:rPr>
        <w:t>1</w:t>
      </w:r>
      <w:r>
        <w:rPr>
          <w:rFonts w:hint="eastAsia" w:ascii="新宋体" w:hAnsi="新宋体" w:eastAsia="新宋体" w:cs="新宋体"/>
          <w:bCs/>
          <w:sz w:val="22"/>
          <w:szCs w:val="22"/>
        </w:rPr>
        <w:t>、</w:t>
      </w:r>
      <w:r>
        <w:rPr>
          <w:rFonts w:hint="eastAsia" w:ascii="新宋体" w:hAnsi="新宋体" w:eastAsia="新宋体" w:cs="新宋体"/>
          <w:bCs/>
          <w:sz w:val="22"/>
          <w:szCs w:val="22"/>
          <w:lang w:eastAsia="zh-CN"/>
        </w:rPr>
        <w:t>其他</w:t>
      </w:r>
      <w:r>
        <w:rPr>
          <w:rFonts w:hint="eastAsia" w:ascii="新宋体" w:hAnsi="新宋体" w:eastAsia="新宋体" w:cs="新宋体"/>
          <w:bCs/>
          <w:sz w:val="22"/>
          <w:szCs w:val="22"/>
          <w:u w:val="single"/>
        </w:rPr>
        <w:t xml:space="preserve">                                   </w:t>
      </w:r>
      <w:r>
        <w:rPr>
          <w:rFonts w:hint="eastAsia" w:ascii="新宋体" w:hAnsi="新宋体" w:eastAsia="新宋体" w:cs="新宋体"/>
          <w:bCs/>
          <w:sz w:val="22"/>
          <w:szCs w:val="22"/>
        </w:rPr>
        <w:t>。</w:t>
      </w:r>
    </w:p>
    <w:p w14:paraId="500BE2F1">
      <w:pPr>
        <w:spacing w:line="460" w:lineRule="exact"/>
        <w:ind w:firstLine="442" w:firstLineChars="200"/>
        <w:rPr>
          <w:rFonts w:ascii="新宋体" w:hAnsi="新宋体" w:eastAsia="新宋体" w:cs="新宋体"/>
          <w:b/>
          <w:bCs/>
          <w:sz w:val="22"/>
          <w:szCs w:val="22"/>
        </w:rPr>
      </w:pPr>
      <w:bookmarkStart w:id="42" w:name="_Toc6376"/>
      <w:bookmarkStart w:id="43" w:name="_Toc23627"/>
      <w:bookmarkStart w:id="44" w:name="_Toc3131"/>
      <w:bookmarkStart w:id="45" w:name="_Toc23053"/>
      <w:bookmarkStart w:id="46" w:name="_Toc14900"/>
      <w:r>
        <w:rPr>
          <w:rFonts w:hint="eastAsia" w:ascii="新宋体" w:hAnsi="新宋体" w:eastAsia="新宋体" w:cs="新宋体"/>
          <w:b/>
          <w:bCs/>
          <w:sz w:val="22"/>
          <w:szCs w:val="22"/>
          <w:lang w:val="en-US" w:eastAsia="zh-CN"/>
        </w:rPr>
        <w:t>四</w:t>
      </w:r>
      <w:r>
        <w:rPr>
          <w:rFonts w:hint="eastAsia" w:ascii="新宋体" w:hAnsi="新宋体" w:eastAsia="新宋体" w:cs="新宋体"/>
          <w:b/>
          <w:bCs/>
          <w:sz w:val="22"/>
          <w:szCs w:val="22"/>
        </w:rPr>
        <w:t>、违约责任</w:t>
      </w:r>
      <w:bookmarkEnd w:id="42"/>
      <w:bookmarkEnd w:id="43"/>
      <w:bookmarkEnd w:id="44"/>
      <w:bookmarkEnd w:id="45"/>
      <w:bookmarkEnd w:id="46"/>
    </w:p>
    <w:p w14:paraId="5A8F59EB">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除发生不可抗力外，违约责任按以下条款执行：</w:t>
      </w:r>
    </w:p>
    <w:p w14:paraId="19527971">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1、</w:t>
      </w:r>
      <w:r>
        <w:rPr>
          <w:rFonts w:hint="eastAsia" w:ascii="新宋体" w:hAnsi="新宋体" w:eastAsia="新宋体" w:cs="新宋体"/>
          <w:bCs/>
          <w:sz w:val="22"/>
          <w:szCs w:val="22"/>
          <w:lang w:val="en-US" w:eastAsia="zh-CN"/>
        </w:rPr>
        <w:t>甲方</w:t>
      </w:r>
      <w:r>
        <w:rPr>
          <w:rFonts w:hint="eastAsia" w:ascii="新宋体" w:hAnsi="新宋体" w:eastAsia="新宋体" w:cs="新宋体"/>
          <w:bCs/>
          <w:sz w:val="22"/>
          <w:szCs w:val="22"/>
        </w:rPr>
        <w:t>未按约定</w:t>
      </w:r>
      <w:r>
        <w:rPr>
          <w:rFonts w:hint="eastAsia" w:ascii="新宋体" w:hAnsi="新宋体" w:eastAsia="新宋体" w:cs="新宋体"/>
          <w:bCs/>
          <w:sz w:val="22"/>
          <w:szCs w:val="22"/>
          <w:lang w:val="en-US" w:eastAsia="zh-CN"/>
        </w:rPr>
        <w:t>时间开户并存入资金</w:t>
      </w:r>
      <w:r>
        <w:rPr>
          <w:rFonts w:hint="eastAsia" w:ascii="新宋体" w:hAnsi="新宋体" w:eastAsia="新宋体" w:cs="新宋体"/>
          <w:bCs/>
          <w:sz w:val="22"/>
          <w:szCs w:val="22"/>
        </w:rPr>
        <w:t>，视为甲方放弃存放，</w:t>
      </w:r>
      <w:r>
        <w:rPr>
          <w:rFonts w:hint="eastAsia" w:ascii="新宋体" w:hAnsi="新宋体" w:eastAsia="新宋体" w:cs="新宋体"/>
          <w:bCs/>
          <w:sz w:val="22"/>
          <w:szCs w:val="22"/>
          <w:lang w:val="en-US" w:eastAsia="zh-CN"/>
        </w:rPr>
        <w:t>本合同自动解除</w:t>
      </w:r>
      <w:r>
        <w:rPr>
          <w:rFonts w:hint="eastAsia" w:ascii="新宋体" w:hAnsi="新宋体" w:eastAsia="新宋体" w:cs="新宋体"/>
          <w:bCs/>
          <w:sz w:val="22"/>
          <w:szCs w:val="22"/>
          <w:lang w:eastAsia="zh-CN"/>
        </w:rPr>
        <w:t>，</w:t>
      </w:r>
      <w:r>
        <w:rPr>
          <w:rFonts w:hint="eastAsia" w:ascii="新宋体" w:hAnsi="新宋体" w:eastAsia="新宋体" w:cs="新宋体"/>
          <w:bCs/>
          <w:sz w:val="22"/>
          <w:szCs w:val="22"/>
          <w:lang w:val="en-US" w:eastAsia="zh-CN"/>
        </w:rPr>
        <w:t>双方互不承担违约责任</w:t>
      </w:r>
      <w:r>
        <w:rPr>
          <w:rFonts w:hint="eastAsia" w:ascii="新宋体" w:hAnsi="新宋体" w:eastAsia="新宋体" w:cs="新宋体"/>
          <w:bCs/>
          <w:sz w:val="22"/>
          <w:szCs w:val="22"/>
        </w:rPr>
        <w:t>。</w:t>
      </w:r>
    </w:p>
    <w:p w14:paraId="0C65E613">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2、乙方出现以下情形的，甲方有权解除本合同并收回存款，乙方应赔偿</w:t>
      </w:r>
      <w:r>
        <w:rPr>
          <w:rFonts w:hint="eastAsia" w:ascii="新宋体" w:hAnsi="新宋体" w:eastAsia="新宋体" w:cs="新宋体"/>
          <w:bCs/>
          <w:sz w:val="22"/>
          <w:szCs w:val="22"/>
          <w:lang w:val="en-US" w:eastAsia="zh-CN"/>
        </w:rPr>
        <w:t>甲方</w:t>
      </w:r>
      <w:r>
        <w:rPr>
          <w:rFonts w:hint="eastAsia" w:ascii="新宋体" w:hAnsi="新宋体" w:eastAsia="新宋体" w:cs="新宋体"/>
          <w:bCs/>
          <w:sz w:val="22"/>
          <w:szCs w:val="22"/>
        </w:rPr>
        <w:t>预期可得利息损失，且甲方有权取消乙方在以后各期竞争性存放的投标资格：</w:t>
      </w:r>
    </w:p>
    <w:p w14:paraId="1C28152E">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（1）出现资金安全事故和重大违法违规情况或财务恶化；</w:t>
      </w:r>
    </w:p>
    <w:p w14:paraId="01C1A23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（2）监管评级降低到招标条件以下的，或监管部门认为存在较大运营风险；</w:t>
      </w:r>
    </w:p>
    <w:p w14:paraId="414F6792">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（3）进行严重不正当投标；</w:t>
      </w:r>
    </w:p>
    <w:p w14:paraId="77B96FD4">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（4）没有按照本</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承诺履行相应的责任和义务；</w:t>
      </w:r>
    </w:p>
    <w:p w14:paraId="4566C4FC">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（5）存款本息返还及支付时间为</w:t>
      </w:r>
      <w:r>
        <w:rPr>
          <w:rFonts w:hint="eastAsia" w:ascii="新宋体" w:hAnsi="新宋体" w:eastAsia="新宋体" w:cs="新宋体"/>
          <w:bCs/>
          <w:sz w:val="22"/>
          <w:szCs w:val="22"/>
          <w:u w:val="single"/>
        </w:rPr>
        <w:t>存款期限</w:t>
      </w:r>
      <w:r>
        <w:rPr>
          <w:rFonts w:hint="eastAsia" w:ascii="新宋体" w:hAnsi="新宋体" w:eastAsia="新宋体" w:cs="新宋体"/>
          <w:bCs/>
          <w:sz w:val="22"/>
          <w:szCs w:val="22"/>
        </w:rPr>
        <w:t>届满后7日内不能及时将到期存款本息足额缴入甲方单位账户；</w:t>
      </w:r>
    </w:p>
    <w:p w14:paraId="31D725D9">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（6）</w:t>
      </w:r>
      <w:r>
        <w:rPr>
          <w:rFonts w:hint="eastAsia" w:ascii="新宋体" w:hAnsi="新宋体" w:eastAsia="新宋体" w:cs="新宋体"/>
          <w:bCs/>
          <w:sz w:val="22"/>
          <w:szCs w:val="22"/>
          <w:lang w:eastAsia="zh-CN"/>
        </w:rPr>
        <w:t>其他</w:t>
      </w:r>
      <w:r>
        <w:rPr>
          <w:rFonts w:hint="eastAsia" w:ascii="新宋体" w:hAnsi="新宋体" w:eastAsia="新宋体" w:cs="新宋体"/>
          <w:bCs/>
          <w:sz w:val="22"/>
          <w:szCs w:val="22"/>
        </w:rPr>
        <w:t>妨害资金安全的行为。</w:t>
      </w:r>
    </w:p>
    <w:p w14:paraId="5FAC906D">
      <w:pPr>
        <w:spacing w:line="460" w:lineRule="exact"/>
        <w:ind w:firstLine="442" w:firstLineChars="200"/>
        <w:rPr>
          <w:rFonts w:ascii="新宋体" w:hAnsi="新宋体" w:eastAsia="新宋体" w:cs="新宋体"/>
          <w:b/>
          <w:sz w:val="22"/>
          <w:szCs w:val="22"/>
        </w:rPr>
      </w:pPr>
      <w:bookmarkStart w:id="47" w:name="_Toc22335"/>
      <w:bookmarkStart w:id="48" w:name="_Toc26933"/>
      <w:bookmarkStart w:id="49" w:name="_Toc21738"/>
      <w:bookmarkStart w:id="50" w:name="_Toc27915"/>
      <w:bookmarkStart w:id="51" w:name="_Toc27294"/>
      <w:r>
        <w:rPr>
          <w:rFonts w:hint="eastAsia" w:ascii="新宋体" w:hAnsi="新宋体" w:eastAsia="新宋体" w:cs="新宋体"/>
          <w:b/>
          <w:sz w:val="22"/>
          <w:szCs w:val="22"/>
        </w:rPr>
        <w:t>若发生以上（1）（2）情形的，乙方应于3日内书面告知甲方，否则因此给甲方造成损失的，应全额予以赔偿（包括但不限于存款本金、预期可得利息等损失）。</w:t>
      </w:r>
    </w:p>
    <w:p w14:paraId="179CACB2">
      <w:pPr>
        <w:tabs>
          <w:tab w:val="left" w:pos="360"/>
        </w:tabs>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lang w:val="en-US" w:eastAsia="zh-CN"/>
        </w:rPr>
        <w:t>五</w:t>
      </w:r>
      <w:r>
        <w:rPr>
          <w:rFonts w:hint="eastAsia" w:ascii="新宋体" w:hAnsi="新宋体" w:eastAsia="新宋体" w:cs="新宋体"/>
          <w:b/>
          <w:bCs/>
          <w:sz w:val="22"/>
          <w:szCs w:val="22"/>
        </w:rPr>
        <w:t>、利率调整兜底条款</w:t>
      </w:r>
    </w:p>
    <w:p w14:paraId="5DFA04CC">
      <w:pPr>
        <w:tabs>
          <w:tab w:val="left" w:pos="360"/>
        </w:tabs>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1、</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有效期内，若利率相关的法律法规、规章政策调整，或中国人民银行存款基准利率、存款自律约定、银行总行或上级管理行存款利率内部授权上限等发生调整，导致</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约定的利率水平超出允许范围，乙方应</w:t>
      </w:r>
      <w:r>
        <w:rPr>
          <w:rFonts w:hint="eastAsia" w:ascii="新宋体" w:hAnsi="新宋体" w:eastAsia="新宋体" w:cs="新宋体"/>
          <w:bCs/>
          <w:sz w:val="22"/>
          <w:szCs w:val="22"/>
          <w:lang w:eastAsia="zh-CN"/>
        </w:rPr>
        <w:t>在</w:t>
      </w:r>
      <w:r>
        <w:rPr>
          <w:rFonts w:hint="eastAsia" w:ascii="新宋体" w:hAnsi="新宋体" w:eastAsia="新宋体" w:cs="新宋体"/>
          <w:bCs/>
          <w:sz w:val="22"/>
          <w:szCs w:val="22"/>
        </w:rPr>
        <w:t>本</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约定</w:t>
      </w:r>
      <w:r>
        <w:rPr>
          <w:rFonts w:hint="eastAsia" w:ascii="新宋体" w:hAnsi="新宋体" w:eastAsia="新宋体" w:cs="新宋体"/>
          <w:bCs/>
          <w:sz w:val="22"/>
          <w:szCs w:val="22"/>
          <w:lang w:eastAsia="zh-CN"/>
        </w:rPr>
        <w:t>的</w:t>
      </w:r>
      <w:r>
        <w:rPr>
          <w:rFonts w:hint="eastAsia" w:ascii="新宋体" w:hAnsi="新宋体" w:eastAsia="新宋体" w:cs="新宋体"/>
          <w:bCs/>
          <w:sz w:val="22"/>
          <w:szCs w:val="22"/>
        </w:rPr>
        <w:t>存款业务开办前及时通知甲方银行存款利率调整情况。</w:t>
      </w:r>
    </w:p>
    <w:p w14:paraId="428709D0">
      <w:pPr>
        <w:tabs>
          <w:tab w:val="left" w:pos="360"/>
        </w:tabs>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bCs/>
          <w:sz w:val="22"/>
          <w:szCs w:val="22"/>
        </w:rPr>
        <w:t>2、若乙方不能按中标利率执行的，甲方有权</w:t>
      </w:r>
      <w:r>
        <w:rPr>
          <w:rFonts w:hint="eastAsia" w:ascii="新宋体" w:hAnsi="新宋体" w:eastAsia="新宋体" w:cs="新宋体"/>
          <w:bCs/>
          <w:sz w:val="22"/>
          <w:szCs w:val="22"/>
          <w:lang w:val="en-US" w:eastAsia="zh-CN"/>
        </w:rPr>
        <w:t>单方</w:t>
      </w:r>
      <w:r>
        <w:rPr>
          <w:rFonts w:hint="eastAsia" w:ascii="新宋体" w:hAnsi="新宋体" w:eastAsia="新宋体" w:cs="新宋体"/>
          <w:bCs/>
          <w:sz w:val="22"/>
          <w:szCs w:val="22"/>
        </w:rPr>
        <w:t>提前</w:t>
      </w:r>
      <w:r>
        <w:rPr>
          <w:rFonts w:hint="eastAsia" w:ascii="新宋体" w:hAnsi="新宋体" w:eastAsia="新宋体" w:cs="新宋体"/>
          <w:bCs/>
          <w:sz w:val="22"/>
          <w:szCs w:val="22"/>
          <w:lang w:val="en-US" w:eastAsia="zh-CN"/>
        </w:rPr>
        <w:t>解除</w:t>
      </w:r>
      <w:r>
        <w:rPr>
          <w:rFonts w:hint="eastAsia" w:ascii="新宋体" w:hAnsi="新宋体" w:eastAsia="新宋体" w:cs="新宋体"/>
          <w:bCs/>
          <w:sz w:val="22"/>
          <w:szCs w:val="22"/>
        </w:rPr>
        <w:t>本</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，并以书面形式告知。若甲方选择继续执行本</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，则自相应调整生效当日起，新办理存款业务执行利率按照存款起始日利率水平允许范围内的最高限给予甲方办理存款。</w:t>
      </w:r>
    </w:p>
    <w:p w14:paraId="7C7995A7">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lang w:val="en-US" w:eastAsia="zh-CN"/>
        </w:rPr>
        <w:t>六</w:t>
      </w:r>
      <w:r>
        <w:rPr>
          <w:rFonts w:hint="eastAsia" w:ascii="新宋体" w:hAnsi="新宋体" w:eastAsia="新宋体" w:cs="新宋体"/>
          <w:b/>
          <w:sz w:val="22"/>
          <w:szCs w:val="22"/>
        </w:rPr>
        <w:t>、提前支取</w:t>
      </w:r>
      <w:bookmarkEnd w:id="47"/>
      <w:bookmarkEnd w:id="48"/>
      <w:bookmarkEnd w:id="49"/>
      <w:bookmarkEnd w:id="50"/>
      <w:bookmarkEnd w:id="51"/>
    </w:p>
    <w:p w14:paraId="0AF44E73">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1、甲方有权在到期日前提前支取定期存款且不承担任何违约责任，但至少应在5个工作日前通知乙方；</w:t>
      </w:r>
    </w:p>
    <w:p w14:paraId="6423CC79">
      <w:pPr>
        <w:spacing w:line="460" w:lineRule="exact"/>
        <w:ind w:firstLine="440" w:firstLineChars="200"/>
        <w:rPr>
          <w:rFonts w:ascii="新宋体" w:hAnsi="新宋体" w:eastAsia="新宋体" w:cs="新宋体"/>
          <w:b/>
          <w:bCs/>
          <w:sz w:val="22"/>
          <w:szCs w:val="22"/>
        </w:rPr>
      </w:pPr>
      <w:r>
        <w:rPr>
          <w:rFonts w:hint="eastAsia" w:ascii="新宋体" w:hAnsi="新宋体" w:eastAsia="新宋体" w:cs="新宋体"/>
          <w:sz w:val="22"/>
          <w:szCs w:val="22"/>
        </w:rPr>
        <w:t>2、提前支取金额的利息按国家有关利率政策计付利息。存续金额仍按原起息日、期限及存款利率计付利息。</w:t>
      </w:r>
    </w:p>
    <w:p w14:paraId="241A102B">
      <w:pPr>
        <w:spacing w:line="460" w:lineRule="exact"/>
        <w:ind w:firstLine="442" w:firstLineChars="200"/>
        <w:rPr>
          <w:rFonts w:ascii="新宋体" w:hAnsi="新宋体" w:eastAsia="新宋体" w:cs="新宋体"/>
          <w:b/>
          <w:bCs/>
          <w:sz w:val="22"/>
          <w:szCs w:val="22"/>
        </w:rPr>
      </w:pPr>
      <w:bookmarkStart w:id="52" w:name="_Toc765"/>
      <w:bookmarkStart w:id="53" w:name="_Toc20136"/>
      <w:bookmarkStart w:id="54" w:name="_Toc5333"/>
      <w:bookmarkStart w:id="55" w:name="_Toc6279"/>
      <w:bookmarkStart w:id="56" w:name="_Toc21075"/>
      <w:r>
        <w:rPr>
          <w:rFonts w:hint="eastAsia" w:ascii="新宋体" w:hAnsi="新宋体" w:eastAsia="新宋体" w:cs="新宋体"/>
          <w:b/>
          <w:bCs/>
          <w:sz w:val="22"/>
          <w:szCs w:val="22"/>
          <w:lang w:val="en-US" w:eastAsia="zh-CN"/>
        </w:rPr>
        <w:t>七</w:t>
      </w:r>
      <w:r>
        <w:rPr>
          <w:rFonts w:hint="eastAsia" w:ascii="新宋体" w:hAnsi="新宋体" w:eastAsia="新宋体" w:cs="新宋体"/>
          <w:b/>
          <w:bCs/>
          <w:sz w:val="22"/>
          <w:szCs w:val="22"/>
        </w:rPr>
        <w:t>、争议及未尽事宜：</w:t>
      </w:r>
      <w:bookmarkEnd w:id="52"/>
      <w:bookmarkEnd w:id="53"/>
      <w:bookmarkEnd w:id="54"/>
      <w:bookmarkEnd w:id="55"/>
      <w:bookmarkEnd w:id="56"/>
    </w:p>
    <w:p w14:paraId="2086C0D7">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1、有关本合同和签署本合同的争议应通过友好协商解决。如果协商不成，该争议应按照以下第（二）种方式解决：</w:t>
      </w:r>
    </w:p>
    <w:p w14:paraId="167AC00E">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（一）提交温州仲裁委员会仲裁，仲裁结果具有终结效力，双方应严格遵守；</w:t>
      </w:r>
    </w:p>
    <w:p w14:paraId="305EE364">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（二）提交甲方所在地人民法院通过诉讼解决。</w:t>
      </w:r>
    </w:p>
    <w:p w14:paraId="18E3077D">
      <w:pPr>
        <w:spacing w:line="460" w:lineRule="exact"/>
        <w:ind w:firstLine="440" w:firstLineChars="200"/>
        <w:rPr>
          <w:rFonts w:hint="eastAsia" w:ascii="新宋体" w:hAnsi="新宋体" w:eastAsia="新宋体" w:cs="新宋体"/>
          <w:bCs/>
          <w:sz w:val="22"/>
          <w:szCs w:val="22"/>
        </w:rPr>
      </w:pPr>
      <w:r>
        <w:rPr>
          <w:rFonts w:hint="eastAsia" w:ascii="新宋体" w:hAnsi="新宋体" w:eastAsia="新宋体" w:cs="新宋体"/>
          <w:bCs/>
          <w:sz w:val="22"/>
          <w:szCs w:val="22"/>
        </w:rPr>
        <w:t>2、本</w:t>
      </w:r>
      <w:r>
        <w:rPr>
          <w:rFonts w:hint="eastAsia" w:ascii="新宋体" w:hAnsi="新宋体" w:eastAsia="新宋体" w:cs="新宋体"/>
          <w:bCs/>
          <w:sz w:val="22"/>
          <w:szCs w:val="22"/>
          <w:lang w:eastAsia="zh-CN"/>
        </w:rPr>
        <w:t>合同</w:t>
      </w:r>
      <w:r>
        <w:rPr>
          <w:rFonts w:hint="eastAsia" w:ascii="新宋体" w:hAnsi="新宋体" w:eastAsia="新宋体" w:cs="新宋体"/>
          <w:bCs/>
          <w:sz w:val="22"/>
          <w:szCs w:val="22"/>
        </w:rPr>
        <w:t>未尽事宜或与国家有关</w:t>
      </w:r>
      <w:r>
        <w:rPr>
          <w:rFonts w:hint="eastAsia" w:ascii="新宋体" w:hAnsi="新宋体" w:eastAsia="新宋体" w:cs="新宋体"/>
          <w:bCs/>
          <w:sz w:val="22"/>
          <w:szCs w:val="22"/>
          <w:lang w:eastAsia="zh-CN"/>
        </w:rPr>
        <w:t>法律法规</w:t>
      </w:r>
      <w:r>
        <w:rPr>
          <w:rFonts w:hint="eastAsia" w:ascii="新宋体" w:hAnsi="新宋体" w:eastAsia="新宋体" w:cs="新宋体"/>
          <w:bCs/>
          <w:sz w:val="22"/>
          <w:szCs w:val="22"/>
        </w:rPr>
        <w:t>相悖的，均按国家有关法律、规定执行。</w:t>
      </w:r>
    </w:p>
    <w:p w14:paraId="7AFD0B8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3、任何一方就对方针对本合同项下任何条款的违约行为的自动弃权或重复性弃权不应被视为是对下一次针对同一条款的违约行为</w:t>
      </w:r>
      <w:r>
        <w:rPr>
          <w:rFonts w:hint="eastAsia" w:ascii="新宋体" w:hAnsi="新宋体" w:eastAsia="新宋体" w:cs="新宋体"/>
          <w:bCs/>
          <w:sz w:val="22"/>
          <w:szCs w:val="22"/>
          <w:lang w:eastAsia="zh-CN"/>
        </w:rPr>
        <w:t>或</w:t>
      </w:r>
      <w:r>
        <w:rPr>
          <w:rFonts w:hint="eastAsia" w:ascii="新宋体" w:hAnsi="新宋体" w:eastAsia="新宋体" w:cs="新宋体"/>
          <w:bCs/>
          <w:sz w:val="22"/>
          <w:szCs w:val="22"/>
        </w:rPr>
        <w:t>针对其他条款的违约行为的弃权。</w:t>
      </w:r>
    </w:p>
    <w:p w14:paraId="34712A24">
      <w:pPr>
        <w:spacing w:line="460" w:lineRule="exact"/>
        <w:ind w:firstLine="440" w:firstLineChars="200"/>
        <w:rPr>
          <w:rFonts w:hint="eastAsia" w:ascii="新宋体" w:hAnsi="新宋体" w:eastAsia="新宋体" w:cs="新宋体"/>
          <w:bCs/>
          <w:sz w:val="22"/>
          <w:szCs w:val="22"/>
        </w:rPr>
      </w:pPr>
      <w:bookmarkStart w:id="57" w:name="_Toc8403"/>
      <w:bookmarkStart w:id="58" w:name="_Toc14011"/>
      <w:bookmarkStart w:id="59" w:name="_Toc32663"/>
      <w:bookmarkStart w:id="60" w:name="_Toc26938"/>
      <w:bookmarkStart w:id="61" w:name="_Toc6647"/>
      <w:r>
        <w:rPr>
          <w:rFonts w:hint="eastAsia" w:ascii="新宋体" w:hAnsi="新宋体" w:eastAsia="新宋体" w:cs="新宋体"/>
          <w:bCs/>
          <w:sz w:val="22"/>
          <w:szCs w:val="22"/>
          <w:lang w:val="en-US" w:eastAsia="zh-CN"/>
        </w:rPr>
        <w:t>4、</w:t>
      </w:r>
      <w:r>
        <w:rPr>
          <w:rFonts w:hint="eastAsia" w:ascii="新宋体" w:hAnsi="新宋体" w:eastAsia="新宋体" w:cs="新宋体"/>
          <w:bCs/>
          <w:sz w:val="22"/>
          <w:szCs w:val="22"/>
        </w:rPr>
        <w:t>合同履行期间，若国家公款存放政策调整导致合同无法履行，双方可协商解除，乙方退还本金及已产生利息。</w:t>
      </w:r>
    </w:p>
    <w:p w14:paraId="24070224">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lang w:val="en-US" w:eastAsia="zh-CN"/>
        </w:rPr>
        <w:t>八</w:t>
      </w:r>
      <w:r>
        <w:rPr>
          <w:rFonts w:hint="eastAsia" w:ascii="新宋体" w:hAnsi="新宋体" w:eastAsia="新宋体" w:cs="新宋体"/>
          <w:b/>
          <w:bCs/>
          <w:sz w:val="22"/>
          <w:szCs w:val="22"/>
        </w:rPr>
        <w:t>、本合同经双方签字盖章后生效；</w:t>
      </w:r>
      <w:r>
        <w:rPr>
          <w:rFonts w:hint="eastAsia" w:ascii="新宋体" w:hAnsi="新宋体" w:eastAsia="新宋体" w:cs="新宋体"/>
          <w:b/>
          <w:bCs/>
          <w:sz w:val="22"/>
          <w:szCs w:val="22"/>
          <w:lang w:val="en-US" w:eastAsia="zh-CN"/>
        </w:rPr>
        <w:t>一式四份，</w:t>
      </w:r>
      <w:r>
        <w:rPr>
          <w:rFonts w:hint="eastAsia" w:ascii="新宋体" w:hAnsi="新宋体" w:eastAsia="新宋体" w:cs="新宋体"/>
          <w:b/>
          <w:bCs/>
          <w:sz w:val="22"/>
          <w:szCs w:val="22"/>
        </w:rPr>
        <w:t>双方各执</w:t>
      </w:r>
      <w:r>
        <w:rPr>
          <w:rFonts w:hint="eastAsia" w:ascii="新宋体" w:hAnsi="新宋体" w:eastAsia="新宋体" w:cs="新宋体"/>
          <w:b/>
          <w:bCs/>
          <w:sz w:val="22"/>
          <w:szCs w:val="22"/>
          <w:lang w:val="en-US" w:eastAsia="zh-CN"/>
        </w:rPr>
        <w:t>两</w:t>
      </w:r>
      <w:r>
        <w:rPr>
          <w:rFonts w:hint="eastAsia" w:ascii="新宋体" w:hAnsi="新宋体" w:eastAsia="新宋体" w:cs="新宋体"/>
          <w:b/>
          <w:bCs/>
          <w:sz w:val="22"/>
          <w:szCs w:val="22"/>
        </w:rPr>
        <w:t>份，具有同等法律效力。</w:t>
      </w:r>
      <w:bookmarkEnd w:id="57"/>
      <w:bookmarkEnd w:id="58"/>
      <w:bookmarkEnd w:id="59"/>
      <w:bookmarkEnd w:id="60"/>
      <w:bookmarkEnd w:id="61"/>
    </w:p>
    <w:p w14:paraId="7A06F948">
      <w:pPr>
        <w:spacing w:line="460" w:lineRule="exact"/>
        <w:ind w:firstLine="440" w:firstLineChars="200"/>
        <w:rPr>
          <w:rFonts w:ascii="新宋体" w:hAnsi="新宋体" w:eastAsia="新宋体" w:cs="新宋体"/>
          <w:bCs/>
          <w:sz w:val="22"/>
          <w:szCs w:val="22"/>
        </w:rPr>
      </w:pPr>
    </w:p>
    <w:p w14:paraId="469571DF">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甲方：                                    乙方：</w:t>
      </w:r>
    </w:p>
    <w:p w14:paraId="284378C0">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法定（委托）代表人（签字）：              法定（委托）代表人（签字）：</w:t>
      </w:r>
    </w:p>
    <w:p w14:paraId="356613B5">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项目联系人：                              项目联系人：</w:t>
      </w:r>
    </w:p>
    <w:p w14:paraId="0CAA67BD">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通信地址：                                通信地址：</w:t>
      </w:r>
    </w:p>
    <w:p w14:paraId="5B0BF7C9">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电话：                                    电话：</w:t>
      </w:r>
    </w:p>
    <w:p w14:paraId="707260FD">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传真：                                    传真：</w:t>
      </w:r>
    </w:p>
    <w:p w14:paraId="021D9A53">
      <w:pPr>
        <w:spacing w:line="460" w:lineRule="exact"/>
        <w:ind w:firstLine="440" w:firstLineChars="200"/>
        <w:rPr>
          <w:rFonts w:ascii="新宋体" w:hAnsi="新宋体" w:eastAsia="新宋体" w:cs="新宋体"/>
          <w:bCs/>
          <w:sz w:val="22"/>
          <w:szCs w:val="22"/>
        </w:rPr>
      </w:pPr>
      <w:r>
        <w:rPr>
          <w:rFonts w:hint="eastAsia" w:ascii="新宋体" w:hAnsi="新宋体" w:eastAsia="新宋体" w:cs="新宋体"/>
          <w:bCs/>
          <w:sz w:val="22"/>
          <w:szCs w:val="22"/>
        </w:rPr>
        <w:t>签字日期：       年     月    日          签字日期：     年     月    日</w:t>
      </w:r>
    </w:p>
    <w:p w14:paraId="3E2AFA2D"/>
    <w:p w14:paraId="15F0C34C">
      <w:pPr>
        <w:spacing w:line="460" w:lineRule="exact"/>
        <w:ind w:firstLine="440" w:firstLineChars="200"/>
        <w:rPr>
          <w:rFonts w:ascii="新宋体" w:hAnsi="新宋体" w:eastAsia="新宋体" w:cs="新宋体"/>
          <w:bCs/>
          <w:sz w:val="22"/>
          <w:szCs w:val="22"/>
        </w:rPr>
      </w:pPr>
    </w:p>
    <w:p w14:paraId="72B959EC">
      <w:pPr>
        <w:spacing w:line="460" w:lineRule="exact"/>
        <w:ind w:firstLine="539" w:firstLineChars="245"/>
        <w:rPr>
          <w:rFonts w:ascii="新宋体" w:hAnsi="新宋体" w:eastAsia="新宋体" w:cs="新宋体"/>
          <w:bCs/>
          <w:sz w:val="22"/>
        </w:rPr>
      </w:pPr>
    </w:p>
    <w:p w14:paraId="645ECAC6">
      <w:pPr>
        <w:spacing w:line="500" w:lineRule="exact"/>
        <w:jc w:val="center"/>
        <w:outlineLvl w:val="0"/>
        <w:rPr>
          <w:rFonts w:ascii="新宋体" w:hAnsi="新宋体" w:eastAsia="新宋体" w:cs="新宋体"/>
          <w:b/>
          <w:bCs/>
          <w:sz w:val="32"/>
          <w:szCs w:val="32"/>
        </w:rPr>
      </w:pPr>
      <w:r>
        <w:rPr>
          <w:rFonts w:hint="eastAsia" w:ascii="新宋体" w:hAnsi="新宋体" w:eastAsia="新宋体" w:cs="新宋体"/>
          <w:b/>
          <w:bCs/>
          <w:sz w:val="32"/>
          <w:szCs w:val="32"/>
        </w:rPr>
        <w:br w:type="page"/>
      </w:r>
      <w:bookmarkStart w:id="62" w:name="_Toc4742"/>
      <w:bookmarkStart w:id="63" w:name="_Toc1445"/>
      <w:bookmarkStart w:id="64" w:name="_Toc23368"/>
      <w:r>
        <w:rPr>
          <w:rFonts w:hint="eastAsia" w:ascii="新宋体" w:hAnsi="新宋体" w:eastAsia="新宋体" w:cs="新宋体"/>
          <w:b/>
          <w:bCs/>
          <w:sz w:val="32"/>
          <w:szCs w:val="32"/>
        </w:rPr>
        <w:t>第三部分   附件</w:t>
      </w:r>
      <w:bookmarkEnd w:id="62"/>
      <w:bookmarkEnd w:id="63"/>
      <w:bookmarkEnd w:id="64"/>
    </w:p>
    <w:p w14:paraId="1308D9DB">
      <w:pPr>
        <w:spacing w:line="460" w:lineRule="exact"/>
        <w:outlineLvl w:val="1"/>
        <w:rPr>
          <w:rFonts w:ascii="新宋体" w:hAnsi="新宋体" w:eastAsia="新宋体" w:cs="新宋体"/>
          <w:b/>
          <w:bCs/>
          <w:sz w:val="22"/>
          <w:szCs w:val="22"/>
        </w:rPr>
      </w:pPr>
      <w:bookmarkStart w:id="65" w:name="_Toc2777"/>
      <w:bookmarkStart w:id="66" w:name="_Toc18274"/>
      <w:bookmarkStart w:id="67" w:name="_Toc13022"/>
      <w:bookmarkStart w:id="68" w:name="_Toc22098"/>
      <w:bookmarkStart w:id="69" w:name="_Toc10088"/>
      <w:bookmarkStart w:id="70" w:name="_Toc4908"/>
      <w:r>
        <w:rPr>
          <w:rFonts w:hint="eastAsia" w:ascii="新宋体" w:hAnsi="新宋体" w:eastAsia="新宋体" w:cs="新宋体"/>
          <w:b/>
          <w:bCs/>
          <w:sz w:val="22"/>
          <w:szCs w:val="22"/>
        </w:rPr>
        <w:t>附件一</w:t>
      </w:r>
      <w:bookmarkEnd w:id="65"/>
      <w:bookmarkEnd w:id="66"/>
      <w:bookmarkEnd w:id="67"/>
      <w:bookmarkEnd w:id="68"/>
      <w:bookmarkEnd w:id="69"/>
      <w:bookmarkEnd w:id="70"/>
    </w:p>
    <w:p w14:paraId="65857749">
      <w:pPr>
        <w:spacing w:line="460" w:lineRule="exact"/>
        <w:jc w:val="center"/>
        <w:outlineLvl w:val="2"/>
        <w:rPr>
          <w:rFonts w:ascii="新宋体" w:hAnsi="新宋体" w:eastAsia="新宋体" w:cs="新宋体"/>
          <w:b/>
          <w:bCs/>
          <w:sz w:val="28"/>
          <w:szCs w:val="28"/>
        </w:rPr>
      </w:pPr>
      <w:bookmarkStart w:id="71" w:name="_Toc22630"/>
      <w:bookmarkStart w:id="72" w:name="_Toc16998"/>
      <w:bookmarkStart w:id="73" w:name="_Toc12228"/>
      <w:bookmarkStart w:id="74" w:name="_Toc14227"/>
      <w:bookmarkStart w:id="75" w:name="_Toc27140"/>
      <w:r>
        <w:rPr>
          <w:rFonts w:hint="eastAsia" w:ascii="新宋体" w:hAnsi="新宋体" w:eastAsia="新宋体" w:cs="新宋体"/>
          <w:b/>
          <w:bCs/>
          <w:sz w:val="28"/>
          <w:szCs w:val="28"/>
        </w:rPr>
        <w:t>投标函</w:t>
      </w:r>
      <w:bookmarkEnd w:id="71"/>
      <w:bookmarkEnd w:id="72"/>
      <w:bookmarkEnd w:id="73"/>
      <w:bookmarkEnd w:id="74"/>
    </w:p>
    <w:p w14:paraId="5C42A5DC">
      <w:pPr>
        <w:spacing w:line="440" w:lineRule="exact"/>
        <w:rPr>
          <w:rFonts w:ascii="新宋体" w:hAnsi="新宋体" w:eastAsia="新宋体" w:cs="新宋体"/>
          <w:b/>
          <w:bCs/>
          <w:sz w:val="22"/>
          <w:szCs w:val="22"/>
        </w:rPr>
      </w:pPr>
      <w:r>
        <w:rPr>
          <w:rFonts w:hint="eastAsia" w:ascii="新宋体" w:hAnsi="新宋体" w:eastAsia="新宋体" w:cs="新宋体"/>
          <w:b/>
          <w:bCs/>
          <w:sz w:val="22"/>
          <w:szCs w:val="22"/>
        </w:rPr>
        <w:t>致：温州市龙湾区城市建设中心(温州市龙湾区土地储备中心)</w:t>
      </w:r>
    </w:p>
    <w:p w14:paraId="7D97C54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项目（招标编号：</w:t>
      </w:r>
      <w:r>
        <w:rPr>
          <w:rFonts w:hint="eastAsia" w:ascii="新宋体" w:hAnsi="新宋体" w:eastAsia="新宋体" w:cs="新宋体"/>
          <w:bCs/>
          <w:sz w:val="22"/>
          <w:szCs w:val="22"/>
          <w:u w:val="single"/>
        </w:rPr>
        <w:t xml:space="preserve">           </w:t>
      </w:r>
      <w:r>
        <w:rPr>
          <w:rFonts w:hint="eastAsia" w:ascii="新宋体" w:hAnsi="新宋体" w:eastAsia="新宋体" w:cs="新宋体"/>
          <w:sz w:val="22"/>
          <w:szCs w:val="22"/>
        </w:rPr>
        <w:t>）的投标邀请，我方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（投标银行名称）作为投标银行正式授权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14:paraId="52BC7C4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我方已完全明白招标文件的所有条款要求，并重申以下几点：</w:t>
      </w:r>
    </w:p>
    <w:p w14:paraId="37B83CD9">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（一）本投标文件的有效期自投标截止日起</w:t>
      </w:r>
      <w:r>
        <w:rPr>
          <w:rFonts w:hint="eastAsia" w:ascii="新宋体" w:hAnsi="新宋体" w:eastAsia="新宋体" w:cs="新宋体"/>
          <w:b/>
          <w:sz w:val="22"/>
          <w:szCs w:val="22"/>
        </w:rPr>
        <w:t>90天内</w:t>
      </w:r>
      <w:r>
        <w:rPr>
          <w:rFonts w:hint="eastAsia" w:ascii="新宋体" w:hAnsi="新宋体" w:eastAsia="新宋体" w:cs="新宋体"/>
          <w:sz w:val="22"/>
          <w:szCs w:val="22"/>
        </w:rPr>
        <w:t>有效，如中标，有效期将延至合同终止日为止；</w:t>
      </w:r>
    </w:p>
    <w:p w14:paraId="59DE318E">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（二）我方已详细研究了招标文件的所有内容包括修改书（如有）和所有已提供的参考资料以及有关附件，我方完全理解并同意放弃在此方面提出含糊意见或误解的一切权力；</w:t>
      </w:r>
    </w:p>
    <w:p w14:paraId="41DC3B0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（三）我方同意提供按照贵方可能要求的与投标有关的一切数据或资料；</w:t>
      </w:r>
    </w:p>
    <w:p w14:paraId="610F3C72">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（四）我方理解贵方不一定接受最高报价。</w:t>
      </w:r>
    </w:p>
    <w:p w14:paraId="71F09657">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（五）我方如果中标，将保证履行招标文件以及招标文件修改书（如有）中的全部责任和义务，按质、按量、按期完成《合同书》中的全部任务。</w:t>
      </w:r>
    </w:p>
    <w:p w14:paraId="408E7EC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（六）所有与本投标有关的函件请发往下列地址：</w:t>
      </w:r>
    </w:p>
    <w:p w14:paraId="68651BE6">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地址：</w:t>
      </w:r>
      <w:r>
        <w:rPr>
          <w:rFonts w:hint="eastAsia" w:ascii="新宋体" w:hAnsi="新宋体" w:eastAsia="新宋体" w:cs="新宋体"/>
          <w:sz w:val="22"/>
          <w:szCs w:val="22"/>
          <w:u w:val="single"/>
        </w:rPr>
        <w:t xml:space="preserve">                           </w:t>
      </w:r>
    </w:p>
    <w:p w14:paraId="0C688536">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电话：</w:t>
      </w:r>
      <w:r>
        <w:rPr>
          <w:rFonts w:hint="eastAsia" w:ascii="新宋体" w:hAnsi="新宋体" w:eastAsia="新宋体" w:cs="新宋体"/>
          <w:sz w:val="22"/>
          <w:szCs w:val="22"/>
          <w:u w:val="single"/>
        </w:rPr>
        <w:t xml:space="preserve">                           </w:t>
      </w:r>
    </w:p>
    <w:p w14:paraId="5BB07C8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传真：</w:t>
      </w:r>
      <w:r>
        <w:rPr>
          <w:rFonts w:hint="eastAsia" w:ascii="新宋体" w:hAnsi="新宋体" w:eastAsia="新宋体" w:cs="新宋体"/>
          <w:sz w:val="22"/>
          <w:szCs w:val="22"/>
          <w:u w:val="single"/>
        </w:rPr>
        <w:t xml:space="preserve">                           </w:t>
      </w:r>
    </w:p>
    <w:p w14:paraId="717A40CE">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p>
    <w:p w14:paraId="5E8AFD9A">
      <w:pPr>
        <w:spacing w:line="460" w:lineRule="exact"/>
        <w:ind w:firstLine="4848" w:firstLineChars="2204"/>
        <w:rPr>
          <w:rFonts w:ascii="新宋体" w:hAnsi="新宋体" w:eastAsia="新宋体" w:cs="新宋体"/>
          <w:sz w:val="22"/>
          <w:szCs w:val="22"/>
        </w:rPr>
      </w:pPr>
    </w:p>
    <w:p w14:paraId="1EBAB910">
      <w:pPr>
        <w:spacing w:line="460" w:lineRule="exact"/>
        <w:ind w:firstLine="4840" w:firstLineChars="2200"/>
        <w:rPr>
          <w:rFonts w:ascii="新宋体" w:hAnsi="新宋体" w:eastAsia="新宋体" w:cs="新宋体"/>
          <w:sz w:val="22"/>
          <w:szCs w:val="22"/>
        </w:rPr>
      </w:pPr>
      <w:r>
        <w:rPr>
          <w:rFonts w:hint="eastAsia" w:ascii="新宋体" w:hAnsi="新宋体" w:eastAsia="新宋体" w:cs="新宋体"/>
          <w:sz w:val="22"/>
          <w:szCs w:val="22"/>
        </w:rPr>
        <w:t>投标银行名称（公章）：</w:t>
      </w:r>
      <w:r>
        <w:rPr>
          <w:rFonts w:hint="eastAsia" w:ascii="新宋体" w:hAnsi="新宋体" w:eastAsia="新宋体" w:cs="新宋体"/>
          <w:sz w:val="22"/>
          <w:szCs w:val="22"/>
          <w:u w:val="single"/>
        </w:rPr>
        <w:t xml:space="preserve">                </w:t>
      </w:r>
    </w:p>
    <w:p w14:paraId="2E3862C7">
      <w:pPr>
        <w:spacing w:line="460" w:lineRule="exact"/>
        <w:ind w:firstLine="4840" w:firstLineChars="2200"/>
        <w:rPr>
          <w:rFonts w:ascii="新宋体" w:hAnsi="新宋体" w:eastAsia="新宋体" w:cs="新宋体"/>
          <w:sz w:val="22"/>
          <w:szCs w:val="22"/>
        </w:rPr>
      </w:pPr>
      <w:r>
        <w:rPr>
          <w:rFonts w:hint="eastAsia" w:ascii="新宋体" w:hAnsi="新宋体" w:eastAsia="新宋体" w:cs="新宋体"/>
          <w:sz w:val="22"/>
          <w:szCs w:val="22"/>
        </w:rPr>
        <w:t>授权代表：</w:t>
      </w:r>
      <w:r>
        <w:rPr>
          <w:rFonts w:hint="eastAsia" w:ascii="新宋体" w:hAnsi="新宋体" w:eastAsia="新宋体" w:cs="新宋体"/>
          <w:sz w:val="22"/>
          <w:szCs w:val="22"/>
          <w:u w:val="single"/>
        </w:rPr>
        <w:t xml:space="preserve">                            </w:t>
      </w:r>
    </w:p>
    <w:p w14:paraId="68FF5A5F">
      <w:pPr>
        <w:spacing w:line="460" w:lineRule="exact"/>
        <w:ind w:firstLine="4840" w:firstLineChars="2200"/>
        <w:rPr>
          <w:rFonts w:ascii="新宋体" w:hAnsi="新宋体" w:eastAsia="新宋体" w:cs="新宋体"/>
          <w:sz w:val="22"/>
          <w:szCs w:val="22"/>
        </w:rPr>
      </w:pPr>
      <w:r>
        <w:rPr>
          <w:rFonts w:hint="eastAsia" w:ascii="新宋体" w:hAnsi="新宋体" w:eastAsia="新宋体" w:cs="新宋体"/>
          <w:sz w:val="22"/>
          <w:szCs w:val="22"/>
        </w:rPr>
        <w:t>日期：</w:t>
      </w:r>
      <w:r>
        <w:rPr>
          <w:rFonts w:hint="eastAsia" w:ascii="新宋体" w:hAnsi="新宋体" w:eastAsia="新宋体" w:cs="新宋体"/>
          <w:sz w:val="22"/>
          <w:szCs w:val="22"/>
          <w:u w:val="single"/>
        </w:rPr>
        <w:t xml:space="preserve">                                </w:t>
      </w:r>
    </w:p>
    <w:p w14:paraId="07C93961">
      <w:pPr>
        <w:rPr>
          <w:rFonts w:ascii="新宋体" w:hAnsi="新宋体" w:eastAsia="新宋体" w:cs="新宋体"/>
        </w:rPr>
      </w:pPr>
    </w:p>
    <w:p w14:paraId="2FDE5040">
      <w:pPr>
        <w:rPr>
          <w:rFonts w:ascii="新宋体" w:hAnsi="新宋体" w:eastAsia="新宋体" w:cs="新宋体"/>
        </w:rPr>
      </w:pPr>
    </w:p>
    <w:p w14:paraId="5CE1D6C8">
      <w:pPr>
        <w:rPr>
          <w:rFonts w:ascii="新宋体" w:hAnsi="新宋体" w:eastAsia="新宋体" w:cs="新宋体"/>
        </w:rPr>
      </w:pPr>
    </w:p>
    <w:p w14:paraId="1E4CD45D">
      <w:pPr>
        <w:rPr>
          <w:rFonts w:ascii="新宋体" w:hAnsi="新宋体" w:eastAsia="新宋体" w:cs="新宋体"/>
        </w:rPr>
      </w:pPr>
    </w:p>
    <w:p w14:paraId="5BDDC8BB">
      <w:pPr>
        <w:rPr>
          <w:rFonts w:ascii="新宋体" w:hAnsi="新宋体" w:eastAsia="新宋体" w:cs="新宋体"/>
        </w:rPr>
      </w:pPr>
    </w:p>
    <w:p w14:paraId="256C6753">
      <w:pPr>
        <w:rPr>
          <w:rFonts w:ascii="新宋体" w:hAnsi="新宋体" w:eastAsia="新宋体" w:cs="新宋体"/>
        </w:rPr>
      </w:pPr>
    </w:p>
    <w:p w14:paraId="719E1526">
      <w:pPr>
        <w:rPr>
          <w:rFonts w:ascii="新宋体" w:hAnsi="新宋体" w:eastAsia="新宋体" w:cs="新宋体"/>
        </w:rPr>
      </w:pPr>
    </w:p>
    <w:p w14:paraId="62AB90FB">
      <w:pPr>
        <w:rPr>
          <w:rFonts w:ascii="新宋体" w:hAnsi="新宋体" w:eastAsia="新宋体" w:cs="新宋体"/>
        </w:rPr>
      </w:pPr>
    </w:p>
    <w:p w14:paraId="29F59B63">
      <w:pPr>
        <w:rPr>
          <w:rFonts w:ascii="新宋体" w:hAnsi="新宋体" w:eastAsia="新宋体" w:cs="新宋体"/>
        </w:rPr>
      </w:pPr>
      <w:r>
        <w:rPr>
          <w:rFonts w:hint="eastAsia" w:ascii="新宋体" w:hAnsi="新宋体" w:eastAsia="新宋体" w:cs="新宋体"/>
        </w:rPr>
        <w:br w:type="page"/>
      </w:r>
    </w:p>
    <w:p w14:paraId="36DCB314">
      <w:pPr>
        <w:spacing w:line="460" w:lineRule="exact"/>
        <w:outlineLvl w:val="1"/>
        <w:rPr>
          <w:rFonts w:ascii="新宋体" w:hAnsi="新宋体" w:eastAsia="新宋体" w:cs="新宋体"/>
          <w:b/>
          <w:bCs/>
          <w:sz w:val="22"/>
          <w:szCs w:val="22"/>
        </w:rPr>
      </w:pPr>
      <w:bookmarkStart w:id="76" w:name="_Toc14046"/>
      <w:bookmarkStart w:id="77" w:name="_Toc9460"/>
      <w:bookmarkStart w:id="78" w:name="_Toc5989"/>
      <w:bookmarkStart w:id="79" w:name="_Toc22336"/>
      <w:r>
        <w:rPr>
          <w:rFonts w:hint="eastAsia" w:ascii="新宋体" w:hAnsi="新宋体" w:eastAsia="新宋体" w:cs="新宋体"/>
          <w:b/>
          <w:bCs/>
          <w:sz w:val="22"/>
          <w:szCs w:val="22"/>
        </w:rPr>
        <w:t>附件二</w:t>
      </w:r>
      <w:bookmarkEnd w:id="76"/>
      <w:bookmarkEnd w:id="77"/>
      <w:bookmarkEnd w:id="78"/>
      <w:bookmarkEnd w:id="79"/>
    </w:p>
    <w:p w14:paraId="0E46EA76">
      <w:pPr>
        <w:spacing w:line="400" w:lineRule="exact"/>
        <w:jc w:val="center"/>
        <w:outlineLvl w:val="2"/>
        <w:rPr>
          <w:rFonts w:ascii="新宋体" w:hAnsi="新宋体" w:eastAsia="新宋体" w:cs="新宋体"/>
          <w:b/>
          <w:bCs/>
          <w:sz w:val="28"/>
          <w:szCs w:val="28"/>
        </w:rPr>
      </w:pPr>
      <w:bookmarkStart w:id="80" w:name="_Toc12129"/>
      <w:bookmarkStart w:id="81" w:name="_Toc22504"/>
      <w:bookmarkStart w:id="82" w:name="_Toc16708"/>
      <w:bookmarkStart w:id="83" w:name="_Toc10246"/>
      <w:bookmarkStart w:id="84" w:name="_Toc10144"/>
      <w:bookmarkStart w:id="85" w:name="_Toc31565"/>
      <w:r>
        <w:rPr>
          <w:rFonts w:hint="eastAsia" w:ascii="新宋体" w:hAnsi="新宋体" w:eastAsia="新宋体" w:cs="新宋体"/>
          <w:b/>
          <w:bCs/>
          <w:sz w:val="28"/>
          <w:szCs w:val="28"/>
        </w:rPr>
        <w:t>投标报价一览表</w:t>
      </w:r>
      <w:bookmarkEnd w:id="80"/>
      <w:bookmarkEnd w:id="81"/>
      <w:bookmarkEnd w:id="82"/>
      <w:bookmarkEnd w:id="83"/>
      <w:bookmarkEnd w:id="84"/>
      <w:bookmarkEnd w:id="85"/>
    </w:p>
    <w:p w14:paraId="0A48E297">
      <w:pPr>
        <w:spacing w:line="38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 xml:space="preserve"> </w:t>
      </w:r>
    </w:p>
    <w:p w14:paraId="7A033F8C">
      <w:pPr>
        <w:spacing w:line="460" w:lineRule="exact"/>
        <w:rPr>
          <w:rFonts w:ascii="新宋体" w:hAnsi="新宋体" w:eastAsia="新宋体" w:cs="新宋体"/>
          <w:bCs/>
          <w:sz w:val="22"/>
          <w:szCs w:val="22"/>
        </w:rPr>
      </w:pPr>
      <w:r>
        <w:rPr>
          <w:rFonts w:hint="eastAsia" w:ascii="新宋体" w:hAnsi="新宋体" w:eastAsia="新宋体" w:cs="新宋体"/>
          <w:bCs/>
          <w:sz w:val="22"/>
          <w:szCs w:val="22"/>
        </w:rPr>
        <w:t>项目名称：                                                       项目编号：</w:t>
      </w:r>
    </w:p>
    <w:tbl>
      <w:tblPr>
        <w:tblStyle w:val="3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05"/>
        <w:gridCol w:w="1695"/>
        <w:gridCol w:w="1905"/>
        <w:gridCol w:w="1275"/>
        <w:gridCol w:w="1755"/>
        <w:gridCol w:w="736"/>
      </w:tblGrid>
      <w:tr w14:paraId="48D1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4" w:type="dxa"/>
            <w:vAlign w:val="center"/>
          </w:tcPr>
          <w:p w14:paraId="4EFFCF20">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序号</w:t>
            </w:r>
          </w:p>
        </w:tc>
        <w:tc>
          <w:tcPr>
            <w:tcW w:w="1605" w:type="dxa"/>
            <w:vAlign w:val="center"/>
          </w:tcPr>
          <w:p w14:paraId="166731CA">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定期存款期限</w:t>
            </w:r>
          </w:p>
        </w:tc>
        <w:tc>
          <w:tcPr>
            <w:tcW w:w="1695" w:type="dxa"/>
            <w:vAlign w:val="center"/>
          </w:tcPr>
          <w:p w14:paraId="1FEB0100">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人民银行定期存款基准利率</w:t>
            </w:r>
          </w:p>
        </w:tc>
        <w:tc>
          <w:tcPr>
            <w:tcW w:w="1905" w:type="dxa"/>
            <w:vAlign w:val="center"/>
          </w:tcPr>
          <w:p w14:paraId="509A7545">
            <w:pPr>
              <w:spacing w:line="46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定期存款利率上浮基点</w:t>
            </w:r>
          </w:p>
        </w:tc>
        <w:tc>
          <w:tcPr>
            <w:tcW w:w="1275" w:type="dxa"/>
            <w:vAlign w:val="center"/>
          </w:tcPr>
          <w:p w14:paraId="2BF29979">
            <w:pPr>
              <w:spacing w:line="460" w:lineRule="exact"/>
              <w:jc w:val="center"/>
              <w:rPr>
                <w:rFonts w:ascii="新宋体" w:hAnsi="新宋体" w:eastAsia="新宋体" w:cs="新宋体"/>
                <w:b/>
                <w:bCs/>
                <w:sz w:val="22"/>
                <w:szCs w:val="22"/>
              </w:rPr>
            </w:pPr>
            <w:r>
              <w:rPr>
                <w:rFonts w:hint="eastAsia" w:ascii="新宋体" w:hAnsi="新宋体" w:eastAsia="新宋体" w:cs="新宋体"/>
                <w:b/>
                <w:bCs/>
                <w:sz w:val="22"/>
                <w:szCs w:val="22"/>
              </w:rPr>
              <w:t>定期存款年利率</w:t>
            </w:r>
          </w:p>
        </w:tc>
        <w:tc>
          <w:tcPr>
            <w:tcW w:w="1755" w:type="dxa"/>
            <w:vAlign w:val="center"/>
          </w:tcPr>
          <w:p w14:paraId="30BAC87F">
            <w:pPr>
              <w:spacing w:line="460" w:lineRule="exact"/>
              <w:jc w:val="center"/>
              <w:rPr>
                <w:rFonts w:ascii="新宋体" w:hAnsi="新宋体" w:eastAsia="新宋体" w:cs="新宋体"/>
                <w:b/>
                <w:bCs/>
                <w:sz w:val="22"/>
                <w:szCs w:val="22"/>
              </w:rPr>
            </w:pPr>
            <w:r>
              <w:rPr>
                <w:rFonts w:hint="eastAsia" w:ascii="新宋体" w:hAnsi="新宋体" w:eastAsia="新宋体" w:cs="新宋体"/>
                <w:bCs/>
                <w:sz w:val="22"/>
                <w:szCs w:val="22"/>
              </w:rPr>
              <w:t>办理存款的分支机构</w:t>
            </w:r>
          </w:p>
        </w:tc>
        <w:tc>
          <w:tcPr>
            <w:tcW w:w="736" w:type="dxa"/>
            <w:vAlign w:val="center"/>
          </w:tcPr>
          <w:p w14:paraId="6DDAD5A7">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备注</w:t>
            </w:r>
          </w:p>
        </w:tc>
      </w:tr>
      <w:tr w14:paraId="7672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04" w:type="dxa"/>
            <w:vAlign w:val="center"/>
          </w:tcPr>
          <w:p w14:paraId="26A1B1A6">
            <w:pPr>
              <w:spacing w:line="460" w:lineRule="exact"/>
              <w:jc w:val="center"/>
              <w:rPr>
                <w:rFonts w:ascii="新宋体" w:hAnsi="新宋体" w:eastAsia="新宋体" w:cs="新宋体"/>
                <w:bCs/>
                <w:sz w:val="22"/>
                <w:szCs w:val="22"/>
              </w:rPr>
            </w:pPr>
            <w:r>
              <w:rPr>
                <w:rFonts w:hint="eastAsia" w:ascii="新宋体" w:hAnsi="新宋体" w:eastAsia="新宋体" w:cs="新宋体"/>
                <w:bCs/>
                <w:sz w:val="22"/>
                <w:szCs w:val="22"/>
              </w:rPr>
              <w:t>1</w:t>
            </w:r>
          </w:p>
        </w:tc>
        <w:tc>
          <w:tcPr>
            <w:tcW w:w="1605" w:type="dxa"/>
            <w:vAlign w:val="center"/>
          </w:tcPr>
          <w:p w14:paraId="2B60F9A9">
            <w:pPr>
              <w:spacing w:line="460" w:lineRule="exact"/>
              <w:rPr>
                <w:rFonts w:ascii="新宋体" w:hAnsi="新宋体" w:eastAsia="新宋体" w:cs="新宋体"/>
                <w:bCs/>
                <w:sz w:val="22"/>
                <w:szCs w:val="22"/>
              </w:rPr>
            </w:pPr>
            <w:r>
              <w:rPr>
                <w:rFonts w:hint="eastAsia" w:ascii="新宋体" w:hAnsi="新宋体" w:eastAsia="新宋体" w:cs="新宋体"/>
                <w:bCs/>
                <w:sz w:val="22"/>
                <w:szCs w:val="22"/>
              </w:rPr>
              <w:t>12个月</w:t>
            </w:r>
          </w:p>
        </w:tc>
        <w:tc>
          <w:tcPr>
            <w:tcW w:w="1695" w:type="dxa"/>
            <w:vAlign w:val="center"/>
          </w:tcPr>
          <w:p w14:paraId="251CE4BE">
            <w:pPr>
              <w:spacing w:line="460" w:lineRule="exact"/>
              <w:rPr>
                <w:rFonts w:ascii="新宋体" w:hAnsi="新宋体" w:eastAsia="新宋体" w:cs="新宋体"/>
                <w:bCs/>
                <w:sz w:val="22"/>
                <w:szCs w:val="22"/>
              </w:rPr>
            </w:pPr>
          </w:p>
        </w:tc>
        <w:tc>
          <w:tcPr>
            <w:tcW w:w="1905" w:type="dxa"/>
            <w:vAlign w:val="center"/>
          </w:tcPr>
          <w:p w14:paraId="631F271F">
            <w:pPr>
              <w:spacing w:line="460" w:lineRule="exact"/>
              <w:rPr>
                <w:rFonts w:ascii="新宋体" w:hAnsi="新宋体" w:eastAsia="新宋体" w:cs="新宋体"/>
                <w:bCs/>
                <w:sz w:val="22"/>
                <w:szCs w:val="22"/>
              </w:rPr>
            </w:pPr>
          </w:p>
        </w:tc>
        <w:tc>
          <w:tcPr>
            <w:tcW w:w="1275" w:type="dxa"/>
            <w:vAlign w:val="center"/>
          </w:tcPr>
          <w:p w14:paraId="40FF8259">
            <w:pPr>
              <w:spacing w:line="460" w:lineRule="exact"/>
              <w:rPr>
                <w:rFonts w:ascii="新宋体" w:hAnsi="新宋体" w:eastAsia="新宋体" w:cs="新宋体"/>
                <w:bCs/>
                <w:sz w:val="22"/>
                <w:szCs w:val="22"/>
              </w:rPr>
            </w:pPr>
          </w:p>
        </w:tc>
        <w:tc>
          <w:tcPr>
            <w:tcW w:w="1755" w:type="dxa"/>
            <w:vAlign w:val="center"/>
          </w:tcPr>
          <w:p w14:paraId="238047CF">
            <w:pPr>
              <w:spacing w:line="460" w:lineRule="exact"/>
              <w:rPr>
                <w:rFonts w:ascii="新宋体" w:hAnsi="新宋体" w:eastAsia="新宋体" w:cs="新宋体"/>
                <w:bCs/>
                <w:sz w:val="22"/>
                <w:szCs w:val="22"/>
              </w:rPr>
            </w:pPr>
          </w:p>
        </w:tc>
        <w:tc>
          <w:tcPr>
            <w:tcW w:w="736" w:type="dxa"/>
            <w:vAlign w:val="center"/>
          </w:tcPr>
          <w:p w14:paraId="11166E19">
            <w:pPr>
              <w:spacing w:line="460" w:lineRule="exact"/>
              <w:rPr>
                <w:rFonts w:ascii="新宋体" w:hAnsi="新宋体" w:eastAsia="新宋体" w:cs="新宋体"/>
                <w:bCs/>
                <w:sz w:val="22"/>
                <w:szCs w:val="22"/>
              </w:rPr>
            </w:pPr>
          </w:p>
        </w:tc>
      </w:tr>
    </w:tbl>
    <w:p w14:paraId="100F6D19">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说明：</w:t>
      </w:r>
    </w:p>
    <w:p w14:paraId="6891BF83">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sz w:val="22"/>
          <w:szCs w:val="22"/>
        </w:rPr>
        <w:t>1、</w:t>
      </w:r>
      <w:r>
        <w:rPr>
          <w:rFonts w:hint="eastAsia" w:ascii="新宋体" w:hAnsi="新宋体" w:eastAsia="新宋体" w:cs="新宋体"/>
          <w:b/>
          <w:bCs/>
          <w:sz w:val="22"/>
          <w:szCs w:val="22"/>
        </w:rPr>
        <w:t>存款利率上浮基点</w:t>
      </w:r>
      <w:r>
        <w:rPr>
          <w:rFonts w:hint="eastAsia" w:ascii="新宋体" w:hAnsi="新宋体" w:eastAsia="新宋体" w:cs="新宋体"/>
          <w:b/>
          <w:sz w:val="22"/>
          <w:szCs w:val="22"/>
        </w:rPr>
        <w:t>：</w:t>
      </w:r>
      <w:r>
        <w:rPr>
          <w:rFonts w:hint="eastAsia" w:ascii="新宋体" w:hAnsi="新宋体" w:eastAsia="新宋体" w:cs="新宋体"/>
          <w:b/>
          <w:bCs/>
          <w:sz w:val="22"/>
          <w:szCs w:val="22"/>
        </w:rPr>
        <w:t>利率浮动基点，但不得超过国家规定及银行自律公约的存款利率浮动区间的上限。</w:t>
      </w:r>
    </w:p>
    <w:p w14:paraId="0099C458">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u w:val="single"/>
        </w:rPr>
        <w:t>2、不填写定期存款利率上浮基点、办理存款的分支机构将视为没有实质性响应招标文件</w:t>
      </w:r>
    </w:p>
    <w:p w14:paraId="3A0E3F88">
      <w:pPr>
        <w:spacing w:line="460" w:lineRule="exact"/>
        <w:rPr>
          <w:rFonts w:ascii="新宋体" w:hAnsi="新宋体" w:eastAsia="新宋体" w:cs="新宋体"/>
          <w:b/>
          <w:bCs/>
          <w:sz w:val="22"/>
          <w:szCs w:val="22"/>
          <w:u w:val="single"/>
        </w:rPr>
      </w:pPr>
    </w:p>
    <w:p w14:paraId="2336AE37">
      <w:pPr>
        <w:spacing w:line="460" w:lineRule="exact"/>
        <w:rPr>
          <w:rFonts w:ascii="新宋体" w:hAnsi="新宋体" w:eastAsia="新宋体" w:cs="新宋体"/>
          <w:szCs w:val="21"/>
        </w:rPr>
      </w:pPr>
    </w:p>
    <w:p w14:paraId="43834FC1">
      <w:pPr>
        <w:spacing w:line="460" w:lineRule="exact"/>
        <w:rPr>
          <w:rFonts w:ascii="新宋体" w:hAnsi="新宋体" w:eastAsia="新宋体" w:cs="新宋体"/>
          <w:b/>
          <w:bCs/>
          <w:sz w:val="22"/>
          <w:szCs w:val="22"/>
        </w:rPr>
      </w:pPr>
    </w:p>
    <w:p w14:paraId="19EC8B16">
      <w:pPr>
        <w:spacing w:line="460" w:lineRule="exact"/>
        <w:ind w:firstLine="5060" w:firstLineChars="2300"/>
        <w:rPr>
          <w:rFonts w:ascii="新宋体" w:hAnsi="新宋体" w:eastAsia="新宋体" w:cs="新宋体"/>
          <w:sz w:val="22"/>
          <w:szCs w:val="22"/>
        </w:rPr>
      </w:pPr>
      <w:r>
        <w:rPr>
          <w:rFonts w:hint="eastAsia" w:ascii="新宋体" w:hAnsi="新宋体" w:eastAsia="新宋体" w:cs="新宋体"/>
          <w:sz w:val="22"/>
          <w:szCs w:val="22"/>
        </w:rPr>
        <w:t>投标银行全称（盖章）：</w:t>
      </w:r>
    </w:p>
    <w:p w14:paraId="08377C69">
      <w:pPr>
        <w:spacing w:line="460" w:lineRule="exact"/>
        <w:ind w:firstLine="5060" w:firstLineChars="2300"/>
        <w:rPr>
          <w:rFonts w:ascii="新宋体" w:hAnsi="新宋体" w:eastAsia="新宋体" w:cs="新宋体"/>
          <w:sz w:val="22"/>
          <w:szCs w:val="22"/>
        </w:rPr>
      </w:pPr>
      <w:r>
        <w:rPr>
          <w:rFonts w:hint="eastAsia" w:ascii="新宋体" w:hAnsi="新宋体" w:eastAsia="新宋体" w:cs="新宋体"/>
          <w:sz w:val="22"/>
          <w:szCs w:val="22"/>
        </w:rPr>
        <w:t>投标银行代表（签字）：</w:t>
      </w:r>
    </w:p>
    <w:p w14:paraId="6C23F427">
      <w:pPr>
        <w:spacing w:line="460" w:lineRule="exact"/>
        <w:ind w:firstLine="5060" w:firstLineChars="2300"/>
        <w:rPr>
          <w:rFonts w:ascii="新宋体" w:hAnsi="新宋体" w:eastAsia="新宋体" w:cs="新宋体"/>
          <w:sz w:val="22"/>
          <w:szCs w:val="22"/>
        </w:rPr>
      </w:pPr>
      <w:r>
        <w:rPr>
          <w:rFonts w:hint="eastAsia" w:ascii="新宋体" w:hAnsi="新宋体" w:eastAsia="新宋体" w:cs="新宋体"/>
          <w:sz w:val="22"/>
          <w:szCs w:val="22"/>
        </w:rPr>
        <w:t>日 期：</w:t>
      </w:r>
    </w:p>
    <w:p w14:paraId="3515828F">
      <w:pPr>
        <w:pStyle w:val="6"/>
        <w:rPr>
          <w:rFonts w:ascii="新宋体" w:hAnsi="新宋体" w:eastAsia="新宋体" w:cs="新宋体"/>
          <w:sz w:val="22"/>
          <w:szCs w:val="22"/>
        </w:rPr>
      </w:pPr>
    </w:p>
    <w:p w14:paraId="466A7875">
      <w:pPr>
        <w:rPr>
          <w:rFonts w:ascii="新宋体" w:hAnsi="新宋体" w:eastAsia="新宋体" w:cs="新宋体"/>
          <w:sz w:val="22"/>
          <w:szCs w:val="22"/>
        </w:rPr>
      </w:pPr>
    </w:p>
    <w:p w14:paraId="1BB257E4">
      <w:pPr>
        <w:pStyle w:val="6"/>
        <w:rPr>
          <w:rFonts w:ascii="新宋体" w:hAnsi="新宋体" w:eastAsia="新宋体" w:cs="新宋体"/>
          <w:sz w:val="22"/>
          <w:szCs w:val="22"/>
        </w:rPr>
      </w:pPr>
    </w:p>
    <w:p w14:paraId="4321DF5F">
      <w:pPr>
        <w:rPr>
          <w:rFonts w:ascii="新宋体" w:hAnsi="新宋体" w:eastAsia="新宋体" w:cs="新宋体"/>
          <w:sz w:val="22"/>
          <w:szCs w:val="22"/>
        </w:rPr>
      </w:pPr>
    </w:p>
    <w:p w14:paraId="49C1C44D">
      <w:pPr>
        <w:pStyle w:val="6"/>
        <w:rPr>
          <w:rFonts w:ascii="新宋体" w:hAnsi="新宋体" w:eastAsia="新宋体" w:cs="新宋体"/>
          <w:sz w:val="22"/>
          <w:szCs w:val="22"/>
        </w:rPr>
      </w:pPr>
    </w:p>
    <w:p w14:paraId="0B0125D1">
      <w:pPr>
        <w:rPr>
          <w:rFonts w:ascii="新宋体" w:hAnsi="新宋体" w:eastAsia="新宋体" w:cs="新宋体"/>
        </w:rPr>
      </w:pPr>
    </w:p>
    <w:p w14:paraId="76A0DA22">
      <w:pPr>
        <w:rPr>
          <w:rFonts w:ascii="新宋体" w:hAnsi="新宋体" w:eastAsia="新宋体" w:cs="新宋体"/>
          <w:b/>
          <w:bCs/>
          <w:sz w:val="22"/>
          <w:szCs w:val="22"/>
        </w:rPr>
      </w:pPr>
      <w:bookmarkStart w:id="86" w:name="_Toc20826"/>
      <w:bookmarkStart w:id="87" w:name="_Toc18814"/>
      <w:bookmarkStart w:id="88" w:name="_Toc5888"/>
      <w:r>
        <w:rPr>
          <w:rFonts w:hint="eastAsia" w:ascii="新宋体" w:hAnsi="新宋体" w:eastAsia="新宋体" w:cs="新宋体"/>
          <w:b/>
          <w:bCs/>
          <w:sz w:val="22"/>
          <w:szCs w:val="22"/>
        </w:rPr>
        <w:br w:type="page"/>
      </w:r>
    </w:p>
    <w:p w14:paraId="46ACDACA">
      <w:pPr>
        <w:spacing w:line="460" w:lineRule="exact"/>
        <w:outlineLvl w:val="1"/>
        <w:rPr>
          <w:rFonts w:ascii="新宋体" w:hAnsi="新宋体" w:eastAsia="新宋体" w:cs="新宋体"/>
          <w:b/>
          <w:bCs/>
          <w:sz w:val="22"/>
          <w:szCs w:val="22"/>
        </w:rPr>
      </w:pPr>
      <w:bookmarkStart w:id="89" w:name="_Toc3738"/>
      <w:bookmarkStart w:id="90" w:name="_Toc18275"/>
      <w:bookmarkStart w:id="91" w:name="_Toc29934"/>
      <w:bookmarkStart w:id="92" w:name="_Toc17944"/>
      <w:r>
        <w:rPr>
          <w:rFonts w:hint="eastAsia" w:ascii="新宋体" w:hAnsi="新宋体" w:eastAsia="新宋体" w:cs="新宋体"/>
          <w:b/>
          <w:bCs/>
          <w:sz w:val="22"/>
          <w:szCs w:val="22"/>
        </w:rPr>
        <w:t>附件三</w:t>
      </w:r>
      <w:bookmarkEnd w:id="86"/>
      <w:bookmarkEnd w:id="87"/>
      <w:bookmarkEnd w:id="88"/>
      <w:bookmarkEnd w:id="89"/>
      <w:bookmarkEnd w:id="90"/>
      <w:bookmarkEnd w:id="91"/>
      <w:bookmarkEnd w:id="92"/>
    </w:p>
    <w:p w14:paraId="4BEFC7B2">
      <w:pPr>
        <w:spacing w:line="460" w:lineRule="exact"/>
        <w:jc w:val="center"/>
        <w:outlineLvl w:val="2"/>
        <w:rPr>
          <w:rFonts w:ascii="新宋体" w:hAnsi="新宋体" w:eastAsia="新宋体" w:cs="新宋体"/>
          <w:sz w:val="28"/>
          <w:szCs w:val="28"/>
        </w:rPr>
      </w:pPr>
      <w:bookmarkStart w:id="93" w:name="_Toc12511"/>
      <w:bookmarkStart w:id="94" w:name="_Toc13983"/>
      <w:bookmarkStart w:id="95" w:name="_Toc31660"/>
      <w:bookmarkStart w:id="96" w:name="_Toc15186"/>
      <w:bookmarkStart w:id="97" w:name="_Toc1139"/>
      <w:bookmarkStart w:id="98" w:name="_Toc24145"/>
      <w:r>
        <w:rPr>
          <w:rFonts w:hint="eastAsia" w:ascii="新宋体" w:hAnsi="新宋体" w:eastAsia="新宋体" w:cs="新宋体"/>
          <w:b/>
          <w:bCs/>
          <w:sz w:val="28"/>
          <w:szCs w:val="28"/>
        </w:rPr>
        <w:t>资格证明文件</w:t>
      </w:r>
      <w:bookmarkEnd w:id="93"/>
      <w:bookmarkEnd w:id="94"/>
      <w:bookmarkEnd w:id="95"/>
      <w:bookmarkEnd w:id="96"/>
      <w:bookmarkEnd w:id="97"/>
      <w:bookmarkEnd w:id="98"/>
    </w:p>
    <w:p w14:paraId="7E1151B7">
      <w:pPr>
        <w:pStyle w:val="6"/>
        <w:ind w:firstLine="0"/>
        <w:rPr>
          <w:rFonts w:ascii="新宋体" w:hAnsi="新宋体" w:eastAsia="新宋体" w:cs="新宋体"/>
        </w:rPr>
      </w:pPr>
    </w:p>
    <w:bookmarkEnd w:id="75"/>
    <w:p w14:paraId="549C0DB3">
      <w:pPr>
        <w:spacing w:line="380" w:lineRule="exact"/>
        <w:jc w:val="center"/>
        <w:rPr>
          <w:rFonts w:ascii="新宋体" w:hAnsi="新宋体" w:eastAsia="新宋体" w:cs="新宋体"/>
          <w:b/>
          <w:sz w:val="22"/>
          <w:szCs w:val="22"/>
        </w:rPr>
      </w:pPr>
      <w:bookmarkStart w:id="99" w:name="_Toc8819"/>
      <w:bookmarkStart w:id="100" w:name="_Toc12459"/>
      <w:r>
        <w:rPr>
          <w:rFonts w:hint="eastAsia" w:ascii="新宋体" w:hAnsi="新宋体" w:eastAsia="新宋体" w:cs="新宋体"/>
          <w:b/>
          <w:sz w:val="22"/>
          <w:szCs w:val="22"/>
        </w:rPr>
        <w:t>1、法定代表人（或法定负责人）</w:t>
      </w:r>
      <w:bookmarkEnd w:id="99"/>
      <w:bookmarkEnd w:id="100"/>
      <w:r>
        <w:rPr>
          <w:rFonts w:hint="eastAsia" w:ascii="新宋体" w:hAnsi="新宋体" w:eastAsia="新宋体" w:cs="新宋体"/>
          <w:b/>
          <w:sz w:val="22"/>
          <w:szCs w:val="22"/>
        </w:rPr>
        <w:t>特别授权委托书</w:t>
      </w:r>
    </w:p>
    <w:p w14:paraId="27DD8CC1">
      <w:pPr>
        <w:spacing w:line="460" w:lineRule="exact"/>
        <w:rPr>
          <w:rFonts w:ascii="新宋体" w:hAnsi="新宋体" w:eastAsia="新宋体" w:cs="新宋体"/>
          <w:sz w:val="22"/>
          <w:szCs w:val="22"/>
        </w:rPr>
      </w:pPr>
      <w:r>
        <w:rPr>
          <w:rFonts w:hint="eastAsia" w:ascii="新宋体" w:hAnsi="新宋体" w:eastAsia="新宋体" w:cs="新宋体"/>
          <w:sz w:val="22"/>
          <w:szCs w:val="22"/>
        </w:rPr>
        <w:t>温州市龙湾区城市建设中心(温州市龙湾区土地储备中心)：</w:t>
      </w:r>
    </w:p>
    <w:p w14:paraId="6097D3B9">
      <w:pPr>
        <w:spacing w:line="460" w:lineRule="exact"/>
        <w:rPr>
          <w:rFonts w:ascii="新宋体" w:hAnsi="新宋体" w:eastAsia="新宋体" w:cs="新宋体"/>
          <w:sz w:val="22"/>
          <w:szCs w:val="22"/>
          <w:u w:val="single"/>
        </w:rPr>
      </w:pPr>
    </w:p>
    <w:p w14:paraId="6B12FDA2">
      <w:pPr>
        <w:spacing w:line="460" w:lineRule="exact"/>
        <w:ind w:firstLine="550" w:firstLineChars="250"/>
        <w:rPr>
          <w:rFonts w:ascii="新宋体" w:hAnsi="新宋体" w:eastAsia="新宋体" w:cs="新宋体"/>
          <w:sz w:val="22"/>
          <w:szCs w:val="22"/>
        </w:rPr>
      </w:pP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（投标银行全称）法定代表人（或法定负责人）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（全权代表姓名）为全权代表，参加贵处组织的（招标项目名称</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、编号</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）的招标活动，全权代表我方处理招标活动中的一切事宜。</w:t>
      </w:r>
    </w:p>
    <w:p w14:paraId="170D92AC">
      <w:pPr>
        <w:spacing w:line="460" w:lineRule="exact"/>
        <w:ind w:firstLine="2955"/>
        <w:rPr>
          <w:rFonts w:ascii="新宋体" w:hAnsi="新宋体" w:eastAsia="新宋体" w:cs="新宋体"/>
          <w:sz w:val="22"/>
          <w:szCs w:val="22"/>
        </w:rPr>
      </w:pPr>
    </w:p>
    <w:p w14:paraId="34823155">
      <w:pPr>
        <w:spacing w:line="460" w:lineRule="exact"/>
        <w:ind w:firstLine="2955"/>
        <w:rPr>
          <w:rFonts w:ascii="新宋体" w:hAnsi="新宋体" w:eastAsia="新宋体" w:cs="新宋体"/>
          <w:sz w:val="22"/>
          <w:szCs w:val="22"/>
        </w:rPr>
      </w:pPr>
    </w:p>
    <w:p w14:paraId="7ADB0B11">
      <w:pPr>
        <w:spacing w:line="460" w:lineRule="exact"/>
        <w:ind w:firstLine="4081" w:firstLineChars="1855"/>
        <w:rPr>
          <w:rFonts w:ascii="新宋体" w:hAnsi="新宋体" w:eastAsia="新宋体" w:cs="新宋体"/>
          <w:sz w:val="22"/>
          <w:szCs w:val="22"/>
        </w:rPr>
      </w:pPr>
      <w:r>
        <w:rPr>
          <w:rFonts w:hint="eastAsia" w:ascii="新宋体" w:hAnsi="新宋体" w:eastAsia="新宋体" w:cs="新宋体"/>
          <w:sz w:val="22"/>
          <w:szCs w:val="22"/>
        </w:rPr>
        <w:t>法定代表人或法定负责人（签字或盖章）：</w:t>
      </w:r>
    </w:p>
    <w:p w14:paraId="24F4982B">
      <w:pPr>
        <w:spacing w:line="460" w:lineRule="exact"/>
        <w:ind w:firstLine="4081" w:firstLineChars="1855"/>
        <w:rPr>
          <w:rFonts w:ascii="新宋体" w:hAnsi="新宋体" w:eastAsia="新宋体" w:cs="新宋体"/>
          <w:sz w:val="22"/>
          <w:szCs w:val="22"/>
        </w:rPr>
      </w:pPr>
      <w:r>
        <w:rPr>
          <w:rFonts w:hint="eastAsia" w:ascii="新宋体" w:hAnsi="新宋体" w:eastAsia="新宋体" w:cs="新宋体"/>
          <w:sz w:val="22"/>
          <w:szCs w:val="22"/>
        </w:rPr>
        <w:t>投标银行全称（公章）：</w:t>
      </w:r>
    </w:p>
    <w:p w14:paraId="3B5EA380">
      <w:pPr>
        <w:spacing w:line="460" w:lineRule="exact"/>
        <w:ind w:firstLine="4081" w:firstLineChars="1855"/>
        <w:rPr>
          <w:rFonts w:ascii="新宋体" w:hAnsi="新宋体" w:eastAsia="新宋体" w:cs="新宋体"/>
          <w:sz w:val="22"/>
          <w:szCs w:val="22"/>
        </w:rPr>
      </w:pPr>
      <w:r>
        <w:rPr>
          <w:rFonts w:hint="eastAsia" w:ascii="新宋体" w:hAnsi="新宋体" w:eastAsia="新宋体" w:cs="新宋体"/>
          <w:sz w:val="22"/>
          <w:szCs w:val="22"/>
        </w:rPr>
        <w:t xml:space="preserve">日  期：     </w:t>
      </w:r>
    </w:p>
    <w:p w14:paraId="1D4FA9F5">
      <w:pPr>
        <w:spacing w:line="460" w:lineRule="exact"/>
        <w:rPr>
          <w:rFonts w:ascii="新宋体" w:hAnsi="新宋体" w:eastAsia="新宋体" w:cs="新宋体"/>
          <w:sz w:val="22"/>
          <w:szCs w:val="22"/>
        </w:rPr>
      </w:pPr>
    </w:p>
    <w:p w14:paraId="13D6D3D6">
      <w:pPr>
        <w:spacing w:line="460" w:lineRule="exact"/>
        <w:rPr>
          <w:rFonts w:ascii="新宋体" w:hAnsi="新宋体" w:eastAsia="新宋体" w:cs="新宋体"/>
          <w:sz w:val="22"/>
          <w:szCs w:val="22"/>
        </w:rPr>
      </w:pPr>
    </w:p>
    <w:p w14:paraId="22F1A48B">
      <w:pPr>
        <w:spacing w:line="460" w:lineRule="exact"/>
        <w:rPr>
          <w:rFonts w:ascii="新宋体" w:hAnsi="新宋体" w:eastAsia="新宋体" w:cs="新宋体"/>
          <w:sz w:val="22"/>
          <w:szCs w:val="22"/>
        </w:rPr>
      </w:pPr>
    </w:p>
    <w:p w14:paraId="0CFC6E7B">
      <w:pPr>
        <w:spacing w:line="460" w:lineRule="exact"/>
        <w:ind w:firstLine="541" w:firstLineChars="245"/>
        <w:rPr>
          <w:rFonts w:ascii="新宋体" w:hAnsi="新宋体" w:eastAsia="新宋体" w:cs="新宋体"/>
          <w:b/>
          <w:bCs/>
          <w:sz w:val="22"/>
          <w:szCs w:val="22"/>
        </w:rPr>
      </w:pPr>
      <w:r>
        <w:rPr>
          <w:rFonts w:hint="eastAsia" w:ascii="新宋体" w:hAnsi="新宋体" w:eastAsia="新宋体" w:cs="新宋体"/>
          <w:b/>
          <w:bCs/>
          <w:sz w:val="22"/>
          <w:szCs w:val="22"/>
        </w:rPr>
        <w:t>附：</w:t>
      </w:r>
    </w:p>
    <w:p w14:paraId="7E4410D4">
      <w:pPr>
        <w:spacing w:line="460" w:lineRule="exact"/>
        <w:ind w:firstLine="539" w:firstLineChars="245"/>
        <w:rPr>
          <w:rFonts w:ascii="新宋体" w:hAnsi="新宋体" w:eastAsia="新宋体" w:cs="新宋体"/>
          <w:b/>
          <w:bCs/>
          <w:sz w:val="22"/>
          <w:szCs w:val="22"/>
        </w:rPr>
      </w:pPr>
      <w:r>
        <w:rPr>
          <w:rFonts w:hint="eastAsia" w:ascii="新宋体" w:hAnsi="新宋体" w:eastAsia="新宋体" w:cs="新宋体"/>
          <w:sz w:val="22"/>
          <w:szCs w:val="22"/>
        </w:rPr>
        <w:t xml:space="preserve">授权代表姓名：  </w:t>
      </w:r>
    </w:p>
    <w:p w14:paraId="35F8AD64">
      <w:pPr>
        <w:spacing w:line="460" w:lineRule="exact"/>
        <w:ind w:firstLine="539" w:firstLineChars="245"/>
        <w:rPr>
          <w:rFonts w:ascii="新宋体" w:hAnsi="新宋体" w:eastAsia="新宋体" w:cs="新宋体"/>
          <w:b/>
          <w:bCs/>
          <w:sz w:val="22"/>
          <w:szCs w:val="22"/>
        </w:rPr>
      </w:pPr>
      <w:r>
        <w:rPr>
          <w:rFonts w:hint="eastAsia" w:ascii="新宋体" w:hAnsi="新宋体" w:eastAsia="新宋体" w:cs="新宋体"/>
          <w:sz w:val="22"/>
          <w:szCs w:val="22"/>
        </w:rPr>
        <w:t>职务：</w:t>
      </w:r>
    </w:p>
    <w:p w14:paraId="4BAF3EB4">
      <w:pPr>
        <w:spacing w:line="460" w:lineRule="exact"/>
        <w:ind w:firstLine="539" w:firstLineChars="245"/>
        <w:rPr>
          <w:rFonts w:ascii="新宋体" w:hAnsi="新宋体" w:eastAsia="新宋体" w:cs="新宋体"/>
          <w:b/>
          <w:bCs/>
          <w:sz w:val="22"/>
          <w:szCs w:val="22"/>
        </w:rPr>
      </w:pPr>
      <w:r>
        <w:rPr>
          <w:rFonts w:hint="eastAsia" w:ascii="新宋体" w:hAnsi="新宋体" w:eastAsia="新宋体" w:cs="新宋体"/>
          <w:sz w:val="22"/>
          <w:szCs w:val="22"/>
        </w:rPr>
        <w:t>详细通讯地址：</w:t>
      </w:r>
    </w:p>
    <w:p w14:paraId="4ED016F8">
      <w:pPr>
        <w:spacing w:line="460" w:lineRule="exact"/>
        <w:ind w:firstLine="539" w:firstLineChars="245"/>
        <w:rPr>
          <w:rFonts w:ascii="新宋体" w:hAnsi="新宋体" w:eastAsia="新宋体" w:cs="新宋体"/>
          <w:b/>
          <w:bCs/>
          <w:sz w:val="22"/>
          <w:szCs w:val="22"/>
        </w:rPr>
      </w:pPr>
      <w:r>
        <w:rPr>
          <w:rFonts w:hint="eastAsia" w:ascii="新宋体" w:hAnsi="新宋体" w:eastAsia="新宋体" w:cs="新宋体"/>
          <w:sz w:val="22"/>
          <w:szCs w:val="22"/>
        </w:rPr>
        <w:t>联系方式：</w:t>
      </w:r>
    </w:p>
    <w:p w14:paraId="5E4BD473">
      <w:pPr>
        <w:spacing w:line="460" w:lineRule="exact"/>
        <w:ind w:firstLine="539" w:firstLineChars="245"/>
        <w:rPr>
          <w:rFonts w:ascii="新宋体" w:hAnsi="新宋体" w:eastAsia="新宋体" w:cs="新宋体"/>
          <w:b/>
          <w:bCs/>
          <w:sz w:val="22"/>
          <w:szCs w:val="22"/>
        </w:rPr>
      </w:pPr>
      <w:r>
        <w:rPr>
          <w:rFonts w:hint="eastAsia" w:ascii="新宋体" w:hAnsi="新宋体" w:eastAsia="新宋体" w:cs="新宋体"/>
          <w:sz w:val="22"/>
          <w:szCs w:val="22"/>
        </w:rPr>
        <w:t>传真：</w:t>
      </w:r>
    </w:p>
    <w:p w14:paraId="492CF256">
      <w:pPr>
        <w:spacing w:line="460" w:lineRule="exact"/>
        <w:ind w:firstLine="539" w:firstLineChars="245"/>
        <w:rPr>
          <w:rFonts w:ascii="新宋体" w:hAnsi="新宋体" w:eastAsia="新宋体" w:cs="新宋体"/>
          <w:b/>
          <w:bCs/>
          <w:sz w:val="22"/>
          <w:szCs w:val="22"/>
        </w:rPr>
      </w:pPr>
      <w:r>
        <w:rPr>
          <w:rFonts w:hint="eastAsia" w:ascii="新宋体" w:hAnsi="新宋体" w:eastAsia="新宋体" w:cs="新宋体"/>
          <w:sz w:val="22"/>
          <w:szCs w:val="22"/>
        </w:rPr>
        <w:t>邮政编码：</w:t>
      </w:r>
    </w:p>
    <w:p w14:paraId="537BD611">
      <w:pPr>
        <w:spacing w:line="380" w:lineRule="exact"/>
        <w:rPr>
          <w:rFonts w:ascii="新宋体" w:hAnsi="新宋体" w:eastAsia="新宋体" w:cs="新宋体"/>
          <w:sz w:val="22"/>
          <w:szCs w:val="22"/>
        </w:rPr>
      </w:pPr>
    </w:p>
    <w:p w14:paraId="00BA398E">
      <w:pPr>
        <w:spacing w:line="460" w:lineRule="exact"/>
        <w:jc w:val="center"/>
        <w:rPr>
          <w:rFonts w:ascii="新宋体" w:hAnsi="新宋体" w:eastAsia="新宋体" w:cs="新宋体"/>
          <w:b/>
          <w:bCs/>
          <w:sz w:val="28"/>
          <w:szCs w:val="28"/>
        </w:rPr>
      </w:pPr>
    </w:p>
    <w:p w14:paraId="2D177E77">
      <w:pPr>
        <w:spacing w:line="460" w:lineRule="exact"/>
        <w:jc w:val="center"/>
        <w:rPr>
          <w:rFonts w:ascii="新宋体" w:hAnsi="新宋体" w:eastAsia="新宋体" w:cs="新宋体"/>
          <w:b/>
          <w:bCs/>
          <w:sz w:val="28"/>
          <w:szCs w:val="28"/>
        </w:rPr>
      </w:pPr>
    </w:p>
    <w:p w14:paraId="5BAD79D5">
      <w:pPr>
        <w:spacing w:line="460" w:lineRule="exact"/>
        <w:jc w:val="center"/>
        <w:rPr>
          <w:rFonts w:ascii="新宋体" w:hAnsi="新宋体" w:eastAsia="新宋体" w:cs="新宋体"/>
          <w:b/>
          <w:bCs/>
          <w:sz w:val="28"/>
          <w:szCs w:val="28"/>
        </w:rPr>
      </w:pPr>
    </w:p>
    <w:p w14:paraId="65DCC666">
      <w:pPr>
        <w:spacing w:line="460" w:lineRule="exact"/>
        <w:jc w:val="center"/>
        <w:rPr>
          <w:rFonts w:ascii="新宋体" w:hAnsi="新宋体" w:eastAsia="新宋体" w:cs="新宋体"/>
          <w:b/>
          <w:bCs/>
          <w:sz w:val="28"/>
          <w:szCs w:val="28"/>
        </w:rPr>
      </w:pPr>
    </w:p>
    <w:p w14:paraId="2907CA59">
      <w:pPr>
        <w:spacing w:line="460" w:lineRule="exact"/>
        <w:jc w:val="center"/>
        <w:rPr>
          <w:rFonts w:ascii="新宋体" w:hAnsi="新宋体" w:eastAsia="新宋体" w:cs="新宋体"/>
          <w:b/>
          <w:bCs/>
          <w:sz w:val="28"/>
          <w:szCs w:val="28"/>
        </w:rPr>
      </w:pPr>
    </w:p>
    <w:p w14:paraId="5CC9F106">
      <w:pPr>
        <w:pStyle w:val="6"/>
        <w:rPr>
          <w:rFonts w:ascii="新宋体" w:hAnsi="新宋体" w:eastAsia="新宋体" w:cs="新宋体"/>
        </w:rPr>
      </w:pPr>
    </w:p>
    <w:p w14:paraId="27A419B3">
      <w:pPr>
        <w:spacing w:line="460" w:lineRule="exact"/>
        <w:rPr>
          <w:rFonts w:ascii="新宋体" w:hAnsi="新宋体" w:eastAsia="新宋体" w:cs="新宋体"/>
          <w:b/>
          <w:bCs/>
          <w:sz w:val="28"/>
          <w:szCs w:val="28"/>
        </w:rPr>
      </w:pPr>
    </w:p>
    <w:p w14:paraId="58A46B18">
      <w:pPr>
        <w:spacing w:line="460" w:lineRule="exact"/>
        <w:jc w:val="center"/>
        <w:rPr>
          <w:rFonts w:ascii="新宋体" w:hAnsi="新宋体" w:eastAsia="新宋体" w:cs="新宋体"/>
          <w:b/>
          <w:bCs/>
          <w:sz w:val="28"/>
          <w:szCs w:val="28"/>
        </w:rPr>
      </w:pPr>
    </w:p>
    <w:p w14:paraId="33449F9B">
      <w:pPr>
        <w:spacing w:line="460" w:lineRule="exact"/>
        <w:jc w:val="center"/>
        <w:rPr>
          <w:rFonts w:ascii="新宋体" w:hAnsi="新宋体" w:eastAsia="新宋体" w:cs="新宋体"/>
          <w:b/>
          <w:bCs/>
          <w:sz w:val="28"/>
          <w:szCs w:val="28"/>
        </w:rPr>
      </w:pPr>
    </w:p>
    <w:p w14:paraId="3C0F9B3C">
      <w:pPr>
        <w:spacing w:line="460" w:lineRule="exact"/>
        <w:jc w:val="center"/>
        <w:rPr>
          <w:rFonts w:ascii="新宋体" w:hAnsi="新宋体" w:eastAsia="新宋体" w:cs="新宋体"/>
          <w:b/>
          <w:bCs/>
          <w:sz w:val="28"/>
          <w:szCs w:val="28"/>
        </w:rPr>
      </w:pPr>
      <w:r>
        <w:rPr>
          <w:rFonts w:hint="eastAsia" w:ascii="新宋体" w:hAnsi="新宋体" w:eastAsia="新宋体" w:cs="新宋体"/>
          <w:sz w:val="22"/>
          <w:szCs w:val="22"/>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76835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F76C6">
                            <w:r>
                              <w:rPr>
                                <w:rFonts w:hint="eastAsia" w:ascii="新宋体" w:hAnsi="新宋体" w:eastAsia="新宋体"/>
                                <w:sz w:val="22"/>
                                <w:szCs w:val="22"/>
                              </w:rPr>
                              <w:t xml:space="preserve">  法定代表人（或法定负责人）身份证（正反面）：</w:t>
                            </w:r>
                          </w:p>
                        </w:txbxContent>
                      </wps:txbx>
                      <wps:bodyPr wrap="square" upright="1"/>
                    </wps:wsp>
                  </a:graphicData>
                </a:graphic>
              </wp:anchor>
            </w:drawing>
          </mc:Choice>
          <mc:Fallback>
            <w:pict>
              <v:shape id="Text Box 2" o:spid="_x0000_s1026" o:spt="202" type="#_x0000_t202" style="position:absolute;left:0pt;margin-left:8.95pt;margin-top:6.05pt;height:236.55pt;width:492.45pt;z-index:251659264;mso-width-relative:page;mso-height-relative:page;" fillcolor="#FFFFFF" filled="t" stroked="t" coordsize="21600,21600" o:gfxdata="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YlVxdgAAAAKAQAADwAAAAAAAAABACAAAAAiAAAAZHJz&#10;L2Rvd25yZXYueG1sUEsBAhQAFAAAAAgAh07iQL7uwAkEAgAARAQAAA4AAAAAAAAAAQAgAAAAJwEA&#10;AGRycy9lMm9Eb2MueG1sUEsFBgAAAAAGAAYAWQEAAJ0FAAAAAA==&#10;">
                <v:fill on="t" focussize="0,0"/>
                <v:stroke color="#000000" joinstyle="miter"/>
                <v:imagedata o:title=""/>
                <o:lock v:ext="edit" aspectratio="f"/>
                <v:textbox>
                  <w:txbxContent>
                    <w:p w14:paraId="2E7F76C6">
                      <w:r>
                        <w:rPr>
                          <w:rFonts w:hint="eastAsia" w:ascii="新宋体" w:hAnsi="新宋体" w:eastAsia="新宋体"/>
                          <w:sz w:val="22"/>
                          <w:szCs w:val="22"/>
                        </w:rPr>
                        <w:t xml:space="preserve">  法定代表人（或法定负责人）身份证（正反面）：</w:t>
                      </w:r>
                    </w:p>
                  </w:txbxContent>
                </v:textbox>
              </v:shape>
            </w:pict>
          </mc:Fallback>
        </mc:AlternateContent>
      </w:r>
    </w:p>
    <w:p w14:paraId="17FC3272">
      <w:pPr>
        <w:spacing w:line="460" w:lineRule="exact"/>
        <w:jc w:val="center"/>
        <w:rPr>
          <w:rFonts w:ascii="新宋体" w:hAnsi="新宋体" w:eastAsia="新宋体" w:cs="新宋体"/>
          <w:b/>
          <w:bCs/>
          <w:sz w:val="28"/>
          <w:szCs w:val="28"/>
        </w:rPr>
      </w:pPr>
    </w:p>
    <w:p w14:paraId="2C161D54">
      <w:pPr>
        <w:spacing w:line="460" w:lineRule="exact"/>
        <w:jc w:val="center"/>
        <w:rPr>
          <w:rFonts w:ascii="新宋体" w:hAnsi="新宋体" w:eastAsia="新宋体" w:cs="新宋体"/>
          <w:b/>
          <w:bCs/>
          <w:sz w:val="28"/>
          <w:szCs w:val="28"/>
        </w:rPr>
      </w:pPr>
    </w:p>
    <w:p w14:paraId="3DCB32C5">
      <w:pPr>
        <w:spacing w:line="460" w:lineRule="exact"/>
        <w:jc w:val="center"/>
        <w:rPr>
          <w:rFonts w:ascii="新宋体" w:hAnsi="新宋体" w:eastAsia="新宋体" w:cs="新宋体"/>
          <w:b/>
          <w:bCs/>
          <w:sz w:val="28"/>
          <w:szCs w:val="28"/>
        </w:rPr>
      </w:pPr>
    </w:p>
    <w:p w14:paraId="3C6A3367">
      <w:pPr>
        <w:spacing w:line="460" w:lineRule="exact"/>
        <w:jc w:val="center"/>
        <w:rPr>
          <w:rFonts w:ascii="新宋体" w:hAnsi="新宋体" w:eastAsia="新宋体" w:cs="新宋体"/>
          <w:b/>
          <w:bCs/>
          <w:sz w:val="28"/>
          <w:szCs w:val="28"/>
        </w:rPr>
      </w:pPr>
    </w:p>
    <w:p w14:paraId="4935D1C8">
      <w:pPr>
        <w:spacing w:line="460" w:lineRule="exact"/>
        <w:jc w:val="center"/>
        <w:rPr>
          <w:rFonts w:ascii="新宋体" w:hAnsi="新宋体" w:eastAsia="新宋体" w:cs="新宋体"/>
          <w:b/>
          <w:bCs/>
          <w:sz w:val="28"/>
          <w:szCs w:val="28"/>
        </w:rPr>
      </w:pPr>
    </w:p>
    <w:p w14:paraId="3953DD1B">
      <w:pPr>
        <w:spacing w:line="460" w:lineRule="exact"/>
        <w:jc w:val="center"/>
        <w:rPr>
          <w:rFonts w:ascii="新宋体" w:hAnsi="新宋体" w:eastAsia="新宋体" w:cs="新宋体"/>
          <w:b/>
          <w:bCs/>
          <w:sz w:val="28"/>
          <w:szCs w:val="28"/>
        </w:rPr>
      </w:pPr>
    </w:p>
    <w:p w14:paraId="1E2523DE">
      <w:pPr>
        <w:spacing w:line="460" w:lineRule="exact"/>
        <w:jc w:val="center"/>
        <w:rPr>
          <w:rFonts w:ascii="新宋体" w:hAnsi="新宋体" w:eastAsia="新宋体" w:cs="新宋体"/>
          <w:b/>
          <w:bCs/>
          <w:sz w:val="28"/>
          <w:szCs w:val="28"/>
        </w:rPr>
      </w:pPr>
    </w:p>
    <w:p w14:paraId="3879AD88">
      <w:pPr>
        <w:spacing w:line="460" w:lineRule="exact"/>
        <w:jc w:val="center"/>
        <w:rPr>
          <w:rFonts w:ascii="新宋体" w:hAnsi="新宋体" w:eastAsia="新宋体" w:cs="新宋体"/>
          <w:b/>
          <w:bCs/>
          <w:sz w:val="28"/>
          <w:szCs w:val="28"/>
        </w:rPr>
      </w:pPr>
    </w:p>
    <w:p w14:paraId="387F1B35">
      <w:pPr>
        <w:spacing w:line="460" w:lineRule="exact"/>
        <w:jc w:val="center"/>
        <w:rPr>
          <w:rFonts w:ascii="新宋体" w:hAnsi="新宋体" w:eastAsia="新宋体" w:cs="新宋体"/>
          <w:b/>
          <w:bCs/>
          <w:sz w:val="28"/>
          <w:szCs w:val="28"/>
        </w:rPr>
      </w:pPr>
    </w:p>
    <w:p w14:paraId="1B4E2E1A">
      <w:pPr>
        <w:spacing w:line="460" w:lineRule="exact"/>
        <w:jc w:val="center"/>
        <w:rPr>
          <w:rFonts w:ascii="新宋体" w:hAnsi="新宋体" w:eastAsia="新宋体" w:cs="新宋体"/>
          <w:b/>
          <w:bCs/>
          <w:sz w:val="28"/>
          <w:szCs w:val="28"/>
        </w:rPr>
      </w:pPr>
    </w:p>
    <w:p w14:paraId="045F819A">
      <w:pPr>
        <w:spacing w:line="460" w:lineRule="exact"/>
        <w:jc w:val="center"/>
        <w:rPr>
          <w:rFonts w:ascii="新宋体" w:hAnsi="新宋体" w:eastAsia="新宋体" w:cs="新宋体"/>
          <w:b/>
          <w:bCs/>
          <w:sz w:val="28"/>
          <w:szCs w:val="28"/>
        </w:rPr>
      </w:pPr>
    </w:p>
    <w:p w14:paraId="62F3FCBD">
      <w:pPr>
        <w:spacing w:line="460" w:lineRule="exact"/>
        <w:jc w:val="center"/>
        <w:rPr>
          <w:rFonts w:ascii="新宋体" w:hAnsi="新宋体" w:eastAsia="新宋体" w:cs="新宋体"/>
          <w:b/>
          <w:bCs/>
          <w:sz w:val="28"/>
          <w:szCs w:val="28"/>
        </w:rPr>
      </w:pPr>
      <w:r>
        <w:rPr>
          <w:rFonts w:hint="eastAsia" w:ascii="新宋体" w:hAnsi="新宋体" w:eastAsia="新宋体" w:cs="新宋体"/>
          <w:sz w:val="22"/>
          <w:szCs w:val="22"/>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-15875</wp:posOffset>
                </wp:positionV>
                <wp:extent cx="6303645" cy="3875405"/>
                <wp:effectExtent l="4445" t="5080" r="16510" b="5715"/>
                <wp:wrapNone/>
                <wp:docPr id="2" name="文本框 4"/>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A9DACB">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4" o:spid="_x0000_s1026" o:spt="202" type="#_x0000_t202" style="position:absolute;left:0pt;margin-left:6.95pt;margin-top:-1.25pt;height:305.15pt;width:496.35pt;z-index:251660288;mso-width-relative:page;mso-height-relative:page;" fillcolor="#FFFFFF" filled="t" stroked="t" coordsize="21600,21600" o:gfxdata="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t2Fd2AAAAAoBAAAPAAAA&#10;AAAAAAEAIAAAACIAAABkcnMvZG93bnJldi54bWxQSwECFAAUAAAACACHTuJANXUlxxUCAABFBAAA&#10;DgAAAAAAAAABACAAAAAnAQAAZHJzL2Uyb0RvYy54bWxQSwUGAAAAAAYABgBZAQAArgUAAAAA&#10;">
                <v:fill on="t" focussize="0,0"/>
                <v:stroke color="#000000" joinstyle="miter"/>
                <v:imagedata o:title=""/>
                <o:lock v:ext="edit" aspectratio="f"/>
                <v:textbox>
                  <w:txbxContent>
                    <w:p w14:paraId="73A9DACB">
                      <w:r>
                        <w:rPr>
                          <w:rFonts w:hint="eastAsia" w:ascii="新宋体" w:hAnsi="新宋体" w:eastAsia="新宋体"/>
                          <w:sz w:val="22"/>
                          <w:szCs w:val="22"/>
                        </w:rPr>
                        <w:t xml:space="preserve">  授权代表身份证（正反面）：</w:t>
                      </w:r>
                    </w:p>
                  </w:txbxContent>
                </v:textbox>
              </v:shape>
            </w:pict>
          </mc:Fallback>
        </mc:AlternateContent>
      </w:r>
    </w:p>
    <w:p w14:paraId="26AB8EBF">
      <w:pPr>
        <w:spacing w:line="460" w:lineRule="exact"/>
        <w:jc w:val="center"/>
        <w:rPr>
          <w:rFonts w:ascii="新宋体" w:hAnsi="新宋体" w:eastAsia="新宋体" w:cs="新宋体"/>
          <w:b/>
          <w:bCs/>
          <w:sz w:val="28"/>
          <w:szCs w:val="28"/>
        </w:rPr>
      </w:pPr>
    </w:p>
    <w:p w14:paraId="0E199A41">
      <w:pPr>
        <w:spacing w:line="460" w:lineRule="exact"/>
        <w:jc w:val="center"/>
        <w:rPr>
          <w:rFonts w:ascii="新宋体" w:hAnsi="新宋体" w:eastAsia="新宋体" w:cs="新宋体"/>
          <w:b/>
          <w:bCs/>
          <w:sz w:val="28"/>
          <w:szCs w:val="28"/>
        </w:rPr>
      </w:pPr>
    </w:p>
    <w:p w14:paraId="635F472F">
      <w:pPr>
        <w:spacing w:line="460" w:lineRule="exact"/>
        <w:jc w:val="center"/>
        <w:rPr>
          <w:rFonts w:ascii="新宋体" w:hAnsi="新宋体" w:eastAsia="新宋体" w:cs="新宋体"/>
          <w:b/>
          <w:bCs/>
          <w:sz w:val="28"/>
          <w:szCs w:val="28"/>
        </w:rPr>
      </w:pPr>
    </w:p>
    <w:p w14:paraId="716E4CDA">
      <w:pPr>
        <w:spacing w:line="460" w:lineRule="exact"/>
        <w:jc w:val="center"/>
        <w:rPr>
          <w:rFonts w:ascii="新宋体" w:hAnsi="新宋体" w:eastAsia="新宋体" w:cs="新宋体"/>
          <w:b/>
          <w:bCs/>
          <w:sz w:val="28"/>
          <w:szCs w:val="28"/>
        </w:rPr>
      </w:pPr>
    </w:p>
    <w:p w14:paraId="5B937ED8">
      <w:pPr>
        <w:spacing w:line="460" w:lineRule="exact"/>
        <w:jc w:val="center"/>
        <w:rPr>
          <w:rFonts w:ascii="新宋体" w:hAnsi="新宋体" w:eastAsia="新宋体" w:cs="新宋体"/>
          <w:b/>
          <w:bCs/>
          <w:sz w:val="28"/>
          <w:szCs w:val="28"/>
        </w:rPr>
      </w:pPr>
    </w:p>
    <w:p w14:paraId="01835621">
      <w:pPr>
        <w:spacing w:line="460" w:lineRule="exact"/>
        <w:jc w:val="center"/>
        <w:rPr>
          <w:rFonts w:ascii="新宋体" w:hAnsi="新宋体" w:eastAsia="新宋体" w:cs="新宋体"/>
          <w:b/>
          <w:bCs/>
          <w:sz w:val="28"/>
          <w:szCs w:val="28"/>
        </w:rPr>
      </w:pPr>
    </w:p>
    <w:p w14:paraId="2F130B3E">
      <w:pPr>
        <w:spacing w:line="460" w:lineRule="exact"/>
        <w:jc w:val="center"/>
        <w:rPr>
          <w:rFonts w:ascii="新宋体" w:hAnsi="新宋体" w:eastAsia="新宋体" w:cs="新宋体"/>
          <w:b/>
          <w:bCs/>
          <w:sz w:val="28"/>
          <w:szCs w:val="28"/>
        </w:rPr>
      </w:pPr>
    </w:p>
    <w:p w14:paraId="56AD7B81">
      <w:pPr>
        <w:spacing w:line="460" w:lineRule="exact"/>
        <w:jc w:val="center"/>
        <w:rPr>
          <w:rFonts w:ascii="新宋体" w:hAnsi="新宋体" w:eastAsia="新宋体" w:cs="新宋体"/>
          <w:b/>
          <w:bCs/>
          <w:sz w:val="28"/>
          <w:szCs w:val="28"/>
        </w:rPr>
      </w:pPr>
    </w:p>
    <w:p w14:paraId="674CC25F">
      <w:pPr>
        <w:spacing w:line="460" w:lineRule="exact"/>
        <w:jc w:val="center"/>
        <w:rPr>
          <w:rFonts w:ascii="新宋体" w:hAnsi="新宋体" w:eastAsia="新宋体" w:cs="新宋体"/>
          <w:b/>
          <w:bCs/>
          <w:sz w:val="28"/>
          <w:szCs w:val="28"/>
        </w:rPr>
      </w:pPr>
    </w:p>
    <w:p w14:paraId="15D59E4F">
      <w:pPr>
        <w:spacing w:line="460" w:lineRule="exact"/>
        <w:jc w:val="center"/>
        <w:rPr>
          <w:rFonts w:ascii="新宋体" w:hAnsi="新宋体" w:eastAsia="新宋体" w:cs="新宋体"/>
          <w:b/>
          <w:bCs/>
          <w:sz w:val="28"/>
          <w:szCs w:val="28"/>
        </w:rPr>
      </w:pPr>
    </w:p>
    <w:p w14:paraId="1526B9BC">
      <w:pPr>
        <w:spacing w:line="460" w:lineRule="exact"/>
        <w:jc w:val="center"/>
        <w:rPr>
          <w:rFonts w:ascii="新宋体" w:hAnsi="新宋体" w:eastAsia="新宋体" w:cs="新宋体"/>
          <w:b/>
          <w:bCs/>
          <w:sz w:val="28"/>
          <w:szCs w:val="28"/>
        </w:rPr>
      </w:pPr>
    </w:p>
    <w:p w14:paraId="25317DCA">
      <w:pPr>
        <w:spacing w:line="460" w:lineRule="exact"/>
        <w:jc w:val="center"/>
        <w:rPr>
          <w:rFonts w:ascii="新宋体" w:hAnsi="新宋体" w:eastAsia="新宋体" w:cs="新宋体"/>
          <w:b/>
          <w:bCs/>
          <w:sz w:val="28"/>
          <w:szCs w:val="28"/>
        </w:rPr>
      </w:pPr>
    </w:p>
    <w:p w14:paraId="313F83F9">
      <w:pPr>
        <w:spacing w:line="460" w:lineRule="exact"/>
        <w:jc w:val="center"/>
        <w:rPr>
          <w:rFonts w:ascii="新宋体" w:hAnsi="新宋体" w:eastAsia="新宋体" w:cs="新宋体"/>
          <w:b/>
          <w:bCs/>
          <w:sz w:val="28"/>
          <w:szCs w:val="28"/>
        </w:rPr>
      </w:pPr>
    </w:p>
    <w:p w14:paraId="59944854">
      <w:pPr>
        <w:spacing w:line="460" w:lineRule="exact"/>
        <w:jc w:val="center"/>
        <w:rPr>
          <w:rFonts w:ascii="新宋体" w:hAnsi="新宋体" w:eastAsia="新宋体" w:cs="新宋体"/>
          <w:b/>
          <w:bCs/>
          <w:sz w:val="28"/>
          <w:szCs w:val="28"/>
        </w:rPr>
      </w:pPr>
    </w:p>
    <w:p w14:paraId="5EB0CD74">
      <w:pPr>
        <w:spacing w:line="460" w:lineRule="exact"/>
        <w:jc w:val="center"/>
        <w:rPr>
          <w:rFonts w:ascii="新宋体" w:hAnsi="新宋体" w:eastAsia="新宋体" w:cs="新宋体"/>
          <w:b/>
          <w:bCs/>
          <w:sz w:val="28"/>
          <w:szCs w:val="28"/>
        </w:rPr>
      </w:pPr>
    </w:p>
    <w:p w14:paraId="74EA2B76">
      <w:pPr>
        <w:spacing w:line="460" w:lineRule="exact"/>
        <w:jc w:val="center"/>
        <w:rPr>
          <w:rFonts w:ascii="新宋体" w:hAnsi="新宋体" w:eastAsia="新宋体" w:cs="新宋体"/>
          <w:b/>
          <w:bCs/>
          <w:sz w:val="28"/>
          <w:szCs w:val="28"/>
        </w:rPr>
      </w:pPr>
    </w:p>
    <w:p w14:paraId="3019ED43">
      <w:pPr>
        <w:spacing w:line="380" w:lineRule="exact"/>
        <w:rPr>
          <w:rFonts w:ascii="新宋体" w:hAnsi="新宋体" w:eastAsia="新宋体" w:cs="新宋体"/>
          <w:b/>
          <w:sz w:val="22"/>
          <w:szCs w:val="22"/>
        </w:rPr>
      </w:pPr>
      <w:r>
        <w:rPr>
          <w:rFonts w:hint="eastAsia" w:ascii="新宋体" w:hAnsi="新宋体" w:eastAsia="新宋体" w:cs="新宋体"/>
          <w:b/>
          <w:sz w:val="22"/>
          <w:szCs w:val="22"/>
        </w:rPr>
        <w:t>2、投标人的营业执照复印件</w:t>
      </w:r>
    </w:p>
    <w:p w14:paraId="099A201A">
      <w:pPr>
        <w:spacing w:line="380" w:lineRule="exact"/>
        <w:jc w:val="center"/>
        <w:rPr>
          <w:rFonts w:ascii="新宋体" w:hAnsi="新宋体" w:eastAsia="新宋体" w:cs="新宋体"/>
          <w:b/>
          <w:sz w:val="22"/>
          <w:szCs w:val="22"/>
        </w:rPr>
      </w:pPr>
      <w:bookmarkStart w:id="101" w:name="_Toc14979"/>
      <w:bookmarkStart w:id="102" w:name="_Toc11684"/>
    </w:p>
    <w:p w14:paraId="5BD8CACC">
      <w:pPr>
        <w:spacing w:line="380" w:lineRule="exact"/>
        <w:jc w:val="center"/>
        <w:rPr>
          <w:rFonts w:ascii="新宋体" w:hAnsi="新宋体" w:eastAsia="新宋体" w:cs="新宋体"/>
          <w:b/>
          <w:sz w:val="22"/>
          <w:szCs w:val="22"/>
        </w:rPr>
      </w:pPr>
    </w:p>
    <w:p w14:paraId="46AD2243">
      <w:pPr>
        <w:spacing w:line="380" w:lineRule="exact"/>
        <w:rPr>
          <w:rFonts w:ascii="新宋体" w:hAnsi="新宋体" w:eastAsia="新宋体" w:cs="新宋体"/>
          <w:b/>
          <w:sz w:val="22"/>
          <w:szCs w:val="22"/>
        </w:rPr>
      </w:pPr>
      <w:r>
        <w:rPr>
          <w:rFonts w:hint="eastAsia" w:ascii="新宋体" w:hAnsi="新宋体" w:eastAsia="新宋体" w:cs="新宋体"/>
          <w:b/>
          <w:sz w:val="22"/>
          <w:szCs w:val="22"/>
        </w:rPr>
        <w:t>3、纳入监管评级的银行，人民银行上年度综合评价应达到B级及以上证明材料。</w:t>
      </w:r>
    </w:p>
    <w:p w14:paraId="2211A58E">
      <w:pPr>
        <w:spacing w:line="380" w:lineRule="exact"/>
        <w:jc w:val="center"/>
        <w:rPr>
          <w:rFonts w:ascii="新宋体" w:hAnsi="新宋体" w:eastAsia="新宋体" w:cs="新宋体"/>
          <w:b/>
          <w:sz w:val="22"/>
          <w:szCs w:val="22"/>
        </w:rPr>
      </w:pPr>
    </w:p>
    <w:p w14:paraId="4D35FDDA">
      <w:pPr>
        <w:spacing w:line="380" w:lineRule="exact"/>
        <w:jc w:val="center"/>
        <w:rPr>
          <w:rFonts w:ascii="新宋体" w:hAnsi="新宋体" w:eastAsia="新宋体" w:cs="新宋体"/>
          <w:b/>
          <w:sz w:val="22"/>
          <w:szCs w:val="22"/>
        </w:rPr>
      </w:pPr>
    </w:p>
    <w:p w14:paraId="3703128C">
      <w:pPr>
        <w:spacing w:line="380" w:lineRule="exact"/>
        <w:rPr>
          <w:rFonts w:ascii="新宋体" w:hAnsi="新宋体" w:eastAsia="新宋体" w:cs="新宋体"/>
          <w:b/>
          <w:sz w:val="22"/>
          <w:szCs w:val="22"/>
        </w:rPr>
      </w:pPr>
      <w:r>
        <w:rPr>
          <w:rFonts w:hint="eastAsia" w:ascii="新宋体" w:hAnsi="新宋体" w:eastAsia="新宋体" w:cs="新宋体"/>
          <w:b/>
          <w:sz w:val="22"/>
          <w:szCs w:val="22"/>
        </w:rPr>
        <w:br w:type="page"/>
      </w:r>
    </w:p>
    <w:bookmarkEnd w:id="101"/>
    <w:bookmarkEnd w:id="102"/>
    <w:p w14:paraId="6FBD9EAE">
      <w:pPr>
        <w:spacing w:line="460" w:lineRule="exact"/>
        <w:outlineLvl w:val="1"/>
        <w:rPr>
          <w:rFonts w:ascii="新宋体" w:hAnsi="新宋体" w:eastAsia="新宋体" w:cs="新宋体"/>
          <w:b/>
          <w:bCs/>
          <w:sz w:val="22"/>
          <w:szCs w:val="22"/>
        </w:rPr>
      </w:pPr>
      <w:bookmarkStart w:id="103" w:name="_Toc26582"/>
      <w:bookmarkStart w:id="104" w:name="_Toc5376"/>
      <w:bookmarkStart w:id="105" w:name="_Toc24117"/>
      <w:bookmarkStart w:id="106" w:name="_Toc31580"/>
      <w:bookmarkStart w:id="107" w:name="_Toc5917"/>
      <w:bookmarkStart w:id="108" w:name="_Toc9719"/>
      <w:r>
        <w:rPr>
          <w:rFonts w:hint="eastAsia" w:ascii="新宋体" w:hAnsi="新宋体" w:eastAsia="新宋体" w:cs="新宋体"/>
          <w:b/>
          <w:bCs/>
          <w:sz w:val="22"/>
          <w:szCs w:val="22"/>
        </w:rPr>
        <w:t>附件四</w:t>
      </w:r>
      <w:bookmarkEnd w:id="103"/>
      <w:bookmarkEnd w:id="104"/>
      <w:bookmarkEnd w:id="105"/>
      <w:bookmarkEnd w:id="106"/>
    </w:p>
    <w:bookmarkEnd w:id="107"/>
    <w:bookmarkEnd w:id="108"/>
    <w:p w14:paraId="0F7EB183">
      <w:pPr>
        <w:spacing w:line="460" w:lineRule="exact"/>
        <w:jc w:val="center"/>
        <w:outlineLvl w:val="2"/>
        <w:rPr>
          <w:rFonts w:ascii="新宋体" w:hAnsi="新宋体" w:eastAsia="新宋体" w:cs="新宋体"/>
          <w:b/>
          <w:bCs/>
          <w:sz w:val="22"/>
          <w:szCs w:val="22"/>
        </w:rPr>
      </w:pPr>
      <w:bookmarkStart w:id="109" w:name="_Toc16877"/>
      <w:bookmarkStart w:id="110" w:name="_Toc3791"/>
      <w:bookmarkStart w:id="111" w:name="_Toc4316"/>
      <w:bookmarkStart w:id="112" w:name="_Toc19890"/>
      <w:r>
        <w:rPr>
          <w:rFonts w:hint="eastAsia" w:ascii="新宋体" w:hAnsi="新宋体" w:eastAsia="新宋体" w:cs="新宋体"/>
          <w:b/>
          <w:bCs/>
          <w:sz w:val="22"/>
          <w:szCs w:val="22"/>
        </w:rPr>
        <w:t>总行或温州市分行唯一授权</w:t>
      </w:r>
      <w:bookmarkEnd w:id="109"/>
      <w:r>
        <w:rPr>
          <w:rFonts w:hint="eastAsia" w:ascii="新宋体" w:hAnsi="新宋体" w:eastAsia="新宋体" w:cs="新宋体"/>
          <w:b/>
          <w:bCs/>
          <w:sz w:val="22"/>
          <w:szCs w:val="22"/>
        </w:rPr>
        <w:t>（如有）</w:t>
      </w:r>
      <w:bookmarkEnd w:id="110"/>
      <w:bookmarkEnd w:id="111"/>
      <w:bookmarkEnd w:id="112"/>
    </w:p>
    <w:p w14:paraId="7B37DF99">
      <w:pPr>
        <w:spacing w:line="460" w:lineRule="exact"/>
        <w:rPr>
          <w:rFonts w:ascii="新宋体" w:hAnsi="新宋体" w:eastAsia="新宋体" w:cs="新宋体"/>
          <w:sz w:val="22"/>
          <w:szCs w:val="22"/>
        </w:rPr>
      </w:pPr>
      <w:r>
        <w:rPr>
          <w:rFonts w:hint="eastAsia" w:ascii="新宋体" w:hAnsi="新宋体" w:eastAsia="新宋体" w:cs="新宋体"/>
          <w:sz w:val="22"/>
          <w:szCs w:val="22"/>
        </w:rPr>
        <w:t>如为温州市分支机构需提供总行或温州市分行唯一授权，温州市域农村商业银行（温州地区农村信用合作联社、农村商业银行、农村合作银行）提供浙江农商联合银行温州管理部唯一授权书复印件（格式自拟，在唯一授权中体现项目名称、编号和唯一授权等相关信息）</w:t>
      </w:r>
    </w:p>
    <w:p w14:paraId="6064CD08">
      <w:pPr>
        <w:rPr>
          <w:rFonts w:ascii="新宋体" w:hAnsi="新宋体" w:eastAsia="新宋体" w:cs="新宋体"/>
        </w:rPr>
      </w:pPr>
      <w:bookmarkStart w:id="113" w:name="_Toc6159"/>
    </w:p>
    <w:p w14:paraId="4507D4E5">
      <w:pPr>
        <w:rPr>
          <w:rFonts w:ascii="新宋体" w:hAnsi="新宋体" w:eastAsia="新宋体" w:cs="新宋体"/>
        </w:rPr>
      </w:pPr>
    </w:p>
    <w:p w14:paraId="0911F235">
      <w:pPr>
        <w:pStyle w:val="6"/>
        <w:rPr>
          <w:rFonts w:ascii="新宋体" w:hAnsi="新宋体" w:eastAsia="新宋体" w:cs="新宋体"/>
        </w:rPr>
      </w:pPr>
    </w:p>
    <w:p w14:paraId="15B8E664">
      <w:pPr>
        <w:rPr>
          <w:rFonts w:ascii="新宋体" w:hAnsi="新宋体" w:eastAsia="新宋体" w:cs="新宋体"/>
        </w:rPr>
      </w:pPr>
    </w:p>
    <w:p w14:paraId="0A273DE1">
      <w:pPr>
        <w:pStyle w:val="6"/>
        <w:rPr>
          <w:rFonts w:ascii="新宋体" w:hAnsi="新宋体" w:eastAsia="新宋体" w:cs="新宋体"/>
        </w:rPr>
      </w:pPr>
    </w:p>
    <w:p w14:paraId="3C582374">
      <w:pPr>
        <w:rPr>
          <w:rFonts w:ascii="新宋体" w:hAnsi="新宋体" w:eastAsia="新宋体" w:cs="新宋体"/>
        </w:rPr>
      </w:pPr>
    </w:p>
    <w:p w14:paraId="76B2A1C6">
      <w:pPr>
        <w:pStyle w:val="6"/>
        <w:rPr>
          <w:rFonts w:ascii="新宋体" w:hAnsi="新宋体" w:eastAsia="新宋体" w:cs="新宋体"/>
        </w:rPr>
      </w:pPr>
    </w:p>
    <w:p w14:paraId="1EAC8C05">
      <w:pPr>
        <w:rPr>
          <w:rFonts w:ascii="新宋体" w:hAnsi="新宋体" w:eastAsia="新宋体" w:cs="新宋体"/>
        </w:rPr>
      </w:pPr>
    </w:p>
    <w:p w14:paraId="74A1AB75">
      <w:pPr>
        <w:pStyle w:val="6"/>
        <w:rPr>
          <w:rFonts w:ascii="新宋体" w:hAnsi="新宋体" w:eastAsia="新宋体" w:cs="新宋体"/>
        </w:rPr>
      </w:pPr>
    </w:p>
    <w:p w14:paraId="63CC773C">
      <w:pPr>
        <w:rPr>
          <w:rFonts w:ascii="新宋体" w:hAnsi="新宋体" w:eastAsia="新宋体" w:cs="新宋体"/>
        </w:rPr>
      </w:pPr>
    </w:p>
    <w:p w14:paraId="67993CA0">
      <w:pPr>
        <w:pStyle w:val="6"/>
        <w:rPr>
          <w:rFonts w:ascii="新宋体" w:hAnsi="新宋体" w:eastAsia="新宋体" w:cs="新宋体"/>
        </w:rPr>
      </w:pPr>
    </w:p>
    <w:p w14:paraId="7ECEA0F5">
      <w:pPr>
        <w:rPr>
          <w:rFonts w:ascii="新宋体" w:hAnsi="新宋体" w:eastAsia="新宋体" w:cs="新宋体"/>
          <w:b/>
          <w:bCs/>
          <w:sz w:val="28"/>
          <w:szCs w:val="28"/>
        </w:rPr>
      </w:pPr>
      <w:r>
        <w:rPr>
          <w:rFonts w:hint="eastAsia" w:ascii="新宋体" w:hAnsi="新宋体" w:eastAsia="新宋体" w:cs="新宋体"/>
          <w:b/>
          <w:bCs/>
          <w:sz w:val="28"/>
          <w:szCs w:val="28"/>
        </w:rPr>
        <w:br w:type="page"/>
      </w:r>
    </w:p>
    <w:p w14:paraId="06601308">
      <w:pPr>
        <w:spacing w:line="460" w:lineRule="exact"/>
        <w:outlineLvl w:val="1"/>
        <w:rPr>
          <w:rFonts w:ascii="新宋体" w:hAnsi="新宋体" w:eastAsia="新宋体" w:cs="新宋体"/>
          <w:b/>
          <w:bCs/>
          <w:sz w:val="22"/>
          <w:szCs w:val="22"/>
        </w:rPr>
      </w:pPr>
      <w:bookmarkStart w:id="114" w:name="_Toc12337"/>
      <w:bookmarkStart w:id="115" w:name="_Toc32482"/>
      <w:bookmarkStart w:id="116" w:name="_Toc6951"/>
      <w:bookmarkStart w:id="117" w:name="_Toc29560"/>
      <w:r>
        <w:rPr>
          <w:rFonts w:hint="eastAsia" w:ascii="新宋体" w:hAnsi="新宋体" w:eastAsia="新宋体" w:cs="新宋体"/>
          <w:b/>
          <w:bCs/>
          <w:sz w:val="22"/>
          <w:szCs w:val="22"/>
        </w:rPr>
        <w:t>附件五</w:t>
      </w:r>
      <w:bookmarkEnd w:id="114"/>
      <w:bookmarkEnd w:id="115"/>
      <w:bookmarkEnd w:id="116"/>
      <w:bookmarkEnd w:id="117"/>
    </w:p>
    <w:p w14:paraId="00E795CC">
      <w:pPr>
        <w:spacing w:line="460" w:lineRule="exact"/>
        <w:jc w:val="center"/>
        <w:outlineLvl w:val="2"/>
        <w:rPr>
          <w:rFonts w:ascii="新宋体" w:hAnsi="新宋体" w:eastAsia="新宋体" w:cs="新宋体"/>
          <w:b/>
          <w:bCs/>
          <w:sz w:val="28"/>
          <w:szCs w:val="28"/>
        </w:rPr>
      </w:pPr>
      <w:bookmarkStart w:id="118" w:name="_Toc16418"/>
      <w:bookmarkStart w:id="119" w:name="_Toc12534"/>
      <w:bookmarkStart w:id="120" w:name="_Toc7241"/>
      <w:bookmarkStart w:id="121" w:name="_Toc1771"/>
      <w:r>
        <w:rPr>
          <w:rFonts w:hint="eastAsia" w:ascii="新宋体" w:hAnsi="新宋体" w:eastAsia="新宋体" w:cs="新宋体"/>
          <w:b/>
          <w:bCs/>
          <w:sz w:val="28"/>
          <w:szCs w:val="28"/>
        </w:rPr>
        <w:t>无重大违法记录声明</w:t>
      </w:r>
      <w:bookmarkEnd w:id="113"/>
      <w:bookmarkEnd w:id="118"/>
      <w:bookmarkEnd w:id="119"/>
      <w:bookmarkEnd w:id="120"/>
      <w:bookmarkEnd w:id="121"/>
    </w:p>
    <w:p w14:paraId="432125FC">
      <w:pPr>
        <w:spacing w:line="460" w:lineRule="exact"/>
        <w:rPr>
          <w:rFonts w:ascii="新宋体" w:hAnsi="新宋体" w:eastAsia="新宋体" w:cs="新宋体"/>
          <w:bCs/>
          <w:sz w:val="22"/>
          <w:szCs w:val="22"/>
        </w:rPr>
      </w:pPr>
      <w:r>
        <w:rPr>
          <w:rFonts w:hint="eastAsia" w:ascii="新宋体" w:hAnsi="新宋体" w:eastAsia="新宋体" w:cs="新宋体"/>
          <w:sz w:val="22"/>
          <w:szCs w:val="22"/>
        </w:rPr>
        <w:t>温州市龙湾区城市建设中心(温州市龙湾区土地储备中心)</w:t>
      </w:r>
      <w:r>
        <w:rPr>
          <w:rFonts w:hint="eastAsia" w:ascii="新宋体" w:hAnsi="新宋体" w:eastAsia="新宋体" w:cs="新宋体"/>
          <w:bCs/>
          <w:sz w:val="22"/>
          <w:szCs w:val="22"/>
        </w:rPr>
        <w:t>：</w:t>
      </w:r>
    </w:p>
    <w:p w14:paraId="471FF4DC">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现郑重承诺：本单位、法定代表人及项目授权代表自承诺之日前三年内在经营活动中没有重大违法记录（以法院判决或行政处罚日期为准）。如本</w:t>
      </w:r>
      <w:bookmarkStart w:id="122" w:name="OLE_LINK6"/>
      <w:r>
        <w:rPr>
          <w:rFonts w:hint="eastAsia" w:ascii="新宋体" w:hAnsi="新宋体" w:eastAsia="新宋体" w:cs="新宋体"/>
          <w:sz w:val="22"/>
          <w:szCs w:val="22"/>
        </w:rPr>
        <w:t>承诺失实，自愿承担被取消中标资格等有关责任。</w:t>
      </w:r>
    </w:p>
    <w:p w14:paraId="47C66B1B">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特此声明</w:t>
      </w:r>
      <w:bookmarkEnd w:id="122"/>
      <w:r>
        <w:rPr>
          <w:rFonts w:hint="eastAsia" w:ascii="新宋体" w:hAnsi="新宋体" w:eastAsia="新宋体" w:cs="新宋体"/>
          <w:sz w:val="22"/>
          <w:szCs w:val="22"/>
        </w:rPr>
        <w:t>。</w:t>
      </w:r>
    </w:p>
    <w:p w14:paraId="4C193704">
      <w:pPr>
        <w:spacing w:line="460" w:lineRule="exact"/>
        <w:ind w:firstLine="4400" w:firstLineChars="2000"/>
        <w:rPr>
          <w:rFonts w:ascii="新宋体" w:hAnsi="新宋体" w:eastAsia="新宋体" w:cs="新宋体"/>
          <w:sz w:val="22"/>
          <w:szCs w:val="22"/>
        </w:rPr>
      </w:pPr>
    </w:p>
    <w:p w14:paraId="37EB9398">
      <w:pPr>
        <w:spacing w:line="46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投标银行全称（盖章）：</w:t>
      </w:r>
    </w:p>
    <w:p w14:paraId="64F41133">
      <w:pPr>
        <w:spacing w:line="46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投标银行代表（签字）：</w:t>
      </w:r>
    </w:p>
    <w:p w14:paraId="2BC00A06">
      <w:pPr>
        <w:spacing w:line="46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   期：</w:t>
      </w:r>
    </w:p>
    <w:p w14:paraId="4C1AB901">
      <w:pPr>
        <w:rPr>
          <w:rFonts w:ascii="新宋体" w:hAnsi="新宋体" w:eastAsia="新宋体" w:cs="新宋体"/>
        </w:rPr>
      </w:pPr>
    </w:p>
    <w:p w14:paraId="1E6C16C7">
      <w:pPr>
        <w:pStyle w:val="6"/>
        <w:rPr>
          <w:rFonts w:ascii="新宋体" w:hAnsi="新宋体" w:eastAsia="新宋体" w:cs="新宋体"/>
        </w:rPr>
      </w:pPr>
    </w:p>
    <w:p w14:paraId="7CEDD2C0">
      <w:pPr>
        <w:rPr>
          <w:rFonts w:ascii="新宋体" w:hAnsi="新宋体" w:eastAsia="新宋体" w:cs="新宋体"/>
        </w:rPr>
      </w:pPr>
    </w:p>
    <w:p w14:paraId="0E21D9B2">
      <w:pPr>
        <w:pStyle w:val="6"/>
        <w:rPr>
          <w:rFonts w:ascii="新宋体" w:hAnsi="新宋体" w:eastAsia="新宋体" w:cs="新宋体"/>
        </w:rPr>
      </w:pPr>
    </w:p>
    <w:p w14:paraId="46CC3A41">
      <w:pPr>
        <w:rPr>
          <w:rFonts w:ascii="新宋体" w:hAnsi="新宋体" w:eastAsia="新宋体" w:cs="新宋体"/>
        </w:rPr>
      </w:pPr>
    </w:p>
    <w:p w14:paraId="6728125A">
      <w:pPr>
        <w:pStyle w:val="6"/>
        <w:rPr>
          <w:rFonts w:ascii="新宋体" w:hAnsi="新宋体" w:eastAsia="新宋体" w:cs="新宋体"/>
        </w:rPr>
      </w:pPr>
    </w:p>
    <w:p w14:paraId="7D89F9CF">
      <w:pPr>
        <w:rPr>
          <w:rFonts w:ascii="新宋体" w:hAnsi="新宋体" w:eastAsia="新宋体" w:cs="新宋体"/>
          <w:b/>
          <w:bCs/>
          <w:sz w:val="28"/>
          <w:szCs w:val="28"/>
        </w:rPr>
      </w:pPr>
      <w:bookmarkStart w:id="123" w:name="_Toc9849"/>
      <w:bookmarkStart w:id="124" w:name="_Toc5799"/>
      <w:r>
        <w:rPr>
          <w:rFonts w:hint="eastAsia" w:ascii="新宋体" w:hAnsi="新宋体" w:eastAsia="新宋体" w:cs="新宋体"/>
          <w:b/>
          <w:bCs/>
          <w:sz w:val="28"/>
          <w:szCs w:val="28"/>
        </w:rPr>
        <w:br w:type="page"/>
      </w:r>
    </w:p>
    <w:p w14:paraId="6B479488">
      <w:pPr>
        <w:spacing w:line="460" w:lineRule="exact"/>
        <w:outlineLvl w:val="1"/>
        <w:rPr>
          <w:rFonts w:ascii="新宋体" w:hAnsi="新宋体" w:eastAsia="新宋体" w:cs="新宋体"/>
          <w:b/>
          <w:bCs/>
          <w:sz w:val="22"/>
          <w:szCs w:val="22"/>
        </w:rPr>
      </w:pPr>
      <w:bookmarkStart w:id="125" w:name="_Toc22262"/>
      <w:bookmarkStart w:id="126" w:name="_Toc13017"/>
      <w:bookmarkStart w:id="127" w:name="_Toc24114"/>
      <w:bookmarkStart w:id="128" w:name="_Toc15364"/>
      <w:r>
        <w:rPr>
          <w:rFonts w:hint="eastAsia" w:ascii="新宋体" w:hAnsi="新宋体" w:eastAsia="新宋体" w:cs="新宋体"/>
          <w:b/>
          <w:bCs/>
          <w:sz w:val="22"/>
          <w:szCs w:val="22"/>
        </w:rPr>
        <w:t>附件六</w:t>
      </w:r>
      <w:bookmarkEnd w:id="125"/>
      <w:bookmarkEnd w:id="126"/>
      <w:bookmarkEnd w:id="127"/>
      <w:bookmarkEnd w:id="128"/>
    </w:p>
    <w:p w14:paraId="580B5EA8">
      <w:pPr>
        <w:spacing w:line="460" w:lineRule="exact"/>
        <w:jc w:val="center"/>
        <w:outlineLvl w:val="2"/>
        <w:rPr>
          <w:rFonts w:ascii="新宋体" w:hAnsi="新宋体" w:eastAsia="新宋体" w:cs="新宋体"/>
          <w:b/>
          <w:bCs/>
          <w:sz w:val="28"/>
          <w:szCs w:val="28"/>
        </w:rPr>
      </w:pPr>
      <w:bookmarkStart w:id="129" w:name="_Toc32703"/>
      <w:bookmarkStart w:id="130" w:name="_Toc32360"/>
      <w:bookmarkStart w:id="131" w:name="_Toc29518"/>
      <w:bookmarkStart w:id="132" w:name="_Toc32202"/>
      <w:r>
        <w:rPr>
          <w:rFonts w:hint="eastAsia" w:ascii="新宋体" w:hAnsi="新宋体" w:eastAsia="新宋体" w:cs="新宋体"/>
          <w:b/>
          <w:bCs/>
          <w:sz w:val="28"/>
          <w:szCs w:val="28"/>
        </w:rPr>
        <w:t>廉政承诺书</w:t>
      </w:r>
      <w:bookmarkEnd w:id="123"/>
      <w:bookmarkEnd w:id="129"/>
      <w:bookmarkEnd w:id="130"/>
      <w:bookmarkEnd w:id="131"/>
      <w:bookmarkEnd w:id="132"/>
    </w:p>
    <w:p w14:paraId="5850E103">
      <w:pPr>
        <w:spacing w:line="440" w:lineRule="exact"/>
        <w:rPr>
          <w:rFonts w:ascii="新宋体" w:hAnsi="新宋体" w:eastAsia="新宋体" w:cs="新宋体"/>
          <w:b/>
          <w:bCs/>
          <w:sz w:val="22"/>
          <w:szCs w:val="22"/>
        </w:rPr>
      </w:pPr>
      <w:r>
        <w:rPr>
          <w:rFonts w:hint="eastAsia" w:ascii="新宋体" w:hAnsi="新宋体" w:eastAsia="新宋体" w:cs="新宋体"/>
          <w:b/>
          <w:bCs/>
          <w:sz w:val="22"/>
          <w:szCs w:val="22"/>
        </w:rPr>
        <w:t xml:space="preserve">    </w:t>
      </w:r>
    </w:p>
    <w:p w14:paraId="2F6C4F26">
      <w:pPr>
        <w:spacing w:line="460" w:lineRule="exact"/>
        <w:rPr>
          <w:rFonts w:ascii="新宋体" w:hAnsi="新宋体" w:eastAsia="新宋体" w:cs="新宋体"/>
          <w:sz w:val="22"/>
          <w:szCs w:val="22"/>
          <w:lang w:bidi="ar"/>
        </w:rPr>
      </w:pPr>
      <w:r>
        <w:rPr>
          <w:rFonts w:hint="eastAsia" w:ascii="新宋体" w:hAnsi="新宋体" w:eastAsia="新宋体" w:cs="新宋体"/>
          <w:sz w:val="22"/>
          <w:szCs w:val="22"/>
          <w:u w:val="single"/>
          <w:lang w:bidi="ar"/>
        </w:rPr>
        <w:t xml:space="preserve">        </w:t>
      </w:r>
      <w:r>
        <w:rPr>
          <w:rFonts w:hint="eastAsia" w:ascii="新宋体" w:hAnsi="新宋体" w:eastAsia="新宋体" w:cs="新宋体"/>
          <w:sz w:val="22"/>
          <w:szCs w:val="22"/>
          <w:lang w:bidi="ar"/>
        </w:rPr>
        <w:t>部门（单位）：</w:t>
      </w:r>
    </w:p>
    <w:p w14:paraId="57BB9B89">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lang w:bidi="ar"/>
        </w:rPr>
        <w:t>根据</w:t>
      </w:r>
      <w:r>
        <w:rPr>
          <w:rFonts w:hint="eastAsia" w:ascii="新宋体" w:hAnsi="新宋体" w:eastAsia="新宋体" w:cs="新宋体"/>
          <w:sz w:val="22"/>
          <w:szCs w:val="22"/>
        </w:rPr>
        <w:t>《关于防止领导干部在公款存放方面发生利益冲突和利益输送的办法》(浙委办发〔2015〕8号)、《关于印发龙湾区行政事业单位公款竞争性存放管理办法的通知》温龙政办发〔2022〕30号</w:t>
      </w:r>
      <w:r>
        <w:rPr>
          <w:rFonts w:hint="eastAsia" w:ascii="新宋体" w:hAnsi="新宋体" w:eastAsia="新宋体" w:cs="新宋体"/>
          <w:sz w:val="22"/>
          <w:szCs w:val="22"/>
          <w:lang w:bidi="ar"/>
        </w:rPr>
        <w:t>相关规定，现就本行参加贵单位公款竞争性存放作出如下承诺：</w:t>
      </w:r>
    </w:p>
    <w:p w14:paraId="162046A1">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1、不向贵单位负责公款存放管理的领导及相关人员进行利益输送；</w:t>
      </w:r>
    </w:p>
    <w:p w14:paraId="1DF5C2A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2、不将公款存放与贵单位负责公款存放管理的领导及相关人员在本行的配偶、子女及其配偶和其他直接利益相关人员的业绩、收入、晋升等利益挂钩；</w:t>
      </w:r>
    </w:p>
    <w:p w14:paraId="43C0298C">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3、严格执行利益回避制度，贵单位负责公款竞争性存放相关人员的配偶、子女及其配偶和其他直接利益相关人员为本行工作人员的，不参与公款竞争性存放工作；</w:t>
      </w:r>
    </w:p>
    <w:p w14:paraId="661E28DD">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4、不发生除上述行为之外的其他任何利益输送行为。</w:t>
      </w:r>
    </w:p>
    <w:p w14:paraId="432CAD5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未遵守以上承诺的，本行自愿接受财政部门通报和处理，承担相应的一切后果</w:t>
      </w:r>
    </w:p>
    <w:p w14:paraId="2F8F2A02">
      <w:pPr>
        <w:spacing w:line="460" w:lineRule="exact"/>
        <w:rPr>
          <w:rFonts w:ascii="新宋体" w:hAnsi="新宋体" w:eastAsia="新宋体" w:cs="新宋体"/>
          <w:sz w:val="22"/>
          <w:szCs w:val="22"/>
          <w:lang w:bidi="ar"/>
        </w:rPr>
      </w:pPr>
    </w:p>
    <w:p w14:paraId="768A002F">
      <w:pPr>
        <w:spacing w:line="460" w:lineRule="exact"/>
        <w:ind w:firstLine="4400" w:firstLineChars="2000"/>
        <w:jc w:val="right"/>
        <w:rPr>
          <w:rFonts w:ascii="新宋体" w:hAnsi="新宋体" w:eastAsia="新宋体" w:cs="新宋体"/>
          <w:sz w:val="22"/>
          <w:szCs w:val="22"/>
        </w:rPr>
      </w:pP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银行（公盖）</w:t>
      </w:r>
    </w:p>
    <w:p w14:paraId="3CA0B6CC">
      <w:pPr>
        <w:spacing w:line="460" w:lineRule="exact"/>
        <w:ind w:firstLine="4400" w:firstLineChars="2000"/>
        <w:jc w:val="right"/>
        <w:rPr>
          <w:rFonts w:ascii="新宋体" w:hAnsi="新宋体" w:eastAsia="新宋体" w:cs="新宋体"/>
          <w:sz w:val="22"/>
          <w:szCs w:val="22"/>
          <w:u w:val="single"/>
        </w:rPr>
      </w:pP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日</w:t>
      </w:r>
    </w:p>
    <w:p w14:paraId="33701F1D">
      <w:pPr>
        <w:spacing w:line="460" w:lineRule="exact"/>
        <w:rPr>
          <w:rFonts w:ascii="新宋体" w:hAnsi="新宋体" w:eastAsia="新宋体" w:cs="新宋体"/>
          <w:b/>
          <w:bCs/>
          <w:sz w:val="22"/>
          <w:szCs w:val="22"/>
        </w:rPr>
      </w:pPr>
    </w:p>
    <w:p w14:paraId="448691E4">
      <w:pPr>
        <w:spacing w:line="460" w:lineRule="exact"/>
        <w:rPr>
          <w:rFonts w:ascii="新宋体" w:hAnsi="新宋体" w:eastAsia="新宋体" w:cs="新宋体"/>
          <w:b/>
          <w:bCs/>
          <w:sz w:val="22"/>
          <w:szCs w:val="22"/>
        </w:rPr>
      </w:pPr>
    </w:p>
    <w:p w14:paraId="38A8C6DC">
      <w:pPr>
        <w:spacing w:line="460" w:lineRule="exact"/>
        <w:ind w:firstLine="5622" w:firstLineChars="2000"/>
        <w:rPr>
          <w:rFonts w:ascii="新宋体" w:hAnsi="新宋体" w:eastAsia="新宋体" w:cs="新宋体"/>
          <w:sz w:val="22"/>
          <w:szCs w:val="22"/>
        </w:rPr>
      </w:pPr>
      <w:r>
        <w:rPr>
          <w:rFonts w:hint="eastAsia" w:ascii="新宋体" w:hAnsi="新宋体" w:eastAsia="新宋体" w:cs="新宋体"/>
          <w:b/>
          <w:bCs/>
          <w:sz w:val="28"/>
          <w:szCs w:val="28"/>
        </w:rPr>
        <w:br w:type="page"/>
      </w:r>
    </w:p>
    <w:p w14:paraId="652C505A">
      <w:pPr>
        <w:spacing w:line="460" w:lineRule="exact"/>
        <w:outlineLvl w:val="1"/>
        <w:rPr>
          <w:rFonts w:ascii="新宋体" w:hAnsi="新宋体" w:eastAsia="新宋体" w:cs="新宋体"/>
          <w:b/>
          <w:bCs/>
          <w:sz w:val="22"/>
          <w:szCs w:val="22"/>
        </w:rPr>
      </w:pPr>
      <w:bookmarkStart w:id="133" w:name="_Toc30273"/>
      <w:bookmarkStart w:id="134" w:name="_Toc18262"/>
      <w:bookmarkStart w:id="135" w:name="_Toc16371"/>
      <w:bookmarkStart w:id="136" w:name="_Toc474"/>
      <w:r>
        <w:rPr>
          <w:rFonts w:hint="eastAsia" w:ascii="新宋体" w:hAnsi="新宋体" w:eastAsia="新宋体" w:cs="新宋体"/>
          <w:b/>
          <w:bCs/>
          <w:sz w:val="22"/>
          <w:szCs w:val="22"/>
        </w:rPr>
        <w:t>附件七</w:t>
      </w:r>
      <w:bookmarkEnd w:id="133"/>
      <w:bookmarkEnd w:id="134"/>
      <w:bookmarkEnd w:id="135"/>
      <w:bookmarkEnd w:id="136"/>
    </w:p>
    <w:bookmarkEnd w:id="124"/>
    <w:p w14:paraId="12E4C216">
      <w:pPr>
        <w:spacing w:line="460" w:lineRule="exact"/>
        <w:jc w:val="center"/>
        <w:outlineLvl w:val="2"/>
        <w:rPr>
          <w:rFonts w:ascii="新宋体" w:hAnsi="新宋体" w:eastAsia="新宋体" w:cs="新宋体"/>
          <w:b/>
          <w:bCs/>
          <w:sz w:val="28"/>
          <w:szCs w:val="28"/>
        </w:rPr>
      </w:pPr>
      <w:bookmarkStart w:id="137" w:name="_Toc28818"/>
      <w:bookmarkStart w:id="138" w:name="_Toc8358"/>
      <w:bookmarkStart w:id="139" w:name="_Toc28841"/>
      <w:bookmarkStart w:id="140" w:name="_Toc21658"/>
      <w:r>
        <w:rPr>
          <w:rFonts w:hint="eastAsia" w:ascii="新宋体" w:hAnsi="新宋体" w:eastAsia="新宋体" w:cs="新宋体"/>
          <w:b/>
          <w:bCs/>
          <w:sz w:val="28"/>
          <w:szCs w:val="28"/>
        </w:rPr>
        <w:t>存款提前兑付承诺表</w:t>
      </w:r>
      <w:bookmarkEnd w:id="137"/>
      <w:bookmarkEnd w:id="138"/>
      <w:bookmarkEnd w:id="139"/>
      <w:bookmarkEnd w:id="140"/>
    </w:p>
    <w:p w14:paraId="0A6C2B09">
      <w:pPr>
        <w:spacing w:line="460" w:lineRule="exact"/>
        <w:rPr>
          <w:rFonts w:ascii="新宋体" w:hAnsi="新宋体" w:eastAsia="新宋体" w:cs="新宋体"/>
          <w:b/>
          <w:sz w:val="22"/>
          <w:szCs w:val="22"/>
        </w:rPr>
      </w:pPr>
    </w:p>
    <w:p w14:paraId="6F9279EA">
      <w:pPr>
        <w:spacing w:line="460" w:lineRule="exact"/>
        <w:rPr>
          <w:rFonts w:ascii="新宋体" w:hAnsi="新宋体" w:eastAsia="新宋体" w:cs="新宋体"/>
          <w:b/>
          <w:sz w:val="22"/>
          <w:szCs w:val="22"/>
        </w:rPr>
      </w:pPr>
      <w:r>
        <w:rPr>
          <w:rFonts w:hint="eastAsia" w:ascii="新宋体" w:hAnsi="新宋体" w:eastAsia="新宋体" w:cs="新宋体"/>
          <w:b/>
          <w:sz w:val="22"/>
          <w:szCs w:val="22"/>
        </w:rPr>
        <w:t>项目名称：                                      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14:paraId="13FB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9569" w:type="dxa"/>
            <w:vAlign w:val="center"/>
          </w:tcPr>
          <w:p w14:paraId="77DC36E1">
            <w:pPr>
              <w:tabs>
                <w:tab w:val="left" w:pos="9870"/>
              </w:tabs>
              <w:spacing w:line="460" w:lineRule="exact"/>
              <w:rPr>
                <w:rFonts w:ascii="新宋体" w:hAnsi="新宋体" w:eastAsia="新宋体" w:cs="新宋体"/>
                <w:sz w:val="22"/>
                <w:szCs w:val="22"/>
              </w:rPr>
            </w:pPr>
            <w:r>
              <w:rPr>
                <w:rFonts w:hint="eastAsia" w:ascii="新宋体" w:hAnsi="新宋体" w:eastAsia="新宋体" w:cs="新宋体"/>
                <w:sz w:val="22"/>
                <w:szCs w:val="22"/>
              </w:rPr>
              <w:t>我方承诺：如遇国家和省有关政策调整或采购单位要求，需提前全部或部分支取定期存款，乙方必须配合甲方办理。提前支取部分，乙方按支取时国家有关利率政策规定计付利息，未支取部分仍需按原存款协议规定的起息日、期限、存款利率等执行。</w:t>
            </w:r>
          </w:p>
        </w:tc>
      </w:tr>
    </w:tbl>
    <w:p w14:paraId="3847094F">
      <w:pPr>
        <w:spacing w:line="460" w:lineRule="exact"/>
        <w:rPr>
          <w:rFonts w:ascii="新宋体" w:hAnsi="新宋体" w:eastAsia="新宋体" w:cs="新宋体"/>
          <w:b/>
          <w:sz w:val="22"/>
          <w:szCs w:val="22"/>
        </w:rPr>
      </w:pPr>
    </w:p>
    <w:p w14:paraId="196E9E81">
      <w:pPr>
        <w:spacing w:line="460" w:lineRule="exact"/>
        <w:ind w:left="658" w:leftChars="104" w:hanging="440" w:hangingChars="200"/>
        <w:rPr>
          <w:rFonts w:ascii="新宋体" w:hAnsi="新宋体" w:eastAsia="新宋体" w:cs="新宋体"/>
          <w:sz w:val="22"/>
          <w:szCs w:val="22"/>
          <w:u w:val="single"/>
        </w:rPr>
      </w:pPr>
      <w:r>
        <w:rPr>
          <w:rFonts w:hint="eastAsia" w:ascii="新宋体" w:hAnsi="新宋体" w:eastAsia="新宋体" w:cs="新宋体"/>
          <w:sz w:val="22"/>
          <w:szCs w:val="22"/>
        </w:rPr>
        <w:t>注：</w:t>
      </w:r>
      <w:r>
        <w:rPr>
          <w:rFonts w:hint="eastAsia" w:ascii="新宋体" w:hAnsi="新宋体" w:eastAsia="新宋体" w:cs="新宋体"/>
          <w:sz w:val="22"/>
          <w:szCs w:val="22"/>
          <w:u w:val="single"/>
        </w:rPr>
        <w:t>存款提前兑付计息利率应按国家利率政策规定进行承诺计算的，未按要求承诺并提供本表的，作无效标处理。</w:t>
      </w:r>
    </w:p>
    <w:p w14:paraId="27899132">
      <w:pPr>
        <w:spacing w:line="460" w:lineRule="exact"/>
        <w:jc w:val="center"/>
        <w:rPr>
          <w:rFonts w:ascii="新宋体" w:hAnsi="新宋体" w:eastAsia="新宋体" w:cs="新宋体"/>
          <w:b/>
          <w:bCs/>
          <w:sz w:val="28"/>
          <w:szCs w:val="28"/>
        </w:rPr>
      </w:pPr>
    </w:p>
    <w:p w14:paraId="1AA38107">
      <w:pPr>
        <w:spacing w:line="46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投标银行全称（盖章）：</w:t>
      </w:r>
    </w:p>
    <w:p w14:paraId="390DB35A">
      <w:pPr>
        <w:spacing w:line="46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投标银行代表（签字）：</w:t>
      </w:r>
    </w:p>
    <w:p w14:paraId="06ECBDA9">
      <w:pPr>
        <w:spacing w:line="46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   期：</w:t>
      </w:r>
    </w:p>
    <w:p w14:paraId="7E7B335D">
      <w:pPr>
        <w:spacing w:line="460" w:lineRule="exact"/>
        <w:jc w:val="center"/>
        <w:rPr>
          <w:rFonts w:ascii="新宋体" w:hAnsi="新宋体" w:eastAsia="新宋体" w:cs="新宋体"/>
          <w:b/>
          <w:bCs/>
          <w:sz w:val="28"/>
          <w:szCs w:val="28"/>
        </w:rPr>
      </w:pPr>
    </w:p>
    <w:p w14:paraId="23755455">
      <w:pPr>
        <w:spacing w:line="460" w:lineRule="exact"/>
        <w:jc w:val="center"/>
        <w:rPr>
          <w:rFonts w:ascii="新宋体" w:hAnsi="新宋体" w:eastAsia="新宋体" w:cs="新宋体"/>
          <w:b/>
          <w:bCs/>
          <w:sz w:val="28"/>
          <w:szCs w:val="28"/>
        </w:rPr>
      </w:pPr>
    </w:p>
    <w:p w14:paraId="043CC122">
      <w:pPr>
        <w:spacing w:line="460" w:lineRule="exact"/>
        <w:jc w:val="center"/>
        <w:rPr>
          <w:rFonts w:ascii="新宋体" w:hAnsi="新宋体" w:eastAsia="新宋体" w:cs="新宋体"/>
          <w:b/>
          <w:bCs/>
          <w:sz w:val="28"/>
          <w:szCs w:val="28"/>
        </w:rPr>
      </w:pPr>
    </w:p>
    <w:p w14:paraId="0ADD0CD1">
      <w:pPr>
        <w:spacing w:line="460" w:lineRule="exact"/>
        <w:jc w:val="center"/>
        <w:rPr>
          <w:rFonts w:ascii="新宋体" w:hAnsi="新宋体" w:eastAsia="新宋体" w:cs="新宋体"/>
          <w:b/>
          <w:bCs/>
          <w:sz w:val="28"/>
          <w:szCs w:val="28"/>
        </w:rPr>
      </w:pPr>
    </w:p>
    <w:p w14:paraId="225AFDE2">
      <w:pPr>
        <w:spacing w:line="460" w:lineRule="exact"/>
        <w:jc w:val="center"/>
        <w:rPr>
          <w:rFonts w:ascii="新宋体" w:hAnsi="新宋体" w:eastAsia="新宋体" w:cs="新宋体"/>
          <w:b/>
          <w:bCs/>
          <w:sz w:val="28"/>
          <w:szCs w:val="28"/>
        </w:rPr>
      </w:pPr>
    </w:p>
    <w:p w14:paraId="0FA43016">
      <w:pPr>
        <w:spacing w:line="460" w:lineRule="exact"/>
        <w:jc w:val="center"/>
        <w:rPr>
          <w:rFonts w:ascii="新宋体" w:hAnsi="新宋体" w:eastAsia="新宋体" w:cs="新宋体"/>
          <w:b/>
          <w:bCs/>
          <w:sz w:val="28"/>
          <w:szCs w:val="28"/>
        </w:rPr>
      </w:pPr>
    </w:p>
    <w:p w14:paraId="1B567A1A">
      <w:pPr>
        <w:spacing w:line="460" w:lineRule="exact"/>
        <w:jc w:val="center"/>
        <w:rPr>
          <w:rFonts w:ascii="新宋体" w:hAnsi="新宋体" w:eastAsia="新宋体" w:cs="新宋体"/>
          <w:b/>
          <w:bCs/>
          <w:sz w:val="28"/>
          <w:szCs w:val="28"/>
        </w:rPr>
      </w:pPr>
    </w:p>
    <w:p w14:paraId="3F928326">
      <w:pPr>
        <w:spacing w:line="460" w:lineRule="exact"/>
        <w:jc w:val="center"/>
        <w:rPr>
          <w:rFonts w:ascii="新宋体" w:hAnsi="新宋体" w:eastAsia="新宋体" w:cs="新宋体"/>
          <w:b/>
          <w:bCs/>
          <w:sz w:val="28"/>
          <w:szCs w:val="28"/>
        </w:rPr>
      </w:pPr>
    </w:p>
    <w:p w14:paraId="0938EED7">
      <w:pPr>
        <w:spacing w:line="460" w:lineRule="exact"/>
        <w:jc w:val="center"/>
        <w:rPr>
          <w:rFonts w:ascii="新宋体" w:hAnsi="新宋体" w:eastAsia="新宋体" w:cs="新宋体"/>
          <w:b/>
          <w:bCs/>
          <w:sz w:val="28"/>
          <w:szCs w:val="28"/>
        </w:rPr>
      </w:pPr>
    </w:p>
    <w:p w14:paraId="163996AC">
      <w:pPr>
        <w:spacing w:line="460" w:lineRule="exact"/>
        <w:jc w:val="center"/>
        <w:rPr>
          <w:rFonts w:ascii="新宋体" w:hAnsi="新宋体" w:eastAsia="新宋体" w:cs="新宋体"/>
          <w:b/>
          <w:bCs/>
          <w:sz w:val="28"/>
          <w:szCs w:val="28"/>
        </w:rPr>
      </w:pPr>
    </w:p>
    <w:p w14:paraId="378CBCF6">
      <w:pPr>
        <w:spacing w:line="460" w:lineRule="exact"/>
        <w:jc w:val="center"/>
        <w:rPr>
          <w:rFonts w:ascii="新宋体" w:hAnsi="新宋体" w:eastAsia="新宋体" w:cs="新宋体"/>
          <w:b/>
          <w:bCs/>
          <w:sz w:val="28"/>
          <w:szCs w:val="28"/>
        </w:rPr>
      </w:pPr>
    </w:p>
    <w:p w14:paraId="7576D2F2">
      <w:pPr>
        <w:spacing w:line="460" w:lineRule="exact"/>
        <w:jc w:val="center"/>
        <w:rPr>
          <w:rFonts w:ascii="新宋体" w:hAnsi="新宋体" w:eastAsia="新宋体" w:cs="新宋体"/>
          <w:b/>
          <w:bCs/>
          <w:sz w:val="28"/>
          <w:szCs w:val="28"/>
        </w:rPr>
      </w:pPr>
    </w:p>
    <w:p w14:paraId="5D714318">
      <w:pPr>
        <w:spacing w:line="460" w:lineRule="exact"/>
        <w:jc w:val="center"/>
        <w:rPr>
          <w:rFonts w:ascii="新宋体" w:hAnsi="新宋体" w:eastAsia="新宋体" w:cs="新宋体"/>
          <w:b/>
          <w:bCs/>
          <w:sz w:val="28"/>
          <w:szCs w:val="28"/>
        </w:rPr>
      </w:pPr>
    </w:p>
    <w:p w14:paraId="730740FA">
      <w:pPr>
        <w:spacing w:line="460" w:lineRule="exact"/>
        <w:jc w:val="center"/>
        <w:rPr>
          <w:rFonts w:ascii="新宋体" w:hAnsi="新宋体" w:eastAsia="新宋体" w:cs="新宋体"/>
          <w:b/>
          <w:bCs/>
          <w:sz w:val="28"/>
          <w:szCs w:val="28"/>
        </w:rPr>
      </w:pPr>
    </w:p>
    <w:p w14:paraId="2161BB51">
      <w:pPr>
        <w:pStyle w:val="15"/>
        <w:ind w:left="562" w:hanging="562"/>
        <w:rPr>
          <w:rFonts w:ascii="新宋体" w:hAnsi="新宋体" w:eastAsia="新宋体" w:cs="新宋体"/>
          <w:b/>
          <w:bCs/>
          <w:sz w:val="28"/>
          <w:szCs w:val="28"/>
        </w:rPr>
      </w:pPr>
    </w:p>
    <w:p w14:paraId="772D7445">
      <w:pPr>
        <w:rPr>
          <w:rFonts w:ascii="新宋体" w:hAnsi="新宋体" w:eastAsia="新宋体" w:cs="新宋体"/>
          <w:b/>
          <w:bCs/>
          <w:sz w:val="22"/>
          <w:szCs w:val="22"/>
        </w:rPr>
      </w:pPr>
      <w:bookmarkStart w:id="141" w:name="_Toc17922"/>
      <w:bookmarkStart w:id="142" w:name="_Toc6294"/>
      <w:r>
        <w:rPr>
          <w:rFonts w:hint="eastAsia" w:ascii="新宋体" w:hAnsi="新宋体" w:eastAsia="新宋体" w:cs="新宋体"/>
          <w:b/>
          <w:bCs/>
          <w:sz w:val="22"/>
          <w:szCs w:val="22"/>
        </w:rPr>
        <w:br w:type="page"/>
      </w:r>
    </w:p>
    <w:p w14:paraId="1E234935">
      <w:pPr>
        <w:spacing w:line="460" w:lineRule="exact"/>
        <w:outlineLvl w:val="1"/>
        <w:rPr>
          <w:rFonts w:ascii="新宋体" w:hAnsi="新宋体" w:eastAsia="新宋体" w:cs="新宋体"/>
          <w:b/>
          <w:bCs/>
          <w:sz w:val="22"/>
          <w:szCs w:val="22"/>
        </w:rPr>
      </w:pPr>
      <w:bookmarkStart w:id="143" w:name="_Toc9723"/>
      <w:bookmarkStart w:id="144" w:name="_Toc7956"/>
      <w:r>
        <w:rPr>
          <w:rFonts w:hint="eastAsia" w:ascii="新宋体" w:hAnsi="新宋体" w:eastAsia="新宋体" w:cs="新宋体"/>
          <w:b/>
          <w:bCs/>
          <w:sz w:val="22"/>
          <w:szCs w:val="22"/>
        </w:rPr>
        <w:t>附件八</w:t>
      </w:r>
      <w:bookmarkEnd w:id="141"/>
      <w:bookmarkEnd w:id="142"/>
      <w:bookmarkEnd w:id="143"/>
      <w:bookmarkEnd w:id="144"/>
    </w:p>
    <w:p w14:paraId="6CD7F2B3">
      <w:pPr>
        <w:rPr>
          <w:rFonts w:ascii="新宋体" w:hAnsi="新宋体" w:eastAsia="新宋体" w:cs="新宋体"/>
          <w:b/>
          <w:bCs/>
          <w:sz w:val="28"/>
          <w:szCs w:val="28"/>
        </w:rPr>
      </w:pPr>
    </w:p>
    <w:p w14:paraId="30EFF74B">
      <w:pPr>
        <w:spacing w:line="460" w:lineRule="exact"/>
        <w:jc w:val="center"/>
        <w:outlineLvl w:val="2"/>
        <w:rPr>
          <w:rFonts w:ascii="新宋体" w:hAnsi="新宋体" w:eastAsia="新宋体" w:cs="新宋体"/>
          <w:b/>
          <w:bCs/>
          <w:sz w:val="28"/>
          <w:szCs w:val="28"/>
          <w:lang w:val="zh-CN"/>
        </w:rPr>
      </w:pPr>
      <w:bookmarkStart w:id="145" w:name="_Toc7902"/>
      <w:bookmarkStart w:id="146" w:name="_Toc22749"/>
      <w:bookmarkStart w:id="147" w:name="_Toc26771"/>
      <w:bookmarkStart w:id="148" w:name="_Toc10633"/>
      <w:r>
        <w:rPr>
          <w:rFonts w:hint="eastAsia" w:ascii="新宋体" w:hAnsi="新宋体" w:eastAsia="新宋体" w:cs="新宋体"/>
          <w:b/>
          <w:bCs/>
          <w:sz w:val="28"/>
          <w:szCs w:val="28"/>
          <w:lang w:val="zh-CN"/>
        </w:rPr>
        <w:t>确定中标后负责主办本项目业务主办银行声明</w:t>
      </w:r>
      <w:bookmarkEnd w:id="145"/>
      <w:bookmarkEnd w:id="146"/>
      <w:bookmarkEnd w:id="147"/>
      <w:bookmarkEnd w:id="148"/>
    </w:p>
    <w:p w14:paraId="6FBE1B51">
      <w:pPr>
        <w:spacing w:line="460" w:lineRule="exact"/>
        <w:ind w:firstLine="440" w:firstLineChars="200"/>
        <w:rPr>
          <w:rFonts w:ascii="新宋体" w:hAnsi="新宋体" w:eastAsia="新宋体" w:cs="新宋体"/>
          <w:sz w:val="22"/>
          <w:u w:val="single"/>
        </w:rPr>
      </w:pPr>
    </w:p>
    <w:p w14:paraId="4E1B35B0">
      <w:pPr>
        <w:spacing w:line="460" w:lineRule="exact"/>
        <w:rPr>
          <w:rFonts w:ascii="新宋体" w:hAnsi="新宋体" w:eastAsia="新宋体" w:cs="新宋体"/>
          <w:sz w:val="22"/>
          <w:u w:val="single"/>
        </w:rPr>
      </w:pPr>
      <w:r>
        <w:rPr>
          <w:rFonts w:hint="eastAsia" w:ascii="新宋体" w:hAnsi="新宋体" w:eastAsia="新宋体" w:cs="新宋体"/>
          <w:sz w:val="22"/>
          <w:u w:val="single"/>
        </w:rPr>
        <w:t>温州市龙湾区城市建设中心(温州市龙湾区土地储备中心)：</w:t>
      </w:r>
    </w:p>
    <w:p w14:paraId="3ED4E999">
      <w:pPr>
        <w:pStyle w:val="57"/>
        <w:rPr>
          <w:rFonts w:ascii="新宋体" w:hAnsi="新宋体" w:eastAsia="新宋体" w:cs="新宋体"/>
          <w:color w:val="auto"/>
        </w:rPr>
      </w:pPr>
    </w:p>
    <w:p w14:paraId="304AAC7C">
      <w:pPr>
        <w:spacing w:line="460" w:lineRule="exact"/>
        <w:ind w:left="17" w:leftChars="8" w:firstLine="418" w:firstLineChars="190"/>
        <w:rPr>
          <w:rFonts w:ascii="新宋体" w:hAnsi="新宋体" w:eastAsia="新宋体" w:cs="新宋体"/>
          <w:sz w:val="22"/>
        </w:rPr>
      </w:pPr>
      <w:r>
        <w:rPr>
          <w:rFonts w:hint="eastAsia" w:ascii="新宋体" w:hAnsi="新宋体" w:eastAsia="新宋体" w:cs="新宋体"/>
          <w:sz w:val="22"/>
        </w:rPr>
        <w:t>我单位参加贵单位组织的温州市龙湾区城市建设中心(温州市龙湾区土地储备中心)公款竞争性存放项目，如我单位中标，指定</w:t>
      </w:r>
      <w:r>
        <w:rPr>
          <w:rFonts w:hint="eastAsia" w:ascii="新宋体" w:hAnsi="新宋体" w:eastAsia="新宋体" w:cs="新宋体"/>
          <w:sz w:val="22"/>
          <w:u w:val="single"/>
        </w:rPr>
        <w:t xml:space="preserve"> </w:t>
      </w:r>
      <w:r>
        <w:rPr>
          <w:rFonts w:hint="eastAsia" w:ascii="新宋体" w:hAnsi="新宋体" w:eastAsia="新宋体" w:cs="新宋体"/>
          <w:sz w:val="22"/>
          <w:u w:val="single"/>
          <w:lang w:val="zh-CN"/>
        </w:rPr>
        <w:t xml:space="preserve">  </w:t>
      </w:r>
      <w:r>
        <w:rPr>
          <w:rFonts w:hint="eastAsia" w:ascii="新宋体" w:hAnsi="新宋体" w:eastAsia="新宋体" w:cs="新宋体"/>
          <w:sz w:val="22"/>
          <w:u w:val="single"/>
        </w:rPr>
        <w:t xml:space="preserve">               </w:t>
      </w:r>
      <w:r>
        <w:rPr>
          <w:rFonts w:hint="eastAsia" w:ascii="新宋体" w:hAnsi="新宋体" w:eastAsia="新宋体" w:cs="新宋体"/>
          <w:sz w:val="22"/>
        </w:rPr>
        <w:t>为负责主办本项目业务主办银行。</w:t>
      </w:r>
    </w:p>
    <w:p w14:paraId="6316C8BE">
      <w:pPr>
        <w:spacing w:line="460" w:lineRule="exact"/>
        <w:ind w:firstLine="440" w:firstLineChars="200"/>
        <w:rPr>
          <w:rFonts w:ascii="新宋体" w:hAnsi="新宋体" w:eastAsia="新宋体" w:cs="新宋体"/>
          <w:sz w:val="22"/>
        </w:rPr>
      </w:pPr>
      <w:r>
        <w:rPr>
          <w:rFonts w:hint="eastAsia" w:ascii="新宋体" w:hAnsi="新宋体" w:eastAsia="新宋体" w:cs="新宋体"/>
          <w:sz w:val="22"/>
        </w:rPr>
        <w:t>特此声明。</w:t>
      </w:r>
    </w:p>
    <w:p w14:paraId="010132E9">
      <w:pPr>
        <w:spacing w:line="460" w:lineRule="exact"/>
        <w:jc w:val="center"/>
        <w:rPr>
          <w:rFonts w:ascii="新宋体" w:hAnsi="新宋体" w:eastAsia="新宋体" w:cs="新宋体"/>
          <w:bCs/>
          <w:sz w:val="22"/>
        </w:rPr>
      </w:pPr>
    </w:p>
    <w:p w14:paraId="35F290AF">
      <w:pPr>
        <w:spacing w:line="460" w:lineRule="exact"/>
        <w:jc w:val="center"/>
        <w:rPr>
          <w:rFonts w:ascii="新宋体" w:hAnsi="新宋体" w:eastAsia="新宋体" w:cs="新宋体"/>
          <w:bCs/>
          <w:sz w:val="28"/>
          <w:szCs w:val="28"/>
        </w:rPr>
      </w:pPr>
    </w:p>
    <w:p w14:paraId="59BF9093">
      <w:pPr>
        <w:spacing w:line="460" w:lineRule="exact"/>
        <w:jc w:val="center"/>
        <w:rPr>
          <w:rFonts w:ascii="新宋体" w:hAnsi="新宋体" w:eastAsia="新宋体" w:cs="新宋体"/>
          <w:bCs/>
          <w:sz w:val="28"/>
          <w:szCs w:val="28"/>
        </w:rPr>
      </w:pPr>
    </w:p>
    <w:p w14:paraId="195D514B">
      <w:pPr>
        <w:spacing w:line="460" w:lineRule="exact"/>
        <w:ind w:firstLine="5060" w:firstLineChars="2300"/>
        <w:rPr>
          <w:rFonts w:ascii="新宋体" w:hAnsi="新宋体" w:eastAsia="新宋体" w:cs="新宋体"/>
          <w:sz w:val="22"/>
          <w:szCs w:val="22"/>
        </w:rPr>
      </w:pPr>
      <w:r>
        <w:rPr>
          <w:rFonts w:hint="eastAsia" w:ascii="新宋体" w:hAnsi="新宋体" w:eastAsia="新宋体" w:cs="新宋体"/>
          <w:sz w:val="22"/>
          <w:szCs w:val="22"/>
        </w:rPr>
        <w:t>投标银行全称（盖章）：</w:t>
      </w:r>
    </w:p>
    <w:p w14:paraId="613E6E02">
      <w:pPr>
        <w:spacing w:line="460" w:lineRule="exact"/>
        <w:ind w:firstLine="5060" w:firstLineChars="2300"/>
        <w:rPr>
          <w:rFonts w:ascii="新宋体" w:hAnsi="新宋体" w:eastAsia="新宋体" w:cs="新宋体"/>
          <w:sz w:val="22"/>
          <w:szCs w:val="22"/>
        </w:rPr>
      </w:pPr>
      <w:r>
        <w:rPr>
          <w:rFonts w:hint="eastAsia" w:ascii="新宋体" w:hAnsi="新宋体" w:eastAsia="新宋体" w:cs="新宋体"/>
          <w:sz w:val="22"/>
          <w:szCs w:val="22"/>
        </w:rPr>
        <w:t>投标银行代表（签字）：</w:t>
      </w:r>
    </w:p>
    <w:p w14:paraId="3FB632B2">
      <w:pPr>
        <w:spacing w:line="460" w:lineRule="exact"/>
        <w:ind w:firstLine="5060" w:firstLineChars="2300"/>
        <w:rPr>
          <w:rFonts w:ascii="新宋体" w:hAnsi="新宋体" w:eastAsia="新宋体" w:cs="新宋体"/>
          <w:sz w:val="22"/>
          <w:szCs w:val="22"/>
        </w:rPr>
      </w:pPr>
      <w:r>
        <w:rPr>
          <w:rFonts w:hint="eastAsia" w:ascii="新宋体" w:hAnsi="新宋体" w:eastAsia="新宋体" w:cs="新宋体"/>
          <w:sz w:val="22"/>
          <w:szCs w:val="22"/>
        </w:rPr>
        <w:t>日 期：</w:t>
      </w:r>
    </w:p>
    <w:p w14:paraId="4CCC185D">
      <w:pPr>
        <w:spacing w:line="460" w:lineRule="exact"/>
        <w:jc w:val="center"/>
        <w:rPr>
          <w:rFonts w:ascii="新宋体" w:hAnsi="新宋体" w:eastAsia="新宋体" w:cs="新宋体"/>
          <w:b/>
          <w:bCs/>
          <w:sz w:val="28"/>
          <w:szCs w:val="28"/>
        </w:rPr>
      </w:pPr>
    </w:p>
    <w:p w14:paraId="3EE06389">
      <w:pPr>
        <w:spacing w:line="460" w:lineRule="exact"/>
        <w:jc w:val="center"/>
        <w:rPr>
          <w:rFonts w:ascii="新宋体" w:hAnsi="新宋体" w:eastAsia="新宋体" w:cs="新宋体"/>
          <w:b/>
          <w:bCs/>
          <w:sz w:val="28"/>
          <w:szCs w:val="28"/>
        </w:rPr>
      </w:pPr>
    </w:p>
    <w:p w14:paraId="6C379C79">
      <w:pPr>
        <w:spacing w:line="460" w:lineRule="exact"/>
        <w:jc w:val="center"/>
        <w:rPr>
          <w:rFonts w:ascii="新宋体" w:hAnsi="新宋体" w:eastAsia="新宋体" w:cs="新宋体"/>
          <w:b/>
          <w:bCs/>
          <w:sz w:val="28"/>
          <w:szCs w:val="28"/>
        </w:rPr>
      </w:pPr>
    </w:p>
    <w:p w14:paraId="0D98EE47">
      <w:pPr>
        <w:pStyle w:val="15"/>
        <w:spacing w:line="460" w:lineRule="exact"/>
        <w:ind w:left="442" w:hanging="442"/>
        <w:rPr>
          <w:rFonts w:ascii="新宋体" w:hAnsi="新宋体" w:eastAsia="新宋体" w:cs="新宋体"/>
          <w:b/>
          <w:bCs/>
          <w:kern w:val="0"/>
          <w:sz w:val="22"/>
          <w:szCs w:val="22"/>
        </w:rPr>
      </w:pPr>
    </w:p>
    <w:p w14:paraId="5ADBE6E3">
      <w:pPr>
        <w:pStyle w:val="15"/>
        <w:spacing w:line="460" w:lineRule="exact"/>
        <w:ind w:left="442" w:hanging="442"/>
        <w:rPr>
          <w:rFonts w:ascii="新宋体" w:hAnsi="新宋体" w:eastAsia="新宋体" w:cs="新宋体"/>
          <w:b/>
          <w:bCs/>
          <w:kern w:val="0"/>
          <w:sz w:val="22"/>
          <w:szCs w:val="22"/>
        </w:rPr>
      </w:pPr>
    </w:p>
    <w:p w14:paraId="32E73CB2">
      <w:pPr>
        <w:rPr>
          <w:rFonts w:ascii="新宋体" w:hAnsi="新宋体" w:eastAsia="新宋体" w:cs="新宋体"/>
        </w:rPr>
      </w:pPr>
      <w:r>
        <w:rPr>
          <w:rFonts w:hint="eastAsia" w:ascii="新宋体" w:hAnsi="新宋体" w:eastAsia="新宋体" w:cs="新宋体"/>
        </w:rPr>
        <w:br w:type="page"/>
      </w:r>
    </w:p>
    <w:p w14:paraId="1A9F6FB3">
      <w:pPr>
        <w:spacing w:line="460" w:lineRule="exact"/>
        <w:outlineLvl w:val="1"/>
        <w:rPr>
          <w:rFonts w:ascii="新宋体" w:hAnsi="新宋体" w:eastAsia="新宋体" w:cs="新宋体"/>
          <w:b/>
          <w:bCs/>
          <w:sz w:val="22"/>
          <w:szCs w:val="22"/>
        </w:rPr>
      </w:pPr>
      <w:bookmarkStart w:id="149" w:name="_Toc21966"/>
      <w:bookmarkStart w:id="150" w:name="_Toc15661"/>
      <w:bookmarkStart w:id="151" w:name="_Toc32047"/>
      <w:r>
        <w:rPr>
          <w:rFonts w:hint="eastAsia" w:ascii="新宋体" w:hAnsi="新宋体" w:eastAsia="新宋体" w:cs="新宋体"/>
          <w:b/>
          <w:bCs/>
          <w:sz w:val="22"/>
          <w:szCs w:val="22"/>
        </w:rPr>
        <w:t>附件九</w:t>
      </w:r>
      <w:bookmarkEnd w:id="149"/>
      <w:bookmarkEnd w:id="150"/>
      <w:bookmarkEnd w:id="151"/>
    </w:p>
    <w:p w14:paraId="1C037444">
      <w:pPr>
        <w:spacing w:line="460" w:lineRule="exact"/>
        <w:jc w:val="center"/>
        <w:outlineLvl w:val="2"/>
        <w:rPr>
          <w:rFonts w:ascii="新宋体" w:hAnsi="新宋体" w:eastAsia="新宋体" w:cs="新宋体"/>
          <w:b/>
          <w:bCs/>
          <w:sz w:val="28"/>
          <w:szCs w:val="28"/>
        </w:rPr>
      </w:pPr>
      <w:bookmarkStart w:id="152" w:name="_Toc6407"/>
      <w:bookmarkStart w:id="153" w:name="_Toc423"/>
      <w:bookmarkStart w:id="154" w:name="_Toc22314"/>
      <w:r>
        <w:rPr>
          <w:rFonts w:hint="eastAsia" w:ascii="新宋体" w:hAnsi="新宋体" w:eastAsia="新宋体" w:cs="新宋体"/>
          <w:b/>
          <w:bCs/>
          <w:sz w:val="28"/>
          <w:szCs w:val="28"/>
        </w:rPr>
        <w:t>经营状况法人指标申报书</w:t>
      </w:r>
      <w:bookmarkEnd w:id="152"/>
      <w:bookmarkEnd w:id="153"/>
      <w:bookmarkEnd w:id="154"/>
    </w:p>
    <w:p w14:paraId="7CD31DF5"/>
    <w:p w14:paraId="45CDB26F">
      <w:pPr>
        <w:spacing w:line="460" w:lineRule="exact"/>
        <w:rPr>
          <w:rFonts w:ascii="新宋体" w:hAnsi="新宋体" w:eastAsia="新宋体" w:cs="新宋体"/>
          <w:sz w:val="22"/>
          <w:szCs w:val="22"/>
          <w:u w:val="single"/>
        </w:rPr>
      </w:pPr>
      <w:r>
        <w:rPr>
          <w:rFonts w:hint="eastAsia" w:ascii="新宋体" w:hAnsi="新宋体" w:eastAsia="新宋体" w:cs="新宋体"/>
          <w:bCs/>
          <w:sz w:val="22"/>
          <w:szCs w:val="22"/>
        </w:rPr>
        <w:t>项目名称：</w:t>
      </w:r>
    </w:p>
    <w:p w14:paraId="6C402559">
      <w:pPr>
        <w:spacing w:line="460" w:lineRule="exact"/>
        <w:rPr>
          <w:rFonts w:ascii="新宋体" w:hAnsi="新宋体" w:eastAsia="新宋体" w:cs="新宋体"/>
          <w:sz w:val="22"/>
          <w:szCs w:val="22"/>
        </w:rPr>
      </w:pPr>
      <w:r>
        <w:rPr>
          <w:rFonts w:hint="eastAsia" w:ascii="新宋体" w:hAnsi="新宋体" w:eastAsia="新宋体" w:cs="新宋体"/>
          <w:sz w:val="22"/>
          <w:szCs w:val="22"/>
        </w:rPr>
        <w:t>项目编号：</w:t>
      </w:r>
      <w:r>
        <w:rPr>
          <w:rFonts w:hint="eastAsia" w:ascii="新宋体" w:hAnsi="新宋体" w:eastAsia="新宋体" w:cs="新宋体"/>
          <w:bCs/>
          <w:sz w:val="22"/>
          <w:szCs w:val="22"/>
        </w:rPr>
        <w:t xml:space="preserve"> </w:t>
      </w:r>
    </w:p>
    <w:p w14:paraId="21B61E65">
      <w:pPr>
        <w:spacing w:line="640" w:lineRule="exact"/>
        <w:rPr>
          <w:rFonts w:ascii="新宋体" w:hAnsi="新宋体" w:eastAsia="新宋体" w:cs="新宋体"/>
          <w:sz w:val="22"/>
          <w:szCs w:val="22"/>
        </w:rPr>
      </w:pPr>
      <w:r>
        <w:rPr>
          <w:rFonts w:hint="eastAsia" w:ascii="新宋体" w:hAnsi="新宋体" w:eastAsia="新宋体" w:cs="新宋体"/>
          <w:sz w:val="22"/>
          <w:szCs w:val="22"/>
        </w:rPr>
        <w:t>温州市龙湾区城市建设中心(温州市龙湾区土地储备中心)：</w:t>
      </w:r>
    </w:p>
    <w:p w14:paraId="553DD017">
      <w:pPr>
        <w:spacing w:line="640" w:lineRule="exact"/>
        <w:ind w:firstLine="540"/>
        <w:rPr>
          <w:rFonts w:ascii="新宋体" w:hAnsi="新宋体" w:eastAsia="新宋体" w:cs="新宋体"/>
          <w:sz w:val="22"/>
          <w:szCs w:val="22"/>
        </w:rPr>
      </w:pPr>
      <w:r>
        <w:rPr>
          <w:rFonts w:hint="eastAsia" w:ascii="新宋体" w:hAnsi="新宋体" w:eastAsia="新宋体" w:cs="新宋体"/>
          <w:sz w:val="22"/>
          <w:szCs w:val="22"/>
        </w:rPr>
        <w:t>根据本行总行提供的审计的</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年度年报信息，现申报经营状况指标如下：</w:t>
      </w:r>
    </w:p>
    <w:p w14:paraId="04BE2DAF">
      <w:pPr>
        <w:spacing w:line="640" w:lineRule="exact"/>
        <w:ind w:firstLine="540"/>
        <w:rPr>
          <w:rFonts w:ascii="新宋体" w:hAnsi="新宋体" w:eastAsia="新宋体" w:cs="新宋体"/>
          <w:sz w:val="22"/>
          <w:szCs w:val="22"/>
          <w:u w:val="single"/>
        </w:rPr>
      </w:pPr>
      <w:r>
        <w:rPr>
          <w:rFonts w:hint="eastAsia" w:ascii="新宋体" w:hAnsi="新宋体" w:eastAsia="新宋体" w:cs="新宋体"/>
          <w:sz w:val="22"/>
          <w:szCs w:val="22"/>
        </w:rPr>
        <w:t xml:space="preserve">一、资本充足率：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；最新银行监管标准：</w:t>
      </w:r>
      <w:r>
        <w:rPr>
          <w:rFonts w:hint="eastAsia" w:ascii="新宋体" w:hAnsi="新宋体" w:eastAsia="新宋体" w:cs="新宋体"/>
          <w:sz w:val="22"/>
          <w:szCs w:val="22"/>
          <w:u w:val="single"/>
        </w:rPr>
        <w:t xml:space="preserve">                   </w:t>
      </w:r>
    </w:p>
    <w:p w14:paraId="5EDA25D4">
      <w:pPr>
        <w:spacing w:line="640" w:lineRule="exact"/>
        <w:ind w:firstLine="540"/>
        <w:rPr>
          <w:rFonts w:ascii="新宋体" w:hAnsi="新宋体" w:eastAsia="新宋体" w:cs="新宋体"/>
          <w:sz w:val="22"/>
          <w:szCs w:val="22"/>
        </w:rPr>
      </w:pPr>
      <w:r>
        <w:rPr>
          <w:rFonts w:hint="eastAsia" w:ascii="新宋体" w:hAnsi="新宋体" w:eastAsia="新宋体" w:cs="新宋体"/>
          <w:sz w:val="22"/>
          <w:szCs w:val="22"/>
        </w:rPr>
        <w:t>二、一级资本充足率：</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；最新银行监管标准：</w:t>
      </w:r>
      <w:r>
        <w:rPr>
          <w:rFonts w:hint="eastAsia" w:ascii="新宋体" w:hAnsi="新宋体" w:eastAsia="新宋体" w:cs="新宋体"/>
          <w:sz w:val="22"/>
          <w:szCs w:val="22"/>
          <w:u w:val="single"/>
        </w:rPr>
        <w:t xml:space="preserve">                   </w:t>
      </w:r>
    </w:p>
    <w:p w14:paraId="1089F25C">
      <w:pPr>
        <w:spacing w:line="640" w:lineRule="exact"/>
        <w:ind w:firstLine="540"/>
        <w:rPr>
          <w:rFonts w:ascii="新宋体" w:hAnsi="新宋体" w:eastAsia="新宋体" w:cs="新宋体"/>
          <w:sz w:val="22"/>
          <w:szCs w:val="22"/>
        </w:rPr>
      </w:pPr>
      <w:r>
        <w:rPr>
          <w:rFonts w:hint="eastAsia" w:ascii="新宋体" w:hAnsi="新宋体" w:eastAsia="新宋体" w:cs="新宋体"/>
          <w:sz w:val="22"/>
          <w:szCs w:val="22"/>
        </w:rPr>
        <w:t>三、核心一级资本充足率：</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；最新银行监管标准：</w:t>
      </w:r>
      <w:r>
        <w:rPr>
          <w:rFonts w:hint="eastAsia" w:ascii="新宋体" w:hAnsi="新宋体" w:eastAsia="新宋体" w:cs="新宋体"/>
          <w:sz w:val="22"/>
          <w:szCs w:val="22"/>
          <w:u w:val="single"/>
        </w:rPr>
        <w:t xml:space="preserve">                   </w:t>
      </w:r>
    </w:p>
    <w:p w14:paraId="44F2E05C">
      <w:pPr>
        <w:spacing w:line="640" w:lineRule="exact"/>
        <w:ind w:firstLine="540"/>
        <w:rPr>
          <w:rFonts w:ascii="新宋体" w:hAnsi="新宋体" w:eastAsia="新宋体" w:cs="新宋体"/>
          <w:sz w:val="22"/>
          <w:szCs w:val="22"/>
        </w:rPr>
      </w:pPr>
      <w:r>
        <w:rPr>
          <w:rFonts w:hint="eastAsia" w:ascii="新宋体" w:hAnsi="新宋体" w:eastAsia="新宋体" w:cs="新宋体"/>
          <w:sz w:val="22"/>
          <w:szCs w:val="22"/>
        </w:rPr>
        <w:t>四、拨备覆盖率：</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；最新银行监管标准：</w:t>
      </w:r>
      <w:r>
        <w:rPr>
          <w:rFonts w:hint="eastAsia" w:ascii="新宋体" w:hAnsi="新宋体" w:eastAsia="新宋体" w:cs="新宋体"/>
          <w:sz w:val="22"/>
          <w:szCs w:val="22"/>
          <w:u w:val="single"/>
        </w:rPr>
        <w:t xml:space="preserve">                   </w:t>
      </w:r>
    </w:p>
    <w:p w14:paraId="4A8697B2">
      <w:pPr>
        <w:spacing w:line="640" w:lineRule="exact"/>
        <w:ind w:firstLine="540"/>
        <w:rPr>
          <w:rFonts w:ascii="新宋体" w:hAnsi="新宋体" w:eastAsia="新宋体" w:cs="新宋体"/>
          <w:sz w:val="22"/>
          <w:szCs w:val="22"/>
        </w:rPr>
      </w:pPr>
      <w:r>
        <w:rPr>
          <w:rFonts w:hint="eastAsia" w:ascii="新宋体" w:hAnsi="新宋体" w:eastAsia="新宋体" w:cs="新宋体"/>
          <w:sz w:val="22"/>
          <w:szCs w:val="22"/>
        </w:rPr>
        <w:t>五、流动性比例：</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；最新银行监管标准：</w:t>
      </w:r>
      <w:r>
        <w:rPr>
          <w:rFonts w:hint="eastAsia" w:ascii="新宋体" w:hAnsi="新宋体" w:eastAsia="新宋体" w:cs="新宋体"/>
          <w:sz w:val="22"/>
          <w:szCs w:val="22"/>
          <w:u w:val="single"/>
        </w:rPr>
        <w:t xml:space="preserve">                   </w:t>
      </w:r>
    </w:p>
    <w:p w14:paraId="2D211252">
      <w:pPr>
        <w:spacing w:line="640" w:lineRule="exact"/>
        <w:ind w:firstLine="440" w:firstLineChars="200"/>
        <w:rPr>
          <w:rFonts w:ascii="新宋体" w:hAnsi="新宋体" w:eastAsia="新宋体" w:cs="新宋体"/>
          <w:sz w:val="22"/>
          <w:szCs w:val="22"/>
        </w:rPr>
      </w:pPr>
    </w:p>
    <w:p w14:paraId="4E686B56">
      <w:pPr>
        <w:spacing w:line="6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本行承诺上述法人指标与总行年报数据一致，且经审计认定符合监管要求。</w:t>
      </w:r>
    </w:p>
    <w:p w14:paraId="65232A43">
      <w:pPr>
        <w:spacing w:line="6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如本申报失实，本行自愿承担被取消中标资格等有关责任。</w:t>
      </w:r>
    </w:p>
    <w:p w14:paraId="69ED34D3">
      <w:pPr>
        <w:tabs>
          <w:tab w:val="left" w:pos="360"/>
        </w:tabs>
        <w:spacing w:line="460" w:lineRule="exact"/>
        <w:ind w:firstLine="442" w:firstLineChars="200"/>
        <w:rPr>
          <w:rFonts w:ascii="新宋体" w:hAnsi="新宋体" w:eastAsia="新宋体" w:cs="新宋体"/>
          <w:b/>
          <w:bCs/>
          <w:sz w:val="22"/>
          <w:szCs w:val="22"/>
        </w:rPr>
      </w:pPr>
    </w:p>
    <w:p w14:paraId="0DCF6751">
      <w:pPr>
        <w:tabs>
          <w:tab w:val="left" w:pos="360"/>
        </w:tabs>
        <w:spacing w:line="460" w:lineRule="exact"/>
        <w:ind w:firstLine="442" w:firstLineChars="200"/>
        <w:rPr>
          <w:rFonts w:ascii="新宋体" w:hAnsi="新宋体" w:eastAsia="新宋体" w:cs="新宋体"/>
          <w:sz w:val="22"/>
          <w:szCs w:val="22"/>
        </w:rPr>
      </w:pPr>
      <w:r>
        <w:rPr>
          <w:rFonts w:hint="eastAsia" w:ascii="新宋体" w:hAnsi="新宋体" w:eastAsia="新宋体" w:cs="新宋体"/>
          <w:b/>
          <w:bCs/>
          <w:sz w:val="22"/>
          <w:szCs w:val="22"/>
        </w:rPr>
        <w:t>注：后附上年度年报</w:t>
      </w:r>
    </w:p>
    <w:p w14:paraId="57D7305C">
      <w:pPr>
        <w:tabs>
          <w:tab w:val="left" w:pos="360"/>
        </w:tabs>
        <w:spacing w:line="460" w:lineRule="exact"/>
        <w:ind w:firstLine="550" w:firstLineChars="250"/>
        <w:rPr>
          <w:rFonts w:ascii="新宋体" w:hAnsi="新宋体" w:eastAsia="新宋体" w:cs="新宋体"/>
          <w:sz w:val="22"/>
          <w:szCs w:val="22"/>
        </w:rPr>
      </w:pPr>
    </w:p>
    <w:p w14:paraId="306E41FC">
      <w:pPr>
        <w:tabs>
          <w:tab w:val="left" w:pos="360"/>
        </w:tabs>
        <w:spacing w:line="460" w:lineRule="exact"/>
        <w:ind w:firstLine="5170" w:firstLineChars="2350"/>
        <w:rPr>
          <w:rFonts w:ascii="新宋体" w:hAnsi="新宋体" w:eastAsia="新宋体" w:cs="新宋体"/>
          <w:sz w:val="22"/>
          <w:szCs w:val="22"/>
        </w:rPr>
      </w:pPr>
      <w:r>
        <w:rPr>
          <w:rFonts w:hint="eastAsia" w:ascii="新宋体" w:hAnsi="新宋体" w:eastAsia="新宋体" w:cs="新宋体"/>
          <w:sz w:val="22"/>
          <w:szCs w:val="22"/>
        </w:rPr>
        <w:t xml:space="preserve">申报银行（公章）：         </w:t>
      </w:r>
    </w:p>
    <w:p w14:paraId="1C9E12EC">
      <w:pPr>
        <w:tabs>
          <w:tab w:val="left" w:pos="360"/>
        </w:tabs>
        <w:spacing w:line="460" w:lineRule="exact"/>
        <w:ind w:firstLine="5720" w:firstLineChars="2600"/>
        <w:rPr>
          <w:rFonts w:ascii="新宋体" w:hAnsi="新宋体" w:eastAsia="新宋体" w:cs="新宋体"/>
          <w:sz w:val="22"/>
          <w:szCs w:val="22"/>
        </w:rPr>
      </w:pPr>
      <w:r>
        <w:rPr>
          <w:rFonts w:hint="eastAsia" w:ascii="新宋体" w:hAnsi="新宋体" w:eastAsia="新宋体" w:cs="新宋体"/>
          <w:sz w:val="22"/>
          <w:szCs w:val="22"/>
        </w:rPr>
        <w:t xml:space="preserve">年   月   日   </w:t>
      </w:r>
    </w:p>
    <w:p w14:paraId="2E3834EB">
      <w:pPr>
        <w:spacing w:line="460" w:lineRule="exact"/>
        <w:ind w:firstLine="5060" w:firstLineChars="2300"/>
        <w:rPr>
          <w:rFonts w:ascii="新宋体" w:hAnsi="新宋体" w:eastAsia="新宋体" w:cs="新宋体"/>
          <w:sz w:val="22"/>
          <w:szCs w:val="22"/>
        </w:rPr>
      </w:pPr>
    </w:p>
    <w:p w14:paraId="6F992A35">
      <w:pPr>
        <w:pStyle w:val="14"/>
        <w:ind w:firstLine="220"/>
        <w:rPr>
          <w:rFonts w:ascii="新宋体" w:hAnsi="新宋体" w:eastAsia="新宋体" w:cs="新宋体"/>
          <w:sz w:val="22"/>
          <w:szCs w:val="22"/>
        </w:rPr>
      </w:pPr>
    </w:p>
    <w:p w14:paraId="707D20F1">
      <w:pPr>
        <w:rPr>
          <w:rFonts w:ascii="新宋体" w:hAnsi="新宋体" w:eastAsia="新宋体" w:cs="新宋体"/>
          <w:sz w:val="22"/>
          <w:szCs w:val="22"/>
        </w:rPr>
      </w:pPr>
    </w:p>
    <w:p w14:paraId="1A1407E3">
      <w:pPr>
        <w:pStyle w:val="13"/>
        <w:rPr>
          <w:rFonts w:ascii="新宋体" w:hAnsi="新宋体" w:eastAsia="新宋体" w:cs="新宋体"/>
          <w:sz w:val="22"/>
          <w:szCs w:val="22"/>
        </w:rPr>
      </w:pPr>
    </w:p>
    <w:p w14:paraId="2CCC6ED5">
      <w:pPr>
        <w:pStyle w:val="14"/>
        <w:ind w:firstLine="220"/>
        <w:rPr>
          <w:rFonts w:ascii="新宋体" w:hAnsi="新宋体" w:eastAsia="新宋体" w:cs="新宋体"/>
          <w:sz w:val="22"/>
          <w:szCs w:val="22"/>
        </w:rPr>
      </w:pPr>
    </w:p>
    <w:p w14:paraId="6FF9CA9D">
      <w:pPr>
        <w:rPr>
          <w:rFonts w:ascii="新宋体" w:hAnsi="新宋体" w:eastAsia="新宋体" w:cs="新宋体"/>
          <w:sz w:val="22"/>
          <w:szCs w:val="22"/>
        </w:rPr>
      </w:pPr>
      <w:r>
        <w:rPr>
          <w:rFonts w:hint="eastAsia" w:ascii="新宋体" w:hAnsi="新宋体" w:eastAsia="新宋体" w:cs="新宋体"/>
          <w:b/>
          <w:bCs/>
          <w:sz w:val="22"/>
          <w:szCs w:val="22"/>
        </w:rPr>
        <w:br w:type="page"/>
      </w:r>
    </w:p>
    <w:p w14:paraId="6E08827B">
      <w:pPr>
        <w:spacing w:line="460" w:lineRule="exact"/>
        <w:rPr>
          <w:rFonts w:ascii="新宋体" w:hAnsi="新宋体" w:eastAsia="新宋体" w:cs="新宋体"/>
        </w:rPr>
        <w:sectPr>
          <w:headerReference r:id="rId7" w:type="default"/>
          <w:footerReference r:id="rId8" w:type="default"/>
          <w:pgSz w:w="11907" w:h="16840"/>
          <w:pgMar w:top="1134" w:right="1134" w:bottom="1134" w:left="1134" w:header="851" w:footer="992" w:gutter="0"/>
          <w:cols w:space="720" w:num="1"/>
          <w:docGrid w:linePitch="312" w:charSpace="0"/>
        </w:sectPr>
      </w:pPr>
    </w:p>
    <w:p w14:paraId="4E229705">
      <w:pPr>
        <w:spacing w:line="500" w:lineRule="exact"/>
        <w:jc w:val="center"/>
        <w:outlineLvl w:val="0"/>
        <w:rPr>
          <w:rFonts w:ascii="新宋体" w:hAnsi="新宋体" w:eastAsia="新宋体" w:cs="新宋体"/>
          <w:b/>
          <w:sz w:val="32"/>
          <w:szCs w:val="32"/>
        </w:rPr>
      </w:pPr>
      <w:bookmarkStart w:id="155" w:name="_Toc20040"/>
      <w:bookmarkStart w:id="156" w:name="_Toc32353"/>
      <w:bookmarkStart w:id="157" w:name="_Toc2653"/>
      <w:r>
        <w:rPr>
          <w:rFonts w:hint="eastAsia" w:ascii="新宋体" w:hAnsi="新宋体" w:eastAsia="新宋体" w:cs="新宋体"/>
          <w:b/>
          <w:sz w:val="32"/>
          <w:szCs w:val="32"/>
        </w:rPr>
        <w:t>第四部分   招标内容及要求</w:t>
      </w:r>
      <w:bookmarkEnd w:id="155"/>
      <w:bookmarkEnd w:id="156"/>
      <w:bookmarkEnd w:id="157"/>
    </w:p>
    <w:p w14:paraId="6AB93011">
      <w:pPr>
        <w:spacing w:line="45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本次招标根据《关于防止领导干部在公款存放方面发生利益冲突和利益输送的办法》(浙委办发〔2015〕8号)、《关于印发龙湾区行政事业单位公款竞争性存放管理办法的通知》温龙政办发〔2022〕30号等文件规定为制度依据。</w:t>
      </w:r>
    </w:p>
    <w:p w14:paraId="2DB57960">
      <w:pPr>
        <w:spacing w:line="450" w:lineRule="exact"/>
        <w:ind w:firstLine="442" w:firstLineChars="200"/>
        <w:outlineLvl w:val="1"/>
        <w:rPr>
          <w:rFonts w:ascii="新宋体" w:hAnsi="新宋体" w:eastAsia="新宋体" w:cs="新宋体"/>
          <w:b/>
          <w:sz w:val="22"/>
          <w:szCs w:val="22"/>
        </w:rPr>
      </w:pPr>
      <w:bookmarkStart w:id="158" w:name="_Toc30508"/>
      <w:bookmarkStart w:id="159" w:name="_Toc957"/>
      <w:bookmarkStart w:id="160" w:name="_Toc22029"/>
      <w:bookmarkStart w:id="161" w:name="_Toc28893"/>
      <w:bookmarkStart w:id="162" w:name="_Toc2528"/>
      <w:bookmarkStart w:id="163" w:name="_Toc25719"/>
      <w:bookmarkStart w:id="164" w:name="_Toc6058"/>
      <w:r>
        <w:rPr>
          <w:rFonts w:hint="eastAsia" w:ascii="新宋体" w:hAnsi="新宋体" w:eastAsia="新宋体" w:cs="新宋体"/>
          <w:b/>
          <w:bCs/>
          <w:sz w:val="22"/>
          <w:szCs w:val="22"/>
        </w:rPr>
        <w:t>一、招标服务内容及要求</w:t>
      </w:r>
      <w:bookmarkEnd w:id="158"/>
      <w:bookmarkEnd w:id="159"/>
      <w:bookmarkEnd w:id="160"/>
      <w:bookmarkEnd w:id="161"/>
      <w:bookmarkEnd w:id="162"/>
      <w:bookmarkEnd w:id="163"/>
    </w:p>
    <w:p w14:paraId="1B727B4C">
      <w:pPr>
        <w:spacing w:line="45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1、招标预存资金及分配：</w:t>
      </w:r>
      <w:bookmarkEnd w:id="164"/>
    </w:p>
    <w:p w14:paraId="24E1627C">
      <w:pPr>
        <w:spacing w:line="460" w:lineRule="exact"/>
        <w:ind w:firstLine="442" w:firstLineChars="200"/>
        <w:rPr>
          <w:rFonts w:ascii="新宋体" w:hAnsi="新宋体" w:eastAsia="新宋体" w:cs="新宋体"/>
          <w:b/>
          <w:sz w:val="22"/>
          <w:szCs w:val="22"/>
        </w:rPr>
      </w:pPr>
      <w:bookmarkStart w:id="165" w:name="_Toc28655"/>
      <w:r>
        <w:rPr>
          <w:rFonts w:hint="eastAsia" w:ascii="新宋体" w:hAnsi="新宋体" w:eastAsia="新宋体" w:cs="新宋体"/>
          <w:b/>
          <w:bCs/>
          <w:sz w:val="22"/>
          <w:szCs w:val="22"/>
        </w:rPr>
        <w:t>温州市龙湾区城市建设中心(温州市龙湾区土地储备中心)公款存放，</w:t>
      </w:r>
      <w:r>
        <w:rPr>
          <w:rFonts w:hint="eastAsia" w:ascii="新宋体" w:hAnsi="新宋体" w:eastAsia="新宋体" w:cs="新宋体"/>
          <w:sz w:val="22"/>
        </w:rPr>
        <w:t>存款资金：</w:t>
      </w:r>
      <w:r>
        <w:rPr>
          <w:rFonts w:ascii="新宋体" w:hAnsi="新宋体" w:eastAsia="新宋体" w:cs="新宋体"/>
          <w:sz w:val="22"/>
        </w:rPr>
        <w:t>518</w:t>
      </w:r>
      <w:r>
        <w:rPr>
          <w:rFonts w:hint="eastAsia" w:ascii="新宋体" w:hAnsi="新宋体" w:eastAsia="新宋体" w:cs="新宋体"/>
          <w:sz w:val="22"/>
        </w:rPr>
        <w:t>万元，定期存款期限：12个月，通过公开招标方式选择1家银行做为公款定期存放单位，如中标银行在招标人处未有开户的，根据中标结果中标人应协助招标人办理开设账户。</w:t>
      </w:r>
    </w:p>
    <w:bookmarkEnd w:id="165"/>
    <w:p w14:paraId="5C193D30">
      <w:pPr>
        <w:tabs>
          <w:tab w:val="left" w:pos="360"/>
        </w:tabs>
        <w:spacing w:line="460" w:lineRule="exact"/>
        <w:ind w:firstLine="442" w:firstLineChars="200"/>
        <w:rPr>
          <w:rFonts w:ascii="新宋体" w:hAnsi="新宋体" w:eastAsia="新宋体" w:cs="新宋体"/>
          <w:b/>
          <w:bCs/>
          <w:sz w:val="22"/>
          <w:szCs w:val="22"/>
        </w:rPr>
      </w:pPr>
      <w:bookmarkStart w:id="166" w:name="_Toc4263"/>
      <w:bookmarkStart w:id="167" w:name="_Toc8256"/>
      <w:bookmarkStart w:id="168" w:name="_Toc14707"/>
      <w:r>
        <w:rPr>
          <w:rFonts w:hint="eastAsia" w:ascii="新宋体" w:hAnsi="新宋体" w:eastAsia="新宋体" w:cs="新宋体"/>
          <w:b/>
          <w:bCs/>
          <w:sz w:val="22"/>
          <w:szCs w:val="22"/>
        </w:rPr>
        <w:t>2、提前支取</w:t>
      </w:r>
    </w:p>
    <w:p w14:paraId="4FCF7E15">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（1）招标人有权在到期日前提前支取定期存款，招标人至少应在5个工作日前通知中标银行；</w:t>
      </w:r>
    </w:p>
    <w:p w14:paraId="4A3ED677">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（2）提前支取金额的利息按国家有关利率政策计付利息。存续金额仍按原起息日、期限及存款利率计付利息；</w:t>
      </w:r>
    </w:p>
    <w:p w14:paraId="7A67AEAB">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（3）资金主体提前支取按资金主体对应存款银行顺序从排名末位起，依次往上。</w:t>
      </w:r>
    </w:p>
    <w:p w14:paraId="516AAEF8">
      <w:pPr>
        <w:tabs>
          <w:tab w:val="left" w:pos="360"/>
        </w:tabs>
        <w:spacing w:line="460" w:lineRule="exact"/>
        <w:ind w:firstLine="440" w:firstLineChars="200"/>
        <w:rPr>
          <w:rFonts w:ascii="新宋体" w:hAnsi="新宋体" w:eastAsia="新宋体" w:cs="新宋体"/>
          <w:sz w:val="22"/>
          <w:szCs w:val="22"/>
        </w:rPr>
      </w:pPr>
      <w:bookmarkStart w:id="169" w:name="_Toc15520"/>
      <w:r>
        <w:rPr>
          <w:rFonts w:hint="eastAsia" w:ascii="新宋体" w:hAnsi="新宋体" w:eastAsia="新宋体" w:cs="新宋体"/>
          <w:sz w:val="22"/>
          <w:szCs w:val="22"/>
        </w:rPr>
        <w:t>3、其他要求</w:t>
      </w:r>
    </w:p>
    <w:p w14:paraId="6EDAFF31">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（1）中标银行应按招标人需要配备至少1名资金管理相适应的专业工作人员对接服务。</w:t>
      </w:r>
    </w:p>
    <w:p w14:paraId="3C9F7AA6">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（2）中标银行应保证招标人在龙湾区区域内办理业务时可享受免排队直通业务，并尽可能在便利服务方案中为招标人提供各种便利。</w:t>
      </w:r>
    </w:p>
    <w:p w14:paraId="50D425BA">
      <w:pPr>
        <w:tabs>
          <w:tab w:val="left" w:pos="360"/>
        </w:tabs>
        <w:spacing w:line="460" w:lineRule="exact"/>
        <w:ind w:firstLine="442" w:firstLineChars="200"/>
        <w:outlineLvl w:val="1"/>
        <w:rPr>
          <w:rFonts w:ascii="新宋体" w:hAnsi="新宋体" w:eastAsia="新宋体" w:cs="新宋体"/>
          <w:b/>
          <w:bCs/>
          <w:sz w:val="22"/>
          <w:szCs w:val="22"/>
        </w:rPr>
      </w:pPr>
      <w:bookmarkStart w:id="170" w:name="_Toc11150"/>
      <w:r>
        <w:rPr>
          <w:rFonts w:hint="eastAsia" w:ascii="新宋体" w:hAnsi="新宋体" w:eastAsia="新宋体" w:cs="新宋体"/>
          <w:b/>
          <w:bCs/>
          <w:sz w:val="22"/>
          <w:szCs w:val="22"/>
        </w:rPr>
        <w:t>二、合同签订</w:t>
      </w:r>
      <w:bookmarkEnd w:id="166"/>
      <w:bookmarkEnd w:id="167"/>
      <w:bookmarkEnd w:id="168"/>
      <w:bookmarkEnd w:id="169"/>
      <w:bookmarkEnd w:id="170"/>
    </w:p>
    <w:p w14:paraId="3A737A0C">
      <w:pPr>
        <w:tabs>
          <w:tab w:val="left" w:pos="360"/>
        </w:tabs>
        <w:spacing w:line="460" w:lineRule="exact"/>
        <w:ind w:firstLine="440" w:firstLineChars="200"/>
        <w:rPr>
          <w:rFonts w:ascii="新宋体" w:hAnsi="新宋体" w:eastAsia="新宋体" w:cs="新宋体"/>
        </w:rPr>
      </w:pPr>
      <w:r>
        <w:rPr>
          <w:rFonts w:hint="eastAsia" w:ascii="新宋体" w:hAnsi="新宋体" w:eastAsia="新宋体" w:cs="新宋体"/>
          <w:sz w:val="22"/>
          <w:szCs w:val="22"/>
        </w:rPr>
        <w:t>资金存放合同：中标结果生效后，由招标人与中标银行签订资金存放合同，并进行资金存放。</w:t>
      </w:r>
      <w:bookmarkStart w:id="171" w:name="_Toc15369"/>
      <w:bookmarkStart w:id="172" w:name="_Toc26070"/>
      <w:bookmarkStart w:id="173" w:name="_Toc9657"/>
      <w:bookmarkStart w:id="174" w:name="_Toc8393"/>
    </w:p>
    <w:p w14:paraId="762E54AD">
      <w:pPr>
        <w:spacing w:line="460" w:lineRule="exact"/>
        <w:ind w:firstLine="442" w:firstLineChars="200"/>
        <w:outlineLvl w:val="1"/>
        <w:rPr>
          <w:rFonts w:ascii="新宋体" w:hAnsi="新宋体" w:eastAsia="新宋体" w:cs="新宋体"/>
          <w:b/>
          <w:sz w:val="22"/>
          <w:szCs w:val="22"/>
        </w:rPr>
      </w:pPr>
      <w:bookmarkStart w:id="175" w:name="_Toc14730"/>
      <w:bookmarkStart w:id="176" w:name="_Toc22891"/>
      <w:r>
        <w:rPr>
          <w:rFonts w:hint="eastAsia" w:ascii="新宋体" w:hAnsi="新宋体" w:eastAsia="新宋体" w:cs="新宋体"/>
          <w:b/>
          <w:sz w:val="22"/>
          <w:szCs w:val="22"/>
        </w:rPr>
        <w:t>三、中标银行出现以下情形之一的，招标人有权提前收回存放公款（即协议终止条件），并取消乙方在本单位以后各期的竞争性存放投标资格：</w:t>
      </w:r>
      <w:bookmarkEnd w:id="171"/>
      <w:bookmarkEnd w:id="172"/>
      <w:bookmarkEnd w:id="173"/>
      <w:bookmarkEnd w:id="174"/>
      <w:bookmarkEnd w:id="175"/>
      <w:bookmarkEnd w:id="176"/>
    </w:p>
    <w:p w14:paraId="3FAEA98A">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（1）出现资金安全事故和重大违法违规情况或财务恶化；</w:t>
      </w:r>
    </w:p>
    <w:p w14:paraId="4AB88F0F">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（2）监管评级降低到招标条件以下的，或监管部门认为存在较大运营风险；</w:t>
      </w:r>
    </w:p>
    <w:p w14:paraId="1A20D1A2">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（3）进行严重不正当投标；</w:t>
      </w:r>
    </w:p>
    <w:p w14:paraId="1122D6F3">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（4）没有按照中标协议承诺履行相应的责任和义务；</w:t>
      </w:r>
    </w:p>
    <w:p w14:paraId="7038F45C">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（5）不能及时将到期存款本息足额缴入单位账户；</w:t>
      </w:r>
    </w:p>
    <w:p w14:paraId="0BBEA8DF">
      <w:pPr>
        <w:tabs>
          <w:tab w:val="left" w:pos="36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（6）其它妨害资金安全的行为。</w:t>
      </w:r>
    </w:p>
    <w:p w14:paraId="18748AA2">
      <w:pPr>
        <w:spacing w:line="460" w:lineRule="exact"/>
        <w:ind w:firstLine="442" w:firstLineChars="200"/>
        <w:outlineLvl w:val="1"/>
        <w:rPr>
          <w:rFonts w:ascii="新宋体" w:hAnsi="新宋体" w:eastAsia="新宋体" w:cs="新宋体"/>
          <w:b/>
          <w:bCs/>
          <w:sz w:val="22"/>
          <w:szCs w:val="22"/>
        </w:rPr>
      </w:pPr>
      <w:bookmarkStart w:id="177" w:name="_Toc10727"/>
      <w:bookmarkStart w:id="178" w:name="_Toc30727"/>
      <w:bookmarkStart w:id="179" w:name="_Toc22604"/>
      <w:bookmarkStart w:id="180" w:name="_Toc19326"/>
      <w:bookmarkStart w:id="181" w:name="_Toc29426"/>
      <w:bookmarkStart w:id="182" w:name="_Toc28302"/>
      <w:r>
        <w:rPr>
          <w:rFonts w:hint="eastAsia" w:ascii="新宋体" w:hAnsi="新宋体" w:eastAsia="新宋体" w:cs="新宋体"/>
          <w:b/>
          <w:bCs/>
          <w:sz w:val="22"/>
          <w:szCs w:val="22"/>
        </w:rPr>
        <w:t>四、报价方式</w:t>
      </w:r>
      <w:bookmarkEnd w:id="177"/>
      <w:bookmarkEnd w:id="178"/>
      <w:bookmarkEnd w:id="179"/>
      <w:bookmarkEnd w:id="180"/>
      <w:bookmarkEnd w:id="181"/>
      <w:bookmarkEnd w:id="182"/>
    </w:p>
    <w:p w14:paraId="7907FF1A">
      <w:pPr>
        <w:spacing w:line="460" w:lineRule="exact"/>
        <w:ind w:firstLine="442" w:firstLineChars="200"/>
        <w:rPr>
          <w:rFonts w:ascii="新宋体" w:hAnsi="新宋体" w:eastAsia="新宋体" w:cs="新宋体"/>
          <w:b/>
          <w:sz w:val="22"/>
          <w:szCs w:val="22"/>
        </w:rPr>
      </w:pPr>
      <w:r>
        <w:rPr>
          <w:rFonts w:hint="eastAsia" w:ascii="新宋体" w:hAnsi="新宋体" w:eastAsia="新宋体" w:cs="新宋体"/>
          <w:b/>
          <w:sz w:val="22"/>
          <w:szCs w:val="22"/>
        </w:rPr>
        <w:t>按</w:t>
      </w:r>
      <w:r>
        <w:rPr>
          <w:rFonts w:hint="eastAsia" w:ascii="新宋体" w:hAnsi="新宋体" w:eastAsia="新宋体" w:cs="新宋体"/>
          <w:b/>
          <w:sz w:val="22"/>
        </w:rPr>
        <w:t>定期存款上浮基点</w:t>
      </w:r>
      <w:r>
        <w:rPr>
          <w:rFonts w:hint="eastAsia" w:ascii="新宋体" w:hAnsi="新宋体" w:eastAsia="新宋体" w:cs="新宋体"/>
          <w:b/>
          <w:sz w:val="22"/>
          <w:szCs w:val="22"/>
        </w:rPr>
        <w:t>报出，利率不得超过国家规定</w:t>
      </w:r>
      <w:r>
        <w:rPr>
          <w:rFonts w:hint="eastAsia" w:ascii="新宋体" w:hAnsi="新宋体" w:eastAsia="新宋体" w:cs="新宋体"/>
          <w:b/>
          <w:bCs/>
          <w:sz w:val="22"/>
          <w:szCs w:val="22"/>
        </w:rPr>
        <w:t>及银行自律公约</w:t>
      </w:r>
      <w:r>
        <w:rPr>
          <w:rFonts w:hint="eastAsia" w:ascii="新宋体" w:hAnsi="新宋体" w:eastAsia="新宋体" w:cs="新宋体"/>
          <w:b/>
          <w:sz w:val="22"/>
          <w:szCs w:val="22"/>
        </w:rPr>
        <w:t>的定期存款利率浮动区间的上限。</w:t>
      </w:r>
    </w:p>
    <w:p w14:paraId="4DF5E9AB">
      <w:pPr>
        <w:spacing w:line="460" w:lineRule="exact"/>
        <w:ind w:firstLine="442" w:firstLineChars="200"/>
        <w:outlineLvl w:val="1"/>
        <w:rPr>
          <w:rFonts w:ascii="新宋体" w:hAnsi="新宋体" w:eastAsia="新宋体" w:cs="新宋体"/>
          <w:b/>
          <w:bCs/>
          <w:sz w:val="22"/>
          <w:szCs w:val="22"/>
        </w:rPr>
      </w:pPr>
      <w:r>
        <w:rPr>
          <w:rFonts w:hint="eastAsia" w:ascii="新宋体" w:hAnsi="新宋体" w:eastAsia="新宋体" w:cs="新宋体"/>
          <w:b/>
          <w:sz w:val="22"/>
          <w:szCs w:val="22"/>
        </w:rPr>
        <w:t>五、</w:t>
      </w:r>
      <w:r>
        <w:rPr>
          <w:rFonts w:ascii="新宋体" w:hAnsi="新宋体" w:eastAsia="新宋体" w:cs="新宋体"/>
          <w:b/>
          <w:bCs/>
          <w:sz w:val="22"/>
          <w:szCs w:val="22"/>
        </w:rPr>
        <w:t>新资金存入</w:t>
      </w:r>
    </w:p>
    <w:p w14:paraId="66DBCCAA">
      <w:pPr>
        <w:pStyle w:val="6"/>
        <w:spacing w:line="460" w:lineRule="exact"/>
        <w:rPr>
          <w:rFonts w:ascii="新宋体" w:hAnsi="新宋体" w:eastAsia="新宋体" w:cs="新宋体"/>
          <w:b/>
          <w:sz w:val="22"/>
          <w:szCs w:val="22"/>
        </w:rPr>
      </w:pPr>
      <w:r>
        <w:rPr>
          <w:rFonts w:hint="eastAsia" w:ascii="新宋体" w:hAnsi="新宋体" w:eastAsia="新宋体" w:cs="新宋体"/>
          <w:b/>
          <w:bCs/>
          <w:sz w:val="22"/>
          <w:szCs w:val="22"/>
        </w:rPr>
        <w:t>合同有效期内，招标人如有新增闲置资金要求存放，按照《关于印发龙湾区行政事业单位公款竞争性存放管理办法的通知》温龙政办发〔2022〕30号文件规定执行。</w:t>
      </w:r>
    </w:p>
    <w:p w14:paraId="4DBB6BCA">
      <w:pPr>
        <w:spacing w:line="460" w:lineRule="exact"/>
        <w:ind w:firstLine="442" w:firstLineChars="200"/>
        <w:rPr>
          <w:rFonts w:ascii="新宋体" w:hAnsi="新宋体" w:eastAsia="新宋体" w:cs="新宋体"/>
          <w:b/>
          <w:sz w:val="22"/>
          <w:szCs w:val="22"/>
        </w:rPr>
      </w:pPr>
    </w:p>
    <w:p w14:paraId="3AE513A6">
      <w:pPr>
        <w:spacing w:line="500" w:lineRule="exact"/>
        <w:jc w:val="center"/>
        <w:outlineLvl w:val="0"/>
        <w:rPr>
          <w:rFonts w:ascii="新宋体" w:hAnsi="新宋体" w:eastAsia="新宋体" w:cs="新宋体"/>
          <w:b/>
          <w:sz w:val="32"/>
          <w:szCs w:val="32"/>
        </w:rPr>
      </w:pPr>
      <w:bookmarkStart w:id="183" w:name="_Toc30382"/>
      <w:bookmarkStart w:id="184" w:name="_Toc9468"/>
      <w:r>
        <w:rPr>
          <w:rFonts w:hint="eastAsia" w:ascii="新宋体" w:hAnsi="新宋体" w:eastAsia="新宋体" w:cs="新宋体"/>
          <w:b/>
          <w:sz w:val="32"/>
          <w:szCs w:val="32"/>
        </w:rPr>
        <w:br w:type="page"/>
      </w:r>
      <w:bookmarkStart w:id="185" w:name="_Toc10184"/>
      <w:r>
        <w:rPr>
          <w:rFonts w:hint="eastAsia" w:ascii="新宋体" w:hAnsi="新宋体" w:eastAsia="新宋体" w:cs="新宋体"/>
          <w:b/>
          <w:sz w:val="32"/>
          <w:szCs w:val="32"/>
        </w:rPr>
        <w:t>第五部分   评标原则及方法</w:t>
      </w:r>
      <w:bookmarkEnd w:id="183"/>
      <w:bookmarkEnd w:id="184"/>
      <w:bookmarkEnd w:id="185"/>
    </w:p>
    <w:p w14:paraId="77100C2D">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bCs/>
          <w:sz w:val="22"/>
          <w:szCs w:val="22"/>
        </w:rPr>
        <w:t>根据相关法律法规和</w:t>
      </w:r>
      <w:r>
        <w:rPr>
          <w:rFonts w:hint="eastAsia" w:ascii="新宋体" w:hAnsi="新宋体" w:eastAsia="新宋体" w:cs="新宋体"/>
          <w:sz w:val="22"/>
          <w:szCs w:val="22"/>
        </w:rPr>
        <w:t>《关于防止领导干部在公款存放方面发生利益冲突和利益输送的办法》(浙委办发〔2015〕8号)、《关于印发龙湾区行政事业单位公款竞争性存放管理办法的通知》温龙政办发〔2022〕30号等文件的规定</w:t>
      </w:r>
      <w:r>
        <w:rPr>
          <w:rFonts w:hint="eastAsia" w:ascii="新宋体" w:hAnsi="新宋体" w:eastAsia="新宋体" w:cs="新宋体"/>
          <w:bCs/>
          <w:sz w:val="22"/>
          <w:szCs w:val="22"/>
        </w:rPr>
        <w:t>特制定以下评标办法。</w:t>
      </w:r>
    </w:p>
    <w:p w14:paraId="5E8E6EEB">
      <w:pPr>
        <w:spacing w:line="460" w:lineRule="exact"/>
        <w:ind w:firstLine="442" w:firstLineChars="200"/>
        <w:outlineLvl w:val="1"/>
        <w:rPr>
          <w:rFonts w:ascii="新宋体" w:hAnsi="新宋体" w:eastAsia="新宋体" w:cs="新宋体"/>
          <w:b/>
          <w:sz w:val="22"/>
          <w:szCs w:val="22"/>
        </w:rPr>
      </w:pPr>
      <w:bookmarkStart w:id="186" w:name="_Toc17597"/>
      <w:bookmarkStart w:id="187" w:name="_Toc10547"/>
      <w:bookmarkStart w:id="188" w:name="_Toc21411"/>
      <w:r>
        <w:rPr>
          <w:rFonts w:hint="eastAsia" w:ascii="新宋体" w:hAnsi="新宋体" w:eastAsia="新宋体" w:cs="新宋体"/>
          <w:b/>
          <w:sz w:val="22"/>
          <w:szCs w:val="22"/>
        </w:rPr>
        <w:t>一、总 则</w:t>
      </w:r>
      <w:bookmarkEnd w:id="186"/>
      <w:bookmarkEnd w:id="187"/>
      <w:bookmarkEnd w:id="188"/>
    </w:p>
    <w:p w14:paraId="5A6E05E3">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遵循公平、公正、科学、择优原则和诚实、信誉、效率的服务原则。本着科学、严谨的态度，认真进行评标。择优选用，推进技术进步，确保质量，最大限度的保护当事人权益，严格按照招标文件的要求，对投标文件进行综合评定，提出优选方案，编写评标报告。对落标单位，评委会不作任何落标解释。投标银行不得以任何方式干扰招投标工作的进行，一经发现其投标文件将被拒绝。</w:t>
      </w:r>
    </w:p>
    <w:p w14:paraId="4E0ADAA6">
      <w:pPr>
        <w:spacing w:line="460" w:lineRule="exact"/>
        <w:ind w:firstLine="442" w:firstLineChars="200"/>
        <w:outlineLvl w:val="1"/>
        <w:rPr>
          <w:rFonts w:ascii="新宋体" w:hAnsi="新宋体" w:eastAsia="新宋体" w:cs="新宋体"/>
          <w:b/>
          <w:sz w:val="22"/>
          <w:szCs w:val="22"/>
        </w:rPr>
      </w:pPr>
      <w:bookmarkStart w:id="189" w:name="_Toc6299"/>
      <w:bookmarkStart w:id="190" w:name="_Toc2103"/>
      <w:bookmarkStart w:id="191" w:name="_Toc30090"/>
      <w:r>
        <w:rPr>
          <w:rFonts w:hint="eastAsia" w:ascii="新宋体" w:hAnsi="新宋体" w:eastAsia="新宋体" w:cs="新宋体"/>
          <w:b/>
          <w:sz w:val="22"/>
          <w:szCs w:val="22"/>
        </w:rPr>
        <w:t>二、评标组织</w:t>
      </w:r>
      <w:bookmarkEnd w:id="189"/>
      <w:bookmarkEnd w:id="190"/>
      <w:bookmarkEnd w:id="191"/>
    </w:p>
    <w:p w14:paraId="221E4F1C">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评标工作由招标人组建的评标委员会负责，评标全过程由有关部门指导监督。</w:t>
      </w:r>
    </w:p>
    <w:p w14:paraId="46523777">
      <w:pPr>
        <w:spacing w:line="460" w:lineRule="exact"/>
        <w:ind w:firstLine="442" w:firstLineChars="200"/>
        <w:outlineLvl w:val="1"/>
        <w:rPr>
          <w:rFonts w:ascii="新宋体" w:hAnsi="新宋体" w:eastAsia="新宋体" w:cs="新宋体"/>
          <w:b/>
          <w:sz w:val="22"/>
          <w:szCs w:val="22"/>
        </w:rPr>
      </w:pPr>
      <w:bookmarkStart w:id="192" w:name="_Toc15966"/>
      <w:bookmarkStart w:id="193" w:name="_Toc24041"/>
      <w:bookmarkStart w:id="194" w:name="_Toc17871"/>
      <w:r>
        <w:rPr>
          <w:rFonts w:hint="eastAsia" w:ascii="新宋体" w:hAnsi="新宋体" w:eastAsia="新宋体" w:cs="新宋体"/>
          <w:b/>
          <w:sz w:val="22"/>
          <w:szCs w:val="22"/>
        </w:rPr>
        <w:t>三、评标程序</w:t>
      </w:r>
      <w:bookmarkEnd w:id="192"/>
      <w:bookmarkEnd w:id="193"/>
      <w:bookmarkEnd w:id="194"/>
    </w:p>
    <w:p w14:paraId="7E1FE8B4">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bCs/>
          <w:sz w:val="22"/>
          <w:szCs w:val="22"/>
        </w:rPr>
        <w:t>评标委员按照招标文件中规定的评标方法和标准，对投标文件进行商务和技术评估，综合比较与评价</w:t>
      </w:r>
      <w:r>
        <w:rPr>
          <w:rFonts w:hint="eastAsia" w:ascii="新宋体" w:hAnsi="新宋体" w:eastAsia="新宋体" w:cs="新宋体"/>
          <w:sz w:val="22"/>
          <w:szCs w:val="22"/>
        </w:rPr>
        <w:t>，根据综合评审结果，提交评审报告。</w:t>
      </w:r>
    </w:p>
    <w:p w14:paraId="589BBA6A">
      <w:pPr>
        <w:spacing w:line="460" w:lineRule="exact"/>
        <w:ind w:firstLine="442" w:firstLineChars="200"/>
        <w:outlineLvl w:val="1"/>
        <w:rPr>
          <w:rFonts w:ascii="新宋体" w:hAnsi="新宋体" w:eastAsia="新宋体" w:cs="新宋体"/>
          <w:b/>
          <w:sz w:val="22"/>
          <w:szCs w:val="22"/>
        </w:rPr>
      </w:pPr>
      <w:bookmarkStart w:id="195" w:name="_Toc505"/>
      <w:bookmarkStart w:id="196" w:name="_Toc17490"/>
      <w:bookmarkStart w:id="197" w:name="_Toc29610"/>
      <w:r>
        <w:rPr>
          <w:rFonts w:hint="eastAsia" w:ascii="新宋体" w:hAnsi="新宋体" w:eastAsia="新宋体" w:cs="新宋体"/>
          <w:b/>
          <w:sz w:val="22"/>
          <w:szCs w:val="22"/>
        </w:rPr>
        <w:t>四、评标规则</w:t>
      </w:r>
      <w:bookmarkEnd w:id="195"/>
      <w:bookmarkEnd w:id="196"/>
      <w:bookmarkEnd w:id="197"/>
    </w:p>
    <w:p w14:paraId="3721B7D2">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本次招标采用综合评分法，根据评分结果择优确定中标银行。得分相同的，依次按利率水平、经营状况、经济贡献、</w:t>
      </w:r>
      <w:r>
        <w:rPr>
          <w:rFonts w:hint="eastAsia" w:ascii="新宋体" w:hAnsi="新宋体" w:eastAsia="新宋体" w:cs="新宋体"/>
          <w:kern w:val="0"/>
          <w:sz w:val="22"/>
          <w:szCs w:val="22"/>
          <w:lang w:bidi="ar"/>
        </w:rPr>
        <w:t>综合服务能力</w:t>
      </w:r>
      <w:r>
        <w:rPr>
          <w:rFonts w:hint="eastAsia" w:ascii="新宋体" w:hAnsi="新宋体" w:eastAsia="新宋体" w:cs="新宋体"/>
          <w:sz w:val="22"/>
          <w:szCs w:val="22"/>
        </w:rPr>
        <w:t>的得分高低确定排名，得分完全相同的通过抽签确定排名。</w:t>
      </w:r>
    </w:p>
    <w:p w14:paraId="5F22F7F0">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指标构成及权重分别为：利率水平指标30%、经营状况指标30%、经济贡献度指标30%、</w:t>
      </w:r>
      <w:r>
        <w:rPr>
          <w:rFonts w:hint="eastAsia" w:ascii="新宋体" w:hAnsi="新宋体" w:eastAsia="新宋体" w:cs="新宋体"/>
          <w:sz w:val="22"/>
        </w:rPr>
        <w:t>服务水平</w:t>
      </w:r>
      <w:r>
        <w:rPr>
          <w:rFonts w:hint="eastAsia" w:ascii="新宋体" w:hAnsi="新宋体" w:eastAsia="新宋体" w:cs="新宋体"/>
          <w:sz w:val="22"/>
          <w:szCs w:val="22"/>
        </w:rPr>
        <w:t>10%，合计100%。（详见评分表）</w:t>
      </w:r>
    </w:p>
    <w:tbl>
      <w:tblPr>
        <w:tblStyle w:val="30"/>
        <w:tblW w:w="94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8"/>
        <w:gridCol w:w="4714"/>
        <w:gridCol w:w="4176"/>
      </w:tblGrid>
      <w:tr w14:paraId="547D7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7E490193">
            <w:pPr>
              <w:spacing w:line="300" w:lineRule="exact"/>
              <w:jc w:val="center"/>
              <w:rPr>
                <w:rFonts w:ascii="宋体" w:hAnsi="宋体"/>
                <w:b/>
                <w:szCs w:val="21"/>
              </w:rPr>
            </w:pPr>
            <w:r>
              <w:rPr>
                <w:rFonts w:hint="eastAsia" w:ascii="宋体" w:hAnsi="宋体"/>
                <w:b/>
                <w:szCs w:val="21"/>
              </w:rPr>
              <w:t>序号</w:t>
            </w:r>
          </w:p>
        </w:tc>
        <w:tc>
          <w:tcPr>
            <w:tcW w:w="0" w:type="auto"/>
            <w:vAlign w:val="center"/>
          </w:tcPr>
          <w:p w14:paraId="42148C90">
            <w:pPr>
              <w:spacing w:line="300" w:lineRule="exact"/>
              <w:jc w:val="center"/>
              <w:rPr>
                <w:rFonts w:ascii="宋体" w:hAnsi="宋体"/>
                <w:b/>
                <w:szCs w:val="21"/>
              </w:rPr>
            </w:pPr>
            <w:r>
              <w:rPr>
                <w:rFonts w:hint="eastAsia" w:ascii="宋体" w:hAnsi="宋体"/>
                <w:b/>
                <w:szCs w:val="21"/>
              </w:rPr>
              <w:t>评分项</w:t>
            </w:r>
          </w:p>
        </w:tc>
        <w:tc>
          <w:tcPr>
            <w:tcW w:w="4176" w:type="dxa"/>
            <w:vAlign w:val="center"/>
          </w:tcPr>
          <w:p w14:paraId="38F5E5E6">
            <w:pPr>
              <w:spacing w:line="300" w:lineRule="exact"/>
              <w:jc w:val="center"/>
              <w:rPr>
                <w:rFonts w:ascii="宋体" w:hAnsi="宋体"/>
                <w:b/>
                <w:szCs w:val="21"/>
              </w:rPr>
            </w:pPr>
            <w:r>
              <w:rPr>
                <w:rFonts w:hint="eastAsia" w:ascii="宋体" w:hAnsi="宋体"/>
                <w:b/>
                <w:szCs w:val="21"/>
              </w:rPr>
              <w:t>评分细则</w:t>
            </w:r>
          </w:p>
        </w:tc>
      </w:tr>
      <w:tr w14:paraId="6D668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683B138F">
            <w:pPr>
              <w:spacing w:line="300" w:lineRule="exact"/>
              <w:ind w:firstLine="210" w:firstLineChars="100"/>
              <w:rPr>
                <w:rFonts w:ascii="宋体" w:hAnsi="宋体" w:cs="仿宋_GB2312"/>
                <w:szCs w:val="21"/>
              </w:rPr>
            </w:pPr>
            <w:r>
              <w:rPr>
                <w:rFonts w:hint="eastAsia" w:ascii="宋体" w:hAnsi="宋体" w:cs="仿宋_GB2312"/>
                <w:szCs w:val="21"/>
              </w:rPr>
              <w:t>1</w:t>
            </w:r>
          </w:p>
        </w:tc>
        <w:tc>
          <w:tcPr>
            <w:tcW w:w="4714" w:type="dxa"/>
            <w:vAlign w:val="center"/>
          </w:tcPr>
          <w:p w14:paraId="356045FB">
            <w:pPr>
              <w:spacing w:line="300" w:lineRule="exact"/>
              <w:rPr>
                <w:rFonts w:ascii="宋体" w:hAnsi="宋体" w:cs="仿宋_GB2312"/>
                <w:szCs w:val="21"/>
              </w:rPr>
            </w:pPr>
            <w:r>
              <w:rPr>
                <w:rFonts w:hint="eastAsia" w:ascii="宋体" w:hAnsi="宋体" w:cs="仿宋_GB2312"/>
                <w:szCs w:val="21"/>
              </w:rPr>
              <w:t>利率水平指标（30分）</w:t>
            </w:r>
          </w:p>
        </w:tc>
        <w:tc>
          <w:tcPr>
            <w:tcW w:w="4176" w:type="dxa"/>
            <w:vAlign w:val="center"/>
          </w:tcPr>
          <w:p w14:paraId="0FE44963">
            <w:pPr>
              <w:spacing w:line="300" w:lineRule="exact"/>
              <w:rPr>
                <w:rFonts w:ascii="宋体" w:hAnsi="宋体" w:cs="仿宋_GB2312"/>
                <w:szCs w:val="21"/>
              </w:rPr>
            </w:pPr>
            <w:r>
              <w:rPr>
                <w:rFonts w:hint="eastAsia" w:ascii="宋体" w:hAnsi="宋体" w:cs="仿宋_GB2312"/>
                <w:szCs w:val="21"/>
              </w:rPr>
              <w:t>以供应商有效定期存款（12个月）利率中的最高利率为评标基准价，得满分30分。评分结算公式为:得分=(定期存款（12个月）年利率/投标最高利率)×30%×100。</w:t>
            </w:r>
          </w:p>
        </w:tc>
      </w:tr>
      <w:tr w14:paraId="72A48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02555826">
            <w:pPr>
              <w:spacing w:line="300" w:lineRule="exact"/>
              <w:jc w:val="center"/>
              <w:rPr>
                <w:rFonts w:ascii="宋体" w:hAnsi="宋体"/>
                <w:szCs w:val="21"/>
              </w:rPr>
            </w:pPr>
            <w:r>
              <w:rPr>
                <w:rFonts w:hint="eastAsia" w:ascii="宋体" w:hAnsi="宋体"/>
                <w:szCs w:val="21"/>
              </w:rPr>
              <w:t>2</w:t>
            </w:r>
          </w:p>
        </w:tc>
        <w:tc>
          <w:tcPr>
            <w:tcW w:w="8890" w:type="dxa"/>
            <w:gridSpan w:val="2"/>
            <w:vAlign w:val="center"/>
          </w:tcPr>
          <w:p w14:paraId="6E25A098">
            <w:pPr>
              <w:spacing w:line="300" w:lineRule="exact"/>
              <w:rPr>
                <w:rFonts w:ascii="宋体" w:hAnsi="宋体"/>
                <w:b/>
                <w:bCs/>
                <w:kern w:val="0"/>
                <w:szCs w:val="21"/>
                <w:shd w:val="clear" w:color="auto" w:fill="FFFFFF"/>
              </w:rPr>
            </w:pPr>
            <w:r>
              <w:rPr>
                <w:rFonts w:hint="eastAsia" w:ascii="宋体" w:hAnsi="宋体" w:cs="仿宋_GB2312"/>
                <w:b/>
                <w:szCs w:val="21"/>
              </w:rPr>
              <w:t>经营状况指标（30分）</w:t>
            </w:r>
          </w:p>
        </w:tc>
      </w:tr>
      <w:tr w14:paraId="5196F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608" w:type="dxa"/>
            <w:vAlign w:val="center"/>
          </w:tcPr>
          <w:p w14:paraId="0C623C89">
            <w:pPr>
              <w:spacing w:line="300" w:lineRule="exact"/>
              <w:jc w:val="center"/>
              <w:rPr>
                <w:rFonts w:ascii="宋体" w:hAnsi="宋体"/>
                <w:szCs w:val="21"/>
              </w:rPr>
            </w:pPr>
            <w:r>
              <w:rPr>
                <w:rFonts w:hint="eastAsia" w:ascii="宋体" w:hAnsi="宋体"/>
                <w:szCs w:val="21"/>
              </w:rPr>
              <w:t>2</w:t>
            </w:r>
            <w:r>
              <w:rPr>
                <w:rFonts w:ascii="宋体" w:hAnsi="宋体"/>
                <w:szCs w:val="21"/>
              </w:rPr>
              <w:t>.1</w:t>
            </w:r>
          </w:p>
          <w:p w14:paraId="6ACE437E">
            <w:pPr>
              <w:spacing w:line="300" w:lineRule="exact"/>
              <w:jc w:val="center"/>
              <w:rPr>
                <w:rFonts w:ascii="宋体" w:hAnsi="宋体"/>
                <w:szCs w:val="21"/>
              </w:rPr>
            </w:pPr>
          </w:p>
        </w:tc>
        <w:tc>
          <w:tcPr>
            <w:tcW w:w="4714" w:type="dxa"/>
            <w:vAlign w:val="center"/>
          </w:tcPr>
          <w:p w14:paraId="49ADFA76">
            <w:pPr>
              <w:spacing w:line="300" w:lineRule="exact"/>
              <w:jc w:val="center"/>
              <w:rPr>
                <w:rFonts w:ascii="宋体" w:hAnsi="宋体" w:cs="仿宋_GB2312"/>
                <w:szCs w:val="21"/>
              </w:rPr>
            </w:pPr>
            <w:r>
              <w:t>经营状况指标</w:t>
            </w:r>
          </w:p>
        </w:tc>
        <w:tc>
          <w:tcPr>
            <w:tcW w:w="4176" w:type="dxa"/>
            <w:vAlign w:val="center"/>
          </w:tcPr>
          <w:p w14:paraId="20F35A59">
            <w:pPr>
              <w:spacing w:line="300" w:lineRule="exact"/>
              <w:rPr>
                <w:rFonts w:ascii="宋体" w:hAnsi="宋体" w:cs="仿宋_GB2312"/>
                <w:szCs w:val="21"/>
              </w:rPr>
            </w:pPr>
            <w:r>
              <w:rPr>
                <w:rFonts w:hint="eastAsia" w:ascii="宋体" w:hAnsi="宋体" w:cs="仿宋_GB2312"/>
                <w:szCs w:val="21"/>
              </w:rPr>
              <w:t>以各投标人提供的该行总行经审计公布的上年度年报数据为测评依据，具体包括:资本充足率，一级资本充足率、核心一级资</w:t>
            </w:r>
          </w:p>
          <w:p w14:paraId="1634304B">
            <w:pPr>
              <w:spacing w:line="300" w:lineRule="exact"/>
              <w:rPr>
                <w:rFonts w:ascii="宋体" w:hAnsi="宋体" w:cs="仿宋_GB2312"/>
                <w:szCs w:val="21"/>
              </w:rPr>
            </w:pPr>
            <w:r>
              <w:rPr>
                <w:rFonts w:hint="eastAsia" w:ascii="宋体" w:hAnsi="宋体" w:cs="仿宋_GB2312"/>
                <w:szCs w:val="21"/>
              </w:rPr>
              <w:t>本充足率、拨备覆盖率、流动性比例等5项指标，各项指标数值符合银行监管标准的，不扣分，否则按低于银行监管标准的情</w:t>
            </w:r>
          </w:p>
          <w:p w14:paraId="36FD29A4">
            <w:pPr>
              <w:spacing w:line="300" w:lineRule="exact"/>
              <w:rPr>
                <w:rFonts w:ascii="宋体" w:hAnsi="宋体" w:cs="仿宋_GB2312"/>
                <w:szCs w:val="21"/>
              </w:rPr>
            </w:pPr>
            <w:r>
              <w:rPr>
                <w:rFonts w:hint="eastAsia" w:ascii="宋体" w:hAnsi="宋体" w:cs="仿宋_GB2312"/>
                <w:szCs w:val="21"/>
              </w:rPr>
              <w:t>况，每出现一项扣6分，最高扣30分。</w:t>
            </w:r>
          </w:p>
          <w:p w14:paraId="3FA3DF7D">
            <w:pPr>
              <w:spacing w:line="300" w:lineRule="exact"/>
              <w:rPr>
                <w:rFonts w:ascii="宋体" w:hAnsi="宋体" w:cs="仿宋_GB2312"/>
                <w:szCs w:val="21"/>
              </w:rPr>
            </w:pPr>
            <w:r>
              <w:rPr>
                <w:rFonts w:hint="eastAsia" w:ascii="宋体" w:hAnsi="宋体" w:cs="仿宋_GB2312"/>
                <w:szCs w:val="21"/>
              </w:rPr>
              <w:t>1、以投标人提供的数据为准。</w:t>
            </w:r>
          </w:p>
          <w:p w14:paraId="5525C016">
            <w:pPr>
              <w:spacing w:line="300" w:lineRule="exact"/>
              <w:rPr>
                <w:rFonts w:ascii="宋体" w:hAnsi="宋体" w:cs="仿宋_GB2312"/>
                <w:szCs w:val="21"/>
              </w:rPr>
            </w:pPr>
            <w:r>
              <w:rPr>
                <w:rFonts w:hint="eastAsia" w:ascii="宋体" w:hAnsi="宋体" w:cs="仿宋_GB2312"/>
                <w:szCs w:val="21"/>
              </w:rPr>
              <w:t>2、拨备覆盖率低于银行监管标准的，如能提供</w:t>
            </w:r>
            <w:r>
              <w:rPr>
                <w:rFonts w:hint="eastAsia" w:ascii="宋体" w:hAnsi="宋体"/>
                <w:kern w:val="0"/>
                <w:szCs w:val="21"/>
                <w:shd w:val="clear" w:color="auto" w:fill="FFFFFF"/>
              </w:rPr>
              <w:t>温州市银行监管部门</w:t>
            </w:r>
            <w:r>
              <w:rPr>
                <w:rFonts w:hint="eastAsia" w:ascii="宋体" w:hAnsi="宋体" w:cs="仿宋_GB2312"/>
                <w:szCs w:val="21"/>
              </w:rPr>
              <w:t>书面说明，确认其符合监管要求的，则不扣分。</w:t>
            </w:r>
          </w:p>
        </w:tc>
      </w:tr>
      <w:tr w14:paraId="60B3D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31825DEC">
            <w:pPr>
              <w:spacing w:line="300" w:lineRule="exact"/>
              <w:jc w:val="center"/>
              <w:rPr>
                <w:rFonts w:ascii="宋体" w:hAnsi="宋体"/>
                <w:szCs w:val="21"/>
              </w:rPr>
            </w:pPr>
            <w:r>
              <w:rPr>
                <w:rFonts w:hint="eastAsia" w:ascii="宋体" w:hAnsi="宋体"/>
                <w:szCs w:val="21"/>
              </w:rPr>
              <w:t>3</w:t>
            </w:r>
          </w:p>
        </w:tc>
        <w:tc>
          <w:tcPr>
            <w:tcW w:w="8890" w:type="dxa"/>
            <w:gridSpan w:val="2"/>
            <w:vAlign w:val="center"/>
          </w:tcPr>
          <w:p w14:paraId="4A03DCC7">
            <w:pPr>
              <w:spacing w:line="300" w:lineRule="exact"/>
              <w:rPr>
                <w:rFonts w:ascii="宋体" w:hAnsi="宋体"/>
                <w:kern w:val="0"/>
                <w:szCs w:val="21"/>
                <w:shd w:val="clear" w:color="auto" w:fill="FFFFFF"/>
              </w:rPr>
            </w:pPr>
            <w:r>
              <w:rPr>
                <w:rFonts w:hint="eastAsia" w:ascii="宋体" w:hAnsi="宋体"/>
                <w:b/>
                <w:bCs/>
                <w:kern w:val="0"/>
                <w:szCs w:val="21"/>
                <w:shd w:val="clear" w:color="auto" w:fill="FFFFFF"/>
              </w:rPr>
              <w:t>经济贡献度指标（30分）</w:t>
            </w:r>
          </w:p>
        </w:tc>
      </w:tr>
      <w:tr w14:paraId="33F9A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0353543A">
            <w:pPr>
              <w:spacing w:line="3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1</w:t>
            </w:r>
          </w:p>
        </w:tc>
        <w:tc>
          <w:tcPr>
            <w:tcW w:w="0" w:type="auto"/>
            <w:vAlign w:val="center"/>
          </w:tcPr>
          <w:p w14:paraId="539BBAF6">
            <w:pPr>
              <w:spacing w:line="300" w:lineRule="exact"/>
              <w:jc w:val="center"/>
              <w:rPr>
                <w:rFonts w:ascii="宋体" w:hAnsi="宋体" w:cs="仿宋_GB2312"/>
                <w:szCs w:val="21"/>
              </w:rPr>
            </w:pPr>
            <w:r>
              <w:rPr>
                <w:rFonts w:hint="eastAsia" w:ascii="宋体" w:hAnsi="宋体" w:cs="仿宋_GB2312"/>
                <w:szCs w:val="21"/>
              </w:rPr>
              <w:t>各项存贷余额</w:t>
            </w:r>
          </w:p>
          <w:p w14:paraId="07BA1135">
            <w:pPr>
              <w:spacing w:line="300" w:lineRule="exact"/>
              <w:jc w:val="center"/>
              <w:rPr>
                <w:rFonts w:ascii="宋体" w:hAnsi="宋体"/>
                <w:szCs w:val="21"/>
              </w:rPr>
            </w:pPr>
            <w:r>
              <w:rPr>
                <w:rFonts w:hint="eastAsia" w:ascii="宋体" w:hAnsi="宋体"/>
                <w:szCs w:val="21"/>
              </w:rPr>
              <w:t>（5分）</w:t>
            </w:r>
          </w:p>
        </w:tc>
        <w:tc>
          <w:tcPr>
            <w:tcW w:w="4176" w:type="dxa"/>
            <w:vAlign w:val="center"/>
          </w:tcPr>
          <w:p w14:paraId="7F9B2E3C">
            <w:pPr>
              <w:spacing w:line="300" w:lineRule="exact"/>
              <w:rPr>
                <w:rFonts w:ascii="宋体" w:hAnsi="宋体"/>
                <w:kern w:val="0"/>
                <w:szCs w:val="21"/>
                <w:shd w:val="clear" w:color="auto" w:fill="FFFFFF"/>
              </w:rPr>
            </w:pPr>
            <w:r>
              <w:rPr>
                <w:rFonts w:hint="eastAsia" w:ascii="宋体" w:hAnsi="宋体"/>
                <w:kern w:val="0"/>
                <w:szCs w:val="21"/>
                <w:shd w:val="clear" w:color="auto" w:fill="FFFFFF"/>
              </w:rPr>
              <w:t>根据投标人2024年12月末各项存款余额与各项贷款余额总额进行排序，其中数据最高者得5分，其余按竞标银行排名先后依次递减1分，最低0分。</w:t>
            </w:r>
          </w:p>
          <w:p w14:paraId="2EC74EED">
            <w:pPr>
              <w:spacing w:line="300" w:lineRule="exact"/>
              <w:rPr>
                <w:rFonts w:ascii="宋体" w:hAnsi="宋体"/>
                <w:kern w:val="0"/>
                <w:szCs w:val="21"/>
                <w:shd w:val="clear" w:color="auto" w:fill="FFFFFF"/>
              </w:rPr>
            </w:pPr>
            <w:r>
              <w:rPr>
                <w:rFonts w:hint="eastAsia" w:ascii="宋体" w:hAnsi="宋体"/>
                <w:kern w:val="0"/>
                <w:szCs w:val="21"/>
                <w:shd w:val="clear" w:color="auto" w:fill="FFFFFF"/>
              </w:rPr>
              <w:t>注：提供温州市银行监管部门出具相关证明材料，未提供证明不得分。</w:t>
            </w:r>
          </w:p>
        </w:tc>
      </w:tr>
      <w:tr w14:paraId="47BA4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2E54D1E0">
            <w:pPr>
              <w:spacing w:line="3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2</w:t>
            </w:r>
          </w:p>
        </w:tc>
        <w:tc>
          <w:tcPr>
            <w:tcW w:w="0" w:type="auto"/>
            <w:vAlign w:val="center"/>
          </w:tcPr>
          <w:p w14:paraId="0A963D39">
            <w:pPr>
              <w:spacing w:line="300" w:lineRule="exact"/>
              <w:jc w:val="center"/>
              <w:rPr>
                <w:rFonts w:ascii="宋体" w:hAnsi="宋体" w:cs="仿宋_GB2312"/>
                <w:szCs w:val="21"/>
              </w:rPr>
            </w:pPr>
            <w:r>
              <w:rPr>
                <w:rFonts w:hint="eastAsia" w:ascii="宋体" w:hAnsi="宋体" w:cs="仿宋_GB2312"/>
                <w:szCs w:val="21"/>
              </w:rPr>
              <w:t>贷款增量</w:t>
            </w:r>
          </w:p>
          <w:p w14:paraId="33FB3EDE">
            <w:pPr>
              <w:spacing w:line="300" w:lineRule="exact"/>
              <w:jc w:val="center"/>
              <w:rPr>
                <w:rFonts w:ascii="宋体" w:hAnsi="宋体" w:cs="仿宋_GB2312"/>
                <w:szCs w:val="21"/>
              </w:rPr>
            </w:pPr>
            <w:r>
              <w:rPr>
                <w:rFonts w:hint="eastAsia" w:ascii="宋体" w:hAnsi="宋体"/>
                <w:szCs w:val="21"/>
              </w:rPr>
              <w:t>（5分）</w:t>
            </w:r>
          </w:p>
        </w:tc>
        <w:tc>
          <w:tcPr>
            <w:tcW w:w="4176" w:type="dxa"/>
          </w:tcPr>
          <w:p w14:paraId="363E00B3">
            <w:pPr>
              <w:spacing w:line="300" w:lineRule="exact"/>
              <w:rPr>
                <w:rFonts w:ascii="宋体" w:hAnsi="宋体" w:cs="仿宋_GB2312"/>
                <w:szCs w:val="21"/>
              </w:rPr>
            </w:pPr>
            <w:r>
              <w:rPr>
                <w:rFonts w:hint="eastAsia" w:ascii="宋体" w:hAnsi="宋体" w:cs="仿宋_GB2312"/>
                <w:szCs w:val="21"/>
              </w:rPr>
              <w:t>根据投标人2024年末贷款增量进行排序，分档计分，</w:t>
            </w:r>
            <w:r>
              <w:rPr>
                <w:rFonts w:hint="eastAsia" w:ascii="宋体" w:hAnsi="宋体"/>
                <w:kern w:val="0"/>
                <w:szCs w:val="21"/>
                <w:shd w:val="clear" w:color="auto" w:fill="FFFFFF"/>
              </w:rPr>
              <w:t>其中数据最高者得5分，其余按竞标银行排名先后依次递减1分，最低0分。</w:t>
            </w:r>
          </w:p>
          <w:p w14:paraId="66C280FB">
            <w:pPr>
              <w:spacing w:line="300" w:lineRule="exact"/>
              <w:rPr>
                <w:rFonts w:ascii="宋体" w:hAnsi="宋体"/>
                <w:kern w:val="0"/>
                <w:szCs w:val="21"/>
                <w:shd w:val="clear" w:color="auto" w:fill="FFFFFF"/>
              </w:rPr>
            </w:pPr>
            <w:r>
              <w:rPr>
                <w:rFonts w:hint="eastAsia" w:ascii="宋体" w:hAnsi="宋体" w:cs="仿宋_GB2312"/>
                <w:szCs w:val="21"/>
              </w:rPr>
              <w:t>注：提供</w:t>
            </w:r>
            <w:r>
              <w:rPr>
                <w:rFonts w:hint="eastAsia" w:ascii="宋体" w:hAnsi="宋体"/>
                <w:kern w:val="0"/>
                <w:szCs w:val="21"/>
                <w:shd w:val="clear" w:color="auto" w:fill="FFFFFF"/>
              </w:rPr>
              <w:t>温州市银行监管部门</w:t>
            </w:r>
            <w:r>
              <w:rPr>
                <w:rFonts w:hint="eastAsia" w:ascii="宋体" w:hAnsi="宋体" w:cs="仿宋_GB2312"/>
                <w:szCs w:val="21"/>
              </w:rPr>
              <w:t>出具相关证明材料</w:t>
            </w:r>
            <w:r>
              <w:rPr>
                <w:rFonts w:hint="eastAsia" w:ascii="宋体" w:hAnsi="宋体"/>
                <w:kern w:val="0"/>
                <w:szCs w:val="21"/>
                <w:shd w:val="clear" w:color="auto" w:fill="FFFFFF"/>
              </w:rPr>
              <w:t>，未提供证明不得分。</w:t>
            </w:r>
          </w:p>
        </w:tc>
      </w:tr>
      <w:tr w14:paraId="58D62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41D65424">
            <w:pPr>
              <w:spacing w:line="300" w:lineRule="exact"/>
              <w:jc w:val="center"/>
              <w:rPr>
                <w:rFonts w:ascii="宋体" w:hAnsi="宋体"/>
                <w:szCs w:val="21"/>
              </w:rPr>
            </w:pPr>
            <w:r>
              <w:rPr>
                <w:rFonts w:hint="eastAsia" w:ascii="宋体" w:hAnsi="宋体"/>
                <w:szCs w:val="21"/>
              </w:rPr>
              <w:t>3.3</w:t>
            </w:r>
          </w:p>
        </w:tc>
        <w:tc>
          <w:tcPr>
            <w:tcW w:w="0" w:type="auto"/>
            <w:vAlign w:val="center"/>
          </w:tcPr>
          <w:p w14:paraId="4C5E72D8">
            <w:pPr>
              <w:spacing w:line="300" w:lineRule="exact"/>
              <w:jc w:val="center"/>
              <w:rPr>
                <w:rFonts w:ascii="宋体" w:hAnsi="宋体"/>
                <w:szCs w:val="21"/>
              </w:rPr>
            </w:pPr>
            <w:r>
              <w:rPr>
                <w:rFonts w:hint="eastAsia" w:ascii="宋体" w:hAnsi="宋体"/>
                <w:szCs w:val="21"/>
              </w:rPr>
              <w:t>存款增量（5分）</w:t>
            </w:r>
          </w:p>
        </w:tc>
        <w:tc>
          <w:tcPr>
            <w:tcW w:w="4176" w:type="dxa"/>
          </w:tcPr>
          <w:p w14:paraId="01BF301F">
            <w:pPr>
              <w:spacing w:line="300" w:lineRule="exact"/>
              <w:rPr>
                <w:rFonts w:ascii="宋体" w:hAnsi="宋体" w:cs="仿宋_GB2312"/>
                <w:szCs w:val="21"/>
              </w:rPr>
            </w:pPr>
            <w:r>
              <w:rPr>
                <w:rFonts w:hint="eastAsia" w:ascii="宋体" w:hAnsi="宋体" w:cs="仿宋_GB2312"/>
                <w:szCs w:val="21"/>
              </w:rPr>
              <w:t>根据投标人2024年末存款增量进行排序，分档计分，</w:t>
            </w:r>
            <w:r>
              <w:rPr>
                <w:rFonts w:hint="eastAsia" w:ascii="宋体" w:hAnsi="宋体"/>
                <w:kern w:val="0"/>
                <w:szCs w:val="21"/>
                <w:shd w:val="clear" w:color="auto" w:fill="FFFFFF"/>
              </w:rPr>
              <w:t>其中数据最高者得5分，其余按竞标银行排名先后依次递减1分，最低0分。</w:t>
            </w:r>
          </w:p>
          <w:p w14:paraId="10C64FFD">
            <w:pPr>
              <w:spacing w:line="300" w:lineRule="exact"/>
              <w:rPr>
                <w:rFonts w:ascii="宋体" w:hAnsi="宋体" w:cs="仿宋_GB2312"/>
                <w:szCs w:val="21"/>
              </w:rPr>
            </w:pPr>
            <w:r>
              <w:rPr>
                <w:rFonts w:hint="eastAsia" w:ascii="宋体" w:hAnsi="宋体" w:cs="仿宋_GB2312"/>
                <w:szCs w:val="21"/>
              </w:rPr>
              <w:t>注：提供</w:t>
            </w:r>
            <w:r>
              <w:rPr>
                <w:rFonts w:hint="eastAsia" w:ascii="宋体" w:hAnsi="宋体"/>
                <w:kern w:val="0"/>
                <w:szCs w:val="21"/>
                <w:shd w:val="clear" w:color="auto" w:fill="FFFFFF"/>
              </w:rPr>
              <w:t>温州市银行监管部门</w:t>
            </w:r>
            <w:r>
              <w:rPr>
                <w:rFonts w:hint="eastAsia" w:ascii="宋体" w:hAnsi="宋体" w:cs="仿宋_GB2312"/>
                <w:szCs w:val="21"/>
              </w:rPr>
              <w:t>出具相关证明材料</w:t>
            </w:r>
            <w:r>
              <w:rPr>
                <w:rFonts w:hint="eastAsia" w:ascii="宋体" w:hAnsi="宋体"/>
                <w:kern w:val="0"/>
                <w:szCs w:val="21"/>
                <w:shd w:val="clear" w:color="auto" w:fill="FFFFFF"/>
              </w:rPr>
              <w:t>，未提供证明不得分。</w:t>
            </w:r>
          </w:p>
        </w:tc>
      </w:tr>
      <w:tr w14:paraId="0F8DD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1C21B40A">
            <w:pPr>
              <w:spacing w:line="300" w:lineRule="exact"/>
              <w:jc w:val="cente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4</w:t>
            </w:r>
          </w:p>
        </w:tc>
        <w:tc>
          <w:tcPr>
            <w:tcW w:w="0" w:type="auto"/>
            <w:vAlign w:val="center"/>
          </w:tcPr>
          <w:p w14:paraId="4D19EF28">
            <w:pPr>
              <w:spacing w:line="300" w:lineRule="exact"/>
              <w:jc w:val="center"/>
              <w:rPr>
                <w:rFonts w:ascii="宋体" w:hAnsi="宋体"/>
                <w:szCs w:val="21"/>
              </w:rPr>
            </w:pPr>
            <w:r>
              <w:rPr>
                <w:rFonts w:hint="eastAsia" w:ascii="宋体" w:hAnsi="宋体"/>
                <w:kern w:val="0"/>
                <w:szCs w:val="21"/>
                <w:shd w:val="clear" w:color="auto" w:fill="FFFFFF"/>
              </w:rPr>
              <w:t>支持小微企业力度</w:t>
            </w:r>
            <w:r>
              <w:rPr>
                <w:rFonts w:hint="eastAsia" w:ascii="宋体" w:hAnsi="宋体"/>
                <w:szCs w:val="21"/>
              </w:rPr>
              <w:t>（5分）</w:t>
            </w:r>
          </w:p>
        </w:tc>
        <w:tc>
          <w:tcPr>
            <w:tcW w:w="4176" w:type="dxa"/>
          </w:tcPr>
          <w:p w14:paraId="65269969">
            <w:pPr>
              <w:spacing w:line="300" w:lineRule="exact"/>
              <w:rPr>
                <w:rFonts w:ascii="宋体" w:hAnsi="宋体"/>
                <w:kern w:val="0"/>
                <w:szCs w:val="21"/>
                <w:shd w:val="clear" w:color="auto" w:fill="FFFFFF"/>
              </w:rPr>
            </w:pPr>
            <w:r>
              <w:rPr>
                <w:rFonts w:hint="eastAsia" w:ascii="宋体" w:hAnsi="宋体"/>
                <w:kern w:val="0"/>
                <w:szCs w:val="21"/>
                <w:shd w:val="clear" w:color="auto" w:fill="FFFFFF"/>
              </w:rPr>
              <w:t>根据投标人银行2024年12月小微企业贷款余额进行排序，其中数据最高者得5分，其余按竞标银行排名先后依次递减1分，最低0分。</w:t>
            </w:r>
          </w:p>
          <w:p w14:paraId="00D27173">
            <w:pPr>
              <w:spacing w:line="300" w:lineRule="exact"/>
              <w:rPr>
                <w:rFonts w:ascii="宋体" w:hAnsi="宋体"/>
                <w:kern w:val="0"/>
                <w:szCs w:val="21"/>
                <w:shd w:val="clear" w:color="auto" w:fill="FFFFFF"/>
              </w:rPr>
            </w:pPr>
            <w:r>
              <w:rPr>
                <w:rFonts w:hint="eastAsia" w:ascii="宋体" w:hAnsi="宋体"/>
                <w:kern w:val="0"/>
                <w:szCs w:val="21"/>
                <w:shd w:val="clear" w:color="auto" w:fill="FFFFFF"/>
              </w:rPr>
              <w:t>注：提供温州市银行监管部门出具相关证明材料，未提供证明不得分。</w:t>
            </w:r>
          </w:p>
        </w:tc>
      </w:tr>
      <w:tr w14:paraId="392F7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7057A812">
            <w:pPr>
              <w:spacing w:line="300" w:lineRule="exact"/>
              <w:rPr>
                <w:rFonts w:ascii="宋体" w:hAnsi="宋体" w:cs="Arial"/>
                <w:kern w:val="0"/>
                <w:szCs w:val="21"/>
                <w:shd w:val="clear" w:color="auto" w:fill="FFFFFF"/>
              </w:rPr>
            </w:pPr>
            <w:r>
              <w:rPr>
                <w:rFonts w:hint="eastAsia" w:ascii="宋体" w:hAnsi="宋体" w:cs="Arial"/>
                <w:kern w:val="0"/>
                <w:szCs w:val="21"/>
                <w:shd w:val="clear" w:color="auto" w:fill="FFFFFF"/>
              </w:rPr>
              <w:t>3.5</w:t>
            </w:r>
          </w:p>
        </w:tc>
        <w:tc>
          <w:tcPr>
            <w:tcW w:w="0" w:type="auto"/>
            <w:vAlign w:val="center"/>
          </w:tcPr>
          <w:p w14:paraId="0547B157">
            <w:pPr>
              <w:spacing w:line="300" w:lineRule="exact"/>
              <w:jc w:val="center"/>
              <w:rPr>
                <w:rFonts w:ascii="宋体" w:hAnsi="宋体" w:cs="Arial"/>
                <w:kern w:val="0"/>
                <w:szCs w:val="21"/>
                <w:shd w:val="clear" w:color="auto" w:fill="FFFFFF"/>
              </w:rPr>
            </w:pPr>
            <w:r>
              <w:rPr>
                <w:rFonts w:hint="eastAsia" w:ascii="宋体" w:hAnsi="宋体" w:cs="Arial"/>
                <w:kern w:val="0"/>
                <w:szCs w:val="21"/>
                <w:shd w:val="clear" w:color="auto" w:fill="FFFFFF"/>
              </w:rPr>
              <w:t>金融业绩考核指标</w:t>
            </w:r>
            <w:r>
              <w:rPr>
                <w:rFonts w:hint="eastAsia" w:ascii="宋体" w:hAnsi="宋体"/>
                <w:szCs w:val="21"/>
              </w:rPr>
              <w:t>（5分）</w:t>
            </w:r>
          </w:p>
        </w:tc>
        <w:tc>
          <w:tcPr>
            <w:tcW w:w="4176" w:type="dxa"/>
          </w:tcPr>
          <w:p w14:paraId="35204B91">
            <w:pPr>
              <w:spacing w:line="300" w:lineRule="exact"/>
              <w:rPr>
                <w:rFonts w:ascii="宋体" w:hAnsi="宋体" w:cs="Arial"/>
                <w:kern w:val="0"/>
                <w:szCs w:val="21"/>
                <w:shd w:val="clear" w:color="auto" w:fill="FFFFFF"/>
              </w:rPr>
            </w:pPr>
            <w:r>
              <w:rPr>
                <w:rFonts w:hint="eastAsia" w:ascii="宋体" w:hAnsi="宋体" w:cs="Arial"/>
                <w:kern w:val="0"/>
                <w:szCs w:val="21"/>
                <w:shd w:val="clear" w:color="auto" w:fill="FFFFFF"/>
              </w:rPr>
              <w:t>根据温州市金融办最近考评期对</w:t>
            </w:r>
            <w:r>
              <w:rPr>
                <w:rFonts w:hint="eastAsia" w:ascii="宋体" w:hAnsi="宋体" w:cs="Arial"/>
                <w:kern w:val="0"/>
                <w:szCs w:val="21"/>
                <w:shd w:val="clear" w:color="auto" w:fill="FFFFFF"/>
                <w:lang w:val="en-US" w:eastAsia="zh-CN"/>
              </w:rPr>
              <w:t>温州市级</w:t>
            </w:r>
            <w:r>
              <w:rPr>
                <w:rFonts w:hint="eastAsia" w:ascii="宋体" w:hAnsi="宋体" w:cs="Arial"/>
                <w:kern w:val="0"/>
                <w:szCs w:val="21"/>
                <w:shd w:val="clear" w:color="auto" w:fill="FFFFFF"/>
              </w:rPr>
              <w:t>银行业业绩考核结果中竞标银行的考核结果作为计分依据，满分5分。其中考核结果数据最高者得5分，其余按竞标银行排名先后依次递减0.5分，最低0分。</w:t>
            </w:r>
          </w:p>
        </w:tc>
      </w:tr>
      <w:tr w14:paraId="34D6B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187C72E5">
            <w:pPr>
              <w:spacing w:line="300" w:lineRule="exact"/>
              <w:rPr>
                <w:rFonts w:ascii="宋体" w:hAnsi="宋体" w:cs="Arial"/>
                <w:kern w:val="0"/>
                <w:szCs w:val="21"/>
                <w:shd w:val="clear" w:color="auto" w:fill="FFFFFF"/>
              </w:rPr>
            </w:pPr>
            <w:r>
              <w:rPr>
                <w:rFonts w:hint="eastAsia" w:ascii="宋体" w:hAnsi="宋体" w:cs="Arial"/>
                <w:kern w:val="0"/>
                <w:szCs w:val="21"/>
                <w:shd w:val="clear" w:color="auto" w:fill="FFFFFF"/>
              </w:rPr>
              <w:t>3.6</w:t>
            </w:r>
          </w:p>
        </w:tc>
        <w:tc>
          <w:tcPr>
            <w:tcW w:w="0" w:type="auto"/>
            <w:vAlign w:val="center"/>
          </w:tcPr>
          <w:p w14:paraId="45CA69D4">
            <w:pPr>
              <w:spacing w:line="300" w:lineRule="exact"/>
              <w:jc w:val="center"/>
              <w:rPr>
                <w:rFonts w:ascii="宋体" w:hAnsi="宋体" w:cs="Arial"/>
                <w:kern w:val="0"/>
                <w:szCs w:val="21"/>
                <w:shd w:val="clear" w:color="auto" w:fill="FFFFFF"/>
              </w:rPr>
            </w:pPr>
            <w:r>
              <w:rPr>
                <w:rFonts w:hint="eastAsia" w:ascii="宋体" w:hAnsi="宋体" w:cs="Arial"/>
                <w:kern w:val="0"/>
                <w:szCs w:val="21"/>
                <w:shd w:val="clear" w:color="auto" w:fill="FFFFFF"/>
              </w:rPr>
              <w:t>税收贡献指标</w:t>
            </w:r>
            <w:r>
              <w:rPr>
                <w:rFonts w:hint="eastAsia" w:ascii="宋体" w:hAnsi="宋体"/>
                <w:szCs w:val="21"/>
              </w:rPr>
              <w:t>（5分）</w:t>
            </w:r>
          </w:p>
        </w:tc>
        <w:tc>
          <w:tcPr>
            <w:tcW w:w="4176" w:type="dxa"/>
          </w:tcPr>
          <w:p w14:paraId="5F5A7ED7">
            <w:pPr>
              <w:spacing w:line="300" w:lineRule="exact"/>
              <w:rPr>
                <w:rFonts w:ascii="宋体" w:hAnsi="宋体" w:cs="Arial"/>
                <w:kern w:val="0"/>
                <w:szCs w:val="21"/>
                <w:shd w:val="clear" w:color="auto" w:fill="FFFFFF"/>
              </w:rPr>
            </w:pPr>
            <w:r>
              <w:rPr>
                <w:rFonts w:hint="eastAsia" w:ascii="宋体" w:hAnsi="宋体" w:cs="Arial"/>
                <w:kern w:val="0"/>
                <w:szCs w:val="21"/>
                <w:shd w:val="clear" w:color="auto" w:fill="FFFFFF"/>
              </w:rPr>
              <w:t>根据竞标银行最近考评期在温州市级的纳税总额作为计分依据，满分5分，其中纳税总额最高的得5分，其余按竞标银行排名先后依次递减0.5分，最低0分。</w:t>
            </w:r>
          </w:p>
        </w:tc>
      </w:tr>
      <w:tr w14:paraId="54249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3BDD82BB">
            <w:pPr>
              <w:spacing w:line="300" w:lineRule="exact"/>
              <w:jc w:val="center"/>
              <w:rPr>
                <w:rFonts w:ascii="宋体" w:hAnsi="宋体"/>
                <w:szCs w:val="21"/>
              </w:rPr>
            </w:pPr>
            <w:r>
              <w:rPr>
                <w:rFonts w:hint="eastAsia" w:ascii="宋体" w:hAnsi="宋体"/>
                <w:szCs w:val="21"/>
              </w:rPr>
              <w:t>4</w:t>
            </w:r>
          </w:p>
        </w:tc>
        <w:tc>
          <w:tcPr>
            <w:tcW w:w="8890" w:type="dxa"/>
            <w:gridSpan w:val="2"/>
            <w:vAlign w:val="center"/>
          </w:tcPr>
          <w:p w14:paraId="040FF248">
            <w:pPr>
              <w:spacing w:line="300" w:lineRule="exact"/>
              <w:rPr>
                <w:rFonts w:ascii="宋体" w:hAnsi="宋体"/>
                <w:b/>
                <w:bCs/>
                <w:szCs w:val="21"/>
              </w:rPr>
            </w:pPr>
            <w:r>
              <w:rPr>
                <w:rFonts w:hint="eastAsia" w:ascii="宋体" w:hAnsi="宋体"/>
                <w:b/>
                <w:bCs/>
                <w:szCs w:val="21"/>
              </w:rPr>
              <w:t>服务水平指标（10分）</w:t>
            </w:r>
          </w:p>
        </w:tc>
      </w:tr>
      <w:tr w14:paraId="20D2D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0012F1D4">
            <w:pPr>
              <w:spacing w:line="300" w:lineRule="exact"/>
              <w:jc w:val="center"/>
              <w:rPr>
                <w:rFonts w:ascii="宋体" w:hAnsi="宋体"/>
                <w:szCs w:val="21"/>
              </w:rPr>
            </w:pPr>
            <w:r>
              <w:rPr>
                <w:rFonts w:hint="eastAsia" w:ascii="宋体" w:hAnsi="宋体"/>
                <w:szCs w:val="21"/>
              </w:rPr>
              <w:t>4</w:t>
            </w:r>
            <w:r>
              <w:rPr>
                <w:rFonts w:ascii="宋体" w:hAnsi="宋体"/>
                <w:szCs w:val="21"/>
              </w:rPr>
              <w:t>.1</w:t>
            </w:r>
          </w:p>
        </w:tc>
        <w:tc>
          <w:tcPr>
            <w:tcW w:w="0" w:type="auto"/>
            <w:vAlign w:val="center"/>
          </w:tcPr>
          <w:p w14:paraId="69844D9F">
            <w:pPr>
              <w:spacing w:line="300" w:lineRule="exact"/>
              <w:jc w:val="center"/>
              <w:rPr>
                <w:rFonts w:ascii="宋体" w:hAnsi="宋体" w:cs="仿宋_GB2312"/>
                <w:szCs w:val="21"/>
              </w:rPr>
            </w:pPr>
            <w:r>
              <w:rPr>
                <w:rFonts w:hint="eastAsia" w:ascii="宋体" w:hAnsi="宋体" w:cs="仿宋_GB2312"/>
                <w:szCs w:val="21"/>
              </w:rPr>
              <w:t>服务承诺</w:t>
            </w:r>
          </w:p>
          <w:p w14:paraId="68F933A8">
            <w:pPr>
              <w:spacing w:line="300" w:lineRule="exact"/>
              <w:jc w:val="center"/>
              <w:rPr>
                <w:rFonts w:ascii="宋体" w:hAnsi="宋体" w:cs="仿宋_GB2312"/>
                <w:szCs w:val="21"/>
              </w:rPr>
            </w:pPr>
            <w:r>
              <w:rPr>
                <w:rFonts w:hint="eastAsia" w:ascii="宋体" w:hAnsi="宋体" w:cs="仿宋_GB2312"/>
                <w:szCs w:val="21"/>
              </w:rPr>
              <w:t>（5分）</w:t>
            </w:r>
          </w:p>
        </w:tc>
        <w:tc>
          <w:tcPr>
            <w:tcW w:w="4176" w:type="dxa"/>
            <w:vAlign w:val="center"/>
          </w:tcPr>
          <w:p w14:paraId="556169B5">
            <w:pPr>
              <w:spacing w:line="300" w:lineRule="exact"/>
              <w:rPr>
                <w:rFonts w:ascii="宋体" w:hAnsi="宋体"/>
                <w:kern w:val="0"/>
                <w:szCs w:val="21"/>
                <w:shd w:val="clear" w:color="auto" w:fill="FFFFFF"/>
              </w:rPr>
            </w:pPr>
            <w:r>
              <w:rPr>
                <w:rFonts w:hint="eastAsia" w:ascii="宋体" w:hAnsi="宋体"/>
                <w:kern w:val="0"/>
                <w:szCs w:val="21"/>
                <w:shd w:val="clear" w:color="auto" w:fill="FFFFFF"/>
              </w:rPr>
              <w:t>1.承诺每月5日前及时送达对账单、银行业务交易回单的得1分；不承诺不得分；</w:t>
            </w:r>
          </w:p>
          <w:p w14:paraId="2A4428DC">
            <w:pPr>
              <w:spacing w:line="300" w:lineRule="exact"/>
              <w:rPr>
                <w:rFonts w:ascii="宋体" w:hAnsi="宋体"/>
                <w:kern w:val="0"/>
                <w:szCs w:val="21"/>
                <w:shd w:val="clear" w:color="auto" w:fill="FFFFFF"/>
              </w:rPr>
            </w:pPr>
            <w:r>
              <w:rPr>
                <w:rFonts w:hint="eastAsia" w:ascii="宋体" w:hAnsi="宋体"/>
                <w:kern w:val="0"/>
                <w:szCs w:val="21"/>
                <w:shd w:val="clear" w:color="auto" w:fill="FFFFFF"/>
              </w:rPr>
              <w:t>2.承诺提供网上对账的得1分，不承诺不得分；</w:t>
            </w:r>
          </w:p>
          <w:p w14:paraId="6727EB53">
            <w:pPr>
              <w:spacing w:line="300" w:lineRule="exact"/>
              <w:rPr>
                <w:rFonts w:ascii="宋体" w:hAnsi="宋体"/>
                <w:kern w:val="0"/>
                <w:szCs w:val="21"/>
                <w:shd w:val="clear" w:color="auto" w:fill="FFFFFF"/>
              </w:rPr>
            </w:pPr>
            <w:r>
              <w:rPr>
                <w:rFonts w:hint="eastAsia" w:ascii="宋体" w:hAnsi="宋体"/>
                <w:kern w:val="0"/>
                <w:szCs w:val="21"/>
                <w:shd w:val="clear" w:color="auto" w:fill="FFFFFF"/>
              </w:rPr>
              <w:t>3.承诺免除柜台电汇、跨行转账等手续费及网银年费、购买票据工本费等费用得1分，不承诺不得分。</w:t>
            </w:r>
          </w:p>
          <w:p w14:paraId="25454A1D">
            <w:pPr>
              <w:spacing w:line="300" w:lineRule="exact"/>
              <w:rPr>
                <w:rFonts w:ascii="宋体" w:hAnsi="宋体"/>
                <w:kern w:val="0"/>
                <w:szCs w:val="21"/>
                <w:shd w:val="clear" w:color="auto" w:fill="FFFFFF"/>
              </w:rPr>
            </w:pPr>
            <w:r>
              <w:rPr>
                <w:rFonts w:hint="eastAsia" w:ascii="宋体" w:hAnsi="宋体"/>
                <w:kern w:val="0"/>
                <w:szCs w:val="21"/>
                <w:shd w:val="clear" w:color="auto" w:fill="FFFFFF"/>
              </w:rPr>
              <w:t>4承诺提供贵宾室服务、免费泊车、专用窗口的得1分，不承诺不得分；</w:t>
            </w:r>
          </w:p>
          <w:p w14:paraId="6275E189">
            <w:pPr>
              <w:spacing w:line="300" w:lineRule="exact"/>
              <w:rPr>
                <w:rFonts w:ascii="宋体" w:hAnsi="宋体"/>
                <w:kern w:val="0"/>
                <w:szCs w:val="21"/>
                <w:shd w:val="clear" w:color="auto" w:fill="FFFFFF"/>
              </w:rPr>
            </w:pPr>
            <w:r>
              <w:rPr>
                <w:rFonts w:hint="eastAsia" w:ascii="宋体" w:hAnsi="宋体"/>
                <w:kern w:val="0"/>
                <w:szCs w:val="21"/>
                <w:shd w:val="clear" w:color="auto" w:fill="FFFFFF"/>
              </w:rPr>
              <w:t>5.承诺提供上门办理本项目开户、存取款、转账业务等业务不收费的得0.5分，不承诺不得分；</w:t>
            </w:r>
          </w:p>
          <w:p w14:paraId="07F0898D">
            <w:pPr>
              <w:spacing w:line="300" w:lineRule="exact"/>
              <w:rPr>
                <w:rFonts w:ascii="宋体" w:hAnsi="宋体"/>
                <w:kern w:val="0"/>
                <w:szCs w:val="21"/>
                <w:shd w:val="clear" w:color="auto" w:fill="FFFFFF"/>
              </w:rPr>
            </w:pPr>
            <w:r>
              <w:rPr>
                <w:rFonts w:hint="eastAsia" w:ascii="宋体" w:hAnsi="宋体"/>
                <w:kern w:val="0"/>
                <w:szCs w:val="21"/>
                <w:shd w:val="clear" w:color="auto" w:fill="FFFFFF"/>
              </w:rPr>
              <w:t>6.承诺设专职客户经理（有三年及以上机关或事业单位的服务经验）得0.5分，不承诺不得分。</w:t>
            </w:r>
          </w:p>
        </w:tc>
      </w:tr>
      <w:tr w14:paraId="5DC26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3E1F8E5E">
            <w:pPr>
              <w:spacing w:line="300" w:lineRule="exact"/>
              <w:jc w:val="center"/>
              <w:rPr>
                <w:rFonts w:ascii="宋体" w:hAnsi="宋体"/>
                <w:szCs w:val="21"/>
              </w:rPr>
            </w:pPr>
            <w:r>
              <w:rPr>
                <w:rFonts w:hint="eastAsia" w:ascii="宋体" w:hAnsi="宋体"/>
                <w:szCs w:val="21"/>
              </w:rPr>
              <w:t>4</w:t>
            </w:r>
            <w:r>
              <w:rPr>
                <w:rFonts w:ascii="宋体" w:hAnsi="宋体"/>
                <w:szCs w:val="21"/>
              </w:rPr>
              <w:t>.2</w:t>
            </w:r>
          </w:p>
        </w:tc>
        <w:tc>
          <w:tcPr>
            <w:tcW w:w="0" w:type="auto"/>
            <w:vAlign w:val="center"/>
          </w:tcPr>
          <w:p w14:paraId="5F90907A">
            <w:pPr>
              <w:spacing w:line="300" w:lineRule="exact"/>
              <w:jc w:val="center"/>
              <w:rPr>
                <w:rFonts w:ascii="宋体" w:hAnsi="宋体" w:cs="仿宋_GB2312"/>
                <w:szCs w:val="21"/>
              </w:rPr>
            </w:pPr>
            <w:r>
              <w:rPr>
                <w:rFonts w:ascii="宋体" w:hAnsi="宋体" w:cs="仿宋_GB2312"/>
                <w:szCs w:val="21"/>
              </w:rPr>
              <w:t>服务费用减免情况</w:t>
            </w:r>
            <w:r>
              <w:rPr>
                <w:rFonts w:hint="eastAsia" w:ascii="宋体" w:hAnsi="宋体" w:cs="仿宋_GB2312"/>
                <w:szCs w:val="21"/>
              </w:rPr>
              <w:t>（2分）</w:t>
            </w:r>
          </w:p>
        </w:tc>
        <w:tc>
          <w:tcPr>
            <w:tcW w:w="4176" w:type="dxa"/>
            <w:vAlign w:val="center"/>
          </w:tcPr>
          <w:p w14:paraId="66803094">
            <w:pPr>
              <w:spacing w:line="300" w:lineRule="exact"/>
              <w:rPr>
                <w:rFonts w:ascii="宋体" w:hAnsi="宋体"/>
                <w:kern w:val="0"/>
                <w:szCs w:val="21"/>
                <w:shd w:val="clear" w:color="auto" w:fill="FFFFFF"/>
              </w:rPr>
            </w:pPr>
            <w:r>
              <w:rPr>
                <w:rStyle w:val="78"/>
                <w:rFonts w:ascii="宋体" w:hAnsi="宋体"/>
                <w:kern w:val="0"/>
                <w:szCs w:val="21"/>
              </w:rPr>
              <w:t>投标人承诺招标账户银行自收的各项服务费用全免的得</w:t>
            </w:r>
            <w:r>
              <w:rPr>
                <w:rStyle w:val="78"/>
                <w:rFonts w:hint="eastAsia" w:ascii="宋体" w:hAnsi="宋体"/>
                <w:kern w:val="0"/>
                <w:szCs w:val="21"/>
              </w:rPr>
              <w:t>2</w:t>
            </w:r>
            <w:r>
              <w:rPr>
                <w:rStyle w:val="78"/>
                <w:rFonts w:ascii="宋体" w:hAnsi="宋体"/>
                <w:kern w:val="0"/>
                <w:szCs w:val="21"/>
              </w:rPr>
              <w:t>分，每增加一项收费扣0.5分，扣完为止。</w:t>
            </w:r>
          </w:p>
        </w:tc>
      </w:tr>
      <w:tr w14:paraId="79D00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8" w:type="dxa"/>
            <w:vAlign w:val="center"/>
          </w:tcPr>
          <w:p w14:paraId="4E58FA0F">
            <w:pPr>
              <w:spacing w:line="300" w:lineRule="exact"/>
              <w:jc w:val="center"/>
              <w:rPr>
                <w:rFonts w:ascii="宋体" w:hAnsi="宋体"/>
                <w:szCs w:val="21"/>
              </w:rPr>
            </w:pPr>
            <w:r>
              <w:rPr>
                <w:rFonts w:hint="eastAsia" w:ascii="宋体" w:hAnsi="宋体"/>
                <w:szCs w:val="21"/>
              </w:rPr>
              <w:t>4</w:t>
            </w:r>
            <w:r>
              <w:rPr>
                <w:rFonts w:ascii="宋体" w:hAnsi="宋体"/>
                <w:szCs w:val="21"/>
              </w:rPr>
              <w:t>.3</w:t>
            </w:r>
          </w:p>
        </w:tc>
        <w:tc>
          <w:tcPr>
            <w:tcW w:w="0" w:type="auto"/>
            <w:vAlign w:val="center"/>
          </w:tcPr>
          <w:p w14:paraId="2A6A3E8F">
            <w:pPr>
              <w:spacing w:line="300" w:lineRule="exact"/>
              <w:jc w:val="center"/>
              <w:rPr>
                <w:rFonts w:ascii="宋体" w:hAnsi="宋体" w:cs="仿宋_GB2312"/>
                <w:szCs w:val="21"/>
              </w:rPr>
            </w:pPr>
            <w:r>
              <w:rPr>
                <w:rFonts w:hint="eastAsia" w:ascii="宋体" w:hAnsi="宋体" w:cs="仿宋_GB2312"/>
                <w:szCs w:val="21"/>
              </w:rPr>
              <w:t>服务便利性</w:t>
            </w:r>
          </w:p>
          <w:p w14:paraId="32B2C05C">
            <w:pPr>
              <w:spacing w:line="300" w:lineRule="exact"/>
              <w:jc w:val="center"/>
              <w:rPr>
                <w:rFonts w:ascii="宋体" w:hAnsi="宋体" w:cs="仿宋_GB2312"/>
                <w:szCs w:val="21"/>
              </w:rPr>
            </w:pPr>
            <w:r>
              <w:rPr>
                <w:rFonts w:hint="eastAsia" w:ascii="宋体" w:hAnsi="宋体" w:cs="仿宋_GB2312"/>
                <w:szCs w:val="21"/>
              </w:rPr>
              <w:t>（3分）</w:t>
            </w:r>
          </w:p>
        </w:tc>
        <w:tc>
          <w:tcPr>
            <w:tcW w:w="4176" w:type="dxa"/>
            <w:vAlign w:val="center"/>
          </w:tcPr>
          <w:p w14:paraId="3497984B">
            <w:pPr>
              <w:spacing w:line="300" w:lineRule="exact"/>
              <w:rPr>
                <w:rFonts w:ascii="宋体" w:hAnsi="宋体"/>
                <w:kern w:val="0"/>
                <w:szCs w:val="21"/>
                <w:shd w:val="clear" w:color="auto" w:fill="FFFFFF"/>
              </w:rPr>
            </w:pPr>
            <w:r>
              <w:rPr>
                <w:rFonts w:hint="eastAsia" w:ascii="宋体" w:hAnsi="宋体" w:cs="仿宋_GB2312"/>
                <w:szCs w:val="21"/>
              </w:rPr>
              <w:t>投标人银行为招标人办理开户的银行网点，与招标人距离的服务便利性综合比较打分：1-3分。</w:t>
            </w:r>
          </w:p>
        </w:tc>
      </w:tr>
      <w:tr w14:paraId="39CF6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98" w:type="dxa"/>
            <w:gridSpan w:val="3"/>
            <w:vAlign w:val="center"/>
          </w:tcPr>
          <w:p w14:paraId="2A0176CF">
            <w:pPr>
              <w:spacing w:line="300" w:lineRule="exact"/>
              <w:rPr>
                <w:rFonts w:ascii="宋体" w:hAnsi="宋体"/>
                <w:szCs w:val="21"/>
              </w:rPr>
            </w:pPr>
            <w:r>
              <w:rPr>
                <w:rFonts w:hint="eastAsia" w:ascii="宋体" w:hAnsi="宋体"/>
                <w:szCs w:val="21"/>
              </w:rPr>
              <w:t>备注：1、各项得分均四舍五入，保留小数点2位。</w:t>
            </w:r>
          </w:p>
          <w:p w14:paraId="23DE5EA2">
            <w:pPr>
              <w:spacing w:line="300" w:lineRule="exact"/>
              <w:ind w:firstLine="630" w:firstLineChars="300"/>
              <w:rPr>
                <w:rFonts w:ascii="宋体" w:hAnsi="宋体"/>
                <w:szCs w:val="21"/>
              </w:rPr>
            </w:pPr>
            <w:r>
              <w:rPr>
                <w:rFonts w:hint="eastAsia" w:ascii="宋体" w:hAnsi="宋体"/>
                <w:szCs w:val="21"/>
              </w:rPr>
              <w:t>2、以上投标人报表数据，若事后发现数据中有虚假或者隐瞒，取消中标资格。</w:t>
            </w:r>
          </w:p>
        </w:tc>
      </w:tr>
    </w:tbl>
    <w:p w14:paraId="349C0F8A">
      <w:pPr>
        <w:spacing w:line="460" w:lineRule="exact"/>
        <w:ind w:firstLine="440" w:firstLineChars="200"/>
        <w:rPr>
          <w:rFonts w:ascii="新宋体" w:hAnsi="新宋体" w:eastAsia="新宋体" w:cs="新宋体"/>
          <w:sz w:val="22"/>
          <w:szCs w:val="22"/>
        </w:rPr>
      </w:pPr>
    </w:p>
    <w:p w14:paraId="624DEABA">
      <w:pPr>
        <w:spacing w:line="460" w:lineRule="exact"/>
        <w:outlineLvl w:val="1"/>
        <w:rPr>
          <w:rFonts w:ascii="新宋体" w:hAnsi="新宋体" w:eastAsia="新宋体" w:cs="新宋体"/>
          <w:b/>
          <w:bCs/>
          <w:sz w:val="22"/>
          <w:szCs w:val="22"/>
        </w:rPr>
      </w:pPr>
      <w:bookmarkStart w:id="198" w:name="_Toc4906"/>
      <w:r>
        <w:rPr>
          <w:rFonts w:hint="eastAsia" w:ascii="新宋体" w:hAnsi="新宋体" w:eastAsia="新宋体" w:cs="新宋体"/>
          <w:b/>
          <w:bCs/>
          <w:sz w:val="22"/>
          <w:szCs w:val="22"/>
        </w:rPr>
        <w:t>五、定标办法</w:t>
      </w:r>
      <w:bookmarkEnd w:id="198"/>
    </w:p>
    <w:p w14:paraId="14BDE1FF">
      <w:pPr>
        <w:spacing w:line="460" w:lineRule="exact"/>
        <w:ind w:firstLine="440" w:firstLineChars="200"/>
        <w:rPr>
          <w:rFonts w:ascii="新宋体" w:hAnsi="新宋体" w:eastAsia="新宋体" w:cs="新宋体"/>
          <w:b/>
          <w:sz w:val="22"/>
          <w:szCs w:val="22"/>
        </w:rPr>
      </w:pPr>
      <w:r>
        <w:rPr>
          <w:rFonts w:hint="eastAsia" w:ascii="新宋体" w:hAnsi="新宋体" w:eastAsia="新宋体" w:cs="新宋体"/>
          <w:sz w:val="22"/>
          <w:szCs w:val="22"/>
        </w:rPr>
        <w:t>1</w:t>
      </w:r>
      <w:r>
        <w:rPr>
          <w:rFonts w:hint="eastAsia" w:ascii="新宋体" w:hAnsi="新宋体" w:eastAsia="新宋体" w:cs="新宋体"/>
          <w:kern w:val="0"/>
          <w:sz w:val="22"/>
          <w:szCs w:val="22"/>
        </w:rPr>
        <w:t>、</w:t>
      </w:r>
      <w:r>
        <w:rPr>
          <w:rFonts w:hint="eastAsia" w:ascii="新宋体" w:hAnsi="新宋体" w:eastAsia="新宋体" w:cs="新宋体"/>
          <w:sz w:val="22"/>
          <w:szCs w:val="22"/>
        </w:rPr>
        <w:t>确定中标候选人</w:t>
      </w:r>
    </w:p>
    <w:p w14:paraId="3BDF8448">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1.1由评标委员会确定中标候选人。</w:t>
      </w:r>
    </w:p>
    <w:p w14:paraId="27E9CCEF">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1.2</w:t>
      </w:r>
      <w:r>
        <w:rPr>
          <w:rFonts w:hint="eastAsia" w:ascii="新宋体" w:hAnsi="新宋体" w:eastAsia="新宋体" w:cs="新宋体"/>
          <w:kern w:val="0"/>
          <w:sz w:val="22"/>
          <w:szCs w:val="22"/>
        </w:rPr>
        <w:t>评标委员会依据法律、法规及招标文件有关规定按评审后得分由高到低顺序排序，得分第一的</w:t>
      </w:r>
      <w:r>
        <w:rPr>
          <w:rFonts w:hint="eastAsia" w:ascii="新宋体" w:hAnsi="新宋体" w:eastAsia="新宋体" w:cs="新宋体"/>
          <w:sz w:val="22"/>
          <w:szCs w:val="22"/>
        </w:rPr>
        <w:t>投标人确定为该项目的第一中标候选人，其他投标人按排名依次为第二、第三中标候选人（以此类推）向招标人推荐。</w:t>
      </w:r>
    </w:p>
    <w:p w14:paraId="7B4A144B">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2、确定中标银行</w:t>
      </w:r>
    </w:p>
    <w:p w14:paraId="41FA7F02">
      <w:pPr>
        <w:spacing w:line="46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2.1招标人按照书面评标报告中推荐的中标候选投标人顺序确定成交投标人；也可以事先授权评标委员会按照推荐的中标候选投标人顺序直接确定成交投标人。</w:t>
      </w:r>
    </w:p>
    <w:p w14:paraId="0D62ED7C">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2.2</w:t>
      </w:r>
      <w:r>
        <w:rPr>
          <w:rFonts w:hint="eastAsia" w:ascii="新宋体" w:hAnsi="新宋体" w:eastAsia="新宋体" w:cs="新宋体"/>
          <w:kern w:val="0"/>
          <w:sz w:val="22"/>
          <w:szCs w:val="22"/>
        </w:rPr>
        <w:t>如成交投标人放弃中标；或未能在规定时间内与采购单位签订合同的；或者经质疑，招标人审查后，确因排名第一的候选人在本次采购活动中存在违法违规行为或其他原因使质疑成立的，招标人可以视情况依次直接确定排名第二的候选人为中标银行或重新组织招标。</w:t>
      </w:r>
    </w:p>
    <w:p w14:paraId="3518C247">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3</w:t>
      </w:r>
      <w:r>
        <w:rPr>
          <w:rFonts w:hint="eastAsia" w:ascii="新宋体" w:hAnsi="新宋体" w:eastAsia="新宋体" w:cs="新宋体"/>
          <w:kern w:val="0"/>
          <w:sz w:val="22"/>
          <w:szCs w:val="22"/>
        </w:rPr>
        <w:t>、</w:t>
      </w:r>
      <w:r>
        <w:rPr>
          <w:rFonts w:hint="eastAsia" w:ascii="新宋体" w:hAnsi="新宋体" w:eastAsia="新宋体" w:cs="新宋体"/>
          <w:sz w:val="22"/>
          <w:szCs w:val="22"/>
        </w:rPr>
        <w:t>中标银行确定后，招标人将在政府指定媒体公告中标结果，招标人向中标银行发出中标通知书。</w:t>
      </w:r>
    </w:p>
    <w:p w14:paraId="79A83399">
      <w:pPr>
        <w:spacing w:line="460" w:lineRule="exact"/>
        <w:ind w:firstLine="442" w:firstLineChars="200"/>
        <w:outlineLvl w:val="1"/>
        <w:rPr>
          <w:rFonts w:ascii="新宋体" w:hAnsi="新宋体" w:eastAsia="新宋体" w:cs="新宋体"/>
          <w:b/>
          <w:sz w:val="22"/>
          <w:szCs w:val="22"/>
        </w:rPr>
      </w:pPr>
      <w:bookmarkStart w:id="199" w:name="_Toc28984"/>
      <w:r>
        <w:rPr>
          <w:rFonts w:hint="eastAsia" w:ascii="新宋体" w:hAnsi="新宋体" w:eastAsia="新宋体" w:cs="新宋体"/>
          <w:b/>
          <w:sz w:val="22"/>
          <w:szCs w:val="22"/>
        </w:rPr>
        <w:t>六、投标银行义务</w:t>
      </w:r>
      <w:bookmarkEnd w:id="199"/>
    </w:p>
    <w:p w14:paraId="1C0103AE">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投标银行应随时接受评标委员会的询标，解答包括有关的商务、技术问题等。评标结束，所有评标资料存招标机构备查。</w:t>
      </w: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3A973">
    <w:pPr>
      <w:pStyle w:val="21"/>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97AF">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50</w:t>
    </w:r>
    <w:r>
      <w:fldChar w:fldCharType="end"/>
    </w:r>
  </w:p>
  <w:p w14:paraId="540649BC">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578F">
    <w:pPr>
      <w:pStyle w:val="21"/>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3944">
    <w:pPr>
      <w:pStyle w:val="21"/>
      <w:ind w:right="360" w:firstLine="4500" w:firstLineChars="25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9B7A5">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C9B7A5">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5DCC">
    <w:pPr>
      <w:pBdr>
        <w:bottom w:val="single" w:color="auto" w:sz="6" w:space="0"/>
      </w:pBdr>
      <w:tabs>
        <w:tab w:val="center" w:pos="4153"/>
        <w:tab w:val="right" w:pos="8306"/>
      </w:tabs>
      <w:rPr>
        <w:rFonts w:hint="eastAsia" w:eastAsia="宋体"/>
        <w:lang w:eastAsia="zh-CN"/>
      </w:rPr>
    </w:pPr>
    <w:r>
      <w:rPr>
        <w:rFonts w:hint="eastAsia"/>
      </w:rPr>
      <w:t>公款竞争性存放招标文件                        项目编号：</w:t>
    </w:r>
    <w:r>
      <w:rPr>
        <w:rFonts w:hint="eastAsia"/>
        <w:lang w:eastAsia="zh-CN"/>
      </w:rPr>
      <w:t>wzsn202572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9305">
    <w:pPr>
      <w:pBdr>
        <w:bottom w:val="single" w:color="auto" w:sz="6" w:space="0"/>
      </w:pBdr>
      <w:tabs>
        <w:tab w:val="center" w:pos="4153"/>
        <w:tab w:val="right" w:pos="8306"/>
      </w:tabs>
      <w:rPr>
        <w:rFonts w:hint="eastAsia" w:ascii="新宋体" w:hAnsi="新宋体" w:eastAsia="新宋体" w:cs="新宋体"/>
        <w:lang w:eastAsia="zh-CN"/>
      </w:rPr>
    </w:pPr>
    <w:r>
      <w:rPr>
        <w:rFonts w:hint="eastAsia" w:ascii="新宋体" w:hAnsi="新宋体" w:eastAsia="新宋体" w:cs="新宋体"/>
        <w:sz w:val="16"/>
        <w:szCs w:val="16"/>
      </w:rPr>
      <w:t>公款竞争性存放招标文件                                                   项目编号：</w:t>
    </w:r>
    <w:r>
      <w:rPr>
        <w:rFonts w:hint="eastAsia" w:ascii="新宋体" w:hAnsi="新宋体" w:eastAsia="新宋体" w:cs="新宋体"/>
        <w:sz w:val="16"/>
        <w:szCs w:val="16"/>
        <w:lang w:eastAsia="zh-CN"/>
      </w:rPr>
      <w:t>wzsn202572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C1EE9"/>
    <w:multiLevelType w:val="multilevel"/>
    <w:tmpl w:val="2A1C1EE9"/>
    <w:lvl w:ilvl="0" w:tentative="0">
      <w:start w:val="1"/>
      <w:numFmt w:val="chineseCountingThousand"/>
      <w:pStyle w:val="6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497C9E"/>
    <w:multiLevelType w:val="multilevel"/>
    <w:tmpl w:val="5D497C9E"/>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YTVjYmYwZTlkYjdhYjA2YzdkM2U2ZmIwODI4MDcifQ=="/>
  </w:docVars>
  <w:rsids>
    <w:rsidRoot w:val="00172A27"/>
    <w:rsid w:val="00060771"/>
    <w:rsid w:val="00091EE4"/>
    <w:rsid w:val="000A04B1"/>
    <w:rsid w:val="000C58D5"/>
    <w:rsid w:val="00172A27"/>
    <w:rsid w:val="001B641A"/>
    <w:rsid w:val="001E5DA1"/>
    <w:rsid w:val="001F4BF2"/>
    <w:rsid w:val="00200AA0"/>
    <w:rsid w:val="0020552E"/>
    <w:rsid w:val="00266850"/>
    <w:rsid w:val="0028242B"/>
    <w:rsid w:val="002C037A"/>
    <w:rsid w:val="002C0B92"/>
    <w:rsid w:val="002C214A"/>
    <w:rsid w:val="002D2FFA"/>
    <w:rsid w:val="00314ADD"/>
    <w:rsid w:val="003334BB"/>
    <w:rsid w:val="0033513F"/>
    <w:rsid w:val="00350A7E"/>
    <w:rsid w:val="00360794"/>
    <w:rsid w:val="00393F47"/>
    <w:rsid w:val="003D6468"/>
    <w:rsid w:val="003F2ACD"/>
    <w:rsid w:val="003F6D7E"/>
    <w:rsid w:val="004011CA"/>
    <w:rsid w:val="004019C3"/>
    <w:rsid w:val="00412F6D"/>
    <w:rsid w:val="0041416F"/>
    <w:rsid w:val="004215A2"/>
    <w:rsid w:val="00467A28"/>
    <w:rsid w:val="004A4F8F"/>
    <w:rsid w:val="004C2915"/>
    <w:rsid w:val="004C7D06"/>
    <w:rsid w:val="004E2CAD"/>
    <w:rsid w:val="005325EF"/>
    <w:rsid w:val="00550397"/>
    <w:rsid w:val="005539AB"/>
    <w:rsid w:val="0059699D"/>
    <w:rsid w:val="00632FCA"/>
    <w:rsid w:val="00665417"/>
    <w:rsid w:val="00684ACC"/>
    <w:rsid w:val="00726CCA"/>
    <w:rsid w:val="00787C99"/>
    <w:rsid w:val="00797F68"/>
    <w:rsid w:val="007B442F"/>
    <w:rsid w:val="007F029C"/>
    <w:rsid w:val="008009E8"/>
    <w:rsid w:val="00812EAB"/>
    <w:rsid w:val="00817D53"/>
    <w:rsid w:val="00834DF4"/>
    <w:rsid w:val="0086042E"/>
    <w:rsid w:val="008608C3"/>
    <w:rsid w:val="00883332"/>
    <w:rsid w:val="008D6561"/>
    <w:rsid w:val="008E6D89"/>
    <w:rsid w:val="00951F59"/>
    <w:rsid w:val="009C7CF8"/>
    <w:rsid w:val="00A04DD6"/>
    <w:rsid w:val="00A22AD7"/>
    <w:rsid w:val="00A45657"/>
    <w:rsid w:val="00A56372"/>
    <w:rsid w:val="00A62896"/>
    <w:rsid w:val="00AA1D9F"/>
    <w:rsid w:val="00AD75F7"/>
    <w:rsid w:val="00B20911"/>
    <w:rsid w:val="00B65706"/>
    <w:rsid w:val="00B76DE1"/>
    <w:rsid w:val="00BC0A95"/>
    <w:rsid w:val="00BF719D"/>
    <w:rsid w:val="00C31AAE"/>
    <w:rsid w:val="00C43AAE"/>
    <w:rsid w:val="00C60882"/>
    <w:rsid w:val="00C823C4"/>
    <w:rsid w:val="00C96412"/>
    <w:rsid w:val="00CF303D"/>
    <w:rsid w:val="00CF348B"/>
    <w:rsid w:val="00D01D67"/>
    <w:rsid w:val="00D53772"/>
    <w:rsid w:val="00DA0152"/>
    <w:rsid w:val="00DC5627"/>
    <w:rsid w:val="00DD7053"/>
    <w:rsid w:val="00DF3F80"/>
    <w:rsid w:val="00DF552B"/>
    <w:rsid w:val="00DF552F"/>
    <w:rsid w:val="00E101E9"/>
    <w:rsid w:val="00E277C5"/>
    <w:rsid w:val="00E70D19"/>
    <w:rsid w:val="00EA2088"/>
    <w:rsid w:val="00F06DB7"/>
    <w:rsid w:val="00F51E82"/>
    <w:rsid w:val="00F60CD1"/>
    <w:rsid w:val="00F85959"/>
    <w:rsid w:val="00FA7C48"/>
    <w:rsid w:val="00FB75B7"/>
    <w:rsid w:val="00FC58D2"/>
    <w:rsid w:val="00FE5A79"/>
    <w:rsid w:val="010356B7"/>
    <w:rsid w:val="01071CAC"/>
    <w:rsid w:val="01273DE6"/>
    <w:rsid w:val="0186237A"/>
    <w:rsid w:val="01CF6084"/>
    <w:rsid w:val="01E43E35"/>
    <w:rsid w:val="020E4AFB"/>
    <w:rsid w:val="021B3745"/>
    <w:rsid w:val="021E7F83"/>
    <w:rsid w:val="023B1574"/>
    <w:rsid w:val="02485D4E"/>
    <w:rsid w:val="02581C9B"/>
    <w:rsid w:val="0283333D"/>
    <w:rsid w:val="028B2687"/>
    <w:rsid w:val="0297204E"/>
    <w:rsid w:val="029850CE"/>
    <w:rsid w:val="02C921C2"/>
    <w:rsid w:val="03013A68"/>
    <w:rsid w:val="031023AE"/>
    <w:rsid w:val="032D1844"/>
    <w:rsid w:val="032F601A"/>
    <w:rsid w:val="034F0B7A"/>
    <w:rsid w:val="038A635A"/>
    <w:rsid w:val="039348B4"/>
    <w:rsid w:val="03C142B6"/>
    <w:rsid w:val="03E9547A"/>
    <w:rsid w:val="0430234E"/>
    <w:rsid w:val="043824C1"/>
    <w:rsid w:val="0457222B"/>
    <w:rsid w:val="047563BF"/>
    <w:rsid w:val="04B733E2"/>
    <w:rsid w:val="04CE1F73"/>
    <w:rsid w:val="04D63407"/>
    <w:rsid w:val="04E92E1E"/>
    <w:rsid w:val="04FA1F97"/>
    <w:rsid w:val="050A71C7"/>
    <w:rsid w:val="050E7229"/>
    <w:rsid w:val="05172669"/>
    <w:rsid w:val="056F6DE7"/>
    <w:rsid w:val="0590668C"/>
    <w:rsid w:val="05A531D1"/>
    <w:rsid w:val="05EA161F"/>
    <w:rsid w:val="05FF4A09"/>
    <w:rsid w:val="061F7618"/>
    <w:rsid w:val="063D2A6D"/>
    <w:rsid w:val="06512CEA"/>
    <w:rsid w:val="06531ED4"/>
    <w:rsid w:val="065D7A76"/>
    <w:rsid w:val="068D56CD"/>
    <w:rsid w:val="069F5790"/>
    <w:rsid w:val="06C717BC"/>
    <w:rsid w:val="06D2293F"/>
    <w:rsid w:val="070A2A99"/>
    <w:rsid w:val="07246EC6"/>
    <w:rsid w:val="074A1304"/>
    <w:rsid w:val="07561921"/>
    <w:rsid w:val="07793FD9"/>
    <w:rsid w:val="07821926"/>
    <w:rsid w:val="07831138"/>
    <w:rsid w:val="078A5A24"/>
    <w:rsid w:val="07BD3670"/>
    <w:rsid w:val="07FA71D0"/>
    <w:rsid w:val="08036534"/>
    <w:rsid w:val="08146E27"/>
    <w:rsid w:val="08396542"/>
    <w:rsid w:val="08510EF1"/>
    <w:rsid w:val="089F06A5"/>
    <w:rsid w:val="08D91792"/>
    <w:rsid w:val="08E936F5"/>
    <w:rsid w:val="08F4776A"/>
    <w:rsid w:val="08F50D28"/>
    <w:rsid w:val="0925408D"/>
    <w:rsid w:val="095101D5"/>
    <w:rsid w:val="096009EF"/>
    <w:rsid w:val="096A34B2"/>
    <w:rsid w:val="098079F0"/>
    <w:rsid w:val="09827328"/>
    <w:rsid w:val="098D5670"/>
    <w:rsid w:val="099827A7"/>
    <w:rsid w:val="09A304E4"/>
    <w:rsid w:val="09B3627A"/>
    <w:rsid w:val="09D14154"/>
    <w:rsid w:val="09D843D1"/>
    <w:rsid w:val="09F81E67"/>
    <w:rsid w:val="0A1B4203"/>
    <w:rsid w:val="0A29371B"/>
    <w:rsid w:val="0A2C1CBC"/>
    <w:rsid w:val="0A6D6D4B"/>
    <w:rsid w:val="0A791B72"/>
    <w:rsid w:val="0ABC3838"/>
    <w:rsid w:val="0AD35BED"/>
    <w:rsid w:val="0AFD4D43"/>
    <w:rsid w:val="0B152C3B"/>
    <w:rsid w:val="0B25679B"/>
    <w:rsid w:val="0B2A2C58"/>
    <w:rsid w:val="0B752658"/>
    <w:rsid w:val="0B796FFB"/>
    <w:rsid w:val="0B7E6C6B"/>
    <w:rsid w:val="0B9C366C"/>
    <w:rsid w:val="0BA72CEB"/>
    <w:rsid w:val="0BBB3748"/>
    <w:rsid w:val="0BD02D72"/>
    <w:rsid w:val="0BD91B3F"/>
    <w:rsid w:val="0BE16D55"/>
    <w:rsid w:val="0BFA7655"/>
    <w:rsid w:val="0C135B1D"/>
    <w:rsid w:val="0C1734E6"/>
    <w:rsid w:val="0C360518"/>
    <w:rsid w:val="0C632FA1"/>
    <w:rsid w:val="0C670CE7"/>
    <w:rsid w:val="0C963376"/>
    <w:rsid w:val="0CE23EB3"/>
    <w:rsid w:val="0CF63E15"/>
    <w:rsid w:val="0D0370D7"/>
    <w:rsid w:val="0D192593"/>
    <w:rsid w:val="0D316C02"/>
    <w:rsid w:val="0D717B9B"/>
    <w:rsid w:val="0D7C0F42"/>
    <w:rsid w:val="0D822738"/>
    <w:rsid w:val="0DA31686"/>
    <w:rsid w:val="0DF11659"/>
    <w:rsid w:val="0E440BB0"/>
    <w:rsid w:val="0EC82A4F"/>
    <w:rsid w:val="0EDB4349"/>
    <w:rsid w:val="0EE97696"/>
    <w:rsid w:val="0F192E8F"/>
    <w:rsid w:val="0F1D16FF"/>
    <w:rsid w:val="0F2904D1"/>
    <w:rsid w:val="0F3C7BC3"/>
    <w:rsid w:val="0F7F3667"/>
    <w:rsid w:val="0F8A4A9C"/>
    <w:rsid w:val="0F9B7C86"/>
    <w:rsid w:val="0FE73EE9"/>
    <w:rsid w:val="0FF67C3E"/>
    <w:rsid w:val="103A648A"/>
    <w:rsid w:val="10534754"/>
    <w:rsid w:val="10583EE4"/>
    <w:rsid w:val="107326B9"/>
    <w:rsid w:val="10867FCB"/>
    <w:rsid w:val="108E10B6"/>
    <w:rsid w:val="10992F4F"/>
    <w:rsid w:val="109D16D1"/>
    <w:rsid w:val="109F4205"/>
    <w:rsid w:val="10B028F0"/>
    <w:rsid w:val="10E21C71"/>
    <w:rsid w:val="10E80821"/>
    <w:rsid w:val="10FA1A6A"/>
    <w:rsid w:val="11270A41"/>
    <w:rsid w:val="114E2471"/>
    <w:rsid w:val="11A46A24"/>
    <w:rsid w:val="11C15FB0"/>
    <w:rsid w:val="11D15659"/>
    <w:rsid w:val="11DE5560"/>
    <w:rsid w:val="11F5087A"/>
    <w:rsid w:val="12057EEF"/>
    <w:rsid w:val="12123063"/>
    <w:rsid w:val="121F5C5E"/>
    <w:rsid w:val="12353631"/>
    <w:rsid w:val="123A002C"/>
    <w:rsid w:val="124721E4"/>
    <w:rsid w:val="12695B70"/>
    <w:rsid w:val="127C0FE9"/>
    <w:rsid w:val="127C2CA2"/>
    <w:rsid w:val="12972572"/>
    <w:rsid w:val="12AC4628"/>
    <w:rsid w:val="12AF2214"/>
    <w:rsid w:val="12B409FA"/>
    <w:rsid w:val="12D76496"/>
    <w:rsid w:val="12DC417E"/>
    <w:rsid w:val="12E30478"/>
    <w:rsid w:val="12E76FA8"/>
    <w:rsid w:val="12FB4D13"/>
    <w:rsid w:val="13111E72"/>
    <w:rsid w:val="131320DA"/>
    <w:rsid w:val="13160D6D"/>
    <w:rsid w:val="131F2A5E"/>
    <w:rsid w:val="134820BD"/>
    <w:rsid w:val="135F5FA5"/>
    <w:rsid w:val="13B660AC"/>
    <w:rsid w:val="13D7157A"/>
    <w:rsid w:val="13DF6792"/>
    <w:rsid w:val="141173DE"/>
    <w:rsid w:val="1427091D"/>
    <w:rsid w:val="14447B5C"/>
    <w:rsid w:val="148B578A"/>
    <w:rsid w:val="148F1E8C"/>
    <w:rsid w:val="14A33DD8"/>
    <w:rsid w:val="14A60EA2"/>
    <w:rsid w:val="14B20749"/>
    <w:rsid w:val="14C46D10"/>
    <w:rsid w:val="14CB48F1"/>
    <w:rsid w:val="14DB388B"/>
    <w:rsid w:val="14DE4397"/>
    <w:rsid w:val="14F70FF5"/>
    <w:rsid w:val="150F496A"/>
    <w:rsid w:val="15416236"/>
    <w:rsid w:val="154B4BEE"/>
    <w:rsid w:val="161539CC"/>
    <w:rsid w:val="161B58D5"/>
    <w:rsid w:val="16275ED4"/>
    <w:rsid w:val="16750AEF"/>
    <w:rsid w:val="168E458F"/>
    <w:rsid w:val="16BB4330"/>
    <w:rsid w:val="16C43A46"/>
    <w:rsid w:val="16F7098C"/>
    <w:rsid w:val="170A7574"/>
    <w:rsid w:val="170B2BB3"/>
    <w:rsid w:val="171B1048"/>
    <w:rsid w:val="17240BD8"/>
    <w:rsid w:val="17367C2F"/>
    <w:rsid w:val="174C1201"/>
    <w:rsid w:val="178E1A24"/>
    <w:rsid w:val="179B333E"/>
    <w:rsid w:val="17B12EED"/>
    <w:rsid w:val="17CD234D"/>
    <w:rsid w:val="17CE4F1B"/>
    <w:rsid w:val="17DD1CB2"/>
    <w:rsid w:val="18037974"/>
    <w:rsid w:val="180D7649"/>
    <w:rsid w:val="18127F8E"/>
    <w:rsid w:val="18197919"/>
    <w:rsid w:val="184A00E8"/>
    <w:rsid w:val="184E6AEE"/>
    <w:rsid w:val="18887BCD"/>
    <w:rsid w:val="18944492"/>
    <w:rsid w:val="18A0482C"/>
    <w:rsid w:val="18B34294"/>
    <w:rsid w:val="18BD59F0"/>
    <w:rsid w:val="18F062F7"/>
    <w:rsid w:val="19143B09"/>
    <w:rsid w:val="19216084"/>
    <w:rsid w:val="19381A38"/>
    <w:rsid w:val="19404DB1"/>
    <w:rsid w:val="19B02DCA"/>
    <w:rsid w:val="19B74E5B"/>
    <w:rsid w:val="19B84F37"/>
    <w:rsid w:val="19BD21C8"/>
    <w:rsid w:val="19F03C9C"/>
    <w:rsid w:val="1A755941"/>
    <w:rsid w:val="1A7D6D83"/>
    <w:rsid w:val="1A9849D6"/>
    <w:rsid w:val="1AA85C69"/>
    <w:rsid w:val="1AB25BC6"/>
    <w:rsid w:val="1B08445E"/>
    <w:rsid w:val="1B4B2A3E"/>
    <w:rsid w:val="1B5F16BE"/>
    <w:rsid w:val="1B5F5177"/>
    <w:rsid w:val="1B68101C"/>
    <w:rsid w:val="1B707610"/>
    <w:rsid w:val="1B75614D"/>
    <w:rsid w:val="1B7705F5"/>
    <w:rsid w:val="1B8B6070"/>
    <w:rsid w:val="1B944F25"/>
    <w:rsid w:val="1BA251D0"/>
    <w:rsid w:val="1BC56A5B"/>
    <w:rsid w:val="1C286DBE"/>
    <w:rsid w:val="1C5B6994"/>
    <w:rsid w:val="1C6A0E87"/>
    <w:rsid w:val="1C7801F2"/>
    <w:rsid w:val="1C822214"/>
    <w:rsid w:val="1C915908"/>
    <w:rsid w:val="1CA97AD0"/>
    <w:rsid w:val="1CD15A1F"/>
    <w:rsid w:val="1CD404CC"/>
    <w:rsid w:val="1CDC33EA"/>
    <w:rsid w:val="1CE1260E"/>
    <w:rsid w:val="1CEB0181"/>
    <w:rsid w:val="1D0B0D38"/>
    <w:rsid w:val="1D181F4A"/>
    <w:rsid w:val="1D1D4685"/>
    <w:rsid w:val="1D293D92"/>
    <w:rsid w:val="1D3D4708"/>
    <w:rsid w:val="1D420B90"/>
    <w:rsid w:val="1D477F55"/>
    <w:rsid w:val="1D561A2F"/>
    <w:rsid w:val="1D6E70D6"/>
    <w:rsid w:val="1D7644E2"/>
    <w:rsid w:val="1DA5263C"/>
    <w:rsid w:val="1DAC6BC8"/>
    <w:rsid w:val="1DB72DD1"/>
    <w:rsid w:val="1DE40399"/>
    <w:rsid w:val="1DF02CC4"/>
    <w:rsid w:val="1DF65E13"/>
    <w:rsid w:val="1E124827"/>
    <w:rsid w:val="1E140EE8"/>
    <w:rsid w:val="1E8C7004"/>
    <w:rsid w:val="1EB34121"/>
    <w:rsid w:val="1EBC1152"/>
    <w:rsid w:val="1F0808C9"/>
    <w:rsid w:val="1F510671"/>
    <w:rsid w:val="1F523DF3"/>
    <w:rsid w:val="1F704A99"/>
    <w:rsid w:val="1F775AEF"/>
    <w:rsid w:val="1F7DB73E"/>
    <w:rsid w:val="1F995B86"/>
    <w:rsid w:val="1F9C6BF4"/>
    <w:rsid w:val="1FA43ECE"/>
    <w:rsid w:val="200A35A2"/>
    <w:rsid w:val="202F27EC"/>
    <w:rsid w:val="20310CA7"/>
    <w:rsid w:val="20331515"/>
    <w:rsid w:val="20602CAB"/>
    <w:rsid w:val="208F4DDF"/>
    <w:rsid w:val="2090127C"/>
    <w:rsid w:val="20B461D3"/>
    <w:rsid w:val="20CB4B08"/>
    <w:rsid w:val="20CF3393"/>
    <w:rsid w:val="20E86C14"/>
    <w:rsid w:val="2100732E"/>
    <w:rsid w:val="210F4638"/>
    <w:rsid w:val="211C55DD"/>
    <w:rsid w:val="212A5C8B"/>
    <w:rsid w:val="2159732E"/>
    <w:rsid w:val="2173382E"/>
    <w:rsid w:val="226014A0"/>
    <w:rsid w:val="22727213"/>
    <w:rsid w:val="2299756F"/>
    <w:rsid w:val="22DD68C3"/>
    <w:rsid w:val="23014A76"/>
    <w:rsid w:val="230F1290"/>
    <w:rsid w:val="23114756"/>
    <w:rsid w:val="23175DCB"/>
    <w:rsid w:val="233652F2"/>
    <w:rsid w:val="234907DC"/>
    <w:rsid w:val="23494DA5"/>
    <w:rsid w:val="234B7EC1"/>
    <w:rsid w:val="235D5B76"/>
    <w:rsid w:val="2378512C"/>
    <w:rsid w:val="23925250"/>
    <w:rsid w:val="23BB4C2C"/>
    <w:rsid w:val="23CD03C9"/>
    <w:rsid w:val="23E4239E"/>
    <w:rsid w:val="24050394"/>
    <w:rsid w:val="240F77F4"/>
    <w:rsid w:val="24177977"/>
    <w:rsid w:val="24412907"/>
    <w:rsid w:val="24430CA8"/>
    <w:rsid w:val="24C25DC9"/>
    <w:rsid w:val="24CE0D63"/>
    <w:rsid w:val="24E53639"/>
    <w:rsid w:val="24E7219B"/>
    <w:rsid w:val="24EE1735"/>
    <w:rsid w:val="25014B1D"/>
    <w:rsid w:val="251339A4"/>
    <w:rsid w:val="252B17F6"/>
    <w:rsid w:val="2537799C"/>
    <w:rsid w:val="255E6BDF"/>
    <w:rsid w:val="255F6185"/>
    <w:rsid w:val="25D14317"/>
    <w:rsid w:val="26147173"/>
    <w:rsid w:val="263E7807"/>
    <w:rsid w:val="268124A7"/>
    <w:rsid w:val="26CC5EBA"/>
    <w:rsid w:val="26F7797C"/>
    <w:rsid w:val="26F81B7B"/>
    <w:rsid w:val="26FE611B"/>
    <w:rsid w:val="270E14F1"/>
    <w:rsid w:val="27623EF4"/>
    <w:rsid w:val="276C6FD4"/>
    <w:rsid w:val="27896EEB"/>
    <w:rsid w:val="27B24FC6"/>
    <w:rsid w:val="27CF1CA7"/>
    <w:rsid w:val="27E91F4C"/>
    <w:rsid w:val="281B425C"/>
    <w:rsid w:val="282C1F78"/>
    <w:rsid w:val="2832107C"/>
    <w:rsid w:val="28896A8E"/>
    <w:rsid w:val="28BA081B"/>
    <w:rsid w:val="290731DA"/>
    <w:rsid w:val="291640F4"/>
    <w:rsid w:val="292E7394"/>
    <w:rsid w:val="29525132"/>
    <w:rsid w:val="29604C08"/>
    <w:rsid w:val="297033D4"/>
    <w:rsid w:val="29712D44"/>
    <w:rsid w:val="297E7DD3"/>
    <w:rsid w:val="29A7221F"/>
    <w:rsid w:val="29D25B2C"/>
    <w:rsid w:val="29F47CB1"/>
    <w:rsid w:val="2A2C16BD"/>
    <w:rsid w:val="2A3235C6"/>
    <w:rsid w:val="2A376F95"/>
    <w:rsid w:val="2A402765"/>
    <w:rsid w:val="2A453843"/>
    <w:rsid w:val="2A6E6574"/>
    <w:rsid w:val="2A8A1A57"/>
    <w:rsid w:val="2A8F3817"/>
    <w:rsid w:val="2AA53EDD"/>
    <w:rsid w:val="2AD510A1"/>
    <w:rsid w:val="2AE40E6C"/>
    <w:rsid w:val="2B2026A3"/>
    <w:rsid w:val="2B3F0281"/>
    <w:rsid w:val="2B851417"/>
    <w:rsid w:val="2BBC6951"/>
    <w:rsid w:val="2BF15B26"/>
    <w:rsid w:val="2BFC2EC2"/>
    <w:rsid w:val="2C032750"/>
    <w:rsid w:val="2C2610B4"/>
    <w:rsid w:val="2C274F7B"/>
    <w:rsid w:val="2C380499"/>
    <w:rsid w:val="2C3C4CA0"/>
    <w:rsid w:val="2C3F2C8B"/>
    <w:rsid w:val="2C983D35"/>
    <w:rsid w:val="2C9F3678"/>
    <w:rsid w:val="2CEC629B"/>
    <w:rsid w:val="2CFD4A8D"/>
    <w:rsid w:val="2D4A15DA"/>
    <w:rsid w:val="2D4B7BC4"/>
    <w:rsid w:val="2D500957"/>
    <w:rsid w:val="2D64689A"/>
    <w:rsid w:val="2D8F20ED"/>
    <w:rsid w:val="2DA354EC"/>
    <w:rsid w:val="2DDF1AC4"/>
    <w:rsid w:val="2DE150FC"/>
    <w:rsid w:val="2E0433E8"/>
    <w:rsid w:val="2E0C1BA0"/>
    <w:rsid w:val="2E275859"/>
    <w:rsid w:val="2E332BD4"/>
    <w:rsid w:val="2E357635"/>
    <w:rsid w:val="2EA60FF5"/>
    <w:rsid w:val="2EA63A6F"/>
    <w:rsid w:val="2EAD1222"/>
    <w:rsid w:val="2EE46FE2"/>
    <w:rsid w:val="2F2F5298"/>
    <w:rsid w:val="2F436F36"/>
    <w:rsid w:val="2F501CD6"/>
    <w:rsid w:val="2FBA72C5"/>
    <w:rsid w:val="2FBD23AF"/>
    <w:rsid w:val="2FC906F5"/>
    <w:rsid w:val="302E5C23"/>
    <w:rsid w:val="3088782E"/>
    <w:rsid w:val="309532C1"/>
    <w:rsid w:val="30E3452C"/>
    <w:rsid w:val="30EC4516"/>
    <w:rsid w:val="30F77BD4"/>
    <w:rsid w:val="30F87F92"/>
    <w:rsid w:val="30FE5E8C"/>
    <w:rsid w:val="310E3E79"/>
    <w:rsid w:val="31162C93"/>
    <w:rsid w:val="312526EA"/>
    <w:rsid w:val="31352853"/>
    <w:rsid w:val="3198766B"/>
    <w:rsid w:val="319D5437"/>
    <w:rsid w:val="31C35F31"/>
    <w:rsid w:val="31CC5601"/>
    <w:rsid w:val="32052AE1"/>
    <w:rsid w:val="323209DC"/>
    <w:rsid w:val="32527C83"/>
    <w:rsid w:val="327A2C6E"/>
    <w:rsid w:val="32814C23"/>
    <w:rsid w:val="32AE523E"/>
    <w:rsid w:val="32BA122A"/>
    <w:rsid w:val="32D260EE"/>
    <w:rsid w:val="330A04B0"/>
    <w:rsid w:val="33126ED8"/>
    <w:rsid w:val="331A42E4"/>
    <w:rsid w:val="33593572"/>
    <w:rsid w:val="335C27CF"/>
    <w:rsid w:val="339A10EE"/>
    <w:rsid w:val="33C3260B"/>
    <w:rsid w:val="33DF3BBE"/>
    <w:rsid w:val="33EC044D"/>
    <w:rsid w:val="340A0FA6"/>
    <w:rsid w:val="3424001A"/>
    <w:rsid w:val="342F3E2C"/>
    <w:rsid w:val="343C78BF"/>
    <w:rsid w:val="345300C1"/>
    <w:rsid w:val="345336B8"/>
    <w:rsid w:val="345D45F6"/>
    <w:rsid w:val="346864B2"/>
    <w:rsid w:val="346A0150"/>
    <w:rsid w:val="347A51A5"/>
    <w:rsid w:val="34893F6E"/>
    <w:rsid w:val="34C67823"/>
    <w:rsid w:val="34DE38FC"/>
    <w:rsid w:val="34F44A73"/>
    <w:rsid w:val="352A5349"/>
    <w:rsid w:val="352F66E3"/>
    <w:rsid w:val="35755115"/>
    <w:rsid w:val="357B604D"/>
    <w:rsid w:val="357C6B52"/>
    <w:rsid w:val="358A50B1"/>
    <w:rsid w:val="359314F5"/>
    <w:rsid w:val="35AF77A0"/>
    <w:rsid w:val="35B22D4F"/>
    <w:rsid w:val="35B76D1C"/>
    <w:rsid w:val="35BC014C"/>
    <w:rsid w:val="35C10E66"/>
    <w:rsid w:val="35D905E4"/>
    <w:rsid w:val="35D94CC9"/>
    <w:rsid w:val="35E57C7A"/>
    <w:rsid w:val="35F67F15"/>
    <w:rsid w:val="35FA7BB4"/>
    <w:rsid w:val="35FF065D"/>
    <w:rsid w:val="361115BD"/>
    <w:rsid w:val="36300DAB"/>
    <w:rsid w:val="363B132E"/>
    <w:rsid w:val="36592B9B"/>
    <w:rsid w:val="3662343D"/>
    <w:rsid w:val="366F5AD6"/>
    <w:rsid w:val="36727565"/>
    <w:rsid w:val="3698552D"/>
    <w:rsid w:val="36CA779E"/>
    <w:rsid w:val="36D21E81"/>
    <w:rsid w:val="36E724CA"/>
    <w:rsid w:val="36F24934"/>
    <w:rsid w:val="36F47EC0"/>
    <w:rsid w:val="3707702D"/>
    <w:rsid w:val="37107592"/>
    <w:rsid w:val="372556E3"/>
    <w:rsid w:val="37564659"/>
    <w:rsid w:val="37840A98"/>
    <w:rsid w:val="37852EA4"/>
    <w:rsid w:val="37885E11"/>
    <w:rsid w:val="378E3A2C"/>
    <w:rsid w:val="37903726"/>
    <w:rsid w:val="37A64EAC"/>
    <w:rsid w:val="37C10485"/>
    <w:rsid w:val="37FE0FD9"/>
    <w:rsid w:val="38153792"/>
    <w:rsid w:val="381742DF"/>
    <w:rsid w:val="38211B38"/>
    <w:rsid w:val="38360444"/>
    <w:rsid w:val="38367638"/>
    <w:rsid w:val="384101B7"/>
    <w:rsid w:val="38454AF6"/>
    <w:rsid w:val="38480790"/>
    <w:rsid w:val="3886453D"/>
    <w:rsid w:val="38B7196B"/>
    <w:rsid w:val="38F53969"/>
    <w:rsid w:val="390E2362"/>
    <w:rsid w:val="392400CC"/>
    <w:rsid w:val="392F4087"/>
    <w:rsid w:val="394C3989"/>
    <w:rsid w:val="396B62C2"/>
    <w:rsid w:val="396D014E"/>
    <w:rsid w:val="3A0451BC"/>
    <w:rsid w:val="3A1439A9"/>
    <w:rsid w:val="3AA050A7"/>
    <w:rsid w:val="3AA362BF"/>
    <w:rsid w:val="3AA446F9"/>
    <w:rsid w:val="3AAB6C4F"/>
    <w:rsid w:val="3AB61099"/>
    <w:rsid w:val="3ABF58EF"/>
    <w:rsid w:val="3ACF6E82"/>
    <w:rsid w:val="3B072AE7"/>
    <w:rsid w:val="3B2D4051"/>
    <w:rsid w:val="3B2F6E91"/>
    <w:rsid w:val="3B6F274A"/>
    <w:rsid w:val="3B9B3980"/>
    <w:rsid w:val="3BA05A72"/>
    <w:rsid w:val="3BB11759"/>
    <w:rsid w:val="3BB74233"/>
    <w:rsid w:val="3BB80C52"/>
    <w:rsid w:val="3BD15CA5"/>
    <w:rsid w:val="3BD26237"/>
    <w:rsid w:val="3C5E2BB3"/>
    <w:rsid w:val="3C6D5829"/>
    <w:rsid w:val="3C7265BA"/>
    <w:rsid w:val="3CB12B58"/>
    <w:rsid w:val="3CB514EA"/>
    <w:rsid w:val="3CCE564F"/>
    <w:rsid w:val="3CCE7035"/>
    <w:rsid w:val="3CE216FF"/>
    <w:rsid w:val="3CE5131E"/>
    <w:rsid w:val="3D2405DC"/>
    <w:rsid w:val="3D280119"/>
    <w:rsid w:val="3D4C5F1D"/>
    <w:rsid w:val="3D4F6EA2"/>
    <w:rsid w:val="3D64153B"/>
    <w:rsid w:val="3D9C2824"/>
    <w:rsid w:val="3D9F7E58"/>
    <w:rsid w:val="3DA962B7"/>
    <w:rsid w:val="3DAB32B2"/>
    <w:rsid w:val="3DC426E4"/>
    <w:rsid w:val="3DD4063A"/>
    <w:rsid w:val="3E1E10A3"/>
    <w:rsid w:val="3E37139E"/>
    <w:rsid w:val="3E594A90"/>
    <w:rsid w:val="3E745FA0"/>
    <w:rsid w:val="3E8379AF"/>
    <w:rsid w:val="3E886391"/>
    <w:rsid w:val="3E962A3C"/>
    <w:rsid w:val="3EC7563E"/>
    <w:rsid w:val="3ED56DC1"/>
    <w:rsid w:val="3EDF3E59"/>
    <w:rsid w:val="3F234410"/>
    <w:rsid w:val="3F2B095C"/>
    <w:rsid w:val="3F53354F"/>
    <w:rsid w:val="3F684F93"/>
    <w:rsid w:val="3F6C6107"/>
    <w:rsid w:val="3F887103"/>
    <w:rsid w:val="3F9532A8"/>
    <w:rsid w:val="3FC221AA"/>
    <w:rsid w:val="3FCC47F7"/>
    <w:rsid w:val="3FF92874"/>
    <w:rsid w:val="403C11D5"/>
    <w:rsid w:val="403D58D2"/>
    <w:rsid w:val="406A0169"/>
    <w:rsid w:val="406E4841"/>
    <w:rsid w:val="40932136"/>
    <w:rsid w:val="40D24565"/>
    <w:rsid w:val="40D25F48"/>
    <w:rsid w:val="40D87916"/>
    <w:rsid w:val="40E35B04"/>
    <w:rsid w:val="40F709CA"/>
    <w:rsid w:val="41597CC1"/>
    <w:rsid w:val="415D6E15"/>
    <w:rsid w:val="419334F9"/>
    <w:rsid w:val="41970AB2"/>
    <w:rsid w:val="41CA7043"/>
    <w:rsid w:val="41FA52CC"/>
    <w:rsid w:val="41FD1698"/>
    <w:rsid w:val="420A3368"/>
    <w:rsid w:val="423310C3"/>
    <w:rsid w:val="42340929"/>
    <w:rsid w:val="42483162"/>
    <w:rsid w:val="424B3DD2"/>
    <w:rsid w:val="42764C16"/>
    <w:rsid w:val="427F7206"/>
    <w:rsid w:val="42B251E8"/>
    <w:rsid w:val="42D44F28"/>
    <w:rsid w:val="42D63530"/>
    <w:rsid w:val="42ED13DD"/>
    <w:rsid w:val="42F6426B"/>
    <w:rsid w:val="430C74CE"/>
    <w:rsid w:val="431C65E2"/>
    <w:rsid w:val="434802B3"/>
    <w:rsid w:val="439873F8"/>
    <w:rsid w:val="43BB6C43"/>
    <w:rsid w:val="43C0001A"/>
    <w:rsid w:val="43E353BD"/>
    <w:rsid w:val="43E40F70"/>
    <w:rsid w:val="43F27E1E"/>
    <w:rsid w:val="43F77EA8"/>
    <w:rsid w:val="443231BD"/>
    <w:rsid w:val="443B5256"/>
    <w:rsid w:val="44462364"/>
    <w:rsid w:val="445D105B"/>
    <w:rsid w:val="446631C8"/>
    <w:rsid w:val="44BA2C52"/>
    <w:rsid w:val="44F24862"/>
    <w:rsid w:val="4511585F"/>
    <w:rsid w:val="452025F6"/>
    <w:rsid w:val="45593A55"/>
    <w:rsid w:val="45622B78"/>
    <w:rsid w:val="45721C0A"/>
    <w:rsid w:val="4579257A"/>
    <w:rsid w:val="457B3FF8"/>
    <w:rsid w:val="45834899"/>
    <w:rsid w:val="458B7930"/>
    <w:rsid w:val="458C4500"/>
    <w:rsid w:val="45917994"/>
    <w:rsid w:val="459A2855"/>
    <w:rsid w:val="459D2867"/>
    <w:rsid w:val="45C16F58"/>
    <w:rsid w:val="45CD103D"/>
    <w:rsid w:val="45CF6F16"/>
    <w:rsid w:val="45EC6A13"/>
    <w:rsid w:val="45FD5E71"/>
    <w:rsid w:val="467B04B4"/>
    <w:rsid w:val="46862922"/>
    <w:rsid w:val="46960D2F"/>
    <w:rsid w:val="469F708F"/>
    <w:rsid w:val="46A61E2C"/>
    <w:rsid w:val="46AD2BE5"/>
    <w:rsid w:val="46FC6684"/>
    <w:rsid w:val="471274C2"/>
    <w:rsid w:val="472B7A78"/>
    <w:rsid w:val="473A6169"/>
    <w:rsid w:val="473C746D"/>
    <w:rsid w:val="474213E9"/>
    <w:rsid w:val="4750030C"/>
    <w:rsid w:val="47595FA4"/>
    <w:rsid w:val="476E484F"/>
    <w:rsid w:val="477B605F"/>
    <w:rsid w:val="47841F54"/>
    <w:rsid w:val="478E002B"/>
    <w:rsid w:val="478E010F"/>
    <w:rsid w:val="479E030F"/>
    <w:rsid w:val="47AA1CA0"/>
    <w:rsid w:val="47B15272"/>
    <w:rsid w:val="47D31C64"/>
    <w:rsid w:val="47E82D27"/>
    <w:rsid w:val="47F46C1C"/>
    <w:rsid w:val="48274AAC"/>
    <w:rsid w:val="483B158F"/>
    <w:rsid w:val="48463E85"/>
    <w:rsid w:val="48483C88"/>
    <w:rsid w:val="485555F9"/>
    <w:rsid w:val="487429ED"/>
    <w:rsid w:val="48B60595"/>
    <w:rsid w:val="48DF429B"/>
    <w:rsid w:val="48E868B2"/>
    <w:rsid w:val="49044DC4"/>
    <w:rsid w:val="49287CCC"/>
    <w:rsid w:val="49291217"/>
    <w:rsid w:val="493D7EB8"/>
    <w:rsid w:val="49405EF0"/>
    <w:rsid w:val="499C1945"/>
    <w:rsid w:val="49A734B1"/>
    <w:rsid w:val="49B36179"/>
    <w:rsid w:val="49DE6D2C"/>
    <w:rsid w:val="4A026FC3"/>
    <w:rsid w:val="4A282D62"/>
    <w:rsid w:val="4A3A14C3"/>
    <w:rsid w:val="4A3B0749"/>
    <w:rsid w:val="4A4C2CEB"/>
    <w:rsid w:val="4A6B22A5"/>
    <w:rsid w:val="4A724BCB"/>
    <w:rsid w:val="4AAB5302"/>
    <w:rsid w:val="4AB26AE1"/>
    <w:rsid w:val="4AD97E43"/>
    <w:rsid w:val="4AE22767"/>
    <w:rsid w:val="4AE75844"/>
    <w:rsid w:val="4AEA2BBE"/>
    <w:rsid w:val="4AFC3310"/>
    <w:rsid w:val="4B343EE0"/>
    <w:rsid w:val="4B652D40"/>
    <w:rsid w:val="4B866AF8"/>
    <w:rsid w:val="4B887DA9"/>
    <w:rsid w:val="4B8C0A01"/>
    <w:rsid w:val="4B951311"/>
    <w:rsid w:val="4BFF620C"/>
    <w:rsid w:val="4C2A5200"/>
    <w:rsid w:val="4C681C8B"/>
    <w:rsid w:val="4C6D7CEF"/>
    <w:rsid w:val="4C7C2CC6"/>
    <w:rsid w:val="4C7F4946"/>
    <w:rsid w:val="4C827C94"/>
    <w:rsid w:val="4C883383"/>
    <w:rsid w:val="4CC83B82"/>
    <w:rsid w:val="4CCE5C39"/>
    <w:rsid w:val="4CCE5D79"/>
    <w:rsid w:val="4CD906A3"/>
    <w:rsid w:val="4CD92C54"/>
    <w:rsid w:val="4CDE4B2B"/>
    <w:rsid w:val="4CDF30F3"/>
    <w:rsid w:val="4CEB4136"/>
    <w:rsid w:val="4CF257EA"/>
    <w:rsid w:val="4CF91416"/>
    <w:rsid w:val="4D002780"/>
    <w:rsid w:val="4D3A3BC0"/>
    <w:rsid w:val="4D7E6A70"/>
    <w:rsid w:val="4D8469DE"/>
    <w:rsid w:val="4DAC68C3"/>
    <w:rsid w:val="4DB9680C"/>
    <w:rsid w:val="4DC64CBE"/>
    <w:rsid w:val="4DD43DBE"/>
    <w:rsid w:val="4DD77E56"/>
    <w:rsid w:val="4E10629F"/>
    <w:rsid w:val="4E7A0B8C"/>
    <w:rsid w:val="4E8C1BF5"/>
    <w:rsid w:val="4E9B4B2F"/>
    <w:rsid w:val="4EAA1D42"/>
    <w:rsid w:val="4EFC390E"/>
    <w:rsid w:val="4F020FAD"/>
    <w:rsid w:val="4F176CE9"/>
    <w:rsid w:val="4F3C2AD4"/>
    <w:rsid w:val="4F3D1133"/>
    <w:rsid w:val="4F3E1683"/>
    <w:rsid w:val="4F416B96"/>
    <w:rsid w:val="4F5551B4"/>
    <w:rsid w:val="4F6C0D31"/>
    <w:rsid w:val="4F763B29"/>
    <w:rsid w:val="4F9B7D3A"/>
    <w:rsid w:val="4FA1138C"/>
    <w:rsid w:val="4FDA6C86"/>
    <w:rsid w:val="4FFD7515"/>
    <w:rsid w:val="504B294D"/>
    <w:rsid w:val="50CB601A"/>
    <w:rsid w:val="50CD543C"/>
    <w:rsid w:val="50E24E7F"/>
    <w:rsid w:val="50F21435"/>
    <w:rsid w:val="50FC206C"/>
    <w:rsid w:val="513D2097"/>
    <w:rsid w:val="514D01AC"/>
    <w:rsid w:val="51846B07"/>
    <w:rsid w:val="51A74443"/>
    <w:rsid w:val="51ED73F6"/>
    <w:rsid w:val="51F213EA"/>
    <w:rsid w:val="51FD717E"/>
    <w:rsid w:val="5217023B"/>
    <w:rsid w:val="52233966"/>
    <w:rsid w:val="522E13DC"/>
    <w:rsid w:val="522F7C52"/>
    <w:rsid w:val="5247612B"/>
    <w:rsid w:val="5280123C"/>
    <w:rsid w:val="529A1287"/>
    <w:rsid w:val="52A90E2E"/>
    <w:rsid w:val="52B04F36"/>
    <w:rsid w:val="52B55785"/>
    <w:rsid w:val="52CD6A64"/>
    <w:rsid w:val="53091BAE"/>
    <w:rsid w:val="531436FF"/>
    <w:rsid w:val="53196A38"/>
    <w:rsid w:val="532B1362"/>
    <w:rsid w:val="5347674B"/>
    <w:rsid w:val="534F27A6"/>
    <w:rsid w:val="534F31BA"/>
    <w:rsid w:val="53525853"/>
    <w:rsid w:val="535C0D29"/>
    <w:rsid w:val="5379362D"/>
    <w:rsid w:val="5395291F"/>
    <w:rsid w:val="539B03B7"/>
    <w:rsid w:val="539F5E1C"/>
    <w:rsid w:val="53A15292"/>
    <w:rsid w:val="53A56D59"/>
    <w:rsid w:val="540F0375"/>
    <w:rsid w:val="54452435"/>
    <w:rsid w:val="54497256"/>
    <w:rsid w:val="546148FC"/>
    <w:rsid w:val="547370C6"/>
    <w:rsid w:val="547868B6"/>
    <w:rsid w:val="548C426F"/>
    <w:rsid w:val="54CD4A28"/>
    <w:rsid w:val="54CE47DC"/>
    <w:rsid w:val="54DA0620"/>
    <w:rsid w:val="54EF79E3"/>
    <w:rsid w:val="55540CA5"/>
    <w:rsid w:val="556641AA"/>
    <w:rsid w:val="556A4CDD"/>
    <w:rsid w:val="559D2EC4"/>
    <w:rsid w:val="55BF2332"/>
    <w:rsid w:val="560662B2"/>
    <w:rsid w:val="56242795"/>
    <w:rsid w:val="562F4C40"/>
    <w:rsid w:val="56376A81"/>
    <w:rsid w:val="56455591"/>
    <w:rsid w:val="568F43AD"/>
    <w:rsid w:val="56A508D4"/>
    <w:rsid w:val="56AD7D44"/>
    <w:rsid w:val="56C9404D"/>
    <w:rsid w:val="56DF67F4"/>
    <w:rsid w:val="56E11498"/>
    <w:rsid w:val="56E23C58"/>
    <w:rsid w:val="56E83685"/>
    <w:rsid w:val="56F03CB1"/>
    <w:rsid w:val="570606C5"/>
    <w:rsid w:val="57180843"/>
    <w:rsid w:val="57313A27"/>
    <w:rsid w:val="5751056E"/>
    <w:rsid w:val="57533958"/>
    <w:rsid w:val="5753775A"/>
    <w:rsid w:val="57635DEC"/>
    <w:rsid w:val="57782C90"/>
    <w:rsid w:val="57796194"/>
    <w:rsid w:val="577A0392"/>
    <w:rsid w:val="577D22EC"/>
    <w:rsid w:val="57852D9F"/>
    <w:rsid w:val="578B6381"/>
    <w:rsid w:val="578E252E"/>
    <w:rsid w:val="57A66450"/>
    <w:rsid w:val="57B506A0"/>
    <w:rsid w:val="57B74973"/>
    <w:rsid w:val="57BD7639"/>
    <w:rsid w:val="57F4005C"/>
    <w:rsid w:val="58131BA0"/>
    <w:rsid w:val="582A50E8"/>
    <w:rsid w:val="583E71D6"/>
    <w:rsid w:val="58413B22"/>
    <w:rsid w:val="58586CFE"/>
    <w:rsid w:val="585B6B80"/>
    <w:rsid w:val="59473E05"/>
    <w:rsid w:val="59586497"/>
    <w:rsid w:val="5988295D"/>
    <w:rsid w:val="599C427C"/>
    <w:rsid w:val="599C6C02"/>
    <w:rsid w:val="59DD4EB9"/>
    <w:rsid w:val="5A0A7A53"/>
    <w:rsid w:val="5A1C2EE4"/>
    <w:rsid w:val="5A58366E"/>
    <w:rsid w:val="5A587D48"/>
    <w:rsid w:val="5A655CE7"/>
    <w:rsid w:val="5A785B97"/>
    <w:rsid w:val="5AB80813"/>
    <w:rsid w:val="5ABE26ED"/>
    <w:rsid w:val="5ADD72A9"/>
    <w:rsid w:val="5ADF7871"/>
    <w:rsid w:val="5B083883"/>
    <w:rsid w:val="5B317A04"/>
    <w:rsid w:val="5B473BCF"/>
    <w:rsid w:val="5B4B6D09"/>
    <w:rsid w:val="5B8A1D10"/>
    <w:rsid w:val="5BAC2376"/>
    <w:rsid w:val="5BCE0EC9"/>
    <w:rsid w:val="5BDB315C"/>
    <w:rsid w:val="5C1D0043"/>
    <w:rsid w:val="5C3C5083"/>
    <w:rsid w:val="5C4E7251"/>
    <w:rsid w:val="5C7922E1"/>
    <w:rsid w:val="5C8B4599"/>
    <w:rsid w:val="5C947357"/>
    <w:rsid w:val="5C9A565E"/>
    <w:rsid w:val="5CC87275"/>
    <w:rsid w:val="5CD807DE"/>
    <w:rsid w:val="5CDB75C9"/>
    <w:rsid w:val="5CED4F00"/>
    <w:rsid w:val="5CF32AD0"/>
    <w:rsid w:val="5CF7510E"/>
    <w:rsid w:val="5D1575D6"/>
    <w:rsid w:val="5D1F0CC6"/>
    <w:rsid w:val="5D801653"/>
    <w:rsid w:val="5D8344FA"/>
    <w:rsid w:val="5D9976C6"/>
    <w:rsid w:val="5DC60467"/>
    <w:rsid w:val="5DD042A4"/>
    <w:rsid w:val="5DE35818"/>
    <w:rsid w:val="5DE67877"/>
    <w:rsid w:val="5DED7010"/>
    <w:rsid w:val="5E0E40DE"/>
    <w:rsid w:val="5E2A38FD"/>
    <w:rsid w:val="5E4B06C0"/>
    <w:rsid w:val="5E527FFF"/>
    <w:rsid w:val="5E7A598C"/>
    <w:rsid w:val="5EA24033"/>
    <w:rsid w:val="5F132F4C"/>
    <w:rsid w:val="5F3722C3"/>
    <w:rsid w:val="5F5A0152"/>
    <w:rsid w:val="5F6474EC"/>
    <w:rsid w:val="5F692E0F"/>
    <w:rsid w:val="5FFD5B08"/>
    <w:rsid w:val="60083E99"/>
    <w:rsid w:val="601E438A"/>
    <w:rsid w:val="602843D3"/>
    <w:rsid w:val="603C6EC1"/>
    <w:rsid w:val="6052252C"/>
    <w:rsid w:val="606916FF"/>
    <w:rsid w:val="606B19BF"/>
    <w:rsid w:val="606F03C5"/>
    <w:rsid w:val="6086142B"/>
    <w:rsid w:val="608C535F"/>
    <w:rsid w:val="609B3AF5"/>
    <w:rsid w:val="60BA4369"/>
    <w:rsid w:val="611C32E4"/>
    <w:rsid w:val="6122664B"/>
    <w:rsid w:val="6139647E"/>
    <w:rsid w:val="61821B79"/>
    <w:rsid w:val="61954924"/>
    <w:rsid w:val="619739F6"/>
    <w:rsid w:val="61A62640"/>
    <w:rsid w:val="61B6461C"/>
    <w:rsid w:val="61C202C3"/>
    <w:rsid w:val="61D360F8"/>
    <w:rsid w:val="61E5307C"/>
    <w:rsid w:val="620F7DA9"/>
    <w:rsid w:val="62242996"/>
    <w:rsid w:val="62310026"/>
    <w:rsid w:val="62417A04"/>
    <w:rsid w:val="62586471"/>
    <w:rsid w:val="625977F7"/>
    <w:rsid w:val="6264057B"/>
    <w:rsid w:val="626F48BD"/>
    <w:rsid w:val="62A5027B"/>
    <w:rsid w:val="62CA798A"/>
    <w:rsid w:val="62CE5179"/>
    <w:rsid w:val="62CF1F42"/>
    <w:rsid w:val="62FF0CE5"/>
    <w:rsid w:val="632B20D5"/>
    <w:rsid w:val="633D361C"/>
    <w:rsid w:val="633D4665"/>
    <w:rsid w:val="634618F9"/>
    <w:rsid w:val="634D1C60"/>
    <w:rsid w:val="636D1FAC"/>
    <w:rsid w:val="63D40E7F"/>
    <w:rsid w:val="63DB0061"/>
    <w:rsid w:val="63FD031A"/>
    <w:rsid w:val="64015A70"/>
    <w:rsid w:val="64027860"/>
    <w:rsid w:val="640B17C4"/>
    <w:rsid w:val="642B3664"/>
    <w:rsid w:val="645C7A12"/>
    <w:rsid w:val="64627500"/>
    <w:rsid w:val="64725384"/>
    <w:rsid w:val="648A12CC"/>
    <w:rsid w:val="648F7F0A"/>
    <w:rsid w:val="64B124F1"/>
    <w:rsid w:val="64B70CC9"/>
    <w:rsid w:val="64CD4B4E"/>
    <w:rsid w:val="64E6049E"/>
    <w:rsid w:val="64FC01E4"/>
    <w:rsid w:val="6511614C"/>
    <w:rsid w:val="65285B05"/>
    <w:rsid w:val="652E11F0"/>
    <w:rsid w:val="6536289C"/>
    <w:rsid w:val="65421307"/>
    <w:rsid w:val="654672B3"/>
    <w:rsid w:val="65600A6C"/>
    <w:rsid w:val="65865E9F"/>
    <w:rsid w:val="6591114B"/>
    <w:rsid w:val="659A3353"/>
    <w:rsid w:val="65D32611"/>
    <w:rsid w:val="66286777"/>
    <w:rsid w:val="66323ADF"/>
    <w:rsid w:val="66382A97"/>
    <w:rsid w:val="6684253E"/>
    <w:rsid w:val="66C03831"/>
    <w:rsid w:val="66C93AC6"/>
    <w:rsid w:val="66CE5E36"/>
    <w:rsid w:val="66EA3F7C"/>
    <w:rsid w:val="670D20CA"/>
    <w:rsid w:val="67162D68"/>
    <w:rsid w:val="67217E3E"/>
    <w:rsid w:val="67294FDA"/>
    <w:rsid w:val="672A60D5"/>
    <w:rsid w:val="673715E3"/>
    <w:rsid w:val="673716D2"/>
    <w:rsid w:val="674B0C82"/>
    <w:rsid w:val="674F4D34"/>
    <w:rsid w:val="676F1242"/>
    <w:rsid w:val="67B61D29"/>
    <w:rsid w:val="67BB003D"/>
    <w:rsid w:val="67D175EF"/>
    <w:rsid w:val="68132264"/>
    <w:rsid w:val="68133F4F"/>
    <w:rsid w:val="68277C2A"/>
    <w:rsid w:val="682977D1"/>
    <w:rsid w:val="6841159B"/>
    <w:rsid w:val="686C7E60"/>
    <w:rsid w:val="689048BD"/>
    <w:rsid w:val="6892409E"/>
    <w:rsid w:val="6892630C"/>
    <w:rsid w:val="68DF7F21"/>
    <w:rsid w:val="690F4A25"/>
    <w:rsid w:val="692556B0"/>
    <w:rsid w:val="692B3716"/>
    <w:rsid w:val="692C1364"/>
    <w:rsid w:val="69305620"/>
    <w:rsid w:val="69557DDE"/>
    <w:rsid w:val="69583BF5"/>
    <w:rsid w:val="69695287"/>
    <w:rsid w:val="697F0C22"/>
    <w:rsid w:val="698F343B"/>
    <w:rsid w:val="69C30412"/>
    <w:rsid w:val="6A090358"/>
    <w:rsid w:val="6A1955B6"/>
    <w:rsid w:val="6A2529ED"/>
    <w:rsid w:val="6A336D45"/>
    <w:rsid w:val="6A4960ED"/>
    <w:rsid w:val="6A790E3A"/>
    <w:rsid w:val="6A88688D"/>
    <w:rsid w:val="6AA35189"/>
    <w:rsid w:val="6AA7584E"/>
    <w:rsid w:val="6AD66FD5"/>
    <w:rsid w:val="6AD846D7"/>
    <w:rsid w:val="6ADF4062"/>
    <w:rsid w:val="6AEF74BC"/>
    <w:rsid w:val="6B026BA0"/>
    <w:rsid w:val="6B3C600C"/>
    <w:rsid w:val="6B457289"/>
    <w:rsid w:val="6B523699"/>
    <w:rsid w:val="6B5F4FDF"/>
    <w:rsid w:val="6B845E74"/>
    <w:rsid w:val="6B90226A"/>
    <w:rsid w:val="6B9F2CDD"/>
    <w:rsid w:val="6BAA6E73"/>
    <w:rsid w:val="6BB256BF"/>
    <w:rsid w:val="6BB27264"/>
    <w:rsid w:val="6BF81371"/>
    <w:rsid w:val="6BFE65C6"/>
    <w:rsid w:val="6C0F00F1"/>
    <w:rsid w:val="6C1F3963"/>
    <w:rsid w:val="6C25217A"/>
    <w:rsid w:val="6C386C1D"/>
    <w:rsid w:val="6C597385"/>
    <w:rsid w:val="6CC5368F"/>
    <w:rsid w:val="6CCD388D"/>
    <w:rsid w:val="6CEE15A0"/>
    <w:rsid w:val="6D0D7148"/>
    <w:rsid w:val="6D65789B"/>
    <w:rsid w:val="6D911326"/>
    <w:rsid w:val="6DAF26FE"/>
    <w:rsid w:val="6DCA3B30"/>
    <w:rsid w:val="6DF36EF3"/>
    <w:rsid w:val="6E0B7119"/>
    <w:rsid w:val="6E0E5114"/>
    <w:rsid w:val="6E144BB9"/>
    <w:rsid w:val="6E1B63E7"/>
    <w:rsid w:val="6E31797E"/>
    <w:rsid w:val="6E68109D"/>
    <w:rsid w:val="6E862E00"/>
    <w:rsid w:val="6EB1289B"/>
    <w:rsid w:val="6EDA1875"/>
    <w:rsid w:val="6EE131FC"/>
    <w:rsid w:val="6EF03FB1"/>
    <w:rsid w:val="6F1E5E84"/>
    <w:rsid w:val="6F245C05"/>
    <w:rsid w:val="6F4074BC"/>
    <w:rsid w:val="6F416B95"/>
    <w:rsid w:val="6F7B1CE8"/>
    <w:rsid w:val="6F8A031E"/>
    <w:rsid w:val="6FCD3B58"/>
    <w:rsid w:val="6FE41C21"/>
    <w:rsid w:val="6FEC122C"/>
    <w:rsid w:val="6FF424E2"/>
    <w:rsid w:val="700346D4"/>
    <w:rsid w:val="705020FD"/>
    <w:rsid w:val="7060454A"/>
    <w:rsid w:val="70AB052B"/>
    <w:rsid w:val="70C90342"/>
    <w:rsid w:val="70E57245"/>
    <w:rsid w:val="70E8724B"/>
    <w:rsid w:val="712C1FF8"/>
    <w:rsid w:val="71386CCF"/>
    <w:rsid w:val="713D3157"/>
    <w:rsid w:val="714814E8"/>
    <w:rsid w:val="71512E4E"/>
    <w:rsid w:val="7153701E"/>
    <w:rsid w:val="715E368C"/>
    <w:rsid w:val="71687ABE"/>
    <w:rsid w:val="716E0241"/>
    <w:rsid w:val="718A2F42"/>
    <w:rsid w:val="71C5433D"/>
    <w:rsid w:val="71C75C56"/>
    <w:rsid w:val="71D90DA4"/>
    <w:rsid w:val="72034092"/>
    <w:rsid w:val="721203E4"/>
    <w:rsid w:val="72352B51"/>
    <w:rsid w:val="72381F8E"/>
    <w:rsid w:val="725E6376"/>
    <w:rsid w:val="726376B6"/>
    <w:rsid w:val="728A58AF"/>
    <w:rsid w:val="728D2A74"/>
    <w:rsid w:val="73223C22"/>
    <w:rsid w:val="732B3D6D"/>
    <w:rsid w:val="732C69D2"/>
    <w:rsid w:val="73310977"/>
    <w:rsid w:val="7331488C"/>
    <w:rsid w:val="73482806"/>
    <w:rsid w:val="73706993"/>
    <w:rsid w:val="737435E5"/>
    <w:rsid w:val="73793570"/>
    <w:rsid w:val="737B5A3F"/>
    <w:rsid w:val="738D38A8"/>
    <w:rsid w:val="73974230"/>
    <w:rsid w:val="73C053F4"/>
    <w:rsid w:val="73CD7649"/>
    <w:rsid w:val="741048D5"/>
    <w:rsid w:val="744741B0"/>
    <w:rsid w:val="744E7522"/>
    <w:rsid w:val="74607344"/>
    <w:rsid w:val="74BF6569"/>
    <w:rsid w:val="74EF5803"/>
    <w:rsid w:val="74F50471"/>
    <w:rsid w:val="750B2D4E"/>
    <w:rsid w:val="757A34CC"/>
    <w:rsid w:val="759E3591"/>
    <w:rsid w:val="75DA70EB"/>
    <w:rsid w:val="75DF0C72"/>
    <w:rsid w:val="75EF0DDA"/>
    <w:rsid w:val="762A0FDB"/>
    <w:rsid w:val="765A05BC"/>
    <w:rsid w:val="7687478B"/>
    <w:rsid w:val="76912C94"/>
    <w:rsid w:val="76967787"/>
    <w:rsid w:val="76B92B53"/>
    <w:rsid w:val="76CB49D2"/>
    <w:rsid w:val="76D04118"/>
    <w:rsid w:val="76E339E7"/>
    <w:rsid w:val="770E483E"/>
    <w:rsid w:val="771070EB"/>
    <w:rsid w:val="773A5AF5"/>
    <w:rsid w:val="774C2B72"/>
    <w:rsid w:val="77563CD7"/>
    <w:rsid w:val="775D7A36"/>
    <w:rsid w:val="777E11ED"/>
    <w:rsid w:val="77B5416C"/>
    <w:rsid w:val="77DB43A4"/>
    <w:rsid w:val="77F17251"/>
    <w:rsid w:val="77FA4594"/>
    <w:rsid w:val="77FC1EE6"/>
    <w:rsid w:val="783B0AD1"/>
    <w:rsid w:val="783D066F"/>
    <w:rsid w:val="784D72BD"/>
    <w:rsid w:val="78612CE1"/>
    <w:rsid w:val="7894439F"/>
    <w:rsid w:val="78E737E2"/>
    <w:rsid w:val="78F06CD6"/>
    <w:rsid w:val="79125A17"/>
    <w:rsid w:val="791B0B68"/>
    <w:rsid w:val="793D38A0"/>
    <w:rsid w:val="79561006"/>
    <w:rsid w:val="796718F9"/>
    <w:rsid w:val="797926D7"/>
    <w:rsid w:val="79D20778"/>
    <w:rsid w:val="7A0128FA"/>
    <w:rsid w:val="7A05318F"/>
    <w:rsid w:val="7A230972"/>
    <w:rsid w:val="7A34167B"/>
    <w:rsid w:val="7A344D89"/>
    <w:rsid w:val="7A417F22"/>
    <w:rsid w:val="7A457852"/>
    <w:rsid w:val="7AE5491E"/>
    <w:rsid w:val="7AF65053"/>
    <w:rsid w:val="7AFA2F2B"/>
    <w:rsid w:val="7AFF43BC"/>
    <w:rsid w:val="7B00266C"/>
    <w:rsid w:val="7B227E20"/>
    <w:rsid w:val="7B5C2F3D"/>
    <w:rsid w:val="7B6341E8"/>
    <w:rsid w:val="7B695A2C"/>
    <w:rsid w:val="7B6F1AE6"/>
    <w:rsid w:val="7B7739CE"/>
    <w:rsid w:val="7B9D48A5"/>
    <w:rsid w:val="7BB67714"/>
    <w:rsid w:val="7BB81656"/>
    <w:rsid w:val="7BD81D81"/>
    <w:rsid w:val="7BDA1655"/>
    <w:rsid w:val="7C1126B3"/>
    <w:rsid w:val="7C2D4B87"/>
    <w:rsid w:val="7C456252"/>
    <w:rsid w:val="7C4E697D"/>
    <w:rsid w:val="7C6B04FF"/>
    <w:rsid w:val="7C8A7CD6"/>
    <w:rsid w:val="7CB47DAA"/>
    <w:rsid w:val="7CC443BD"/>
    <w:rsid w:val="7CC75800"/>
    <w:rsid w:val="7CF16029"/>
    <w:rsid w:val="7CF46795"/>
    <w:rsid w:val="7D335CF6"/>
    <w:rsid w:val="7D435F90"/>
    <w:rsid w:val="7D4B453B"/>
    <w:rsid w:val="7D5947FB"/>
    <w:rsid w:val="7D815A75"/>
    <w:rsid w:val="7DBD7335"/>
    <w:rsid w:val="7E034D49"/>
    <w:rsid w:val="7E0D45DD"/>
    <w:rsid w:val="7E48583E"/>
    <w:rsid w:val="7E532F80"/>
    <w:rsid w:val="7E5E415E"/>
    <w:rsid w:val="7E8349E5"/>
    <w:rsid w:val="7E960A89"/>
    <w:rsid w:val="7EAD5A62"/>
    <w:rsid w:val="7EAE550A"/>
    <w:rsid w:val="7EB874CC"/>
    <w:rsid w:val="7F4334D7"/>
    <w:rsid w:val="7F46184E"/>
    <w:rsid w:val="7F4B6365"/>
    <w:rsid w:val="7F657CBF"/>
    <w:rsid w:val="7FBE24E6"/>
    <w:rsid w:val="7FC94460"/>
    <w:rsid w:val="7FD52A30"/>
    <w:rsid w:val="7FDC1D5B"/>
    <w:rsid w:val="7FF16AF3"/>
    <w:rsid w:val="7FFFD4F9"/>
    <w:rsid w:val="A76F8D4E"/>
    <w:rsid w:val="FF749C7D"/>
    <w:rsid w:val="FFFD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jc w:val="center"/>
      <w:outlineLvl w:val="0"/>
    </w:pPr>
    <w:rPr>
      <w:rFonts w:eastAsia="黑体"/>
      <w:b/>
      <w:sz w:val="32"/>
      <w:szCs w:val="20"/>
    </w:rPr>
  </w:style>
  <w:style w:type="paragraph" w:styleId="3">
    <w:name w:val="heading 2"/>
    <w:basedOn w:val="1"/>
    <w:next w:val="1"/>
    <w:qFormat/>
    <w:uiPriority w:val="0"/>
    <w:pPr>
      <w:keepNext/>
      <w:numPr>
        <w:ilvl w:val="1"/>
        <w:numId w:val="1"/>
      </w:numPr>
      <w:outlineLvl w:val="1"/>
    </w:pPr>
    <w:rPr>
      <w:sz w:val="28"/>
      <w:szCs w:val="20"/>
    </w:rPr>
  </w:style>
  <w:style w:type="paragraph" w:styleId="4">
    <w:name w:val="heading 3"/>
    <w:basedOn w:val="1"/>
    <w:next w:val="1"/>
    <w:qFormat/>
    <w:uiPriority w:val="0"/>
    <w:pPr>
      <w:keepNext/>
      <w:keepLines/>
      <w:numPr>
        <w:ilvl w:val="2"/>
        <w:numId w:val="1"/>
      </w:numPr>
      <w:spacing w:line="540" w:lineRule="atLeast"/>
      <w:outlineLvl w:val="2"/>
    </w:pPr>
    <w:rPr>
      <w:rFonts w:eastAsia="黑体"/>
      <w:b/>
      <w:sz w:val="28"/>
      <w:szCs w:val="20"/>
    </w:rPr>
  </w:style>
  <w:style w:type="paragraph" w:styleId="5">
    <w:name w:val="heading 4"/>
    <w:basedOn w:val="1"/>
    <w:next w:val="6"/>
    <w:qFormat/>
    <w:uiPriority w:val="0"/>
    <w:pPr>
      <w:keepNext/>
      <w:keepLines/>
      <w:numPr>
        <w:ilvl w:val="3"/>
        <w:numId w:val="1"/>
      </w:numPr>
      <w:spacing w:line="540" w:lineRule="atLeast"/>
      <w:outlineLvl w:val="3"/>
    </w:pPr>
    <w:rPr>
      <w:sz w:val="28"/>
      <w:szCs w:val="28"/>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6">
    <w:name w:val="Normal Indent"/>
    <w:basedOn w:val="1"/>
    <w:next w:val="1"/>
    <w:link w:val="37"/>
    <w:qFormat/>
    <w:uiPriority w:val="0"/>
    <w:pPr>
      <w:adjustRightInd w:val="0"/>
      <w:spacing w:line="312" w:lineRule="atLeast"/>
      <w:ind w:firstLine="420"/>
      <w:textAlignment w:val="baseline"/>
    </w:pPr>
    <w:rPr>
      <w:kern w:val="0"/>
      <w:szCs w:val="20"/>
    </w:rPr>
  </w:style>
  <w:style w:type="paragraph" w:styleId="12">
    <w:name w:val="Document Map"/>
    <w:basedOn w:val="1"/>
    <w:link w:val="38"/>
    <w:qFormat/>
    <w:uiPriority w:val="0"/>
    <w:rPr>
      <w:rFonts w:ascii="宋体"/>
      <w:sz w:val="18"/>
      <w:szCs w:val="18"/>
    </w:rPr>
  </w:style>
  <w:style w:type="paragraph" w:styleId="13">
    <w:name w:val="Body Text"/>
    <w:basedOn w:val="1"/>
    <w:next w:val="14"/>
    <w:link w:val="39"/>
    <w:qFormat/>
    <w:uiPriority w:val="0"/>
    <w:pPr>
      <w:spacing w:after="120"/>
    </w:pPr>
  </w:style>
  <w:style w:type="paragraph" w:styleId="14">
    <w:name w:val="Body Text First Indent"/>
    <w:basedOn w:val="13"/>
    <w:next w:val="1"/>
    <w:qFormat/>
    <w:uiPriority w:val="0"/>
    <w:pPr>
      <w:autoSpaceDE w:val="0"/>
      <w:autoSpaceDN w:val="0"/>
      <w:adjustRightInd w:val="0"/>
      <w:ind w:firstLine="420" w:firstLineChars="100"/>
      <w:jc w:val="left"/>
    </w:pPr>
    <w:rPr>
      <w:kern w:val="0"/>
      <w:sz w:val="20"/>
      <w:szCs w:val="20"/>
    </w:rPr>
  </w:style>
  <w:style w:type="paragraph" w:styleId="15">
    <w:name w:val="Body Text Indent"/>
    <w:basedOn w:val="1"/>
    <w:qFormat/>
    <w:uiPriority w:val="0"/>
    <w:pPr>
      <w:ind w:left="480" w:hanging="480" w:hangingChars="200"/>
    </w:pPr>
    <w:rPr>
      <w:sz w:val="24"/>
    </w:rPr>
  </w:style>
  <w:style w:type="paragraph" w:styleId="16">
    <w:name w:val="Block Text"/>
    <w:basedOn w:val="1"/>
    <w:qFormat/>
    <w:uiPriority w:val="0"/>
    <w:pPr>
      <w:spacing w:after="120"/>
      <w:ind w:left="1440" w:leftChars="700" w:right="1440" w:rightChars="700"/>
    </w:pPr>
    <w:rPr>
      <w:sz w:val="24"/>
      <w:szCs w:val="20"/>
    </w:rPr>
  </w:style>
  <w:style w:type="paragraph" w:styleId="17">
    <w:name w:val="toc 3"/>
    <w:basedOn w:val="1"/>
    <w:next w:val="1"/>
    <w:unhideWhenUsed/>
    <w:qFormat/>
    <w:uiPriority w:val="39"/>
    <w:pPr>
      <w:ind w:left="840" w:leftChars="400"/>
    </w:pPr>
  </w:style>
  <w:style w:type="paragraph" w:styleId="18">
    <w:name w:val="Plain Text"/>
    <w:basedOn w:val="1"/>
    <w:link w:val="4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9">
    <w:name w:val="Body Text Indent 2"/>
    <w:basedOn w:val="1"/>
    <w:qFormat/>
    <w:uiPriority w:val="0"/>
    <w:pPr>
      <w:spacing w:line="500" w:lineRule="exact"/>
      <w:ind w:firstLine="511" w:firstLineChars="213"/>
    </w:pPr>
    <w:rPr>
      <w:sz w:val="24"/>
    </w:rPr>
  </w:style>
  <w:style w:type="paragraph" w:styleId="20">
    <w:name w:val="Balloon Text"/>
    <w:basedOn w:val="1"/>
    <w:qFormat/>
    <w:uiPriority w:val="0"/>
    <w:rPr>
      <w:sz w:val="18"/>
      <w:szCs w:val="18"/>
    </w:rPr>
  </w:style>
  <w:style w:type="paragraph" w:styleId="21">
    <w:name w:val="footer"/>
    <w:basedOn w:val="1"/>
    <w:link w:val="41"/>
    <w:qFormat/>
    <w:uiPriority w:val="0"/>
    <w:pPr>
      <w:tabs>
        <w:tab w:val="center" w:pos="4153"/>
        <w:tab w:val="right" w:pos="8306"/>
      </w:tabs>
      <w:snapToGrid w:val="0"/>
      <w:jc w:val="left"/>
    </w:pPr>
    <w:rPr>
      <w:sz w:val="18"/>
      <w:szCs w:val="18"/>
    </w:rPr>
  </w:style>
  <w:style w:type="paragraph" w:styleId="22">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rPr>
      <w:szCs w:val="21"/>
    </w:rPr>
  </w:style>
  <w:style w:type="paragraph" w:styleId="25">
    <w:name w:val="Body Text Indent 3"/>
    <w:basedOn w:val="1"/>
    <w:qFormat/>
    <w:uiPriority w:val="0"/>
    <w:pPr>
      <w:spacing w:line="500" w:lineRule="exact"/>
      <w:ind w:left="511" w:hanging="511" w:hangingChars="213"/>
    </w:pPr>
    <w:rPr>
      <w:sz w:val="24"/>
    </w:rPr>
  </w:style>
  <w:style w:type="paragraph" w:styleId="26">
    <w:name w:val="toc 2"/>
    <w:basedOn w:val="1"/>
    <w:next w:val="1"/>
    <w:unhideWhenUsed/>
    <w:qFormat/>
    <w:uiPriority w:val="39"/>
    <w:pPr>
      <w:ind w:left="420" w:leftChars="200"/>
    </w:pPr>
  </w:style>
  <w:style w:type="paragraph" w:styleId="2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43"/>
    <w:qFormat/>
    <w:uiPriority w:val="0"/>
    <w:pPr>
      <w:spacing w:before="240" w:after="60"/>
      <w:jc w:val="center"/>
      <w:outlineLvl w:val="0"/>
    </w:pPr>
    <w:rPr>
      <w:rFonts w:ascii="Cambria" w:hAnsi="Cambria"/>
      <w:b/>
      <w:bCs/>
      <w:sz w:val="32"/>
      <w:szCs w:val="32"/>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unhideWhenUsed/>
    <w:qFormat/>
    <w:uiPriority w:val="99"/>
    <w:rPr>
      <w:color w:val="800080"/>
      <w:u w:val="none"/>
    </w:rPr>
  </w:style>
  <w:style w:type="character" w:styleId="36">
    <w:name w:val="Hyperlink"/>
    <w:qFormat/>
    <w:uiPriority w:val="0"/>
    <w:rPr>
      <w:color w:val="0000FF"/>
      <w:u w:val="none"/>
    </w:rPr>
  </w:style>
  <w:style w:type="character" w:customStyle="1" w:styleId="37">
    <w:name w:val="正文缩进 字符"/>
    <w:link w:val="6"/>
    <w:qFormat/>
    <w:uiPriority w:val="0"/>
    <w:rPr>
      <w:rFonts w:eastAsia="宋体"/>
      <w:sz w:val="21"/>
      <w:lang w:val="en-US" w:eastAsia="zh-CN" w:bidi="ar-SA"/>
    </w:rPr>
  </w:style>
  <w:style w:type="character" w:customStyle="1" w:styleId="38">
    <w:name w:val="文档结构图 字符"/>
    <w:link w:val="12"/>
    <w:qFormat/>
    <w:uiPriority w:val="0"/>
    <w:rPr>
      <w:rFonts w:ascii="宋体"/>
      <w:kern w:val="2"/>
      <w:sz w:val="18"/>
      <w:szCs w:val="18"/>
    </w:rPr>
  </w:style>
  <w:style w:type="character" w:customStyle="1" w:styleId="39">
    <w:name w:val="正文文本 字符"/>
    <w:link w:val="13"/>
    <w:qFormat/>
    <w:uiPriority w:val="0"/>
    <w:rPr>
      <w:rFonts w:eastAsia="宋体"/>
      <w:kern w:val="2"/>
      <w:sz w:val="21"/>
      <w:szCs w:val="24"/>
      <w:lang w:val="en-US" w:eastAsia="zh-CN" w:bidi="ar-SA"/>
    </w:rPr>
  </w:style>
  <w:style w:type="character" w:customStyle="1" w:styleId="40">
    <w:name w:val="纯文本 字符"/>
    <w:link w:val="18"/>
    <w:qFormat/>
    <w:uiPriority w:val="0"/>
    <w:rPr>
      <w:rFonts w:ascii="宋体" w:hAnsi="Courier New" w:eastAsia="宋体"/>
      <w:sz w:val="21"/>
      <w:szCs w:val="21"/>
      <w:lang w:val="en-US" w:eastAsia="zh-CN" w:bidi="ar-SA"/>
    </w:rPr>
  </w:style>
  <w:style w:type="character" w:customStyle="1" w:styleId="41">
    <w:name w:val="页脚 字符"/>
    <w:basedOn w:val="32"/>
    <w:link w:val="21"/>
    <w:qFormat/>
    <w:uiPriority w:val="0"/>
    <w:rPr>
      <w:rFonts w:hint="eastAsia" w:ascii="黑体" w:hAnsi="宋体" w:eastAsia="黑体" w:cs="黑体"/>
      <w:snapToGrid w:val="0"/>
      <w:sz w:val="18"/>
      <w:szCs w:val="18"/>
    </w:rPr>
  </w:style>
  <w:style w:type="character" w:customStyle="1" w:styleId="42">
    <w:name w:val="页眉 字符"/>
    <w:basedOn w:val="32"/>
    <w:link w:val="22"/>
    <w:qFormat/>
    <w:uiPriority w:val="0"/>
    <w:rPr>
      <w:kern w:val="2"/>
      <w:sz w:val="18"/>
      <w:szCs w:val="18"/>
    </w:rPr>
  </w:style>
  <w:style w:type="character" w:customStyle="1" w:styleId="43">
    <w:name w:val="标题 字符"/>
    <w:link w:val="29"/>
    <w:qFormat/>
    <w:uiPriority w:val="0"/>
    <w:rPr>
      <w:rFonts w:ascii="Cambria" w:hAnsi="Cambria" w:eastAsia="宋体"/>
      <w:b/>
      <w:bCs/>
      <w:kern w:val="2"/>
      <w:sz w:val="32"/>
      <w:szCs w:val="32"/>
      <w:lang w:val="en-US" w:eastAsia="zh-CN" w:bidi="ar-SA"/>
    </w:rPr>
  </w:style>
  <w:style w:type="character" w:customStyle="1" w:styleId="44">
    <w:name w:val="paragraph1 Char Char"/>
    <w:link w:val="45"/>
    <w:qFormat/>
    <w:uiPriority w:val="0"/>
    <w:rPr>
      <w:rFonts w:ascii="Arial" w:hAnsi="Arial" w:eastAsia="宋体"/>
      <w:kern w:val="2"/>
      <w:sz w:val="24"/>
      <w:szCs w:val="24"/>
      <w:lang w:val="en-US" w:eastAsia="zh-CN" w:bidi="ar-SA"/>
    </w:rPr>
  </w:style>
  <w:style w:type="paragraph" w:customStyle="1" w:styleId="45">
    <w:name w:val="paragraph1"/>
    <w:basedOn w:val="1"/>
    <w:link w:val="44"/>
    <w:qFormat/>
    <w:uiPriority w:val="0"/>
    <w:pPr>
      <w:spacing w:after="93" w:afterLines="30" w:line="360" w:lineRule="auto"/>
      <w:ind w:firstLine="480" w:firstLineChars="200"/>
    </w:pPr>
    <w:rPr>
      <w:rFonts w:ascii="Arial" w:hAnsi="Arial"/>
      <w:sz w:val="24"/>
    </w:rPr>
  </w:style>
  <w:style w:type="character" w:customStyle="1" w:styleId="46">
    <w:name w:val="Char Char Char"/>
    <w:qFormat/>
    <w:uiPriority w:val="0"/>
    <w:rPr>
      <w:rFonts w:ascii="宋体" w:hAnsi="Courier New" w:eastAsia="宋体"/>
      <w:sz w:val="21"/>
      <w:szCs w:val="21"/>
      <w:lang w:val="en-US" w:eastAsia="zh-CN" w:bidi="ar-SA"/>
    </w:rPr>
  </w:style>
  <w:style w:type="paragraph" w:customStyle="1" w:styleId="47">
    <w:name w:val="正文－恩普"/>
    <w:basedOn w:val="6"/>
    <w:qFormat/>
    <w:uiPriority w:val="0"/>
    <w:pPr>
      <w:adjustRightInd/>
      <w:spacing w:line="360" w:lineRule="auto"/>
      <w:ind w:firstLine="200" w:firstLineChars="200"/>
      <w:textAlignment w:val="auto"/>
    </w:pPr>
    <w:rPr>
      <w:kern w:val="2"/>
      <w:sz w:val="24"/>
      <w:szCs w:val="24"/>
    </w:rPr>
  </w:style>
  <w:style w:type="paragraph" w:customStyle="1" w:styleId="48">
    <w:name w:val="List Paragraph1"/>
    <w:basedOn w:val="1"/>
    <w:qFormat/>
    <w:uiPriority w:val="0"/>
    <w:pPr>
      <w:ind w:firstLine="420" w:firstLineChars="200"/>
    </w:pPr>
    <w:rPr>
      <w:szCs w:val="21"/>
    </w:rPr>
  </w:style>
  <w:style w:type="paragraph" w:customStyle="1" w:styleId="49">
    <w:name w:val="_Style 30"/>
    <w:basedOn w:val="1"/>
    <w:qFormat/>
    <w:uiPriority w:val="0"/>
    <w:rPr>
      <w:rFonts w:ascii="仿宋_GB2312" w:eastAsia="仿宋_GB2312"/>
      <w:b/>
      <w:sz w:val="32"/>
      <w:szCs w:val="32"/>
    </w:rPr>
  </w:style>
  <w:style w:type="paragraph" w:customStyle="1" w:styleId="50">
    <w:name w:val="样式 正文缩进正文（首行缩进两字）ALT+Z表正文正文非缩进特点标题4特点 Char Char文2段1特点 ..."/>
    <w:basedOn w:val="6"/>
    <w:qFormat/>
    <w:uiPriority w:val="0"/>
    <w:pPr>
      <w:adjustRightInd/>
      <w:spacing w:line="460" w:lineRule="exact"/>
      <w:ind w:firstLine="560" w:firstLineChars="200"/>
      <w:jc w:val="center"/>
      <w:textAlignment w:val="auto"/>
    </w:pPr>
    <w:rPr>
      <w:rFonts w:ascii="仿宋" w:hAnsi="仿宋" w:eastAsia="仿宋" w:cs="宋体"/>
      <w:kern w:val="2"/>
      <w:sz w:val="28"/>
      <w:szCs w:val="28"/>
    </w:rPr>
  </w:style>
  <w:style w:type="paragraph" w:customStyle="1" w:styleId="51">
    <w:name w:val="Char1"/>
    <w:basedOn w:val="1"/>
    <w:qFormat/>
    <w:uiPriority w:val="0"/>
    <w:rPr>
      <w:rFonts w:ascii="仿宋_GB2312" w:eastAsia="仿宋_GB2312"/>
      <w:b/>
      <w:sz w:val="32"/>
      <w:szCs w:val="32"/>
    </w:rPr>
  </w:style>
  <w:style w:type="paragraph" w:customStyle="1" w:styleId="52">
    <w:name w:val="1 Char"/>
    <w:basedOn w:val="6"/>
    <w:qFormat/>
    <w:uiPriority w:val="0"/>
    <w:pPr>
      <w:adjustRightInd/>
      <w:spacing w:line="360" w:lineRule="auto"/>
      <w:ind w:firstLine="200" w:firstLineChars="200"/>
      <w:textAlignment w:val="auto"/>
    </w:pPr>
    <w:rPr>
      <w:kern w:val="2"/>
    </w:rPr>
  </w:style>
  <w:style w:type="paragraph" w:customStyle="1" w:styleId="53">
    <w:name w:val="Char Char"/>
    <w:basedOn w:val="1"/>
    <w:qFormat/>
    <w:uiPriority w:val="0"/>
    <w:rPr>
      <w:rFonts w:ascii="仿宋_GB2312" w:eastAsia="仿宋_GB2312"/>
      <w:b/>
      <w:sz w:val="32"/>
      <w:szCs w:val="32"/>
    </w:rPr>
  </w:style>
  <w:style w:type="paragraph" w:customStyle="1" w:styleId="54">
    <w:name w:val="Char1 Char Char Char Char Char Char"/>
    <w:basedOn w:val="1"/>
    <w:qFormat/>
    <w:uiPriority w:val="0"/>
    <w:rPr>
      <w:rFonts w:ascii="宋体" w:hAnsi="宋体"/>
      <w:color w:val="000000"/>
      <w:sz w:val="24"/>
    </w:rPr>
  </w:style>
  <w:style w:type="paragraph" w:customStyle="1" w:styleId="55">
    <w:name w:val="样式 标题 3Map titleLevel 3 HeadH3level_3PIM 3h3sect1.2.3pro..."/>
    <w:basedOn w:val="4"/>
    <w:qFormat/>
    <w:uiPriority w:val="0"/>
    <w:pPr>
      <w:keepLines w:val="0"/>
      <w:widowControl/>
      <w:numPr>
        <w:numId w:val="0"/>
      </w:numPr>
      <w:snapToGrid w:val="0"/>
      <w:spacing w:before="120" w:after="120" w:line="288" w:lineRule="auto"/>
      <w:ind w:left="1224" w:hanging="1224"/>
      <w:jc w:val="left"/>
    </w:pPr>
    <w:rPr>
      <w:rFonts w:ascii="仿宋_GB2312" w:hAnsi="Arial" w:eastAsia="仿宋_GB2312" w:cs="宋体"/>
      <w:bCs/>
      <w:iCs/>
      <w:kern w:val="0"/>
      <w:szCs w:val="28"/>
    </w:rPr>
  </w:style>
  <w:style w:type="paragraph" w:customStyle="1" w:styleId="56">
    <w:name w:val="默认段落字体 Para Char Char Char Char Char Char Char"/>
    <w:basedOn w:val="1"/>
    <w:qFormat/>
    <w:uiPriority w:val="0"/>
    <w:rPr>
      <w:rFonts w:ascii="Tahoma" w:hAnsi="Tahoma"/>
      <w:sz w:val="24"/>
      <w:szCs w:val="20"/>
    </w:rPr>
  </w:style>
  <w:style w:type="paragraph" w:customStyle="1" w:styleId="57">
    <w:name w:val="Default"/>
    <w:next w:val="5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标准正文 Char"/>
    <w:basedOn w:val="13"/>
    <w:qFormat/>
    <w:uiPriority w:val="0"/>
    <w:pPr>
      <w:numPr>
        <w:ilvl w:val="0"/>
        <w:numId w:val="2"/>
      </w:numPr>
      <w:tabs>
        <w:tab w:val="clear" w:pos="420"/>
      </w:tabs>
      <w:ind w:left="0" w:firstLine="0"/>
    </w:pPr>
    <w:rPr>
      <w:rFonts w:ascii="Calibri" w:hAnsi="Calibri"/>
      <w:szCs w:val="22"/>
    </w:rPr>
  </w:style>
  <w:style w:type="paragraph" w:customStyle="1" w:styleId="6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styleId="62">
    <w:name w:val="List Paragraph"/>
    <w:basedOn w:val="1"/>
    <w:qFormat/>
    <w:uiPriority w:val="0"/>
    <w:pPr>
      <w:ind w:firstLine="420" w:firstLineChars="200"/>
    </w:pPr>
    <w:rPr>
      <w:rFonts w:ascii="Calibri" w:hAnsi="Calibri"/>
      <w:szCs w:val="22"/>
    </w:rPr>
  </w:style>
  <w:style w:type="paragraph" w:customStyle="1" w:styleId="63">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64">
    <w:name w:val="Table Text"/>
    <w:basedOn w:val="1"/>
    <w:qFormat/>
    <w:uiPriority w:val="0"/>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65">
    <w:name w:val="正文文本缩进 21"/>
    <w:qFormat/>
    <w:uiPriority w:val="0"/>
    <w:pPr>
      <w:spacing w:after="120" w:line="480" w:lineRule="auto"/>
      <w:ind w:left="420" w:leftChars="200"/>
    </w:pPr>
    <w:rPr>
      <w:rFonts w:ascii="Times New Roman" w:hAnsi="Times New Roman" w:eastAsia="宋体" w:cs="Times New Roman"/>
      <w:lang w:val="en-US" w:eastAsia="zh-CN" w:bidi="ar-SA"/>
    </w:rPr>
  </w:style>
  <w:style w:type="paragraph" w:customStyle="1" w:styleId="66">
    <w:name w:val="保留正文"/>
    <w:basedOn w:val="13"/>
    <w:qFormat/>
    <w:uiPriority w:val="0"/>
  </w:style>
  <w:style w:type="paragraph" w:customStyle="1" w:styleId="6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paragraph" w:customStyle="1" w:styleId="68">
    <w:name w:val="Char Char Char Char Char Char Char"/>
    <w:basedOn w:val="1"/>
    <w:qFormat/>
    <w:uiPriority w:val="0"/>
    <w:rPr>
      <w:rFonts w:ascii="仿宋_GB2312" w:eastAsia="仿宋_GB2312"/>
      <w:b/>
      <w:sz w:val="32"/>
      <w:szCs w:val="32"/>
    </w:rPr>
  </w:style>
  <w:style w:type="paragraph" w:styleId="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纯文本1"/>
    <w:basedOn w:val="1"/>
    <w:qFormat/>
    <w:uiPriority w:val="0"/>
    <w:pPr>
      <w:adjustRightInd w:val="0"/>
      <w:textAlignment w:val="baseline"/>
    </w:pPr>
    <w:rPr>
      <w:rFonts w:ascii="宋体" w:hAnsi="Courier New" w:eastAsia="楷体_GB2312"/>
      <w:sz w:val="28"/>
      <w:szCs w:val="20"/>
    </w:rPr>
  </w:style>
  <w:style w:type="paragraph" w:customStyle="1" w:styleId="71">
    <w:name w:val="tabletext"/>
    <w:basedOn w:val="1"/>
    <w:qFormat/>
    <w:uiPriority w:val="0"/>
    <w:pPr>
      <w:widowControl/>
      <w:spacing w:line="300" w:lineRule="atLeast"/>
      <w:jc w:val="left"/>
    </w:pPr>
    <w:rPr>
      <w:rFonts w:ascii="宋体" w:hAnsi="宋体" w:cs="宋体"/>
      <w:kern w:val="0"/>
      <w:sz w:val="18"/>
      <w:szCs w:val="18"/>
    </w:rPr>
  </w:style>
  <w:style w:type="paragraph" w:customStyle="1" w:styleId="72">
    <w:name w:val="东莞正文"/>
    <w:basedOn w:val="1"/>
    <w:qFormat/>
    <w:uiPriority w:val="0"/>
    <w:pPr>
      <w:spacing w:line="360" w:lineRule="auto"/>
      <w:ind w:firstLine="480" w:firstLineChars="200"/>
    </w:pPr>
    <w:rPr>
      <w:rFonts w:ascii="Arial" w:hAnsi="Arial" w:eastAsia="仿宋_GB2312"/>
      <w:color w:val="000000"/>
      <w:sz w:val="24"/>
      <w:szCs w:val="20"/>
    </w:rPr>
  </w:style>
  <w:style w:type="paragraph" w:customStyle="1" w:styleId="73">
    <w:name w:val="Char"/>
    <w:basedOn w:val="1"/>
    <w:qFormat/>
    <w:uiPriority w:val="0"/>
    <w:rPr>
      <w:rFonts w:ascii="仿宋_GB2312" w:eastAsia="仿宋_GB2312"/>
      <w:b/>
      <w:sz w:val="32"/>
      <w:szCs w:val="32"/>
    </w:rPr>
  </w:style>
  <w:style w:type="paragraph" w:customStyle="1" w:styleId="74">
    <w:name w:val="Char2"/>
    <w:basedOn w:val="1"/>
    <w:qFormat/>
    <w:uiPriority w:val="0"/>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
    <w:name w:val="CM11"/>
    <w:basedOn w:val="57"/>
    <w:next w:val="57"/>
    <w:unhideWhenUsed/>
    <w:qFormat/>
    <w:uiPriority w:val="99"/>
    <w:pPr>
      <w:spacing w:line="411" w:lineRule="atLeast"/>
    </w:pPr>
  </w:style>
  <w:style w:type="character" w:customStyle="1" w:styleId="7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31</Pages>
  <Words>13643</Words>
  <Characters>14119</Characters>
  <Lines>30</Lines>
  <Paragraphs>37</Paragraphs>
  <TotalTime>25</TotalTime>
  <ScaleCrop>false</ScaleCrop>
  <LinksUpToDate>false</LinksUpToDate>
  <CharactersWithSpaces>15358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2025-06-26T06:53:00Z</dcterms:created>
  <dc:creator>zyq</dc:creator>
  <cp:lastModifiedBy>Administrator</cp:lastModifiedBy>
  <cp:lastPrinted>2023-11-22T02:09:00Z</cp:lastPrinted>
  <dcterms:modified xsi:type="dcterms:W3CDTF">2025-07-02T03:56:58Z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3CF623F5BB6546FFB5D69D336E76A4E2_13</vt:lpwstr>
  </property>
  <property fmtid="{D5CDD505-2E9C-101B-9397-08002B2CF9AE}" pid="4" name="KSOTemplateDocerSaveRecord">
    <vt:lpwstr>eyJoZGlkIjoiZmY4N2IzODMxZTNkODRhNTQ2NGJmMjViNmViNjc1ODkifQ==</vt:lpwstr>
  </property>
</Properties>
</file>