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B5CD0">
      <w:pPr>
        <w:pStyle w:val="13"/>
        <w:spacing w:before="120" w:after="120"/>
        <w:rPr>
          <w:rFonts w:hAnsi="宋体" w:cs="宋体"/>
          <w:color w:val="auto"/>
          <w:highlight w:val="none"/>
        </w:rPr>
      </w:pPr>
    </w:p>
    <w:p w14:paraId="25731CF6">
      <w:pPr>
        <w:spacing w:beforeLines="50"/>
        <w:jc w:val="center"/>
        <w:rPr>
          <w:rFonts w:ascii="宋体" w:hAnsi="宋体" w:cs="宋体"/>
          <w:b/>
          <w:color w:val="auto"/>
          <w:sz w:val="48"/>
          <w:szCs w:val="48"/>
          <w:highlight w:val="none"/>
        </w:rPr>
      </w:pPr>
    </w:p>
    <w:p w14:paraId="41435D5E">
      <w:pPr>
        <w:spacing w:beforeLines="50"/>
        <w:jc w:val="center"/>
        <w:rPr>
          <w:rFonts w:hint="eastAsia" w:ascii="宋体" w:hAnsi="宋体" w:cs="宋体"/>
          <w:b/>
          <w:color w:val="auto"/>
          <w:sz w:val="48"/>
          <w:szCs w:val="48"/>
          <w:highlight w:val="none"/>
          <w:lang w:eastAsia="zh-CN"/>
        </w:rPr>
      </w:pPr>
      <w:r>
        <w:rPr>
          <w:rFonts w:hint="eastAsia" w:ascii="宋体" w:hAnsi="宋体" w:cs="宋体"/>
          <w:b/>
          <w:color w:val="auto"/>
          <w:sz w:val="48"/>
          <w:szCs w:val="48"/>
          <w:highlight w:val="none"/>
          <w:lang w:eastAsia="zh-CN"/>
        </w:rPr>
        <w:t>温州科技职业学院2025年公款</w:t>
      </w:r>
    </w:p>
    <w:p w14:paraId="2746FD3E">
      <w:pPr>
        <w:spacing w:beforeLines="50"/>
        <w:jc w:val="center"/>
        <w:rPr>
          <w:rFonts w:hint="eastAsia" w:ascii="宋体" w:hAnsi="宋体" w:eastAsia="宋体" w:cs="宋体"/>
          <w:b/>
          <w:color w:val="auto"/>
          <w:sz w:val="48"/>
          <w:szCs w:val="48"/>
          <w:highlight w:val="none"/>
          <w:lang w:eastAsia="zh-CN"/>
        </w:rPr>
      </w:pPr>
      <w:r>
        <w:rPr>
          <w:rFonts w:hint="eastAsia" w:ascii="宋体" w:hAnsi="宋体" w:cs="宋体"/>
          <w:b/>
          <w:color w:val="auto"/>
          <w:sz w:val="48"/>
          <w:szCs w:val="48"/>
          <w:highlight w:val="none"/>
          <w:lang w:eastAsia="zh-CN"/>
        </w:rPr>
        <w:t>竞争性存放项目</w:t>
      </w:r>
    </w:p>
    <w:p w14:paraId="77A3401C">
      <w:pPr>
        <w:spacing w:beforeLines="50"/>
        <w:jc w:val="center"/>
        <w:rPr>
          <w:rFonts w:ascii="宋体" w:hAnsi="宋体" w:cs="宋体"/>
          <w:b/>
          <w:color w:val="auto"/>
          <w:sz w:val="48"/>
          <w:szCs w:val="48"/>
          <w:highlight w:val="none"/>
        </w:rPr>
      </w:pPr>
    </w:p>
    <w:p w14:paraId="503BD8C0">
      <w:pPr>
        <w:spacing w:beforeLines="50"/>
        <w:jc w:val="center"/>
        <w:rPr>
          <w:rFonts w:ascii="宋体" w:hAnsi="宋体" w:cs="宋体"/>
          <w:b/>
          <w:color w:val="auto"/>
          <w:sz w:val="48"/>
          <w:szCs w:val="48"/>
          <w:highlight w:val="none"/>
        </w:rPr>
      </w:pPr>
    </w:p>
    <w:p w14:paraId="20467A3B">
      <w:pPr>
        <w:spacing w:beforeLines="50"/>
        <w:jc w:val="center"/>
        <w:rPr>
          <w:rFonts w:ascii="宋体" w:hAnsi="宋体" w:cs="宋体"/>
          <w:b/>
          <w:color w:val="auto"/>
          <w:sz w:val="48"/>
          <w:szCs w:val="48"/>
          <w:highlight w:val="none"/>
        </w:rPr>
      </w:pPr>
    </w:p>
    <w:p w14:paraId="30A88490">
      <w:pPr>
        <w:spacing w:beforeLines="50"/>
        <w:jc w:val="center"/>
        <w:rPr>
          <w:rFonts w:ascii="宋体" w:hAnsi="宋体" w:cs="宋体"/>
          <w:b/>
          <w:color w:val="auto"/>
          <w:sz w:val="72"/>
          <w:szCs w:val="72"/>
          <w:highlight w:val="none"/>
        </w:rPr>
      </w:pPr>
      <w:r>
        <w:rPr>
          <w:rFonts w:hint="eastAsia" w:ascii="宋体" w:hAnsi="宋体" w:cs="宋体"/>
          <w:b/>
          <w:color w:val="auto"/>
          <w:sz w:val="72"/>
          <w:szCs w:val="72"/>
          <w:highlight w:val="none"/>
        </w:rPr>
        <w:t>招标文件</w:t>
      </w:r>
    </w:p>
    <w:p w14:paraId="79037621">
      <w:pPr>
        <w:snapToGrid w:val="0"/>
        <w:spacing w:beforeLines="50" w:line="360" w:lineRule="auto"/>
        <w:rPr>
          <w:rFonts w:ascii="宋体" w:hAnsi="宋体" w:cs="宋体"/>
          <w:color w:val="auto"/>
          <w:sz w:val="30"/>
          <w:szCs w:val="72"/>
          <w:highlight w:val="none"/>
        </w:rPr>
      </w:pPr>
    </w:p>
    <w:p w14:paraId="39521137">
      <w:pPr>
        <w:snapToGrid w:val="0"/>
        <w:spacing w:beforeLines="50" w:line="360" w:lineRule="auto"/>
        <w:rPr>
          <w:rFonts w:ascii="宋体" w:hAnsi="宋体" w:cs="宋体"/>
          <w:color w:val="auto"/>
          <w:sz w:val="30"/>
          <w:szCs w:val="72"/>
          <w:highlight w:val="none"/>
        </w:rPr>
      </w:pPr>
    </w:p>
    <w:p w14:paraId="345102A6">
      <w:pPr>
        <w:pStyle w:val="13"/>
        <w:snapToGrid w:val="0"/>
        <w:spacing w:beforeLines="0" w:afterLines="0" w:line="360" w:lineRule="auto"/>
        <w:ind w:left="895" w:leftChars="426" w:firstLine="337" w:firstLineChars="112"/>
        <w:jc w:val="left"/>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项目编号：</w:t>
      </w:r>
      <w:r>
        <w:rPr>
          <w:rFonts w:hint="eastAsia" w:hAnsi="宋体" w:cs="宋体"/>
          <w:b/>
          <w:bCs/>
          <w:color w:val="auto"/>
          <w:sz w:val="30"/>
          <w:szCs w:val="30"/>
          <w:highlight w:val="none"/>
          <w:lang w:eastAsia="zh-CN"/>
        </w:rPr>
        <w:t>WZHX2024-12-234</w:t>
      </w:r>
    </w:p>
    <w:p w14:paraId="12102C8F">
      <w:pPr>
        <w:snapToGrid w:val="0"/>
        <w:spacing w:beforeLines="50" w:line="360" w:lineRule="auto"/>
        <w:ind w:left="1486" w:leftChars="570" w:hanging="289" w:hangingChars="96"/>
        <w:jc w:val="left"/>
        <w:rPr>
          <w:rFonts w:hint="eastAsia" w:ascii="宋体" w:hAnsi="宋体" w:eastAsia="宋体" w:cs="宋体"/>
          <w:b/>
          <w:color w:val="auto"/>
          <w:sz w:val="30"/>
          <w:szCs w:val="48"/>
          <w:highlight w:val="none"/>
          <w:lang w:eastAsia="zh-CN"/>
        </w:rPr>
      </w:pPr>
      <w:r>
        <w:rPr>
          <w:rFonts w:hint="eastAsia" w:ascii="宋体" w:hAnsi="宋体" w:cs="宋体"/>
          <w:b/>
          <w:bCs/>
          <w:color w:val="auto"/>
          <w:sz w:val="30"/>
          <w:szCs w:val="30"/>
          <w:highlight w:val="none"/>
        </w:rPr>
        <w:t>项目名称：</w:t>
      </w:r>
      <w:r>
        <w:rPr>
          <w:rFonts w:hint="eastAsia" w:ascii="宋体" w:hAnsi="宋体" w:cs="宋体"/>
          <w:b/>
          <w:color w:val="auto"/>
          <w:sz w:val="30"/>
          <w:szCs w:val="48"/>
          <w:highlight w:val="none"/>
          <w:lang w:eastAsia="zh-CN"/>
        </w:rPr>
        <w:t>温州科技职业学院2025年公款竞争性存放项目</w:t>
      </w:r>
    </w:p>
    <w:p w14:paraId="02D7C874">
      <w:pPr>
        <w:snapToGrid w:val="0"/>
        <w:spacing w:beforeLines="50" w:line="360" w:lineRule="auto"/>
        <w:ind w:left="1486" w:leftChars="570" w:hanging="289" w:hangingChars="96"/>
        <w:jc w:val="left"/>
        <w:rPr>
          <w:rFonts w:ascii="宋体" w:hAnsi="宋体" w:cs="宋体"/>
          <w:b/>
          <w:color w:val="auto"/>
          <w:sz w:val="30"/>
          <w:szCs w:val="48"/>
          <w:highlight w:val="none"/>
        </w:rPr>
      </w:pPr>
      <w:r>
        <w:rPr>
          <w:rFonts w:hint="eastAsia" w:ascii="宋体" w:hAnsi="宋体" w:cs="宋体"/>
          <w:b/>
          <w:bCs/>
          <w:color w:val="auto"/>
          <w:sz w:val="30"/>
          <w:szCs w:val="30"/>
          <w:highlight w:val="none"/>
        </w:rPr>
        <w:t>招标人：</w:t>
      </w:r>
      <w:r>
        <w:rPr>
          <w:rFonts w:hint="eastAsia" w:ascii="宋体" w:hAnsi="宋体" w:cs="宋体"/>
          <w:b/>
          <w:color w:val="auto"/>
          <w:sz w:val="30"/>
          <w:szCs w:val="48"/>
          <w:highlight w:val="none"/>
        </w:rPr>
        <w:t>温州科技职业学院 </w:t>
      </w:r>
    </w:p>
    <w:p w14:paraId="06573E4B">
      <w:pPr>
        <w:snapToGrid w:val="0"/>
        <w:spacing w:beforeLines="50" w:line="360" w:lineRule="auto"/>
        <w:ind w:left="1486" w:leftChars="570" w:hanging="289" w:hangingChars="96"/>
        <w:jc w:val="left"/>
        <w:rPr>
          <w:rFonts w:hint="eastAsia" w:ascii="宋体" w:hAnsi="宋体" w:eastAsia="宋体" w:cs="宋体"/>
          <w:b/>
          <w:bCs/>
          <w:color w:val="auto"/>
          <w:w w:val="95"/>
          <w:sz w:val="30"/>
          <w:szCs w:val="30"/>
          <w:highlight w:val="none"/>
          <w:lang w:eastAsia="zh-CN"/>
        </w:rPr>
      </w:pPr>
      <w:r>
        <w:rPr>
          <w:rFonts w:hint="eastAsia" w:ascii="宋体" w:hAnsi="宋体" w:cs="宋体"/>
          <w:b/>
          <w:bCs/>
          <w:color w:val="auto"/>
          <w:sz w:val="30"/>
          <w:szCs w:val="30"/>
          <w:highlight w:val="none"/>
        </w:rPr>
        <w:t>代理机构：</w:t>
      </w:r>
      <w:r>
        <w:rPr>
          <w:rFonts w:hint="eastAsia" w:ascii="宋体" w:hAnsi="宋体" w:cs="宋体"/>
          <w:b/>
          <w:color w:val="auto"/>
          <w:sz w:val="30"/>
          <w:szCs w:val="48"/>
          <w:highlight w:val="none"/>
          <w:lang w:eastAsia="zh-CN"/>
        </w:rPr>
        <w:t>温州市华信采购招标代理有限公司</w:t>
      </w:r>
    </w:p>
    <w:p w14:paraId="58EA183B">
      <w:pPr>
        <w:snapToGrid w:val="0"/>
        <w:spacing w:beforeLines="50" w:line="360" w:lineRule="auto"/>
        <w:rPr>
          <w:rFonts w:ascii="宋体" w:hAnsi="宋体" w:cs="宋体"/>
          <w:b/>
          <w:bCs/>
          <w:color w:val="auto"/>
          <w:w w:val="95"/>
          <w:sz w:val="30"/>
          <w:szCs w:val="30"/>
          <w:highlight w:val="none"/>
        </w:rPr>
      </w:pPr>
    </w:p>
    <w:p w14:paraId="5114E5EB">
      <w:pPr>
        <w:snapToGrid w:val="0"/>
        <w:spacing w:beforeLines="50" w:line="360" w:lineRule="auto"/>
        <w:jc w:val="center"/>
        <w:rPr>
          <w:rFonts w:ascii="宋体" w:hAnsi="宋体" w:cs="宋体"/>
          <w:b/>
          <w:bCs/>
          <w:color w:val="auto"/>
          <w:w w:val="95"/>
          <w:sz w:val="30"/>
          <w:szCs w:val="30"/>
          <w:highlight w:val="none"/>
        </w:rPr>
      </w:pPr>
    </w:p>
    <w:p w14:paraId="619240F5">
      <w:pPr>
        <w:snapToGrid w:val="0"/>
        <w:spacing w:beforeLines="50" w:line="360" w:lineRule="auto"/>
        <w:jc w:val="center"/>
        <w:rPr>
          <w:rFonts w:ascii="宋体" w:hAnsi="宋体" w:cs="宋体"/>
          <w:b/>
          <w:bCs/>
          <w:color w:val="auto"/>
          <w:w w:val="95"/>
          <w:sz w:val="30"/>
          <w:szCs w:val="30"/>
          <w:highlight w:val="none"/>
        </w:rPr>
      </w:pPr>
      <w:r>
        <w:rPr>
          <w:rFonts w:hint="eastAsia" w:ascii="宋体" w:hAnsi="宋体" w:cs="宋体"/>
          <w:b/>
          <w:bCs/>
          <w:color w:val="auto"/>
          <w:w w:val="95"/>
          <w:sz w:val="30"/>
          <w:szCs w:val="30"/>
          <w:highlight w:val="none"/>
        </w:rPr>
        <w:t>202</w:t>
      </w:r>
      <w:r>
        <w:rPr>
          <w:rFonts w:hint="eastAsia" w:ascii="宋体" w:hAnsi="宋体" w:cs="宋体"/>
          <w:b/>
          <w:bCs/>
          <w:color w:val="auto"/>
          <w:w w:val="95"/>
          <w:sz w:val="30"/>
          <w:szCs w:val="30"/>
          <w:highlight w:val="none"/>
          <w:lang w:val="en-US" w:eastAsia="zh-CN"/>
        </w:rPr>
        <w:t>5</w:t>
      </w:r>
      <w:r>
        <w:rPr>
          <w:rFonts w:hint="eastAsia" w:ascii="宋体" w:hAnsi="宋体" w:cs="宋体"/>
          <w:b/>
          <w:bCs/>
          <w:color w:val="auto"/>
          <w:w w:val="95"/>
          <w:sz w:val="30"/>
          <w:szCs w:val="30"/>
          <w:highlight w:val="none"/>
        </w:rPr>
        <w:t>年</w:t>
      </w:r>
      <w:r>
        <w:rPr>
          <w:rFonts w:hint="eastAsia" w:ascii="宋体" w:hAnsi="宋体" w:cs="宋体"/>
          <w:b/>
          <w:bCs/>
          <w:color w:val="auto"/>
          <w:w w:val="95"/>
          <w:sz w:val="30"/>
          <w:szCs w:val="30"/>
          <w:highlight w:val="none"/>
          <w:lang w:val="en-US" w:eastAsia="zh-CN"/>
        </w:rPr>
        <w:t>1</w:t>
      </w:r>
      <w:r>
        <w:rPr>
          <w:rFonts w:hint="eastAsia" w:ascii="宋体" w:hAnsi="宋体" w:cs="宋体"/>
          <w:b/>
          <w:bCs/>
          <w:color w:val="auto"/>
          <w:w w:val="95"/>
          <w:sz w:val="30"/>
          <w:szCs w:val="30"/>
          <w:highlight w:val="none"/>
        </w:rPr>
        <w:t>月</w:t>
      </w:r>
    </w:p>
    <w:p w14:paraId="08B464BF">
      <w:pPr>
        <w:pStyle w:val="13"/>
        <w:spacing w:beforeLines="0" w:afterLines="0" w:line="460" w:lineRule="exact"/>
        <w:jc w:val="center"/>
        <w:rPr>
          <w:rFonts w:hAnsi="宋体" w:cs="宋体"/>
          <w:b/>
          <w:color w:val="auto"/>
          <w:sz w:val="44"/>
          <w:szCs w:val="44"/>
          <w:highlight w:val="none"/>
        </w:rPr>
      </w:pPr>
      <w:r>
        <w:rPr>
          <w:rFonts w:hint="eastAsia" w:hAnsi="宋体" w:cs="宋体"/>
          <w:b/>
          <w:color w:val="auto"/>
          <w:sz w:val="44"/>
          <w:szCs w:val="44"/>
          <w:highlight w:val="none"/>
        </w:rPr>
        <w:br w:type="page"/>
      </w:r>
    </w:p>
    <w:p w14:paraId="5B7E1166">
      <w:pPr>
        <w:pStyle w:val="13"/>
        <w:spacing w:beforeLines="0" w:afterLines="0" w:line="460" w:lineRule="exact"/>
        <w:jc w:val="center"/>
        <w:rPr>
          <w:rFonts w:hAnsi="宋体" w:cs="宋体"/>
          <w:b/>
          <w:color w:val="auto"/>
          <w:sz w:val="44"/>
          <w:szCs w:val="44"/>
          <w:highlight w:val="none"/>
        </w:rPr>
      </w:pPr>
    </w:p>
    <w:p w14:paraId="35DB539E">
      <w:pPr>
        <w:pStyle w:val="13"/>
        <w:spacing w:beforeLines="0" w:afterLines="0" w:line="460" w:lineRule="exact"/>
        <w:jc w:val="center"/>
        <w:rPr>
          <w:rFonts w:hAnsi="宋体" w:cs="宋体"/>
          <w:b/>
          <w:color w:val="auto"/>
          <w:sz w:val="44"/>
          <w:szCs w:val="44"/>
          <w:highlight w:val="none"/>
        </w:rPr>
      </w:pPr>
    </w:p>
    <w:p w14:paraId="3151C1BE">
      <w:pPr>
        <w:pStyle w:val="13"/>
        <w:spacing w:beforeLines="0" w:afterLines="0" w:line="460" w:lineRule="exact"/>
        <w:jc w:val="center"/>
        <w:rPr>
          <w:rFonts w:hAnsi="宋体" w:cs="宋体"/>
          <w:b/>
          <w:color w:val="auto"/>
          <w:sz w:val="44"/>
          <w:szCs w:val="44"/>
          <w:highlight w:val="none"/>
        </w:rPr>
      </w:pPr>
      <w:r>
        <w:rPr>
          <w:rFonts w:hint="eastAsia" w:hAnsi="宋体" w:cs="宋体"/>
          <w:b/>
          <w:color w:val="auto"/>
          <w:sz w:val="44"/>
          <w:szCs w:val="44"/>
          <w:highlight w:val="none"/>
        </w:rPr>
        <w:t>目    录</w:t>
      </w:r>
    </w:p>
    <w:p w14:paraId="6EC99470">
      <w:pPr>
        <w:pStyle w:val="13"/>
        <w:spacing w:beforeLines="0" w:afterLines="0" w:line="460" w:lineRule="exact"/>
        <w:ind w:right="338" w:rightChars="161"/>
        <w:rPr>
          <w:rFonts w:hAnsi="宋体" w:cs="宋体"/>
          <w:color w:val="auto"/>
          <w:sz w:val="32"/>
          <w:szCs w:val="32"/>
          <w:highlight w:val="none"/>
        </w:rPr>
      </w:pPr>
    </w:p>
    <w:p w14:paraId="1D2508C4">
      <w:pPr>
        <w:pStyle w:val="16"/>
        <w:tabs>
          <w:tab w:val="right" w:leader="dot" w:pos="9402"/>
        </w:tabs>
        <w:spacing w:line="720" w:lineRule="auto"/>
        <w:ind w:right="338" w:rightChars="161"/>
        <w:jc w:val="left"/>
        <w:rPr>
          <w:rFonts w:asciiTheme="minorHAnsi" w:hAnsiTheme="minorHAnsi" w:eastAsiaTheme="minorEastAsia" w:cstheme="minorBidi"/>
          <w:color w:val="auto"/>
          <w:highlight w:val="none"/>
        </w:rPr>
      </w:pPr>
      <w:r>
        <w:rPr>
          <w:rFonts w:hAnsi="宋体" w:cs="宋体"/>
          <w:color w:val="auto"/>
          <w:sz w:val="32"/>
          <w:szCs w:val="32"/>
          <w:highlight w:val="none"/>
        </w:rPr>
        <w:fldChar w:fldCharType="begin"/>
      </w:r>
      <w:r>
        <w:rPr>
          <w:rFonts w:hAnsi="宋体" w:cs="宋体"/>
          <w:color w:val="auto"/>
          <w:sz w:val="32"/>
          <w:szCs w:val="32"/>
          <w:highlight w:val="none"/>
        </w:rPr>
        <w:instrText xml:space="preserve"> TOC \o "1-1" \h \z \u </w:instrText>
      </w:r>
      <w:r>
        <w:rPr>
          <w:rFonts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"_Toc122426739" </w:instrText>
      </w:r>
      <w:r>
        <w:rPr>
          <w:color w:val="auto"/>
          <w:highlight w:val="none"/>
        </w:rPr>
        <w:fldChar w:fldCharType="separate"/>
      </w:r>
      <w:r>
        <w:rPr>
          <w:rStyle w:val="21"/>
          <w:rFonts w:hint="eastAsia" w:hAnsi="宋体" w:cs="宋体"/>
          <w:b/>
          <w:color w:val="auto"/>
          <w:highlight w:val="none"/>
        </w:rPr>
        <w:t>第一章</w:t>
      </w:r>
      <w:r>
        <w:rPr>
          <w:rStyle w:val="21"/>
          <w:rFonts w:hAnsi="宋体" w:cs="宋体"/>
          <w:b/>
          <w:color w:val="auto"/>
          <w:highlight w:val="none"/>
        </w:rPr>
        <w:t xml:space="preserve">  </w:t>
      </w:r>
      <w:r>
        <w:rPr>
          <w:rStyle w:val="21"/>
          <w:rFonts w:hint="eastAsia" w:hAnsi="宋体" w:cs="宋体"/>
          <w:b/>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_Toc122426739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14:paraId="3DE8DA95">
      <w:pPr>
        <w:pStyle w:val="16"/>
        <w:tabs>
          <w:tab w:val="right" w:leader="dot" w:pos="9402"/>
        </w:tabs>
        <w:spacing w:line="720" w:lineRule="auto"/>
        <w:ind w:right="338" w:rightChars="161"/>
        <w:jc w:val="left"/>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"_Toc122426740" </w:instrText>
      </w:r>
      <w:r>
        <w:rPr>
          <w:color w:val="auto"/>
          <w:highlight w:val="none"/>
        </w:rPr>
        <w:fldChar w:fldCharType="separate"/>
      </w:r>
      <w:r>
        <w:rPr>
          <w:rStyle w:val="21"/>
          <w:rFonts w:hint="eastAsia" w:hAnsi="宋体" w:cs="宋体"/>
          <w:b/>
          <w:color w:val="auto"/>
          <w:highlight w:val="none"/>
        </w:rPr>
        <w:t>第二章</w:t>
      </w:r>
      <w:r>
        <w:rPr>
          <w:rStyle w:val="21"/>
          <w:rFonts w:hAnsi="宋体" w:cs="宋体"/>
          <w:b/>
          <w:color w:val="auto"/>
          <w:highlight w:val="none"/>
        </w:rPr>
        <w:t xml:space="preserve">  </w:t>
      </w:r>
      <w:r>
        <w:rPr>
          <w:rStyle w:val="21"/>
          <w:rFonts w:hint="eastAsia" w:hAnsi="宋体" w:cs="宋体"/>
          <w:b/>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_Toc122426740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762C1B50">
      <w:pPr>
        <w:pStyle w:val="16"/>
        <w:tabs>
          <w:tab w:val="right" w:leader="dot" w:pos="9402"/>
        </w:tabs>
        <w:spacing w:line="720" w:lineRule="auto"/>
        <w:ind w:right="338" w:rightChars="161"/>
        <w:jc w:val="left"/>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"_Toc122426741" </w:instrText>
      </w:r>
      <w:r>
        <w:rPr>
          <w:color w:val="auto"/>
          <w:highlight w:val="none"/>
        </w:rPr>
        <w:fldChar w:fldCharType="separate"/>
      </w:r>
      <w:r>
        <w:rPr>
          <w:rStyle w:val="21"/>
          <w:rFonts w:hint="eastAsia" w:hAnsi="宋体" w:cs="宋体"/>
          <w:b/>
          <w:color w:val="auto"/>
          <w:highlight w:val="none"/>
        </w:rPr>
        <w:t>第三章</w:t>
      </w:r>
      <w:r>
        <w:rPr>
          <w:rStyle w:val="21"/>
          <w:rFonts w:hAnsi="宋体" w:cs="宋体"/>
          <w:b/>
          <w:color w:val="auto"/>
          <w:highlight w:val="none"/>
        </w:rPr>
        <w:t xml:space="preserve">  </w:t>
      </w:r>
      <w:r>
        <w:rPr>
          <w:rStyle w:val="21"/>
          <w:rFonts w:hint="eastAsia" w:hAnsi="宋体" w:cs="宋体"/>
          <w:b/>
          <w:color w:val="auto"/>
          <w:highlight w:val="none"/>
        </w:rPr>
        <w:t>评标办法及评分标准</w:t>
      </w:r>
      <w:r>
        <w:rPr>
          <w:color w:val="auto"/>
          <w:highlight w:val="none"/>
        </w:rPr>
        <w:tab/>
      </w:r>
      <w:r>
        <w:rPr>
          <w:color w:val="auto"/>
          <w:highlight w:val="none"/>
        </w:rPr>
        <w:fldChar w:fldCharType="begin"/>
      </w:r>
      <w:r>
        <w:rPr>
          <w:color w:val="auto"/>
          <w:highlight w:val="none"/>
        </w:rPr>
        <w:instrText xml:space="preserve"> PAGEREF _Toc122426741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2DCDEE20">
      <w:pPr>
        <w:pStyle w:val="16"/>
        <w:tabs>
          <w:tab w:val="right" w:leader="dot" w:pos="9402"/>
        </w:tabs>
        <w:spacing w:line="720" w:lineRule="auto"/>
        <w:ind w:right="338" w:rightChars="161"/>
        <w:jc w:val="left"/>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"_Toc122426742" </w:instrText>
      </w:r>
      <w:r>
        <w:rPr>
          <w:color w:val="auto"/>
          <w:highlight w:val="none"/>
        </w:rPr>
        <w:fldChar w:fldCharType="separate"/>
      </w:r>
      <w:r>
        <w:rPr>
          <w:rStyle w:val="21"/>
          <w:rFonts w:hint="eastAsia" w:hAnsi="宋体" w:cs="宋体"/>
          <w:b/>
          <w:color w:val="auto"/>
          <w:highlight w:val="none"/>
        </w:rPr>
        <w:t>第四章</w:t>
      </w:r>
      <w:r>
        <w:rPr>
          <w:rStyle w:val="21"/>
          <w:rFonts w:hAnsi="宋体" w:cs="宋体"/>
          <w:b/>
          <w:color w:val="auto"/>
          <w:highlight w:val="none"/>
        </w:rPr>
        <w:t xml:space="preserve">  </w:t>
      </w:r>
      <w:r>
        <w:rPr>
          <w:rStyle w:val="21"/>
          <w:rFonts w:hint="eastAsia" w:hAnsi="宋体" w:cs="宋体"/>
          <w:b/>
          <w:color w:val="auto"/>
          <w:highlight w:val="none"/>
        </w:rPr>
        <w:t>招标需求</w:t>
      </w:r>
      <w:r>
        <w:rPr>
          <w:color w:val="auto"/>
          <w:highlight w:val="none"/>
        </w:rPr>
        <w:tab/>
      </w:r>
      <w:r>
        <w:rPr>
          <w:color w:val="auto"/>
          <w:highlight w:val="none"/>
        </w:rPr>
        <w:fldChar w:fldCharType="begin"/>
      </w:r>
      <w:r>
        <w:rPr>
          <w:color w:val="auto"/>
          <w:highlight w:val="none"/>
        </w:rPr>
        <w:instrText xml:space="preserve"> PAGEREF _Toc122426742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573DF85E">
      <w:pPr>
        <w:pStyle w:val="16"/>
        <w:tabs>
          <w:tab w:val="right" w:leader="dot" w:pos="9402"/>
        </w:tabs>
        <w:spacing w:line="720" w:lineRule="auto"/>
        <w:ind w:right="338" w:rightChars="161"/>
        <w:jc w:val="left"/>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"_Toc122426743" </w:instrText>
      </w:r>
      <w:r>
        <w:rPr>
          <w:color w:val="auto"/>
          <w:highlight w:val="none"/>
        </w:rPr>
        <w:fldChar w:fldCharType="separate"/>
      </w:r>
      <w:r>
        <w:rPr>
          <w:rStyle w:val="21"/>
          <w:rFonts w:hint="eastAsia" w:ascii="宋体" w:hAnsi="宋体" w:cs="宋体"/>
          <w:b/>
          <w:bCs/>
          <w:color w:val="auto"/>
          <w:highlight w:val="none"/>
        </w:rPr>
        <w:t>第五章 定期存款协议主要条款</w:t>
      </w:r>
      <w:r>
        <w:rPr>
          <w:color w:val="auto"/>
          <w:highlight w:val="none"/>
        </w:rPr>
        <w:tab/>
      </w:r>
      <w:r>
        <w:rPr>
          <w:color w:val="auto"/>
          <w:highlight w:val="none"/>
        </w:rPr>
        <w:fldChar w:fldCharType="begin"/>
      </w:r>
      <w:r>
        <w:rPr>
          <w:color w:val="auto"/>
          <w:highlight w:val="none"/>
        </w:rPr>
        <w:instrText xml:space="preserve"> PAGEREF _Toc122426743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302FABAC">
      <w:pPr>
        <w:pStyle w:val="16"/>
        <w:tabs>
          <w:tab w:val="right" w:leader="dot" w:pos="9402"/>
        </w:tabs>
        <w:spacing w:line="720" w:lineRule="auto"/>
        <w:ind w:right="338" w:rightChars="161"/>
        <w:jc w:val="left"/>
        <w:rPr>
          <w:rFonts w:asciiTheme="minorHAnsi" w:hAnsiTheme="minorHAnsi" w:eastAsiaTheme="minorEastAsia" w:cstheme="minorBidi"/>
          <w:color w:val="auto"/>
          <w:highlight w:val="none"/>
        </w:rPr>
      </w:pPr>
      <w:r>
        <w:rPr>
          <w:color w:val="auto"/>
          <w:highlight w:val="none"/>
        </w:rPr>
        <w:fldChar w:fldCharType="begin"/>
      </w:r>
      <w:r>
        <w:rPr>
          <w:color w:val="auto"/>
          <w:highlight w:val="none"/>
        </w:rPr>
        <w:instrText xml:space="preserve"> HYPERLINK \l "_Toc122426744" </w:instrText>
      </w:r>
      <w:r>
        <w:rPr>
          <w:color w:val="auto"/>
          <w:highlight w:val="none"/>
        </w:rPr>
        <w:fldChar w:fldCharType="separate"/>
      </w:r>
      <w:r>
        <w:rPr>
          <w:rStyle w:val="21"/>
          <w:rFonts w:hint="eastAsia" w:ascii="宋体" w:hAnsi="宋体" w:cs="宋体"/>
          <w:b/>
          <w:bCs/>
          <w:color w:val="auto"/>
          <w:highlight w:val="none"/>
        </w:rPr>
        <w:t>第六章 投标文件格式附件</w:t>
      </w:r>
      <w:r>
        <w:rPr>
          <w:color w:val="auto"/>
          <w:highlight w:val="none"/>
        </w:rPr>
        <w:tab/>
      </w:r>
      <w:r>
        <w:rPr>
          <w:color w:val="auto"/>
          <w:highlight w:val="none"/>
        </w:rPr>
        <w:fldChar w:fldCharType="begin"/>
      </w:r>
      <w:r>
        <w:rPr>
          <w:color w:val="auto"/>
          <w:highlight w:val="none"/>
        </w:rPr>
        <w:instrText xml:space="preserve"> PAGEREF _Toc122426744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1492B4F7">
      <w:pPr>
        <w:pStyle w:val="13"/>
        <w:spacing w:beforeLines="0" w:afterLines="0" w:line="720" w:lineRule="auto"/>
        <w:ind w:right="338" w:rightChars="161"/>
        <w:jc w:val="left"/>
        <w:rPr>
          <w:rFonts w:hAnsi="宋体" w:cs="宋体"/>
          <w:color w:val="auto"/>
          <w:sz w:val="21"/>
          <w:szCs w:val="21"/>
          <w:highlight w:val="none"/>
        </w:rPr>
      </w:pPr>
      <w:r>
        <w:rPr>
          <w:rFonts w:hAnsi="宋体" w:cs="宋体"/>
          <w:color w:val="auto"/>
          <w:sz w:val="32"/>
          <w:szCs w:val="32"/>
          <w:highlight w:val="none"/>
        </w:rPr>
        <w:fldChar w:fldCharType="end"/>
      </w:r>
    </w:p>
    <w:p w14:paraId="117EE940">
      <w:pPr>
        <w:spacing w:line="360" w:lineRule="auto"/>
        <w:ind w:right="565" w:rightChars="269" w:firstLine="422" w:firstLineChars="200"/>
        <w:rPr>
          <w:rFonts w:ascii="宋体" w:hAnsi="宋体" w:cs="宋体"/>
          <w:b/>
          <w:color w:val="auto"/>
          <w:szCs w:val="21"/>
          <w:highlight w:val="none"/>
          <w:u w:val="single"/>
        </w:rPr>
      </w:pPr>
      <w:r>
        <w:rPr>
          <w:rFonts w:hint="eastAsia" w:ascii="宋体" w:hAnsi="宋体" w:cs="宋体"/>
          <w:b/>
          <w:color w:val="auto"/>
          <w:szCs w:val="21"/>
          <w:highlight w:val="none"/>
        </w:rPr>
        <w:t>注：本招标文件中标“▲”为投标的实质性要求和条件，必须作出实质性响应，否则做投标无效处理，加粗部分为着重提醒各投标人注意。各投标人必须认真阅读和理解招标文件中的每一个条款及要求，因误读招标文件而造成的后果，招标人和招标代理机构概不负责。</w:t>
      </w:r>
    </w:p>
    <w:p w14:paraId="13778116">
      <w:pPr>
        <w:widowControl/>
        <w:jc w:val="left"/>
        <w:rPr>
          <w:rFonts w:ascii="宋体" w:hAnsi="宋体" w:cs="宋体"/>
          <w:b/>
          <w:color w:val="auto"/>
          <w:szCs w:val="21"/>
          <w:highlight w:val="none"/>
        </w:rPr>
      </w:pPr>
      <w:r>
        <w:rPr>
          <w:rFonts w:hAnsi="宋体" w:cs="宋体"/>
          <w:b/>
          <w:color w:val="auto"/>
          <w:szCs w:val="21"/>
          <w:highlight w:val="none"/>
        </w:rPr>
        <w:br w:type="page"/>
      </w:r>
    </w:p>
    <w:p w14:paraId="3A2DAC78">
      <w:pPr>
        <w:pStyle w:val="13"/>
        <w:snapToGrid w:val="0"/>
        <w:spacing w:beforeLines="0" w:afterLines="0" w:line="460" w:lineRule="exact"/>
        <w:jc w:val="center"/>
        <w:outlineLvl w:val="0"/>
        <w:rPr>
          <w:rFonts w:hAnsi="宋体" w:cs="宋体"/>
          <w:b/>
          <w:color w:val="auto"/>
          <w:sz w:val="32"/>
          <w:szCs w:val="32"/>
          <w:highlight w:val="none"/>
        </w:rPr>
      </w:pPr>
      <w:bookmarkStart w:id="0" w:name="_Toc122426739"/>
      <w:r>
        <w:rPr>
          <w:rFonts w:hint="eastAsia" w:hAnsi="宋体" w:cs="宋体"/>
          <w:b/>
          <w:color w:val="auto"/>
          <w:sz w:val="32"/>
          <w:szCs w:val="32"/>
          <w:highlight w:val="none"/>
        </w:rPr>
        <w:t>第一章  招标公告</w:t>
      </w:r>
      <w:bookmarkEnd w:id="0"/>
    </w:p>
    <w:p w14:paraId="439639DE">
      <w:pPr>
        <w:pStyle w:val="17"/>
        <w:spacing w:beforeAutospacing="0" w:afterAutospacing="0" w:line="360" w:lineRule="exact"/>
        <w:ind w:firstLine="555"/>
        <w:rPr>
          <w:color w:val="auto"/>
          <w:sz w:val="21"/>
          <w:szCs w:val="21"/>
          <w:highlight w:val="none"/>
        </w:rPr>
      </w:pPr>
      <w:r>
        <w:rPr>
          <w:rFonts w:hint="eastAsia"/>
          <w:color w:val="auto"/>
          <w:sz w:val="21"/>
          <w:szCs w:val="21"/>
          <w:highlight w:val="none"/>
        </w:rPr>
        <w:t>根据《温州市市级行政事业单位公款竞争性存放管理办法》（温财预执〔2021〕4号）规定，决定开展公款存放招标工作，欢迎符合条件的银行机构参加投标。</w:t>
      </w:r>
    </w:p>
    <w:p w14:paraId="7945ED09">
      <w:pPr>
        <w:pStyle w:val="17"/>
        <w:spacing w:beforeAutospacing="0" w:afterAutospacing="0" w:line="360" w:lineRule="exact"/>
        <w:ind w:firstLine="435"/>
        <w:rPr>
          <w:b/>
          <w:color w:val="auto"/>
          <w:sz w:val="21"/>
          <w:szCs w:val="21"/>
          <w:highlight w:val="none"/>
        </w:rPr>
      </w:pPr>
      <w:r>
        <w:rPr>
          <w:rFonts w:hint="eastAsia"/>
          <w:b/>
          <w:color w:val="auto"/>
          <w:sz w:val="21"/>
          <w:szCs w:val="21"/>
          <w:highlight w:val="none"/>
        </w:rPr>
        <w:t>一、招标人名称：</w:t>
      </w:r>
      <w:r>
        <w:rPr>
          <w:rFonts w:hint="eastAsia"/>
          <w:color w:val="auto"/>
          <w:sz w:val="21"/>
          <w:szCs w:val="21"/>
          <w:highlight w:val="none"/>
        </w:rPr>
        <w:t>温州科技职业学院</w:t>
      </w:r>
    </w:p>
    <w:p w14:paraId="370003BE">
      <w:pPr>
        <w:pStyle w:val="17"/>
        <w:spacing w:beforeAutospacing="0" w:afterAutospacing="0" w:line="360" w:lineRule="exact"/>
        <w:ind w:firstLine="435"/>
        <w:rPr>
          <w:rFonts w:hint="eastAsia" w:eastAsia="宋体"/>
          <w:color w:val="auto"/>
          <w:sz w:val="21"/>
          <w:szCs w:val="21"/>
          <w:highlight w:val="none"/>
          <w:lang w:eastAsia="zh-CN"/>
        </w:rPr>
      </w:pPr>
      <w:r>
        <w:rPr>
          <w:rFonts w:hint="eastAsia"/>
          <w:b/>
          <w:color w:val="auto"/>
          <w:sz w:val="21"/>
          <w:szCs w:val="21"/>
          <w:highlight w:val="none"/>
        </w:rPr>
        <w:t>二、招标项目名称：</w:t>
      </w:r>
      <w:r>
        <w:rPr>
          <w:rFonts w:hint="eastAsia"/>
          <w:color w:val="auto"/>
          <w:sz w:val="21"/>
          <w:szCs w:val="21"/>
          <w:highlight w:val="none"/>
          <w:lang w:eastAsia="zh-CN"/>
        </w:rPr>
        <w:t>温州科技职业学院2025年公款竞争性存放项目</w:t>
      </w:r>
    </w:p>
    <w:p w14:paraId="62D66A76">
      <w:pPr>
        <w:pStyle w:val="17"/>
        <w:spacing w:beforeAutospacing="0" w:afterAutospacing="0" w:line="360" w:lineRule="exact"/>
        <w:ind w:firstLine="435"/>
        <w:rPr>
          <w:rFonts w:hint="eastAsia" w:eastAsia="宋体"/>
          <w:color w:val="auto"/>
          <w:sz w:val="21"/>
          <w:szCs w:val="21"/>
          <w:highlight w:val="none"/>
          <w:lang w:eastAsia="zh-CN"/>
        </w:rPr>
      </w:pPr>
      <w:r>
        <w:rPr>
          <w:rFonts w:hint="eastAsia"/>
          <w:b/>
          <w:color w:val="auto"/>
          <w:sz w:val="21"/>
          <w:szCs w:val="21"/>
          <w:highlight w:val="none"/>
        </w:rPr>
        <w:t>三、项目编号：</w:t>
      </w:r>
      <w:r>
        <w:rPr>
          <w:rFonts w:hint="eastAsia"/>
          <w:color w:val="auto"/>
          <w:sz w:val="21"/>
          <w:szCs w:val="21"/>
          <w:highlight w:val="none"/>
          <w:lang w:eastAsia="zh-CN"/>
        </w:rPr>
        <w:t>WZHX2024-12-234</w:t>
      </w:r>
    </w:p>
    <w:p w14:paraId="3BEDE786">
      <w:pPr>
        <w:pStyle w:val="17"/>
        <w:spacing w:beforeAutospacing="0" w:afterAutospacing="0" w:line="360" w:lineRule="exact"/>
        <w:ind w:firstLine="435"/>
        <w:rPr>
          <w:color w:val="auto"/>
          <w:sz w:val="21"/>
          <w:szCs w:val="21"/>
          <w:highlight w:val="none"/>
        </w:rPr>
      </w:pPr>
      <w:r>
        <w:rPr>
          <w:rFonts w:hint="eastAsia"/>
          <w:b/>
          <w:color w:val="auto"/>
          <w:sz w:val="21"/>
          <w:szCs w:val="21"/>
          <w:highlight w:val="none"/>
        </w:rPr>
        <w:t>四、招标项目内容：</w:t>
      </w:r>
      <w:r>
        <w:rPr>
          <w:rFonts w:hint="eastAsia"/>
          <w:color w:val="auto"/>
          <w:sz w:val="21"/>
          <w:szCs w:val="21"/>
          <w:highlight w:val="none"/>
        </w:rPr>
        <w:t>公款存放总金额</w:t>
      </w:r>
      <w:r>
        <w:rPr>
          <w:rFonts w:hint="eastAsia"/>
          <w:color w:val="auto"/>
          <w:sz w:val="21"/>
          <w:szCs w:val="21"/>
          <w:highlight w:val="none"/>
          <w:lang w:val="en-US" w:eastAsia="zh-CN"/>
        </w:rPr>
        <w:t>32</w:t>
      </w:r>
      <w:r>
        <w:rPr>
          <w:rFonts w:hint="eastAsia"/>
          <w:color w:val="auto"/>
          <w:sz w:val="21"/>
          <w:szCs w:val="21"/>
          <w:highlight w:val="none"/>
        </w:rPr>
        <w:t>00万元，资金存放期限为一年定期，招标人将通过竞标选择确定</w:t>
      </w:r>
      <w:r>
        <w:rPr>
          <w:rFonts w:hint="eastAsia"/>
          <w:color w:val="auto"/>
          <w:sz w:val="21"/>
          <w:szCs w:val="21"/>
          <w:highlight w:val="none"/>
          <w:lang w:val="en-US" w:eastAsia="zh-CN"/>
        </w:rPr>
        <w:t>3</w:t>
      </w:r>
      <w:r>
        <w:rPr>
          <w:rFonts w:hint="eastAsia"/>
          <w:color w:val="auto"/>
          <w:sz w:val="21"/>
          <w:szCs w:val="21"/>
          <w:highlight w:val="none"/>
        </w:rPr>
        <w:t>家资金存放银行，具体招标内容及要求见招标文件相关部分。</w:t>
      </w:r>
    </w:p>
    <w:p w14:paraId="15075D82">
      <w:pPr>
        <w:pStyle w:val="17"/>
        <w:spacing w:beforeAutospacing="0" w:afterAutospacing="0" w:line="360" w:lineRule="exact"/>
        <w:ind w:firstLine="424" w:firstLineChars="201"/>
        <w:rPr>
          <w:b/>
          <w:color w:val="auto"/>
          <w:sz w:val="21"/>
          <w:szCs w:val="21"/>
          <w:highlight w:val="none"/>
        </w:rPr>
      </w:pPr>
      <w:r>
        <w:rPr>
          <w:rFonts w:hint="eastAsia"/>
          <w:b/>
          <w:color w:val="auto"/>
          <w:sz w:val="21"/>
          <w:szCs w:val="21"/>
          <w:highlight w:val="none"/>
        </w:rPr>
        <w:t>五、投标人的资格要求</w:t>
      </w:r>
    </w:p>
    <w:p w14:paraId="5E29D351">
      <w:pPr>
        <w:pStyle w:val="17"/>
        <w:spacing w:beforeAutospacing="0" w:afterAutospacing="0" w:line="360" w:lineRule="exact"/>
        <w:ind w:firstLine="435"/>
        <w:rPr>
          <w:color w:val="auto"/>
          <w:sz w:val="21"/>
          <w:szCs w:val="21"/>
          <w:highlight w:val="none"/>
        </w:rPr>
      </w:pPr>
      <w:r>
        <w:rPr>
          <w:color w:val="auto"/>
          <w:sz w:val="21"/>
          <w:szCs w:val="21"/>
          <w:highlight w:val="none"/>
        </w:rPr>
        <w:t>投标人应符合</w:t>
      </w:r>
      <w:r>
        <w:rPr>
          <w:rFonts w:hint="eastAsia"/>
          <w:color w:val="auto"/>
          <w:sz w:val="21"/>
          <w:szCs w:val="21"/>
          <w:highlight w:val="none"/>
        </w:rPr>
        <w:t>《温州市市级行政事业单位公款竞争性存放管理办法》（温财预执〔2021〕4号）第十五条</w:t>
      </w:r>
      <w:r>
        <w:rPr>
          <w:color w:val="auto"/>
          <w:sz w:val="21"/>
          <w:szCs w:val="21"/>
          <w:highlight w:val="none"/>
        </w:rPr>
        <w:t>规定，</w:t>
      </w:r>
      <w:r>
        <w:rPr>
          <w:rFonts w:hint="eastAsia"/>
          <w:color w:val="auto"/>
          <w:sz w:val="21"/>
          <w:szCs w:val="21"/>
          <w:highlight w:val="none"/>
          <w:lang w:val="en-US" w:eastAsia="zh-CN"/>
        </w:rPr>
        <w:t>具备承担招标项目的能力，</w:t>
      </w:r>
      <w:r>
        <w:rPr>
          <w:color w:val="auto"/>
          <w:sz w:val="21"/>
          <w:szCs w:val="21"/>
          <w:highlight w:val="none"/>
        </w:rPr>
        <w:t>具体包括</w:t>
      </w:r>
      <w:r>
        <w:rPr>
          <w:rFonts w:hint="eastAsia"/>
          <w:color w:val="auto"/>
          <w:sz w:val="21"/>
          <w:szCs w:val="21"/>
          <w:highlight w:val="none"/>
        </w:rPr>
        <w:t>：</w:t>
      </w:r>
    </w:p>
    <w:p w14:paraId="1B2D5BED">
      <w:pPr>
        <w:pStyle w:val="17"/>
        <w:spacing w:beforeAutospacing="0" w:afterAutospacing="0" w:line="360" w:lineRule="exact"/>
        <w:ind w:firstLine="435"/>
        <w:rPr>
          <w:color w:val="auto"/>
          <w:sz w:val="21"/>
          <w:szCs w:val="21"/>
          <w:highlight w:val="none"/>
        </w:rPr>
      </w:pPr>
      <w:r>
        <w:rPr>
          <w:rFonts w:hint="eastAsia"/>
          <w:color w:val="auto"/>
          <w:sz w:val="21"/>
          <w:szCs w:val="21"/>
          <w:highlight w:val="none"/>
        </w:rPr>
        <w:t>（一）在温州地区设有分支机构；</w:t>
      </w:r>
    </w:p>
    <w:p w14:paraId="24EF4B63">
      <w:pPr>
        <w:pStyle w:val="17"/>
        <w:spacing w:beforeAutospacing="0" w:afterAutospacing="0" w:line="360" w:lineRule="exact"/>
        <w:ind w:firstLine="435"/>
        <w:rPr>
          <w:color w:val="auto"/>
          <w:sz w:val="21"/>
          <w:szCs w:val="21"/>
          <w:highlight w:val="none"/>
        </w:rPr>
      </w:pPr>
      <w:r>
        <w:rPr>
          <w:rFonts w:hint="eastAsia"/>
          <w:color w:val="auto"/>
          <w:sz w:val="21"/>
          <w:szCs w:val="21"/>
          <w:highlight w:val="none"/>
        </w:rPr>
        <w:t>（二）依法开展经营活动，近3年内在经营活动中无重大违法违规记录及重大违约事件；</w:t>
      </w:r>
    </w:p>
    <w:p w14:paraId="4AC44EC5">
      <w:pPr>
        <w:pStyle w:val="17"/>
        <w:spacing w:beforeAutospacing="0" w:afterAutospacing="0" w:line="360" w:lineRule="exact"/>
        <w:ind w:firstLine="435"/>
        <w:rPr>
          <w:color w:val="auto"/>
          <w:sz w:val="21"/>
          <w:szCs w:val="21"/>
          <w:highlight w:val="none"/>
        </w:rPr>
      </w:pPr>
      <w:r>
        <w:rPr>
          <w:rFonts w:hint="eastAsia"/>
          <w:color w:val="auto"/>
          <w:sz w:val="21"/>
          <w:szCs w:val="21"/>
          <w:highlight w:val="none"/>
        </w:rPr>
        <w:t>（三）纳入监管评级的银行，人民银行上年度综合评价应达到B级及以上，不纳入人民银行评级范围的银行不受此限制；</w:t>
      </w:r>
    </w:p>
    <w:p w14:paraId="329F60B3">
      <w:pPr>
        <w:pStyle w:val="17"/>
        <w:spacing w:beforeAutospacing="0" w:afterAutospacing="0" w:line="360" w:lineRule="exact"/>
        <w:ind w:firstLine="435"/>
        <w:rPr>
          <w:color w:val="auto"/>
          <w:sz w:val="21"/>
          <w:szCs w:val="21"/>
          <w:highlight w:val="none"/>
        </w:rPr>
      </w:pPr>
      <w:r>
        <w:rPr>
          <w:rFonts w:hint="eastAsia"/>
          <w:color w:val="auto"/>
          <w:sz w:val="21"/>
          <w:szCs w:val="21"/>
          <w:highlight w:val="none"/>
        </w:rPr>
        <w:t>（四）本次招标每家银行只能有一个主体参与投标，允许市级分行或市级分行授权支行为投标主体（温州地区农村信用合作联社、农村商业银行、农村合作银行参加投标必须获得浙江农商联合银行温州管理部唯一授权）。</w:t>
      </w:r>
    </w:p>
    <w:p w14:paraId="76F06E64">
      <w:pPr>
        <w:pStyle w:val="17"/>
        <w:spacing w:beforeAutospacing="0" w:afterAutospacing="0" w:line="360" w:lineRule="exact"/>
        <w:ind w:firstLine="435"/>
        <w:rPr>
          <w:color w:val="auto"/>
          <w:sz w:val="21"/>
          <w:szCs w:val="21"/>
          <w:highlight w:val="none"/>
        </w:rPr>
      </w:pPr>
      <w:r>
        <w:rPr>
          <w:rFonts w:hint="eastAsia"/>
          <w:color w:val="auto"/>
          <w:sz w:val="21"/>
          <w:szCs w:val="21"/>
          <w:highlight w:val="none"/>
        </w:rPr>
        <w:t>（五）不接受联合体投标。</w:t>
      </w:r>
    </w:p>
    <w:p w14:paraId="5EA14006">
      <w:pPr>
        <w:pStyle w:val="17"/>
        <w:spacing w:beforeAutospacing="0" w:afterAutospacing="0" w:line="360" w:lineRule="exact"/>
        <w:ind w:firstLine="424" w:firstLineChars="201"/>
        <w:rPr>
          <w:b/>
          <w:color w:val="auto"/>
          <w:sz w:val="21"/>
          <w:szCs w:val="21"/>
          <w:highlight w:val="none"/>
        </w:rPr>
      </w:pPr>
      <w:r>
        <w:rPr>
          <w:rFonts w:hint="eastAsia"/>
          <w:b/>
          <w:color w:val="auto"/>
          <w:sz w:val="21"/>
          <w:szCs w:val="21"/>
          <w:highlight w:val="none"/>
        </w:rPr>
        <w:t>六、投标报名</w:t>
      </w:r>
    </w:p>
    <w:p w14:paraId="0081ED5A">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1.报名时间：202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1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23 </w:t>
      </w:r>
      <w:r>
        <w:rPr>
          <w:rFonts w:hint="eastAsia" w:ascii="宋体" w:hAnsi="宋体" w:cs="宋体"/>
          <w:color w:val="auto"/>
          <w:szCs w:val="21"/>
          <w:highlight w:val="none"/>
        </w:rPr>
        <w:t>日至202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2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14 </w:t>
      </w:r>
      <w:r>
        <w:rPr>
          <w:rFonts w:hint="eastAsia" w:ascii="宋体" w:hAnsi="宋体" w:cs="宋体"/>
          <w:color w:val="auto"/>
          <w:szCs w:val="21"/>
          <w:highlight w:val="none"/>
        </w:rPr>
        <w:t>日（每天上午00:00至12:00，下午12:00至17:00北京时间）。</w:t>
      </w:r>
    </w:p>
    <w:p w14:paraId="691DE5A6">
      <w:pPr>
        <w:widowControl/>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报名方式：本项目实行网上报名，不接受现场报名。投标人登录政府采购云平台（http://login.zcygov.cn），进入公款竞争性存放招标系统，在竞标项目内按规定进行报名。报名成功后联系人会收到短信通知，逾期视为未报名。（公告规定的招标文件获取方式为依法获取招标文件的方式，未按照公告规定的方式获取招标文件的，不得对招标文件提起质疑、投诉。）</w:t>
      </w:r>
    </w:p>
    <w:p w14:paraId="4053DBEB">
      <w:pPr>
        <w:widowControl/>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3.招标文件获取方式：报名成功后可在线查阅招标文件。</w:t>
      </w:r>
    </w:p>
    <w:p w14:paraId="3238633D">
      <w:pPr>
        <w:widowControl/>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获取招标文件提供材料：（1）投标人有效的营业执照（扫描件）；（2）人民银行上年度综合评价应达到B级及以上评价证明文件扫描件；（3）如为温州市分支机构需提供总行或温州市分行唯一授权（温州地区农村信用合作联社、农村商业银行、农村合作银行提供浙江农商联合银行温州管理部唯一授权书）扫描件（格式自拟，在唯一授权中体现项目名称、编号和唯一授权等相关信息）。</w:t>
      </w:r>
    </w:p>
    <w:p w14:paraId="0FB086DD">
      <w:pPr>
        <w:spacing w:line="360" w:lineRule="exact"/>
        <w:ind w:firstLine="424" w:firstLineChars="201"/>
        <w:jc w:val="left"/>
        <w:rPr>
          <w:rFonts w:ascii="宋体" w:hAnsi="宋体" w:cs="宋体"/>
          <w:b/>
          <w:color w:val="auto"/>
          <w:szCs w:val="21"/>
          <w:highlight w:val="none"/>
        </w:rPr>
      </w:pPr>
      <w:r>
        <w:rPr>
          <w:rFonts w:hint="eastAsia" w:ascii="宋体" w:hAnsi="宋体" w:cs="宋体"/>
          <w:b/>
          <w:color w:val="auto"/>
          <w:szCs w:val="21"/>
          <w:highlight w:val="none"/>
        </w:rPr>
        <w:t>七、投标起止时间及方式</w:t>
      </w:r>
    </w:p>
    <w:p w14:paraId="5919AF57">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投标截止时间：</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u w:val="single"/>
          <w:lang w:val="en-US" w:eastAsia="zh-CN"/>
        </w:rPr>
        <w:t xml:space="preserve"> 2 </w:t>
      </w:r>
      <w:r>
        <w:rPr>
          <w:rFonts w:hint="eastAsia" w:ascii="宋体" w:hAnsi="宋体" w:cs="宋体"/>
          <w:color w:val="auto"/>
          <w:szCs w:val="21"/>
          <w:highlight w:val="none"/>
          <w:lang w:eastAsia="zh-CN"/>
        </w:rPr>
        <w:t>月</w:t>
      </w:r>
      <w:r>
        <w:rPr>
          <w:rFonts w:hint="eastAsia" w:ascii="宋体" w:hAnsi="宋体" w:cs="宋体"/>
          <w:color w:val="auto"/>
          <w:szCs w:val="21"/>
          <w:highlight w:val="none"/>
          <w:u w:val="single"/>
          <w:lang w:val="en-US" w:eastAsia="zh-CN"/>
        </w:rPr>
        <w:t xml:space="preserve"> 17 </w:t>
      </w:r>
      <w:r>
        <w:rPr>
          <w:rFonts w:hint="eastAsia" w:ascii="宋体" w:hAnsi="宋体" w:cs="宋体"/>
          <w:color w:val="auto"/>
          <w:szCs w:val="21"/>
          <w:highlight w:val="none"/>
          <w:lang w:eastAsia="zh-CN"/>
        </w:rPr>
        <w:t>日14:30</w:t>
      </w:r>
      <w:r>
        <w:rPr>
          <w:rFonts w:hint="eastAsia" w:ascii="宋体" w:hAnsi="宋体" w:cs="宋体"/>
          <w:color w:val="auto"/>
          <w:szCs w:val="21"/>
          <w:highlight w:val="none"/>
        </w:rPr>
        <w:t>（北京时间）</w:t>
      </w:r>
    </w:p>
    <w:p w14:paraId="43F8C310">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投标地点：政府采购云平台（http://login.zcygov.cn），本项目实行网上电子投标，投标人报名后即可在系统中编制投标文件，投标人于投标截止时间前按照</w:t>
      </w:r>
      <w:r>
        <w:rPr>
          <w:rFonts w:hint="eastAsia" w:ascii="宋体" w:hAnsi="宋体" w:cs="宋体"/>
          <w:color w:val="auto"/>
          <w:spacing w:val="-6"/>
          <w:szCs w:val="21"/>
          <w:highlight w:val="none"/>
        </w:rPr>
        <w:t>电子投标要求将电子标书上传到“政采云”平台并确认，投标成功会接收短信通知，逾期投标视为未投标。</w:t>
      </w:r>
    </w:p>
    <w:p w14:paraId="290D8E3D">
      <w:pPr>
        <w:spacing w:line="360" w:lineRule="exact"/>
        <w:ind w:firstLine="424" w:firstLineChars="201"/>
        <w:jc w:val="left"/>
        <w:rPr>
          <w:rFonts w:ascii="宋体" w:hAnsi="宋体" w:cs="宋体"/>
          <w:b/>
          <w:color w:val="auto"/>
          <w:szCs w:val="21"/>
          <w:highlight w:val="none"/>
        </w:rPr>
      </w:pPr>
      <w:r>
        <w:rPr>
          <w:rFonts w:hint="eastAsia" w:ascii="宋体" w:hAnsi="宋体" w:cs="宋体"/>
          <w:b/>
          <w:color w:val="auto"/>
          <w:szCs w:val="21"/>
          <w:highlight w:val="none"/>
        </w:rPr>
        <w:t>八、开标时间及地点</w:t>
      </w:r>
    </w:p>
    <w:p w14:paraId="7FE24E6C">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w:t>
      </w:r>
      <w:r>
        <w:rPr>
          <w:rFonts w:hint="eastAsia" w:ascii="宋体" w:hAnsi="宋体" w:cs="宋体"/>
          <w:color w:val="auto"/>
          <w:szCs w:val="21"/>
          <w:highlight w:val="none"/>
          <w:u w:val="single"/>
          <w:lang w:val="en-US" w:eastAsia="zh-CN"/>
        </w:rPr>
        <w:t xml:space="preserve"> 2 </w:t>
      </w:r>
      <w:r>
        <w:rPr>
          <w:rFonts w:hint="eastAsia" w:ascii="宋体" w:hAnsi="宋体" w:cs="宋体"/>
          <w:color w:val="auto"/>
          <w:szCs w:val="21"/>
          <w:highlight w:val="none"/>
          <w:lang w:eastAsia="zh-CN"/>
        </w:rPr>
        <w:t>月</w:t>
      </w:r>
      <w:r>
        <w:rPr>
          <w:rFonts w:hint="eastAsia" w:ascii="宋体" w:hAnsi="宋体" w:cs="宋体"/>
          <w:color w:val="auto"/>
          <w:szCs w:val="21"/>
          <w:highlight w:val="none"/>
          <w:u w:val="single"/>
          <w:lang w:val="en-US" w:eastAsia="zh-CN"/>
        </w:rPr>
        <w:t xml:space="preserve"> 17 </w:t>
      </w:r>
      <w:r>
        <w:rPr>
          <w:rFonts w:hint="eastAsia" w:ascii="宋体" w:hAnsi="宋体" w:cs="宋体"/>
          <w:color w:val="auto"/>
          <w:szCs w:val="21"/>
          <w:highlight w:val="none"/>
          <w:lang w:eastAsia="zh-CN"/>
        </w:rPr>
        <w:t>日14:30</w:t>
      </w:r>
      <w:r>
        <w:rPr>
          <w:rFonts w:hint="eastAsia" w:ascii="宋体" w:hAnsi="宋体" w:cs="宋体"/>
          <w:color w:val="auto"/>
          <w:szCs w:val="21"/>
          <w:highlight w:val="none"/>
        </w:rPr>
        <w:t>（北京时间）</w:t>
      </w:r>
    </w:p>
    <w:p w14:paraId="3D1A589C">
      <w:pPr>
        <w:spacing w:line="360" w:lineRule="exact"/>
        <w:ind w:firstLine="420" w:firstLineChars="200"/>
        <w:jc w:val="left"/>
        <w:rPr>
          <w:rFonts w:ascii="宋体" w:hAnsi="宋体"/>
          <w:bCs/>
          <w:color w:val="auto"/>
          <w:szCs w:val="21"/>
          <w:highlight w:val="none"/>
        </w:rPr>
      </w:pPr>
      <w:r>
        <w:rPr>
          <w:rFonts w:hint="eastAsia" w:ascii="宋体" w:hAnsi="宋体" w:cs="宋体"/>
          <w:color w:val="auto"/>
          <w:szCs w:val="21"/>
          <w:highlight w:val="none"/>
        </w:rPr>
        <w:t>开标地点：</w:t>
      </w:r>
      <w:r>
        <w:rPr>
          <w:rFonts w:hint="eastAsia" w:ascii="宋体" w:hAnsi="宋体" w:cs="宋体"/>
          <w:color w:val="auto"/>
          <w:kern w:val="0"/>
          <w:szCs w:val="21"/>
          <w:highlight w:val="none"/>
          <w:lang w:eastAsia="zh-CN"/>
        </w:rPr>
        <w:t>温州市六虹桥路1000号（温州科技职业学院立德楼二楼</w:t>
      </w:r>
      <w:r>
        <w:rPr>
          <w:rFonts w:hint="eastAsia" w:ascii="宋体" w:hAnsi="宋体" w:cs="宋体"/>
          <w:color w:val="auto"/>
          <w:kern w:val="0"/>
          <w:szCs w:val="21"/>
          <w:highlight w:val="none"/>
          <w:lang w:val="en-US" w:eastAsia="zh-CN"/>
        </w:rPr>
        <w:t>204</w:t>
      </w:r>
      <w:r>
        <w:rPr>
          <w:rFonts w:hint="eastAsia" w:ascii="宋体" w:hAnsi="宋体" w:cs="宋体"/>
          <w:color w:val="auto"/>
          <w:kern w:val="0"/>
          <w:szCs w:val="21"/>
          <w:highlight w:val="none"/>
          <w:lang w:eastAsia="zh-CN"/>
        </w:rPr>
        <w:t>会议室）</w:t>
      </w:r>
      <w:r>
        <w:rPr>
          <w:rFonts w:hint="eastAsia" w:ascii="宋体" w:hAnsi="宋体"/>
          <w:bCs/>
          <w:color w:val="auto"/>
          <w:szCs w:val="21"/>
          <w:highlight w:val="none"/>
        </w:rPr>
        <w:t>，投标人无须派人员到现场出席，通过“政府采购云平台（www.zcygov.cn/）”在线开启。</w:t>
      </w:r>
    </w:p>
    <w:p w14:paraId="4C9756F4">
      <w:pPr>
        <w:pStyle w:val="17"/>
        <w:spacing w:beforeAutospacing="0" w:afterAutospacing="0" w:line="360" w:lineRule="exact"/>
        <w:ind w:firstLine="424" w:firstLineChars="201"/>
        <w:rPr>
          <w:b/>
          <w:color w:val="auto"/>
          <w:sz w:val="21"/>
          <w:szCs w:val="21"/>
          <w:highlight w:val="none"/>
        </w:rPr>
      </w:pPr>
      <w:r>
        <w:rPr>
          <w:rFonts w:hint="eastAsia"/>
          <w:b/>
          <w:color w:val="auto"/>
          <w:sz w:val="21"/>
          <w:szCs w:val="21"/>
          <w:highlight w:val="none"/>
        </w:rPr>
        <w:t>九、联系方式</w:t>
      </w:r>
    </w:p>
    <w:p w14:paraId="179BCB71">
      <w:pPr>
        <w:spacing w:line="360" w:lineRule="exact"/>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1.招标人名称：温州科技职业学院</w:t>
      </w:r>
    </w:p>
    <w:p w14:paraId="777E73A3">
      <w:pPr>
        <w:spacing w:line="360" w:lineRule="exact"/>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联系人：</w:t>
      </w:r>
      <w:r>
        <w:rPr>
          <w:rFonts w:hint="eastAsia" w:ascii="宋体" w:hAnsi="宋体" w:cs="宋体"/>
          <w:color w:val="auto"/>
          <w:kern w:val="0"/>
          <w:szCs w:val="21"/>
          <w:highlight w:val="none"/>
          <w:lang w:val="en-US" w:eastAsia="zh-CN"/>
        </w:rPr>
        <w:t>王</w:t>
      </w:r>
      <w:r>
        <w:rPr>
          <w:rFonts w:hint="eastAsia" w:ascii="宋体" w:hAnsi="宋体" w:cs="宋体"/>
          <w:color w:val="auto"/>
          <w:kern w:val="0"/>
          <w:szCs w:val="21"/>
          <w:highlight w:val="none"/>
        </w:rPr>
        <w:t>老师</w:t>
      </w:r>
    </w:p>
    <w:p w14:paraId="57151DD8">
      <w:pPr>
        <w:spacing w:line="360" w:lineRule="exact"/>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联系电话：0577-88417191</w:t>
      </w:r>
    </w:p>
    <w:p w14:paraId="4F1B541B">
      <w:pPr>
        <w:spacing w:line="360" w:lineRule="exact"/>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地址：温州市六虹桥路1000号</w:t>
      </w:r>
    </w:p>
    <w:p w14:paraId="40264F91">
      <w:pPr>
        <w:spacing w:line="360" w:lineRule="exact"/>
        <w:ind w:firstLine="424" w:firstLineChars="202"/>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2.招标代理机构名称：</w:t>
      </w:r>
      <w:r>
        <w:rPr>
          <w:rFonts w:hint="eastAsia" w:ascii="宋体" w:hAnsi="宋体" w:cs="宋体"/>
          <w:color w:val="auto"/>
          <w:kern w:val="0"/>
          <w:szCs w:val="21"/>
          <w:highlight w:val="none"/>
          <w:lang w:eastAsia="zh-CN"/>
        </w:rPr>
        <w:t>温州市华信采购招标代理有限公司</w:t>
      </w:r>
    </w:p>
    <w:p w14:paraId="7623E357">
      <w:pPr>
        <w:spacing w:line="360" w:lineRule="exact"/>
        <w:ind w:firstLine="424" w:firstLineChars="202"/>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联系人：</w:t>
      </w:r>
      <w:r>
        <w:rPr>
          <w:rFonts w:hint="eastAsia" w:ascii="宋体" w:hAnsi="宋体" w:cs="宋体"/>
          <w:color w:val="auto"/>
          <w:kern w:val="0"/>
          <w:szCs w:val="21"/>
          <w:highlight w:val="none"/>
          <w:lang w:val="en-US" w:eastAsia="zh-CN"/>
        </w:rPr>
        <w:t>李先生</w:t>
      </w:r>
    </w:p>
    <w:p w14:paraId="1E5A15EC">
      <w:pPr>
        <w:spacing w:line="360" w:lineRule="exact"/>
        <w:ind w:firstLine="424" w:firstLineChars="202"/>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联系电话：0577-</w:t>
      </w:r>
      <w:r>
        <w:rPr>
          <w:rFonts w:hint="eastAsia" w:ascii="宋体" w:hAnsi="宋体" w:cs="宋体"/>
          <w:color w:val="auto"/>
          <w:kern w:val="0"/>
          <w:szCs w:val="21"/>
          <w:highlight w:val="none"/>
          <w:lang w:val="en-US" w:eastAsia="zh-CN"/>
        </w:rPr>
        <w:t>88899066</w:t>
      </w:r>
      <w:r>
        <w:rPr>
          <w:rFonts w:hint="eastAsia" w:ascii="宋体" w:hAnsi="宋体" w:cs="宋体"/>
          <w:color w:val="auto"/>
          <w:kern w:val="0"/>
          <w:szCs w:val="21"/>
          <w:highlight w:val="none"/>
        </w:rPr>
        <w:t xml:space="preserve"> </w:t>
      </w:r>
    </w:p>
    <w:p w14:paraId="2A6FADFA">
      <w:pPr>
        <w:spacing w:line="360" w:lineRule="exact"/>
        <w:ind w:firstLine="424" w:firstLineChars="202"/>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lang w:eastAsia="zh-CN"/>
        </w:rPr>
        <w:t>温州市鹿城区市府路鹿城壹号18-403</w:t>
      </w:r>
    </w:p>
    <w:p w14:paraId="5F893CA5">
      <w:pPr>
        <w:spacing w:line="360" w:lineRule="exact"/>
        <w:ind w:firstLine="424" w:firstLineChars="202"/>
        <w:jc w:val="left"/>
        <w:rPr>
          <w:rFonts w:ascii="宋体" w:hAnsi="宋体"/>
          <w:b/>
          <w:bCs/>
          <w:color w:val="auto"/>
          <w:highlight w:val="none"/>
        </w:rPr>
      </w:pPr>
      <w:r>
        <w:rPr>
          <w:rFonts w:hint="eastAsia" w:ascii="宋体" w:hAnsi="宋体" w:cs="宋体"/>
          <w:color w:val="auto"/>
          <w:kern w:val="0"/>
          <w:szCs w:val="21"/>
          <w:highlight w:val="none"/>
        </w:rPr>
        <w:t xml:space="preserve"> </w:t>
      </w:r>
    </w:p>
    <w:p w14:paraId="3035C03C">
      <w:pPr>
        <w:spacing w:line="360" w:lineRule="exact"/>
        <w:ind w:firstLine="420" w:firstLineChars="200"/>
        <w:jc w:val="right"/>
        <w:rPr>
          <w:rFonts w:ascii="宋体" w:hAnsi="宋体" w:cs="宋体"/>
          <w:color w:val="auto"/>
          <w:szCs w:val="21"/>
          <w:highlight w:val="none"/>
        </w:rPr>
      </w:pPr>
      <w:r>
        <w:rPr>
          <w:rFonts w:hint="eastAsia" w:ascii="宋体" w:hAnsi="宋体" w:cs="宋体"/>
          <w:color w:val="auto"/>
          <w:kern w:val="0"/>
          <w:szCs w:val="21"/>
          <w:highlight w:val="none"/>
        </w:rPr>
        <w:t>温州科技职业学院</w:t>
      </w:r>
    </w:p>
    <w:p w14:paraId="7D159DE1">
      <w:pPr>
        <w:spacing w:line="360" w:lineRule="exact"/>
        <w:ind w:firstLine="420" w:firstLineChars="200"/>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温州市华信采购招标代理有限公司</w:t>
      </w:r>
    </w:p>
    <w:p w14:paraId="633123EE">
      <w:pPr>
        <w:spacing w:line="360" w:lineRule="exact"/>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1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23 </w:t>
      </w:r>
      <w:r>
        <w:rPr>
          <w:rFonts w:hint="eastAsia" w:ascii="宋体" w:hAnsi="宋体" w:cs="宋体"/>
          <w:color w:val="auto"/>
          <w:szCs w:val="21"/>
          <w:highlight w:val="none"/>
        </w:rPr>
        <w:t>日</w:t>
      </w:r>
    </w:p>
    <w:p w14:paraId="6AD45462">
      <w:pPr>
        <w:pStyle w:val="13"/>
        <w:snapToGrid w:val="0"/>
        <w:spacing w:beforeLines="0" w:afterLines="0" w:line="460" w:lineRule="exact"/>
        <w:jc w:val="center"/>
        <w:outlineLvl w:val="0"/>
        <w:rPr>
          <w:rFonts w:hAnsi="宋体" w:cs="宋体"/>
          <w:b/>
          <w:color w:val="auto"/>
          <w:sz w:val="32"/>
          <w:szCs w:val="32"/>
          <w:highlight w:val="none"/>
        </w:rPr>
      </w:pPr>
      <w:r>
        <w:rPr>
          <w:rFonts w:hint="eastAsia" w:hAnsi="宋体" w:cs="宋体"/>
          <w:color w:val="auto"/>
          <w:sz w:val="22"/>
          <w:szCs w:val="22"/>
          <w:highlight w:val="none"/>
        </w:rPr>
        <w:br w:type="page"/>
      </w:r>
      <w:bookmarkStart w:id="1" w:name="_Toc122426740"/>
      <w:r>
        <w:rPr>
          <w:rFonts w:hint="eastAsia" w:hAnsi="宋体" w:cs="宋体"/>
          <w:b/>
          <w:color w:val="auto"/>
          <w:sz w:val="32"/>
          <w:szCs w:val="32"/>
          <w:highlight w:val="none"/>
        </w:rPr>
        <w:t>第二章  投标人须知</w:t>
      </w:r>
      <w:bookmarkEnd w:id="1"/>
    </w:p>
    <w:p w14:paraId="11F1FD37">
      <w:pPr>
        <w:snapToGrid w:val="0"/>
        <w:spacing w:line="360" w:lineRule="exact"/>
        <w:jc w:val="center"/>
        <w:rPr>
          <w:rFonts w:ascii="宋体" w:hAnsi="宋体" w:cs="宋体"/>
          <w:color w:val="auto"/>
          <w:sz w:val="28"/>
          <w:szCs w:val="28"/>
          <w:highlight w:val="none"/>
        </w:rPr>
      </w:pPr>
      <w:bookmarkStart w:id="2" w:name="_Toc122081036"/>
      <w:r>
        <w:rPr>
          <w:rFonts w:hint="eastAsia" w:ascii="宋体" w:hAnsi="宋体"/>
          <w:b/>
          <w:bCs/>
          <w:color w:val="auto"/>
          <w:sz w:val="28"/>
          <w:szCs w:val="28"/>
          <w:highlight w:val="none"/>
        </w:rPr>
        <w:t>投标须知前附表</w:t>
      </w:r>
      <w:bookmarkEnd w:id="2"/>
    </w:p>
    <w:tbl>
      <w:tblPr>
        <w:tblStyle w:val="18"/>
        <w:tblW w:w="960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737"/>
      </w:tblGrid>
      <w:tr w14:paraId="15B96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9" w:type="dxa"/>
            <w:tcBorders>
              <w:top w:val="single" w:color="auto" w:sz="4" w:space="0"/>
              <w:left w:val="single" w:color="auto" w:sz="4" w:space="0"/>
              <w:bottom w:val="single" w:color="auto" w:sz="4" w:space="0"/>
              <w:right w:val="single" w:color="auto" w:sz="4" w:space="0"/>
            </w:tcBorders>
            <w:vAlign w:val="center"/>
          </w:tcPr>
          <w:p w14:paraId="108F44B5">
            <w:pPr>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8737" w:type="dxa"/>
            <w:tcBorders>
              <w:top w:val="single" w:color="auto" w:sz="4" w:space="0"/>
              <w:left w:val="single" w:color="auto" w:sz="4" w:space="0"/>
              <w:bottom w:val="single" w:color="auto" w:sz="4" w:space="0"/>
              <w:right w:val="single" w:color="auto" w:sz="4" w:space="0"/>
            </w:tcBorders>
            <w:vAlign w:val="center"/>
          </w:tcPr>
          <w:p w14:paraId="2134D69B">
            <w:pPr>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内    容    及    要    求</w:t>
            </w:r>
          </w:p>
        </w:tc>
      </w:tr>
      <w:tr w14:paraId="4679D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9" w:type="dxa"/>
            <w:tcBorders>
              <w:top w:val="single" w:color="auto" w:sz="4" w:space="0"/>
              <w:left w:val="single" w:color="auto" w:sz="4" w:space="0"/>
              <w:bottom w:val="single" w:color="auto" w:sz="4" w:space="0"/>
              <w:right w:val="single" w:color="auto" w:sz="4" w:space="0"/>
            </w:tcBorders>
            <w:vAlign w:val="center"/>
          </w:tcPr>
          <w:p w14:paraId="49D5D219">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737" w:type="dxa"/>
            <w:tcBorders>
              <w:top w:val="single" w:color="auto" w:sz="4" w:space="0"/>
              <w:left w:val="single" w:color="auto" w:sz="4" w:space="0"/>
              <w:bottom w:val="single" w:color="auto" w:sz="4" w:space="0"/>
              <w:right w:val="single" w:color="auto" w:sz="4" w:space="0"/>
            </w:tcBorders>
            <w:vAlign w:val="center"/>
          </w:tcPr>
          <w:p w14:paraId="7C11A465">
            <w:pPr>
              <w:snapToGrid w:val="0"/>
              <w:spacing w:line="36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olor w:val="auto"/>
                <w:szCs w:val="21"/>
                <w:highlight w:val="none"/>
                <w:lang w:eastAsia="zh-CN"/>
              </w:rPr>
              <w:t>温州科技职业学院2025年公款竞争性存放项目</w:t>
            </w:r>
          </w:p>
        </w:tc>
      </w:tr>
      <w:tr w14:paraId="35EEA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9" w:type="dxa"/>
            <w:tcBorders>
              <w:top w:val="single" w:color="auto" w:sz="4" w:space="0"/>
              <w:left w:val="single" w:color="auto" w:sz="4" w:space="0"/>
              <w:bottom w:val="single" w:color="auto" w:sz="4" w:space="0"/>
              <w:right w:val="single" w:color="auto" w:sz="4" w:space="0"/>
            </w:tcBorders>
            <w:vAlign w:val="center"/>
          </w:tcPr>
          <w:p w14:paraId="094C20B1">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8737" w:type="dxa"/>
            <w:tcBorders>
              <w:top w:val="single" w:color="auto" w:sz="4" w:space="0"/>
              <w:left w:val="single" w:color="auto" w:sz="4" w:space="0"/>
              <w:bottom w:val="single" w:color="auto" w:sz="4" w:space="0"/>
              <w:right w:val="single" w:color="auto" w:sz="4" w:space="0"/>
            </w:tcBorders>
            <w:vAlign w:val="center"/>
          </w:tcPr>
          <w:p w14:paraId="7D0E8901">
            <w:pPr>
              <w:snapToGrid w:val="0"/>
              <w:spacing w:line="36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WZHX2024-12-234</w:t>
            </w:r>
          </w:p>
        </w:tc>
      </w:tr>
      <w:tr w14:paraId="756D7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9" w:type="dxa"/>
            <w:tcBorders>
              <w:top w:val="single" w:color="auto" w:sz="4" w:space="0"/>
              <w:left w:val="single" w:color="auto" w:sz="4" w:space="0"/>
              <w:bottom w:val="single" w:color="auto" w:sz="4" w:space="0"/>
              <w:right w:val="single" w:color="auto" w:sz="4" w:space="0"/>
            </w:tcBorders>
            <w:vAlign w:val="center"/>
          </w:tcPr>
          <w:p w14:paraId="5FE9BCF6">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737" w:type="dxa"/>
            <w:tcBorders>
              <w:top w:val="single" w:color="auto" w:sz="4" w:space="0"/>
              <w:left w:val="single" w:color="auto" w:sz="4" w:space="0"/>
              <w:bottom w:val="single" w:color="auto" w:sz="4" w:space="0"/>
              <w:right w:val="single" w:color="auto" w:sz="4" w:space="0"/>
            </w:tcBorders>
            <w:vAlign w:val="center"/>
          </w:tcPr>
          <w:p w14:paraId="75B2F159">
            <w:pPr>
              <w:adjustRightInd w:val="0"/>
              <w:snapToGrid w:val="0"/>
              <w:spacing w:line="288" w:lineRule="auto"/>
              <w:jc w:val="left"/>
              <w:rPr>
                <w:rFonts w:ascii="宋体" w:hAnsi="宋体" w:cs="宋体"/>
                <w:color w:val="auto"/>
                <w:szCs w:val="21"/>
                <w:highlight w:val="none"/>
              </w:rPr>
            </w:pPr>
            <w:r>
              <w:rPr>
                <w:rFonts w:hint="eastAsia" w:ascii="宋体" w:hAnsi="宋体" w:cs="宋体"/>
                <w:bCs/>
                <w:color w:val="auto"/>
                <w:szCs w:val="21"/>
                <w:highlight w:val="none"/>
              </w:rPr>
              <w:t>招标组织类型：非政府采购</w:t>
            </w:r>
          </w:p>
        </w:tc>
      </w:tr>
      <w:tr w14:paraId="58FB9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9" w:type="dxa"/>
            <w:tcBorders>
              <w:top w:val="single" w:color="auto" w:sz="4" w:space="0"/>
              <w:left w:val="single" w:color="auto" w:sz="4" w:space="0"/>
              <w:bottom w:val="single" w:color="auto" w:sz="4" w:space="0"/>
              <w:right w:val="single" w:color="auto" w:sz="4" w:space="0"/>
            </w:tcBorders>
            <w:vAlign w:val="center"/>
          </w:tcPr>
          <w:p w14:paraId="360D2054">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8737" w:type="dxa"/>
            <w:tcBorders>
              <w:top w:val="single" w:color="auto" w:sz="4" w:space="0"/>
              <w:left w:val="single" w:color="auto" w:sz="4" w:space="0"/>
              <w:bottom w:val="single" w:color="auto" w:sz="4" w:space="0"/>
              <w:right w:val="single" w:color="auto" w:sz="4" w:space="0"/>
            </w:tcBorders>
            <w:vAlign w:val="center"/>
          </w:tcPr>
          <w:p w14:paraId="526FC13F">
            <w:pPr>
              <w:adjustRightInd w:val="0"/>
              <w:snapToGrid w:val="0"/>
              <w:spacing w:line="288" w:lineRule="auto"/>
              <w:jc w:val="left"/>
              <w:rPr>
                <w:rFonts w:ascii="宋体" w:hAnsi="宋体" w:cs="宋体"/>
                <w:bCs/>
                <w:color w:val="auto"/>
                <w:szCs w:val="21"/>
                <w:highlight w:val="none"/>
              </w:rPr>
            </w:pPr>
            <w:r>
              <w:rPr>
                <w:rFonts w:hint="eastAsia" w:ascii="宋体" w:hAnsi="宋体" w:cs="宋体"/>
                <w:bCs/>
                <w:color w:val="auto"/>
                <w:szCs w:val="21"/>
                <w:highlight w:val="none"/>
              </w:rPr>
              <w:t>招标项目内容：公款存放总金额</w:t>
            </w:r>
            <w:r>
              <w:rPr>
                <w:rFonts w:hint="eastAsia" w:ascii="宋体" w:hAnsi="宋体" w:cs="宋体"/>
                <w:bCs/>
                <w:color w:val="auto"/>
                <w:szCs w:val="21"/>
                <w:highlight w:val="none"/>
                <w:lang w:val="en-US" w:eastAsia="zh-CN"/>
              </w:rPr>
              <w:t>32</w:t>
            </w:r>
            <w:r>
              <w:rPr>
                <w:rFonts w:hint="eastAsia" w:ascii="宋体" w:hAnsi="宋体" w:cs="宋体"/>
                <w:bCs/>
                <w:color w:val="auto"/>
                <w:szCs w:val="21"/>
                <w:highlight w:val="none"/>
              </w:rPr>
              <w:t>00万元，资金存放期限为一年定期，招标人将通过竞标选择确定</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家资金存放银行，具体招标内容及要求见招标文件相关部分。</w:t>
            </w:r>
          </w:p>
        </w:tc>
      </w:tr>
      <w:tr w14:paraId="45494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9" w:type="dxa"/>
            <w:tcBorders>
              <w:top w:val="single" w:color="auto" w:sz="4" w:space="0"/>
              <w:left w:val="single" w:color="auto" w:sz="4" w:space="0"/>
              <w:bottom w:val="single" w:color="auto" w:sz="4" w:space="0"/>
              <w:right w:val="single" w:color="auto" w:sz="4" w:space="0"/>
            </w:tcBorders>
            <w:vAlign w:val="center"/>
          </w:tcPr>
          <w:p w14:paraId="79C2B4DA">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8737" w:type="dxa"/>
            <w:tcBorders>
              <w:top w:val="single" w:color="auto" w:sz="4" w:space="0"/>
              <w:left w:val="single" w:color="auto" w:sz="4" w:space="0"/>
              <w:bottom w:val="single" w:color="auto" w:sz="4" w:space="0"/>
              <w:right w:val="single" w:color="auto" w:sz="4" w:space="0"/>
            </w:tcBorders>
            <w:vAlign w:val="center"/>
          </w:tcPr>
          <w:p w14:paraId="050468D7">
            <w:pPr>
              <w:autoSpaceDE w:val="0"/>
              <w:autoSpaceDN w:val="0"/>
              <w:snapToGrid w:val="0"/>
              <w:spacing w:line="360" w:lineRule="exact"/>
              <w:jc w:val="left"/>
              <w:textAlignment w:val="bottom"/>
              <w:rPr>
                <w:rFonts w:ascii="宋体" w:hAnsi="宋体" w:cs="宋体"/>
                <w:color w:val="auto"/>
                <w:szCs w:val="21"/>
                <w:highlight w:val="none"/>
              </w:rPr>
            </w:pPr>
            <w:r>
              <w:rPr>
                <w:rFonts w:ascii="宋体" w:hAnsi="宋体" w:cs="宋体"/>
                <w:color w:val="auto"/>
                <w:szCs w:val="21"/>
                <w:highlight w:val="none"/>
              </w:rPr>
              <w:t>投标人应符合</w:t>
            </w:r>
            <w:r>
              <w:rPr>
                <w:rFonts w:hint="eastAsia" w:ascii="宋体" w:hAnsi="宋体" w:cs="宋体"/>
                <w:color w:val="auto"/>
                <w:szCs w:val="21"/>
                <w:highlight w:val="none"/>
              </w:rPr>
              <w:t>《温州市市级行政事业单位公款竞争性存放管理办法》（温财预执〔2021〕4号）第十五条</w:t>
            </w:r>
            <w:r>
              <w:rPr>
                <w:rFonts w:ascii="宋体" w:hAnsi="宋体" w:cs="宋体"/>
                <w:color w:val="auto"/>
                <w:szCs w:val="21"/>
                <w:highlight w:val="none"/>
              </w:rPr>
              <w:t>规定，</w:t>
            </w:r>
            <w:r>
              <w:rPr>
                <w:rFonts w:hint="eastAsia" w:ascii="宋体" w:hAnsi="宋体" w:cs="宋体"/>
                <w:color w:val="auto"/>
                <w:szCs w:val="21"/>
                <w:highlight w:val="none"/>
              </w:rPr>
              <w:t>具备承担</w:t>
            </w:r>
            <w:r>
              <w:rPr>
                <w:rFonts w:ascii="宋体" w:hAnsi="宋体" w:cs="宋体"/>
                <w:color w:val="auto"/>
                <w:szCs w:val="21"/>
                <w:highlight w:val="none"/>
              </w:rPr>
              <w:t>具体包括</w:t>
            </w:r>
            <w:r>
              <w:rPr>
                <w:rFonts w:hint="eastAsia" w:ascii="宋体" w:hAnsi="宋体" w:cs="宋体"/>
                <w:color w:val="auto"/>
                <w:szCs w:val="21"/>
                <w:highlight w:val="none"/>
              </w:rPr>
              <w:t>：</w:t>
            </w:r>
          </w:p>
          <w:p w14:paraId="58E53ACB">
            <w:pPr>
              <w:autoSpaceDE w:val="0"/>
              <w:autoSpaceDN w:val="0"/>
              <w:snapToGrid w:val="0"/>
              <w:spacing w:line="360" w:lineRule="exact"/>
              <w:jc w:val="left"/>
              <w:textAlignment w:val="bottom"/>
              <w:rPr>
                <w:rFonts w:ascii="宋体" w:hAnsi="宋体" w:cs="宋体"/>
                <w:color w:val="auto"/>
                <w:szCs w:val="21"/>
                <w:highlight w:val="none"/>
              </w:rPr>
            </w:pPr>
            <w:r>
              <w:rPr>
                <w:rFonts w:hint="eastAsia" w:ascii="宋体" w:hAnsi="宋体" w:cs="宋体"/>
                <w:color w:val="auto"/>
                <w:szCs w:val="21"/>
                <w:highlight w:val="none"/>
              </w:rPr>
              <w:t>（一）在温州地区设有分支机构；</w:t>
            </w:r>
          </w:p>
          <w:p w14:paraId="451A61A5">
            <w:pPr>
              <w:autoSpaceDE w:val="0"/>
              <w:autoSpaceDN w:val="0"/>
              <w:snapToGrid w:val="0"/>
              <w:spacing w:line="360" w:lineRule="exact"/>
              <w:jc w:val="left"/>
              <w:textAlignment w:val="bottom"/>
              <w:rPr>
                <w:rFonts w:ascii="宋体" w:hAnsi="宋体" w:cs="宋体"/>
                <w:color w:val="auto"/>
                <w:szCs w:val="21"/>
                <w:highlight w:val="none"/>
              </w:rPr>
            </w:pPr>
            <w:r>
              <w:rPr>
                <w:rFonts w:hint="eastAsia" w:ascii="宋体" w:hAnsi="宋体" w:cs="宋体"/>
                <w:color w:val="auto"/>
                <w:szCs w:val="21"/>
                <w:highlight w:val="none"/>
              </w:rPr>
              <w:t>（二）依法开展经营活动，近3年内在经营活动中无重大违法违规记录及重大违约事件；</w:t>
            </w:r>
          </w:p>
          <w:p w14:paraId="45115057">
            <w:pPr>
              <w:autoSpaceDE w:val="0"/>
              <w:autoSpaceDN w:val="0"/>
              <w:snapToGrid w:val="0"/>
              <w:spacing w:line="360" w:lineRule="exact"/>
              <w:jc w:val="left"/>
              <w:textAlignment w:val="bottom"/>
              <w:rPr>
                <w:rFonts w:ascii="宋体" w:hAnsi="宋体" w:cs="宋体"/>
                <w:color w:val="auto"/>
                <w:szCs w:val="21"/>
                <w:highlight w:val="none"/>
              </w:rPr>
            </w:pPr>
            <w:r>
              <w:rPr>
                <w:rFonts w:hint="eastAsia" w:ascii="宋体" w:hAnsi="宋体" w:cs="宋体"/>
                <w:color w:val="auto"/>
                <w:szCs w:val="21"/>
                <w:highlight w:val="none"/>
              </w:rPr>
              <w:t>（三）纳入监管评级的银行，人民银行上年度综合评价应达到B级及以上，不纳入人民银行评级范围的银行不受此限制；</w:t>
            </w:r>
          </w:p>
          <w:p w14:paraId="3006A936">
            <w:pPr>
              <w:autoSpaceDE w:val="0"/>
              <w:autoSpaceDN w:val="0"/>
              <w:snapToGrid w:val="0"/>
              <w:spacing w:line="360" w:lineRule="exact"/>
              <w:jc w:val="left"/>
              <w:textAlignment w:val="bottom"/>
              <w:rPr>
                <w:rFonts w:ascii="宋体" w:hAnsi="宋体" w:cs="宋体"/>
                <w:color w:val="auto"/>
                <w:szCs w:val="21"/>
                <w:highlight w:val="none"/>
              </w:rPr>
            </w:pPr>
            <w:r>
              <w:rPr>
                <w:rFonts w:hint="eastAsia" w:ascii="宋体" w:hAnsi="宋体" w:cs="宋体"/>
                <w:color w:val="auto"/>
                <w:szCs w:val="21"/>
                <w:highlight w:val="none"/>
              </w:rPr>
              <w:t>（四）本次招标每家银行只能有一个主体参与投标，允许市级分行或市级分行授权支行为投标主体（温州地区农村信用合作联社、农村商业银行、农村合作银行参加投标必须获得浙江农商联合银行温州管理部唯一授权）。</w:t>
            </w:r>
          </w:p>
        </w:tc>
      </w:tr>
      <w:tr w14:paraId="39DA9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9" w:type="dxa"/>
            <w:tcBorders>
              <w:top w:val="single" w:color="auto" w:sz="4" w:space="0"/>
              <w:left w:val="single" w:color="auto" w:sz="4" w:space="0"/>
              <w:bottom w:val="single" w:color="auto" w:sz="4" w:space="0"/>
              <w:right w:val="single" w:color="auto" w:sz="4" w:space="0"/>
            </w:tcBorders>
            <w:vAlign w:val="center"/>
          </w:tcPr>
          <w:p w14:paraId="6EDC8C81">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8737" w:type="dxa"/>
            <w:tcBorders>
              <w:top w:val="single" w:color="auto" w:sz="4" w:space="0"/>
              <w:left w:val="single" w:color="auto" w:sz="4" w:space="0"/>
              <w:bottom w:val="single" w:color="auto" w:sz="4" w:space="0"/>
              <w:right w:val="single" w:color="auto" w:sz="4" w:space="0"/>
            </w:tcBorders>
            <w:vAlign w:val="center"/>
          </w:tcPr>
          <w:p w14:paraId="16FF6341">
            <w:pPr>
              <w:snapToGrid w:val="0"/>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是否接受转包与分包：</w:t>
            </w:r>
            <w:r>
              <w:rPr>
                <w:rFonts w:hint="eastAsia" w:ascii="宋体" w:hAnsi="宋体" w:cs="宋体"/>
                <w:bCs/>
                <w:color w:val="auto"/>
                <w:szCs w:val="21"/>
                <w:highlight w:val="none"/>
              </w:rPr>
              <w:sym w:font="Wingdings" w:char="F0FE"/>
            </w:r>
            <w:r>
              <w:rPr>
                <w:rFonts w:hint="eastAsia" w:ascii="宋体" w:hAnsi="宋体" w:cs="宋体"/>
                <w:bCs/>
                <w:color w:val="auto"/>
                <w:szCs w:val="21"/>
                <w:highlight w:val="none"/>
              </w:rPr>
              <w:t xml:space="preserve">不接受 </w:t>
            </w:r>
          </w:p>
        </w:tc>
      </w:tr>
      <w:tr w14:paraId="6A050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9" w:type="dxa"/>
            <w:tcBorders>
              <w:top w:val="single" w:color="auto" w:sz="4" w:space="0"/>
              <w:left w:val="single" w:color="auto" w:sz="4" w:space="0"/>
              <w:bottom w:val="single" w:color="auto" w:sz="4" w:space="0"/>
              <w:right w:val="single" w:color="auto" w:sz="4" w:space="0"/>
            </w:tcBorders>
            <w:vAlign w:val="center"/>
          </w:tcPr>
          <w:p w14:paraId="34895553">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8737" w:type="dxa"/>
            <w:tcBorders>
              <w:top w:val="single" w:color="auto" w:sz="4" w:space="0"/>
              <w:left w:val="single" w:color="auto" w:sz="4" w:space="0"/>
              <w:bottom w:val="single" w:color="auto" w:sz="4" w:space="0"/>
              <w:right w:val="single" w:color="auto" w:sz="4" w:space="0"/>
            </w:tcBorders>
            <w:vAlign w:val="center"/>
          </w:tcPr>
          <w:p w14:paraId="5C8E0383">
            <w:pPr>
              <w:snapToGrid w:val="0"/>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是否接受联合体投标：</w:t>
            </w:r>
            <w:r>
              <w:rPr>
                <w:rFonts w:hint="eastAsia" w:ascii="宋体" w:hAnsi="宋体" w:cs="宋体"/>
                <w:bCs/>
                <w:color w:val="auto"/>
                <w:szCs w:val="21"/>
                <w:highlight w:val="none"/>
              </w:rPr>
              <w:sym w:font="Wingdings" w:char="F0FE"/>
            </w:r>
            <w:r>
              <w:rPr>
                <w:rFonts w:hint="eastAsia" w:ascii="宋体" w:hAnsi="宋体" w:cs="宋体"/>
                <w:bCs/>
                <w:color w:val="auto"/>
                <w:szCs w:val="21"/>
                <w:highlight w:val="none"/>
              </w:rPr>
              <w:t>不接受</w:t>
            </w:r>
          </w:p>
        </w:tc>
      </w:tr>
      <w:tr w14:paraId="63EA0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9" w:type="dxa"/>
            <w:tcBorders>
              <w:top w:val="single" w:color="auto" w:sz="4" w:space="0"/>
              <w:left w:val="single" w:color="auto" w:sz="4" w:space="0"/>
              <w:bottom w:val="single" w:color="auto" w:sz="4" w:space="0"/>
              <w:right w:val="single" w:color="auto" w:sz="4" w:space="0"/>
            </w:tcBorders>
            <w:vAlign w:val="center"/>
          </w:tcPr>
          <w:p w14:paraId="0F49733D">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8737" w:type="dxa"/>
            <w:tcBorders>
              <w:top w:val="single" w:color="auto" w:sz="4" w:space="0"/>
              <w:left w:val="single" w:color="auto" w:sz="4" w:space="0"/>
              <w:bottom w:val="single" w:color="auto" w:sz="4" w:space="0"/>
              <w:right w:val="single" w:color="auto" w:sz="4" w:space="0"/>
            </w:tcBorders>
            <w:vAlign w:val="center"/>
          </w:tcPr>
          <w:p w14:paraId="1914D638">
            <w:pPr>
              <w:snapToGrid w:val="0"/>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投标预备会：</w:t>
            </w:r>
            <w:r>
              <w:rPr>
                <w:rFonts w:hint="eastAsia" w:ascii="宋体" w:hAnsi="宋体" w:cs="宋体"/>
                <w:bCs/>
                <w:color w:val="auto"/>
                <w:szCs w:val="21"/>
                <w:highlight w:val="none"/>
              </w:rPr>
              <w:sym w:font="Wingdings" w:char="00FE"/>
            </w:r>
            <w:r>
              <w:rPr>
                <w:rFonts w:hint="eastAsia" w:ascii="宋体" w:hAnsi="宋体" w:cs="宋体"/>
                <w:bCs/>
                <w:color w:val="auto"/>
                <w:szCs w:val="21"/>
                <w:highlight w:val="none"/>
              </w:rPr>
              <w:t xml:space="preserve">不召开 </w:t>
            </w:r>
          </w:p>
        </w:tc>
      </w:tr>
      <w:tr w14:paraId="47FB3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9" w:type="dxa"/>
            <w:tcBorders>
              <w:top w:val="single" w:color="auto" w:sz="4" w:space="0"/>
              <w:left w:val="single" w:color="auto" w:sz="4" w:space="0"/>
              <w:bottom w:val="single" w:color="auto" w:sz="4" w:space="0"/>
              <w:right w:val="single" w:color="auto" w:sz="4" w:space="0"/>
            </w:tcBorders>
            <w:vAlign w:val="center"/>
          </w:tcPr>
          <w:p w14:paraId="77351375">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8737" w:type="dxa"/>
            <w:tcBorders>
              <w:top w:val="single" w:color="auto" w:sz="4" w:space="0"/>
              <w:left w:val="single" w:color="auto" w:sz="4" w:space="0"/>
              <w:bottom w:val="single" w:color="auto" w:sz="4" w:space="0"/>
              <w:right w:val="single" w:color="auto" w:sz="4" w:space="0"/>
            </w:tcBorders>
            <w:vAlign w:val="center"/>
          </w:tcPr>
          <w:p w14:paraId="01DD9886">
            <w:pPr>
              <w:autoSpaceDE w:val="0"/>
              <w:autoSpaceDN w:val="0"/>
              <w:snapToGrid w:val="0"/>
              <w:spacing w:line="360" w:lineRule="exact"/>
              <w:jc w:val="left"/>
              <w:textAlignment w:val="bottom"/>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bCs/>
                <w:color w:val="auto"/>
                <w:szCs w:val="21"/>
                <w:highlight w:val="none"/>
              </w:rPr>
              <w:t>详见《招标公告》</w:t>
            </w:r>
          </w:p>
        </w:tc>
      </w:tr>
      <w:tr w14:paraId="1A5DA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9" w:type="dxa"/>
            <w:tcBorders>
              <w:top w:val="single" w:color="auto" w:sz="4" w:space="0"/>
              <w:left w:val="single" w:color="auto" w:sz="4" w:space="0"/>
              <w:bottom w:val="single" w:color="auto" w:sz="4" w:space="0"/>
              <w:right w:val="single" w:color="auto" w:sz="4" w:space="0"/>
            </w:tcBorders>
            <w:vAlign w:val="center"/>
          </w:tcPr>
          <w:p w14:paraId="49D4FCA2">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8737" w:type="dxa"/>
            <w:tcBorders>
              <w:top w:val="single" w:color="auto" w:sz="4" w:space="0"/>
              <w:left w:val="single" w:color="auto" w:sz="4" w:space="0"/>
              <w:bottom w:val="single" w:color="auto" w:sz="4" w:space="0"/>
              <w:right w:val="single" w:color="auto" w:sz="4" w:space="0"/>
            </w:tcBorders>
            <w:vAlign w:val="center"/>
          </w:tcPr>
          <w:p w14:paraId="562A11DE">
            <w:pPr>
              <w:autoSpaceDE w:val="0"/>
              <w:autoSpaceDN w:val="0"/>
              <w:snapToGrid w:val="0"/>
              <w:spacing w:line="360" w:lineRule="exact"/>
              <w:jc w:val="left"/>
              <w:textAlignment w:val="bottom"/>
              <w:rPr>
                <w:rFonts w:ascii="宋体" w:hAnsi="宋体" w:cs="宋体"/>
                <w:color w:val="auto"/>
                <w:szCs w:val="21"/>
                <w:highlight w:val="none"/>
              </w:rPr>
            </w:pPr>
            <w:r>
              <w:rPr>
                <w:rFonts w:hint="eastAsia" w:ascii="宋体" w:hAnsi="宋体" w:cs="宋体"/>
                <w:color w:val="auto"/>
                <w:szCs w:val="21"/>
                <w:highlight w:val="none"/>
              </w:rPr>
              <w:t>开标地点：</w:t>
            </w:r>
            <w:r>
              <w:rPr>
                <w:rFonts w:hint="eastAsia" w:ascii="宋体" w:hAnsi="宋体" w:cs="宋体"/>
                <w:bCs/>
                <w:color w:val="auto"/>
                <w:szCs w:val="21"/>
                <w:highlight w:val="none"/>
              </w:rPr>
              <w:t>详见《招标公告》</w:t>
            </w:r>
          </w:p>
        </w:tc>
      </w:tr>
      <w:tr w14:paraId="0EB61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9" w:type="dxa"/>
            <w:tcBorders>
              <w:top w:val="single" w:color="auto" w:sz="4" w:space="0"/>
              <w:left w:val="single" w:color="auto" w:sz="4" w:space="0"/>
              <w:bottom w:val="single" w:color="auto" w:sz="4" w:space="0"/>
              <w:right w:val="single" w:color="auto" w:sz="4" w:space="0"/>
            </w:tcBorders>
            <w:vAlign w:val="center"/>
          </w:tcPr>
          <w:p w14:paraId="79072107">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8737" w:type="dxa"/>
            <w:tcBorders>
              <w:top w:val="single" w:color="auto" w:sz="4" w:space="0"/>
              <w:left w:val="single" w:color="auto" w:sz="4" w:space="0"/>
              <w:bottom w:val="single" w:color="auto" w:sz="4" w:space="0"/>
              <w:right w:val="single" w:color="auto" w:sz="4" w:space="0"/>
            </w:tcBorders>
            <w:vAlign w:val="center"/>
          </w:tcPr>
          <w:p w14:paraId="772B2EFF">
            <w:pPr>
              <w:autoSpaceDE w:val="0"/>
              <w:autoSpaceDN w:val="0"/>
              <w:snapToGrid w:val="0"/>
              <w:spacing w:line="360" w:lineRule="exact"/>
              <w:jc w:val="left"/>
              <w:textAlignment w:val="bottom"/>
              <w:rPr>
                <w:rFonts w:ascii="宋体" w:hAnsi="宋体" w:cs="宋体"/>
                <w:color w:val="auto"/>
                <w:szCs w:val="21"/>
                <w:highlight w:val="none"/>
              </w:rPr>
            </w:pPr>
            <w:r>
              <w:rPr>
                <w:rFonts w:hint="eastAsia" w:ascii="宋体" w:hAnsi="宋体" w:cs="宋体"/>
                <w:color w:val="auto"/>
                <w:szCs w:val="21"/>
                <w:highlight w:val="none"/>
              </w:rPr>
              <w:t>本项目实行网上电子投标。</w:t>
            </w:r>
          </w:p>
          <w:p w14:paraId="59249B90">
            <w:pPr>
              <w:autoSpaceDE w:val="0"/>
              <w:autoSpaceDN w:val="0"/>
              <w:snapToGrid w:val="0"/>
              <w:spacing w:line="360" w:lineRule="exact"/>
              <w:jc w:val="left"/>
              <w:textAlignment w:val="bottom"/>
              <w:rPr>
                <w:rFonts w:ascii="宋体" w:hAnsi="宋体" w:cs="宋体"/>
                <w:color w:val="auto"/>
                <w:szCs w:val="21"/>
                <w:highlight w:val="none"/>
              </w:rPr>
            </w:pPr>
            <w:r>
              <w:rPr>
                <w:rFonts w:hint="eastAsia" w:ascii="宋体" w:hAnsi="宋体" w:cs="宋体"/>
                <w:color w:val="auto"/>
                <w:szCs w:val="21"/>
                <w:highlight w:val="none"/>
              </w:rPr>
              <w:t>投标人应按照本项目招标文件和政采云平台的要求编制并递交投标文件。投标人在使用系统进行投标的过程中遇到涉及平台使用的任何问题，可致电政采云平台技术支持热线咨询，联系方式：400-881-7190。</w:t>
            </w:r>
          </w:p>
          <w:p w14:paraId="166A5380">
            <w:pPr>
              <w:autoSpaceDE w:val="0"/>
              <w:autoSpaceDN w:val="0"/>
              <w:snapToGrid w:val="0"/>
              <w:spacing w:line="360" w:lineRule="exact"/>
              <w:jc w:val="left"/>
              <w:textAlignment w:val="bottom"/>
              <w:rPr>
                <w:rFonts w:ascii="宋体" w:hAnsi="宋体" w:cs="宋体"/>
                <w:color w:val="auto"/>
                <w:szCs w:val="21"/>
                <w:highlight w:val="none"/>
              </w:rPr>
            </w:pPr>
            <w:r>
              <w:rPr>
                <w:rFonts w:hint="eastAsia" w:ascii="宋体" w:hAnsi="宋体" w:cs="宋体"/>
                <w:color w:val="auto"/>
                <w:szCs w:val="21"/>
                <w:highlight w:val="none"/>
              </w:rPr>
              <w:t>投标文件必须以pdf格式上传，上传后银行使用CA对上传文件进行签章（CA电子签章与公章具有同等法律效力）。</w:t>
            </w:r>
          </w:p>
          <w:p w14:paraId="5D5D8C50">
            <w:pPr>
              <w:autoSpaceDE w:val="0"/>
              <w:autoSpaceDN w:val="0"/>
              <w:snapToGrid w:val="0"/>
              <w:spacing w:line="360" w:lineRule="exact"/>
              <w:jc w:val="left"/>
              <w:textAlignment w:val="bottom"/>
              <w:rPr>
                <w:rFonts w:ascii="宋体" w:hAnsi="宋体" w:cs="宋体"/>
                <w:color w:val="auto"/>
                <w:szCs w:val="21"/>
                <w:highlight w:val="none"/>
              </w:rPr>
            </w:pPr>
            <w:r>
              <w:rPr>
                <w:rFonts w:hint="eastAsia" w:ascii="宋体" w:hAnsi="宋体" w:cs="宋体"/>
                <w:color w:val="auto"/>
                <w:szCs w:val="21"/>
                <w:highlight w:val="none"/>
              </w:rPr>
              <w:t>投标人应在开标前完成CA数字证书办理。完成CA数字证书办理预计一周左右，建议各投标人抓紧时间办理。【（目前“政采云”平台仅支持浙江汇信或天谷CA锁，个体工商户投标仅支持浙江汇信CA锁）申领操作流程”】。因未注册入库、未办理CA数字证书等原因造成无法投标或投标失败等后果由投标人自行承担。《CA驱动和申领流程》：zfcg.czt.zj.gov.cn/bidClientTemplate/2019-05-27/12945.html。《CA管理操作指南》：</w:t>
            </w:r>
            <w:r>
              <w:rPr>
                <w:color w:val="auto"/>
                <w:highlight w:val="none"/>
              </w:rPr>
              <w:fldChar w:fldCharType="begin"/>
            </w:r>
            <w:r>
              <w:rPr>
                <w:color w:val="auto"/>
                <w:highlight w:val="none"/>
              </w:rPr>
              <w:instrText xml:space="preserve"> HYPERLINK "https://service.zcygov.cn/" \l "/knowledges/cm2eqWwBFdiHxlNd_otq/lwV6GXABiyELHE-oVMj3?keyword。" </w:instrText>
            </w:r>
            <w:r>
              <w:rPr>
                <w:color w:val="auto"/>
                <w:highlight w:val="none"/>
              </w:rPr>
              <w:fldChar w:fldCharType="separate"/>
            </w:r>
            <w:r>
              <w:rPr>
                <w:rStyle w:val="21"/>
                <w:rFonts w:hint="eastAsia" w:ascii="宋体" w:hAnsi="宋体" w:cs="宋体"/>
                <w:color w:val="auto"/>
                <w:szCs w:val="21"/>
                <w:highlight w:val="none"/>
              </w:rPr>
              <w:t>https://service.zcygov.cn/#/knowledges/cm2eqWwBFdiHxlNd_otq/lwV6GXABiyELHE-oVMj3?keyword。</w:t>
            </w:r>
            <w:r>
              <w:rPr>
                <w:rStyle w:val="21"/>
                <w:rFonts w:hint="eastAsia" w:ascii="宋体" w:hAnsi="宋体" w:cs="宋体"/>
                <w:color w:val="auto"/>
                <w:szCs w:val="21"/>
                <w:highlight w:val="none"/>
              </w:rPr>
              <w:fldChar w:fldCharType="end"/>
            </w:r>
          </w:p>
          <w:p w14:paraId="34418E1D">
            <w:pPr>
              <w:autoSpaceDE w:val="0"/>
              <w:autoSpaceDN w:val="0"/>
              <w:snapToGrid w:val="0"/>
              <w:spacing w:line="360" w:lineRule="exact"/>
              <w:jc w:val="left"/>
              <w:textAlignment w:val="bottom"/>
              <w:rPr>
                <w:rFonts w:ascii="宋体" w:hAnsi="宋体" w:cs="宋体"/>
                <w:color w:val="auto"/>
                <w:szCs w:val="21"/>
                <w:highlight w:val="none"/>
              </w:rPr>
            </w:pPr>
            <w:r>
              <w:rPr>
                <w:rFonts w:hint="eastAsia" w:ascii="宋体" w:hAnsi="宋体" w:cs="宋体"/>
                <w:color w:val="auto"/>
                <w:szCs w:val="21"/>
                <w:highlight w:val="none"/>
              </w:rPr>
              <w:t>公款竞争性存放（单位公款）管理操作指南-供应商：</w:t>
            </w:r>
            <w:r>
              <w:rPr>
                <w:color w:val="auto"/>
                <w:highlight w:val="none"/>
              </w:rPr>
              <w:fldChar w:fldCharType="begin"/>
            </w:r>
            <w:r>
              <w:rPr>
                <w:color w:val="auto"/>
                <w:highlight w:val="none"/>
              </w:rPr>
              <w:instrText xml:space="preserve"> HYPERLINK "https://service.zcygov.cn/" \l "/knowledges/F21HtGwBFdiHxlNdMo0U/oBxOWW0B_qo-E1OhTRwL?keyword=公款" </w:instrText>
            </w:r>
            <w:r>
              <w:rPr>
                <w:color w:val="auto"/>
                <w:highlight w:val="none"/>
              </w:rPr>
              <w:fldChar w:fldCharType="separate"/>
            </w:r>
            <w:r>
              <w:rPr>
                <w:rStyle w:val="21"/>
                <w:rFonts w:hint="eastAsia" w:ascii="宋体" w:hAnsi="宋体" w:cs="宋体"/>
                <w:color w:val="auto"/>
                <w:szCs w:val="21"/>
                <w:highlight w:val="none"/>
              </w:rPr>
              <w:t>https://service.zcygov.cn/#/knowledges/F21HtGwBFdiHxlNdMo0U/oBxOWW0B_qo-E1OhTRwL?keyword=公款</w:t>
            </w:r>
            <w:r>
              <w:rPr>
                <w:rStyle w:val="21"/>
                <w:rFonts w:hint="eastAsia" w:ascii="宋体" w:hAnsi="宋体" w:cs="宋体"/>
                <w:color w:val="auto"/>
                <w:szCs w:val="21"/>
                <w:highlight w:val="none"/>
              </w:rPr>
              <w:fldChar w:fldCharType="end"/>
            </w:r>
          </w:p>
          <w:p w14:paraId="564AC7F7">
            <w:pPr>
              <w:autoSpaceDE w:val="0"/>
              <w:autoSpaceDN w:val="0"/>
              <w:snapToGrid w:val="0"/>
              <w:spacing w:line="360" w:lineRule="exact"/>
              <w:jc w:val="left"/>
              <w:textAlignment w:val="bottom"/>
              <w:rPr>
                <w:rFonts w:ascii="宋体" w:hAnsi="宋体" w:cs="宋体"/>
                <w:color w:val="auto"/>
                <w:szCs w:val="21"/>
                <w:highlight w:val="none"/>
              </w:rPr>
            </w:pPr>
            <w:r>
              <w:rPr>
                <w:rFonts w:hint="eastAsia" w:ascii="宋体" w:hAnsi="宋体" w:cs="宋体"/>
                <w:color w:val="auto"/>
                <w:szCs w:val="21"/>
                <w:highlight w:val="none"/>
              </w:rPr>
              <w:t>注：中标人在领取中标通知书时按招标人要求提供全套纸质投标文件叁份。</w:t>
            </w:r>
          </w:p>
        </w:tc>
      </w:tr>
      <w:tr w14:paraId="1B62B8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9" w:type="dxa"/>
            <w:tcBorders>
              <w:top w:val="single" w:color="auto" w:sz="4" w:space="0"/>
              <w:left w:val="single" w:color="auto" w:sz="4" w:space="0"/>
              <w:bottom w:val="single" w:color="auto" w:sz="4" w:space="0"/>
              <w:right w:val="single" w:color="auto" w:sz="4" w:space="0"/>
            </w:tcBorders>
            <w:vAlign w:val="center"/>
          </w:tcPr>
          <w:p w14:paraId="496DA892">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8737" w:type="dxa"/>
            <w:tcBorders>
              <w:top w:val="single" w:color="auto" w:sz="4" w:space="0"/>
              <w:left w:val="single" w:color="auto" w:sz="4" w:space="0"/>
              <w:bottom w:val="single" w:color="auto" w:sz="4" w:space="0"/>
              <w:right w:val="single" w:color="auto" w:sz="4" w:space="0"/>
            </w:tcBorders>
            <w:vAlign w:val="center"/>
          </w:tcPr>
          <w:p w14:paraId="5B69326E">
            <w:pPr>
              <w:autoSpaceDE w:val="0"/>
              <w:autoSpaceDN w:val="0"/>
              <w:snapToGrid w:val="0"/>
              <w:spacing w:line="360" w:lineRule="exact"/>
              <w:jc w:val="left"/>
              <w:textAlignment w:val="bottom"/>
              <w:rPr>
                <w:rFonts w:ascii="宋体" w:hAnsi="宋体" w:cs="宋体"/>
                <w:color w:val="auto"/>
                <w:szCs w:val="21"/>
                <w:highlight w:val="none"/>
              </w:rPr>
            </w:pPr>
            <w:r>
              <w:rPr>
                <w:rFonts w:hint="eastAsia" w:ascii="宋体" w:hAnsi="宋体" w:cs="宋体"/>
                <w:color w:val="auto"/>
                <w:szCs w:val="21"/>
                <w:highlight w:val="none"/>
              </w:rPr>
              <w:t>评标结果公示：评标结束后，中标公告于浙江政府采购网并发布</w:t>
            </w:r>
          </w:p>
        </w:tc>
      </w:tr>
      <w:tr w14:paraId="41B135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9" w:type="dxa"/>
            <w:tcBorders>
              <w:top w:val="single" w:color="auto" w:sz="4" w:space="0"/>
              <w:left w:val="single" w:color="auto" w:sz="4" w:space="0"/>
              <w:bottom w:val="single" w:color="auto" w:sz="4" w:space="0"/>
              <w:right w:val="single" w:color="auto" w:sz="4" w:space="0"/>
            </w:tcBorders>
            <w:vAlign w:val="center"/>
          </w:tcPr>
          <w:p w14:paraId="7D667B0A">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8737" w:type="dxa"/>
            <w:tcBorders>
              <w:top w:val="single" w:color="auto" w:sz="4" w:space="0"/>
              <w:left w:val="single" w:color="auto" w:sz="4" w:space="0"/>
              <w:bottom w:val="single" w:color="auto" w:sz="4" w:space="0"/>
              <w:right w:val="single" w:color="auto" w:sz="4" w:space="0"/>
            </w:tcBorders>
            <w:vAlign w:val="center"/>
          </w:tcPr>
          <w:p w14:paraId="4394D55F">
            <w:pPr>
              <w:autoSpaceDE w:val="0"/>
              <w:autoSpaceDN w:val="0"/>
              <w:snapToGrid w:val="0"/>
              <w:spacing w:line="360" w:lineRule="exact"/>
              <w:jc w:val="left"/>
              <w:textAlignment w:val="bottom"/>
              <w:rPr>
                <w:rFonts w:ascii="宋体" w:hAnsi="宋体" w:cs="宋体"/>
                <w:color w:val="auto"/>
                <w:szCs w:val="21"/>
                <w:highlight w:val="none"/>
              </w:rPr>
            </w:pPr>
            <w:r>
              <w:rPr>
                <w:rFonts w:hint="eastAsia" w:ascii="宋体" w:hAnsi="宋体" w:cs="宋体"/>
                <w:color w:val="auto"/>
                <w:szCs w:val="21"/>
                <w:highlight w:val="none"/>
              </w:rPr>
              <w:t>签订协议时间：中标通知书发出后30日内</w:t>
            </w:r>
          </w:p>
        </w:tc>
      </w:tr>
      <w:tr w14:paraId="42341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9" w:type="dxa"/>
            <w:tcBorders>
              <w:top w:val="single" w:color="auto" w:sz="4" w:space="0"/>
              <w:left w:val="single" w:color="auto" w:sz="4" w:space="0"/>
              <w:bottom w:val="single" w:color="auto" w:sz="4" w:space="0"/>
              <w:right w:val="single" w:color="auto" w:sz="4" w:space="0"/>
            </w:tcBorders>
            <w:vAlign w:val="center"/>
          </w:tcPr>
          <w:p w14:paraId="2C63548D">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8737" w:type="dxa"/>
            <w:tcBorders>
              <w:top w:val="single" w:color="auto" w:sz="4" w:space="0"/>
              <w:left w:val="single" w:color="auto" w:sz="4" w:space="0"/>
              <w:bottom w:val="single" w:color="auto" w:sz="4" w:space="0"/>
              <w:right w:val="single" w:color="auto" w:sz="4" w:space="0"/>
            </w:tcBorders>
            <w:vAlign w:val="center"/>
          </w:tcPr>
          <w:p w14:paraId="4F836406">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投标文件有效期为自提交投标文件的截止之日起90天</w:t>
            </w:r>
          </w:p>
        </w:tc>
      </w:tr>
      <w:tr w14:paraId="44132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9" w:type="dxa"/>
            <w:tcBorders>
              <w:top w:val="single" w:color="auto" w:sz="4" w:space="0"/>
              <w:left w:val="single" w:color="auto" w:sz="4" w:space="0"/>
              <w:bottom w:val="single" w:color="auto" w:sz="4" w:space="0"/>
              <w:right w:val="single" w:color="auto" w:sz="4" w:space="0"/>
            </w:tcBorders>
            <w:vAlign w:val="center"/>
          </w:tcPr>
          <w:p w14:paraId="0F2929F4">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8737" w:type="dxa"/>
            <w:tcBorders>
              <w:top w:val="single" w:color="auto" w:sz="4" w:space="0"/>
              <w:left w:val="single" w:color="auto" w:sz="4" w:space="0"/>
              <w:bottom w:val="single" w:color="auto" w:sz="4" w:space="0"/>
              <w:right w:val="single" w:color="auto" w:sz="4" w:space="0"/>
            </w:tcBorders>
            <w:vAlign w:val="center"/>
          </w:tcPr>
          <w:p w14:paraId="49611231">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投标保证金：</w:t>
            </w:r>
            <w:r>
              <w:rPr>
                <w:rFonts w:hint="eastAsia" w:ascii="宋体" w:hAnsi="宋体" w:cs="宋体"/>
                <w:bCs/>
                <w:color w:val="auto"/>
                <w:szCs w:val="21"/>
                <w:highlight w:val="none"/>
              </w:rPr>
              <w:t>本项目不收取投标保证金</w:t>
            </w:r>
          </w:p>
        </w:tc>
      </w:tr>
      <w:tr w14:paraId="53CF6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9" w:type="dxa"/>
            <w:tcBorders>
              <w:top w:val="single" w:color="auto" w:sz="4" w:space="0"/>
              <w:left w:val="single" w:color="auto" w:sz="4" w:space="0"/>
              <w:bottom w:val="single" w:color="auto" w:sz="4" w:space="0"/>
              <w:right w:val="single" w:color="auto" w:sz="4" w:space="0"/>
            </w:tcBorders>
            <w:vAlign w:val="center"/>
          </w:tcPr>
          <w:p w14:paraId="37851FA0">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16</w:t>
            </w:r>
          </w:p>
        </w:tc>
        <w:tc>
          <w:tcPr>
            <w:tcW w:w="8737" w:type="dxa"/>
            <w:tcBorders>
              <w:top w:val="single" w:color="auto" w:sz="4" w:space="0"/>
              <w:left w:val="single" w:color="auto" w:sz="4" w:space="0"/>
              <w:bottom w:val="single" w:color="auto" w:sz="4" w:space="0"/>
              <w:right w:val="single" w:color="auto" w:sz="4" w:space="0"/>
            </w:tcBorders>
            <w:vAlign w:val="center"/>
          </w:tcPr>
          <w:p w14:paraId="36A6EFE0">
            <w:pPr>
              <w:autoSpaceDE w:val="0"/>
              <w:autoSpaceDN w:val="0"/>
              <w:snapToGrid w:val="0"/>
              <w:spacing w:line="400" w:lineRule="exact"/>
              <w:jc w:val="left"/>
              <w:textAlignment w:val="bottom"/>
              <w:rPr>
                <w:rFonts w:ascii="宋体" w:hAnsi="宋体" w:cs="宋体"/>
                <w:color w:val="auto"/>
                <w:szCs w:val="21"/>
                <w:highlight w:val="none"/>
              </w:rPr>
            </w:pPr>
            <w:r>
              <w:rPr>
                <w:rFonts w:hint="eastAsia" w:ascii="宋体" w:hAnsi="宋体" w:cs="宋体"/>
                <w:color w:val="auto"/>
                <w:szCs w:val="21"/>
                <w:highlight w:val="none"/>
              </w:rPr>
              <w:t>履约保证金：本项目不收取履约保证金</w:t>
            </w:r>
          </w:p>
        </w:tc>
      </w:tr>
      <w:tr w14:paraId="3231A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9" w:type="dxa"/>
            <w:tcBorders>
              <w:top w:val="single" w:color="auto" w:sz="4" w:space="0"/>
              <w:left w:val="single" w:color="auto" w:sz="4" w:space="0"/>
              <w:bottom w:val="single" w:color="auto" w:sz="4" w:space="0"/>
              <w:right w:val="single" w:color="auto" w:sz="4" w:space="0"/>
            </w:tcBorders>
            <w:vAlign w:val="center"/>
          </w:tcPr>
          <w:p w14:paraId="6732A62D">
            <w:pPr>
              <w:snapToGrid w:val="0"/>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17</w:t>
            </w:r>
          </w:p>
        </w:tc>
        <w:tc>
          <w:tcPr>
            <w:tcW w:w="8737" w:type="dxa"/>
            <w:tcBorders>
              <w:top w:val="single" w:color="auto" w:sz="4" w:space="0"/>
              <w:left w:val="single" w:color="auto" w:sz="4" w:space="0"/>
              <w:bottom w:val="single" w:color="auto" w:sz="4" w:space="0"/>
              <w:right w:val="single" w:color="auto" w:sz="4" w:space="0"/>
            </w:tcBorders>
            <w:vAlign w:val="center"/>
          </w:tcPr>
          <w:p w14:paraId="64A2F549">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投标费用：</w:t>
            </w:r>
          </w:p>
          <w:p w14:paraId="7EF8402A">
            <w:pPr>
              <w:snapToGrid w:val="0"/>
              <w:spacing w:line="320" w:lineRule="exact"/>
              <w:jc w:val="left"/>
              <w:rPr>
                <w:rFonts w:ascii="宋体" w:hAnsi="宋体" w:cs="宋体"/>
                <w:color w:val="auto"/>
                <w:szCs w:val="21"/>
                <w:highlight w:val="none"/>
              </w:rPr>
            </w:pPr>
            <w:r>
              <w:rPr>
                <w:rFonts w:hint="eastAsia" w:ascii="宋体" w:hAnsi="宋体" w:cs="宋体"/>
                <w:color w:val="auto"/>
                <w:szCs w:val="21"/>
                <w:highlight w:val="none"/>
              </w:rPr>
              <w:t>（一）不论投标结果如何，投标人均应自行承担所有与投标有关的全部费用（招标文件有相反规定除外）。</w:t>
            </w:r>
          </w:p>
          <w:p w14:paraId="3BFC5B5D">
            <w:pPr>
              <w:spacing w:line="320" w:lineRule="exact"/>
              <w:jc w:val="left"/>
              <w:rPr>
                <w:rFonts w:ascii="宋体" w:hAnsi="宋体" w:cs="宋体"/>
                <w:bCs/>
                <w:color w:val="auto"/>
                <w:szCs w:val="21"/>
                <w:highlight w:val="none"/>
              </w:rPr>
            </w:pPr>
            <w:r>
              <w:rPr>
                <w:rFonts w:hint="eastAsia" w:ascii="宋体" w:hAnsi="宋体" w:cs="宋体"/>
                <w:bCs/>
                <w:color w:val="auto"/>
                <w:szCs w:val="21"/>
                <w:highlight w:val="none"/>
              </w:rPr>
              <w:t>（二）招标代理服务费</w:t>
            </w:r>
          </w:p>
          <w:p w14:paraId="1455607F">
            <w:pPr>
              <w:spacing w:line="320" w:lineRule="exact"/>
              <w:ind w:firstLine="422" w:firstLineChars="200"/>
              <w:jc w:val="left"/>
              <w:rPr>
                <w:rFonts w:ascii="宋体" w:hAnsi="宋体" w:cs="宋体"/>
                <w:b/>
                <w:bCs/>
                <w:color w:val="auto"/>
                <w:szCs w:val="21"/>
                <w:highlight w:val="none"/>
                <w:lang w:val="zh-CN"/>
              </w:rPr>
            </w:pPr>
            <w:r>
              <w:rPr>
                <w:rFonts w:hint="eastAsia" w:ascii="宋体" w:hAnsi="宋体" w:cs="宋体"/>
                <w:b/>
                <w:bCs/>
                <w:color w:val="auto"/>
                <w:szCs w:val="21"/>
                <w:highlight w:val="none"/>
              </w:rPr>
              <w:t>招标代理服务费：招标代理服务费总计按人民币</w:t>
            </w:r>
            <w:r>
              <w:rPr>
                <w:rFonts w:hint="eastAsia" w:ascii="宋体" w:hAnsi="宋体" w:cs="宋体"/>
                <w:b/>
                <w:bCs/>
                <w:color w:val="auto"/>
                <w:szCs w:val="21"/>
                <w:highlight w:val="none"/>
                <w:lang w:val="en-US" w:eastAsia="zh-CN"/>
              </w:rPr>
              <w:t>贰万肆仟</w:t>
            </w:r>
            <w:r>
              <w:rPr>
                <w:rFonts w:hint="eastAsia" w:ascii="宋体" w:hAnsi="宋体" w:cs="宋体"/>
                <w:b/>
                <w:bCs/>
                <w:color w:val="auto"/>
                <w:szCs w:val="21"/>
                <w:highlight w:val="none"/>
              </w:rPr>
              <w:t>元收取（中标人按存款金额比例分摊），由中标人在中标通知书发出后10天内支付给招标代理机构</w:t>
            </w:r>
            <w:r>
              <w:rPr>
                <w:rFonts w:hint="eastAsia" w:ascii="宋体" w:hAnsi="宋体" w:cs="宋体"/>
                <w:b/>
                <w:bCs/>
                <w:color w:val="auto"/>
                <w:szCs w:val="21"/>
                <w:highlight w:val="none"/>
                <w:lang w:val="zh-CN"/>
              </w:rPr>
              <w:t>。</w:t>
            </w:r>
          </w:p>
          <w:p w14:paraId="6F1927C1">
            <w:pPr>
              <w:autoSpaceDE w:val="0"/>
              <w:autoSpaceDN w:val="0"/>
              <w:adjustRightInd w:val="0"/>
              <w:snapToGrid w:val="0"/>
              <w:spacing w:line="320" w:lineRule="exact"/>
              <w:ind w:firstLine="420" w:firstLineChars="200"/>
              <w:jc w:val="left"/>
              <w:textAlignment w:val="bottom"/>
              <w:rPr>
                <w:rFonts w:ascii="宋体" w:hAnsi="宋体"/>
                <w:bCs/>
                <w:color w:val="auto"/>
                <w:szCs w:val="21"/>
                <w:highlight w:val="none"/>
              </w:rPr>
            </w:pPr>
            <w:r>
              <w:rPr>
                <w:rFonts w:hint="eastAsia" w:ascii="宋体" w:hAnsi="宋体"/>
                <w:bCs/>
                <w:color w:val="auto"/>
                <w:szCs w:val="21"/>
                <w:highlight w:val="none"/>
              </w:rPr>
              <w:t>招标代理服务费汇入以下帐号：</w:t>
            </w:r>
          </w:p>
          <w:p w14:paraId="3187368D">
            <w:pPr>
              <w:autoSpaceDE w:val="0"/>
              <w:autoSpaceDN w:val="0"/>
              <w:adjustRightInd w:val="0"/>
              <w:snapToGrid w:val="0"/>
              <w:spacing w:line="320" w:lineRule="exact"/>
              <w:ind w:firstLine="420" w:firstLineChars="200"/>
              <w:jc w:val="left"/>
              <w:textAlignment w:val="bottom"/>
              <w:rPr>
                <w:rFonts w:hint="eastAsia" w:ascii="宋体" w:hAnsi="宋体" w:eastAsia="宋体"/>
                <w:bCs/>
                <w:color w:val="auto"/>
                <w:szCs w:val="21"/>
                <w:highlight w:val="none"/>
                <w:lang w:eastAsia="zh-CN"/>
              </w:rPr>
            </w:pPr>
            <w:r>
              <w:rPr>
                <w:rFonts w:hint="eastAsia" w:ascii="宋体" w:hAnsi="宋体"/>
                <w:bCs/>
                <w:color w:val="auto"/>
                <w:szCs w:val="21"/>
                <w:highlight w:val="none"/>
              </w:rPr>
              <w:t>开户名称：</w:t>
            </w:r>
            <w:r>
              <w:rPr>
                <w:rFonts w:hint="eastAsia" w:ascii="宋体" w:hAnsi="宋体"/>
                <w:bCs/>
                <w:color w:val="auto"/>
                <w:szCs w:val="21"/>
                <w:highlight w:val="none"/>
                <w:lang w:eastAsia="zh-CN"/>
              </w:rPr>
              <w:t>温州市华信采购招标代理有限公司</w:t>
            </w:r>
          </w:p>
          <w:p w14:paraId="066F606B">
            <w:pPr>
              <w:autoSpaceDE w:val="0"/>
              <w:autoSpaceDN w:val="0"/>
              <w:adjustRightInd w:val="0"/>
              <w:snapToGrid w:val="0"/>
              <w:spacing w:line="320" w:lineRule="exact"/>
              <w:ind w:firstLine="420" w:firstLineChars="200"/>
              <w:jc w:val="left"/>
              <w:textAlignment w:val="bottom"/>
              <w:rPr>
                <w:rFonts w:hint="eastAsia" w:ascii="宋体" w:hAnsi="宋体"/>
                <w:bCs/>
                <w:color w:val="auto"/>
                <w:szCs w:val="21"/>
                <w:highlight w:val="none"/>
              </w:rPr>
            </w:pPr>
            <w:r>
              <w:rPr>
                <w:rFonts w:hint="eastAsia" w:ascii="宋体" w:hAnsi="宋体"/>
                <w:bCs/>
                <w:color w:val="auto"/>
                <w:szCs w:val="21"/>
                <w:highlight w:val="none"/>
              </w:rPr>
              <w:t>帐号：201000070286023</w:t>
            </w:r>
          </w:p>
          <w:p w14:paraId="684A8481">
            <w:pPr>
              <w:autoSpaceDE w:val="0"/>
              <w:autoSpaceDN w:val="0"/>
              <w:adjustRightInd w:val="0"/>
              <w:snapToGrid w:val="0"/>
              <w:spacing w:line="320" w:lineRule="exact"/>
              <w:ind w:firstLine="420" w:firstLineChars="200"/>
              <w:jc w:val="left"/>
              <w:textAlignment w:val="bottom"/>
              <w:rPr>
                <w:rFonts w:hint="eastAsia" w:ascii="宋体" w:hAnsi="宋体"/>
                <w:bCs/>
                <w:color w:val="auto"/>
                <w:szCs w:val="21"/>
                <w:highlight w:val="none"/>
              </w:rPr>
            </w:pPr>
            <w:r>
              <w:rPr>
                <w:rFonts w:hint="eastAsia" w:ascii="宋体" w:hAnsi="宋体"/>
                <w:bCs/>
                <w:color w:val="auto"/>
                <w:szCs w:val="21"/>
                <w:highlight w:val="none"/>
              </w:rPr>
              <w:t>开户行：浙江温州鹿城农村商业银行南汇支行</w:t>
            </w:r>
          </w:p>
          <w:p w14:paraId="0F80ED9C">
            <w:pPr>
              <w:autoSpaceDE w:val="0"/>
              <w:autoSpaceDN w:val="0"/>
              <w:adjustRightInd w:val="0"/>
              <w:snapToGrid w:val="0"/>
              <w:spacing w:line="320" w:lineRule="exact"/>
              <w:ind w:firstLine="420" w:firstLineChars="200"/>
              <w:jc w:val="left"/>
              <w:textAlignment w:val="bottom"/>
              <w:rPr>
                <w:rFonts w:hint="eastAsia" w:ascii="宋体" w:hAnsi="宋体"/>
                <w:bCs/>
                <w:color w:val="auto"/>
                <w:szCs w:val="21"/>
                <w:highlight w:val="none"/>
              </w:rPr>
            </w:pPr>
            <w:r>
              <w:rPr>
                <w:rFonts w:hint="eastAsia" w:ascii="宋体" w:hAnsi="宋体"/>
                <w:bCs/>
                <w:color w:val="auto"/>
                <w:szCs w:val="21"/>
                <w:highlight w:val="none"/>
              </w:rPr>
              <w:t>行号：402333012014</w:t>
            </w:r>
          </w:p>
          <w:p w14:paraId="1F4525F7">
            <w:pPr>
              <w:autoSpaceDE w:val="0"/>
              <w:autoSpaceDN w:val="0"/>
              <w:adjustRightInd w:val="0"/>
              <w:snapToGrid w:val="0"/>
              <w:spacing w:line="320" w:lineRule="exact"/>
              <w:ind w:firstLine="420" w:firstLineChars="200"/>
              <w:jc w:val="left"/>
              <w:textAlignment w:val="bottom"/>
              <w:rPr>
                <w:rFonts w:ascii="宋体" w:hAnsi="宋体"/>
                <w:bCs/>
                <w:color w:val="auto"/>
                <w:szCs w:val="21"/>
                <w:highlight w:val="none"/>
              </w:rPr>
            </w:pPr>
            <w:r>
              <w:rPr>
                <w:rFonts w:hint="eastAsia" w:ascii="宋体" w:hAnsi="宋体"/>
                <w:bCs/>
                <w:color w:val="auto"/>
                <w:szCs w:val="21"/>
                <w:highlight w:val="none"/>
              </w:rPr>
              <w:t>中标人逾期支付代理服务费，须承担代理服务费每日百分之三的违约金，逾期十日未支付的，招标代理机构有权向温州仲裁委员会对中标人提起仲裁，仲裁费用（包括仲裁受理费和仲裁处理费）均由中标人承担。</w:t>
            </w:r>
          </w:p>
        </w:tc>
      </w:tr>
      <w:tr w14:paraId="3FC63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69" w:type="dxa"/>
            <w:tcBorders>
              <w:top w:val="single" w:color="auto" w:sz="4" w:space="0"/>
              <w:left w:val="single" w:color="auto" w:sz="4" w:space="0"/>
              <w:bottom w:val="single" w:color="auto" w:sz="4" w:space="0"/>
              <w:right w:val="single" w:color="auto" w:sz="4" w:space="0"/>
            </w:tcBorders>
            <w:vAlign w:val="center"/>
          </w:tcPr>
          <w:p w14:paraId="56B6E8D0">
            <w:pPr>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18</w:t>
            </w:r>
          </w:p>
        </w:tc>
        <w:tc>
          <w:tcPr>
            <w:tcW w:w="8737" w:type="dxa"/>
            <w:tcBorders>
              <w:top w:val="single" w:color="auto" w:sz="4" w:space="0"/>
              <w:left w:val="single" w:color="auto" w:sz="4" w:space="0"/>
              <w:bottom w:val="single" w:color="auto" w:sz="4" w:space="0"/>
              <w:right w:val="single" w:color="auto" w:sz="4" w:space="0"/>
            </w:tcBorders>
            <w:vAlign w:val="center"/>
          </w:tcPr>
          <w:p w14:paraId="4B9683CA">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解释：本招标文件的解释权属于温州科技职业学院和</w:t>
            </w:r>
            <w:r>
              <w:rPr>
                <w:rFonts w:hint="eastAsia" w:ascii="宋体" w:hAnsi="宋体" w:cs="宋体"/>
                <w:color w:val="auto"/>
                <w:szCs w:val="21"/>
                <w:highlight w:val="none"/>
                <w:lang w:eastAsia="zh-CN"/>
              </w:rPr>
              <w:t>温州市华信采购招标代理有限公司</w:t>
            </w:r>
            <w:r>
              <w:rPr>
                <w:rFonts w:hint="eastAsia" w:ascii="宋体" w:hAnsi="宋体" w:cs="宋体"/>
                <w:color w:val="auto"/>
                <w:szCs w:val="21"/>
                <w:highlight w:val="none"/>
              </w:rPr>
              <w:t>。</w:t>
            </w:r>
          </w:p>
        </w:tc>
      </w:tr>
    </w:tbl>
    <w:p w14:paraId="3D1D5D1E">
      <w:pPr>
        <w:pStyle w:val="12"/>
        <w:ind w:left="1470" w:right="1470"/>
        <w:rPr>
          <w:color w:val="auto"/>
          <w:highlight w:val="none"/>
        </w:rPr>
      </w:pPr>
    </w:p>
    <w:p w14:paraId="31208B7F">
      <w:pPr>
        <w:snapToGrid w:val="0"/>
        <w:spacing w:line="360" w:lineRule="exact"/>
        <w:jc w:val="center"/>
        <w:rPr>
          <w:rFonts w:ascii="宋体" w:hAnsi="宋体" w:cs="宋体"/>
          <w:color w:val="auto"/>
          <w:sz w:val="28"/>
          <w:szCs w:val="28"/>
          <w:highlight w:val="none"/>
        </w:rPr>
      </w:pPr>
      <w:r>
        <w:rPr>
          <w:rFonts w:hint="eastAsia" w:ascii="宋体" w:hAnsi="宋体" w:cs="宋体"/>
          <w:color w:val="auto"/>
          <w:sz w:val="30"/>
          <w:szCs w:val="30"/>
          <w:highlight w:val="none"/>
        </w:rPr>
        <w:br w:type="page"/>
      </w:r>
      <w:r>
        <w:rPr>
          <w:rFonts w:hint="eastAsia" w:ascii="宋体" w:hAnsi="宋体" w:cs="宋体"/>
          <w:b/>
          <w:color w:val="auto"/>
          <w:sz w:val="28"/>
          <w:szCs w:val="28"/>
          <w:highlight w:val="none"/>
        </w:rPr>
        <w:t>一、总  则</w:t>
      </w:r>
    </w:p>
    <w:p w14:paraId="4EAF69EC">
      <w:pPr>
        <w:snapToGrid w:val="0"/>
        <w:spacing w:line="360" w:lineRule="exact"/>
        <w:jc w:val="left"/>
        <w:outlineLvl w:val="1"/>
        <w:rPr>
          <w:rFonts w:ascii="宋体" w:hAnsi="宋体" w:cs="宋体"/>
          <w:b/>
          <w:color w:val="auto"/>
          <w:szCs w:val="21"/>
          <w:highlight w:val="none"/>
        </w:rPr>
      </w:pPr>
      <w:r>
        <w:rPr>
          <w:rFonts w:hint="eastAsia" w:ascii="宋体" w:hAnsi="宋体" w:cs="宋体"/>
          <w:b/>
          <w:color w:val="auto"/>
          <w:szCs w:val="21"/>
          <w:highlight w:val="none"/>
        </w:rPr>
        <w:t>（一） 适用范围</w:t>
      </w:r>
    </w:p>
    <w:p w14:paraId="6BCBC573">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仅适用于本次招标文件中招标项目的招标、投标、评标、定标、协议履约等行为（法律、法规另有规定的，从其规定）。</w:t>
      </w:r>
    </w:p>
    <w:p w14:paraId="3179CFCA">
      <w:pPr>
        <w:snapToGrid w:val="0"/>
        <w:spacing w:line="360" w:lineRule="exact"/>
        <w:jc w:val="left"/>
        <w:outlineLvl w:val="1"/>
        <w:rPr>
          <w:rFonts w:ascii="宋体" w:hAnsi="宋体" w:cs="宋体"/>
          <w:b/>
          <w:color w:val="auto"/>
          <w:szCs w:val="21"/>
          <w:highlight w:val="none"/>
        </w:rPr>
      </w:pPr>
      <w:r>
        <w:rPr>
          <w:rFonts w:hint="eastAsia" w:ascii="宋体" w:hAnsi="宋体" w:cs="宋体"/>
          <w:b/>
          <w:color w:val="auto"/>
          <w:szCs w:val="21"/>
          <w:highlight w:val="none"/>
        </w:rPr>
        <w:t>（二）定义</w:t>
      </w:r>
    </w:p>
    <w:p w14:paraId="4B01B6A6">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1.“招标人”系指委托招标代理机构招标本次项目的温州科技职业学院。</w:t>
      </w:r>
    </w:p>
    <w:p w14:paraId="66B67302">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2.“招标代理机构”系指组织本次招标的</w:t>
      </w:r>
      <w:r>
        <w:rPr>
          <w:rFonts w:hint="eastAsia" w:ascii="宋体" w:hAnsi="宋体" w:cs="宋体"/>
          <w:color w:val="auto"/>
          <w:szCs w:val="21"/>
          <w:highlight w:val="none"/>
          <w:lang w:eastAsia="zh-CN"/>
        </w:rPr>
        <w:t>温州市华信采购招标代理有限公司</w:t>
      </w:r>
      <w:r>
        <w:rPr>
          <w:rFonts w:hint="eastAsia" w:ascii="宋体" w:hAnsi="宋体" w:cs="宋体"/>
          <w:color w:val="auto"/>
          <w:szCs w:val="21"/>
          <w:highlight w:val="none"/>
        </w:rPr>
        <w:t>。</w:t>
      </w:r>
    </w:p>
    <w:p w14:paraId="6D6F151A">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3.“投标人”系指向招标代理机构提交投标文件的单位。</w:t>
      </w:r>
    </w:p>
    <w:p w14:paraId="10A44B27">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4.“项目”系指投标人按招标文件规定向招标人提供的服务。</w:t>
      </w:r>
    </w:p>
    <w:p w14:paraId="7643BCA6">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5.“服务”系指招标文件规定投标人须承担的存款业务咨询、办理、技术协助以及其他与本项目有关的义务。</w:t>
      </w:r>
    </w:p>
    <w:p w14:paraId="40775B9C">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6.“书面形式”包括信函、电子邮件、传真等。</w:t>
      </w:r>
    </w:p>
    <w:p w14:paraId="7EEF2EEA">
      <w:pPr>
        <w:snapToGrid w:val="0"/>
        <w:spacing w:line="360" w:lineRule="exact"/>
        <w:jc w:val="left"/>
        <w:outlineLvl w:val="1"/>
        <w:rPr>
          <w:rFonts w:ascii="宋体" w:hAnsi="宋体" w:cs="宋体"/>
          <w:b/>
          <w:color w:val="auto"/>
          <w:szCs w:val="21"/>
          <w:highlight w:val="none"/>
        </w:rPr>
      </w:pPr>
      <w:r>
        <w:rPr>
          <w:rFonts w:hint="eastAsia" w:ascii="宋体" w:hAnsi="宋体" w:cs="宋体"/>
          <w:b/>
          <w:color w:val="auto"/>
          <w:szCs w:val="21"/>
          <w:highlight w:val="none"/>
        </w:rPr>
        <w:t>（三）投标委托</w:t>
      </w:r>
    </w:p>
    <w:p w14:paraId="54791230">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全权代表是法定代表人（负责人）的，须有法定代表人（负责人）资格证明书；如全权代表不是法定代表人（负责人），须有法定代表人（负责人）出具的授权委托书。</w:t>
      </w:r>
    </w:p>
    <w:p w14:paraId="6275DA06">
      <w:pPr>
        <w:snapToGrid w:val="0"/>
        <w:spacing w:line="360" w:lineRule="exact"/>
        <w:jc w:val="left"/>
        <w:outlineLvl w:val="1"/>
        <w:rPr>
          <w:rFonts w:ascii="宋体" w:hAnsi="宋体" w:cs="宋体"/>
          <w:b/>
          <w:color w:val="auto"/>
          <w:szCs w:val="21"/>
          <w:highlight w:val="none"/>
        </w:rPr>
      </w:pPr>
      <w:r>
        <w:rPr>
          <w:rFonts w:hint="eastAsia" w:ascii="宋体" w:hAnsi="宋体" w:cs="宋体"/>
          <w:b/>
          <w:color w:val="auto"/>
          <w:szCs w:val="21"/>
          <w:highlight w:val="none"/>
        </w:rPr>
        <w:t>（四）特别说明：</w:t>
      </w:r>
    </w:p>
    <w:p w14:paraId="0566FDEF">
      <w:pPr>
        <w:pStyle w:val="13"/>
        <w:snapToGrid w:val="0"/>
        <w:spacing w:beforeLines="0" w:afterLines="0" w:line="36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投标人应仔细阅读招标文件的所有内容，按照招标文件的要求提交投标文件，并对所提供的全部资料的真实性承担法律责任。</w:t>
      </w:r>
    </w:p>
    <w:p w14:paraId="208D7C6E">
      <w:pPr>
        <w:pStyle w:val="13"/>
        <w:snapToGrid w:val="0"/>
        <w:spacing w:beforeLines="0" w:afterLines="0" w:line="360" w:lineRule="exact"/>
        <w:jc w:val="left"/>
        <w:outlineLvl w:val="1"/>
        <w:rPr>
          <w:rFonts w:hAnsi="宋体" w:cs="宋体"/>
          <w:b/>
          <w:bCs/>
          <w:color w:val="auto"/>
          <w:sz w:val="21"/>
          <w:szCs w:val="21"/>
          <w:highlight w:val="none"/>
        </w:rPr>
      </w:pPr>
      <w:r>
        <w:rPr>
          <w:rFonts w:hint="eastAsia" w:hAnsi="宋体" w:cs="宋体"/>
          <w:b/>
          <w:bCs/>
          <w:color w:val="auto"/>
          <w:sz w:val="21"/>
          <w:szCs w:val="21"/>
          <w:highlight w:val="none"/>
        </w:rPr>
        <w:t>（五）质疑</w:t>
      </w:r>
    </w:p>
    <w:p w14:paraId="196357C8">
      <w:pPr>
        <w:widowControl/>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1.投标人认为招标过程、中标和成交结果使自己的合法权益受到损害的，可以在知道或应知道其权益受到损害之日起五个工作日内以书面形式向招标人或者</w:t>
      </w:r>
      <w:r>
        <w:rPr>
          <w:rFonts w:hint="eastAsia" w:ascii="宋体" w:hAnsi="宋体" w:cs="宋体"/>
          <w:bCs/>
          <w:color w:val="auto"/>
          <w:szCs w:val="21"/>
          <w:highlight w:val="none"/>
        </w:rPr>
        <w:t>招标代理机构</w:t>
      </w:r>
      <w:r>
        <w:rPr>
          <w:rFonts w:hint="eastAsia" w:ascii="宋体" w:hAnsi="宋体" w:cs="宋体"/>
          <w:color w:val="auto"/>
          <w:szCs w:val="21"/>
          <w:highlight w:val="none"/>
        </w:rPr>
        <w:t>提出质疑，但需对质疑内容的真实性承担法律责任。</w:t>
      </w:r>
    </w:p>
    <w:p w14:paraId="44CDD5E2">
      <w:pPr>
        <w:widowControl/>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招标人或者</w:t>
      </w:r>
      <w:r>
        <w:rPr>
          <w:rFonts w:hint="eastAsia" w:ascii="宋体" w:hAnsi="宋体" w:cs="宋体"/>
          <w:bCs/>
          <w:color w:val="auto"/>
          <w:szCs w:val="21"/>
          <w:highlight w:val="none"/>
        </w:rPr>
        <w:t>招标代理机构</w:t>
      </w:r>
      <w:r>
        <w:rPr>
          <w:rFonts w:hint="eastAsia" w:ascii="宋体" w:hAnsi="宋体" w:cs="宋体"/>
          <w:color w:val="auto"/>
          <w:szCs w:val="21"/>
          <w:highlight w:val="none"/>
        </w:rPr>
        <w:t>在收到投标人的书面质疑后五个工作日内作出答复，但答复的内容不得涉及商业秘密。</w:t>
      </w:r>
    </w:p>
    <w:p w14:paraId="4A1664A7">
      <w:pPr>
        <w:adjustRightInd w:val="0"/>
        <w:snapToGrid w:val="0"/>
        <w:spacing w:line="360" w:lineRule="exact"/>
        <w:ind w:firstLine="420" w:firstLineChars="200"/>
        <w:jc w:val="left"/>
        <w:rPr>
          <w:rFonts w:ascii="宋体" w:hAnsi="宋体" w:cs="宋体"/>
          <w:snapToGrid w:val="0"/>
          <w:color w:val="auto"/>
          <w:szCs w:val="21"/>
          <w:highlight w:val="none"/>
        </w:rPr>
      </w:pPr>
      <w:r>
        <w:rPr>
          <w:rFonts w:hint="eastAsia" w:ascii="宋体" w:hAnsi="宋体" w:cs="宋体"/>
          <w:color w:val="auto"/>
          <w:szCs w:val="21"/>
          <w:highlight w:val="none"/>
        </w:rPr>
        <w:t>2.质疑应当采用加盖投标人公章的书面形式，质疑书</w:t>
      </w:r>
      <w:r>
        <w:rPr>
          <w:rFonts w:hint="eastAsia" w:ascii="宋体" w:hAnsi="宋体" w:cs="宋体"/>
          <w:b/>
          <w:bCs/>
          <w:snapToGrid w:val="0"/>
          <w:color w:val="auto"/>
          <w:szCs w:val="21"/>
          <w:highlight w:val="none"/>
        </w:rPr>
        <w:t>应当包括：</w:t>
      </w:r>
      <w:r>
        <w:rPr>
          <w:rFonts w:hint="eastAsia" w:ascii="宋体" w:hAnsi="宋体" w:cs="宋体"/>
          <w:snapToGrid w:val="0"/>
          <w:color w:val="auto"/>
          <w:szCs w:val="21"/>
          <w:highlight w:val="none"/>
        </w:rPr>
        <w:t>投标人的姓名或者名称、地址、邮编、联系人及联系电话；质疑项目的名称、编号；具体、明确的质疑事项和与质疑事项相关的请求；事实依据；必要的法律依据以及提出质疑的日期。</w:t>
      </w:r>
    </w:p>
    <w:p w14:paraId="30373D35">
      <w:pPr>
        <w:adjustRightInd w:val="0"/>
        <w:snapToGrid w:val="0"/>
        <w:spacing w:line="360" w:lineRule="exact"/>
        <w:ind w:firstLine="420" w:firstLineChars="20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投标人为法人或者其他组织的，应当由法定代表人（负责人），或者其授权代表签字或者盖章，并加盖公章。</w:t>
      </w:r>
    </w:p>
    <w:p w14:paraId="42543EE6">
      <w:pPr>
        <w:adjustRightInd w:val="0"/>
        <w:snapToGrid w:val="0"/>
        <w:spacing w:line="360" w:lineRule="exact"/>
        <w:ind w:firstLine="420" w:firstLineChars="200"/>
        <w:jc w:val="left"/>
        <w:rPr>
          <w:rFonts w:ascii="宋体" w:hAnsi="宋体" w:cs="宋体"/>
          <w:snapToGrid w:val="0"/>
          <w:color w:val="auto"/>
          <w:szCs w:val="21"/>
          <w:highlight w:val="none"/>
        </w:rPr>
      </w:pPr>
      <w:r>
        <w:rPr>
          <w:rFonts w:hint="eastAsia" w:ascii="宋体" w:hAnsi="宋体" w:cs="宋体"/>
          <w:snapToGrid w:val="0"/>
          <w:color w:val="auto"/>
          <w:szCs w:val="21"/>
          <w:highlight w:val="none"/>
        </w:rPr>
        <w:t>提出质疑的投标人应当是参与本项目响应活动的投标人。</w:t>
      </w:r>
      <w:r>
        <w:rPr>
          <w:rFonts w:hint="eastAsia" w:ascii="宋体" w:hAnsi="宋体" w:cs="宋体"/>
          <w:b/>
          <w:bCs/>
          <w:snapToGrid w:val="0"/>
          <w:color w:val="auto"/>
          <w:szCs w:val="21"/>
          <w:highlight w:val="none"/>
        </w:rPr>
        <w:t>投标人在质疑期内一次性提出针对同一招标程序环节的质疑</w:t>
      </w:r>
      <w:r>
        <w:rPr>
          <w:rFonts w:hint="eastAsia" w:ascii="宋体" w:hAnsi="宋体" w:cs="宋体"/>
          <w:snapToGrid w:val="0"/>
          <w:color w:val="auto"/>
          <w:szCs w:val="21"/>
          <w:highlight w:val="none"/>
        </w:rPr>
        <w:t>。</w:t>
      </w:r>
    </w:p>
    <w:p w14:paraId="63BCC960">
      <w:pPr>
        <w:adjustRightInd w:val="0"/>
        <w:snapToGrid w:val="0"/>
        <w:spacing w:line="360" w:lineRule="exact"/>
        <w:ind w:firstLine="420" w:firstLineChars="200"/>
        <w:jc w:val="left"/>
        <w:rPr>
          <w:rFonts w:ascii="宋体" w:hAnsi="宋体" w:cs="宋体"/>
          <w:color w:val="auto"/>
          <w:szCs w:val="21"/>
          <w:highlight w:val="none"/>
        </w:rPr>
      </w:pPr>
      <w:r>
        <w:rPr>
          <w:rFonts w:hint="eastAsia" w:ascii="宋体" w:hAnsi="宋体" w:cs="宋体"/>
          <w:snapToGrid w:val="0"/>
          <w:color w:val="auto"/>
          <w:szCs w:val="21"/>
          <w:highlight w:val="none"/>
        </w:rPr>
        <w:t>逾期提出或不符合招标文件要求的质疑书</w:t>
      </w:r>
      <w:r>
        <w:rPr>
          <w:rFonts w:hint="eastAsia" w:ascii="宋体" w:hAnsi="宋体" w:cs="宋体"/>
          <w:color w:val="auto"/>
          <w:szCs w:val="21"/>
          <w:highlight w:val="none"/>
        </w:rPr>
        <w:t>招标人或者</w:t>
      </w:r>
      <w:r>
        <w:rPr>
          <w:rFonts w:hint="eastAsia" w:ascii="宋体" w:hAnsi="宋体" w:cs="宋体"/>
          <w:bCs/>
          <w:color w:val="auto"/>
          <w:szCs w:val="21"/>
          <w:highlight w:val="none"/>
        </w:rPr>
        <w:t>招标代理机构</w:t>
      </w:r>
      <w:r>
        <w:rPr>
          <w:rFonts w:hint="eastAsia" w:ascii="宋体" w:hAnsi="宋体" w:cs="宋体"/>
          <w:color w:val="auto"/>
          <w:szCs w:val="21"/>
          <w:highlight w:val="none"/>
        </w:rPr>
        <w:t>将不予受理。</w:t>
      </w:r>
    </w:p>
    <w:p w14:paraId="7AC2DD2D">
      <w:pPr>
        <w:pStyle w:val="5"/>
        <w:numPr>
          <w:ilvl w:val="0"/>
          <w:numId w:val="0"/>
        </w:numPr>
        <w:tabs>
          <w:tab w:val="left" w:pos="720"/>
        </w:tabs>
        <w:snapToGrid w:val="0"/>
        <w:spacing w:line="360" w:lineRule="exact"/>
        <w:jc w:val="left"/>
        <w:rPr>
          <w:rFonts w:ascii="宋体" w:hAnsi="宋体" w:cs="宋体"/>
          <w:b/>
          <w:color w:val="auto"/>
          <w:szCs w:val="21"/>
          <w:highlight w:val="none"/>
        </w:rPr>
      </w:pPr>
      <w:r>
        <w:rPr>
          <w:rFonts w:hint="eastAsia" w:ascii="宋体" w:hAnsi="宋体" w:cs="宋体"/>
          <w:b/>
          <w:color w:val="auto"/>
          <w:szCs w:val="21"/>
          <w:highlight w:val="none"/>
        </w:rPr>
        <w:t xml:space="preserve">（六）招标文件的澄清与修改 </w:t>
      </w:r>
    </w:p>
    <w:p w14:paraId="40D9351C">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投标人应认真阅读本招标文件，发现其中有误或有不合理要求的，投标人应当在</w:t>
      </w:r>
      <w:r>
        <w:rPr>
          <w:rFonts w:hint="eastAsia" w:ascii="宋体" w:hAnsi="宋体" w:cs="宋体"/>
          <w:color w:val="auto"/>
          <w:szCs w:val="21"/>
          <w:highlight w:val="none"/>
        </w:rPr>
        <w:t>规定时间</w:t>
      </w:r>
      <w:r>
        <w:rPr>
          <w:rFonts w:hint="eastAsia" w:ascii="宋体" w:hAnsi="宋体" w:cs="宋体"/>
          <w:bCs/>
          <w:color w:val="auto"/>
          <w:szCs w:val="21"/>
          <w:highlight w:val="none"/>
        </w:rPr>
        <w:t>前以书面形式向招标代理机构提出。招标代理机构将在规定的时间内，在浙江政府采购网上发布更正公告，并在政采云系统平台上以短信形式通知所有已获取招标文件的潜在投标人。逾期提出招标代理机构将不予受理。</w:t>
      </w:r>
    </w:p>
    <w:p w14:paraId="6161D169">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2.招标文件澄清、答复、修改、补充的内容为招标文件的组成部分。当招标文件与招标文件的答复、澄清、修改、补充通知就同一内容的表述不一致时，以最后发出的书面文件为准。</w:t>
      </w:r>
    </w:p>
    <w:p w14:paraId="08BF78A5">
      <w:pPr>
        <w:pStyle w:val="13"/>
        <w:snapToGrid w:val="0"/>
        <w:spacing w:beforeLines="0" w:afterLines="0" w:line="360" w:lineRule="exact"/>
        <w:ind w:firstLine="422" w:firstLineChars="200"/>
        <w:jc w:val="left"/>
        <w:rPr>
          <w:rFonts w:hAnsi="宋体" w:cs="宋体"/>
          <w:b/>
          <w:color w:val="auto"/>
          <w:sz w:val="21"/>
          <w:szCs w:val="21"/>
          <w:highlight w:val="none"/>
        </w:rPr>
      </w:pPr>
    </w:p>
    <w:p w14:paraId="64293EFF">
      <w:pPr>
        <w:snapToGrid w:val="0"/>
        <w:spacing w:line="36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二、投标文件的编制</w:t>
      </w:r>
    </w:p>
    <w:p w14:paraId="49502070">
      <w:pPr>
        <w:tabs>
          <w:tab w:val="left" w:pos="360"/>
        </w:tabs>
        <w:spacing w:line="360" w:lineRule="exact"/>
        <w:jc w:val="left"/>
        <w:rPr>
          <w:rFonts w:ascii="宋体" w:hAnsi="宋体" w:cs="宋体"/>
          <w:color w:val="auto"/>
          <w:szCs w:val="21"/>
          <w:highlight w:val="none"/>
        </w:rPr>
      </w:pPr>
      <w:r>
        <w:rPr>
          <w:rFonts w:hint="eastAsia" w:ascii="宋体" w:hAnsi="宋体" w:cs="宋体"/>
          <w:color w:val="auto"/>
          <w:szCs w:val="21"/>
          <w:highlight w:val="none"/>
        </w:rPr>
        <w:t>（一）投标人应认真阅读招标文件中所有事项、格式、条款和技术规范等。</w:t>
      </w:r>
      <w:r>
        <w:rPr>
          <w:rFonts w:hint="eastAsia" w:ascii="宋体" w:hAnsi="宋体" w:cs="宋体"/>
          <w:b/>
          <w:color w:val="auto"/>
          <w:szCs w:val="21"/>
          <w:highlight w:val="none"/>
        </w:rPr>
        <w:t>投标人没有按照招标文件要求提交全部资料，或者没有对招标文件各个方面做出实质性响应，导致投标被拒绝的风险由投标人自行承担。</w:t>
      </w:r>
    </w:p>
    <w:p w14:paraId="70810287">
      <w:pPr>
        <w:spacing w:line="360" w:lineRule="exact"/>
        <w:jc w:val="left"/>
        <w:rPr>
          <w:rFonts w:ascii="宋体" w:hAnsi="宋体" w:cs="宋体"/>
          <w:b/>
          <w:bCs/>
          <w:color w:val="auto"/>
          <w:szCs w:val="21"/>
          <w:highlight w:val="none"/>
          <w:u w:val="single"/>
        </w:rPr>
      </w:pPr>
      <w:r>
        <w:rPr>
          <w:rFonts w:hint="eastAsia" w:ascii="宋体" w:hAnsi="宋体" w:cs="宋体"/>
          <w:b/>
          <w:color w:val="auto"/>
          <w:szCs w:val="21"/>
          <w:highlight w:val="none"/>
        </w:rPr>
        <w:t>（二）</w:t>
      </w:r>
      <w:r>
        <w:rPr>
          <w:rFonts w:hint="eastAsia" w:ascii="宋体" w:hAnsi="宋体" w:cs="宋体"/>
          <w:color w:val="auto"/>
          <w:szCs w:val="21"/>
          <w:highlight w:val="none"/>
        </w:rPr>
        <w:t>投标人不得有重大违法记录，否则其投标将被拒绝。</w:t>
      </w:r>
      <w:r>
        <w:rPr>
          <w:rFonts w:hint="eastAsia" w:ascii="宋体" w:hAnsi="宋体" w:cs="宋体"/>
          <w:b/>
          <w:bCs/>
          <w:color w:val="auto"/>
          <w:szCs w:val="21"/>
          <w:highlight w:val="none"/>
          <w:u w:val="single"/>
        </w:rPr>
        <w:t>投标人应保证所提供文件资料的真实性，所有文件资料必须是针对本次投标的。如发现投标人提供了虚假文件资料，其投标将被拒绝，并自行承担相应的法律责任。</w:t>
      </w:r>
    </w:p>
    <w:p w14:paraId="30E7BF8B">
      <w:pPr>
        <w:snapToGrid w:val="0"/>
        <w:spacing w:line="360" w:lineRule="exact"/>
        <w:jc w:val="left"/>
        <w:rPr>
          <w:rFonts w:ascii="宋体" w:hAnsi="宋体" w:cs="宋体"/>
          <w:b/>
          <w:color w:val="auto"/>
          <w:szCs w:val="21"/>
          <w:highlight w:val="none"/>
        </w:rPr>
      </w:pPr>
      <w:r>
        <w:rPr>
          <w:rFonts w:hint="eastAsia" w:ascii="宋体" w:hAnsi="宋体" w:cs="宋体"/>
          <w:b/>
          <w:color w:val="auto"/>
          <w:szCs w:val="21"/>
          <w:highlight w:val="none"/>
        </w:rPr>
        <w:t>（三）投标文件的组成</w:t>
      </w:r>
    </w:p>
    <w:tbl>
      <w:tblPr>
        <w:tblStyle w:val="18"/>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645"/>
        <w:gridCol w:w="1102"/>
      </w:tblGrid>
      <w:tr w14:paraId="3C24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3" w:type="dxa"/>
            <w:vAlign w:val="center"/>
          </w:tcPr>
          <w:p w14:paraId="3ED1C02A">
            <w:pPr>
              <w:autoSpaceDE w:val="0"/>
              <w:autoSpaceDN w:val="0"/>
              <w:adjustRightInd w:val="0"/>
              <w:snapToGrid w:val="0"/>
              <w:spacing w:line="360" w:lineRule="exact"/>
              <w:jc w:val="left"/>
              <w:rPr>
                <w:rFonts w:ascii="宋体" w:hAnsi="宋体" w:cs="宋体"/>
                <w:b/>
                <w:color w:val="auto"/>
                <w:szCs w:val="21"/>
                <w:highlight w:val="none"/>
                <w:lang w:val="zh-CN"/>
              </w:rPr>
            </w:pPr>
            <w:r>
              <w:rPr>
                <w:rFonts w:hint="eastAsia" w:ascii="宋体" w:hAnsi="宋体" w:cs="宋体"/>
                <w:b/>
                <w:color w:val="auto"/>
                <w:szCs w:val="21"/>
                <w:highlight w:val="none"/>
                <w:lang w:val="zh-CN"/>
              </w:rPr>
              <w:t>序号</w:t>
            </w:r>
          </w:p>
        </w:tc>
        <w:tc>
          <w:tcPr>
            <w:tcW w:w="7645" w:type="dxa"/>
            <w:vAlign w:val="center"/>
          </w:tcPr>
          <w:p w14:paraId="6A190AB0">
            <w:pPr>
              <w:autoSpaceDE w:val="0"/>
              <w:autoSpaceDN w:val="0"/>
              <w:adjustRightInd w:val="0"/>
              <w:snapToGrid w:val="0"/>
              <w:spacing w:line="360" w:lineRule="exact"/>
              <w:jc w:val="left"/>
              <w:rPr>
                <w:rFonts w:ascii="宋体" w:hAnsi="宋体" w:cs="宋体"/>
                <w:b/>
                <w:color w:val="auto"/>
                <w:szCs w:val="21"/>
                <w:highlight w:val="none"/>
                <w:lang w:val="zh-CN"/>
              </w:rPr>
            </w:pPr>
            <w:r>
              <w:rPr>
                <w:rFonts w:hint="eastAsia" w:ascii="宋体" w:hAnsi="宋体" w:cs="宋体"/>
                <w:b/>
                <w:color w:val="auto"/>
                <w:szCs w:val="21"/>
                <w:highlight w:val="none"/>
                <w:lang w:val="zh-CN"/>
              </w:rPr>
              <w:t>内容</w:t>
            </w:r>
          </w:p>
        </w:tc>
        <w:tc>
          <w:tcPr>
            <w:tcW w:w="1102" w:type="dxa"/>
            <w:vAlign w:val="center"/>
          </w:tcPr>
          <w:p w14:paraId="3F12284D">
            <w:pPr>
              <w:autoSpaceDE w:val="0"/>
              <w:autoSpaceDN w:val="0"/>
              <w:adjustRightInd w:val="0"/>
              <w:snapToGrid w:val="0"/>
              <w:spacing w:line="360" w:lineRule="exact"/>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说明</w:t>
            </w:r>
          </w:p>
        </w:tc>
      </w:tr>
      <w:tr w14:paraId="2CCD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14:paraId="36EECB41">
            <w:pPr>
              <w:autoSpaceDE w:val="0"/>
              <w:autoSpaceDN w:val="0"/>
              <w:adjustRightInd w:val="0"/>
              <w:snapToGrid w:val="0"/>
              <w:spacing w:line="36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1</w:t>
            </w:r>
          </w:p>
        </w:tc>
        <w:tc>
          <w:tcPr>
            <w:tcW w:w="7645" w:type="dxa"/>
            <w:vAlign w:val="center"/>
          </w:tcPr>
          <w:p w14:paraId="4B545C58">
            <w:pPr>
              <w:autoSpaceDE w:val="0"/>
              <w:autoSpaceDN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投标函</w:t>
            </w:r>
          </w:p>
        </w:tc>
        <w:tc>
          <w:tcPr>
            <w:tcW w:w="1102" w:type="dxa"/>
            <w:vAlign w:val="center"/>
          </w:tcPr>
          <w:p w14:paraId="3A6C836D">
            <w:pPr>
              <w:autoSpaceDE w:val="0"/>
              <w:autoSpaceDN w:val="0"/>
              <w:adjustRightInd w:val="0"/>
              <w:snapToGrid w:val="0"/>
              <w:spacing w:line="36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附件一</w:t>
            </w:r>
          </w:p>
        </w:tc>
      </w:tr>
      <w:tr w14:paraId="393E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14:paraId="5D25A02C">
            <w:pPr>
              <w:autoSpaceDE w:val="0"/>
              <w:autoSpaceDN w:val="0"/>
              <w:adjustRightInd w:val="0"/>
              <w:snapToGrid w:val="0"/>
              <w:spacing w:line="360" w:lineRule="exact"/>
              <w:jc w:val="center"/>
              <w:rPr>
                <w:rFonts w:ascii="宋体" w:hAnsi="宋体" w:cs="宋体"/>
                <w:color w:val="auto"/>
                <w:szCs w:val="21"/>
                <w:highlight w:val="none"/>
                <w:lang w:val="zh-CN"/>
              </w:rPr>
            </w:pPr>
            <w:r>
              <w:rPr>
                <w:rFonts w:hint="eastAsia" w:ascii="宋体" w:hAnsi="宋体" w:cs="宋体"/>
                <w:color w:val="auto"/>
                <w:szCs w:val="21"/>
                <w:highlight w:val="none"/>
                <w:lang w:val="zh-CN"/>
              </w:rPr>
              <w:t>2</w:t>
            </w:r>
          </w:p>
        </w:tc>
        <w:tc>
          <w:tcPr>
            <w:tcW w:w="7645" w:type="dxa"/>
            <w:vAlign w:val="center"/>
          </w:tcPr>
          <w:p w14:paraId="5D04882B">
            <w:pPr>
              <w:autoSpaceDE w:val="0"/>
              <w:autoSpaceDN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开标一览表</w:t>
            </w:r>
          </w:p>
        </w:tc>
        <w:tc>
          <w:tcPr>
            <w:tcW w:w="1102" w:type="dxa"/>
            <w:vAlign w:val="center"/>
          </w:tcPr>
          <w:p w14:paraId="68B31CF5">
            <w:pPr>
              <w:autoSpaceDE w:val="0"/>
              <w:autoSpaceDN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附件二</w:t>
            </w:r>
          </w:p>
        </w:tc>
      </w:tr>
      <w:tr w14:paraId="174E0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14:paraId="5474E435">
            <w:pPr>
              <w:autoSpaceDE w:val="0"/>
              <w:autoSpaceDN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7645" w:type="dxa"/>
            <w:vAlign w:val="center"/>
          </w:tcPr>
          <w:p w14:paraId="1A53C99B">
            <w:pPr>
              <w:autoSpaceDE w:val="0"/>
              <w:autoSpaceDN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投标声明书</w:t>
            </w:r>
          </w:p>
        </w:tc>
        <w:tc>
          <w:tcPr>
            <w:tcW w:w="1102" w:type="dxa"/>
            <w:vAlign w:val="center"/>
          </w:tcPr>
          <w:p w14:paraId="7C6C6F75">
            <w:pPr>
              <w:autoSpaceDE w:val="0"/>
              <w:autoSpaceDN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附件三</w:t>
            </w:r>
          </w:p>
        </w:tc>
      </w:tr>
      <w:tr w14:paraId="602EC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14:paraId="108934A1">
            <w:pPr>
              <w:autoSpaceDE w:val="0"/>
              <w:autoSpaceDN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7645" w:type="dxa"/>
            <w:vAlign w:val="center"/>
          </w:tcPr>
          <w:p w14:paraId="54E86552">
            <w:pPr>
              <w:autoSpaceDE w:val="0"/>
              <w:autoSpaceDN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中华人民共和国金融许可证扫描件须加盖投标人公章</w:t>
            </w:r>
          </w:p>
        </w:tc>
        <w:tc>
          <w:tcPr>
            <w:tcW w:w="1102" w:type="dxa"/>
            <w:vAlign w:val="center"/>
          </w:tcPr>
          <w:p w14:paraId="6EF3435C">
            <w:pPr>
              <w:autoSpaceDE w:val="0"/>
              <w:autoSpaceDN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附件四</w:t>
            </w:r>
          </w:p>
        </w:tc>
      </w:tr>
      <w:tr w14:paraId="7E9F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14:paraId="7A4B2D36">
            <w:pPr>
              <w:autoSpaceDE w:val="0"/>
              <w:autoSpaceDN w:val="0"/>
              <w:adjustRightInd w:val="0"/>
              <w:snapToGrid w:val="0"/>
              <w:spacing w:line="360" w:lineRule="exact"/>
              <w:jc w:val="center"/>
              <w:rPr>
                <w:rFonts w:ascii="宋体" w:hAnsi="宋体" w:cs="宋体"/>
                <w:color w:val="auto"/>
                <w:szCs w:val="21"/>
                <w:highlight w:val="none"/>
                <w:lang w:val="zh-CN"/>
              </w:rPr>
            </w:pPr>
            <w:r>
              <w:rPr>
                <w:rFonts w:hint="eastAsia" w:ascii="宋体" w:hAnsi="宋体" w:cs="宋体"/>
                <w:color w:val="auto"/>
                <w:szCs w:val="21"/>
                <w:highlight w:val="none"/>
              </w:rPr>
              <w:t>5</w:t>
            </w:r>
          </w:p>
        </w:tc>
        <w:tc>
          <w:tcPr>
            <w:tcW w:w="7645" w:type="dxa"/>
            <w:vAlign w:val="center"/>
          </w:tcPr>
          <w:p w14:paraId="3E9CF416">
            <w:pPr>
              <w:autoSpaceDE w:val="0"/>
              <w:autoSpaceDN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资格审查要求的资格证明材料</w:t>
            </w:r>
          </w:p>
        </w:tc>
        <w:tc>
          <w:tcPr>
            <w:tcW w:w="1102" w:type="dxa"/>
            <w:vAlign w:val="center"/>
          </w:tcPr>
          <w:p w14:paraId="71747C4F">
            <w:pPr>
              <w:autoSpaceDE w:val="0"/>
              <w:autoSpaceDN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附件五</w:t>
            </w:r>
          </w:p>
        </w:tc>
      </w:tr>
      <w:tr w14:paraId="696C8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73" w:type="dxa"/>
            <w:vAlign w:val="center"/>
          </w:tcPr>
          <w:p w14:paraId="022879AD">
            <w:pPr>
              <w:autoSpaceDE w:val="0"/>
              <w:autoSpaceDN w:val="0"/>
              <w:adjustRightInd w:val="0"/>
              <w:snapToGrid w:val="0"/>
              <w:spacing w:line="360" w:lineRule="exact"/>
              <w:jc w:val="center"/>
              <w:rPr>
                <w:rFonts w:ascii="宋体" w:hAnsi="宋体" w:cs="宋体"/>
                <w:color w:val="auto"/>
                <w:szCs w:val="21"/>
                <w:highlight w:val="none"/>
                <w:lang w:val="zh-CN"/>
              </w:rPr>
            </w:pPr>
            <w:r>
              <w:rPr>
                <w:rFonts w:hint="eastAsia" w:ascii="宋体" w:hAnsi="宋体" w:cs="宋体"/>
                <w:color w:val="auto"/>
                <w:szCs w:val="21"/>
                <w:highlight w:val="none"/>
              </w:rPr>
              <w:t>5</w:t>
            </w:r>
            <w:r>
              <w:rPr>
                <w:rFonts w:hint="eastAsia" w:ascii="宋体" w:hAnsi="宋体" w:cs="宋体"/>
                <w:color w:val="auto"/>
                <w:szCs w:val="21"/>
                <w:highlight w:val="none"/>
                <w:lang w:val="zh-CN"/>
              </w:rPr>
              <w:t>.1</w:t>
            </w:r>
          </w:p>
        </w:tc>
        <w:tc>
          <w:tcPr>
            <w:tcW w:w="7645" w:type="dxa"/>
            <w:vAlign w:val="center"/>
          </w:tcPr>
          <w:p w14:paraId="19F45A06">
            <w:pPr>
              <w:autoSpaceDE w:val="0"/>
              <w:autoSpaceDN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法定代表人（负责人）资格证明书或者法定代表人（负责人）授权委托书</w:t>
            </w:r>
          </w:p>
        </w:tc>
        <w:tc>
          <w:tcPr>
            <w:tcW w:w="1102" w:type="dxa"/>
            <w:vAlign w:val="center"/>
          </w:tcPr>
          <w:p w14:paraId="68BBFFCC">
            <w:pPr>
              <w:autoSpaceDE w:val="0"/>
              <w:autoSpaceDN w:val="0"/>
              <w:adjustRightInd w:val="0"/>
              <w:snapToGrid w:val="0"/>
              <w:spacing w:line="360" w:lineRule="exact"/>
              <w:jc w:val="center"/>
              <w:rPr>
                <w:rFonts w:ascii="宋体" w:hAnsi="宋体" w:cs="宋体"/>
                <w:color w:val="auto"/>
                <w:szCs w:val="21"/>
                <w:highlight w:val="none"/>
              </w:rPr>
            </w:pPr>
          </w:p>
        </w:tc>
      </w:tr>
      <w:tr w14:paraId="39A1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14:paraId="6242AE7D">
            <w:pPr>
              <w:autoSpaceDE w:val="0"/>
              <w:autoSpaceDN w:val="0"/>
              <w:adjustRightInd w:val="0"/>
              <w:snapToGrid w:val="0"/>
              <w:spacing w:line="360" w:lineRule="exact"/>
              <w:jc w:val="center"/>
              <w:rPr>
                <w:rFonts w:ascii="宋体" w:hAnsi="宋体" w:cs="宋体"/>
                <w:color w:val="auto"/>
                <w:szCs w:val="21"/>
                <w:highlight w:val="none"/>
                <w:lang w:val="zh-CN"/>
              </w:rPr>
            </w:pPr>
            <w:r>
              <w:rPr>
                <w:rFonts w:hint="eastAsia" w:ascii="宋体" w:hAnsi="宋体" w:cs="宋体"/>
                <w:color w:val="auto"/>
                <w:szCs w:val="21"/>
                <w:highlight w:val="none"/>
              </w:rPr>
              <w:t>5</w:t>
            </w:r>
            <w:r>
              <w:rPr>
                <w:rFonts w:hint="eastAsia" w:ascii="宋体" w:hAnsi="宋体" w:cs="宋体"/>
                <w:color w:val="auto"/>
                <w:szCs w:val="21"/>
                <w:highlight w:val="none"/>
                <w:lang w:val="zh-CN"/>
              </w:rPr>
              <w:t>.2</w:t>
            </w:r>
          </w:p>
        </w:tc>
        <w:tc>
          <w:tcPr>
            <w:tcW w:w="7645" w:type="dxa"/>
            <w:vAlign w:val="center"/>
          </w:tcPr>
          <w:p w14:paraId="30552637">
            <w:pPr>
              <w:autoSpaceDE w:val="0"/>
              <w:autoSpaceDN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营业执照扫描件须加盖投标人公章</w:t>
            </w:r>
          </w:p>
        </w:tc>
        <w:tc>
          <w:tcPr>
            <w:tcW w:w="1102" w:type="dxa"/>
            <w:vAlign w:val="center"/>
          </w:tcPr>
          <w:p w14:paraId="57DFBFD8">
            <w:pPr>
              <w:autoSpaceDE w:val="0"/>
              <w:autoSpaceDN w:val="0"/>
              <w:adjustRightInd w:val="0"/>
              <w:snapToGrid w:val="0"/>
              <w:spacing w:line="360" w:lineRule="exact"/>
              <w:jc w:val="center"/>
              <w:rPr>
                <w:rFonts w:ascii="宋体" w:hAnsi="宋体" w:cs="宋体"/>
                <w:color w:val="auto"/>
                <w:szCs w:val="21"/>
                <w:highlight w:val="none"/>
              </w:rPr>
            </w:pPr>
          </w:p>
        </w:tc>
      </w:tr>
      <w:tr w14:paraId="62916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14:paraId="64DED501">
            <w:pPr>
              <w:autoSpaceDE w:val="0"/>
              <w:autoSpaceDN w:val="0"/>
              <w:adjustRightInd w:val="0"/>
              <w:snapToGrid w:val="0"/>
              <w:spacing w:line="360" w:lineRule="exact"/>
              <w:jc w:val="center"/>
              <w:rPr>
                <w:rFonts w:ascii="宋体" w:hAnsi="宋体" w:cs="宋体"/>
                <w:color w:val="auto"/>
                <w:szCs w:val="21"/>
                <w:highlight w:val="none"/>
                <w:lang w:val="zh-CN"/>
              </w:rPr>
            </w:pPr>
            <w:r>
              <w:rPr>
                <w:rFonts w:hint="eastAsia" w:ascii="宋体" w:hAnsi="宋体" w:cs="宋体"/>
                <w:color w:val="auto"/>
                <w:szCs w:val="21"/>
                <w:highlight w:val="none"/>
              </w:rPr>
              <w:t>5</w:t>
            </w:r>
            <w:r>
              <w:rPr>
                <w:rFonts w:hint="eastAsia" w:ascii="宋体" w:hAnsi="宋体" w:cs="宋体"/>
                <w:color w:val="auto"/>
                <w:szCs w:val="21"/>
                <w:highlight w:val="none"/>
                <w:lang w:val="zh-CN"/>
              </w:rPr>
              <w:t>.3</w:t>
            </w:r>
          </w:p>
        </w:tc>
        <w:tc>
          <w:tcPr>
            <w:tcW w:w="7645" w:type="dxa"/>
            <w:vAlign w:val="center"/>
          </w:tcPr>
          <w:p w14:paraId="7CB4DCFF">
            <w:pPr>
              <w:autoSpaceDE w:val="0"/>
              <w:autoSpaceDN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纳入人民银行综合评价的银行，人民银行上年度综合评价应达到B级及以上，不纳入人民银行评级范围的银行不受此限制。（提供证明材料扫描件须加盖投标人公章）</w:t>
            </w:r>
          </w:p>
        </w:tc>
        <w:tc>
          <w:tcPr>
            <w:tcW w:w="1102" w:type="dxa"/>
            <w:vAlign w:val="center"/>
          </w:tcPr>
          <w:p w14:paraId="4F07A14C">
            <w:pPr>
              <w:autoSpaceDE w:val="0"/>
              <w:autoSpaceDN w:val="0"/>
              <w:adjustRightInd w:val="0"/>
              <w:snapToGrid w:val="0"/>
              <w:spacing w:line="360" w:lineRule="exact"/>
              <w:jc w:val="center"/>
              <w:rPr>
                <w:rFonts w:ascii="宋体" w:hAnsi="宋体" w:cs="宋体"/>
                <w:color w:val="auto"/>
                <w:szCs w:val="21"/>
                <w:highlight w:val="none"/>
              </w:rPr>
            </w:pPr>
          </w:p>
        </w:tc>
      </w:tr>
      <w:tr w14:paraId="527A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14:paraId="44EFF242">
            <w:pPr>
              <w:autoSpaceDE w:val="0"/>
              <w:autoSpaceDN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5.4</w:t>
            </w:r>
          </w:p>
        </w:tc>
        <w:tc>
          <w:tcPr>
            <w:tcW w:w="7645" w:type="dxa"/>
            <w:vAlign w:val="center"/>
          </w:tcPr>
          <w:p w14:paraId="60EEDAC3">
            <w:pPr>
              <w:autoSpaceDE w:val="0"/>
              <w:autoSpaceDN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投标主体是支行的，总行或温州市分行唯一授权书原件扫描件加盖投标人公章</w:t>
            </w:r>
          </w:p>
        </w:tc>
        <w:tc>
          <w:tcPr>
            <w:tcW w:w="1102" w:type="dxa"/>
            <w:vAlign w:val="center"/>
          </w:tcPr>
          <w:p w14:paraId="46D3395D">
            <w:pPr>
              <w:autoSpaceDE w:val="0"/>
              <w:autoSpaceDN w:val="0"/>
              <w:adjustRightInd w:val="0"/>
              <w:snapToGrid w:val="0"/>
              <w:spacing w:line="360" w:lineRule="exact"/>
              <w:jc w:val="center"/>
              <w:rPr>
                <w:rFonts w:ascii="宋体" w:hAnsi="宋体" w:cs="宋体"/>
                <w:color w:val="auto"/>
                <w:szCs w:val="21"/>
                <w:highlight w:val="none"/>
              </w:rPr>
            </w:pPr>
          </w:p>
        </w:tc>
      </w:tr>
      <w:tr w14:paraId="76C9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14:paraId="093C5B5F">
            <w:pPr>
              <w:autoSpaceDE w:val="0"/>
              <w:autoSpaceDN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5.5</w:t>
            </w:r>
          </w:p>
        </w:tc>
        <w:tc>
          <w:tcPr>
            <w:tcW w:w="7645" w:type="dxa"/>
            <w:vAlign w:val="center"/>
          </w:tcPr>
          <w:p w14:paraId="3CCF4BFD">
            <w:pPr>
              <w:autoSpaceDE w:val="0"/>
              <w:autoSpaceDN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依法开展经营活动，近3年内在经营活动中无重大违法违规记录及重大违约事件承诺函</w:t>
            </w:r>
          </w:p>
        </w:tc>
        <w:tc>
          <w:tcPr>
            <w:tcW w:w="1102" w:type="dxa"/>
            <w:vAlign w:val="center"/>
          </w:tcPr>
          <w:p w14:paraId="6C5FA51F">
            <w:pPr>
              <w:autoSpaceDE w:val="0"/>
              <w:autoSpaceDN w:val="0"/>
              <w:adjustRightInd w:val="0"/>
              <w:snapToGrid w:val="0"/>
              <w:spacing w:line="360" w:lineRule="exact"/>
              <w:jc w:val="center"/>
              <w:rPr>
                <w:rFonts w:ascii="宋体" w:hAnsi="宋体" w:cs="宋体"/>
                <w:color w:val="auto"/>
                <w:szCs w:val="21"/>
                <w:highlight w:val="none"/>
              </w:rPr>
            </w:pPr>
          </w:p>
        </w:tc>
      </w:tr>
      <w:tr w14:paraId="464F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14:paraId="69FC373C">
            <w:pPr>
              <w:autoSpaceDE w:val="0"/>
              <w:autoSpaceDN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5.6</w:t>
            </w:r>
          </w:p>
        </w:tc>
        <w:tc>
          <w:tcPr>
            <w:tcW w:w="7645" w:type="dxa"/>
            <w:vAlign w:val="center"/>
          </w:tcPr>
          <w:p w14:paraId="21B764CC">
            <w:pPr>
              <w:autoSpaceDE w:val="0"/>
              <w:autoSpaceDN w:val="0"/>
              <w:adjustRightInd w:val="0"/>
              <w:snapToGrid w:val="0"/>
              <w:spacing w:line="360" w:lineRule="exact"/>
              <w:jc w:val="left"/>
              <w:rPr>
                <w:rFonts w:ascii="宋体" w:hAnsi="宋体" w:cs="宋体"/>
                <w:b/>
                <w:color w:val="auto"/>
                <w:szCs w:val="21"/>
                <w:highlight w:val="none"/>
              </w:rPr>
            </w:pPr>
            <w:r>
              <w:rPr>
                <w:rFonts w:hint="eastAsia" w:ascii="宋体" w:hAnsi="宋体" w:cs="宋体"/>
                <w:color w:val="auto"/>
                <w:szCs w:val="21"/>
                <w:highlight w:val="none"/>
              </w:rPr>
              <w:t>廉政承诺</w:t>
            </w:r>
          </w:p>
        </w:tc>
        <w:tc>
          <w:tcPr>
            <w:tcW w:w="1102" w:type="dxa"/>
            <w:vAlign w:val="center"/>
          </w:tcPr>
          <w:p w14:paraId="4D009CB3">
            <w:pPr>
              <w:autoSpaceDE w:val="0"/>
              <w:autoSpaceDN w:val="0"/>
              <w:adjustRightInd w:val="0"/>
              <w:snapToGrid w:val="0"/>
              <w:spacing w:line="360" w:lineRule="exact"/>
              <w:jc w:val="center"/>
              <w:rPr>
                <w:rFonts w:ascii="宋体" w:hAnsi="宋体" w:cs="宋体"/>
                <w:color w:val="auto"/>
                <w:szCs w:val="21"/>
                <w:highlight w:val="none"/>
              </w:rPr>
            </w:pPr>
          </w:p>
        </w:tc>
      </w:tr>
      <w:tr w14:paraId="1D9D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14:paraId="001856E2">
            <w:pPr>
              <w:autoSpaceDE w:val="0"/>
              <w:autoSpaceDN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7645" w:type="dxa"/>
            <w:vAlign w:val="center"/>
          </w:tcPr>
          <w:p w14:paraId="03743A43">
            <w:pPr>
              <w:autoSpaceDE w:val="0"/>
              <w:autoSpaceDN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项目负责人及服务小组人员情况一览表</w:t>
            </w:r>
          </w:p>
        </w:tc>
        <w:tc>
          <w:tcPr>
            <w:tcW w:w="1102" w:type="dxa"/>
            <w:vAlign w:val="center"/>
          </w:tcPr>
          <w:p w14:paraId="6B22A5B8">
            <w:pPr>
              <w:autoSpaceDE w:val="0"/>
              <w:autoSpaceDN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附件六</w:t>
            </w:r>
          </w:p>
        </w:tc>
      </w:tr>
      <w:tr w14:paraId="7FAE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14:paraId="1A948C38">
            <w:pPr>
              <w:autoSpaceDE w:val="0"/>
              <w:autoSpaceDN w:val="0"/>
              <w:adjustRightInd w:val="0"/>
              <w:snapToGrid w:val="0"/>
              <w:spacing w:line="360" w:lineRule="exact"/>
              <w:jc w:val="center"/>
              <w:rPr>
                <w:rFonts w:ascii="宋体" w:hAnsi="宋体" w:cs="宋体"/>
                <w:color w:val="auto"/>
                <w:szCs w:val="21"/>
                <w:highlight w:val="none"/>
                <w:lang w:val="zh-CN"/>
              </w:rPr>
            </w:pPr>
            <w:r>
              <w:rPr>
                <w:rFonts w:hint="eastAsia" w:ascii="宋体" w:hAnsi="宋体" w:cs="宋体"/>
                <w:color w:val="auto"/>
                <w:szCs w:val="21"/>
                <w:highlight w:val="none"/>
              </w:rPr>
              <w:t>7</w:t>
            </w:r>
          </w:p>
        </w:tc>
        <w:tc>
          <w:tcPr>
            <w:tcW w:w="7645" w:type="dxa"/>
            <w:vAlign w:val="center"/>
          </w:tcPr>
          <w:p w14:paraId="45D680DD">
            <w:pPr>
              <w:autoSpaceDE w:val="0"/>
              <w:autoSpaceDN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今后资金存放的利率承诺书</w:t>
            </w:r>
          </w:p>
        </w:tc>
        <w:tc>
          <w:tcPr>
            <w:tcW w:w="1102" w:type="dxa"/>
            <w:vAlign w:val="center"/>
          </w:tcPr>
          <w:p w14:paraId="6F5B9493">
            <w:pPr>
              <w:autoSpaceDE w:val="0"/>
              <w:autoSpaceDN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附件七</w:t>
            </w:r>
          </w:p>
        </w:tc>
      </w:tr>
      <w:tr w14:paraId="2F7E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14:paraId="6FB4FA96">
            <w:pPr>
              <w:autoSpaceDE w:val="0"/>
              <w:autoSpaceDN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7645" w:type="dxa"/>
            <w:vAlign w:val="center"/>
          </w:tcPr>
          <w:p w14:paraId="6896DDA1">
            <w:pPr>
              <w:autoSpaceDE w:val="0"/>
              <w:autoSpaceDN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投标响应情况</w:t>
            </w:r>
          </w:p>
        </w:tc>
        <w:tc>
          <w:tcPr>
            <w:tcW w:w="1102" w:type="dxa"/>
            <w:vAlign w:val="center"/>
          </w:tcPr>
          <w:p w14:paraId="32F2A3D1">
            <w:pPr>
              <w:autoSpaceDE w:val="0"/>
              <w:autoSpaceDN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附件八</w:t>
            </w:r>
          </w:p>
        </w:tc>
      </w:tr>
      <w:tr w14:paraId="04BF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14:paraId="2C63F877">
            <w:pPr>
              <w:autoSpaceDE w:val="0"/>
              <w:autoSpaceDN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8.1</w:t>
            </w:r>
          </w:p>
        </w:tc>
        <w:tc>
          <w:tcPr>
            <w:tcW w:w="7645" w:type="dxa"/>
            <w:vAlign w:val="center"/>
          </w:tcPr>
          <w:p w14:paraId="50C1E629">
            <w:pPr>
              <w:autoSpaceDE w:val="0"/>
              <w:autoSpaceDN w:val="0"/>
              <w:adjustRightInd w:val="0"/>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投标响应表</w:t>
            </w:r>
          </w:p>
        </w:tc>
        <w:tc>
          <w:tcPr>
            <w:tcW w:w="1102" w:type="dxa"/>
            <w:vAlign w:val="center"/>
          </w:tcPr>
          <w:p w14:paraId="1D81EE5A">
            <w:pPr>
              <w:autoSpaceDE w:val="0"/>
              <w:autoSpaceDN w:val="0"/>
              <w:adjustRightInd w:val="0"/>
              <w:snapToGrid w:val="0"/>
              <w:spacing w:line="360" w:lineRule="exact"/>
              <w:jc w:val="center"/>
              <w:rPr>
                <w:rFonts w:ascii="宋体" w:hAnsi="宋体" w:cs="宋体"/>
                <w:color w:val="auto"/>
                <w:szCs w:val="21"/>
                <w:highlight w:val="none"/>
              </w:rPr>
            </w:pPr>
          </w:p>
        </w:tc>
      </w:tr>
      <w:tr w14:paraId="72C6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14:paraId="0A34F40A">
            <w:pPr>
              <w:autoSpaceDE w:val="0"/>
              <w:autoSpaceDN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8.2</w:t>
            </w:r>
          </w:p>
        </w:tc>
        <w:tc>
          <w:tcPr>
            <w:tcW w:w="7645" w:type="dxa"/>
            <w:vAlign w:val="center"/>
          </w:tcPr>
          <w:p w14:paraId="0D16A683">
            <w:pPr>
              <w:autoSpaceDE w:val="0"/>
              <w:autoSpaceDN w:val="0"/>
              <w:adjustRightInd w:val="0"/>
              <w:snapToGrid w:val="0"/>
              <w:spacing w:line="360" w:lineRule="exact"/>
              <w:jc w:val="left"/>
              <w:rPr>
                <w:rFonts w:ascii="宋体" w:hAnsi="宋体" w:cs="宋体"/>
                <w:color w:val="auto"/>
                <w:szCs w:val="21"/>
                <w:highlight w:val="none"/>
              </w:rPr>
            </w:pPr>
            <w:r>
              <w:rPr>
                <w:rFonts w:hint="eastAsia" w:ascii="宋体" w:hAnsi="宋体" w:cs="宋体"/>
                <w:bCs/>
                <w:color w:val="auto"/>
                <w:szCs w:val="21"/>
                <w:highlight w:val="none"/>
              </w:rPr>
              <w:t>根据投标响应表的要求需要提供的资料或相关证明材料</w:t>
            </w:r>
          </w:p>
        </w:tc>
        <w:tc>
          <w:tcPr>
            <w:tcW w:w="1102" w:type="dxa"/>
            <w:vAlign w:val="center"/>
          </w:tcPr>
          <w:p w14:paraId="5EBFAE93">
            <w:pPr>
              <w:autoSpaceDE w:val="0"/>
              <w:autoSpaceDN w:val="0"/>
              <w:adjustRightInd w:val="0"/>
              <w:snapToGrid w:val="0"/>
              <w:spacing w:line="360" w:lineRule="exact"/>
              <w:jc w:val="center"/>
              <w:rPr>
                <w:rFonts w:ascii="宋体" w:hAnsi="宋体" w:cs="宋体"/>
                <w:color w:val="auto"/>
                <w:szCs w:val="21"/>
                <w:highlight w:val="none"/>
              </w:rPr>
            </w:pPr>
          </w:p>
        </w:tc>
      </w:tr>
      <w:tr w14:paraId="5C56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3" w:type="dxa"/>
            <w:vAlign w:val="center"/>
          </w:tcPr>
          <w:p w14:paraId="34C2CD64">
            <w:pPr>
              <w:autoSpaceDE w:val="0"/>
              <w:autoSpaceDN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7645" w:type="dxa"/>
            <w:vAlign w:val="center"/>
          </w:tcPr>
          <w:p w14:paraId="79952FF0">
            <w:pPr>
              <w:autoSpaceDE w:val="0"/>
              <w:autoSpaceDN w:val="0"/>
              <w:adjustRightInd w:val="0"/>
              <w:snapToGrid w:val="0"/>
              <w:spacing w:line="360" w:lineRule="exact"/>
              <w:jc w:val="left"/>
              <w:rPr>
                <w:rFonts w:ascii="宋体" w:hAnsi="宋体" w:cs="宋体"/>
                <w:color w:val="auto"/>
                <w:szCs w:val="21"/>
                <w:highlight w:val="none"/>
                <w:u w:val="single"/>
              </w:rPr>
            </w:pPr>
            <w:r>
              <w:rPr>
                <w:rFonts w:hint="eastAsia" w:ascii="宋体" w:hAnsi="宋体" w:cs="宋体"/>
                <w:color w:val="auto"/>
                <w:szCs w:val="21"/>
                <w:highlight w:val="none"/>
              </w:rPr>
              <w:t>投标人认为需要提供的其他资料</w:t>
            </w:r>
          </w:p>
        </w:tc>
        <w:tc>
          <w:tcPr>
            <w:tcW w:w="1102" w:type="dxa"/>
            <w:vAlign w:val="center"/>
          </w:tcPr>
          <w:p w14:paraId="6F05BE70">
            <w:pPr>
              <w:autoSpaceDE w:val="0"/>
              <w:autoSpaceDN w:val="0"/>
              <w:adjustRightInd w:val="0"/>
              <w:snapToGrid w:val="0"/>
              <w:spacing w:line="360" w:lineRule="exact"/>
              <w:jc w:val="center"/>
              <w:rPr>
                <w:rFonts w:ascii="宋体" w:hAnsi="宋体" w:cs="宋体"/>
                <w:color w:val="auto"/>
                <w:szCs w:val="21"/>
                <w:highlight w:val="none"/>
                <w:u w:val="single"/>
              </w:rPr>
            </w:pPr>
          </w:p>
        </w:tc>
      </w:tr>
      <w:tr w14:paraId="439AE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20" w:type="dxa"/>
            <w:gridSpan w:val="3"/>
            <w:vAlign w:val="center"/>
          </w:tcPr>
          <w:p w14:paraId="227258AB">
            <w:pPr>
              <w:autoSpaceDE w:val="0"/>
              <w:autoSpaceDN w:val="0"/>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说明：以上所需的各种证书、证件、证明、执照若系扫描件的，须在扫描件上加盖投标人公章。</w:t>
            </w:r>
          </w:p>
        </w:tc>
      </w:tr>
    </w:tbl>
    <w:p w14:paraId="4F765D40">
      <w:pPr>
        <w:snapToGrid w:val="0"/>
        <w:spacing w:line="360" w:lineRule="exact"/>
        <w:ind w:firstLine="415" w:firstLineChars="197"/>
        <w:jc w:val="left"/>
        <w:rPr>
          <w:rFonts w:ascii="宋体" w:hAnsi="宋体" w:cs="宋体"/>
          <w:b/>
          <w:bCs/>
          <w:color w:val="auto"/>
          <w:szCs w:val="21"/>
          <w:highlight w:val="none"/>
        </w:rPr>
      </w:pPr>
      <w:r>
        <w:rPr>
          <w:rFonts w:hint="eastAsia" w:ascii="宋体" w:hAnsi="宋体" w:cs="宋体"/>
          <w:b/>
          <w:bCs/>
          <w:color w:val="auto"/>
          <w:szCs w:val="21"/>
          <w:highlight w:val="none"/>
        </w:rPr>
        <w:t>注：附件中有参考格式的，参照格式，没有参考格式的，投标人根据招标文件要求自行编制。</w:t>
      </w:r>
    </w:p>
    <w:p w14:paraId="792ADC39">
      <w:pPr>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（四）投标文件的语言及计量</w:t>
      </w:r>
    </w:p>
    <w:p w14:paraId="6407788C">
      <w:pPr>
        <w:widowControl/>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1、投标文件以及投标人与招标人就有关投标事宜的所有来往函电，均应以中文汉语书写。除签名、盖章、专用名称等特殊情形外，以中文汉语以外的文字表述的投标文件视同未提供。</w:t>
      </w:r>
    </w:p>
    <w:p w14:paraId="0C48DF1D">
      <w:pPr>
        <w:widowControl/>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2、投标计量单位，招标文件已有明确规定的，使用招标文件规定的计量单位；招标文件没有规定的，应采用中华人民共和国法定计量单位，否则视同未响应。</w:t>
      </w:r>
    </w:p>
    <w:p w14:paraId="28FF3293">
      <w:pPr>
        <w:spacing w:line="360" w:lineRule="exact"/>
        <w:jc w:val="left"/>
        <w:rPr>
          <w:rFonts w:ascii="宋体" w:hAnsi="宋体" w:cs="宋体"/>
          <w:b/>
          <w:color w:val="auto"/>
          <w:szCs w:val="21"/>
          <w:highlight w:val="none"/>
        </w:rPr>
      </w:pPr>
      <w:r>
        <w:rPr>
          <w:rFonts w:hint="eastAsia" w:ascii="宋体" w:hAnsi="宋体" w:cs="宋体"/>
          <w:b/>
          <w:bCs/>
          <w:color w:val="auto"/>
          <w:szCs w:val="21"/>
          <w:highlight w:val="none"/>
        </w:rPr>
        <w:t>（五）投标报价</w:t>
      </w:r>
    </w:p>
    <w:p w14:paraId="2BB7444E">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color w:val="auto"/>
          <w:szCs w:val="21"/>
          <w:highlight w:val="none"/>
        </w:rPr>
        <w:t>投标报价是指投标人针对本项目的存款资金综合收益指标，以上浮基点（BP）形式报价</w:t>
      </w:r>
      <w:r>
        <w:rPr>
          <w:rFonts w:hint="eastAsia" w:ascii="宋体" w:hAnsi="宋体" w:cs="宋体"/>
          <w:color w:val="auto"/>
          <w:szCs w:val="21"/>
          <w:highlight w:val="none"/>
        </w:rPr>
        <w:t>。</w:t>
      </w:r>
    </w:p>
    <w:p w14:paraId="0E81C9B7">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2.投标人按附件中的开标一览表内容填写价格，并由投标人代表签署。</w:t>
      </w:r>
    </w:p>
    <w:p w14:paraId="29ED2EB4">
      <w:pPr>
        <w:spacing w:line="36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u w:val="single"/>
        </w:rPr>
        <w:t>▲投标文件只允许有一个报价，有选择的或有条件的报价将不予接受</w:t>
      </w:r>
      <w:r>
        <w:rPr>
          <w:rFonts w:hint="eastAsia" w:ascii="宋体" w:hAnsi="宋体" w:cs="宋体"/>
          <w:b/>
          <w:color w:val="auto"/>
          <w:szCs w:val="21"/>
          <w:highlight w:val="none"/>
          <w:u w:val="single"/>
        </w:rPr>
        <w:t>。</w:t>
      </w:r>
    </w:p>
    <w:p w14:paraId="29209635">
      <w:pPr>
        <w:spacing w:line="360" w:lineRule="exact"/>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4.招标人和招标代理机构要求分类报价是为了方便评标，但在任何情况下不限制招标人以其认为最合适的条款、条件签订协议的权利。</w:t>
      </w:r>
    </w:p>
    <w:p w14:paraId="6B695FAF">
      <w:pPr>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5.投标报价报出后，投标人不得以任何理由予以变更。任何包含价格调整的要求，将被认为是非实质性响应投标而予以拒绝。</w:t>
      </w:r>
    </w:p>
    <w:p w14:paraId="416A9AC9">
      <w:pPr>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6.最高报价不能作为中标的保证。</w:t>
      </w:r>
    </w:p>
    <w:p w14:paraId="7E00B9A2">
      <w:pPr>
        <w:spacing w:line="360" w:lineRule="exact"/>
        <w:jc w:val="left"/>
        <w:rPr>
          <w:rFonts w:ascii="宋体" w:hAnsi="宋体" w:cs="宋体"/>
          <w:b/>
          <w:color w:val="auto"/>
          <w:szCs w:val="21"/>
          <w:highlight w:val="none"/>
        </w:rPr>
      </w:pPr>
      <w:r>
        <w:rPr>
          <w:rFonts w:hint="eastAsia" w:ascii="宋体" w:hAnsi="宋体" w:cs="宋体"/>
          <w:b/>
          <w:bCs/>
          <w:color w:val="auto"/>
          <w:szCs w:val="21"/>
          <w:highlight w:val="none"/>
        </w:rPr>
        <w:t>（六）投标保证金：本项目不收取投标保证金</w:t>
      </w:r>
    </w:p>
    <w:p w14:paraId="7271C9C6">
      <w:pPr>
        <w:pStyle w:val="5"/>
        <w:numPr>
          <w:ilvl w:val="0"/>
          <w:numId w:val="0"/>
        </w:numPr>
        <w:tabs>
          <w:tab w:val="left" w:pos="720"/>
        </w:tabs>
        <w:snapToGrid w:val="0"/>
        <w:spacing w:line="360" w:lineRule="exact"/>
        <w:jc w:val="left"/>
        <w:rPr>
          <w:rFonts w:ascii="宋体" w:hAnsi="宋体" w:cs="宋体"/>
          <w:b/>
          <w:color w:val="auto"/>
          <w:szCs w:val="21"/>
          <w:highlight w:val="none"/>
        </w:rPr>
      </w:pPr>
      <w:r>
        <w:rPr>
          <w:rFonts w:hint="eastAsia" w:ascii="宋体" w:hAnsi="宋体" w:cs="宋体"/>
          <w:b/>
          <w:color w:val="auto"/>
          <w:szCs w:val="21"/>
          <w:highlight w:val="none"/>
        </w:rPr>
        <w:t>（七）投标文件的有效期</w:t>
      </w:r>
    </w:p>
    <w:p w14:paraId="34213FF3">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自提交投标文件的截止之日起</w:t>
      </w:r>
      <w:r>
        <w:rPr>
          <w:rFonts w:hint="eastAsia" w:ascii="宋体" w:hAnsi="宋体" w:cs="宋体"/>
          <w:color w:val="auto"/>
          <w:szCs w:val="21"/>
          <w:highlight w:val="none"/>
          <w:u w:val="single"/>
        </w:rPr>
        <w:t>90天内投标文件应保持有效</w:t>
      </w:r>
      <w:r>
        <w:rPr>
          <w:rFonts w:hint="eastAsia" w:ascii="宋体" w:hAnsi="宋体" w:cs="宋体"/>
          <w:color w:val="auto"/>
          <w:szCs w:val="21"/>
          <w:highlight w:val="none"/>
        </w:rPr>
        <w:t>。有效期不足的投标文件将被拒绝。</w:t>
      </w:r>
    </w:p>
    <w:p w14:paraId="27078AB5">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2.特殊情况下，在原投标有效期截止前，招标人、招标代理机构可与投标人协商延长投标有效期，这种要求和答复均以书面形式进行。同意延长投标有效期的投标人不得修改投标文件。</w:t>
      </w:r>
    </w:p>
    <w:p w14:paraId="26B5CC4E">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3.中标银行的投标文件自投标截止之日起至协议履行完毕止均应保持有效。</w:t>
      </w:r>
    </w:p>
    <w:p w14:paraId="02B9CB26">
      <w:pPr>
        <w:pStyle w:val="5"/>
        <w:numPr>
          <w:ilvl w:val="0"/>
          <w:numId w:val="0"/>
        </w:numPr>
        <w:tabs>
          <w:tab w:val="left" w:pos="720"/>
        </w:tabs>
        <w:snapToGrid w:val="0"/>
        <w:spacing w:line="360" w:lineRule="exact"/>
        <w:jc w:val="left"/>
        <w:rPr>
          <w:rFonts w:ascii="宋体" w:hAnsi="宋体" w:cs="宋体"/>
          <w:b/>
          <w:color w:val="auto"/>
          <w:szCs w:val="21"/>
          <w:highlight w:val="none"/>
        </w:rPr>
      </w:pPr>
      <w:r>
        <w:rPr>
          <w:rFonts w:hint="eastAsia" w:ascii="宋体" w:hAnsi="宋体" w:cs="宋体"/>
          <w:b/>
          <w:color w:val="auto"/>
          <w:szCs w:val="21"/>
          <w:highlight w:val="none"/>
        </w:rPr>
        <w:t>（八）投标文件的签署和份数</w:t>
      </w:r>
    </w:p>
    <w:p w14:paraId="2E9D8830">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1.投标人应按本招标文件规定的格式和顺序编制投标文件并标注页码，投标文件内容不完整、编排混乱导致投标文件被误读、漏读或者查找不到相关内容的，是投标人的责任。</w:t>
      </w:r>
    </w:p>
    <w:p w14:paraId="36C1B7DF">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2.投标文件须由投标人在规定位置盖章并由法定负责人或授权委托人签署，投标人应写全称。</w:t>
      </w:r>
    </w:p>
    <w:p w14:paraId="1E014276">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3.投标文件不得涂改，若有修改错漏处，须加盖投标人公章或者法定负责人或授权委托人签名或盖章。投标文件因字迹潦草或表达不清所引起的后果由投标人负责。</w:t>
      </w:r>
    </w:p>
    <w:p w14:paraId="7E45069E">
      <w:pPr>
        <w:snapToGrid w:val="0"/>
        <w:spacing w:line="360" w:lineRule="exact"/>
        <w:jc w:val="left"/>
        <w:outlineLvl w:val="2"/>
        <w:rPr>
          <w:rFonts w:ascii="宋体" w:hAnsi="宋体" w:cs="宋体"/>
          <w:color w:val="auto"/>
          <w:szCs w:val="21"/>
          <w:highlight w:val="none"/>
          <w:u w:val="single"/>
        </w:rPr>
      </w:pPr>
      <w:r>
        <w:rPr>
          <w:rFonts w:hint="eastAsia" w:ascii="宋体" w:hAnsi="宋体" w:cs="宋体"/>
          <w:b/>
          <w:color w:val="auto"/>
          <w:szCs w:val="21"/>
          <w:highlight w:val="none"/>
        </w:rPr>
        <w:t>（九）投标无效的情形</w:t>
      </w:r>
    </w:p>
    <w:p w14:paraId="26C71DF3">
      <w:pPr>
        <w:widowControl/>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实质上没有响应招标文件要求的投标将被视为无效投标。在评审时，如发现下列情形之一的，投标文件将被视为无效：</w:t>
      </w:r>
    </w:p>
    <w:p w14:paraId="088D5DCC">
      <w:pPr>
        <w:numPr>
          <w:ilvl w:val="0"/>
          <w:numId w:val="3"/>
        </w:numPr>
        <w:snapToGrid w:val="0"/>
        <w:spacing w:line="360" w:lineRule="exact"/>
        <w:jc w:val="left"/>
        <w:rPr>
          <w:rFonts w:ascii="宋体" w:hAnsi="宋体" w:cs="宋体"/>
          <w:color w:val="auto"/>
          <w:szCs w:val="21"/>
          <w:highlight w:val="none"/>
          <w:u w:val="single"/>
        </w:rPr>
      </w:pPr>
      <w:r>
        <w:rPr>
          <w:rFonts w:hint="eastAsia" w:ascii="宋体" w:hAnsi="宋体" w:cs="宋体"/>
          <w:color w:val="auto"/>
          <w:szCs w:val="21"/>
          <w:highlight w:val="none"/>
          <w:u w:val="single"/>
        </w:rPr>
        <w:t>电子投标逾期，未按规定时间递交的投标文件；</w:t>
      </w:r>
    </w:p>
    <w:p w14:paraId="31563C6D">
      <w:pPr>
        <w:numPr>
          <w:ilvl w:val="0"/>
          <w:numId w:val="3"/>
        </w:numPr>
        <w:snapToGrid w:val="0"/>
        <w:spacing w:line="360" w:lineRule="exact"/>
        <w:jc w:val="left"/>
        <w:rPr>
          <w:rFonts w:ascii="宋体" w:hAnsi="宋体" w:cs="宋体"/>
          <w:color w:val="auto"/>
          <w:szCs w:val="21"/>
          <w:highlight w:val="none"/>
          <w:u w:val="single"/>
        </w:rPr>
      </w:pPr>
      <w:r>
        <w:rPr>
          <w:rFonts w:hint="eastAsia" w:ascii="宋体" w:hAnsi="宋体" w:cs="宋体"/>
          <w:color w:val="auto"/>
          <w:szCs w:val="21"/>
          <w:highlight w:val="none"/>
          <w:u w:val="single"/>
        </w:rPr>
        <w:t>使用纸质形式递交的投标文件；</w:t>
      </w:r>
    </w:p>
    <w:p w14:paraId="7FE12281">
      <w:pPr>
        <w:numPr>
          <w:ilvl w:val="0"/>
          <w:numId w:val="3"/>
        </w:numPr>
        <w:snapToGrid w:val="0"/>
        <w:spacing w:line="360" w:lineRule="exact"/>
        <w:jc w:val="left"/>
        <w:rPr>
          <w:rFonts w:ascii="宋体" w:hAnsi="宋体" w:cs="宋体"/>
          <w:color w:val="auto"/>
          <w:szCs w:val="21"/>
          <w:highlight w:val="none"/>
          <w:u w:val="single"/>
        </w:rPr>
      </w:pPr>
      <w:r>
        <w:rPr>
          <w:rFonts w:hint="eastAsia" w:ascii="宋体" w:hAnsi="宋体" w:cs="宋体"/>
          <w:color w:val="auto"/>
          <w:szCs w:val="21"/>
          <w:highlight w:val="none"/>
          <w:u w:val="single"/>
        </w:rPr>
        <w:t>投标人未能提供合格的资格文件；</w:t>
      </w:r>
    </w:p>
    <w:p w14:paraId="351D1CE6">
      <w:pPr>
        <w:numPr>
          <w:ilvl w:val="0"/>
          <w:numId w:val="3"/>
        </w:numPr>
        <w:snapToGrid w:val="0"/>
        <w:spacing w:line="360" w:lineRule="exact"/>
        <w:jc w:val="left"/>
        <w:rPr>
          <w:rFonts w:ascii="宋体" w:hAnsi="宋体" w:cs="宋体"/>
          <w:color w:val="auto"/>
          <w:szCs w:val="21"/>
          <w:highlight w:val="none"/>
          <w:u w:val="single"/>
        </w:rPr>
      </w:pPr>
      <w:r>
        <w:rPr>
          <w:rFonts w:hint="eastAsia" w:ascii="宋体" w:hAnsi="宋体" w:cs="宋体"/>
          <w:color w:val="auto"/>
          <w:szCs w:val="21"/>
          <w:highlight w:val="none"/>
          <w:u w:val="single"/>
        </w:rPr>
        <w:t>未按招标文件要求签字、盖章的；</w:t>
      </w:r>
    </w:p>
    <w:p w14:paraId="66D14E39">
      <w:pPr>
        <w:numPr>
          <w:ilvl w:val="0"/>
          <w:numId w:val="3"/>
        </w:numPr>
        <w:snapToGrid w:val="0"/>
        <w:spacing w:line="360" w:lineRule="exact"/>
        <w:jc w:val="left"/>
        <w:rPr>
          <w:rFonts w:ascii="宋体" w:hAnsi="宋体" w:cs="宋体"/>
          <w:color w:val="auto"/>
          <w:szCs w:val="21"/>
          <w:highlight w:val="none"/>
          <w:u w:val="single"/>
        </w:rPr>
      </w:pPr>
      <w:r>
        <w:rPr>
          <w:rFonts w:hint="eastAsia" w:ascii="宋体" w:hAnsi="宋体" w:cs="宋体"/>
          <w:color w:val="auto"/>
          <w:szCs w:val="21"/>
          <w:highlight w:val="none"/>
          <w:u w:val="single"/>
        </w:rPr>
        <w:t>明显不符合招标文件要求，或者与招标文件中标“▲”的项目发生实质性偏离的；</w:t>
      </w:r>
    </w:p>
    <w:p w14:paraId="0D35C358">
      <w:pPr>
        <w:numPr>
          <w:ilvl w:val="0"/>
          <w:numId w:val="3"/>
        </w:numPr>
        <w:snapToGrid w:val="0"/>
        <w:spacing w:line="360" w:lineRule="exact"/>
        <w:jc w:val="left"/>
        <w:rPr>
          <w:rFonts w:ascii="宋体" w:hAnsi="宋体" w:cs="宋体"/>
          <w:color w:val="auto"/>
          <w:szCs w:val="21"/>
          <w:highlight w:val="none"/>
          <w:u w:val="single"/>
        </w:rPr>
      </w:pPr>
      <w:r>
        <w:rPr>
          <w:rFonts w:hint="eastAsia" w:ascii="宋体" w:hAnsi="宋体" w:cs="宋体"/>
          <w:color w:val="auto"/>
          <w:szCs w:val="21"/>
          <w:highlight w:val="none"/>
          <w:u w:val="single"/>
        </w:rPr>
        <w:t>投标有效期不能满足招标文件要求的；</w:t>
      </w:r>
    </w:p>
    <w:p w14:paraId="59ED61EE">
      <w:pPr>
        <w:numPr>
          <w:ilvl w:val="0"/>
          <w:numId w:val="3"/>
        </w:numPr>
        <w:snapToGrid w:val="0"/>
        <w:spacing w:line="360" w:lineRule="exact"/>
        <w:jc w:val="left"/>
        <w:rPr>
          <w:rFonts w:ascii="宋体" w:hAnsi="宋体" w:cs="宋体"/>
          <w:color w:val="auto"/>
          <w:szCs w:val="21"/>
          <w:highlight w:val="none"/>
          <w:u w:val="single"/>
        </w:rPr>
      </w:pPr>
      <w:r>
        <w:rPr>
          <w:rFonts w:hint="eastAsia" w:ascii="宋体" w:hAnsi="宋体" w:cs="宋体"/>
          <w:color w:val="auto"/>
          <w:szCs w:val="21"/>
          <w:highlight w:val="none"/>
          <w:u w:val="single"/>
        </w:rPr>
        <w:t>对一个标项提供两个投标人案或两个报价的；</w:t>
      </w:r>
    </w:p>
    <w:p w14:paraId="15B64A8A">
      <w:pPr>
        <w:numPr>
          <w:ilvl w:val="0"/>
          <w:numId w:val="3"/>
        </w:numPr>
        <w:snapToGrid w:val="0"/>
        <w:spacing w:line="360" w:lineRule="exact"/>
        <w:jc w:val="left"/>
        <w:rPr>
          <w:rFonts w:ascii="宋体" w:hAnsi="宋体" w:cs="宋体"/>
          <w:color w:val="auto"/>
          <w:szCs w:val="21"/>
          <w:highlight w:val="none"/>
          <w:u w:val="single"/>
        </w:rPr>
      </w:pPr>
      <w:r>
        <w:rPr>
          <w:rFonts w:hint="eastAsia" w:ascii="宋体" w:hAnsi="宋体" w:cs="宋体"/>
          <w:color w:val="auto"/>
          <w:szCs w:val="21"/>
          <w:highlight w:val="none"/>
          <w:u w:val="single"/>
        </w:rPr>
        <w:t>附有招标人不能接受的条款的；</w:t>
      </w:r>
    </w:p>
    <w:p w14:paraId="468294B8">
      <w:pPr>
        <w:numPr>
          <w:ilvl w:val="0"/>
          <w:numId w:val="3"/>
        </w:numPr>
        <w:snapToGrid w:val="0"/>
        <w:spacing w:line="360" w:lineRule="exact"/>
        <w:jc w:val="left"/>
        <w:rPr>
          <w:rFonts w:ascii="宋体" w:hAnsi="宋体" w:cs="宋体"/>
          <w:color w:val="auto"/>
          <w:szCs w:val="21"/>
          <w:highlight w:val="none"/>
          <w:u w:val="single"/>
        </w:rPr>
      </w:pPr>
      <w:r>
        <w:rPr>
          <w:rFonts w:hint="eastAsia" w:ascii="宋体" w:hAnsi="宋体" w:cs="宋体"/>
          <w:color w:val="auto"/>
          <w:szCs w:val="21"/>
          <w:highlight w:val="none"/>
          <w:u w:val="single"/>
        </w:rPr>
        <w:t>符合法律、法规和招标文件规定的其他无效情形。</w:t>
      </w:r>
    </w:p>
    <w:p w14:paraId="57E56E68">
      <w:pPr>
        <w:pStyle w:val="13"/>
        <w:snapToGrid w:val="0"/>
        <w:spacing w:beforeLines="0" w:afterLines="0" w:line="360" w:lineRule="exact"/>
        <w:jc w:val="left"/>
        <w:rPr>
          <w:rFonts w:hAnsi="宋体" w:cs="宋体"/>
          <w:b/>
          <w:color w:val="auto"/>
          <w:sz w:val="21"/>
          <w:szCs w:val="21"/>
          <w:highlight w:val="none"/>
        </w:rPr>
      </w:pPr>
      <w:r>
        <w:rPr>
          <w:rFonts w:hint="eastAsia" w:hAnsi="宋体" w:cs="宋体"/>
          <w:b/>
          <w:color w:val="auto"/>
          <w:sz w:val="21"/>
          <w:szCs w:val="21"/>
          <w:highlight w:val="none"/>
        </w:rPr>
        <w:t>（十）错误修正</w:t>
      </w:r>
    </w:p>
    <w:p w14:paraId="1FFAEA3D">
      <w:pPr>
        <w:pStyle w:val="13"/>
        <w:snapToGrid w:val="0"/>
        <w:spacing w:beforeLines="0" w:afterLines="0" w:line="360" w:lineRule="exact"/>
        <w:ind w:firstLine="378" w:firstLineChars="180"/>
        <w:jc w:val="left"/>
        <w:rPr>
          <w:rFonts w:hAnsi="宋体" w:cs="宋体"/>
          <w:color w:val="auto"/>
          <w:sz w:val="21"/>
          <w:szCs w:val="21"/>
          <w:highlight w:val="none"/>
        </w:rPr>
      </w:pPr>
      <w:r>
        <w:rPr>
          <w:rFonts w:hint="eastAsia" w:hAnsi="宋体" w:cs="宋体"/>
          <w:color w:val="auto"/>
          <w:sz w:val="21"/>
          <w:szCs w:val="21"/>
          <w:highlight w:val="none"/>
        </w:rPr>
        <w:t>投标文件如果出现计算或表达上的错误，修正错误的原则如下：</w:t>
      </w:r>
    </w:p>
    <w:p w14:paraId="4FC5387E">
      <w:pPr>
        <w:pStyle w:val="13"/>
        <w:snapToGrid w:val="0"/>
        <w:spacing w:beforeLines="0" w:afterLines="0" w:line="36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1.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095E186A">
      <w:pPr>
        <w:pStyle w:val="13"/>
        <w:snapToGrid w:val="0"/>
        <w:spacing w:beforeLines="0" w:afterLines="0" w:line="36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2.客户端填写的报价与以pdf格式上传文件中的报价不一致的，应以Pdf格式上传文件中的报价为准。</w:t>
      </w:r>
    </w:p>
    <w:p w14:paraId="2C1E5325">
      <w:pPr>
        <w:pStyle w:val="13"/>
        <w:snapToGrid w:val="0"/>
        <w:spacing w:beforeLines="0" w:afterLines="0" w:line="36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按上述修正错误的原则及方法调整或修正投标文件的投标报价，投标人同意并签字确认后，调整后的投标报价对投标人具有约束作用。如果投标人不接受修正后的报价，则其投标将作为无效投标处理。</w:t>
      </w:r>
    </w:p>
    <w:p w14:paraId="37A0C445">
      <w:pPr>
        <w:pStyle w:val="13"/>
        <w:snapToGrid w:val="0"/>
        <w:spacing w:beforeLines="0" w:afterLines="0" w:line="360" w:lineRule="exact"/>
        <w:ind w:firstLine="422" w:firstLineChars="200"/>
        <w:jc w:val="left"/>
        <w:rPr>
          <w:rFonts w:hAnsi="宋体" w:cs="宋体"/>
          <w:b/>
          <w:color w:val="auto"/>
          <w:sz w:val="21"/>
          <w:szCs w:val="21"/>
          <w:highlight w:val="none"/>
        </w:rPr>
      </w:pPr>
    </w:p>
    <w:p w14:paraId="4F27126E">
      <w:pPr>
        <w:snapToGrid w:val="0"/>
        <w:spacing w:line="36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三、 投标文件的递交</w:t>
      </w:r>
    </w:p>
    <w:p w14:paraId="680B1C0D">
      <w:pPr>
        <w:tabs>
          <w:tab w:val="left" w:pos="360"/>
        </w:tabs>
        <w:spacing w:line="360" w:lineRule="exact"/>
        <w:jc w:val="left"/>
        <w:rPr>
          <w:rFonts w:ascii="宋体" w:hAnsi="宋体" w:cs="宋体"/>
          <w:b/>
          <w:bCs/>
          <w:color w:val="auto"/>
          <w:szCs w:val="21"/>
          <w:highlight w:val="none"/>
        </w:rPr>
      </w:pPr>
      <w:r>
        <w:rPr>
          <w:rFonts w:hint="eastAsia" w:ascii="宋体" w:hAnsi="宋体" w:cs="宋体"/>
          <w:b/>
          <w:bCs/>
          <w:color w:val="auto"/>
          <w:szCs w:val="21"/>
          <w:highlight w:val="none"/>
        </w:rPr>
        <w:t>（一）投标文件的递交</w:t>
      </w:r>
    </w:p>
    <w:p w14:paraId="417BAAA4">
      <w:pPr>
        <w:tabs>
          <w:tab w:val="left" w:pos="360"/>
        </w:tabs>
        <w:spacing w:line="36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1.投标文件必须在规定的投标截止时间前在</w:t>
      </w:r>
      <w:r>
        <w:rPr>
          <w:rFonts w:hint="eastAsia" w:ascii="宋体" w:hAnsi="宋体" w:cs="宋体"/>
          <w:b/>
          <w:color w:val="auto"/>
          <w:spacing w:val="-6"/>
          <w:szCs w:val="21"/>
          <w:highlight w:val="none"/>
        </w:rPr>
        <w:t>“政采云”平台上完成在线投标和投标信息确认，逾期或未上传成功的视为未投标</w:t>
      </w:r>
      <w:r>
        <w:rPr>
          <w:rFonts w:hint="eastAsia" w:ascii="宋体" w:hAnsi="宋体" w:cs="宋体"/>
          <w:b/>
          <w:color w:val="auto"/>
          <w:kern w:val="0"/>
          <w:szCs w:val="21"/>
          <w:highlight w:val="none"/>
        </w:rPr>
        <w:t>。</w:t>
      </w:r>
    </w:p>
    <w:p w14:paraId="0B0A3C1D">
      <w:pPr>
        <w:tabs>
          <w:tab w:val="left" w:pos="360"/>
        </w:tabs>
        <w:spacing w:line="360" w:lineRule="exact"/>
        <w:jc w:val="left"/>
        <w:rPr>
          <w:rFonts w:ascii="宋体" w:hAnsi="宋体" w:cs="宋体"/>
          <w:b/>
          <w:bCs/>
          <w:color w:val="auto"/>
          <w:szCs w:val="21"/>
          <w:highlight w:val="none"/>
        </w:rPr>
      </w:pPr>
      <w:r>
        <w:rPr>
          <w:rFonts w:hint="eastAsia" w:ascii="宋体" w:hAnsi="宋体" w:cs="宋体"/>
          <w:bCs/>
          <w:color w:val="auto"/>
          <w:szCs w:val="21"/>
          <w:highlight w:val="none"/>
        </w:rPr>
        <w:t>（二）投标文件的修改和撤回</w:t>
      </w:r>
    </w:p>
    <w:p w14:paraId="1FDB3092">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14:paraId="6C850B5F">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2.在投标截止时间之后，投标人不得对其投标做任何修改。</w:t>
      </w:r>
    </w:p>
    <w:p w14:paraId="444D3308">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3.从投标截止时间至投标人在投标书格式中确定的投标有效期期满这段时间内，投标人不得撤回其投标。</w:t>
      </w:r>
    </w:p>
    <w:p w14:paraId="23080CD6">
      <w:pPr>
        <w:tabs>
          <w:tab w:val="left" w:pos="360"/>
        </w:tabs>
        <w:spacing w:line="360" w:lineRule="exact"/>
        <w:jc w:val="left"/>
        <w:rPr>
          <w:rFonts w:ascii="宋体" w:hAnsi="宋体" w:cs="宋体"/>
          <w:b/>
          <w:color w:val="auto"/>
          <w:szCs w:val="21"/>
          <w:highlight w:val="none"/>
        </w:rPr>
      </w:pPr>
    </w:p>
    <w:p w14:paraId="41C63CFE">
      <w:pPr>
        <w:snapToGrid w:val="0"/>
        <w:spacing w:line="36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四、开标</w:t>
      </w:r>
    </w:p>
    <w:p w14:paraId="6ACB28C1">
      <w:pPr>
        <w:spacing w:line="360" w:lineRule="exact"/>
        <w:jc w:val="left"/>
        <w:rPr>
          <w:rFonts w:ascii="宋体" w:hAnsi="宋体" w:cs="宋体"/>
          <w:b/>
          <w:color w:val="auto"/>
          <w:szCs w:val="21"/>
          <w:highlight w:val="none"/>
        </w:rPr>
      </w:pPr>
      <w:r>
        <w:rPr>
          <w:rFonts w:hint="eastAsia" w:ascii="宋体" w:hAnsi="宋体" w:cs="宋体"/>
          <w:b/>
          <w:color w:val="auto"/>
          <w:szCs w:val="21"/>
          <w:highlight w:val="none"/>
        </w:rPr>
        <w:t>（一）开标准备</w:t>
      </w:r>
    </w:p>
    <w:p w14:paraId="1528EFDF">
      <w:pPr>
        <w:pStyle w:val="10"/>
        <w:spacing w:line="360" w:lineRule="exact"/>
        <w:ind w:firstLine="420" w:firstLineChars="200"/>
        <w:jc w:val="left"/>
        <w:rPr>
          <w:rFonts w:hAnsi="宋体" w:cs="宋体"/>
          <w:color w:val="auto"/>
          <w:spacing w:val="0"/>
          <w:sz w:val="21"/>
          <w:szCs w:val="21"/>
          <w:highlight w:val="none"/>
        </w:rPr>
      </w:pPr>
      <w:r>
        <w:rPr>
          <w:rFonts w:hint="eastAsia" w:hAnsi="宋体" w:cs="宋体"/>
          <w:color w:val="auto"/>
          <w:spacing w:val="0"/>
          <w:sz w:val="21"/>
          <w:szCs w:val="21"/>
          <w:highlight w:val="none"/>
        </w:rPr>
        <w:t>1.制订开标、评审工作的组织方案，落实工作场地、设施，检查录音录像采集设备运行情况。</w:t>
      </w:r>
    </w:p>
    <w:p w14:paraId="5C04B2F7">
      <w:pPr>
        <w:pStyle w:val="10"/>
        <w:spacing w:line="360" w:lineRule="exact"/>
        <w:ind w:firstLine="420" w:firstLineChars="200"/>
        <w:jc w:val="left"/>
        <w:rPr>
          <w:rFonts w:hAnsi="宋体" w:cs="宋体"/>
          <w:color w:val="auto"/>
          <w:spacing w:val="0"/>
          <w:sz w:val="21"/>
          <w:szCs w:val="21"/>
          <w:highlight w:val="none"/>
        </w:rPr>
      </w:pPr>
      <w:r>
        <w:rPr>
          <w:rFonts w:hint="eastAsia" w:hAnsi="宋体" w:cs="宋体"/>
          <w:color w:val="auto"/>
          <w:spacing w:val="0"/>
          <w:sz w:val="21"/>
          <w:szCs w:val="21"/>
          <w:highlight w:val="none"/>
        </w:rPr>
        <w:t>2.通知或邀请相关单位和人员出席开标、评审活动。</w:t>
      </w:r>
    </w:p>
    <w:p w14:paraId="7625A2E3">
      <w:pPr>
        <w:pStyle w:val="10"/>
        <w:spacing w:line="360" w:lineRule="exact"/>
        <w:ind w:firstLine="420" w:firstLineChars="200"/>
        <w:jc w:val="left"/>
        <w:rPr>
          <w:rFonts w:hAnsi="宋体" w:cs="宋体"/>
          <w:color w:val="auto"/>
          <w:spacing w:val="0"/>
          <w:sz w:val="21"/>
          <w:szCs w:val="21"/>
          <w:highlight w:val="none"/>
        </w:rPr>
      </w:pPr>
      <w:r>
        <w:rPr>
          <w:rFonts w:hint="eastAsia" w:hAnsi="宋体" w:cs="宋体"/>
          <w:color w:val="auto"/>
          <w:spacing w:val="0"/>
          <w:sz w:val="21"/>
          <w:szCs w:val="21"/>
          <w:highlight w:val="none"/>
        </w:rPr>
        <w:t>3.准备招标项目的相关文件资料，如项目专家抽取有关凭证、项目书面说明、招标文件、补充文件及质疑答复情况、现场工作所需的相关登记表单、评审工作底稿等。</w:t>
      </w:r>
    </w:p>
    <w:p w14:paraId="58EFBD4C">
      <w:pPr>
        <w:pStyle w:val="10"/>
        <w:spacing w:line="360" w:lineRule="exact"/>
        <w:ind w:firstLine="420" w:firstLineChars="200"/>
        <w:jc w:val="left"/>
        <w:rPr>
          <w:rFonts w:hAnsi="宋体" w:cs="宋体"/>
          <w:bCs/>
          <w:color w:val="auto"/>
          <w:sz w:val="21"/>
          <w:szCs w:val="21"/>
          <w:highlight w:val="none"/>
        </w:rPr>
      </w:pPr>
      <w:r>
        <w:rPr>
          <w:rFonts w:hint="eastAsia" w:hAnsi="宋体" w:cs="宋体"/>
          <w:color w:val="auto"/>
          <w:spacing w:val="0"/>
          <w:sz w:val="21"/>
          <w:szCs w:val="21"/>
          <w:highlight w:val="none"/>
        </w:rPr>
        <w:t>4.其他应准备的事项。</w:t>
      </w:r>
    </w:p>
    <w:p w14:paraId="33045A5A">
      <w:pPr>
        <w:pStyle w:val="13"/>
        <w:snapToGrid w:val="0"/>
        <w:spacing w:beforeLines="0" w:afterLines="0" w:line="360" w:lineRule="exact"/>
        <w:jc w:val="left"/>
        <w:rPr>
          <w:rFonts w:hAnsi="宋体" w:cs="宋体"/>
          <w:b/>
          <w:color w:val="auto"/>
          <w:sz w:val="21"/>
          <w:szCs w:val="21"/>
          <w:highlight w:val="none"/>
        </w:rPr>
      </w:pPr>
      <w:r>
        <w:rPr>
          <w:rFonts w:hint="eastAsia" w:hAnsi="宋体" w:cs="宋体"/>
          <w:b/>
          <w:color w:val="auto"/>
          <w:sz w:val="21"/>
          <w:szCs w:val="21"/>
          <w:highlight w:val="none"/>
        </w:rPr>
        <w:t>（二）开标程序：</w:t>
      </w:r>
    </w:p>
    <w:p w14:paraId="083FEA94">
      <w:pPr>
        <w:pStyle w:val="13"/>
        <w:snapToGrid w:val="0"/>
        <w:spacing w:beforeLines="0" w:afterLines="0" w:line="36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招标代理机构按照招标文件规定的时间、地点和程序组织开标，具体按以下程序进行：</w:t>
      </w:r>
    </w:p>
    <w:p w14:paraId="28EB80FB">
      <w:pPr>
        <w:pStyle w:val="13"/>
        <w:snapToGrid w:val="0"/>
        <w:spacing w:beforeLines="0" w:afterLines="0" w:line="36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1.本项目实行电子开评标，投标人无需前往开评标现场，只需在规定时间内在“政采云”平台上上传电子投标文件并确认。</w:t>
      </w:r>
    </w:p>
    <w:p w14:paraId="7DD29568">
      <w:pPr>
        <w:pStyle w:val="13"/>
        <w:snapToGrid w:val="0"/>
        <w:spacing w:beforeLines="0" w:afterLines="0" w:line="36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2.开标会由</w:t>
      </w:r>
      <w:r>
        <w:rPr>
          <w:rFonts w:hint="eastAsia" w:hAnsi="宋体" w:cs="宋体"/>
          <w:color w:val="auto"/>
          <w:sz w:val="21"/>
          <w:szCs w:val="21"/>
          <w:highlight w:val="none"/>
          <w:lang w:eastAsia="zh-CN"/>
        </w:rPr>
        <w:t>温州市华信采购招标代理有限公司</w:t>
      </w:r>
      <w:r>
        <w:rPr>
          <w:rFonts w:hint="eastAsia" w:hAnsi="宋体" w:cs="宋体"/>
          <w:color w:val="auto"/>
          <w:sz w:val="21"/>
          <w:szCs w:val="21"/>
          <w:highlight w:val="none"/>
        </w:rPr>
        <w:t>主持，主持人宣布开标会议开始；</w:t>
      </w:r>
    </w:p>
    <w:p w14:paraId="053804DB">
      <w:pPr>
        <w:pStyle w:val="13"/>
        <w:snapToGrid w:val="0"/>
        <w:spacing w:beforeLines="0" w:afterLines="0" w:line="36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 xml:space="preserve">3.主持人介绍参加开标会的工作人员名单； </w:t>
      </w:r>
    </w:p>
    <w:p w14:paraId="2633F172">
      <w:pPr>
        <w:pStyle w:val="13"/>
        <w:snapToGrid w:val="0"/>
        <w:spacing w:beforeLines="0" w:afterLines="0" w:line="36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4.主持人宣布评标的有关事项；告知专家应当回避的情形；</w:t>
      </w:r>
    </w:p>
    <w:p w14:paraId="4FFE1C51">
      <w:pPr>
        <w:pStyle w:val="13"/>
        <w:snapToGrid w:val="0"/>
        <w:spacing w:beforeLines="0" w:afterLines="0" w:line="36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5.线上开启投标文件；</w:t>
      </w:r>
    </w:p>
    <w:p w14:paraId="604ECB54">
      <w:pPr>
        <w:pStyle w:val="13"/>
        <w:snapToGrid w:val="0"/>
        <w:spacing w:beforeLines="0" w:afterLines="0" w:line="36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6.</w:t>
      </w:r>
      <w:r>
        <w:rPr>
          <w:rFonts w:hint="eastAsia" w:hAnsi="宋体" w:cs="宋体"/>
          <w:color w:val="auto"/>
          <w:sz w:val="21"/>
          <w:szCs w:val="21"/>
          <w:highlight w:val="none"/>
          <w:lang w:eastAsia="zh-CN"/>
        </w:rPr>
        <w:t>评标委员会</w:t>
      </w:r>
      <w:r>
        <w:rPr>
          <w:rFonts w:hint="eastAsia" w:hAnsi="宋体" w:cs="宋体"/>
          <w:color w:val="auto"/>
          <w:sz w:val="21"/>
          <w:szCs w:val="21"/>
          <w:highlight w:val="none"/>
        </w:rPr>
        <w:t>对投标人的投标文件进行审查；</w:t>
      </w:r>
    </w:p>
    <w:p w14:paraId="1C908D45">
      <w:pPr>
        <w:pStyle w:val="13"/>
        <w:snapToGrid w:val="0"/>
        <w:spacing w:beforeLines="0" w:afterLines="0" w:line="36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7.</w:t>
      </w:r>
      <w:r>
        <w:rPr>
          <w:rFonts w:hint="eastAsia" w:hAnsi="宋体" w:cs="宋体"/>
          <w:color w:val="auto"/>
          <w:sz w:val="21"/>
          <w:szCs w:val="21"/>
          <w:highlight w:val="none"/>
          <w:lang w:eastAsia="zh-CN"/>
        </w:rPr>
        <w:t>评标委员会</w:t>
      </w:r>
      <w:r>
        <w:rPr>
          <w:rFonts w:hint="eastAsia" w:hAnsi="宋体" w:cs="宋体"/>
          <w:color w:val="auto"/>
          <w:sz w:val="21"/>
          <w:szCs w:val="21"/>
          <w:highlight w:val="none"/>
        </w:rPr>
        <w:t>按招标文件要求对各投标人的投标文件进行评审，并推荐中标银行；</w:t>
      </w:r>
    </w:p>
    <w:p w14:paraId="126916EF">
      <w:pPr>
        <w:pStyle w:val="13"/>
        <w:snapToGrid w:val="0"/>
        <w:spacing w:beforeLines="0" w:afterLines="0" w:line="36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8.评审结束后，由主持人公布无效投标的投标人名单、投标无效的原因及有效投标的评分结果和推荐的中标银行；</w:t>
      </w:r>
    </w:p>
    <w:p w14:paraId="5AF04DDE">
      <w:pPr>
        <w:pStyle w:val="13"/>
        <w:snapToGrid w:val="0"/>
        <w:spacing w:beforeLines="0" w:afterLines="0" w:line="36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9.</w:t>
      </w:r>
      <w:r>
        <w:rPr>
          <w:rFonts w:hint="eastAsia" w:hAnsi="宋体" w:cs="宋体"/>
          <w:color w:val="auto"/>
          <w:sz w:val="21"/>
          <w:szCs w:val="21"/>
          <w:highlight w:val="none"/>
          <w:lang w:eastAsia="zh-CN"/>
        </w:rPr>
        <w:t>评标委员会</w:t>
      </w:r>
      <w:r>
        <w:rPr>
          <w:rFonts w:hint="eastAsia" w:hAnsi="宋体" w:cs="宋体"/>
          <w:color w:val="auto"/>
          <w:sz w:val="21"/>
          <w:szCs w:val="21"/>
          <w:highlight w:val="none"/>
        </w:rPr>
        <w:t>编写评审报告。</w:t>
      </w:r>
    </w:p>
    <w:p w14:paraId="28500B47">
      <w:pPr>
        <w:pStyle w:val="13"/>
        <w:snapToGrid w:val="0"/>
        <w:spacing w:beforeLines="0" w:afterLines="0" w:line="360" w:lineRule="exact"/>
        <w:ind w:firstLine="422" w:firstLineChars="200"/>
        <w:jc w:val="left"/>
        <w:rPr>
          <w:rFonts w:hAnsi="宋体" w:cs="宋体"/>
          <w:b/>
          <w:color w:val="auto"/>
          <w:sz w:val="21"/>
          <w:szCs w:val="21"/>
          <w:highlight w:val="none"/>
        </w:rPr>
      </w:pPr>
    </w:p>
    <w:p w14:paraId="5A48F27F">
      <w:pPr>
        <w:snapToGrid w:val="0"/>
        <w:spacing w:line="36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五、评标</w:t>
      </w:r>
    </w:p>
    <w:p w14:paraId="63EFFAE6">
      <w:pPr>
        <w:pStyle w:val="13"/>
        <w:snapToGrid w:val="0"/>
        <w:spacing w:beforeLines="0" w:afterLines="0" w:line="360" w:lineRule="exact"/>
        <w:jc w:val="left"/>
        <w:rPr>
          <w:rFonts w:hint="eastAsia" w:hAnsi="宋体" w:eastAsia="宋体" w:cs="宋体"/>
          <w:b/>
          <w:color w:val="auto"/>
          <w:sz w:val="21"/>
          <w:szCs w:val="21"/>
          <w:highlight w:val="none"/>
          <w:lang w:eastAsia="zh-CN"/>
        </w:rPr>
      </w:pPr>
      <w:r>
        <w:rPr>
          <w:rFonts w:hint="eastAsia" w:hAnsi="宋体" w:cs="宋体"/>
          <w:b/>
          <w:color w:val="auto"/>
          <w:sz w:val="21"/>
          <w:szCs w:val="21"/>
          <w:highlight w:val="none"/>
        </w:rPr>
        <w:t>（一）组建</w:t>
      </w:r>
      <w:r>
        <w:rPr>
          <w:rFonts w:hint="eastAsia" w:hAnsi="宋体" w:cs="宋体"/>
          <w:b/>
          <w:color w:val="auto"/>
          <w:sz w:val="21"/>
          <w:szCs w:val="21"/>
          <w:highlight w:val="none"/>
          <w:lang w:eastAsia="zh-CN"/>
        </w:rPr>
        <w:t>评标委员会</w:t>
      </w:r>
    </w:p>
    <w:p w14:paraId="5989975E">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eastAsia="zh-CN"/>
        </w:rPr>
        <w:t>评标委员会</w:t>
      </w:r>
      <w:r>
        <w:rPr>
          <w:rFonts w:hint="eastAsia" w:ascii="宋体" w:hAnsi="宋体" w:cs="宋体"/>
          <w:color w:val="auto"/>
          <w:szCs w:val="21"/>
          <w:highlight w:val="none"/>
        </w:rPr>
        <w:t>依据相关法律法规组建，成员人数为5人（含）以上单数。</w:t>
      </w:r>
    </w:p>
    <w:p w14:paraId="71F46517">
      <w:pPr>
        <w:pStyle w:val="13"/>
        <w:snapToGrid w:val="0"/>
        <w:spacing w:beforeLines="0" w:afterLines="0" w:line="360" w:lineRule="exact"/>
        <w:jc w:val="left"/>
        <w:rPr>
          <w:rFonts w:hAnsi="宋体" w:cs="宋体"/>
          <w:b/>
          <w:color w:val="auto"/>
          <w:sz w:val="21"/>
          <w:szCs w:val="21"/>
          <w:highlight w:val="none"/>
        </w:rPr>
      </w:pPr>
      <w:r>
        <w:rPr>
          <w:rFonts w:hint="eastAsia" w:hAnsi="宋体" w:cs="宋体"/>
          <w:b/>
          <w:color w:val="auto"/>
          <w:sz w:val="21"/>
          <w:szCs w:val="21"/>
          <w:highlight w:val="none"/>
        </w:rPr>
        <w:t>（二）</w:t>
      </w:r>
      <w:r>
        <w:rPr>
          <w:rFonts w:hint="eastAsia" w:hAnsi="宋体" w:cs="宋体"/>
          <w:b/>
          <w:bCs/>
          <w:color w:val="auto"/>
          <w:sz w:val="21"/>
          <w:szCs w:val="21"/>
          <w:highlight w:val="none"/>
        </w:rPr>
        <w:t>评标程序</w:t>
      </w:r>
    </w:p>
    <w:p w14:paraId="19D1FE60">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招标代理机构按照招标文件规定的时间、地点及程序组织评审。评审活动一般应按以下程序组织开展：</w:t>
      </w:r>
    </w:p>
    <w:p w14:paraId="0615ADC8">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1.开启评审场地的录音录像采集设备，并确保其正常运行。</w:t>
      </w:r>
    </w:p>
    <w:p w14:paraId="1FA33C91">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2.核验出席评审活动现场的</w:t>
      </w:r>
      <w:r>
        <w:rPr>
          <w:rFonts w:hint="eastAsia" w:ascii="宋体" w:hAnsi="宋体" w:cs="宋体"/>
          <w:color w:val="auto"/>
          <w:szCs w:val="21"/>
          <w:highlight w:val="none"/>
          <w:lang w:eastAsia="zh-CN"/>
        </w:rPr>
        <w:t>评标委员会</w:t>
      </w:r>
      <w:r>
        <w:rPr>
          <w:rFonts w:hint="eastAsia" w:ascii="宋体" w:hAnsi="宋体" w:cs="宋体"/>
          <w:color w:val="auto"/>
          <w:szCs w:val="21"/>
          <w:highlight w:val="none"/>
        </w:rPr>
        <w:t>各成员身份，并要求其分别登记、签到，按规定统一收缴、保存其通讯工具。</w:t>
      </w:r>
    </w:p>
    <w:p w14:paraId="75EA2F54">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3.介绍评审现场的人员情况，宣布评审工作纪律，告知</w:t>
      </w:r>
      <w:r>
        <w:rPr>
          <w:rFonts w:hint="eastAsia" w:ascii="宋体" w:hAnsi="宋体" w:cs="宋体"/>
          <w:color w:val="auto"/>
          <w:szCs w:val="21"/>
          <w:highlight w:val="none"/>
          <w:lang w:eastAsia="zh-CN"/>
        </w:rPr>
        <w:t>评标委员会</w:t>
      </w:r>
      <w:r>
        <w:rPr>
          <w:rFonts w:hint="eastAsia" w:ascii="宋体" w:hAnsi="宋体" w:cs="宋体"/>
          <w:color w:val="auto"/>
          <w:szCs w:val="21"/>
          <w:highlight w:val="none"/>
        </w:rPr>
        <w:t>应当回避情形；组织推选</w:t>
      </w:r>
      <w:r>
        <w:rPr>
          <w:rFonts w:hint="eastAsia" w:ascii="宋体" w:hAnsi="宋体" w:cs="宋体"/>
          <w:color w:val="auto"/>
          <w:szCs w:val="21"/>
          <w:highlight w:val="none"/>
          <w:lang w:eastAsia="zh-CN"/>
        </w:rPr>
        <w:t>评标委员会</w:t>
      </w:r>
      <w:r>
        <w:rPr>
          <w:rFonts w:hint="eastAsia" w:ascii="宋体" w:hAnsi="宋体" w:cs="宋体"/>
          <w:color w:val="auto"/>
          <w:szCs w:val="21"/>
          <w:highlight w:val="none"/>
        </w:rPr>
        <w:t>组长。</w:t>
      </w:r>
    </w:p>
    <w:p w14:paraId="261D11E4">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4.宣布参加本项目招标的投标人名单，组织</w:t>
      </w:r>
      <w:r>
        <w:rPr>
          <w:rFonts w:hint="eastAsia" w:ascii="宋体" w:hAnsi="宋体" w:cs="宋体"/>
          <w:color w:val="auto"/>
          <w:szCs w:val="21"/>
          <w:highlight w:val="none"/>
          <w:lang w:eastAsia="zh-CN"/>
        </w:rPr>
        <w:t>评标委员会</w:t>
      </w:r>
      <w:r>
        <w:rPr>
          <w:rFonts w:hint="eastAsia" w:ascii="宋体" w:hAnsi="宋体" w:cs="宋体"/>
          <w:color w:val="auto"/>
          <w:szCs w:val="21"/>
          <w:highlight w:val="none"/>
        </w:rPr>
        <w:t>各位成员签订《招标评审人员廉洁自律承诺书》。</w:t>
      </w:r>
    </w:p>
    <w:p w14:paraId="755663CC">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根据需要简要介绍招标文件（含补充文件）制定及质疑答复情况、按书面陈述项目基本情况及评审工作需注意事项等，让评审专家尽快知悉和了解所评审项目的招标需求、评审依据、评审标准、工作程序等；提醒</w:t>
      </w:r>
      <w:r>
        <w:rPr>
          <w:rFonts w:hint="eastAsia" w:ascii="宋体" w:hAnsi="宋体" w:cs="宋体"/>
          <w:color w:val="auto"/>
          <w:szCs w:val="21"/>
          <w:highlight w:val="none"/>
          <w:lang w:eastAsia="zh-CN"/>
        </w:rPr>
        <w:t>评标委员会</w:t>
      </w:r>
      <w:r>
        <w:rPr>
          <w:rFonts w:hint="eastAsia" w:ascii="宋体" w:hAnsi="宋体" w:cs="宋体"/>
          <w:color w:val="auto"/>
          <w:szCs w:val="21"/>
          <w:highlight w:val="none"/>
        </w:rPr>
        <w:t>对客观评审项目应统一评审依据和评审标准，对主观评审项目应确定大致的评审要求和评审尺度；对</w:t>
      </w:r>
      <w:r>
        <w:rPr>
          <w:rFonts w:hint="eastAsia" w:ascii="宋体" w:hAnsi="宋体" w:cs="宋体"/>
          <w:color w:val="auto"/>
          <w:szCs w:val="21"/>
          <w:highlight w:val="none"/>
          <w:lang w:eastAsia="zh-CN"/>
        </w:rPr>
        <w:t>评标委员会</w:t>
      </w:r>
      <w:r>
        <w:rPr>
          <w:rFonts w:hint="eastAsia" w:ascii="宋体" w:hAnsi="宋体" w:cs="宋体"/>
          <w:color w:val="auto"/>
          <w:szCs w:val="21"/>
          <w:highlight w:val="none"/>
        </w:rPr>
        <w:t>提出的有关招标文件、投标文件的问题进行必要的说明、解释或讨论。</w:t>
      </w:r>
    </w:p>
    <w:p w14:paraId="02DCBF7A">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eastAsia="zh-CN"/>
        </w:rPr>
        <w:t>评标委员会</w:t>
      </w:r>
      <w:r>
        <w:rPr>
          <w:rFonts w:hint="eastAsia" w:ascii="宋体" w:hAnsi="宋体" w:cs="宋体"/>
          <w:color w:val="auto"/>
          <w:szCs w:val="21"/>
          <w:highlight w:val="none"/>
          <w:lang w:val="zh-CN"/>
        </w:rPr>
        <w:t>将依法对投标人的资格进行审查，投标人未按照招标文件要求提供与资格条件相应的有效资格</w:t>
      </w:r>
      <w:r>
        <w:rPr>
          <w:rFonts w:hint="eastAsia" w:ascii="宋体" w:hAnsi="宋体" w:cs="宋体"/>
          <w:color w:val="auto"/>
          <w:szCs w:val="21"/>
          <w:highlight w:val="none"/>
        </w:rPr>
        <w:t>审查资料</w:t>
      </w:r>
      <w:r>
        <w:rPr>
          <w:rFonts w:hint="eastAsia" w:ascii="宋体" w:hAnsi="宋体" w:cs="宋体"/>
          <w:color w:val="auto"/>
          <w:szCs w:val="21"/>
          <w:highlight w:val="none"/>
          <w:lang w:val="zh-CN"/>
        </w:rPr>
        <w:t>的，视为投标人不具备招标文件中规定的资格要求，其投标无效。</w:t>
      </w:r>
      <w:r>
        <w:rPr>
          <w:rFonts w:hint="eastAsia" w:ascii="宋体" w:hAnsi="宋体" w:cs="宋体"/>
          <w:color w:val="auto"/>
          <w:szCs w:val="21"/>
          <w:highlight w:val="none"/>
          <w:lang w:eastAsia="zh-CN"/>
        </w:rPr>
        <w:t>评标委员会</w:t>
      </w:r>
      <w:r>
        <w:rPr>
          <w:rFonts w:hint="eastAsia" w:ascii="宋体" w:hAnsi="宋体" w:cs="宋体"/>
          <w:color w:val="auto"/>
          <w:szCs w:val="21"/>
          <w:highlight w:val="none"/>
          <w:lang w:val="zh-CN"/>
        </w:rPr>
        <w:t>按照招标文件要求，以确认承诺、现场查询等方式进行。</w:t>
      </w:r>
    </w:p>
    <w:p w14:paraId="5F890EC8">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eastAsia="zh-CN"/>
        </w:rPr>
        <w:t>评标委员会</w:t>
      </w:r>
      <w:r>
        <w:rPr>
          <w:rFonts w:hint="eastAsia" w:ascii="宋体" w:hAnsi="宋体" w:cs="宋体"/>
          <w:color w:val="auto"/>
          <w:szCs w:val="21"/>
          <w:highlight w:val="none"/>
        </w:rPr>
        <w:t>将根据投标人的投标文件进行审查、核对，如有疑问，将通过电话、电子邮件或传真等方式对投标人进行询标，投标人要向</w:t>
      </w:r>
      <w:r>
        <w:rPr>
          <w:rFonts w:hint="eastAsia" w:ascii="宋体" w:hAnsi="宋体" w:cs="宋体"/>
          <w:color w:val="auto"/>
          <w:szCs w:val="21"/>
          <w:highlight w:val="none"/>
          <w:lang w:eastAsia="zh-CN"/>
        </w:rPr>
        <w:t>评标委员会</w:t>
      </w:r>
      <w:r>
        <w:rPr>
          <w:rFonts w:hint="eastAsia" w:ascii="宋体" w:hAnsi="宋体" w:cs="宋体"/>
          <w:color w:val="auto"/>
          <w:szCs w:val="21"/>
          <w:highlight w:val="none"/>
        </w:rPr>
        <w:t>澄清有关问题，并最终以书面形式进行答复。</w:t>
      </w:r>
    </w:p>
    <w:p w14:paraId="30279079">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lang w:eastAsia="zh-CN"/>
        </w:rPr>
        <w:t>评标委员会</w:t>
      </w:r>
      <w:r>
        <w:rPr>
          <w:rFonts w:hint="eastAsia" w:ascii="宋体" w:hAnsi="宋体" w:cs="宋体"/>
          <w:color w:val="auto"/>
          <w:szCs w:val="21"/>
          <w:highlight w:val="none"/>
        </w:rPr>
        <w:t>组长组织</w:t>
      </w:r>
      <w:r>
        <w:rPr>
          <w:rFonts w:hint="eastAsia" w:ascii="宋体" w:hAnsi="宋体" w:cs="宋体"/>
          <w:color w:val="auto"/>
          <w:szCs w:val="21"/>
          <w:highlight w:val="none"/>
          <w:lang w:eastAsia="zh-CN"/>
        </w:rPr>
        <w:t>评标委员会</w:t>
      </w:r>
      <w:r>
        <w:rPr>
          <w:rFonts w:hint="eastAsia" w:ascii="宋体" w:hAnsi="宋体" w:cs="宋体"/>
          <w:color w:val="auto"/>
          <w:szCs w:val="21"/>
          <w:highlight w:val="none"/>
        </w:rPr>
        <w:t>独立评审。</w:t>
      </w:r>
      <w:r>
        <w:rPr>
          <w:rFonts w:hint="eastAsia" w:ascii="宋体" w:hAnsi="宋体" w:cs="宋体"/>
          <w:color w:val="auto"/>
          <w:szCs w:val="21"/>
          <w:highlight w:val="none"/>
          <w:lang w:eastAsia="zh-CN"/>
        </w:rPr>
        <w:t>评标委员会</w:t>
      </w:r>
      <w:r>
        <w:rPr>
          <w:rFonts w:hint="eastAsia" w:ascii="宋体" w:hAnsi="宋体" w:cs="宋体"/>
          <w:color w:val="auto"/>
          <w:szCs w:val="21"/>
          <w:highlight w:val="none"/>
        </w:rPr>
        <w:t>对拟认定为投标文件无效的，应组织相关投标人全权代表进行陈述、澄清或申辩；招标代理机构可协助</w:t>
      </w:r>
      <w:r>
        <w:rPr>
          <w:rFonts w:hint="eastAsia" w:ascii="宋体" w:hAnsi="宋体" w:cs="宋体"/>
          <w:color w:val="auto"/>
          <w:szCs w:val="21"/>
          <w:highlight w:val="none"/>
          <w:lang w:eastAsia="zh-CN"/>
        </w:rPr>
        <w:t>评标委员会</w:t>
      </w:r>
      <w:r>
        <w:rPr>
          <w:rFonts w:hint="eastAsia" w:ascii="宋体" w:hAnsi="宋体" w:cs="宋体"/>
          <w:color w:val="auto"/>
          <w:szCs w:val="21"/>
          <w:highlight w:val="none"/>
        </w:rPr>
        <w:t>组长对打分结果进行校对、核对并汇总统计；对明显畸高、畸低的评分（其总评分偏离平均分30%以上的），</w:t>
      </w:r>
      <w:r>
        <w:rPr>
          <w:rFonts w:hint="eastAsia" w:ascii="宋体" w:hAnsi="宋体" w:cs="宋体"/>
          <w:color w:val="auto"/>
          <w:szCs w:val="21"/>
          <w:highlight w:val="none"/>
          <w:lang w:eastAsia="zh-CN"/>
        </w:rPr>
        <w:t>评标委员会</w:t>
      </w:r>
      <w:r>
        <w:rPr>
          <w:rFonts w:hint="eastAsia" w:ascii="宋体" w:hAnsi="宋体" w:cs="宋体"/>
          <w:color w:val="auto"/>
          <w:szCs w:val="21"/>
          <w:highlight w:val="none"/>
        </w:rPr>
        <w:t>组长应提醒相关评审人员进行复核或书面说明理由，评审人员拒绝说明的，由现场监督员据实记录；评审人员的评审、修改记录应保留原件，随项目其他资料一并存档。</w:t>
      </w:r>
    </w:p>
    <w:p w14:paraId="3B27CA3C">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8.做好评审现场相关记录，协助</w:t>
      </w:r>
      <w:r>
        <w:rPr>
          <w:rFonts w:hint="eastAsia" w:ascii="宋体" w:hAnsi="宋体" w:cs="宋体"/>
          <w:color w:val="auto"/>
          <w:szCs w:val="21"/>
          <w:highlight w:val="none"/>
          <w:lang w:eastAsia="zh-CN"/>
        </w:rPr>
        <w:t>评标委员会</w:t>
      </w:r>
      <w:r>
        <w:rPr>
          <w:rFonts w:hint="eastAsia" w:ascii="宋体" w:hAnsi="宋体" w:cs="宋体"/>
          <w:color w:val="auto"/>
          <w:szCs w:val="21"/>
          <w:highlight w:val="none"/>
        </w:rPr>
        <w:t>组长做好评审报告起草、有关内容电脑文字录入等工作，并要求</w:t>
      </w:r>
      <w:r>
        <w:rPr>
          <w:rFonts w:hint="eastAsia" w:ascii="宋体" w:hAnsi="宋体" w:cs="宋体"/>
          <w:color w:val="auto"/>
          <w:szCs w:val="21"/>
          <w:highlight w:val="none"/>
          <w:lang w:eastAsia="zh-CN"/>
        </w:rPr>
        <w:t>评标委员会</w:t>
      </w:r>
      <w:r>
        <w:rPr>
          <w:rFonts w:hint="eastAsia" w:ascii="宋体" w:hAnsi="宋体" w:cs="宋体"/>
          <w:color w:val="auto"/>
          <w:szCs w:val="21"/>
          <w:highlight w:val="none"/>
        </w:rPr>
        <w:t>各成员签字确认。</w:t>
      </w:r>
    </w:p>
    <w:p w14:paraId="7F7CC051">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9.若无法联系或拒绝澄清的，</w:t>
      </w:r>
      <w:r>
        <w:rPr>
          <w:rFonts w:hint="eastAsia" w:ascii="宋体" w:hAnsi="宋体" w:cs="宋体"/>
          <w:color w:val="auto"/>
          <w:szCs w:val="21"/>
          <w:highlight w:val="none"/>
          <w:lang w:eastAsia="zh-CN"/>
        </w:rPr>
        <w:t>评标委员会</w:t>
      </w:r>
      <w:r>
        <w:rPr>
          <w:rFonts w:hint="eastAsia" w:ascii="宋体" w:hAnsi="宋体" w:cs="宋体"/>
          <w:color w:val="auto"/>
          <w:szCs w:val="21"/>
          <w:highlight w:val="none"/>
        </w:rPr>
        <w:t>有权对该投标文件作出不利于投标人的评判。</w:t>
      </w:r>
    </w:p>
    <w:p w14:paraId="12A1D787">
      <w:p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10.评审结束后，招标代理机构交还评审人员及其他现场相关人员的通讯工具。</w:t>
      </w:r>
    </w:p>
    <w:p w14:paraId="1C0F41CF">
      <w:pPr>
        <w:spacing w:line="360" w:lineRule="exact"/>
        <w:jc w:val="left"/>
        <w:rPr>
          <w:rFonts w:ascii="宋体" w:hAnsi="宋体" w:cs="宋体"/>
          <w:b/>
          <w:color w:val="auto"/>
          <w:szCs w:val="21"/>
          <w:highlight w:val="none"/>
        </w:rPr>
      </w:pPr>
      <w:r>
        <w:rPr>
          <w:rFonts w:hint="eastAsia" w:ascii="宋体" w:hAnsi="宋体" w:cs="宋体"/>
          <w:b/>
          <w:color w:val="auto"/>
          <w:szCs w:val="21"/>
          <w:highlight w:val="none"/>
        </w:rPr>
        <w:t>（三）投标文件的澄清</w:t>
      </w:r>
    </w:p>
    <w:p w14:paraId="248B9609">
      <w:pPr>
        <w:snapToGrid w:val="0"/>
        <w:spacing w:line="360" w:lineRule="exac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1.在评标期间，</w:t>
      </w:r>
      <w:r>
        <w:rPr>
          <w:rFonts w:hint="eastAsia" w:ascii="宋体" w:hAnsi="宋体" w:cs="宋体"/>
          <w:color w:val="auto"/>
          <w:szCs w:val="21"/>
          <w:highlight w:val="none"/>
          <w:lang w:eastAsia="zh-CN"/>
        </w:rPr>
        <w:t>评标委员会</w:t>
      </w:r>
      <w:r>
        <w:rPr>
          <w:rFonts w:hint="eastAsia" w:ascii="宋体" w:hAnsi="宋体" w:cs="宋体"/>
          <w:color w:val="auto"/>
          <w:szCs w:val="21"/>
          <w:highlight w:val="none"/>
        </w:rPr>
        <w:t>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授权代表拒绝澄清或者澄清的内容改变了投标文件的实质性内容的，</w:t>
      </w:r>
      <w:r>
        <w:rPr>
          <w:rFonts w:hint="eastAsia" w:ascii="宋体" w:hAnsi="宋体" w:cs="宋体"/>
          <w:b/>
          <w:bCs/>
          <w:color w:val="auto"/>
          <w:szCs w:val="21"/>
          <w:highlight w:val="none"/>
          <w:lang w:eastAsia="zh-CN"/>
        </w:rPr>
        <w:t>评标委员会</w:t>
      </w:r>
      <w:r>
        <w:rPr>
          <w:rFonts w:hint="eastAsia" w:ascii="宋体" w:hAnsi="宋体" w:cs="宋体"/>
          <w:b/>
          <w:bCs/>
          <w:color w:val="auto"/>
          <w:szCs w:val="21"/>
          <w:highlight w:val="none"/>
        </w:rPr>
        <w:t>有权对该投标文件作出不利于投标人的评判</w:t>
      </w:r>
      <w:r>
        <w:rPr>
          <w:rFonts w:hint="eastAsia" w:ascii="宋体" w:hAnsi="宋体" w:cs="宋体"/>
          <w:color w:val="auto"/>
          <w:szCs w:val="21"/>
          <w:highlight w:val="none"/>
        </w:rPr>
        <w:t>。</w:t>
      </w:r>
    </w:p>
    <w:p w14:paraId="33E2BC9E">
      <w:pPr>
        <w:spacing w:line="360" w:lineRule="exact"/>
        <w:ind w:firstLine="422" w:firstLineChars="200"/>
        <w:jc w:val="left"/>
        <w:rPr>
          <w:rFonts w:ascii="宋体" w:hAnsi="宋体" w:cs="宋体"/>
          <w:bCs/>
          <w:color w:val="auto"/>
          <w:szCs w:val="21"/>
          <w:highlight w:val="none"/>
        </w:rPr>
      </w:pPr>
      <w:r>
        <w:rPr>
          <w:rFonts w:hint="eastAsia" w:ascii="宋体" w:hAnsi="宋体" w:cs="宋体"/>
          <w:b/>
          <w:bCs/>
          <w:color w:val="auto"/>
          <w:szCs w:val="21"/>
          <w:highlight w:val="none"/>
          <w:u w:val="single"/>
        </w:rPr>
        <w:t>2.经澄清后，若偏差仍存在，且不可接受，投标人则被认为是“没有实质性响应招标文件要求”，其投标将被拒绝</w:t>
      </w:r>
      <w:r>
        <w:rPr>
          <w:rFonts w:hint="eastAsia" w:ascii="宋体" w:hAnsi="宋体" w:cs="宋体"/>
          <w:color w:val="auto"/>
          <w:szCs w:val="21"/>
          <w:highlight w:val="none"/>
          <w:u w:val="single"/>
        </w:rPr>
        <w:t>。</w:t>
      </w:r>
    </w:p>
    <w:p w14:paraId="71DC8106">
      <w:pPr>
        <w:pStyle w:val="13"/>
        <w:tabs>
          <w:tab w:val="left" w:pos="630"/>
        </w:tabs>
        <w:snapToGrid w:val="0"/>
        <w:spacing w:beforeLines="0" w:afterLines="0" w:line="360" w:lineRule="exact"/>
        <w:jc w:val="left"/>
        <w:rPr>
          <w:rFonts w:hAnsi="宋体" w:cs="宋体"/>
          <w:b/>
          <w:color w:val="auto"/>
          <w:sz w:val="21"/>
          <w:szCs w:val="21"/>
          <w:highlight w:val="none"/>
        </w:rPr>
      </w:pPr>
      <w:r>
        <w:rPr>
          <w:rFonts w:hint="eastAsia" w:hAnsi="宋体" w:cs="宋体"/>
          <w:b/>
          <w:color w:val="auto"/>
          <w:sz w:val="21"/>
          <w:szCs w:val="21"/>
          <w:highlight w:val="none"/>
        </w:rPr>
        <w:t>（四）评标原则和评标办法</w:t>
      </w:r>
    </w:p>
    <w:p w14:paraId="4A34C01A">
      <w:pPr>
        <w:pStyle w:val="13"/>
        <w:snapToGrid w:val="0"/>
        <w:spacing w:beforeLines="0" w:afterLines="0" w:line="36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eastAsia="zh-CN"/>
        </w:rPr>
        <w:t>评标委员会</w:t>
      </w:r>
      <w:r>
        <w:rPr>
          <w:rFonts w:hint="eastAsia" w:hAnsi="宋体" w:cs="宋体"/>
          <w:color w:val="auto"/>
          <w:sz w:val="21"/>
          <w:szCs w:val="21"/>
          <w:highlight w:val="none"/>
        </w:rPr>
        <w:t>成员应当按照客观、公正、审慎的原则，不带任何倾向性和启发性，不得向外界透露任何与评标有关的内容；任何单位和个人不得干扰、影响评标的正常进行；</w:t>
      </w:r>
      <w:r>
        <w:rPr>
          <w:rFonts w:hint="eastAsia" w:hAnsi="宋体" w:cs="宋体"/>
          <w:color w:val="auto"/>
          <w:sz w:val="21"/>
          <w:szCs w:val="21"/>
          <w:highlight w:val="none"/>
          <w:lang w:eastAsia="zh-CN"/>
        </w:rPr>
        <w:t>评标委员会</w:t>
      </w:r>
      <w:r>
        <w:rPr>
          <w:rFonts w:hint="eastAsia" w:hAnsi="宋体" w:cs="宋体"/>
          <w:color w:val="auto"/>
          <w:sz w:val="21"/>
          <w:szCs w:val="21"/>
          <w:highlight w:val="none"/>
        </w:rPr>
        <w:t>及有关工作人员不得私下与投标人接触。根据招标文件规定的评标程序、评标方法和评标标准进行独立评审。招标文件内容违反国家有关强制性规定的，</w:t>
      </w:r>
      <w:r>
        <w:rPr>
          <w:rFonts w:hint="eastAsia" w:hAnsi="宋体" w:cs="宋体"/>
          <w:color w:val="auto"/>
          <w:sz w:val="21"/>
          <w:szCs w:val="21"/>
          <w:highlight w:val="none"/>
          <w:lang w:eastAsia="zh-CN"/>
        </w:rPr>
        <w:t>评标委员会</w:t>
      </w:r>
      <w:r>
        <w:rPr>
          <w:rFonts w:hint="eastAsia" w:hAnsi="宋体" w:cs="宋体"/>
          <w:color w:val="auto"/>
          <w:sz w:val="21"/>
          <w:szCs w:val="21"/>
          <w:highlight w:val="none"/>
        </w:rPr>
        <w:t>应当停止评标并向招标人或者招标代理机构说明情况。</w:t>
      </w:r>
    </w:p>
    <w:p w14:paraId="3D1DD3E4">
      <w:pPr>
        <w:pStyle w:val="13"/>
        <w:snapToGrid w:val="0"/>
        <w:spacing w:beforeLines="0" w:afterLines="0" w:line="36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2.评标中因</w:t>
      </w:r>
      <w:r>
        <w:rPr>
          <w:rFonts w:hint="eastAsia" w:hAnsi="宋体" w:cs="宋体"/>
          <w:color w:val="auto"/>
          <w:sz w:val="21"/>
          <w:szCs w:val="21"/>
          <w:highlight w:val="none"/>
          <w:lang w:eastAsia="zh-CN"/>
        </w:rPr>
        <w:t>评标委员会</w:t>
      </w:r>
      <w:r>
        <w:rPr>
          <w:rFonts w:hint="eastAsia" w:hAnsi="宋体" w:cs="宋体"/>
          <w:color w:val="auto"/>
          <w:sz w:val="21"/>
          <w:szCs w:val="21"/>
          <w:highlight w:val="none"/>
        </w:rPr>
        <w:t>成员缺席、回避或者健康等特殊原因导致</w:t>
      </w:r>
      <w:r>
        <w:rPr>
          <w:rFonts w:hint="eastAsia" w:hAnsi="宋体" w:cs="宋体"/>
          <w:color w:val="auto"/>
          <w:sz w:val="21"/>
          <w:szCs w:val="21"/>
          <w:highlight w:val="none"/>
          <w:lang w:eastAsia="zh-CN"/>
        </w:rPr>
        <w:t>评标委员会</w:t>
      </w:r>
      <w:r>
        <w:rPr>
          <w:rFonts w:hint="eastAsia" w:hAnsi="宋体" w:cs="宋体"/>
          <w:color w:val="auto"/>
          <w:sz w:val="21"/>
          <w:szCs w:val="21"/>
          <w:highlight w:val="none"/>
        </w:rPr>
        <w:t>组成不符合规定的，依法补足后继续评标。被更换的</w:t>
      </w:r>
      <w:r>
        <w:rPr>
          <w:rFonts w:hint="eastAsia" w:hAnsi="宋体" w:cs="宋体"/>
          <w:color w:val="auto"/>
          <w:sz w:val="21"/>
          <w:szCs w:val="21"/>
          <w:highlight w:val="none"/>
          <w:lang w:eastAsia="zh-CN"/>
        </w:rPr>
        <w:t>评标委员会</w:t>
      </w:r>
      <w:r>
        <w:rPr>
          <w:rFonts w:hint="eastAsia" w:hAnsi="宋体" w:cs="宋体"/>
          <w:color w:val="auto"/>
          <w:sz w:val="21"/>
          <w:szCs w:val="21"/>
          <w:highlight w:val="none"/>
        </w:rPr>
        <w:t>成员所作出的评标意见无效。</w:t>
      </w:r>
    </w:p>
    <w:p w14:paraId="07A6B6AA">
      <w:pPr>
        <w:pStyle w:val="13"/>
        <w:snapToGrid w:val="0"/>
        <w:spacing w:beforeLines="0" w:afterLines="0" w:line="36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3.</w:t>
      </w:r>
      <w:r>
        <w:rPr>
          <w:rFonts w:hint="eastAsia" w:hAnsi="宋体" w:cs="宋体"/>
          <w:color w:val="auto"/>
          <w:sz w:val="21"/>
          <w:szCs w:val="21"/>
          <w:highlight w:val="none"/>
          <w:lang w:eastAsia="zh-CN"/>
        </w:rPr>
        <w:t>评标委员会</w:t>
      </w:r>
      <w:r>
        <w:rPr>
          <w:rFonts w:hint="eastAsia" w:hAnsi="宋体" w:cs="宋体"/>
          <w:color w:val="auto"/>
          <w:sz w:val="21"/>
          <w:szCs w:val="21"/>
          <w:highlight w:val="none"/>
        </w:rPr>
        <w:t>成员对需要共同认定的事项存在争议的，应当按照少数服从多数的原则作出结论。持不同意见的</w:t>
      </w:r>
      <w:r>
        <w:rPr>
          <w:rFonts w:hint="eastAsia" w:hAnsi="宋体" w:cs="宋体"/>
          <w:color w:val="auto"/>
          <w:sz w:val="21"/>
          <w:szCs w:val="21"/>
          <w:highlight w:val="none"/>
          <w:lang w:eastAsia="zh-CN"/>
        </w:rPr>
        <w:t>评标委员会</w:t>
      </w:r>
      <w:r>
        <w:rPr>
          <w:rFonts w:hint="eastAsia" w:hAnsi="宋体" w:cs="宋体"/>
          <w:color w:val="auto"/>
          <w:sz w:val="21"/>
          <w:szCs w:val="21"/>
          <w:highlight w:val="none"/>
        </w:rPr>
        <w:t>成员应当在评标报告上签署不同意见及理由，否则视为同意评标报告。</w:t>
      </w:r>
    </w:p>
    <w:p w14:paraId="214A76B6">
      <w:pPr>
        <w:pStyle w:val="13"/>
        <w:snapToGrid w:val="0"/>
        <w:spacing w:beforeLines="0" w:afterLines="0" w:line="360" w:lineRule="exact"/>
        <w:ind w:firstLine="420" w:firstLineChars="200"/>
        <w:jc w:val="left"/>
        <w:rPr>
          <w:rFonts w:hAnsi="宋体" w:cs="宋体"/>
          <w:color w:val="auto"/>
          <w:sz w:val="21"/>
          <w:szCs w:val="21"/>
          <w:highlight w:val="none"/>
        </w:rPr>
      </w:pPr>
      <w:r>
        <w:rPr>
          <w:rFonts w:hint="eastAsia" w:hAnsi="宋体" w:cs="宋体"/>
          <w:color w:val="auto"/>
          <w:sz w:val="21"/>
          <w:szCs w:val="21"/>
          <w:highlight w:val="none"/>
        </w:rPr>
        <w:t>4.评标办法。本项目评标办法是综合评分法，具体评标内容及评分标准等详见“第三章评标办法及评分标准”。</w:t>
      </w:r>
    </w:p>
    <w:p w14:paraId="737810AE">
      <w:pPr>
        <w:pStyle w:val="13"/>
        <w:snapToGrid w:val="0"/>
        <w:spacing w:beforeLines="0" w:afterLines="0" w:line="360" w:lineRule="exact"/>
        <w:ind w:firstLine="417" w:firstLineChars="198"/>
        <w:jc w:val="left"/>
        <w:outlineLvl w:val="1"/>
        <w:rPr>
          <w:rFonts w:hAnsi="宋体" w:cs="宋体"/>
          <w:b/>
          <w:bCs/>
          <w:color w:val="auto"/>
          <w:sz w:val="21"/>
          <w:szCs w:val="21"/>
          <w:highlight w:val="none"/>
        </w:rPr>
      </w:pPr>
      <w:r>
        <w:rPr>
          <w:rFonts w:hint="eastAsia" w:hAnsi="宋体" w:cs="宋体"/>
          <w:b/>
          <w:bCs/>
          <w:color w:val="auto"/>
          <w:sz w:val="21"/>
          <w:szCs w:val="21"/>
          <w:highlight w:val="none"/>
          <w:u w:val="single"/>
        </w:rPr>
        <w:t>本项目参与投标人或经过评标剩余的有效投标人数量＜3家，该项目废标。</w:t>
      </w:r>
    </w:p>
    <w:p w14:paraId="3CDCF5F7">
      <w:pPr>
        <w:snapToGrid w:val="0"/>
        <w:spacing w:line="360" w:lineRule="exact"/>
        <w:jc w:val="left"/>
        <w:rPr>
          <w:rFonts w:ascii="宋体" w:hAnsi="宋体" w:cs="宋体"/>
          <w:color w:val="auto"/>
          <w:szCs w:val="21"/>
          <w:highlight w:val="none"/>
        </w:rPr>
      </w:pPr>
      <w:r>
        <w:rPr>
          <w:rFonts w:hint="eastAsia" w:ascii="宋体" w:hAnsi="宋体" w:cs="宋体"/>
          <w:color w:val="auto"/>
          <w:szCs w:val="21"/>
          <w:highlight w:val="none"/>
        </w:rPr>
        <w:t>（五）评标过程的保密性</w:t>
      </w:r>
    </w:p>
    <w:p w14:paraId="73296D44">
      <w:pPr>
        <w:pStyle w:val="10"/>
        <w:snapToGrid w:val="0"/>
        <w:spacing w:line="360" w:lineRule="exact"/>
        <w:ind w:firstLine="395" w:firstLineChars="196"/>
        <w:jc w:val="left"/>
        <w:rPr>
          <w:rFonts w:hAnsi="宋体" w:cs="宋体"/>
          <w:color w:val="auto"/>
          <w:spacing w:val="0"/>
          <w:sz w:val="21"/>
          <w:szCs w:val="21"/>
          <w:highlight w:val="none"/>
        </w:rPr>
      </w:pPr>
      <w:r>
        <w:rPr>
          <w:rFonts w:hint="eastAsia" w:hAnsi="宋体" w:cs="宋体"/>
          <w:color w:val="auto"/>
          <w:sz w:val="21"/>
          <w:szCs w:val="21"/>
          <w:highlight w:val="none"/>
        </w:rPr>
        <w:t>凡是属于审查、澄清、评审和比较的有关资料以及授标建议，任何人均不得向投标人或其他无关的人</w:t>
      </w:r>
      <w:r>
        <w:rPr>
          <w:rFonts w:hint="eastAsia" w:hAnsi="宋体" w:cs="宋体"/>
          <w:color w:val="auto"/>
          <w:spacing w:val="0"/>
          <w:sz w:val="21"/>
          <w:szCs w:val="21"/>
          <w:highlight w:val="none"/>
        </w:rPr>
        <w:t>员透露。投标人在评标过程中，所进行的力图影响评标结果的不公正活动，可能导致其投标被拒绝。</w:t>
      </w:r>
    </w:p>
    <w:p w14:paraId="36FDEF93">
      <w:pPr>
        <w:spacing w:line="360" w:lineRule="exact"/>
        <w:jc w:val="left"/>
        <w:rPr>
          <w:rFonts w:ascii="宋体" w:hAnsi="宋体" w:cs="宋体"/>
          <w:b/>
          <w:color w:val="auto"/>
          <w:szCs w:val="21"/>
          <w:highlight w:val="none"/>
        </w:rPr>
      </w:pPr>
    </w:p>
    <w:p w14:paraId="502EAD20">
      <w:pPr>
        <w:snapToGrid w:val="0"/>
        <w:spacing w:line="36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六、定标</w:t>
      </w:r>
    </w:p>
    <w:p w14:paraId="24190205">
      <w:pPr>
        <w:pStyle w:val="13"/>
        <w:snapToGrid w:val="0"/>
        <w:spacing w:beforeLines="0" w:afterLines="0" w:line="360" w:lineRule="exact"/>
        <w:ind w:firstLine="415" w:firstLineChars="198"/>
        <w:jc w:val="left"/>
        <w:outlineLvl w:val="1"/>
        <w:rPr>
          <w:rFonts w:hAnsi="宋体" w:cs="宋体"/>
          <w:color w:val="auto"/>
          <w:sz w:val="21"/>
          <w:szCs w:val="21"/>
          <w:highlight w:val="none"/>
        </w:rPr>
      </w:pPr>
      <w:r>
        <w:rPr>
          <w:rFonts w:hint="eastAsia" w:hAnsi="宋体" w:cs="宋体"/>
          <w:color w:val="auto"/>
          <w:sz w:val="21"/>
          <w:szCs w:val="21"/>
          <w:highlight w:val="none"/>
        </w:rPr>
        <w:t>（一）</w:t>
      </w:r>
      <w:r>
        <w:rPr>
          <w:rFonts w:hint="eastAsia" w:hAnsi="宋体" w:cs="宋体"/>
          <w:b/>
          <w:bCs/>
          <w:color w:val="auto"/>
          <w:sz w:val="21"/>
          <w:szCs w:val="21"/>
          <w:highlight w:val="none"/>
        </w:rPr>
        <w:t>采用综合评分法的，评标结果按评标综合得分由高到低顺序排列，得分相同的，按利率水平得分由高到低顺序排列；得分且利率水平得分相同的，依次按服务水平得分、经营状况得分、经济贡献度得分由高到低进行排序。</w:t>
      </w:r>
      <w:r>
        <w:rPr>
          <w:rFonts w:hint="eastAsia" w:hAnsi="宋体" w:cs="宋体"/>
          <w:color w:val="auto"/>
          <w:sz w:val="21"/>
          <w:szCs w:val="21"/>
          <w:highlight w:val="none"/>
        </w:rPr>
        <w:t>若依然相同，中标候选人资格抽签确定。</w:t>
      </w:r>
    </w:p>
    <w:p w14:paraId="669C9668">
      <w:pPr>
        <w:pStyle w:val="13"/>
        <w:snapToGrid w:val="0"/>
        <w:spacing w:beforeLines="0" w:afterLines="0" w:line="360" w:lineRule="exact"/>
        <w:ind w:firstLine="415" w:firstLineChars="198"/>
        <w:jc w:val="left"/>
        <w:outlineLvl w:val="1"/>
        <w:rPr>
          <w:rFonts w:hAnsi="宋体" w:cs="宋体"/>
          <w:color w:val="auto"/>
          <w:sz w:val="21"/>
          <w:szCs w:val="21"/>
          <w:highlight w:val="none"/>
        </w:rPr>
      </w:pPr>
      <w:r>
        <w:rPr>
          <w:rFonts w:hint="eastAsia" w:hAnsi="宋体" w:cs="宋体"/>
          <w:color w:val="auto"/>
          <w:sz w:val="21"/>
          <w:szCs w:val="21"/>
          <w:highlight w:val="none"/>
        </w:rPr>
        <w:t>排名第1至第</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名的投标人或按上述规则决定投标人为中标候选人。</w:t>
      </w:r>
    </w:p>
    <w:p w14:paraId="37A036BB">
      <w:pPr>
        <w:pStyle w:val="13"/>
        <w:snapToGrid w:val="0"/>
        <w:spacing w:beforeLines="0" w:afterLines="0" w:line="360" w:lineRule="exact"/>
        <w:ind w:firstLine="415" w:firstLineChars="198"/>
        <w:jc w:val="left"/>
        <w:outlineLvl w:val="1"/>
        <w:rPr>
          <w:rFonts w:hAnsi="宋体" w:cs="宋体"/>
          <w:color w:val="auto"/>
          <w:sz w:val="21"/>
          <w:szCs w:val="21"/>
          <w:highlight w:val="none"/>
        </w:rPr>
      </w:pPr>
      <w:r>
        <w:rPr>
          <w:rFonts w:hint="eastAsia" w:hAnsi="宋体" w:cs="宋体"/>
          <w:color w:val="auto"/>
          <w:sz w:val="21"/>
          <w:szCs w:val="21"/>
          <w:highlight w:val="none"/>
          <w:lang w:eastAsia="zh-CN"/>
        </w:rPr>
        <w:t>评标委员会</w:t>
      </w:r>
      <w:r>
        <w:rPr>
          <w:rFonts w:hint="eastAsia" w:hAnsi="宋体" w:cs="宋体"/>
          <w:color w:val="auto"/>
          <w:sz w:val="21"/>
          <w:szCs w:val="21"/>
          <w:highlight w:val="none"/>
        </w:rPr>
        <w:t>根据上述规则推荐中标银行，招标结果由招标人代表签字确认。</w:t>
      </w:r>
    </w:p>
    <w:p w14:paraId="16F79374">
      <w:pPr>
        <w:numPr>
          <w:ilvl w:val="0"/>
          <w:numId w:val="4"/>
        </w:num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招标结果经招标人确认后，招标代理机构将于5个工作日内在浙江省政府采购网上发布中标公告，同时向中标银行签发书面《中标通知书》。中标银行自行与招标人联系协议签订事宜。中标通知书对招标人和中标银行具有同等法律效力。</w:t>
      </w:r>
    </w:p>
    <w:p w14:paraId="7784FF7B">
      <w:pPr>
        <w:numPr>
          <w:ilvl w:val="0"/>
          <w:numId w:val="4"/>
        </w:numPr>
        <w:snapToGrid w:val="0"/>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评审期间、中标结果公示期间或在履行合同期间，抽查经济发展贡献指标各项时若发现伪造或不实数据时，投标不予接受、取消中标资格或中止合同，并自行承担相应的法律责任。</w:t>
      </w:r>
    </w:p>
    <w:p w14:paraId="10B98D9B">
      <w:pPr>
        <w:spacing w:line="360" w:lineRule="exact"/>
        <w:jc w:val="left"/>
        <w:outlineLvl w:val="1"/>
        <w:rPr>
          <w:rFonts w:ascii="宋体" w:hAnsi="宋体" w:cs="宋体"/>
          <w:b/>
          <w:color w:val="auto"/>
          <w:szCs w:val="21"/>
          <w:highlight w:val="none"/>
        </w:rPr>
      </w:pPr>
    </w:p>
    <w:p w14:paraId="7792FAA1">
      <w:pPr>
        <w:snapToGrid w:val="0"/>
        <w:spacing w:line="36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七、授予协议</w:t>
      </w:r>
    </w:p>
    <w:p w14:paraId="0FE28500">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（一）签订协议</w:t>
      </w:r>
    </w:p>
    <w:p w14:paraId="757C3DC4">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1.中标银行应按中标通知书规定的时间、地点与招标人签订协议。</w:t>
      </w:r>
    </w:p>
    <w:p w14:paraId="5D6554D3">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2.招标文件、中标银行的投标文件、投标修改文件、评标过程中有关澄清文件及经投标人和评委双方签字的询标纪要和中标通知书均作为协议附件。</w:t>
      </w:r>
    </w:p>
    <w:p w14:paraId="34C4729C">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（二）中标银行接到中标通知书后，在规定时间内借故否认已经承诺的条件而拒签协议的，以违约处理，其中标资格将被取消，并赔偿定期存款存放利息损失和其他损失。</w:t>
      </w:r>
    </w:p>
    <w:p w14:paraId="2C41F044">
      <w:pPr>
        <w:spacing w:line="360" w:lineRule="exact"/>
        <w:jc w:val="left"/>
        <w:rPr>
          <w:rFonts w:ascii="宋体" w:hAnsi="宋体" w:cs="宋体"/>
          <w:bCs/>
          <w:color w:val="auto"/>
          <w:spacing w:val="6"/>
          <w:szCs w:val="21"/>
          <w:highlight w:val="none"/>
        </w:rPr>
      </w:pPr>
      <w:r>
        <w:rPr>
          <w:rFonts w:hint="eastAsia" w:ascii="宋体" w:hAnsi="宋体" w:cs="宋体"/>
          <w:color w:val="auto"/>
          <w:szCs w:val="21"/>
          <w:highlight w:val="none"/>
        </w:rPr>
        <w:t>（三）中标候选人放弃中标；或因不可抗力提出不能履行协议；或未能在规定时间内与招标单位签订协议的；或者经质疑，招标人审查后，确因中标候选人在本次招标活动中存在违法违规行为或其他原因使质疑成立的，招标人可视情况确定是否由后续有效投标人替补。</w:t>
      </w:r>
    </w:p>
    <w:p w14:paraId="13B259BD">
      <w:pPr>
        <w:widowControl/>
        <w:jc w:val="left"/>
        <w:rPr>
          <w:rFonts w:ascii="宋体" w:hAnsi="宋体" w:cs="宋体"/>
          <w:b/>
          <w:color w:val="auto"/>
          <w:sz w:val="32"/>
          <w:szCs w:val="32"/>
          <w:highlight w:val="none"/>
        </w:rPr>
      </w:pPr>
      <w:r>
        <w:rPr>
          <w:rFonts w:hAnsi="宋体" w:cs="宋体"/>
          <w:b/>
          <w:color w:val="auto"/>
          <w:sz w:val="32"/>
          <w:szCs w:val="32"/>
          <w:highlight w:val="none"/>
        </w:rPr>
        <w:br w:type="page"/>
      </w:r>
    </w:p>
    <w:p w14:paraId="6DE97C2E">
      <w:pPr>
        <w:pStyle w:val="13"/>
        <w:snapToGrid w:val="0"/>
        <w:spacing w:beforeLines="0" w:afterLines="0" w:line="460" w:lineRule="exact"/>
        <w:jc w:val="center"/>
        <w:outlineLvl w:val="0"/>
        <w:rPr>
          <w:rFonts w:hAnsi="宋体" w:cs="宋体"/>
          <w:b/>
          <w:color w:val="auto"/>
          <w:sz w:val="32"/>
          <w:szCs w:val="32"/>
          <w:highlight w:val="none"/>
        </w:rPr>
      </w:pPr>
      <w:bookmarkStart w:id="3" w:name="_Toc122426741"/>
      <w:r>
        <w:rPr>
          <w:rFonts w:hint="eastAsia" w:hAnsi="宋体" w:cs="宋体"/>
          <w:b/>
          <w:color w:val="auto"/>
          <w:sz w:val="32"/>
          <w:szCs w:val="32"/>
          <w:highlight w:val="none"/>
        </w:rPr>
        <w:t>第三章  评标办法及评分标准</w:t>
      </w:r>
      <w:bookmarkEnd w:id="3"/>
    </w:p>
    <w:p w14:paraId="30DFBEF8">
      <w:pPr>
        <w:spacing w:line="360" w:lineRule="exact"/>
        <w:rPr>
          <w:rFonts w:ascii="宋体" w:hAnsi="宋体" w:cs="宋体"/>
          <w:b/>
          <w:color w:val="auto"/>
          <w:szCs w:val="21"/>
          <w:highlight w:val="none"/>
        </w:rPr>
      </w:pPr>
      <w:r>
        <w:rPr>
          <w:rFonts w:hint="eastAsia" w:ascii="宋体" w:hAnsi="宋体" w:cs="宋体"/>
          <w:b/>
          <w:color w:val="auto"/>
          <w:szCs w:val="21"/>
          <w:highlight w:val="none"/>
        </w:rPr>
        <w:t>一、总则</w:t>
      </w:r>
    </w:p>
    <w:p w14:paraId="4555AC6F">
      <w:pPr>
        <w:spacing w:line="360" w:lineRule="exact"/>
        <w:ind w:firstLine="411" w:firstLineChars="196"/>
        <w:jc w:val="left"/>
        <w:rPr>
          <w:rFonts w:ascii="宋体" w:hAnsi="宋体" w:cs="宋体"/>
          <w:color w:val="auto"/>
          <w:szCs w:val="21"/>
          <w:highlight w:val="none"/>
        </w:rPr>
      </w:pPr>
      <w:r>
        <w:rPr>
          <w:rFonts w:hint="eastAsia" w:ascii="宋体" w:hAnsi="宋体" w:cs="宋体"/>
          <w:bCs/>
          <w:color w:val="auto"/>
          <w:szCs w:val="21"/>
          <w:highlight w:val="none"/>
        </w:rPr>
        <w:t>本次采用综合评分法，总分为100分。合格投标人的评标得分为各项目汇总得分，</w:t>
      </w:r>
      <w:r>
        <w:rPr>
          <w:rFonts w:hint="eastAsia" w:ascii="宋体" w:hAnsi="宋体" w:cs="宋体"/>
          <w:color w:val="auto"/>
          <w:szCs w:val="21"/>
          <w:highlight w:val="none"/>
        </w:rPr>
        <w:t xml:space="preserve">评分过程中采用四舍五入法，并保留小数2位。 </w:t>
      </w:r>
    </w:p>
    <w:p w14:paraId="34C1F40D">
      <w:pPr>
        <w:spacing w:line="360" w:lineRule="exact"/>
        <w:rPr>
          <w:rFonts w:ascii="宋体" w:hAnsi="宋体" w:cs="宋体"/>
          <w:b/>
          <w:color w:val="auto"/>
          <w:szCs w:val="21"/>
          <w:highlight w:val="none"/>
        </w:rPr>
      </w:pPr>
      <w:r>
        <w:rPr>
          <w:rFonts w:hint="eastAsia" w:ascii="宋体" w:hAnsi="宋体" w:cs="宋体"/>
          <w:b/>
          <w:color w:val="auto"/>
          <w:szCs w:val="21"/>
          <w:highlight w:val="none"/>
        </w:rPr>
        <w:t>二、分值的计算</w:t>
      </w:r>
    </w:p>
    <w:p w14:paraId="5EA3B459">
      <w:pPr>
        <w:spacing w:line="36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投标人评标综合得分按照</w:t>
      </w:r>
      <w:r>
        <w:rPr>
          <w:rFonts w:hint="eastAsia" w:ascii="宋体" w:hAnsi="宋体" w:cs="宋体"/>
          <w:bCs/>
          <w:color w:val="auto"/>
          <w:szCs w:val="21"/>
          <w:highlight w:val="none"/>
          <w:lang w:eastAsia="zh-CN"/>
        </w:rPr>
        <w:t>评标委员会</w:t>
      </w:r>
      <w:r>
        <w:rPr>
          <w:rFonts w:hint="eastAsia" w:ascii="宋体" w:hAnsi="宋体" w:cs="宋体"/>
          <w:bCs/>
          <w:color w:val="auto"/>
          <w:szCs w:val="21"/>
          <w:highlight w:val="none"/>
        </w:rPr>
        <w:t>成员的独立评分结果汇总后的算术平均分计算。</w:t>
      </w:r>
    </w:p>
    <w:p w14:paraId="4340478D">
      <w:pPr>
        <w:pStyle w:val="29"/>
        <w:numPr>
          <w:ilvl w:val="0"/>
          <w:numId w:val="0"/>
        </w:numPr>
        <w:spacing w:line="360" w:lineRule="exact"/>
        <w:ind w:leftChars="0"/>
        <w:rPr>
          <w:rFonts w:ascii="宋体" w:hAnsi="宋体" w:cs="宋体"/>
          <w:b/>
          <w:color w:val="auto"/>
          <w:szCs w:val="21"/>
          <w:highlight w:val="none"/>
        </w:rPr>
      </w:pPr>
      <w:r>
        <w:rPr>
          <w:rFonts w:hint="eastAsia" w:ascii="宋体" w:hAnsi="宋体" w:cs="宋体"/>
          <w:b/>
          <w:color w:val="auto"/>
          <w:szCs w:val="21"/>
          <w:highlight w:val="none"/>
          <w:lang w:val="en-US" w:eastAsia="zh-CN"/>
        </w:rPr>
        <w:t>三、</w:t>
      </w:r>
      <w:r>
        <w:rPr>
          <w:rFonts w:hint="eastAsia" w:ascii="宋体" w:hAnsi="宋体" w:cs="宋体"/>
          <w:b/>
          <w:color w:val="auto"/>
          <w:szCs w:val="21"/>
          <w:highlight w:val="none"/>
        </w:rPr>
        <w:t>评标内容及标准</w:t>
      </w:r>
    </w:p>
    <w:tbl>
      <w:tblPr>
        <w:tblStyle w:val="18"/>
        <w:tblW w:w="9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22"/>
        <w:gridCol w:w="7164"/>
      </w:tblGrid>
      <w:tr w14:paraId="2DF1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2EF6F5E0">
            <w:pPr>
              <w:spacing w:line="320" w:lineRule="exact"/>
              <w:jc w:val="center"/>
              <w:rPr>
                <w:rFonts w:ascii="宋体" w:hAnsi="宋体"/>
                <w:b/>
                <w:color w:val="auto"/>
                <w:szCs w:val="21"/>
                <w:highlight w:val="none"/>
              </w:rPr>
            </w:pPr>
            <w:bookmarkStart w:id="4" w:name="_Hlk9338648"/>
            <w:r>
              <w:rPr>
                <w:rFonts w:hint="eastAsia" w:ascii="宋体" w:hAnsi="宋体"/>
                <w:b/>
                <w:color w:val="auto"/>
                <w:szCs w:val="21"/>
                <w:highlight w:val="none"/>
              </w:rPr>
              <w:t>序号</w:t>
            </w:r>
          </w:p>
        </w:tc>
        <w:tc>
          <w:tcPr>
            <w:tcW w:w="1822" w:type="dxa"/>
            <w:vAlign w:val="center"/>
          </w:tcPr>
          <w:p w14:paraId="779E305E">
            <w:pPr>
              <w:spacing w:line="320" w:lineRule="exact"/>
              <w:jc w:val="center"/>
              <w:rPr>
                <w:rFonts w:ascii="宋体" w:hAnsi="宋体"/>
                <w:b/>
                <w:color w:val="auto"/>
                <w:szCs w:val="21"/>
                <w:highlight w:val="none"/>
              </w:rPr>
            </w:pPr>
            <w:r>
              <w:rPr>
                <w:rFonts w:hint="eastAsia" w:ascii="宋体" w:hAnsi="宋体"/>
                <w:b/>
                <w:color w:val="auto"/>
                <w:szCs w:val="21"/>
                <w:highlight w:val="none"/>
              </w:rPr>
              <w:t>评分项</w:t>
            </w:r>
          </w:p>
        </w:tc>
        <w:tc>
          <w:tcPr>
            <w:tcW w:w="7164" w:type="dxa"/>
            <w:vAlign w:val="center"/>
          </w:tcPr>
          <w:p w14:paraId="61B65196">
            <w:pPr>
              <w:spacing w:line="320" w:lineRule="exact"/>
              <w:jc w:val="center"/>
              <w:rPr>
                <w:rFonts w:ascii="宋体" w:hAnsi="宋体"/>
                <w:b/>
                <w:color w:val="auto"/>
                <w:szCs w:val="21"/>
                <w:highlight w:val="none"/>
              </w:rPr>
            </w:pPr>
            <w:r>
              <w:rPr>
                <w:rFonts w:hint="eastAsia" w:ascii="宋体" w:hAnsi="宋体"/>
                <w:b/>
                <w:color w:val="auto"/>
                <w:szCs w:val="21"/>
                <w:highlight w:val="none"/>
              </w:rPr>
              <w:t>评分细则</w:t>
            </w:r>
          </w:p>
        </w:tc>
      </w:tr>
      <w:tr w14:paraId="3C37B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03003195">
            <w:pPr>
              <w:spacing w:line="320" w:lineRule="exact"/>
              <w:jc w:val="center"/>
              <w:rPr>
                <w:rFonts w:ascii="宋体" w:hAnsi="宋体"/>
                <w:color w:val="auto"/>
                <w:szCs w:val="21"/>
                <w:highlight w:val="none"/>
              </w:rPr>
            </w:pPr>
            <w:r>
              <w:rPr>
                <w:rFonts w:hint="eastAsia" w:ascii="宋体" w:hAnsi="宋体"/>
                <w:color w:val="auto"/>
                <w:szCs w:val="21"/>
                <w:highlight w:val="none"/>
              </w:rPr>
              <w:t>1</w:t>
            </w:r>
          </w:p>
        </w:tc>
        <w:tc>
          <w:tcPr>
            <w:tcW w:w="1822" w:type="dxa"/>
            <w:vAlign w:val="center"/>
          </w:tcPr>
          <w:p w14:paraId="32E27448">
            <w:pPr>
              <w:spacing w:line="320" w:lineRule="exact"/>
              <w:jc w:val="center"/>
              <w:rPr>
                <w:rFonts w:ascii="宋体" w:hAnsi="宋体"/>
                <w:color w:val="auto"/>
                <w:szCs w:val="21"/>
                <w:highlight w:val="none"/>
              </w:rPr>
            </w:pPr>
            <w:r>
              <w:rPr>
                <w:rFonts w:hint="eastAsia" w:ascii="宋体" w:hAnsi="宋体"/>
                <w:b/>
                <w:bCs/>
                <w:color w:val="auto"/>
                <w:szCs w:val="21"/>
                <w:highlight w:val="none"/>
              </w:rPr>
              <w:t>利率水平指标得分（</w:t>
            </w:r>
            <w:r>
              <w:rPr>
                <w:rFonts w:hint="eastAsia" w:ascii="宋体" w:hAnsi="宋体"/>
                <w:b/>
                <w:bCs/>
                <w:color w:val="auto"/>
                <w:szCs w:val="21"/>
                <w:highlight w:val="none"/>
                <w:lang w:val="en-US" w:eastAsia="zh-CN"/>
              </w:rPr>
              <w:t>15</w:t>
            </w:r>
            <w:r>
              <w:rPr>
                <w:rFonts w:hint="eastAsia" w:ascii="宋体" w:hAnsi="宋体"/>
                <w:b/>
                <w:bCs/>
                <w:color w:val="auto"/>
                <w:szCs w:val="21"/>
                <w:highlight w:val="none"/>
              </w:rPr>
              <w:t>分）</w:t>
            </w:r>
          </w:p>
        </w:tc>
        <w:tc>
          <w:tcPr>
            <w:tcW w:w="7164" w:type="dxa"/>
            <w:vAlign w:val="center"/>
          </w:tcPr>
          <w:p w14:paraId="5F3939F8">
            <w:pPr>
              <w:pStyle w:val="7"/>
              <w:rPr>
                <w:color w:val="auto"/>
                <w:highlight w:val="none"/>
              </w:rPr>
            </w:pPr>
            <w:r>
              <w:rPr>
                <w:rFonts w:hint="default" w:ascii="宋体" w:hAnsi="宋体" w:eastAsia="宋体" w:cs="宋体"/>
                <w:i w:val="0"/>
                <w:color w:val="auto"/>
                <w:sz w:val="22"/>
                <w:szCs w:val="22"/>
                <w:highlight w:val="none"/>
                <w:u w:val="none"/>
                <w:lang w:val="en-US" w:eastAsia="zh-CN"/>
              </w:rPr>
              <w:t>以投标银行在 “</w:t>
            </w:r>
            <w:r>
              <w:rPr>
                <w:rFonts w:hint="eastAsia" w:ascii="宋体" w:hAnsi="宋体" w:eastAsia="宋体" w:cs="宋体"/>
                <w:i w:val="0"/>
                <w:color w:val="auto"/>
                <w:sz w:val="22"/>
                <w:szCs w:val="22"/>
                <w:highlight w:val="none"/>
                <w:u w:val="none"/>
                <w:lang w:val="en-US" w:eastAsia="zh-CN"/>
              </w:rPr>
              <w:t>开标</w:t>
            </w:r>
            <w:r>
              <w:rPr>
                <w:rFonts w:hint="default" w:ascii="宋体" w:hAnsi="宋体" w:eastAsia="宋体" w:cs="宋体"/>
                <w:i w:val="0"/>
                <w:color w:val="auto"/>
                <w:sz w:val="22"/>
                <w:szCs w:val="22"/>
                <w:highlight w:val="none"/>
                <w:u w:val="none"/>
                <w:lang w:val="en-US" w:eastAsia="zh-CN"/>
              </w:rPr>
              <w:t>一览表”（附件二）中填写的</w:t>
            </w:r>
            <w:r>
              <w:rPr>
                <w:rFonts w:hint="eastAsia" w:ascii="宋体" w:hAnsi="宋体" w:eastAsia="宋体" w:cs="宋体"/>
                <w:i w:val="0"/>
                <w:color w:val="auto"/>
                <w:sz w:val="22"/>
                <w:szCs w:val="22"/>
                <w:highlight w:val="none"/>
                <w:u w:val="none"/>
                <w:lang w:val="en-US" w:eastAsia="zh-CN"/>
              </w:rPr>
              <w:t>定期</w:t>
            </w:r>
            <w:r>
              <w:rPr>
                <w:rFonts w:hint="default" w:ascii="宋体" w:hAnsi="宋体" w:eastAsia="宋体" w:cs="宋体"/>
                <w:i w:val="0"/>
                <w:color w:val="auto"/>
                <w:sz w:val="22"/>
                <w:szCs w:val="22"/>
                <w:highlight w:val="none"/>
                <w:u w:val="none"/>
                <w:lang w:val="en-US" w:eastAsia="zh-CN"/>
              </w:rPr>
              <w:t>存款投标利率加点（上浮</w:t>
            </w:r>
            <w:r>
              <w:rPr>
                <w:rFonts w:hint="eastAsia" w:ascii="宋体" w:hAnsi="宋体" w:cs="宋体"/>
                <w:i w:val="0"/>
                <w:color w:val="auto"/>
                <w:sz w:val="22"/>
                <w:szCs w:val="22"/>
                <w:highlight w:val="none"/>
                <w:u w:val="none"/>
                <w:lang w:val="en-US" w:eastAsia="zh-CN"/>
              </w:rPr>
              <w:t>基点</w:t>
            </w:r>
            <w:r>
              <w:rPr>
                <w:rFonts w:hint="default" w:ascii="宋体" w:hAnsi="宋体" w:eastAsia="宋体" w:cs="宋体"/>
                <w:i w:val="0"/>
                <w:color w:val="auto"/>
                <w:sz w:val="22"/>
                <w:szCs w:val="22"/>
                <w:highlight w:val="none"/>
                <w:u w:val="none"/>
                <w:lang w:val="en-US" w:eastAsia="zh-CN"/>
              </w:rPr>
              <w:t>（BP））作为计分依据。满分1</w:t>
            </w:r>
            <w:r>
              <w:rPr>
                <w:rFonts w:hint="eastAsia" w:ascii="宋体" w:hAnsi="宋体" w:cs="宋体"/>
                <w:i w:val="0"/>
                <w:color w:val="auto"/>
                <w:sz w:val="22"/>
                <w:szCs w:val="22"/>
                <w:highlight w:val="none"/>
                <w:u w:val="none"/>
                <w:lang w:val="en-US" w:eastAsia="zh-CN"/>
              </w:rPr>
              <w:t>5</w:t>
            </w:r>
            <w:r>
              <w:rPr>
                <w:rFonts w:hint="default" w:ascii="宋体" w:hAnsi="宋体" w:eastAsia="宋体" w:cs="宋体"/>
                <w:i w:val="0"/>
                <w:color w:val="auto"/>
                <w:sz w:val="22"/>
                <w:szCs w:val="22"/>
                <w:highlight w:val="none"/>
                <w:u w:val="none"/>
                <w:lang w:val="en-US" w:eastAsia="zh-CN"/>
              </w:rPr>
              <w:t>分，上浮基点最高的银行得满分，上浮基点每下降一个基点扣0.</w:t>
            </w:r>
            <w:r>
              <w:rPr>
                <w:rFonts w:hint="eastAsia" w:ascii="宋体" w:hAnsi="宋体" w:eastAsia="宋体" w:cs="宋体"/>
                <w:i w:val="0"/>
                <w:color w:val="auto"/>
                <w:sz w:val="22"/>
                <w:szCs w:val="22"/>
                <w:highlight w:val="none"/>
                <w:u w:val="none"/>
                <w:lang w:val="en-US" w:eastAsia="zh-CN"/>
              </w:rPr>
              <w:t>02</w:t>
            </w:r>
            <w:r>
              <w:rPr>
                <w:rFonts w:hint="default" w:ascii="宋体" w:hAnsi="宋体" w:eastAsia="宋体" w:cs="宋体"/>
                <w:i w:val="0"/>
                <w:color w:val="auto"/>
                <w:sz w:val="22"/>
                <w:szCs w:val="22"/>
                <w:highlight w:val="none"/>
                <w:u w:val="none"/>
                <w:lang w:val="en-US" w:eastAsia="zh-CN"/>
              </w:rPr>
              <w:t>分，扣至0分为止。</w:t>
            </w:r>
          </w:p>
        </w:tc>
      </w:tr>
      <w:tr w14:paraId="4A861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5609243B">
            <w:pPr>
              <w:spacing w:line="320" w:lineRule="exact"/>
              <w:jc w:val="center"/>
              <w:rPr>
                <w:rFonts w:ascii="宋体" w:hAnsi="宋体"/>
                <w:color w:val="auto"/>
                <w:szCs w:val="21"/>
                <w:highlight w:val="none"/>
              </w:rPr>
            </w:pPr>
            <w:r>
              <w:rPr>
                <w:rFonts w:hint="eastAsia" w:ascii="宋体" w:hAnsi="宋体"/>
                <w:color w:val="auto"/>
                <w:szCs w:val="21"/>
                <w:highlight w:val="none"/>
              </w:rPr>
              <w:t>2</w:t>
            </w:r>
          </w:p>
        </w:tc>
        <w:tc>
          <w:tcPr>
            <w:tcW w:w="8986" w:type="dxa"/>
            <w:gridSpan w:val="2"/>
            <w:vAlign w:val="center"/>
          </w:tcPr>
          <w:p w14:paraId="70D92835">
            <w:pPr>
              <w:spacing w:line="320" w:lineRule="exact"/>
              <w:rPr>
                <w:rFonts w:ascii="宋体" w:hAnsi="宋体"/>
                <w:bCs/>
                <w:color w:val="auto"/>
                <w:kern w:val="0"/>
                <w:szCs w:val="21"/>
                <w:highlight w:val="none"/>
                <w:shd w:val="clear" w:color="auto" w:fill="FFFFFF"/>
              </w:rPr>
            </w:pPr>
            <w:bookmarkStart w:id="9" w:name="_GoBack"/>
            <w:r>
              <w:rPr>
                <w:rFonts w:hint="eastAsia" w:ascii="宋体" w:hAnsi="宋体"/>
                <w:b/>
                <w:bCs/>
                <w:color w:val="auto"/>
                <w:szCs w:val="21"/>
                <w:highlight w:val="none"/>
              </w:rPr>
              <w:t>经营状况指标（</w:t>
            </w:r>
            <w:r>
              <w:rPr>
                <w:rFonts w:ascii="宋体" w:hAnsi="宋体"/>
                <w:b/>
                <w:bCs/>
                <w:color w:val="auto"/>
                <w:szCs w:val="21"/>
                <w:highlight w:val="none"/>
              </w:rPr>
              <w:t>3</w:t>
            </w:r>
            <w:r>
              <w:rPr>
                <w:rFonts w:hint="eastAsia" w:ascii="宋体" w:hAnsi="宋体"/>
                <w:b/>
                <w:bCs/>
                <w:color w:val="auto"/>
                <w:szCs w:val="21"/>
                <w:highlight w:val="none"/>
                <w:lang w:val="en-US" w:eastAsia="zh-CN"/>
              </w:rPr>
              <w:t>5</w:t>
            </w:r>
            <w:r>
              <w:rPr>
                <w:rFonts w:hint="eastAsia" w:ascii="宋体" w:hAnsi="宋体"/>
                <w:b/>
                <w:bCs/>
                <w:color w:val="auto"/>
                <w:szCs w:val="21"/>
                <w:highlight w:val="none"/>
              </w:rPr>
              <w:t>分）</w:t>
            </w:r>
          </w:p>
          <w:bookmarkEnd w:id="9"/>
        </w:tc>
      </w:tr>
      <w:tr w14:paraId="66EF0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1EDFC05C">
            <w:pPr>
              <w:spacing w:line="320" w:lineRule="exact"/>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.1</w:t>
            </w:r>
          </w:p>
        </w:tc>
        <w:tc>
          <w:tcPr>
            <w:tcW w:w="1822" w:type="dxa"/>
            <w:vAlign w:val="center"/>
          </w:tcPr>
          <w:p w14:paraId="0C04CA59">
            <w:pPr>
              <w:spacing w:line="320" w:lineRule="exact"/>
              <w:jc w:val="center"/>
              <w:rPr>
                <w:rFonts w:ascii="宋体" w:hAnsi="宋体"/>
                <w:b/>
                <w:color w:val="auto"/>
                <w:szCs w:val="21"/>
                <w:highlight w:val="none"/>
              </w:rPr>
            </w:pPr>
            <w:r>
              <w:rPr>
                <w:rFonts w:hint="eastAsia" w:ascii="宋体" w:hAnsi="宋体"/>
                <w:b/>
                <w:color w:val="auto"/>
                <w:szCs w:val="21"/>
                <w:highlight w:val="none"/>
              </w:rPr>
              <w:t>不良贷款率</w:t>
            </w:r>
          </w:p>
          <w:p w14:paraId="0F3EC944">
            <w:pPr>
              <w:spacing w:line="320" w:lineRule="exact"/>
              <w:jc w:val="center"/>
              <w:rPr>
                <w:rFonts w:ascii="宋体" w:hAnsi="宋体"/>
                <w:b/>
                <w:bCs/>
                <w:color w:val="auto"/>
                <w:szCs w:val="21"/>
                <w:highlight w:val="none"/>
              </w:rPr>
            </w:pPr>
            <w:r>
              <w:rPr>
                <w:rFonts w:hint="eastAsia" w:ascii="宋体" w:hAnsi="宋体"/>
                <w:b/>
                <w:color w:val="auto"/>
                <w:szCs w:val="21"/>
                <w:highlight w:val="none"/>
              </w:rPr>
              <w:t>（</w:t>
            </w:r>
            <w:r>
              <w:rPr>
                <w:rFonts w:hint="eastAsia" w:ascii="宋体" w:hAnsi="宋体"/>
                <w:b/>
                <w:color w:val="auto"/>
                <w:szCs w:val="21"/>
                <w:highlight w:val="none"/>
                <w:lang w:val="en-US" w:eastAsia="zh-CN"/>
              </w:rPr>
              <w:t>10</w:t>
            </w:r>
            <w:r>
              <w:rPr>
                <w:rFonts w:hint="eastAsia" w:ascii="宋体" w:hAnsi="宋体"/>
                <w:b/>
                <w:color w:val="auto"/>
                <w:szCs w:val="21"/>
                <w:highlight w:val="none"/>
              </w:rPr>
              <w:t>分）</w:t>
            </w:r>
          </w:p>
        </w:tc>
        <w:tc>
          <w:tcPr>
            <w:tcW w:w="7164" w:type="dxa"/>
            <w:vAlign w:val="center"/>
          </w:tcPr>
          <w:p w14:paraId="351AEDB1">
            <w:pPr>
              <w:widowControl/>
              <w:spacing w:line="320" w:lineRule="exact"/>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根据各投标银行的不良贷款率排名，由低到高依次赋分，最低的得10分，其余投标银行依次递减0.5分，递减至0分</w:t>
            </w:r>
            <w:r>
              <w:rPr>
                <w:rFonts w:hint="eastAsia" w:ascii="宋体" w:hAnsi="宋体" w:cs="宋体"/>
                <w:color w:val="auto"/>
                <w:kern w:val="0"/>
                <w:szCs w:val="21"/>
                <w:highlight w:val="none"/>
                <w:lang w:val="en-US" w:eastAsia="zh-CN"/>
              </w:rPr>
              <w:t>止。</w:t>
            </w:r>
          </w:p>
          <w:p w14:paraId="2E5ADE3C">
            <w:pPr>
              <w:spacing w:line="320" w:lineRule="exact"/>
              <w:jc w:val="left"/>
              <w:rPr>
                <w:rFonts w:ascii="宋体" w:hAnsi="宋体"/>
                <w:bCs/>
                <w:color w:val="auto"/>
                <w:kern w:val="0"/>
                <w:szCs w:val="21"/>
                <w:highlight w:val="none"/>
                <w:shd w:val="clear" w:color="auto" w:fill="FFFFFF"/>
              </w:rPr>
            </w:pPr>
            <w:r>
              <w:rPr>
                <w:rFonts w:hint="eastAsia" w:ascii="宋体" w:hAnsi="宋体"/>
                <w:b/>
                <w:color w:val="auto"/>
                <w:kern w:val="0"/>
                <w:szCs w:val="21"/>
                <w:highlight w:val="none"/>
                <w:shd w:val="clear" w:color="auto" w:fill="FFFFFF"/>
              </w:rPr>
              <w:t>注：各投标银行</w:t>
            </w:r>
            <w:r>
              <w:rPr>
                <w:rFonts w:hint="eastAsia" w:ascii="宋体" w:hAnsi="宋体"/>
                <w:b/>
                <w:color w:val="auto"/>
                <w:kern w:val="0"/>
                <w:szCs w:val="21"/>
                <w:highlight w:val="none"/>
                <w:shd w:val="clear" w:color="auto" w:fill="FFFFFF"/>
                <w:lang w:val="en-US" w:eastAsia="zh-CN"/>
              </w:rPr>
              <w:t>提供</w:t>
            </w:r>
            <w:r>
              <w:rPr>
                <w:rFonts w:hint="eastAsia" w:ascii="宋体" w:hAnsi="宋体"/>
                <w:b/>
                <w:color w:val="auto"/>
                <w:kern w:val="0"/>
                <w:szCs w:val="21"/>
                <w:highlight w:val="none"/>
                <w:shd w:val="clear" w:color="auto" w:fill="FFFFFF"/>
              </w:rPr>
              <w:t>最新获取的截至竞标月份前《贷款质量五级分类月报表》(温州市银保监局口径)为准，不提供不得分。</w:t>
            </w:r>
          </w:p>
        </w:tc>
      </w:tr>
      <w:tr w14:paraId="359E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6C35B049">
            <w:pPr>
              <w:spacing w:line="320" w:lineRule="exact"/>
              <w:jc w:val="cente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.2</w:t>
            </w:r>
          </w:p>
        </w:tc>
        <w:tc>
          <w:tcPr>
            <w:tcW w:w="1822" w:type="dxa"/>
            <w:vAlign w:val="center"/>
          </w:tcPr>
          <w:p w14:paraId="1483B936">
            <w:pPr>
              <w:spacing w:line="320" w:lineRule="exact"/>
              <w:jc w:val="center"/>
              <w:rPr>
                <w:rFonts w:ascii="宋体" w:hAnsi="宋体"/>
                <w:b/>
                <w:bCs/>
                <w:color w:val="auto"/>
                <w:szCs w:val="21"/>
                <w:highlight w:val="none"/>
              </w:rPr>
            </w:pPr>
            <w:r>
              <w:rPr>
                <w:rFonts w:hint="eastAsia" w:ascii="宋体" w:hAnsi="宋体"/>
                <w:b/>
                <w:bCs/>
                <w:color w:val="auto"/>
                <w:kern w:val="0"/>
                <w:szCs w:val="21"/>
                <w:highlight w:val="none"/>
                <w:shd w:val="clear" w:color="auto" w:fill="FFFFFF"/>
              </w:rPr>
              <w:t>法人指标反向测评（15分）</w:t>
            </w:r>
          </w:p>
        </w:tc>
        <w:tc>
          <w:tcPr>
            <w:tcW w:w="7164" w:type="dxa"/>
            <w:vAlign w:val="center"/>
          </w:tcPr>
          <w:p w14:paraId="4396EE9E">
            <w:pPr>
              <w:spacing w:line="320" w:lineRule="exact"/>
              <w:jc w:val="left"/>
              <w:rPr>
                <w:rFonts w:hint="eastAsia" w:ascii="宋体" w:hAnsi="宋体"/>
                <w:bCs/>
                <w:color w:val="auto"/>
                <w:kern w:val="0"/>
                <w:szCs w:val="21"/>
                <w:highlight w:val="none"/>
                <w:shd w:val="clear" w:color="auto" w:fill="FFFFFF"/>
              </w:rPr>
            </w:pPr>
            <w:r>
              <w:rPr>
                <w:rFonts w:hint="eastAsia" w:ascii="宋体" w:hAnsi="宋体"/>
                <w:bCs/>
                <w:color w:val="auto"/>
                <w:kern w:val="0"/>
                <w:szCs w:val="21"/>
                <w:highlight w:val="none"/>
                <w:shd w:val="clear" w:color="auto" w:fill="FFFFFF"/>
              </w:rPr>
              <w:t>以各竞标银行的资产质量、偿付能力、运营能力、内部控制水平为计分依据，满分</w:t>
            </w:r>
            <w:r>
              <w:rPr>
                <w:rFonts w:hint="eastAsia" w:ascii="宋体" w:hAnsi="宋体"/>
                <w:bCs/>
                <w:color w:val="auto"/>
                <w:kern w:val="0"/>
                <w:szCs w:val="21"/>
                <w:highlight w:val="none"/>
                <w:shd w:val="clear" w:color="auto" w:fill="FFFFFF"/>
                <w:lang w:val="en-US" w:eastAsia="zh-CN"/>
              </w:rPr>
              <w:t>15</w:t>
            </w:r>
            <w:r>
              <w:rPr>
                <w:rFonts w:hint="eastAsia" w:ascii="宋体" w:hAnsi="宋体"/>
                <w:bCs/>
                <w:color w:val="auto"/>
                <w:kern w:val="0"/>
                <w:szCs w:val="21"/>
                <w:highlight w:val="none"/>
                <w:shd w:val="clear" w:color="auto" w:fill="FFFFFF"/>
              </w:rPr>
              <w:t>分。该指标以各家银行提供的该行总行经审计公布的最近一期年报数据为测评依据，具体包括：资本充足率、拨备覆盖率、流动性比例、加权平均净资产收益率（简称资产收益率）等</w:t>
            </w:r>
            <w:r>
              <w:rPr>
                <w:rFonts w:hint="eastAsia" w:ascii="宋体" w:hAnsi="宋体"/>
                <w:bCs/>
                <w:color w:val="auto"/>
                <w:kern w:val="0"/>
                <w:szCs w:val="21"/>
                <w:highlight w:val="none"/>
                <w:shd w:val="clear" w:color="auto" w:fill="FFFFFF"/>
                <w:lang w:val="en-US" w:eastAsia="zh-CN"/>
              </w:rPr>
              <w:t>4</w:t>
            </w:r>
            <w:r>
              <w:rPr>
                <w:rFonts w:hint="eastAsia" w:ascii="宋体" w:hAnsi="宋体"/>
                <w:bCs/>
                <w:color w:val="auto"/>
                <w:kern w:val="0"/>
                <w:szCs w:val="21"/>
                <w:highlight w:val="none"/>
                <w:shd w:val="clear" w:color="auto" w:fill="FFFFFF"/>
              </w:rPr>
              <w:t>项指标，其中：资本充足率、拨备覆盖率、流动性比例三项指标数值符合银行监管标准的，每项得</w:t>
            </w:r>
            <w:r>
              <w:rPr>
                <w:rFonts w:hint="eastAsia" w:ascii="宋体" w:hAnsi="宋体"/>
                <w:bCs/>
                <w:color w:val="auto"/>
                <w:kern w:val="0"/>
                <w:szCs w:val="21"/>
                <w:highlight w:val="none"/>
                <w:shd w:val="clear" w:color="auto" w:fill="FFFFFF"/>
                <w:lang w:val="en-US" w:eastAsia="zh-CN"/>
              </w:rPr>
              <w:t>4</w:t>
            </w:r>
            <w:r>
              <w:rPr>
                <w:rFonts w:hint="eastAsia" w:ascii="宋体" w:hAnsi="宋体"/>
                <w:bCs/>
                <w:color w:val="auto"/>
                <w:kern w:val="0"/>
                <w:szCs w:val="21"/>
                <w:highlight w:val="none"/>
                <w:shd w:val="clear" w:color="auto" w:fill="FFFFFF"/>
              </w:rPr>
              <w:t>分，否则每项得0分；资产收益率指标大于等于0的，得</w:t>
            </w:r>
            <w:r>
              <w:rPr>
                <w:rFonts w:hint="eastAsia" w:ascii="宋体" w:hAnsi="宋体"/>
                <w:bCs/>
                <w:color w:val="auto"/>
                <w:kern w:val="0"/>
                <w:szCs w:val="21"/>
                <w:highlight w:val="none"/>
                <w:shd w:val="clear" w:color="auto" w:fill="FFFFFF"/>
                <w:lang w:val="en-US" w:eastAsia="zh-CN"/>
              </w:rPr>
              <w:t>3</w:t>
            </w:r>
            <w:r>
              <w:rPr>
                <w:rFonts w:hint="eastAsia" w:ascii="宋体" w:hAnsi="宋体"/>
                <w:bCs/>
                <w:color w:val="auto"/>
                <w:kern w:val="0"/>
                <w:szCs w:val="21"/>
                <w:highlight w:val="none"/>
                <w:shd w:val="clear" w:color="auto" w:fill="FFFFFF"/>
              </w:rPr>
              <w:t>分，每减少一个百分点扣0.</w:t>
            </w:r>
            <w:r>
              <w:rPr>
                <w:rFonts w:hint="eastAsia" w:ascii="宋体" w:hAnsi="宋体"/>
                <w:bCs/>
                <w:color w:val="auto"/>
                <w:kern w:val="0"/>
                <w:szCs w:val="21"/>
                <w:highlight w:val="none"/>
                <w:shd w:val="clear" w:color="auto" w:fill="FFFFFF"/>
                <w:lang w:val="en-US" w:eastAsia="zh-CN"/>
              </w:rPr>
              <w:t>3</w:t>
            </w:r>
            <w:r>
              <w:rPr>
                <w:rFonts w:hint="eastAsia" w:ascii="宋体" w:hAnsi="宋体"/>
                <w:bCs/>
                <w:color w:val="auto"/>
                <w:kern w:val="0"/>
                <w:szCs w:val="21"/>
                <w:highlight w:val="none"/>
                <w:shd w:val="clear" w:color="auto" w:fill="FFFFFF"/>
              </w:rPr>
              <w:t>分，扣完为止，不足一个百分点的，按比例折算；</w:t>
            </w:r>
          </w:p>
          <w:p w14:paraId="6B4983BB">
            <w:pPr>
              <w:spacing w:line="320" w:lineRule="exact"/>
              <w:jc w:val="left"/>
              <w:rPr>
                <w:rFonts w:ascii="宋体" w:hAnsi="宋体"/>
                <w:b/>
                <w:bCs/>
                <w:color w:val="auto"/>
                <w:kern w:val="0"/>
                <w:szCs w:val="21"/>
                <w:highlight w:val="none"/>
                <w:shd w:val="clear" w:color="auto" w:fill="FFFFFF"/>
              </w:rPr>
            </w:pPr>
            <w:r>
              <w:rPr>
                <w:rFonts w:hint="eastAsia" w:ascii="宋体" w:hAnsi="宋体"/>
                <w:bCs/>
                <w:color w:val="auto"/>
                <w:kern w:val="0"/>
                <w:szCs w:val="21"/>
                <w:highlight w:val="none"/>
                <w:shd w:val="clear" w:color="auto" w:fill="FFFFFF"/>
              </w:rPr>
              <w:t>注：</w:t>
            </w:r>
            <w:r>
              <w:rPr>
                <w:rFonts w:hint="eastAsia" w:ascii="宋体" w:hAnsi="宋体"/>
                <w:b/>
                <w:bCs/>
                <w:color w:val="auto"/>
                <w:kern w:val="0"/>
                <w:szCs w:val="21"/>
                <w:highlight w:val="none"/>
                <w:shd w:val="clear" w:color="auto" w:fill="FFFFFF"/>
              </w:rPr>
              <w:t>1.以投标银行提供的数据为准。</w:t>
            </w:r>
          </w:p>
          <w:p w14:paraId="70709BC0">
            <w:pPr>
              <w:numPr>
                <w:ilvl w:val="0"/>
                <w:numId w:val="5"/>
              </w:numPr>
              <w:spacing w:line="320" w:lineRule="exact"/>
              <w:jc w:val="left"/>
              <w:rPr>
                <w:rFonts w:hint="eastAsia" w:ascii="宋体" w:hAnsi="宋体"/>
                <w:b/>
                <w:bCs/>
                <w:color w:val="auto"/>
                <w:kern w:val="0"/>
                <w:szCs w:val="21"/>
                <w:highlight w:val="none"/>
                <w:shd w:val="clear" w:color="auto" w:fill="FFFFFF"/>
              </w:rPr>
            </w:pPr>
            <w:r>
              <w:rPr>
                <w:rFonts w:hint="eastAsia" w:ascii="宋体" w:hAnsi="宋体"/>
                <w:b/>
                <w:bCs/>
                <w:color w:val="auto"/>
                <w:kern w:val="0"/>
                <w:szCs w:val="21"/>
                <w:highlight w:val="none"/>
                <w:shd w:val="clear" w:color="auto" w:fill="FFFFFF"/>
              </w:rPr>
              <w:t>拨备覆盖率低于银行监管标准的，如能提供经审计认定其符合监管要求的，则不扣分。</w:t>
            </w:r>
          </w:p>
          <w:p w14:paraId="1AE6D009">
            <w:pPr>
              <w:numPr>
                <w:ilvl w:val="0"/>
                <w:numId w:val="0"/>
              </w:numPr>
              <w:spacing w:line="320" w:lineRule="exact"/>
              <w:jc w:val="left"/>
              <w:rPr>
                <w:rFonts w:hint="eastAsia" w:ascii="宋体" w:hAnsi="宋体"/>
                <w:b/>
                <w:bCs/>
                <w:color w:val="auto"/>
                <w:kern w:val="0"/>
                <w:szCs w:val="21"/>
                <w:highlight w:val="none"/>
                <w:shd w:val="clear" w:color="auto" w:fill="FFFFFF"/>
              </w:rPr>
            </w:pPr>
          </w:p>
        </w:tc>
      </w:tr>
      <w:tr w14:paraId="63A4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0699C1EA">
            <w:pPr>
              <w:spacing w:line="320" w:lineRule="exact"/>
              <w:jc w:val="center"/>
              <w:rPr>
                <w:rFonts w:ascii="宋体" w:hAnsi="宋体"/>
                <w:color w:val="auto"/>
                <w:szCs w:val="21"/>
                <w:highlight w:val="none"/>
              </w:rPr>
            </w:pPr>
            <w:r>
              <w:rPr>
                <w:rFonts w:hint="eastAsia" w:ascii="宋体" w:hAnsi="宋体"/>
                <w:color w:val="auto"/>
                <w:szCs w:val="21"/>
                <w:highlight w:val="none"/>
              </w:rPr>
              <w:t>2.3</w:t>
            </w:r>
          </w:p>
        </w:tc>
        <w:tc>
          <w:tcPr>
            <w:tcW w:w="1822" w:type="dxa"/>
            <w:vAlign w:val="center"/>
          </w:tcPr>
          <w:p w14:paraId="78E9D3E3">
            <w:pPr>
              <w:widowControl/>
              <w:spacing w:line="32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内控水平（</w:t>
            </w:r>
            <w:r>
              <w:rPr>
                <w:rFonts w:hint="eastAsia" w:ascii="宋体" w:hAnsi="宋体" w:cs="宋体"/>
                <w:b/>
                <w:color w:val="auto"/>
                <w:kern w:val="0"/>
                <w:szCs w:val="21"/>
                <w:highlight w:val="none"/>
                <w:lang w:val="en-US" w:eastAsia="zh-CN"/>
              </w:rPr>
              <w:t>10</w:t>
            </w:r>
            <w:r>
              <w:rPr>
                <w:rFonts w:hint="eastAsia" w:ascii="宋体" w:hAnsi="宋体" w:cs="宋体"/>
                <w:b/>
                <w:color w:val="auto"/>
                <w:kern w:val="0"/>
                <w:szCs w:val="21"/>
                <w:highlight w:val="none"/>
              </w:rPr>
              <w:t>分）</w:t>
            </w:r>
          </w:p>
        </w:tc>
        <w:tc>
          <w:tcPr>
            <w:tcW w:w="7164" w:type="dxa"/>
            <w:vAlign w:val="center"/>
          </w:tcPr>
          <w:p w14:paraId="48E7E922">
            <w:pPr>
              <w:widowControl/>
              <w:spacing w:line="320" w:lineRule="exact"/>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对参与投标银行行政处罚金额情况评价:根据各投标人所在市级银行（含下辖机构）2023年度未收到（文号以温金罚决字（2023））及温银保监罚决字（2023）为准）行政处罚的银行得10分，若有处罚，罚款1万元-100万元（不含）得8分，100万元-200万元（不含）得6分，200万元以上得4分。</w:t>
            </w:r>
          </w:p>
          <w:p w14:paraId="506D9112">
            <w:pPr>
              <w:widowControl/>
              <w:spacing w:line="320" w:lineRule="exact"/>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查询网址：https://www.cbirc.gov.cn/branch/zhejiang/view/pages/index/jiansuo.html（路径为首页→搜索→输入投标人所在市级银行（含下辖机构）→按查询范围分类（所有结果）→按内容分类（监管分局本级行政处罚））所有查询结果。</w:t>
            </w:r>
          </w:p>
          <w:p w14:paraId="3976489B">
            <w:pPr>
              <w:widowControl/>
              <w:spacing w:line="320" w:lineRule="exact"/>
              <w:jc w:val="left"/>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注：该项评分内容由招标人</w:t>
            </w:r>
            <w:r>
              <w:rPr>
                <w:rFonts w:hint="eastAsia" w:ascii="宋体" w:hAnsi="宋体" w:eastAsia="宋体" w:cs="宋体"/>
                <w:i w:val="0"/>
                <w:color w:val="auto"/>
                <w:kern w:val="0"/>
                <w:sz w:val="21"/>
                <w:szCs w:val="21"/>
                <w:highlight w:val="none"/>
                <w:u w:val="none"/>
                <w:lang w:val="en-US" w:eastAsia="zh-CN" w:bidi="ar"/>
              </w:rPr>
              <w:t>提供。</w:t>
            </w:r>
          </w:p>
        </w:tc>
      </w:tr>
      <w:tr w14:paraId="0D56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3F8CF1A4">
            <w:pPr>
              <w:spacing w:line="320" w:lineRule="exact"/>
              <w:jc w:val="center"/>
              <w:rPr>
                <w:rFonts w:ascii="宋体" w:hAnsi="宋体"/>
                <w:color w:val="auto"/>
                <w:szCs w:val="21"/>
                <w:highlight w:val="none"/>
              </w:rPr>
            </w:pPr>
            <w:r>
              <w:rPr>
                <w:rFonts w:hint="eastAsia" w:ascii="宋体" w:hAnsi="宋体"/>
                <w:color w:val="auto"/>
                <w:szCs w:val="21"/>
                <w:highlight w:val="none"/>
              </w:rPr>
              <w:t>3</w:t>
            </w:r>
          </w:p>
        </w:tc>
        <w:tc>
          <w:tcPr>
            <w:tcW w:w="8986" w:type="dxa"/>
            <w:gridSpan w:val="2"/>
            <w:vAlign w:val="center"/>
          </w:tcPr>
          <w:p w14:paraId="27CBB9C4">
            <w:pPr>
              <w:spacing w:line="320" w:lineRule="exact"/>
              <w:rPr>
                <w:rFonts w:ascii="宋体" w:hAnsi="宋体"/>
                <w:bCs/>
                <w:color w:val="auto"/>
                <w:kern w:val="0"/>
                <w:szCs w:val="21"/>
                <w:highlight w:val="none"/>
                <w:shd w:val="clear" w:color="auto" w:fill="FFFFFF"/>
              </w:rPr>
            </w:pPr>
            <w:r>
              <w:rPr>
                <w:rFonts w:hint="eastAsia" w:ascii="宋体" w:hAnsi="宋体"/>
                <w:b/>
                <w:bCs/>
                <w:color w:val="auto"/>
                <w:kern w:val="0"/>
                <w:szCs w:val="21"/>
                <w:highlight w:val="none"/>
                <w:shd w:val="clear" w:color="auto" w:fill="FFFFFF"/>
              </w:rPr>
              <w:t>经济贡献度指标（30分）</w:t>
            </w:r>
          </w:p>
        </w:tc>
      </w:tr>
      <w:tr w14:paraId="1D37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2ED5F470">
            <w:pPr>
              <w:spacing w:line="320" w:lineRule="exac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w:t>
            </w:r>
          </w:p>
        </w:tc>
        <w:tc>
          <w:tcPr>
            <w:tcW w:w="1822" w:type="dxa"/>
            <w:vAlign w:val="center"/>
          </w:tcPr>
          <w:p w14:paraId="45D76341">
            <w:pPr>
              <w:spacing w:line="320" w:lineRule="exact"/>
              <w:jc w:val="center"/>
              <w:rPr>
                <w:rFonts w:ascii="宋体" w:hAnsi="宋体"/>
                <w:b/>
                <w:bCs/>
                <w:color w:val="auto"/>
                <w:szCs w:val="21"/>
                <w:highlight w:val="none"/>
              </w:rPr>
            </w:pPr>
            <w:r>
              <w:rPr>
                <w:rFonts w:hint="eastAsia" w:ascii="宋体" w:hAnsi="宋体"/>
                <w:b/>
                <w:bCs/>
                <w:color w:val="auto"/>
                <w:szCs w:val="21"/>
                <w:highlight w:val="none"/>
              </w:rPr>
              <w:t>金融办考核（8分）</w:t>
            </w:r>
          </w:p>
        </w:tc>
        <w:tc>
          <w:tcPr>
            <w:tcW w:w="7164" w:type="dxa"/>
            <w:vAlign w:val="center"/>
          </w:tcPr>
          <w:p w14:paraId="050A93A1">
            <w:pPr>
              <w:widowControl/>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以温州市金融办对市级银行业绩</w:t>
            </w:r>
            <w:r>
              <w:rPr>
                <w:rFonts w:hint="eastAsia" w:ascii="宋体" w:hAnsi="宋体" w:cs="宋体"/>
                <w:color w:val="auto"/>
                <w:kern w:val="0"/>
                <w:szCs w:val="21"/>
                <w:highlight w:val="none"/>
                <w:lang w:val="en-US" w:eastAsia="zh-CN"/>
              </w:rPr>
              <w:t>最新</w:t>
            </w:r>
            <w:r>
              <w:rPr>
                <w:rFonts w:hint="eastAsia" w:ascii="宋体" w:hAnsi="宋体" w:cs="宋体"/>
                <w:color w:val="auto"/>
                <w:kern w:val="0"/>
                <w:szCs w:val="21"/>
                <w:highlight w:val="none"/>
              </w:rPr>
              <w:t>考核结果对投标人进行排名打分，投标人中排名第一的得</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分，每降一名的扣0.5分，扣完为止。</w:t>
            </w:r>
          </w:p>
          <w:p w14:paraId="745A5F2B">
            <w:pPr>
              <w:spacing w:line="320" w:lineRule="exact"/>
              <w:jc w:val="left"/>
              <w:rPr>
                <w:rFonts w:ascii="宋体" w:hAnsi="宋体"/>
                <w:bCs/>
                <w:color w:val="auto"/>
                <w:kern w:val="0"/>
                <w:szCs w:val="21"/>
                <w:highlight w:val="none"/>
                <w:shd w:val="clear" w:color="auto" w:fill="FFFFFF"/>
              </w:rPr>
            </w:pPr>
            <w:r>
              <w:rPr>
                <w:rFonts w:hint="eastAsia" w:ascii="宋体" w:hAnsi="宋体" w:cs="宋体"/>
                <w:color w:val="auto"/>
                <w:kern w:val="0"/>
                <w:szCs w:val="21"/>
                <w:highlight w:val="none"/>
              </w:rPr>
              <w:t>注：</w:t>
            </w:r>
            <w:r>
              <w:rPr>
                <w:rFonts w:hint="eastAsia" w:ascii="宋体" w:hAnsi="宋体"/>
                <w:b/>
                <w:color w:val="auto"/>
                <w:kern w:val="0"/>
                <w:szCs w:val="21"/>
                <w:highlight w:val="none"/>
                <w:shd w:val="clear" w:color="auto" w:fill="FFFFFF"/>
              </w:rPr>
              <w:t>以市财政局提供数据为准，无需投标银行提供</w:t>
            </w:r>
            <w:r>
              <w:rPr>
                <w:rFonts w:hint="eastAsia" w:ascii="宋体" w:hAnsi="宋体"/>
                <w:b/>
                <w:color w:val="auto"/>
                <w:kern w:val="0"/>
                <w:szCs w:val="21"/>
                <w:highlight w:val="none"/>
                <w:shd w:val="clear" w:color="auto" w:fill="FFFFFF"/>
              </w:rPr>
              <w:t>。</w:t>
            </w:r>
          </w:p>
        </w:tc>
      </w:tr>
      <w:tr w14:paraId="17DB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5B84BEED">
            <w:pPr>
              <w:spacing w:line="320" w:lineRule="exact"/>
              <w:jc w:val="center"/>
              <w:rPr>
                <w:rFonts w:ascii="宋体" w:hAnsi="宋体"/>
                <w:color w:val="auto"/>
                <w:szCs w:val="21"/>
                <w:highlight w:val="none"/>
              </w:rPr>
            </w:pPr>
            <w:r>
              <w:rPr>
                <w:rFonts w:hint="eastAsia" w:ascii="宋体" w:hAnsi="宋体"/>
                <w:color w:val="auto"/>
                <w:szCs w:val="21"/>
                <w:highlight w:val="none"/>
              </w:rPr>
              <w:t>3.2</w:t>
            </w:r>
          </w:p>
        </w:tc>
        <w:tc>
          <w:tcPr>
            <w:tcW w:w="1822" w:type="dxa"/>
            <w:vAlign w:val="center"/>
          </w:tcPr>
          <w:p w14:paraId="16356E96">
            <w:pPr>
              <w:spacing w:line="320" w:lineRule="exact"/>
              <w:jc w:val="center"/>
              <w:rPr>
                <w:rFonts w:ascii="宋体" w:hAnsi="宋体"/>
                <w:b/>
                <w:bCs/>
                <w:color w:val="auto"/>
                <w:szCs w:val="21"/>
                <w:highlight w:val="none"/>
              </w:rPr>
            </w:pPr>
            <w:r>
              <w:rPr>
                <w:rFonts w:hint="eastAsia" w:ascii="宋体" w:hAnsi="宋体"/>
                <w:b/>
                <w:bCs/>
                <w:color w:val="auto"/>
                <w:szCs w:val="21"/>
                <w:highlight w:val="none"/>
              </w:rPr>
              <w:t>政府合作（6分）</w:t>
            </w:r>
          </w:p>
        </w:tc>
        <w:tc>
          <w:tcPr>
            <w:tcW w:w="7164" w:type="dxa"/>
          </w:tcPr>
          <w:p w14:paraId="0D5AFB4D">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与温州市政府、市属机关或各县</w:t>
            </w:r>
            <w:r>
              <w:rPr>
                <w:rFonts w:ascii="宋体" w:hAnsi="宋体" w:cs="Segoe UI"/>
                <w:color w:val="auto"/>
                <w:kern w:val="0"/>
                <w:szCs w:val="21"/>
                <w:highlight w:val="none"/>
              </w:rPr>
              <w:t>(</w:t>
            </w:r>
            <w:r>
              <w:rPr>
                <w:rFonts w:hint="eastAsia" w:ascii="宋体" w:hAnsi="宋体" w:cs="宋体"/>
                <w:color w:val="auto"/>
                <w:kern w:val="0"/>
                <w:szCs w:val="21"/>
                <w:highlight w:val="none"/>
              </w:rPr>
              <w:t>市</w:t>
            </w:r>
            <w:r>
              <w:rPr>
                <w:rFonts w:ascii="宋体" w:hAnsi="宋体" w:cs="Segoe UI"/>
                <w:color w:val="auto"/>
                <w:kern w:val="0"/>
                <w:szCs w:val="21"/>
                <w:highlight w:val="none"/>
              </w:rPr>
              <w:t>)</w:t>
            </w:r>
            <w:r>
              <w:rPr>
                <w:rFonts w:hint="eastAsia" w:ascii="宋体" w:hAnsi="宋体" w:cs="宋体"/>
                <w:color w:val="auto"/>
                <w:kern w:val="0"/>
                <w:szCs w:val="21"/>
                <w:highlight w:val="none"/>
              </w:rPr>
              <w:t>政府</w:t>
            </w:r>
            <w:r>
              <w:rPr>
                <w:rFonts w:ascii="宋体" w:hAnsi="宋体" w:cs="Segoe UI"/>
                <w:color w:val="auto"/>
                <w:kern w:val="0"/>
                <w:szCs w:val="21"/>
                <w:highlight w:val="none"/>
              </w:rPr>
              <w:t>(</w:t>
            </w:r>
            <w:r>
              <w:rPr>
                <w:rFonts w:hint="eastAsia" w:ascii="宋体" w:hAnsi="宋体" w:cs="宋体"/>
                <w:color w:val="auto"/>
                <w:kern w:val="0"/>
                <w:szCs w:val="21"/>
                <w:highlight w:val="none"/>
              </w:rPr>
              <w:t>管委会</w:t>
            </w:r>
            <w:r>
              <w:rPr>
                <w:rFonts w:ascii="宋体" w:hAnsi="宋体" w:cs="Segoe UI"/>
                <w:color w:val="auto"/>
                <w:kern w:val="0"/>
                <w:szCs w:val="21"/>
                <w:highlight w:val="none"/>
              </w:rPr>
              <w:t>)</w:t>
            </w:r>
            <w:r>
              <w:rPr>
                <w:rFonts w:hint="eastAsia" w:ascii="宋体" w:hAnsi="宋体" w:cs="宋体"/>
                <w:color w:val="auto"/>
                <w:kern w:val="0"/>
                <w:szCs w:val="21"/>
                <w:highlight w:val="none"/>
              </w:rPr>
              <w:t>签署</w:t>
            </w:r>
            <w:r>
              <w:rPr>
                <w:rFonts w:hint="eastAsia" w:ascii="宋体" w:hAnsi="宋体" w:cs="宋体"/>
                <w:color w:val="auto"/>
                <w:kern w:val="0"/>
                <w:szCs w:val="21"/>
                <w:highlight w:val="none"/>
                <w:lang w:val="en-US" w:eastAsia="zh-CN"/>
              </w:rPr>
              <w:t>执行期内的</w:t>
            </w:r>
            <w:r>
              <w:rPr>
                <w:rFonts w:hint="eastAsia" w:ascii="宋体" w:hAnsi="宋体" w:cs="宋体"/>
                <w:color w:val="auto"/>
                <w:kern w:val="0"/>
                <w:szCs w:val="21"/>
                <w:highlight w:val="none"/>
              </w:rPr>
              <w:t>战略合作协议，每提供一份得2分，最高得</w:t>
            </w:r>
            <w:r>
              <w:rPr>
                <w:rFonts w:ascii="宋体" w:hAnsi="宋体" w:cs="Segoe UI"/>
                <w:color w:val="auto"/>
                <w:kern w:val="0"/>
                <w:szCs w:val="21"/>
                <w:highlight w:val="none"/>
              </w:rPr>
              <w:t>6</w:t>
            </w:r>
            <w:r>
              <w:rPr>
                <w:rFonts w:hint="eastAsia" w:ascii="宋体" w:hAnsi="宋体" w:cs="宋体"/>
                <w:color w:val="auto"/>
                <w:kern w:val="0"/>
                <w:szCs w:val="21"/>
                <w:highlight w:val="none"/>
              </w:rPr>
              <w:t>分。</w:t>
            </w:r>
          </w:p>
          <w:p w14:paraId="5CA226BF">
            <w:pPr>
              <w:spacing w:line="320" w:lineRule="exact"/>
              <w:rPr>
                <w:rFonts w:ascii="宋体" w:hAnsi="宋体"/>
                <w:bCs/>
                <w:color w:val="auto"/>
                <w:kern w:val="0"/>
                <w:szCs w:val="21"/>
                <w:highlight w:val="none"/>
                <w:shd w:val="clear" w:color="auto" w:fill="FFFFFF"/>
              </w:rPr>
            </w:pPr>
            <w:r>
              <w:rPr>
                <w:rFonts w:hint="eastAsia" w:ascii="宋体" w:hAnsi="宋体" w:cs="宋体"/>
                <w:b/>
                <w:bCs/>
                <w:color w:val="auto"/>
                <w:kern w:val="0"/>
                <w:szCs w:val="21"/>
                <w:highlight w:val="none"/>
              </w:rPr>
              <w:t>注：提供相关证明文件</w:t>
            </w:r>
            <w:r>
              <w:rPr>
                <w:rFonts w:hint="eastAsia" w:ascii="宋体" w:hAnsi="宋体" w:cs="Segoe UI"/>
                <w:b/>
                <w:bCs/>
                <w:color w:val="auto"/>
                <w:kern w:val="0"/>
                <w:szCs w:val="21"/>
                <w:highlight w:val="none"/>
              </w:rPr>
              <w:t>，加盖投标人公章，未提供的不得分。</w:t>
            </w:r>
          </w:p>
        </w:tc>
      </w:tr>
      <w:tr w14:paraId="5835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37F6D80B">
            <w:pPr>
              <w:spacing w:line="320" w:lineRule="exact"/>
              <w:jc w:val="center"/>
              <w:rPr>
                <w:rFonts w:ascii="宋体" w:hAnsi="宋体"/>
                <w:color w:val="auto"/>
                <w:szCs w:val="21"/>
                <w:highlight w:val="none"/>
              </w:rPr>
            </w:pPr>
            <w:r>
              <w:rPr>
                <w:rFonts w:hint="eastAsia" w:ascii="宋体" w:hAnsi="宋体"/>
                <w:color w:val="auto"/>
                <w:szCs w:val="21"/>
                <w:highlight w:val="none"/>
              </w:rPr>
              <w:t>3.3</w:t>
            </w:r>
          </w:p>
        </w:tc>
        <w:tc>
          <w:tcPr>
            <w:tcW w:w="1822" w:type="dxa"/>
            <w:vAlign w:val="center"/>
          </w:tcPr>
          <w:p w14:paraId="51AECA6D">
            <w:pPr>
              <w:spacing w:line="320" w:lineRule="exact"/>
              <w:jc w:val="center"/>
              <w:rPr>
                <w:rFonts w:ascii="宋体" w:hAnsi="宋体"/>
                <w:b/>
                <w:bCs/>
                <w:color w:val="auto"/>
                <w:szCs w:val="21"/>
                <w:highlight w:val="none"/>
              </w:rPr>
            </w:pPr>
            <w:r>
              <w:rPr>
                <w:rFonts w:hint="eastAsia" w:ascii="宋体" w:hAnsi="宋体"/>
                <w:b/>
                <w:bCs/>
                <w:color w:val="auto"/>
                <w:szCs w:val="21"/>
                <w:highlight w:val="none"/>
              </w:rPr>
              <w:t>温州市级纳税额（8分）</w:t>
            </w:r>
          </w:p>
        </w:tc>
        <w:tc>
          <w:tcPr>
            <w:tcW w:w="7164" w:type="dxa"/>
          </w:tcPr>
          <w:p w14:paraId="723F52EB">
            <w:pPr>
              <w:widowControl/>
              <w:spacing w:line="320" w:lineRule="exact"/>
              <w:jc w:val="left"/>
              <w:rPr>
                <w:rFonts w:hint="eastAsia" w:ascii="宋体" w:hAnsi="宋体" w:cs="宋体"/>
                <w:color w:val="auto"/>
                <w:kern w:val="0"/>
                <w:szCs w:val="21"/>
                <w:highlight w:val="none"/>
              </w:rPr>
            </w:pPr>
            <w:r>
              <w:rPr>
                <w:rFonts w:hint="eastAsia" w:ascii="宋体" w:hAnsi="宋体"/>
                <w:bCs/>
                <w:color w:val="auto"/>
                <w:kern w:val="0"/>
                <w:szCs w:val="21"/>
                <w:highlight w:val="none"/>
                <w:shd w:val="clear" w:color="auto" w:fill="FFFFFF"/>
              </w:rPr>
              <w:t>根据最新获取的截至竞标月份前各投标银行的温州市级纳税入库金额排名：</w:t>
            </w:r>
            <w:r>
              <w:rPr>
                <w:rFonts w:hint="eastAsia" w:ascii="宋体" w:hAnsi="宋体" w:cs="宋体"/>
                <w:color w:val="auto"/>
                <w:kern w:val="0"/>
                <w:szCs w:val="21"/>
                <w:highlight w:val="none"/>
              </w:rPr>
              <w:t>投标人中排名第一的得</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分，每降一名的扣0.5分，扣完为止。</w:t>
            </w:r>
          </w:p>
          <w:p w14:paraId="5FD1F229">
            <w:pPr>
              <w:spacing w:line="320" w:lineRule="exact"/>
              <w:jc w:val="left"/>
              <w:rPr>
                <w:rFonts w:ascii="宋体" w:hAnsi="宋体"/>
                <w:bCs/>
                <w:color w:val="auto"/>
                <w:kern w:val="0"/>
                <w:szCs w:val="21"/>
                <w:highlight w:val="none"/>
                <w:shd w:val="clear" w:color="auto" w:fill="FFFFFF"/>
              </w:rPr>
            </w:pPr>
            <w:r>
              <w:rPr>
                <w:rFonts w:hint="eastAsia" w:ascii="宋体" w:hAnsi="宋体"/>
                <w:b/>
                <w:color w:val="auto"/>
                <w:kern w:val="0"/>
                <w:szCs w:val="21"/>
                <w:highlight w:val="none"/>
                <w:shd w:val="clear" w:color="auto" w:fill="FFFFFF"/>
              </w:rPr>
              <w:t>注：以市财政局提供数据为准，无需投标银行提供</w:t>
            </w:r>
            <w:r>
              <w:rPr>
                <w:rFonts w:hint="eastAsia" w:ascii="宋体" w:hAnsi="宋体"/>
                <w:b/>
                <w:color w:val="auto"/>
                <w:kern w:val="0"/>
                <w:szCs w:val="21"/>
                <w:highlight w:val="none"/>
                <w:shd w:val="clear" w:color="auto" w:fill="FFFFFF"/>
              </w:rPr>
              <w:t>。</w:t>
            </w:r>
          </w:p>
        </w:tc>
      </w:tr>
      <w:tr w14:paraId="613C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191A6497">
            <w:pPr>
              <w:spacing w:line="320" w:lineRule="exact"/>
              <w:jc w:val="cente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4</w:t>
            </w:r>
          </w:p>
        </w:tc>
        <w:tc>
          <w:tcPr>
            <w:tcW w:w="1822" w:type="dxa"/>
            <w:vAlign w:val="center"/>
          </w:tcPr>
          <w:p w14:paraId="039A1CD2">
            <w:pPr>
              <w:spacing w:line="320" w:lineRule="exact"/>
              <w:jc w:val="center"/>
              <w:rPr>
                <w:rFonts w:ascii="宋体" w:hAnsi="宋体"/>
                <w:b/>
                <w:bCs/>
                <w:color w:val="auto"/>
                <w:szCs w:val="21"/>
                <w:highlight w:val="none"/>
              </w:rPr>
            </w:pPr>
            <w:r>
              <w:rPr>
                <w:rFonts w:hint="eastAsia" w:ascii="宋体" w:hAnsi="宋体" w:cs="新宋体"/>
                <w:b/>
                <w:color w:val="auto"/>
                <w:kern w:val="0"/>
                <w:szCs w:val="21"/>
                <w:highlight w:val="none"/>
              </w:rPr>
              <w:t>支持小微企业情况（8分）</w:t>
            </w:r>
          </w:p>
        </w:tc>
        <w:tc>
          <w:tcPr>
            <w:tcW w:w="7164" w:type="dxa"/>
          </w:tcPr>
          <w:p w14:paraId="66D4AF07">
            <w:pPr>
              <w:spacing w:line="320" w:lineRule="exact"/>
              <w:jc w:val="left"/>
              <w:rPr>
                <w:rFonts w:ascii="宋体" w:hAnsi="宋体"/>
                <w:bCs/>
                <w:color w:val="auto"/>
                <w:kern w:val="0"/>
                <w:szCs w:val="21"/>
                <w:highlight w:val="none"/>
                <w:shd w:val="clear" w:color="auto" w:fill="FFFFFF"/>
              </w:rPr>
            </w:pPr>
            <w:r>
              <w:rPr>
                <w:rFonts w:hint="eastAsia" w:ascii="宋体" w:hAnsi="宋体"/>
                <w:bCs/>
                <w:color w:val="auto"/>
                <w:kern w:val="0"/>
                <w:szCs w:val="21"/>
                <w:highlight w:val="none"/>
                <w:shd w:val="clear" w:color="auto" w:fill="FFFFFF"/>
              </w:rPr>
              <w:t>根据最新获取的截至竞标月份前各投标银行的小微企业贷款余额进行排名:第一名</w:t>
            </w:r>
            <w:r>
              <w:rPr>
                <w:rFonts w:hint="eastAsia" w:ascii="宋体" w:hAnsi="宋体"/>
                <w:bCs/>
                <w:color w:val="auto"/>
                <w:kern w:val="0"/>
                <w:szCs w:val="21"/>
                <w:highlight w:val="none"/>
                <w:shd w:val="clear" w:color="auto" w:fill="FFFFFF"/>
                <w:lang w:val="en-US" w:eastAsia="zh-CN"/>
              </w:rPr>
              <w:t>8</w:t>
            </w:r>
            <w:r>
              <w:rPr>
                <w:rFonts w:hint="eastAsia" w:ascii="宋体" w:hAnsi="宋体"/>
                <w:bCs/>
                <w:color w:val="auto"/>
                <w:kern w:val="0"/>
                <w:szCs w:val="21"/>
                <w:highlight w:val="none"/>
                <w:shd w:val="clear" w:color="auto" w:fill="FFFFFF"/>
              </w:rPr>
              <w:t>分，其余投标行依次递减0.</w:t>
            </w:r>
            <w:r>
              <w:rPr>
                <w:rFonts w:ascii="宋体" w:hAnsi="宋体"/>
                <w:bCs/>
                <w:color w:val="auto"/>
                <w:kern w:val="0"/>
                <w:szCs w:val="21"/>
                <w:highlight w:val="none"/>
                <w:shd w:val="clear" w:color="auto" w:fill="FFFFFF"/>
              </w:rPr>
              <w:t>5</w:t>
            </w:r>
            <w:r>
              <w:rPr>
                <w:rFonts w:hint="eastAsia" w:ascii="宋体" w:hAnsi="宋体"/>
                <w:bCs/>
                <w:color w:val="auto"/>
                <w:kern w:val="0"/>
                <w:szCs w:val="21"/>
                <w:highlight w:val="none"/>
                <w:shd w:val="clear" w:color="auto" w:fill="FFFFFF"/>
              </w:rPr>
              <w:t>分，递减至0分止。</w:t>
            </w:r>
          </w:p>
          <w:p w14:paraId="01DA2C8D">
            <w:pPr>
              <w:spacing w:line="320" w:lineRule="exact"/>
              <w:jc w:val="left"/>
              <w:rPr>
                <w:rFonts w:ascii="宋体" w:hAnsi="宋体"/>
                <w:bCs/>
                <w:color w:val="auto"/>
                <w:kern w:val="0"/>
                <w:szCs w:val="21"/>
                <w:highlight w:val="none"/>
                <w:shd w:val="clear" w:color="auto" w:fill="FFFFFF"/>
              </w:rPr>
            </w:pPr>
            <w:r>
              <w:rPr>
                <w:rFonts w:hint="eastAsia" w:ascii="宋体" w:hAnsi="宋体"/>
                <w:b/>
                <w:color w:val="auto"/>
                <w:kern w:val="0"/>
                <w:szCs w:val="21"/>
                <w:highlight w:val="none"/>
                <w:shd w:val="clear" w:color="auto" w:fill="FFFFFF"/>
              </w:rPr>
              <w:t>注：以市财政局提供数据为准，无需投标银行提供</w:t>
            </w:r>
            <w:r>
              <w:rPr>
                <w:rFonts w:hint="eastAsia" w:ascii="宋体" w:hAnsi="宋体"/>
                <w:b/>
                <w:color w:val="auto"/>
                <w:kern w:val="0"/>
                <w:szCs w:val="21"/>
                <w:highlight w:val="none"/>
                <w:shd w:val="clear" w:color="auto" w:fill="FFFFFF"/>
              </w:rPr>
              <w:t>。</w:t>
            </w:r>
          </w:p>
        </w:tc>
      </w:tr>
      <w:tr w14:paraId="12987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37DA3388">
            <w:pPr>
              <w:spacing w:line="320" w:lineRule="exact"/>
              <w:jc w:val="center"/>
              <w:rPr>
                <w:rFonts w:ascii="宋体" w:hAnsi="宋体"/>
                <w:color w:val="auto"/>
                <w:szCs w:val="21"/>
                <w:highlight w:val="none"/>
              </w:rPr>
            </w:pPr>
            <w:r>
              <w:rPr>
                <w:rFonts w:ascii="宋体" w:hAnsi="宋体"/>
                <w:color w:val="auto"/>
                <w:szCs w:val="21"/>
                <w:highlight w:val="none"/>
              </w:rPr>
              <w:t>4</w:t>
            </w:r>
          </w:p>
        </w:tc>
        <w:tc>
          <w:tcPr>
            <w:tcW w:w="8986" w:type="dxa"/>
            <w:gridSpan w:val="2"/>
            <w:vAlign w:val="center"/>
          </w:tcPr>
          <w:p w14:paraId="646E381F">
            <w:pPr>
              <w:spacing w:line="320" w:lineRule="exact"/>
              <w:rPr>
                <w:rFonts w:ascii="宋体" w:hAnsi="宋体"/>
                <w:b/>
                <w:bCs/>
                <w:color w:val="auto"/>
                <w:szCs w:val="21"/>
                <w:highlight w:val="none"/>
              </w:rPr>
            </w:pPr>
            <w:r>
              <w:rPr>
                <w:rFonts w:hint="eastAsia" w:ascii="宋体" w:hAnsi="宋体"/>
                <w:b/>
                <w:bCs/>
                <w:color w:val="auto"/>
                <w:szCs w:val="21"/>
                <w:highlight w:val="none"/>
              </w:rPr>
              <w:t>服务水平指标（20分）</w:t>
            </w:r>
          </w:p>
        </w:tc>
      </w:tr>
      <w:tr w14:paraId="5861A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75" w:type="dxa"/>
            <w:vAlign w:val="center"/>
          </w:tcPr>
          <w:p w14:paraId="7D87BE99">
            <w:pPr>
              <w:spacing w:line="320" w:lineRule="exact"/>
              <w:jc w:val="center"/>
              <w:rPr>
                <w:rFonts w:ascii="宋体" w:hAnsi="宋体"/>
                <w:color w:val="auto"/>
                <w:szCs w:val="21"/>
                <w:highlight w:val="none"/>
              </w:rPr>
            </w:pPr>
            <w:r>
              <w:rPr>
                <w:rFonts w:ascii="宋体" w:hAnsi="宋体"/>
                <w:color w:val="auto"/>
                <w:szCs w:val="21"/>
                <w:highlight w:val="none"/>
              </w:rPr>
              <w:t>4.1</w:t>
            </w:r>
          </w:p>
        </w:tc>
        <w:tc>
          <w:tcPr>
            <w:tcW w:w="1822" w:type="dxa"/>
            <w:vAlign w:val="center"/>
          </w:tcPr>
          <w:p w14:paraId="6A92E891">
            <w:pPr>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便捷业务服务及对公账号收费减免（5分）</w:t>
            </w:r>
          </w:p>
        </w:tc>
        <w:tc>
          <w:tcPr>
            <w:tcW w:w="7164" w:type="dxa"/>
            <w:vAlign w:val="center"/>
          </w:tcPr>
          <w:p w14:paraId="33B58629">
            <w:pPr>
              <w:spacing w:line="320" w:lineRule="exact"/>
              <w:rPr>
                <w:rFonts w:ascii="宋体" w:hAnsi="宋体" w:cs="宋体"/>
                <w:color w:val="auto"/>
                <w:szCs w:val="21"/>
                <w:highlight w:val="none"/>
              </w:rPr>
            </w:pPr>
            <w:r>
              <w:rPr>
                <w:rFonts w:hint="eastAsia" w:ascii="宋体" w:hAnsi="宋体" w:cs="宋体"/>
                <w:color w:val="auto"/>
                <w:kern w:val="0"/>
                <w:szCs w:val="21"/>
                <w:highlight w:val="none"/>
              </w:rPr>
              <w:t>根据投标银行承诺在中标后提供的便捷服务和对公账号费用减免等优惠及便捷服务情况的实用性、针对性、操作性由由评标委员会综合评审打分。实用性、针对性、操作性强的得5-4分，实用性、针对性、操作性比较强的得4-2分，实用性、针对性、操作性一般的得2-1分，实用性、针对性、操作性差的得1-0分。</w:t>
            </w:r>
          </w:p>
        </w:tc>
      </w:tr>
      <w:tr w14:paraId="0BEC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1256411E">
            <w:pPr>
              <w:spacing w:line="320" w:lineRule="exact"/>
              <w:jc w:val="center"/>
              <w:rPr>
                <w:rFonts w:ascii="宋体" w:hAnsi="宋体"/>
                <w:color w:val="auto"/>
                <w:szCs w:val="21"/>
                <w:highlight w:val="none"/>
              </w:rPr>
            </w:pPr>
            <w:r>
              <w:rPr>
                <w:rFonts w:hint="eastAsia" w:ascii="宋体" w:hAnsi="宋体"/>
                <w:color w:val="auto"/>
                <w:szCs w:val="21"/>
                <w:highlight w:val="none"/>
              </w:rPr>
              <w:t>4.2</w:t>
            </w:r>
          </w:p>
        </w:tc>
        <w:tc>
          <w:tcPr>
            <w:tcW w:w="1822" w:type="dxa"/>
            <w:vAlign w:val="center"/>
          </w:tcPr>
          <w:p w14:paraId="0DDE31CC">
            <w:pPr>
              <w:spacing w:line="320" w:lineRule="exact"/>
              <w:jc w:val="center"/>
              <w:rPr>
                <w:rFonts w:ascii="宋体" w:hAnsi="宋体" w:cs="宋体"/>
                <w:b/>
                <w:bCs/>
                <w:color w:val="auto"/>
                <w:szCs w:val="21"/>
                <w:highlight w:val="none"/>
              </w:rPr>
            </w:pPr>
            <w:r>
              <w:rPr>
                <w:rFonts w:hint="eastAsia" w:ascii="宋体" w:hAnsi="宋体" w:cs="宋体"/>
                <w:b/>
                <w:bCs/>
                <w:color w:val="auto"/>
                <w:szCs w:val="21"/>
                <w:highlight w:val="none"/>
              </w:rPr>
              <w:t>服务承诺（15分）</w:t>
            </w:r>
          </w:p>
        </w:tc>
        <w:tc>
          <w:tcPr>
            <w:tcW w:w="7164" w:type="dxa"/>
            <w:vAlign w:val="center"/>
          </w:tcPr>
          <w:p w14:paraId="5E415ED8">
            <w:pPr>
              <w:spacing w:line="320" w:lineRule="exact"/>
              <w:rPr>
                <w:rFonts w:ascii="宋体" w:hAnsi="宋体" w:cs="宋体"/>
                <w:color w:val="auto"/>
                <w:szCs w:val="21"/>
                <w:highlight w:val="none"/>
              </w:rPr>
            </w:pPr>
            <w:r>
              <w:rPr>
                <w:rFonts w:hint="eastAsia" w:ascii="宋体" w:hAnsi="宋体" w:cs="宋体"/>
                <w:color w:val="auto"/>
                <w:kern w:val="0"/>
                <w:szCs w:val="21"/>
                <w:highlight w:val="none"/>
              </w:rPr>
              <w:t>根据投标银行对学校发展的支持度及提供的额外服务承诺（以评委认为是否有实质性意义）的实用性、针对性、操作性评审打分。实用性、针对性、操作性强的得15-12分，实用性、针对性、操作性比较强的得12-8分，实用性、针对性、操作性一般的得8-4分，实用性、针对性、操作性差的得4-0分。</w:t>
            </w:r>
          </w:p>
        </w:tc>
      </w:tr>
      <w:tr w14:paraId="0DC8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61" w:type="dxa"/>
            <w:gridSpan w:val="3"/>
            <w:vAlign w:val="center"/>
          </w:tcPr>
          <w:p w14:paraId="7F59D343">
            <w:pPr>
              <w:spacing w:line="320" w:lineRule="exact"/>
              <w:rPr>
                <w:rFonts w:ascii="宋体" w:hAnsi="宋体"/>
                <w:color w:val="auto"/>
                <w:szCs w:val="21"/>
                <w:highlight w:val="none"/>
              </w:rPr>
            </w:pPr>
            <w:r>
              <w:rPr>
                <w:rFonts w:hint="eastAsia" w:ascii="宋体" w:hAnsi="宋体"/>
                <w:color w:val="auto"/>
                <w:szCs w:val="21"/>
                <w:highlight w:val="none"/>
              </w:rPr>
              <w:t>备注：1、各项得分均四舍五入，保留小数点2位。</w:t>
            </w:r>
            <w:r>
              <w:rPr>
                <w:rFonts w:ascii="宋体" w:hAnsi="宋体"/>
                <w:color w:val="auto"/>
                <w:szCs w:val="21"/>
                <w:highlight w:val="none"/>
              </w:rPr>
              <w:t>2</w:t>
            </w:r>
            <w:r>
              <w:rPr>
                <w:rFonts w:hint="eastAsia" w:ascii="宋体" w:hAnsi="宋体"/>
                <w:color w:val="auto"/>
                <w:szCs w:val="21"/>
                <w:highlight w:val="none"/>
              </w:rPr>
              <w:t>、以上所有比较排名的数据均以投标银行进行排序。3、综合得分=利率水平指标得分+经营状况指标得分+经济贡献度指标得分+服务水平指标得分</w:t>
            </w:r>
          </w:p>
        </w:tc>
      </w:tr>
      <w:bookmarkEnd w:id="4"/>
    </w:tbl>
    <w:p w14:paraId="77BB582A">
      <w:pPr>
        <w:widowControl/>
        <w:spacing w:line="360" w:lineRule="exact"/>
        <w:ind w:firstLine="420" w:firstLineChars="200"/>
        <w:jc w:val="left"/>
        <w:rPr>
          <w:rFonts w:ascii="宋体" w:hAnsi="宋体" w:cs="宋体"/>
          <w:b/>
          <w:bCs/>
          <w:color w:val="auto"/>
          <w:kern w:val="0"/>
          <w:szCs w:val="21"/>
          <w:highlight w:val="none"/>
        </w:rPr>
      </w:pPr>
      <w:r>
        <w:rPr>
          <w:rFonts w:hint="eastAsia" w:ascii="宋体" w:hAnsi="宋体" w:cs="宋体"/>
          <w:color w:val="auto"/>
          <w:szCs w:val="21"/>
          <w:highlight w:val="none"/>
        </w:rPr>
        <w:t>注：以上按不跳跃排名，</w:t>
      </w:r>
      <w:r>
        <w:rPr>
          <w:rFonts w:hint="eastAsia" w:ascii="宋体" w:hAnsi="宋体" w:cs="宋体"/>
          <w:color w:val="auto"/>
          <w:kern w:val="0"/>
          <w:szCs w:val="21"/>
          <w:highlight w:val="none"/>
        </w:rPr>
        <w:t>投标银行系指投标人所在市级银行；温州地区农村信用合作联社、农村商业银行、农村合作银行已获取浙江农商联合银行温州管理部唯一授权的以上数据统计以浙江农商联合银行温州管理部（原</w:t>
      </w:r>
      <w:r>
        <w:rPr>
          <w:rFonts w:hint="eastAsia" w:ascii="宋体" w:hAnsi="宋体" w:cs="宋体"/>
          <w:color w:val="auto"/>
          <w:szCs w:val="21"/>
          <w:highlight w:val="none"/>
        </w:rPr>
        <w:t>浙江省农村信用社联合社温州办事处</w:t>
      </w:r>
      <w:r>
        <w:rPr>
          <w:rFonts w:hint="eastAsia" w:ascii="宋体" w:hAnsi="宋体" w:cs="宋体"/>
          <w:color w:val="auto"/>
          <w:kern w:val="0"/>
          <w:szCs w:val="21"/>
          <w:highlight w:val="none"/>
        </w:rPr>
        <w:t>）总计为准，特别说明的除外。</w:t>
      </w:r>
      <w:r>
        <w:rPr>
          <w:rFonts w:hint="eastAsia" w:ascii="宋体" w:hAnsi="宋体" w:cs="宋体"/>
          <w:b/>
          <w:bCs/>
          <w:color w:val="auto"/>
          <w:kern w:val="0"/>
          <w:szCs w:val="21"/>
          <w:highlight w:val="none"/>
        </w:rPr>
        <w:t>未按要求提供相关材料的对应项不得分。以上</w:t>
      </w:r>
      <w:r>
        <w:rPr>
          <w:rFonts w:hint="eastAsia" w:ascii="宋体" w:hAnsi="宋体" w:cs="宋体"/>
          <w:b/>
          <w:bCs/>
          <w:color w:val="auto"/>
          <w:szCs w:val="21"/>
          <w:highlight w:val="none"/>
        </w:rPr>
        <w:t>要求投标人提供数据的，若事后发现数据中有虚假或者隐瞒，取消中标资格</w:t>
      </w:r>
      <w:r>
        <w:rPr>
          <w:rFonts w:hint="eastAsia" w:ascii="宋体" w:hAnsi="宋体" w:cs="宋体"/>
          <w:b/>
          <w:bCs/>
          <w:color w:val="auto"/>
          <w:kern w:val="0"/>
          <w:szCs w:val="21"/>
          <w:highlight w:val="none"/>
        </w:rPr>
        <w:t>，暂停相关银行之后参与招标人的各期竞争性存放竞标资格。</w:t>
      </w:r>
    </w:p>
    <w:p w14:paraId="7C14FF9A">
      <w:pPr>
        <w:pStyle w:val="12"/>
        <w:ind w:left="1470" w:right="1470"/>
        <w:rPr>
          <w:rFonts w:ascii="宋体" w:hAnsi="宋体" w:cs="宋体"/>
          <w:b/>
          <w:color w:val="auto"/>
          <w:sz w:val="21"/>
          <w:szCs w:val="21"/>
          <w:highlight w:val="none"/>
        </w:rPr>
      </w:pPr>
    </w:p>
    <w:p w14:paraId="2791D74B">
      <w:pPr>
        <w:widowControl/>
        <w:jc w:val="left"/>
        <w:rPr>
          <w:rFonts w:ascii="宋体" w:hAnsi="宋体" w:cs="宋体"/>
          <w:b/>
          <w:color w:val="auto"/>
          <w:szCs w:val="21"/>
          <w:highlight w:val="none"/>
        </w:rPr>
      </w:pPr>
      <w:r>
        <w:rPr>
          <w:rFonts w:ascii="宋体" w:hAnsi="宋体" w:cs="宋体"/>
          <w:b/>
          <w:color w:val="auto"/>
          <w:szCs w:val="21"/>
          <w:highlight w:val="none"/>
        </w:rPr>
        <w:br w:type="page"/>
      </w:r>
    </w:p>
    <w:p w14:paraId="618E8139">
      <w:pPr>
        <w:pStyle w:val="13"/>
        <w:snapToGrid w:val="0"/>
        <w:spacing w:beforeLines="0" w:afterLines="0" w:line="460" w:lineRule="exact"/>
        <w:jc w:val="center"/>
        <w:outlineLvl w:val="0"/>
        <w:rPr>
          <w:rFonts w:hAnsi="宋体" w:cs="宋体"/>
          <w:b/>
          <w:color w:val="auto"/>
          <w:sz w:val="32"/>
          <w:szCs w:val="32"/>
          <w:highlight w:val="none"/>
        </w:rPr>
      </w:pPr>
      <w:bookmarkStart w:id="5" w:name="_Toc122426742"/>
      <w:r>
        <w:rPr>
          <w:rFonts w:hint="eastAsia" w:hAnsi="宋体" w:cs="宋体"/>
          <w:b/>
          <w:color w:val="auto"/>
          <w:sz w:val="32"/>
          <w:szCs w:val="32"/>
          <w:highlight w:val="none"/>
        </w:rPr>
        <w:t>第四章  招标需求</w:t>
      </w:r>
      <w:bookmarkEnd w:id="5"/>
    </w:p>
    <w:p w14:paraId="7B142BB4">
      <w:pPr>
        <w:snapToGrid w:val="0"/>
        <w:spacing w:line="360" w:lineRule="exact"/>
        <w:jc w:val="left"/>
        <w:rPr>
          <w:rFonts w:ascii="宋体" w:hAnsi="宋体"/>
          <w:b/>
          <w:bCs/>
          <w:color w:val="auto"/>
          <w:szCs w:val="21"/>
          <w:highlight w:val="none"/>
        </w:rPr>
      </w:pPr>
      <w:r>
        <w:rPr>
          <w:rFonts w:hint="eastAsia" w:ascii="宋体" w:hAnsi="宋体"/>
          <w:b/>
          <w:bCs/>
          <w:color w:val="auto"/>
          <w:szCs w:val="21"/>
          <w:highlight w:val="none"/>
        </w:rPr>
        <w:t>一、招标内容</w:t>
      </w:r>
    </w:p>
    <w:p w14:paraId="24018D37">
      <w:pPr>
        <w:pStyle w:val="28"/>
        <w:spacing w:line="360" w:lineRule="exact"/>
        <w:ind w:firstLineChars="0"/>
        <w:jc w:val="left"/>
        <w:rPr>
          <w:rFonts w:ascii="宋体" w:hAnsi="宋体"/>
          <w:color w:val="auto"/>
          <w:szCs w:val="21"/>
          <w:highlight w:val="none"/>
        </w:rPr>
      </w:pPr>
      <w:r>
        <w:rPr>
          <w:rFonts w:hint="eastAsia" w:ascii="宋体" w:hAnsi="宋体"/>
          <w:bCs/>
          <w:color w:val="auto"/>
          <w:szCs w:val="21"/>
          <w:highlight w:val="none"/>
        </w:rPr>
        <w:t>为加强本单位资金的存款管理，提高基金收益，就竞争性存放资金事项制定实施方案，</w:t>
      </w:r>
      <w:r>
        <w:rPr>
          <w:rFonts w:hint="eastAsia" w:ascii="宋体" w:hAnsi="宋体" w:cs="Courier New"/>
          <w:color w:val="auto"/>
          <w:szCs w:val="21"/>
          <w:highlight w:val="none"/>
        </w:rPr>
        <w:t>温州科技职业学院</w:t>
      </w:r>
      <w:r>
        <w:rPr>
          <w:rFonts w:hint="eastAsia" w:ascii="宋体" w:hAnsi="宋体"/>
          <w:bCs/>
          <w:color w:val="auto"/>
          <w:szCs w:val="21"/>
          <w:highlight w:val="none"/>
        </w:rPr>
        <w:t>组织此次招标。本期招标项目内容为银行定期存款，资金规模</w:t>
      </w:r>
      <w:r>
        <w:rPr>
          <w:rFonts w:hint="eastAsia" w:ascii="宋体" w:hAnsi="宋体"/>
          <w:bCs/>
          <w:color w:val="auto"/>
          <w:szCs w:val="21"/>
          <w:highlight w:val="none"/>
          <w:lang w:val="en-US" w:eastAsia="zh-CN"/>
        </w:rPr>
        <w:t>32</w:t>
      </w:r>
      <w:r>
        <w:rPr>
          <w:rFonts w:hint="eastAsia" w:ascii="宋体" w:hAnsi="宋体"/>
          <w:bCs/>
          <w:color w:val="auto"/>
          <w:szCs w:val="21"/>
          <w:highlight w:val="none"/>
        </w:rPr>
        <w:t>00万元，定期存款期限1年，</w:t>
      </w:r>
      <w:r>
        <w:rPr>
          <w:rFonts w:hint="eastAsia" w:ascii="宋体" w:hAnsi="宋体"/>
          <w:color w:val="auto"/>
          <w:szCs w:val="21"/>
          <w:highlight w:val="none"/>
        </w:rPr>
        <w:t>本次招标选择前</w:t>
      </w:r>
      <w:r>
        <w:rPr>
          <w:rFonts w:hint="eastAsia" w:ascii="宋体" w:hAnsi="宋体"/>
          <w:color w:val="auto"/>
          <w:szCs w:val="21"/>
          <w:highlight w:val="none"/>
          <w:lang w:val="en-US" w:eastAsia="zh-CN"/>
        </w:rPr>
        <w:t>3</w:t>
      </w:r>
      <w:r>
        <w:rPr>
          <w:rFonts w:hint="eastAsia" w:ascii="宋体" w:hAnsi="宋体"/>
          <w:color w:val="auto"/>
          <w:szCs w:val="21"/>
          <w:highlight w:val="none"/>
        </w:rPr>
        <w:t>名中标人实施存放，综合得分第一名的存放</w:t>
      </w:r>
      <w:r>
        <w:rPr>
          <w:rFonts w:hint="eastAsia" w:ascii="宋体" w:hAnsi="宋体"/>
          <w:color w:val="auto"/>
          <w:szCs w:val="21"/>
          <w:highlight w:val="none"/>
          <w:lang w:val="en-US" w:eastAsia="zh-CN"/>
        </w:rPr>
        <w:t>1200万</w:t>
      </w:r>
      <w:r>
        <w:rPr>
          <w:rFonts w:hint="eastAsia" w:ascii="宋体" w:hAnsi="宋体"/>
          <w:color w:val="auto"/>
          <w:szCs w:val="21"/>
          <w:highlight w:val="none"/>
        </w:rPr>
        <w:t>，综合得分第二名的存放</w:t>
      </w:r>
      <w:r>
        <w:rPr>
          <w:rFonts w:hint="eastAsia" w:ascii="宋体" w:hAnsi="宋体"/>
          <w:color w:val="auto"/>
          <w:szCs w:val="21"/>
          <w:highlight w:val="none"/>
          <w:lang w:val="en-US" w:eastAsia="zh-CN"/>
        </w:rPr>
        <w:t>1000万</w:t>
      </w:r>
      <w:r>
        <w:rPr>
          <w:rFonts w:hint="eastAsia" w:ascii="宋体" w:hAnsi="宋体"/>
          <w:color w:val="auto"/>
          <w:szCs w:val="21"/>
          <w:highlight w:val="none"/>
          <w:lang w:eastAsia="zh-CN"/>
        </w:rPr>
        <w:t>，</w:t>
      </w:r>
      <w:r>
        <w:rPr>
          <w:rFonts w:hint="eastAsia" w:ascii="宋体" w:hAnsi="宋体"/>
          <w:color w:val="auto"/>
          <w:szCs w:val="21"/>
          <w:highlight w:val="none"/>
        </w:rPr>
        <w:t>综合得分第</w:t>
      </w:r>
      <w:r>
        <w:rPr>
          <w:rFonts w:hint="eastAsia" w:ascii="宋体" w:hAnsi="宋体"/>
          <w:color w:val="auto"/>
          <w:szCs w:val="21"/>
          <w:highlight w:val="none"/>
          <w:lang w:val="en-US" w:eastAsia="zh-CN"/>
        </w:rPr>
        <w:t>三</w:t>
      </w:r>
      <w:r>
        <w:rPr>
          <w:rFonts w:hint="eastAsia" w:ascii="宋体" w:hAnsi="宋体"/>
          <w:color w:val="auto"/>
          <w:szCs w:val="21"/>
          <w:highlight w:val="none"/>
        </w:rPr>
        <w:t>名的存放</w:t>
      </w:r>
      <w:r>
        <w:rPr>
          <w:rFonts w:hint="eastAsia" w:ascii="宋体" w:hAnsi="宋体"/>
          <w:color w:val="auto"/>
          <w:szCs w:val="21"/>
          <w:highlight w:val="none"/>
          <w:lang w:val="en-US" w:eastAsia="zh-CN"/>
        </w:rPr>
        <w:t>1000万</w:t>
      </w:r>
      <w:r>
        <w:rPr>
          <w:rFonts w:hint="eastAsia" w:ascii="宋体" w:hAnsi="宋体"/>
          <w:color w:val="auto"/>
          <w:szCs w:val="21"/>
          <w:highlight w:val="none"/>
        </w:rPr>
        <w:t>。</w:t>
      </w:r>
    </w:p>
    <w:p w14:paraId="3D44282D">
      <w:pPr>
        <w:snapToGrid w:val="0"/>
        <w:spacing w:line="360" w:lineRule="exact"/>
        <w:ind w:firstLine="420"/>
        <w:jc w:val="left"/>
        <w:rPr>
          <w:rFonts w:ascii="宋体" w:hAnsi="宋体"/>
          <w:color w:val="auto"/>
          <w:szCs w:val="21"/>
          <w:highlight w:val="none"/>
        </w:rPr>
      </w:pPr>
      <w:r>
        <w:rPr>
          <w:rFonts w:hint="eastAsia" w:ascii="宋体" w:hAnsi="宋体"/>
          <w:bCs/>
          <w:color w:val="auto"/>
          <w:szCs w:val="21"/>
          <w:highlight w:val="none"/>
        </w:rPr>
        <w:t>具体如下：</w:t>
      </w:r>
    </w:p>
    <w:tbl>
      <w:tblPr>
        <w:tblStyle w:val="18"/>
        <w:tblW w:w="93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268"/>
        <w:gridCol w:w="1633"/>
        <w:gridCol w:w="1627"/>
        <w:gridCol w:w="2977"/>
      </w:tblGrid>
      <w:tr w14:paraId="177B6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851" w:type="dxa"/>
            <w:tcBorders>
              <w:top w:val="single" w:color="auto" w:sz="4" w:space="0"/>
              <w:left w:val="single" w:color="auto" w:sz="4" w:space="0"/>
              <w:bottom w:val="single" w:color="auto" w:sz="4" w:space="0"/>
              <w:right w:val="single" w:color="auto" w:sz="4" w:space="0"/>
            </w:tcBorders>
            <w:vAlign w:val="center"/>
          </w:tcPr>
          <w:p w14:paraId="3D8EEE04">
            <w:pPr>
              <w:widowControl/>
              <w:spacing w:line="360" w:lineRule="exact"/>
              <w:ind w:right="68"/>
              <w:jc w:val="center"/>
              <w:rPr>
                <w:rFonts w:ascii="宋体" w:hAnsi="宋体"/>
                <w:b/>
                <w:color w:val="auto"/>
                <w:kern w:val="0"/>
                <w:szCs w:val="21"/>
                <w:highlight w:val="none"/>
              </w:rPr>
            </w:pPr>
            <w:r>
              <w:rPr>
                <w:rFonts w:hint="eastAsia" w:ascii="宋体" w:hAnsi="宋体"/>
                <w:b/>
                <w:color w:val="auto"/>
                <w:kern w:val="0"/>
                <w:szCs w:val="21"/>
                <w:highlight w:val="none"/>
              </w:rPr>
              <w:t>序号</w:t>
            </w:r>
          </w:p>
        </w:tc>
        <w:tc>
          <w:tcPr>
            <w:tcW w:w="2268" w:type="dxa"/>
            <w:tcBorders>
              <w:top w:val="single" w:color="auto" w:sz="4" w:space="0"/>
              <w:left w:val="nil"/>
              <w:bottom w:val="single" w:color="auto" w:sz="4" w:space="0"/>
              <w:right w:val="single" w:color="auto" w:sz="4" w:space="0"/>
            </w:tcBorders>
            <w:vAlign w:val="center"/>
          </w:tcPr>
          <w:p w14:paraId="427D1C34">
            <w:pPr>
              <w:widowControl/>
              <w:spacing w:line="360" w:lineRule="exact"/>
              <w:ind w:right="68"/>
              <w:jc w:val="center"/>
              <w:rPr>
                <w:rFonts w:ascii="宋体" w:hAnsi="宋体"/>
                <w:b/>
                <w:color w:val="auto"/>
                <w:kern w:val="0"/>
                <w:szCs w:val="21"/>
                <w:highlight w:val="none"/>
              </w:rPr>
            </w:pPr>
            <w:r>
              <w:rPr>
                <w:rFonts w:hint="eastAsia" w:ascii="宋体" w:hAnsi="宋体"/>
                <w:b/>
                <w:color w:val="auto"/>
                <w:kern w:val="0"/>
                <w:szCs w:val="21"/>
                <w:highlight w:val="none"/>
              </w:rPr>
              <w:t>名称</w:t>
            </w:r>
          </w:p>
        </w:tc>
        <w:tc>
          <w:tcPr>
            <w:tcW w:w="1633" w:type="dxa"/>
            <w:tcBorders>
              <w:top w:val="single" w:color="auto" w:sz="4" w:space="0"/>
              <w:left w:val="nil"/>
              <w:bottom w:val="single" w:color="auto" w:sz="4" w:space="0"/>
              <w:right w:val="single" w:color="auto" w:sz="4" w:space="0"/>
            </w:tcBorders>
            <w:vAlign w:val="center"/>
          </w:tcPr>
          <w:p w14:paraId="145438D4">
            <w:pPr>
              <w:widowControl/>
              <w:spacing w:line="360" w:lineRule="exact"/>
              <w:ind w:right="68"/>
              <w:jc w:val="center"/>
              <w:rPr>
                <w:rFonts w:ascii="宋体" w:hAnsi="宋体"/>
                <w:b/>
                <w:color w:val="auto"/>
                <w:kern w:val="0"/>
                <w:szCs w:val="21"/>
                <w:highlight w:val="none"/>
              </w:rPr>
            </w:pPr>
            <w:r>
              <w:rPr>
                <w:rFonts w:hint="eastAsia" w:ascii="宋体" w:hAnsi="宋体"/>
                <w:b/>
                <w:color w:val="auto"/>
                <w:kern w:val="0"/>
                <w:szCs w:val="21"/>
                <w:highlight w:val="none"/>
              </w:rPr>
              <w:t>资金存放规模</w:t>
            </w:r>
          </w:p>
        </w:tc>
        <w:tc>
          <w:tcPr>
            <w:tcW w:w="1627" w:type="dxa"/>
            <w:tcBorders>
              <w:top w:val="single" w:color="auto" w:sz="4" w:space="0"/>
              <w:left w:val="nil"/>
              <w:bottom w:val="single" w:color="auto" w:sz="4" w:space="0"/>
              <w:right w:val="single" w:color="auto" w:sz="4" w:space="0"/>
            </w:tcBorders>
            <w:vAlign w:val="center"/>
          </w:tcPr>
          <w:p w14:paraId="67BAF821">
            <w:pPr>
              <w:widowControl/>
              <w:spacing w:line="360" w:lineRule="exact"/>
              <w:ind w:right="68"/>
              <w:jc w:val="center"/>
              <w:rPr>
                <w:rFonts w:ascii="宋体" w:hAnsi="宋体"/>
                <w:b/>
                <w:color w:val="auto"/>
                <w:kern w:val="0"/>
                <w:szCs w:val="21"/>
                <w:highlight w:val="none"/>
              </w:rPr>
            </w:pPr>
            <w:r>
              <w:rPr>
                <w:rFonts w:hint="eastAsia" w:ascii="宋体" w:hAnsi="宋体"/>
                <w:b/>
                <w:color w:val="auto"/>
                <w:kern w:val="0"/>
                <w:szCs w:val="21"/>
                <w:highlight w:val="none"/>
              </w:rPr>
              <w:t>定期存款期限</w:t>
            </w:r>
          </w:p>
        </w:tc>
        <w:tc>
          <w:tcPr>
            <w:tcW w:w="2977" w:type="dxa"/>
            <w:tcBorders>
              <w:top w:val="single" w:color="auto" w:sz="4" w:space="0"/>
              <w:left w:val="nil"/>
              <w:bottom w:val="single" w:color="auto" w:sz="4" w:space="0"/>
              <w:right w:val="single" w:color="auto" w:sz="4" w:space="0"/>
            </w:tcBorders>
            <w:vAlign w:val="center"/>
          </w:tcPr>
          <w:p w14:paraId="7481F064">
            <w:pPr>
              <w:widowControl/>
              <w:spacing w:line="360" w:lineRule="exact"/>
              <w:ind w:right="68"/>
              <w:jc w:val="center"/>
              <w:rPr>
                <w:rFonts w:hint="eastAsia" w:ascii="宋体" w:hAnsi="宋体" w:eastAsia="宋体"/>
                <w:b/>
                <w:color w:val="auto"/>
                <w:kern w:val="0"/>
                <w:szCs w:val="21"/>
                <w:highlight w:val="none"/>
                <w:lang w:eastAsia="zh-CN"/>
              </w:rPr>
            </w:pPr>
            <w:r>
              <w:rPr>
                <w:rFonts w:hint="eastAsia" w:ascii="宋体" w:hAnsi="宋体"/>
                <w:b/>
                <w:color w:val="auto"/>
                <w:kern w:val="0"/>
                <w:szCs w:val="21"/>
                <w:highlight w:val="none"/>
                <w:lang w:val="en-US" w:eastAsia="zh-CN"/>
              </w:rPr>
              <w:t>备注（存放时间）</w:t>
            </w:r>
          </w:p>
        </w:tc>
      </w:tr>
      <w:tr w14:paraId="5FF2E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1D8B734A">
            <w:pPr>
              <w:widowControl/>
              <w:spacing w:line="360" w:lineRule="exact"/>
              <w:ind w:right="68"/>
              <w:jc w:val="center"/>
              <w:rPr>
                <w:rFonts w:ascii="宋体" w:hAnsi="宋体"/>
                <w:color w:val="auto"/>
                <w:kern w:val="0"/>
                <w:szCs w:val="21"/>
                <w:highlight w:val="none"/>
              </w:rPr>
            </w:pPr>
            <w:r>
              <w:rPr>
                <w:rFonts w:hint="eastAsia" w:ascii="宋体" w:hAnsi="宋体"/>
                <w:color w:val="auto"/>
                <w:kern w:val="0"/>
                <w:szCs w:val="21"/>
                <w:highlight w:val="none"/>
              </w:rPr>
              <w:t>1</w:t>
            </w:r>
          </w:p>
        </w:tc>
        <w:tc>
          <w:tcPr>
            <w:tcW w:w="2268" w:type="dxa"/>
            <w:tcBorders>
              <w:top w:val="single" w:color="auto" w:sz="4" w:space="0"/>
              <w:left w:val="nil"/>
              <w:bottom w:val="single" w:color="auto" w:sz="4" w:space="0"/>
              <w:right w:val="single" w:color="auto" w:sz="4" w:space="0"/>
            </w:tcBorders>
            <w:vAlign w:val="center"/>
          </w:tcPr>
          <w:p w14:paraId="73C24E66">
            <w:pPr>
              <w:widowControl/>
              <w:spacing w:line="360" w:lineRule="exact"/>
              <w:ind w:right="68"/>
              <w:jc w:val="center"/>
              <w:rPr>
                <w:rFonts w:ascii="宋体" w:hAnsi="宋体"/>
                <w:color w:val="auto"/>
                <w:kern w:val="0"/>
                <w:szCs w:val="21"/>
                <w:highlight w:val="none"/>
              </w:rPr>
            </w:pPr>
            <w:r>
              <w:rPr>
                <w:rFonts w:hint="eastAsia" w:ascii="宋体" w:hAnsi="宋体"/>
                <w:color w:val="auto"/>
                <w:kern w:val="0"/>
                <w:szCs w:val="21"/>
                <w:highlight w:val="none"/>
              </w:rPr>
              <w:t>竞争性存款</w:t>
            </w:r>
          </w:p>
        </w:tc>
        <w:tc>
          <w:tcPr>
            <w:tcW w:w="1633" w:type="dxa"/>
            <w:tcBorders>
              <w:top w:val="single" w:color="auto" w:sz="4" w:space="0"/>
              <w:left w:val="nil"/>
              <w:bottom w:val="single" w:color="auto" w:sz="4" w:space="0"/>
              <w:right w:val="single" w:color="auto" w:sz="4" w:space="0"/>
            </w:tcBorders>
            <w:vAlign w:val="center"/>
          </w:tcPr>
          <w:p w14:paraId="4355A1DD">
            <w:pPr>
              <w:widowControl/>
              <w:spacing w:line="360" w:lineRule="exact"/>
              <w:ind w:right="68"/>
              <w:jc w:val="center"/>
              <w:rPr>
                <w:rFonts w:ascii="宋体" w:hAnsi="宋体"/>
                <w:color w:val="auto"/>
                <w:kern w:val="0"/>
                <w:szCs w:val="21"/>
                <w:highlight w:val="none"/>
              </w:rPr>
            </w:pPr>
            <w:r>
              <w:rPr>
                <w:rFonts w:hint="eastAsia" w:ascii="宋体" w:hAnsi="宋体"/>
                <w:color w:val="auto"/>
                <w:szCs w:val="21"/>
                <w:highlight w:val="none"/>
                <w:lang w:val="en-US" w:eastAsia="zh-CN"/>
              </w:rPr>
              <w:t>1200</w:t>
            </w:r>
          </w:p>
        </w:tc>
        <w:tc>
          <w:tcPr>
            <w:tcW w:w="1627" w:type="dxa"/>
            <w:tcBorders>
              <w:top w:val="single" w:color="auto" w:sz="4" w:space="0"/>
              <w:left w:val="nil"/>
              <w:bottom w:val="single" w:color="auto" w:sz="4" w:space="0"/>
              <w:right w:val="single" w:color="auto" w:sz="4" w:space="0"/>
            </w:tcBorders>
            <w:vAlign w:val="center"/>
          </w:tcPr>
          <w:p w14:paraId="20A9AB19">
            <w:pPr>
              <w:widowControl/>
              <w:spacing w:line="360" w:lineRule="exact"/>
              <w:ind w:right="68"/>
              <w:jc w:val="center"/>
              <w:rPr>
                <w:rFonts w:ascii="宋体" w:hAnsi="宋体"/>
                <w:color w:val="auto"/>
                <w:kern w:val="0"/>
                <w:szCs w:val="21"/>
                <w:highlight w:val="none"/>
              </w:rPr>
            </w:pPr>
            <w:r>
              <w:rPr>
                <w:rFonts w:hint="eastAsia" w:ascii="宋体" w:hAnsi="宋体"/>
                <w:color w:val="auto"/>
                <w:kern w:val="0"/>
                <w:szCs w:val="21"/>
                <w:highlight w:val="none"/>
              </w:rPr>
              <w:t>1年</w:t>
            </w:r>
          </w:p>
        </w:tc>
        <w:tc>
          <w:tcPr>
            <w:tcW w:w="2977" w:type="dxa"/>
            <w:tcBorders>
              <w:top w:val="single" w:color="auto" w:sz="4" w:space="0"/>
              <w:left w:val="nil"/>
              <w:bottom w:val="single" w:color="auto" w:sz="4" w:space="0"/>
              <w:right w:val="single" w:color="auto" w:sz="4" w:space="0"/>
            </w:tcBorders>
            <w:vAlign w:val="center"/>
          </w:tcPr>
          <w:p w14:paraId="79FAFEF6">
            <w:pPr>
              <w:widowControl/>
              <w:spacing w:line="360" w:lineRule="exact"/>
              <w:ind w:right="68"/>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202</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年1月19日</w:t>
            </w:r>
            <w:r>
              <w:rPr>
                <w:rFonts w:hint="eastAsia" w:ascii="宋体" w:hAnsi="宋体"/>
                <w:color w:val="auto"/>
                <w:kern w:val="0"/>
                <w:szCs w:val="21"/>
                <w:highlight w:val="none"/>
                <w:lang w:val="en-US" w:eastAsia="zh-CN"/>
              </w:rPr>
              <w:t>后</w:t>
            </w:r>
          </w:p>
        </w:tc>
      </w:tr>
      <w:tr w14:paraId="0174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395E3D86">
            <w:pPr>
              <w:widowControl/>
              <w:spacing w:line="360" w:lineRule="exact"/>
              <w:ind w:right="68"/>
              <w:jc w:val="center"/>
              <w:rPr>
                <w:rFonts w:ascii="宋体" w:hAnsi="宋体"/>
                <w:color w:val="auto"/>
                <w:kern w:val="0"/>
                <w:szCs w:val="21"/>
                <w:highlight w:val="none"/>
              </w:rPr>
            </w:pPr>
            <w:r>
              <w:rPr>
                <w:rFonts w:hint="eastAsia" w:ascii="宋体" w:hAnsi="宋体"/>
                <w:color w:val="auto"/>
                <w:kern w:val="0"/>
                <w:szCs w:val="21"/>
                <w:highlight w:val="none"/>
              </w:rPr>
              <w:t>2</w:t>
            </w:r>
          </w:p>
        </w:tc>
        <w:tc>
          <w:tcPr>
            <w:tcW w:w="2268" w:type="dxa"/>
            <w:tcBorders>
              <w:top w:val="single" w:color="auto" w:sz="4" w:space="0"/>
              <w:left w:val="nil"/>
              <w:bottom w:val="single" w:color="auto" w:sz="4" w:space="0"/>
              <w:right w:val="single" w:color="auto" w:sz="4" w:space="0"/>
            </w:tcBorders>
            <w:vAlign w:val="center"/>
          </w:tcPr>
          <w:p w14:paraId="72DC7EB6">
            <w:pPr>
              <w:widowControl/>
              <w:spacing w:line="360" w:lineRule="exact"/>
              <w:ind w:right="68"/>
              <w:jc w:val="center"/>
              <w:rPr>
                <w:rFonts w:ascii="宋体" w:hAnsi="宋体"/>
                <w:color w:val="auto"/>
                <w:kern w:val="0"/>
                <w:szCs w:val="21"/>
                <w:highlight w:val="none"/>
              </w:rPr>
            </w:pPr>
            <w:r>
              <w:rPr>
                <w:rFonts w:hint="eastAsia" w:ascii="宋体" w:hAnsi="宋体"/>
                <w:color w:val="auto"/>
                <w:kern w:val="0"/>
                <w:szCs w:val="21"/>
                <w:highlight w:val="none"/>
              </w:rPr>
              <w:t>竞争性存款</w:t>
            </w:r>
          </w:p>
        </w:tc>
        <w:tc>
          <w:tcPr>
            <w:tcW w:w="1633" w:type="dxa"/>
            <w:tcBorders>
              <w:top w:val="single" w:color="auto" w:sz="4" w:space="0"/>
              <w:left w:val="nil"/>
              <w:bottom w:val="single" w:color="auto" w:sz="4" w:space="0"/>
              <w:right w:val="single" w:color="auto" w:sz="4" w:space="0"/>
            </w:tcBorders>
            <w:vAlign w:val="center"/>
          </w:tcPr>
          <w:p w14:paraId="1C150113">
            <w:pPr>
              <w:widowControl/>
              <w:spacing w:line="360" w:lineRule="exact"/>
              <w:ind w:right="68"/>
              <w:jc w:val="center"/>
              <w:rPr>
                <w:rFonts w:ascii="宋体" w:hAnsi="宋体"/>
                <w:color w:val="auto"/>
                <w:kern w:val="0"/>
                <w:szCs w:val="21"/>
                <w:highlight w:val="none"/>
              </w:rPr>
            </w:pPr>
            <w:r>
              <w:rPr>
                <w:rFonts w:hint="eastAsia" w:ascii="宋体" w:hAnsi="宋体"/>
                <w:color w:val="auto"/>
                <w:szCs w:val="21"/>
                <w:highlight w:val="none"/>
                <w:lang w:val="en-US" w:eastAsia="zh-CN"/>
              </w:rPr>
              <w:t>1000</w:t>
            </w:r>
          </w:p>
        </w:tc>
        <w:tc>
          <w:tcPr>
            <w:tcW w:w="1627" w:type="dxa"/>
            <w:tcBorders>
              <w:top w:val="single" w:color="auto" w:sz="4" w:space="0"/>
              <w:left w:val="nil"/>
              <w:bottom w:val="single" w:color="auto" w:sz="4" w:space="0"/>
              <w:right w:val="single" w:color="auto" w:sz="4" w:space="0"/>
            </w:tcBorders>
            <w:vAlign w:val="center"/>
          </w:tcPr>
          <w:p w14:paraId="02414ED5">
            <w:pPr>
              <w:widowControl/>
              <w:spacing w:line="360" w:lineRule="exact"/>
              <w:ind w:right="68"/>
              <w:jc w:val="center"/>
              <w:rPr>
                <w:rFonts w:ascii="宋体" w:hAnsi="宋体"/>
                <w:color w:val="auto"/>
                <w:kern w:val="0"/>
                <w:szCs w:val="21"/>
                <w:highlight w:val="none"/>
              </w:rPr>
            </w:pPr>
            <w:r>
              <w:rPr>
                <w:rFonts w:hint="eastAsia" w:ascii="宋体" w:hAnsi="宋体"/>
                <w:color w:val="auto"/>
                <w:kern w:val="0"/>
                <w:szCs w:val="21"/>
                <w:highlight w:val="none"/>
              </w:rPr>
              <w:t>1年</w:t>
            </w:r>
          </w:p>
        </w:tc>
        <w:tc>
          <w:tcPr>
            <w:tcW w:w="2977" w:type="dxa"/>
            <w:tcBorders>
              <w:top w:val="single" w:color="auto" w:sz="4" w:space="0"/>
              <w:left w:val="nil"/>
              <w:bottom w:val="single" w:color="auto" w:sz="4" w:space="0"/>
              <w:right w:val="single" w:color="auto" w:sz="4" w:space="0"/>
            </w:tcBorders>
            <w:vAlign w:val="center"/>
          </w:tcPr>
          <w:p w14:paraId="3F0C4998">
            <w:pPr>
              <w:widowControl/>
              <w:spacing w:line="360" w:lineRule="exact"/>
              <w:ind w:right="68"/>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202</w:t>
            </w:r>
            <w:r>
              <w:rPr>
                <w:rFonts w:hint="eastAsia" w:ascii="宋体" w:hAnsi="宋体"/>
                <w:color w:val="auto"/>
                <w:kern w:val="0"/>
                <w:szCs w:val="21"/>
                <w:highlight w:val="none"/>
                <w:lang w:val="en-US" w:eastAsia="zh-CN"/>
              </w:rPr>
              <w:t>5</w:t>
            </w:r>
            <w:r>
              <w:rPr>
                <w:rFonts w:hint="eastAsia" w:ascii="宋体" w:hAnsi="宋体"/>
                <w:color w:val="auto"/>
                <w:kern w:val="0"/>
                <w:szCs w:val="21"/>
                <w:highlight w:val="none"/>
              </w:rPr>
              <w:t>年4月</w:t>
            </w:r>
            <w:r>
              <w:rPr>
                <w:rFonts w:hint="eastAsia" w:ascii="宋体" w:hAnsi="宋体"/>
                <w:color w:val="auto"/>
                <w:kern w:val="0"/>
                <w:szCs w:val="21"/>
                <w:highlight w:val="none"/>
                <w:lang w:val="en-US" w:eastAsia="zh-CN"/>
              </w:rPr>
              <w:t>3</w:t>
            </w:r>
            <w:r>
              <w:rPr>
                <w:rFonts w:hint="eastAsia" w:ascii="宋体" w:hAnsi="宋体"/>
                <w:color w:val="auto"/>
                <w:kern w:val="0"/>
                <w:szCs w:val="21"/>
                <w:highlight w:val="none"/>
              </w:rPr>
              <w:t>日</w:t>
            </w:r>
            <w:r>
              <w:rPr>
                <w:rFonts w:hint="eastAsia" w:ascii="宋体" w:hAnsi="宋体"/>
                <w:color w:val="auto"/>
                <w:kern w:val="0"/>
                <w:szCs w:val="21"/>
                <w:highlight w:val="none"/>
                <w:lang w:val="en-US" w:eastAsia="zh-CN"/>
              </w:rPr>
              <w:t>后</w:t>
            </w:r>
          </w:p>
        </w:tc>
      </w:tr>
      <w:tr w14:paraId="7907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14:paraId="467DA1A3">
            <w:pPr>
              <w:widowControl/>
              <w:spacing w:line="360" w:lineRule="exact"/>
              <w:ind w:right="68"/>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3</w:t>
            </w:r>
          </w:p>
        </w:tc>
        <w:tc>
          <w:tcPr>
            <w:tcW w:w="2268" w:type="dxa"/>
            <w:tcBorders>
              <w:top w:val="single" w:color="auto" w:sz="4" w:space="0"/>
              <w:left w:val="nil"/>
              <w:bottom w:val="single" w:color="auto" w:sz="4" w:space="0"/>
              <w:right w:val="single" w:color="auto" w:sz="4" w:space="0"/>
            </w:tcBorders>
            <w:vAlign w:val="center"/>
          </w:tcPr>
          <w:p w14:paraId="3BA60716">
            <w:pPr>
              <w:widowControl/>
              <w:spacing w:line="360" w:lineRule="exact"/>
              <w:ind w:right="68"/>
              <w:jc w:val="center"/>
              <w:rPr>
                <w:rFonts w:hint="eastAsia" w:ascii="宋体" w:hAnsi="宋体"/>
                <w:color w:val="auto"/>
                <w:kern w:val="0"/>
                <w:szCs w:val="21"/>
                <w:highlight w:val="none"/>
              </w:rPr>
            </w:pPr>
            <w:r>
              <w:rPr>
                <w:rFonts w:hint="eastAsia" w:ascii="宋体" w:hAnsi="宋体"/>
                <w:color w:val="auto"/>
                <w:kern w:val="0"/>
                <w:szCs w:val="21"/>
                <w:highlight w:val="none"/>
              </w:rPr>
              <w:t>竞争性存款</w:t>
            </w:r>
          </w:p>
        </w:tc>
        <w:tc>
          <w:tcPr>
            <w:tcW w:w="1633" w:type="dxa"/>
            <w:tcBorders>
              <w:top w:val="single" w:color="auto" w:sz="4" w:space="0"/>
              <w:left w:val="nil"/>
              <w:bottom w:val="single" w:color="auto" w:sz="4" w:space="0"/>
              <w:right w:val="single" w:color="auto" w:sz="4" w:space="0"/>
            </w:tcBorders>
            <w:vAlign w:val="center"/>
          </w:tcPr>
          <w:p w14:paraId="77792E13">
            <w:pPr>
              <w:widowControl/>
              <w:spacing w:line="360" w:lineRule="exact"/>
              <w:ind w:right="68"/>
              <w:jc w:val="center"/>
              <w:rPr>
                <w:rFonts w:hint="eastAsia" w:ascii="宋体" w:hAnsi="宋体"/>
                <w:color w:val="auto"/>
                <w:kern w:val="0"/>
                <w:szCs w:val="21"/>
                <w:highlight w:val="none"/>
              </w:rPr>
            </w:pPr>
            <w:r>
              <w:rPr>
                <w:rFonts w:hint="eastAsia" w:ascii="宋体" w:hAnsi="宋体"/>
                <w:color w:val="auto"/>
                <w:szCs w:val="21"/>
                <w:highlight w:val="none"/>
                <w:lang w:val="en-US" w:eastAsia="zh-CN"/>
              </w:rPr>
              <w:t>1000</w:t>
            </w:r>
          </w:p>
        </w:tc>
        <w:tc>
          <w:tcPr>
            <w:tcW w:w="1627" w:type="dxa"/>
            <w:tcBorders>
              <w:top w:val="single" w:color="auto" w:sz="4" w:space="0"/>
              <w:left w:val="nil"/>
              <w:bottom w:val="single" w:color="auto" w:sz="4" w:space="0"/>
              <w:right w:val="single" w:color="auto" w:sz="4" w:space="0"/>
            </w:tcBorders>
            <w:vAlign w:val="center"/>
          </w:tcPr>
          <w:p w14:paraId="2094B190">
            <w:pPr>
              <w:widowControl/>
              <w:spacing w:line="360" w:lineRule="exact"/>
              <w:ind w:right="68"/>
              <w:jc w:val="center"/>
              <w:rPr>
                <w:rFonts w:hint="eastAsia" w:ascii="宋体" w:hAnsi="宋体"/>
                <w:color w:val="auto"/>
                <w:kern w:val="0"/>
                <w:szCs w:val="21"/>
                <w:highlight w:val="none"/>
              </w:rPr>
            </w:pPr>
            <w:r>
              <w:rPr>
                <w:rFonts w:hint="eastAsia" w:ascii="宋体" w:hAnsi="宋体"/>
                <w:color w:val="auto"/>
                <w:kern w:val="0"/>
                <w:szCs w:val="21"/>
                <w:highlight w:val="none"/>
              </w:rPr>
              <w:t>1年</w:t>
            </w:r>
          </w:p>
        </w:tc>
        <w:tc>
          <w:tcPr>
            <w:tcW w:w="2977" w:type="dxa"/>
            <w:tcBorders>
              <w:top w:val="single" w:color="auto" w:sz="4" w:space="0"/>
              <w:left w:val="nil"/>
              <w:bottom w:val="single" w:color="auto" w:sz="4" w:space="0"/>
              <w:right w:val="single" w:color="auto" w:sz="4" w:space="0"/>
            </w:tcBorders>
            <w:vAlign w:val="center"/>
          </w:tcPr>
          <w:p w14:paraId="0FB06591">
            <w:pPr>
              <w:widowControl/>
              <w:spacing w:line="360" w:lineRule="exact"/>
              <w:ind w:right="68"/>
              <w:jc w:val="center"/>
              <w:rPr>
                <w:rFonts w:hint="eastAsia" w:ascii="宋体" w:hAnsi="宋体"/>
                <w:color w:val="auto"/>
                <w:kern w:val="0"/>
                <w:szCs w:val="21"/>
                <w:highlight w:val="none"/>
              </w:rPr>
            </w:pPr>
          </w:p>
        </w:tc>
      </w:tr>
    </w:tbl>
    <w:p w14:paraId="2C60D8E2">
      <w:pPr>
        <w:spacing w:line="360" w:lineRule="exact"/>
        <w:jc w:val="left"/>
        <w:rPr>
          <w:rFonts w:ascii="宋体" w:hAnsi="宋体" w:cs="宋体"/>
          <w:b/>
          <w:color w:val="auto"/>
          <w:szCs w:val="21"/>
          <w:highlight w:val="none"/>
        </w:rPr>
      </w:pPr>
      <w:r>
        <w:rPr>
          <w:rFonts w:hint="eastAsia" w:ascii="宋体" w:hAnsi="宋体" w:cs="宋体"/>
          <w:b/>
          <w:color w:val="auto"/>
          <w:szCs w:val="21"/>
          <w:highlight w:val="none"/>
        </w:rPr>
        <w:t>二、定期存款年利率</w:t>
      </w:r>
    </w:p>
    <w:p w14:paraId="3ABDFDAD">
      <w:pPr>
        <w:spacing w:line="360" w:lineRule="exact"/>
        <w:ind w:firstLine="420" w:firstLineChars="200"/>
        <w:jc w:val="left"/>
        <w:rPr>
          <w:rFonts w:ascii="宋体" w:hAnsi="宋体"/>
          <w:bCs/>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本项目要求投标人根据近期央行公布的存款利率的上浮</w:t>
      </w:r>
      <w:r>
        <w:rPr>
          <w:rFonts w:hint="eastAsia" w:ascii="宋体" w:hAnsi="宋体" w:cs="宋体"/>
          <w:color w:val="auto"/>
          <w:szCs w:val="21"/>
          <w:highlight w:val="none"/>
        </w:rPr>
        <w:t>基点（BP）</w:t>
      </w:r>
      <w:r>
        <w:rPr>
          <w:rFonts w:hint="eastAsia" w:ascii="宋体" w:hAnsi="宋体"/>
          <w:bCs/>
          <w:color w:val="auto"/>
          <w:szCs w:val="21"/>
          <w:highlight w:val="none"/>
        </w:rPr>
        <w:t>投标报价，如存款期间央行公布的存款利率发生改变，则按改变的利率为基数，但投标报价</w:t>
      </w:r>
      <w:r>
        <w:rPr>
          <w:rFonts w:hint="eastAsia" w:ascii="宋体" w:hAnsi="宋体" w:cs="宋体"/>
          <w:color w:val="auto"/>
          <w:szCs w:val="21"/>
          <w:highlight w:val="none"/>
        </w:rPr>
        <w:t>基点（BP）</w:t>
      </w:r>
      <w:r>
        <w:rPr>
          <w:rFonts w:hint="eastAsia" w:ascii="宋体" w:hAnsi="宋体"/>
          <w:bCs/>
          <w:color w:val="auto"/>
          <w:szCs w:val="21"/>
          <w:highlight w:val="none"/>
        </w:rPr>
        <w:t>不变。</w:t>
      </w:r>
    </w:p>
    <w:p w14:paraId="482BAFE8">
      <w:pPr>
        <w:spacing w:line="36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存款利率基点（BP）指投标人在国家利率政策规定范围内相应期限存款基准利率的浮动幅度，但不得超过浙江省银行业自律协会约定存款利率浮动区间的上限。</w:t>
      </w:r>
    </w:p>
    <w:p w14:paraId="587BBA43">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3、定期存款利率=央行基准利率+基点（BP）。定期存款利率不得违反国家利率政策，否则视为无效投标。</w:t>
      </w:r>
    </w:p>
    <w:p w14:paraId="77ED6C0A">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4、不同期限的定期存款利率按相应基准利率和中标基点（BP）确定。</w:t>
      </w:r>
    </w:p>
    <w:p w14:paraId="494B9651">
      <w:pPr>
        <w:spacing w:line="360" w:lineRule="exact"/>
        <w:jc w:val="left"/>
        <w:rPr>
          <w:rFonts w:ascii="宋体" w:hAnsi="宋体" w:cs="宋体"/>
          <w:b/>
          <w:color w:val="auto"/>
          <w:szCs w:val="21"/>
          <w:highlight w:val="none"/>
        </w:rPr>
      </w:pPr>
      <w:r>
        <w:rPr>
          <w:rFonts w:hint="eastAsia" w:ascii="宋体" w:hAnsi="宋体" w:cs="宋体"/>
          <w:b/>
          <w:color w:val="auto"/>
          <w:szCs w:val="21"/>
          <w:highlight w:val="none"/>
        </w:rPr>
        <w:t>三、服务要求：</w:t>
      </w:r>
    </w:p>
    <w:p w14:paraId="7E415CDF">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1、投标银行内部管理规范，内控制度健全，具有严格的操作规程、应急方案、财务稳健保障、风险控制方案、保密措施的，并承担因自身问题引发的相关责任的。</w:t>
      </w:r>
    </w:p>
    <w:p w14:paraId="2FEBDDC8">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2、中标人应按招标人需要配备至少1名资金管理相适应的专业工作人员对接服务。</w:t>
      </w:r>
    </w:p>
    <w:p w14:paraId="7546513D">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3、中标银行在合同签订后，需根据招标人的要求，提供最近的网点进行相关服务。</w:t>
      </w:r>
    </w:p>
    <w:p w14:paraId="458965E2">
      <w:pPr>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4、在招标人要求上门办理业务服务，能及时准确与财政、单位对账，并按支付管理要求及时清算资金。</w:t>
      </w:r>
    </w:p>
    <w:p w14:paraId="720B6C6F">
      <w:pPr>
        <w:spacing w:line="360" w:lineRule="exact"/>
        <w:ind w:firstLine="424" w:firstLineChars="202"/>
        <w:jc w:val="left"/>
        <w:rPr>
          <w:rFonts w:ascii="宋体" w:hAnsi="宋体"/>
          <w:color w:val="auto"/>
          <w:szCs w:val="21"/>
          <w:highlight w:val="none"/>
        </w:rPr>
      </w:pPr>
      <w:r>
        <w:rPr>
          <w:rFonts w:hint="eastAsia" w:ascii="宋体" w:hAnsi="宋体"/>
          <w:color w:val="auto"/>
          <w:szCs w:val="21"/>
          <w:highlight w:val="none"/>
        </w:rPr>
        <w:t>5、遇到需要提前支取的情况，应该在核对相应的材料后给予绿色通道快速处理，不得拖延。且没有义务补足存款额，不承担因此给中标银行造成的损失。</w:t>
      </w:r>
    </w:p>
    <w:p w14:paraId="03737B91">
      <w:pPr>
        <w:spacing w:line="360" w:lineRule="exact"/>
        <w:ind w:firstLine="424" w:firstLineChars="202"/>
        <w:jc w:val="left"/>
        <w:rPr>
          <w:rFonts w:ascii="宋体" w:hAnsi="宋体"/>
          <w:color w:val="auto"/>
          <w:szCs w:val="21"/>
          <w:highlight w:val="none"/>
        </w:rPr>
      </w:pPr>
      <w:r>
        <w:rPr>
          <w:rFonts w:hint="eastAsia" w:ascii="宋体" w:hAnsi="宋体"/>
          <w:color w:val="auto"/>
          <w:szCs w:val="21"/>
          <w:highlight w:val="none"/>
        </w:rPr>
        <w:t>6、银行故障或招标人工作遇到疑问时，投标人应该能够30分钟内及时响应招标人疑问或维修要求，并在2小时内提出解决方案，24小时内解决问题。</w:t>
      </w:r>
    </w:p>
    <w:p w14:paraId="3B34CDD0">
      <w:pPr>
        <w:snapToGrid w:val="0"/>
        <w:spacing w:line="360" w:lineRule="exact"/>
        <w:ind w:firstLine="398" w:firstLineChars="200"/>
        <w:jc w:val="left"/>
        <w:rPr>
          <w:rFonts w:ascii="宋体" w:hAnsi="宋体"/>
          <w:color w:val="auto"/>
          <w:szCs w:val="21"/>
          <w:highlight w:val="none"/>
        </w:rPr>
      </w:pPr>
      <w:r>
        <w:rPr>
          <w:rFonts w:hint="eastAsia" w:ascii="宋体" w:hAnsi="宋体" w:cs="宋体"/>
          <w:b/>
          <w:color w:val="auto"/>
          <w:spacing w:val="-6"/>
          <w:szCs w:val="21"/>
          <w:highlight w:val="none"/>
        </w:rPr>
        <w:t>四、</w:t>
      </w:r>
      <w:r>
        <w:rPr>
          <w:rFonts w:hint="eastAsia" w:ascii="宋体" w:hAnsi="宋体"/>
          <w:b/>
          <w:color w:val="auto"/>
          <w:szCs w:val="21"/>
          <w:highlight w:val="none"/>
        </w:rPr>
        <w:t>定期存款存放中标银行出现以下情形之一的，招标人有权提前收回定期存款，并拒绝其在以后2至5年内参与本单位公款竞争性存放：</w:t>
      </w:r>
    </w:p>
    <w:p w14:paraId="66872DE1">
      <w:pPr>
        <w:snapToGrid w:val="0"/>
        <w:spacing w:line="36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（一）出现资金安全事故、重大违法违规情况或财务状况恶化的；</w:t>
      </w:r>
    </w:p>
    <w:p w14:paraId="0C9C4AB3">
      <w:pPr>
        <w:snapToGrid w:val="0"/>
        <w:spacing w:line="36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（二）监管评级降低后，监管部门认为存在较大运营风险的；</w:t>
      </w:r>
    </w:p>
    <w:p w14:paraId="42F3BB03">
      <w:pPr>
        <w:snapToGrid w:val="0"/>
        <w:spacing w:line="36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（三）进行不正当投标的；</w:t>
      </w:r>
    </w:p>
    <w:p w14:paraId="756C6DFD">
      <w:pPr>
        <w:snapToGrid w:val="0"/>
        <w:spacing w:line="36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（四）没有按照中标协议承诺履行相应的责任和义务的；</w:t>
      </w:r>
    </w:p>
    <w:p w14:paraId="514DD20B">
      <w:pPr>
        <w:snapToGrid w:val="0"/>
        <w:spacing w:line="36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（五）不能按规定将到期存款本息足额缴入单位账户的；</w:t>
      </w:r>
    </w:p>
    <w:p w14:paraId="2F44808A">
      <w:pPr>
        <w:snapToGrid w:val="0"/>
        <w:spacing w:line="36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（六）存在其他妨害资金安全行为的。</w:t>
      </w:r>
    </w:p>
    <w:p w14:paraId="58A1ACA7">
      <w:pPr>
        <w:snapToGrid w:val="0"/>
        <w:spacing w:line="360" w:lineRule="exact"/>
        <w:ind w:firstLine="398" w:firstLineChars="200"/>
        <w:jc w:val="left"/>
        <w:rPr>
          <w:rFonts w:ascii="宋体" w:hAnsi="宋体"/>
          <w:bCs/>
          <w:color w:val="auto"/>
          <w:szCs w:val="21"/>
          <w:highlight w:val="none"/>
        </w:rPr>
      </w:pPr>
      <w:r>
        <w:rPr>
          <w:rFonts w:hint="eastAsia" w:ascii="宋体" w:hAnsi="宋体" w:cs="宋体"/>
          <w:b/>
          <w:color w:val="auto"/>
          <w:spacing w:val="-6"/>
          <w:szCs w:val="21"/>
          <w:highlight w:val="none"/>
        </w:rPr>
        <w:t>提示：带“▲且加下划线”的为实质性条款，投标人必须做出实质性响应，否则视为无效投标文件。</w:t>
      </w:r>
    </w:p>
    <w:p w14:paraId="46EE3BEE">
      <w:pPr>
        <w:numPr>
          <w:ilvl w:val="0"/>
          <w:numId w:val="6"/>
        </w:numPr>
        <w:spacing w:line="500" w:lineRule="exact"/>
        <w:jc w:val="center"/>
        <w:outlineLvl w:val="0"/>
        <w:rPr>
          <w:rFonts w:ascii="宋体" w:hAnsi="宋体" w:cs="宋体"/>
          <w:b/>
          <w:bCs/>
          <w:color w:val="auto"/>
          <w:sz w:val="32"/>
          <w:szCs w:val="32"/>
          <w:highlight w:val="none"/>
        </w:rPr>
      </w:pPr>
      <w:r>
        <w:rPr>
          <w:rFonts w:hint="eastAsia" w:ascii="宋体" w:hAnsi="宋体" w:cs="宋体"/>
          <w:color w:val="auto"/>
          <w:sz w:val="22"/>
          <w:highlight w:val="none"/>
        </w:rPr>
        <w:br w:type="page"/>
      </w:r>
      <w:bookmarkStart w:id="6" w:name="_Toc122426743"/>
      <w:r>
        <w:rPr>
          <w:rFonts w:hint="eastAsia" w:ascii="宋体" w:hAnsi="宋体" w:cs="宋体"/>
          <w:b/>
          <w:bCs/>
          <w:color w:val="auto"/>
          <w:sz w:val="32"/>
          <w:szCs w:val="32"/>
          <w:highlight w:val="none"/>
        </w:rPr>
        <w:t>定期存款协议主要条款</w:t>
      </w:r>
      <w:bookmarkEnd w:id="6"/>
    </w:p>
    <w:p w14:paraId="39EDCB4E">
      <w:pPr>
        <w:spacing w:line="400" w:lineRule="exact"/>
        <w:ind w:right="26" w:firstLine="409" w:firstLineChars="194"/>
        <w:jc w:val="center"/>
        <w:rPr>
          <w:rFonts w:ascii="宋体" w:hAnsi="宋体"/>
          <w:b/>
          <w:color w:val="auto"/>
          <w:szCs w:val="21"/>
          <w:highlight w:val="none"/>
        </w:rPr>
      </w:pPr>
      <w:r>
        <w:rPr>
          <w:rFonts w:hint="eastAsia" w:ascii="宋体" w:hAnsi="宋体"/>
          <w:b/>
          <w:color w:val="auto"/>
          <w:szCs w:val="21"/>
          <w:highlight w:val="none"/>
        </w:rPr>
        <w:t>（仅供参考）</w:t>
      </w:r>
    </w:p>
    <w:p w14:paraId="3C6E7D03">
      <w:pPr>
        <w:spacing w:line="400" w:lineRule="exact"/>
        <w:rPr>
          <w:rFonts w:ascii="宋体" w:hAnsi="宋体" w:cs="宋体"/>
          <w:b/>
          <w:color w:val="auto"/>
          <w:kern w:val="0"/>
          <w:szCs w:val="21"/>
          <w:highlight w:val="none"/>
        </w:rPr>
      </w:pPr>
      <w:r>
        <w:rPr>
          <w:rFonts w:hint="eastAsia" w:ascii="宋体" w:hAnsi="宋体" w:cs="宋体"/>
          <w:b/>
          <w:color w:val="auto"/>
          <w:kern w:val="0"/>
          <w:szCs w:val="21"/>
          <w:highlight w:val="none"/>
        </w:rPr>
        <w:t>注：</w:t>
      </w:r>
      <w:r>
        <w:rPr>
          <w:rFonts w:ascii="宋体" w:hAnsi="宋体" w:cs="宋体"/>
          <w:b/>
          <w:color w:val="auto"/>
          <w:kern w:val="0"/>
          <w:szCs w:val="21"/>
          <w:highlight w:val="none"/>
        </w:rPr>
        <w:t>甲乙双方也可根据实际情况另签合同条款，正式合同以双方签字盖章的文本为准。</w:t>
      </w:r>
    </w:p>
    <w:p w14:paraId="24D7582C">
      <w:pPr>
        <w:spacing w:line="400" w:lineRule="exact"/>
        <w:ind w:right="26"/>
        <w:rPr>
          <w:rFonts w:ascii="宋体" w:hAnsi="宋体"/>
          <w:color w:val="auto"/>
          <w:szCs w:val="21"/>
          <w:highlight w:val="none"/>
        </w:rPr>
      </w:pPr>
      <w:r>
        <w:rPr>
          <w:rFonts w:hint="eastAsia" w:ascii="宋体" w:hAnsi="宋体"/>
          <w:color w:val="auto"/>
          <w:szCs w:val="21"/>
          <w:highlight w:val="none"/>
        </w:rPr>
        <w:t>甲方：</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（招标人） </w:t>
      </w:r>
      <w:r>
        <w:rPr>
          <w:rFonts w:ascii="宋体" w:hAnsi="宋体"/>
          <w:color w:val="auto"/>
          <w:szCs w:val="21"/>
          <w:highlight w:val="none"/>
          <w:u w:val="single"/>
        </w:rPr>
        <w:t xml:space="preserve">   </w:t>
      </w:r>
      <w:r>
        <w:rPr>
          <w:rFonts w:hint="eastAsia" w:ascii="宋体" w:hAnsi="宋体"/>
          <w:color w:val="auto"/>
          <w:szCs w:val="21"/>
          <w:highlight w:val="none"/>
        </w:rPr>
        <w:t xml:space="preserve"> </w:t>
      </w:r>
    </w:p>
    <w:p w14:paraId="66AAB805">
      <w:pPr>
        <w:spacing w:line="400" w:lineRule="exact"/>
        <w:ind w:right="26"/>
        <w:rPr>
          <w:rFonts w:ascii="宋体" w:hAnsi="宋体"/>
          <w:color w:val="auto"/>
          <w:szCs w:val="21"/>
          <w:highlight w:val="none"/>
          <w:u w:val="single"/>
        </w:rPr>
      </w:pPr>
      <w:r>
        <w:rPr>
          <w:rFonts w:hint="eastAsia" w:ascii="宋体" w:hAnsi="宋体"/>
          <w:color w:val="auto"/>
          <w:szCs w:val="21"/>
          <w:highlight w:val="none"/>
        </w:rPr>
        <w:t>住所：</w:t>
      </w:r>
      <w:r>
        <w:rPr>
          <w:rFonts w:hint="eastAsia" w:ascii="宋体" w:hAnsi="宋体"/>
          <w:color w:val="auto"/>
          <w:szCs w:val="21"/>
          <w:highlight w:val="none"/>
          <w:u w:val="single"/>
        </w:rPr>
        <w:t xml:space="preserve">                   </w:t>
      </w:r>
    </w:p>
    <w:p w14:paraId="6F75122F">
      <w:pPr>
        <w:spacing w:line="400" w:lineRule="exact"/>
        <w:ind w:right="26"/>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u w:val="single"/>
        </w:rPr>
        <w:t xml:space="preserve">                  </w:t>
      </w:r>
      <w:r>
        <w:rPr>
          <w:rFonts w:hint="eastAsia" w:ascii="宋体" w:hAnsi="宋体"/>
          <w:color w:val="auto"/>
          <w:szCs w:val="21"/>
          <w:highlight w:val="none"/>
        </w:rPr>
        <w:t>银行（或分支行）</w:t>
      </w:r>
    </w:p>
    <w:p w14:paraId="61E87085">
      <w:pPr>
        <w:spacing w:line="400" w:lineRule="exact"/>
        <w:ind w:right="26"/>
        <w:rPr>
          <w:rFonts w:ascii="宋体" w:hAnsi="宋体"/>
          <w:color w:val="auto"/>
          <w:szCs w:val="21"/>
          <w:highlight w:val="none"/>
        </w:rPr>
      </w:pPr>
      <w:r>
        <w:rPr>
          <w:rFonts w:hint="eastAsia" w:ascii="宋体" w:hAnsi="宋体"/>
          <w:color w:val="auto"/>
          <w:szCs w:val="21"/>
          <w:highlight w:val="none"/>
        </w:rPr>
        <w:t>住所：</w:t>
      </w:r>
      <w:r>
        <w:rPr>
          <w:rFonts w:hint="eastAsia" w:ascii="宋体" w:hAnsi="宋体"/>
          <w:color w:val="auto"/>
          <w:szCs w:val="21"/>
          <w:highlight w:val="none"/>
          <w:u w:val="single"/>
        </w:rPr>
        <w:t xml:space="preserve">                   </w:t>
      </w:r>
    </w:p>
    <w:p w14:paraId="67FFB181">
      <w:pPr>
        <w:spacing w:line="400" w:lineRule="exact"/>
        <w:ind w:right="26" w:firstLine="407" w:firstLineChars="194"/>
        <w:rPr>
          <w:rFonts w:ascii="宋体" w:hAnsi="宋体"/>
          <w:color w:val="auto"/>
          <w:szCs w:val="21"/>
          <w:highlight w:val="none"/>
        </w:rPr>
      </w:pPr>
      <w:r>
        <w:rPr>
          <w:rFonts w:hint="eastAsia" w:ascii="宋体" w:hAnsi="宋体"/>
          <w:color w:val="auto"/>
          <w:szCs w:val="21"/>
          <w:highlight w:val="none"/>
        </w:rPr>
        <w:t>为明确双方在</w:t>
      </w:r>
      <w:r>
        <w:rPr>
          <w:rFonts w:hint="eastAsia" w:ascii="宋体" w:hAnsi="宋体"/>
          <w:color w:val="auto"/>
          <w:szCs w:val="21"/>
          <w:highlight w:val="none"/>
          <w:u w:val="single"/>
          <w:lang w:eastAsia="zh-CN"/>
        </w:rPr>
        <w:t>温州科技职业学院2025年公款竞争性存放项目</w:t>
      </w:r>
      <w:r>
        <w:rPr>
          <w:rFonts w:hint="eastAsia" w:ascii="宋体" w:hAnsi="宋体"/>
          <w:color w:val="auto"/>
          <w:szCs w:val="21"/>
          <w:highlight w:val="none"/>
        </w:rPr>
        <w:t>业务活动中的权利与义务，甲、乙双方达成本协议。</w:t>
      </w:r>
    </w:p>
    <w:p w14:paraId="74EDB593">
      <w:pPr>
        <w:spacing w:line="400" w:lineRule="exact"/>
        <w:ind w:right="26" w:firstLine="409" w:firstLineChars="194"/>
        <w:rPr>
          <w:rFonts w:ascii="宋体" w:hAnsi="宋体"/>
          <w:b/>
          <w:color w:val="auto"/>
          <w:szCs w:val="21"/>
          <w:highlight w:val="none"/>
        </w:rPr>
      </w:pPr>
      <w:r>
        <w:rPr>
          <w:rFonts w:hint="eastAsia" w:ascii="宋体" w:hAnsi="宋体"/>
          <w:b/>
          <w:color w:val="auto"/>
          <w:szCs w:val="21"/>
          <w:highlight w:val="none"/>
        </w:rPr>
        <w:t>一、总  则</w:t>
      </w:r>
    </w:p>
    <w:p w14:paraId="2032E3DD">
      <w:pPr>
        <w:spacing w:line="400" w:lineRule="exact"/>
        <w:ind w:right="26" w:firstLine="409" w:firstLineChars="194"/>
        <w:rPr>
          <w:rFonts w:ascii="宋体" w:hAnsi="宋体"/>
          <w:color w:val="auto"/>
          <w:szCs w:val="21"/>
          <w:highlight w:val="none"/>
        </w:rPr>
      </w:pPr>
      <w:r>
        <w:rPr>
          <w:rFonts w:hint="eastAsia" w:ascii="宋体" w:hAnsi="宋体"/>
          <w:b/>
          <w:color w:val="auto"/>
          <w:szCs w:val="21"/>
          <w:highlight w:val="none"/>
        </w:rPr>
        <w:t>第一条</w:t>
      </w:r>
      <w:r>
        <w:rPr>
          <w:rFonts w:hint="eastAsia" w:ascii="宋体" w:hAnsi="宋体"/>
          <w:color w:val="auto"/>
          <w:szCs w:val="21"/>
          <w:highlight w:val="none"/>
        </w:rPr>
        <w:t xml:space="preserve"> 根据《中华人民共和国民法典》，经甲、乙双方平等协商，签定本协议。</w:t>
      </w:r>
    </w:p>
    <w:p w14:paraId="62E13BEE">
      <w:pPr>
        <w:spacing w:line="400" w:lineRule="exact"/>
        <w:ind w:right="26" w:firstLine="409" w:firstLineChars="194"/>
        <w:rPr>
          <w:rFonts w:ascii="宋体" w:hAnsi="宋体"/>
          <w:color w:val="auto"/>
          <w:szCs w:val="21"/>
          <w:highlight w:val="none"/>
        </w:rPr>
      </w:pPr>
      <w:r>
        <w:rPr>
          <w:rFonts w:hint="eastAsia" w:ascii="宋体" w:hAnsi="宋体"/>
          <w:b/>
          <w:color w:val="auto"/>
          <w:szCs w:val="21"/>
          <w:highlight w:val="none"/>
        </w:rPr>
        <w:t xml:space="preserve">第二条 </w:t>
      </w:r>
      <w:r>
        <w:rPr>
          <w:rFonts w:hint="eastAsia" w:ascii="宋体" w:hAnsi="宋体"/>
          <w:color w:val="auto"/>
          <w:szCs w:val="21"/>
          <w:highlight w:val="none"/>
        </w:rPr>
        <w:t>温州科技职业学院通过招投标方式择优确定公款竞争性存放资金的存放银行，其定期存款有关的资金管理、本息收回等活动适用本协议。</w:t>
      </w:r>
    </w:p>
    <w:p w14:paraId="3D6CDEB9">
      <w:pPr>
        <w:spacing w:line="440" w:lineRule="exact"/>
        <w:ind w:right="26" w:firstLine="409" w:firstLineChars="194"/>
        <w:rPr>
          <w:rFonts w:ascii="宋体" w:hAnsi="宋体"/>
          <w:color w:val="auto"/>
          <w:sz w:val="22"/>
          <w:highlight w:val="none"/>
        </w:rPr>
      </w:pPr>
      <w:r>
        <w:rPr>
          <w:rFonts w:hint="eastAsia" w:ascii="宋体" w:hAnsi="宋体"/>
          <w:b/>
          <w:color w:val="auto"/>
          <w:szCs w:val="21"/>
          <w:highlight w:val="none"/>
        </w:rPr>
        <w:t>第三条</w:t>
      </w:r>
      <w:r>
        <w:rPr>
          <w:rFonts w:hint="eastAsia" w:ascii="宋体" w:hAnsi="宋体"/>
          <w:color w:val="auto"/>
          <w:szCs w:val="21"/>
          <w:highlight w:val="none"/>
        </w:rPr>
        <w:t xml:space="preserve"> 经招投标确定，甲方在乙方开立定期存款账户，定期存款</w:t>
      </w:r>
      <w:r>
        <w:rPr>
          <w:rFonts w:hint="eastAsia" w:ascii="宋体" w:hAnsi="宋体"/>
          <w:color w:val="auto"/>
          <w:szCs w:val="21"/>
          <w:highlight w:val="none"/>
          <w:u w:val="single"/>
        </w:rPr>
        <w:t xml:space="preserve">       </w:t>
      </w:r>
      <w:r>
        <w:rPr>
          <w:rFonts w:hint="eastAsia" w:ascii="宋体" w:hAnsi="宋体"/>
          <w:color w:val="auto"/>
          <w:szCs w:val="21"/>
          <w:highlight w:val="none"/>
        </w:rPr>
        <w:t>万元，</w:t>
      </w:r>
      <w:r>
        <w:rPr>
          <w:rFonts w:ascii="宋体" w:hAnsi="宋体"/>
          <w:color w:val="auto"/>
          <w:szCs w:val="21"/>
          <w:highlight w:val="none"/>
        </w:rPr>
        <w:t>定期存款存期</w:t>
      </w:r>
      <w:r>
        <w:rPr>
          <w:rFonts w:hint="eastAsia" w:ascii="宋体" w:hAnsi="宋体"/>
          <w:color w:val="auto"/>
          <w:szCs w:val="21"/>
          <w:highlight w:val="none"/>
        </w:rPr>
        <w:t>一</w:t>
      </w:r>
      <w:r>
        <w:rPr>
          <w:rFonts w:ascii="宋体" w:hAnsi="宋体"/>
          <w:color w:val="auto"/>
          <w:szCs w:val="21"/>
          <w:highlight w:val="none"/>
        </w:rPr>
        <w:t>年，定期存款年利率</w:t>
      </w:r>
      <w:r>
        <w:rPr>
          <w:rFonts w:ascii="宋体" w:hAnsi="宋体"/>
          <w:color w:val="auto"/>
          <w:szCs w:val="21"/>
          <w:highlight w:val="none"/>
          <w:u w:val="single"/>
        </w:rPr>
        <w:t xml:space="preserve">     %</w:t>
      </w:r>
      <w:r>
        <w:rPr>
          <w:rFonts w:hint="eastAsia" w:ascii="宋体" w:hAnsi="宋体"/>
          <w:color w:val="auto"/>
          <w:szCs w:val="21"/>
          <w:highlight w:val="none"/>
          <w:u w:val="single"/>
          <w:lang w:eastAsia="zh-CN"/>
        </w:rPr>
        <w:t>（央行基准利率+基点（BP）</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ascii="宋体" w:hAnsi="宋体"/>
          <w:color w:val="auto"/>
          <w:szCs w:val="21"/>
          <w:highlight w:val="none"/>
        </w:rPr>
        <w:t>。乙方指定办理定期存款的分支机构为：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w:t>
      </w:r>
    </w:p>
    <w:p w14:paraId="4A942912">
      <w:pPr>
        <w:spacing w:line="400" w:lineRule="exact"/>
        <w:ind w:right="26" w:firstLine="409" w:firstLineChars="194"/>
        <w:rPr>
          <w:rFonts w:hint="eastAsia" w:ascii="宋体" w:hAnsi="宋体" w:eastAsia="宋体"/>
          <w:b w:val="0"/>
          <w:bCs/>
          <w:color w:val="auto"/>
          <w:szCs w:val="21"/>
          <w:highlight w:val="none"/>
          <w:lang w:eastAsia="zh-CN"/>
        </w:rPr>
      </w:pPr>
      <w:r>
        <w:rPr>
          <w:rFonts w:hint="eastAsia" w:ascii="宋体" w:hAnsi="宋体"/>
          <w:b/>
          <w:color w:val="auto"/>
          <w:szCs w:val="21"/>
          <w:highlight w:val="none"/>
        </w:rPr>
        <w:t>第</w:t>
      </w:r>
      <w:r>
        <w:rPr>
          <w:rFonts w:hint="eastAsia" w:ascii="宋体" w:hAnsi="宋体"/>
          <w:b/>
          <w:color w:val="auto"/>
          <w:szCs w:val="21"/>
          <w:highlight w:val="none"/>
          <w:lang w:val="en-US" w:eastAsia="zh-CN"/>
        </w:rPr>
        <w:t>四</w:t>
      </w:r>
      <w:r>
        <w:rPr>
          <w:rFonts w:hint="eastAsia" w:ascii="宋体" w:hAnsi="宋体"/>
          <w:b/>
          <w:color w:val="auto"/>
          <w:szCs w:val="21"/>
          <w:highlight w:val="none"/>
        </w:rPr>
        <w:t>条</w:t>
      </w:r>
      <w:r>
        <w:rPr>
          <w:rFonts w:hint="eastAsia" w:ascii="宋体" w:hAnsi="宋体"/>
          <w:b w:val="0"/>
          <w:bCs/>
          <w:color w:val="auto"/>
          <w:szCs w:val="21"/>
          <w:highlight w:val="none"/>
        </w:rPr>
        <w:t>《实际发生存款时利率随自律政策或内部授权调整/如遇央行调整存款利率，则存款利率同比例调整》</w:t>
      </w:r>
      <w:r>
        <w:rPr>
          <w:rFonts w:hint="eastAsia" w:ascii="宋体" w:hAnsi="宋体"/>
          <w:b w:val="0"/>
          <w:bCs/>
          <w:color w:val="auto"/>
          <w:szCs w:val="21"/>
          <w:highlight w:val="none"/>
          <w:lang w:eastAsia="zh-CN"/>
        </w:rPr>
        <w:t>。</w:t>
      </w:r>
    </w:p>
    <w:p w14:paraId="1F508F4A">
      <w:pPr>
        <w:spacing w:line="400" w:lineRule="exact"/>
        <w:ind w:right="26" w:firstLine="409" w:firstLineChars="194"/>
        <w:rPr>
          <w:rFonts w:ascii="宋体" w:hAnsi="宋体"/>
          <w:color w:val="auto"/>
          <w:szCs w:val="21"/>
          <w:highlight w:val="none"/>
        </w:rPr>
      </w:pPr>
      <w:r>
        <w:rPr>
          <w:rFonts w:hint="eastAsia" w:ascii="宋体" w:hAnsi="宋体"/>
          <w:b/>
          <w:color w:val="auto"/>
          <w:szCs w:val="21"/>
          <w:highlight w:val="none"/>
        </w:rPr>
        <w:t>第</w:t>
      </w:r>
      <w:r>
        <w:rPr>
          <w:rFonts w:hint="eastAsia" w:ascii="宋体" w:hAnsi="宋体"/>
          <w:b/>
          <w:color w:val="auto"/>
          <w:szCs w:val="21"/>
          <w:highlight w:val="none"/>
          <w:lang w:val="en-US" w:eastAsia="zh-CN"/>
        </w:rPr>
        <w:t>五</w:t>
      </w:r>
      <w:r>
        <w:rPr>
          <w:rFonts w:hint="eastAsia" w:ascii="宋体" w:hAnsi="宋体"/>
          <w:b/>
          <w:color w:val="auto"/>
          <w:szCs w:val="21"/>
          <w:highlight w:val="none"/>
        </w:rPr>
        <w:t>条</w:t>
      </w:r>
      <w:r>
        <w:rPr>
          <w:rFonts w:hint="eastAsia" w:ascii="宋体" w:hAnsi="宋体"/>
          <w:color w:val="auto"/>
          <w:kern w:val="0"/>
          <w:szCs w:val="21"/>
          <w:highlight w:val="none"/>
        </w:rPr>
        <w:t xml:space="preserve"> 乙方应于定期存款到期日或甲方提出提前支取次日(遇节假日顺延)，将定期存款本金和利息</w:t>
      </w:r>
      <w:r>
        <w:rPr>
          <w:rFonts w:hint="eastAsia" w:ascii="宋体" w:hAnsi="宋体"/>
          <w:color w:val="auto"/>
          <w:szCs w:val="21"/>
          <w:highlight w:val="none"/>
        </w:rPr>
        <w:t>划转至甲方指定账户。</w:t>
      </w:r>
    </w:p>
    <w:p w14:paraId="0302232E">
      <w:pPr>
        <w:spacing w:line="400" w:lineRule="exact"/>
        <w:ind w:right="26"/>
        <w:rPr>
          <w:rFonts w:ascii="宋体" w:hAnsi="宋体"/>
          <w:b/>
          <w:color w:val="auto"/>
          <w:szCs w:val="21"/>
          <w:highlight w:val="none"/>
        </w:rPr>
      </w:pPr>
      <w:r>
        <w:rPr>
          <w:rFonts w:hint="eastAsia" w:ascii="宋体" w:hAnsi="宋体"/>
          <w:b/>
          <w:color w:val="auto"/>
          <w:szCs w:val="21"/>
          <w:highlight w:val="none"/>
        </w:rPr>
        <w:t xml:space="preserve">    二、甲方权利和义务</w:t>
      </w:r>
    </w:p>
    <w:p w14:paraId="40412AD8">
      <w:pPr>
        <w:spacing w:line="400" w:lineRule="exact"/>
        <w:ind w:right="26" w:firstLine="407" w:firstLineChars="194"/>
        <w:rPr>
          <w:rFonts w:ascii="宋体" w:hAnsi="宋体"/>
          <w:color w:val="auto"/>
          <w:szCs w:val="21"/>
          <w:highlight w:val="none"/>
        </w:rPr>
      </w:pPr>
      <w:r>
        <w:rPr>
          <w:rFonts w:hint="eastAsia" w:ascii="宋体" w:hAnsi="宋体"/>
          <w:color w:val="auto"/>
          <w:szCs w:val="21"/>
          <w:highlight w:val="none"/>
        </w:rPr>
        <w:t>(一)甲方权利主要包括：</w:t>
      </w:r>
    </w:p>
    <w:p w14:paraId="015264A8">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1.组织开展甲方资金存放工作；</w:t>
      </w:r>
    </w:p>
    <w:p w14:paraId="5D42051E">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2.要求乙方提供存款证明；</w:t>
      </w:r>
    </w:p>
    <w:p w14:paraId="0403700A">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3.对甲方存放在乙方的定期存款业务实施监督管理；</w:t>
      </w:r>
    </w:p>
    <w:p w14:paraId="4F30FF33">
      <w:pPr>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4.在</w:t>
      </w:r>
      <w:r>
        <w:rPr>
          <w:rFonts w:hint="eastAsia" w:ascii="宋体" w:hAnsi="宋体" w:cs="宋体"/>
          <w:color w:val="auto"/>
          <w:kern w:val="0"/>
          <w:szCs w:val="21"/>
          <w:highlight w:val="none"/>
        </w:rPr>
        <w:t>乙方不按约定提供设备、人员及资金的，甲方有权撤回存放的资金；</w:t>
      </w:r>
    </w:p>
    <w:p w14:paraId="675C8A6B">
      <w:pPr>
        <w:tabs>
          <w:tab w:val="left" w:pos="7726"/>
        </w:tabs>
        <w:spacing w:line="400" w:lineRule="exact"/>
        <w:ind w:right="26" w:firstLine="407" w:firstLineChars="194"/>
        <w:rPr>
          <w:rFonts w:ascii="宋体" w:hAnsi="宋体"/>
          <w:color w:val="auto"/>
          <w:szCs w:val="21"/>
          <w:highlight w:val="none"/>
        </w:rPr>
      </w:pPr>
      <w:r>
        <w:rPr>
          <w:rFonts w:hint="eastAsia" w:ascii="宋体" w:hAnsi="宋体" w:cs="宋体"/>
          <w:color w:val="auto"/>
          <w:kern w:val="0"/>
          <w:szCs w:val="21"/>
          <w:highlight w:val="none"/>
        </w:rPr>
        <w:t>5.</w:t>
      </w:r>
      <w:r>
        <w:rPr>
          <w:rFonts w:hint="eastAsia" w:ascii="宋体" w:hAnsi="宋体" w:cs="宋体"/>
          <w:color w:val="auto"/>
          <w:szCs w:val="21"/>
          <w:highlight w:val="none"/>
        </w:rPr>
        <w:t>甲方因工作需要，其存款尚未到期前，可要求全部或部分支取存款</w:t>
      </w:r>
      <w:r>
        <w:rPr>
          <w:rFonts w:hint="eastAsia" w:ascii="宋体" w:hAnsi="宋体"/>
          <w:color w:val="auto"/>
          <w:szCs w:val="21"/>
          <w:highlight w:val="none"/>
        </w:rPr>
        <w:t>。</w:t>
      </w:r>
    </w:p>
    <w:p w14:paraId="5920A2E9">
      <w:pPr>
        <w:spacing w:line="400" w:lineRule="exact"/>
        <w:ind w:right="26" w:firstLine="407" w:firstLineChars="194"/>
        <w:rPr>
          <w:rFonts w:ascii="宋体" w:hAnsi="宋体"/>
          <w:color w:val="auto"/>
          <w:szCs w:val="21"/>
          <w:highlight w:val="none"/>
        </w:rPr>
      </w:pPr>
      <w:r>
        <w:rPr>
          <w:rFonts w:hint="eastAsia" w:ascii="宋体" w:hAnsi="宋体"/>
          <w:color w:val="auto"/>
          <w:szCs w:val="21"/>
          <w:highlight w:val="none"/>
        </w:rPr>
        <w:t>(二)甲方义务主要包括：</w:t>
      </w:r>
    </w:p>
    <w:p w14:paraId="0B4A9727">
      <w:pPr>
        <w:spacing w:line="400" w:lineRule="exact"/>
        <w:ind w:right="26" w:firstLine="407" w:firstLineChars="194"/>
        <w:rPr>
          <w:rFonts w:ascii="宋体" w:hAnsi="宋体"/>
          <w:color w:val="auto"/>
          <w:szCs w:val="21"/>
          <w:highlight w:val="none"/>
        </w:rPr>
      </w:pPr>
      <w:r>
        <w:rPr>
          <w:rFonts w:hint="eastAsia" w:ascii="宋体" w:hAnsi="宋体"/>
          <w:color w:val="auto"/>
          <w:szCs w:val="21"/>
          <w:highlight w:val="none"/>
        </w:rPr>
        <w:t>1．根据确认的中标结果，在规定时间内及时办理资金的具体存放手续；</w:t>
      </w:r>
    </w:p>
    <w:p w14:paraId="4C9A796A">
      <w:pPr>
        <w:spacing w:line="400" w:lineRule="exact"/>
        <w:ind w:right="26" w:firstLine="407" w:firstLineChars="194"/>
        <w:rPr>
          <w:rFonts w:ascii="宋体" w:hAnsi="宋体"/>
          <w:color w:val="auto"/>
          <w:szCs w:val="21"/>
          <w:highlight w:val="none"/>
        </w:rPr>
      </w:pPr>
      <w:r>
        <w:rPr>
          <w:rFonts w:hint="eastAsia" w:ascii="宋体" w:hAnsi="宋体"/>
          <w:color w:val="auto"/>
          <w:szCs w:val="21"/>
          <w:highlight w:val="none"/>
        </w:rPr>
        <w:t>2．及时与乙方核对账务；</w:t>
      </w:r>
    </w:p>
    <w:p w14:paraId="4663CF71">
      <w:pPr>
        <w:spacing w:line="400" w:lineRule="exact"/>
        <w:ind w:right="26" w:firstLine="409" w:firstLineChars="194"/>
        <w:rPr>
          <w:rFonts w:ascii="宋体" w:hAnsi="宋体"/>
          <w:b/>
          <w:color w:val="auto"/>
          <w:szCs w:val="21"/>
          <w:highlight w:val="none"/>
        </w:rPr>
      </w:pPr>
      <w:r>
        <w:rPr>
          <w:rFonts w:hint="eastAsia" w:ascii="宋体" w:hAnsi="宋体"/>
          <w:b/>
          <w:color w:val="auto"/>
          <w:szCs w:val="21"/>
          <w:highlight w:val="none"/>
        </w:rPr>
        <w:t>三、乙方权利和义务</w:t>
      </w:r>
    </w:p>
    <w:p w14:paraId="69191F3D">
      <w:pPr>
        <w:spacing w:line="400" w:lineRule="exact"/>
        <w:ind w:right="26" w:firstLine="407" w:firstLineChars="194"/>
        <w:rPr>
          <w:rFonts w:ascii="宋体" w:hAnsi="宋体"/>
          <w:color w:val="auto"/>
          <w:szCs w:val="21"/>
          <w:highlight w:val="none"/>
        </w:rPr>
      </w:pPr>
      <w:r>
        <w:rPr>
          <w:rFonts w:hint="eastAsia" w:ascii="宋体" w:hAnsi="宋体"/>
          <w:color w:val="auto"/>
          <w:szCs w:val="21"/>
          <w:highlight w:val="none"/>
        </w:rPr>
        <w:t>(一)乙方权利主要包括：</w:t>
      </w:r>
    </w:p>
    <w:p w14:paraId="35A0C2F3">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w:t>
      </w:r>
      <w:r>
        <w:rPr>
          <w:rFonts w:hint="eastAsia" w:ascii="宋体" w:hAnsi="宋体" w:cs="宋体"/>
          <w:color w:val="auto"/>
          <w:szCs w:val="21"/>
          <w:highlight w:val="none"/>
        </w:rPr>
        <w:t xml:space="preserve"> 参与甲方组织的竞争性存放工作</w:t>
      </w:r>
      <w:r>
        <w:rPr>
          <w:rFonts w:hint="eastAsia" w:ascii="宋体" w:hAnsi="宋体"/>
          <w:color w:val="auto"/>
          <w:kern w:val="0"/>
          <w:szCs w:val="21"/>
          <w:highlight w:val="none"/>
        </w:rPr>
        <w:t>；</w:t>
      </w:r>
    </w:p>
    <w:p w14:paraId="517AC403">
      <w:pPr>
        <w:widowControl/>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2．按招投标及本协议所确定的存款期限、额度和利率，在规定时间内获得甲方竞争性定期存款；</w:t>
      </w:r>
    </w:p>
    <w:p w14:paraId="78651C40">
      <w:pPr>
        <w:spacing w:line="400" w:lineRule="exact"/>
        <w:ind w:right="26" w:firstLine="407" w:firstLineChars="194"/>
        <w:rPr>
          <w:rFonts w:ascii="宋体" w:hAnsi="宋体"/>
          <w:color w:val="auto"/>
          <w:szCs w:val="21"/>
          <w:highlight w:val="none"/>
        </w:rPr>
      </w:pPr>
      <w:r>
        <w:rPr>
          <w:rFonts w:hint="eastAsia" w:ascii="宋体" w:hAnsi="宋体"/>
          <w:color w:val="auto"/>
          <w:szCs w:val="21"/>
          <w:highlight w:val="none"/>
        </w:rPr>
        <w:t>(二)乙方义务主要包括：</w:t>
      </w:r>
    </w:p>
    <w:p w14:paraId="4089AF9B">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1.确保甲方资金定期存款在乙方存续期间的资金安全；</w:t>
      </w:r>
    </w:p>
    <w:p w14:paraId="09AB6DE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2.按规定向甲方预留印鉴、办理账户信息备案手续；</w:t>
      </w:r>
    </w:p>
    <w:p w14:paraId="6383370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3.向甲方提供存款证明；</w:t>
      </w:r>
    </w:p>
    <w:p w14:paraId="3FDA2A00">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4.存款到期及时足额缴清甲方存款本息；</w:t>
      </w:r>
    </w:p>
    <w:p w14:paraId="66077FD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5.按本协议规定及时履行相应的责任和义务，并将履行情况及时告知甲方；</w:t>
      </w:r>
    </w:p>
    <w:p w14:paraId="3E8E540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6.接受甲方对资金定期存款业务的监督管理；</w:t>
      </w:r>
    </w:p>
    <w:p w14:paraId="6111F0B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7.提供甲方资金存放期存款相关单据及报表；</w:t>
      </w:r>
    </w:p>
    <w:p w14:paraId="1F82F27B">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8.监测存款有关情况，并及时通报甲方；</w:t>
      </w:r>
    </w:p>
    <w:p w14:paraId="28CEE76B">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9.配合甲方对在乙方资金定期存款业务实施监督管理；</w:t>
      </w:r>
    </w:p>
    <w:p w14:paraId="3D9C18CC">
      <w:pPr>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10.</w:t>
      </w:r>
      <w:r>
        <w:rPr>
          <w:rFonts w:hint="eastAsia" w:ascii="宋体" w:hAnsi="宋体" w:cs="宋体"/>
          <w:color w:val="auto"/>
          <w:szCs w:val="21"/>
          <w:highlight w:val="none"/>
        </w:rPr>
        <w:t>乙方应确定固定部门及经办人员负责甲方公款竞争性存放业务，并向温州科技职业学院计划财务处报备业务部门、部门负责人、具体业务人员及联系方式。如有变更，应于变更后2个工作日内书面告知</w:t>
      </w:r>
      <w:r>
        <w:rPr>
          <w:rFonts w:hint="eastAsia" w:ascii="宋体" w:hAnsi="宋体" w:cs="宋体"/>
          <w:color w:val="auto"/>
          <w:szCs w:val="21"/>
          <w:highlight w:val="none"/>
          <w:lang w:eastAsia="zh-CN"/>
        </w:rPr>
        <w:t>温州科技职业学院计划财务处</w:t>
      </w:r>
      <w:r>
        <w:rPr>
          <w:rFonts w:hint="eastAsia" w:ascii="宋体" w:hAnsi="宋体" w:cs="宋体"/>
          <w:color w:val="auto"/>
          <w:szCs w:val="21"/>
          <w:highlight w:val="none"/>
        </w:rPr>
        <w:t>；</w:t>
      </w:r>
    </w:p>
    <w:p w14:paraId="2617A8F7">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11.按约定提供对学校事业发展的支持；</w:t>
      </w:r>
    </w:p>
    <w:p w14:paraId="57591B0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12.遇到有被银监局降级等特殊情况，会危及资金安全的需要在情况发生3天内及时通知定存单位；</w:t>
      </w:r>
    </w:p>
    <w:p w14:paraId="4766D851">
      <w:pPr>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如遇国家和省有关政策调整以及为保证正常支付需提前全部或部分支取定期存款的，中标银行应积极予以办理。提前支取部分，银行按支取时国家有关利率政策规定计付利息，未支取部分仍需按原存款协议规定的起息日、期限、存款利率、到期日还本付息；</w:t>
      </w:r>
    </w:p>
    <w:p w14:paraId="240312DA">
      <w:pPr>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14.</w:t>
      </w:r>
      <w:r>
        <w:rPr>
          <w:rFonts w:hint="eastAsia" w:ascii="宋体" w:hAnsi="宋体" w:cs="宋体"/>
          <w:color w:val="auto"/>
          <w:szCs w:val="21"/>
          <w:highlight w:val="none"/>
        </w:rPr>
        <w:t>乙方应视甲方要求履行投标文件中承诺的服务</w:t>
      </w:r>
      <w:r>
        <w:rPr>
          <w:rFonts w:hint="eastAsia" w:ascii="宋体" w:hAnsi="宋体" w:cs="宋体"/>
          <w:bCs/>
          <w:color w:val="auto"/>
          <w:szCs w:val="21"/>
          <w:highlight w:val="none"/>
        </w:rPr>
        <w:t>。</w:t>
      </w:r>
    </w:p>
    <w:p w14:paraId="06903A46">
      <w:pPr>
        <w:spacing w:line="400" w:lineRule="exact"/>
        <w:ind w:right="26"/>
        <w:rPr>
          <w:rFonts w:ascii="宋体" w:hAnsi="宋体"/>
          <w:b/>
          <w:color w:val="auto"/>
          <w:szCs w:val="21"/>
          <w:highlight w:val="none"/>
        </w:rPr>
      </w:pPr>
      <w:r>
        <w:rPr>
          <w:rFonts w:hint="eastAsia" w:ascii="宋体" w:hAnsi="宋体"/>
          <w:b/>
          <w:color w:val="auto"/>
          <w:szCs w:val="21"/>
          <w:highlight w:val="none"/>
        </w:rPr>
        <w:t xml:space="preserve">    四、违约责任</w:t>
      </w:r>
    </w:p>
    <w:p w14:paraId="5AA32E5C">
      <w:pPr>
        <w:spacing w:line="400" w:lineRule="exact"/>
        <w:ind w:right="26"/>
        <w:rPr>
          <w:rFonts w:ascii="宋体" w:hAnsi="宋体"/>
          <w:color w:val="auto"/>
          <w:szCs w:val="21"/>
          <w:highlight w:val="none"/>
        </w:rPr>
      </w:pPr>
      <w:r>
        <w:rPr>
          <w:rFonts w:hint="eastAsia" w:ascii="宋体" w:hAnsi="宋体"/>
          <w:color w:val="auto"/>
          <w:szCs w:val="21"/>
          <w:highlight w:val="none"/>
        </w:rPr>
        <w:t xml:space="preserve">    除发生不可抗力外，违约责任按以下条款执行：</w:t>
      </w:r>
    </w:p>
    <w:p w14:paraId="128C78D7">
      <w:pPr>
        <w:spacing w:line="400" w:lineRule="exact"/>
        <w:ind w:right="26" w:firstLine="420" w:firstLineChars="200"/>
        <w:rPr>
          <w:rFonts w:ascii="宋体" w:hAnsi="宋体"/>
          <w:color w:val="auto"/>
          <w:kern w:val="0"/>
          <w:szCs w:val="21"/>
          <w:highlight w:val="none"/>
        </w:rPr>
      </w:pPr>
      <w:r>
        <w:rPr>
          <w:rFonts w:hint="eastAsia" w:ascii="宋体" w:hAnsi="宋体"/>
          <w:color w:val="auto"/>
          <w:kern w:val="0"/>
          <w:szCs w:val="21"/>
          <w:highlight w:val="none"/>
        </w:rPr>
        <w:t>1.甲方未按协议约定存款，甲乙双方协商不成的，未划款部分甲方以当期存款协议中定期存款利率的两倍折成日利率，按日向乙方支付违约金；</w:t>
      </w:r>
    </w:p>
    <w:p w14:paraId="1F7458F5">
      <w:pPr>
        <w:spacing w:line="400" w:lineRule="exact"/>
        <w:ind w:right="26" w:firstLine="420" w:firstLineChars="200"/>
        <w:rPr>
          <w:rFonts w:ascii="宋体" w:hAnsi="宋体"/>
          <w:color w:val="auto"/>
          <w:kern w:val="0"/>
          <w:szCs w:val="21"/>
          <w:highlight w:val="none"/>
        </w:rPr>
      </w:pPr>
      <w:r>
        <w:rPr>
          <w:rFonts w:hint="eastAsia" w:ascii="宋体" w:hAnsi="宋体"/>
          <w:color w:val="auto"/>
          <w:szCs w:val="21"/>
          <w:highlight w:val="none"/>
        </w:rPr>
        <w:t>2.</w:t>
      </w:r>
      <w:r>
        <w:rPr>
          <w:rFonts w:hint="eastAsia" w:ascii="宋体" w:hAnsi="宋体"/>
          <w:color w:val="auto"/>
          <w:kern w:val="0"/>
          <w:szCs w:val="21"/>
          <w:highlight w:val="none"/>
        </w:rPr>
        <w:t>乙方未及时向甲方划转到期存款本息的，应以当期存款协议中定期存款利率的两倍折成日利率，按日向甲方支付违约金。</w:t>
      </w:r>
    </w:p>
    <w:p w14:paraId="7B506775">
      <w:pPr>
        <w:spacing w:line="400" w:lineRule="exact"/>
        <w:ind w:right="26" w:firstLine="420" w:firstLineChars="200"/>
        <w:rPr>
          <w:rFonts w:ascii="宋体" w:hAnsi="宋体"/>
          <w:color w:val="auto"/>
          <w:kern w:val="0"/>
          <w:szCs w:val="21"/>
          <w:highlight w:val="none"/>
        </w:rPr>
      </w:pPr>
      <w:r>
        <w:rPr>
          <w:rFonts w:hint="eastAsia" w:ascii="宋体" w:hAnsi="宋体"/>
          <w:color w:val="auto"/>
          <w:kern w:val="0"/>
          <w:szCs w:val="21"/>
          <w:highlight w:val="none"/>
        </w:rPr>
        <w:t>3.乙方有下列情形之一的，甲方有权提前收回存放资金：</w:t>
      </w:r>
    </w:p>
    <w:p w14:paraId="7260CDA5">
      <w:pPr>
        <w:widowControl/>
        <w:spacing w:line="400" w:lineRule="exact"/>
        <w:ind w:firstLine="567" w:firstLineChars="270"/>
        <w:rPr>
          <w:rFonts w:ascii="宋体" w:hAnsi="宋体"/>
          <w:color w:val="auto"/>
          <w:kern w:val="0"/>
          <w:szCs w:val="21"/>
          <w:highlight w:val="none"/>
        </w:rPr>
      </w:pPr>
      <w:r>
        <w:rPr>
          <w:rFonts w:hint="eastAsia" w:ascii="宋体" w:hAnsi="宋体"/>
          <w:color w:val="auto"/>
          <w:kern w:val="0"/>
          <w:szCs w:val="21"/>
          <w:highlight w:val="none"/>
        </w:rPr>
        <w:t>（1）出现资金安全事故和重大违法违规情况或财务恶化；</w:t>
      </w:r>
    </w:p>
    <w:p w14:paraId="63AFEA17">
      <w:pPr>
        <w:widowControl/>
        <w:spacing w:line="400" w:lineRule="exact"/>
        <w:ind w:firstLine="567" w:firstLineChars="270"/>
        <w:rPr>
          <w:rFonts w:ascii="宋体" w:hAnsi="宋体"/>
          <w:color w:val="auto"/>
          <w:kern w:val="0"/>
          <w:szCs w:val="21"/>
          <w:highlight w:val="none"/>
        </w:rPr>
      </w:pPr>
      <w:r>
        <w:rPr>
          <w:rFonts w:hint="eastAsia" w:ascii="宋体" w:hAnsi="宋体"/>
          <w:color w:val="auto"/>
          <w:kern w:val="0"/>
          <w:szCs w:val="21"/>
          <w:highlight w:val="none"/>
        </w:rPr>
        <w:t>（2）监管评级降低，监管部门认为存在较大运营风险；</w:t>
      </w:r>
    </w:p>
    <w:p w14:paraId="597FD0BA">
      <w:pPr>
        <w:widowControl/>
        <w:spacing w:line="400" w:lineRule="exact"/>
        <w:ind w:firstLine="567" w:firstLineChars="270"/>
        <w:rPr>
          <w:rFonts w:ascii="宋体" w:hAnsi="宋体"/>
          <w:color w:val="auto"/>
          <w:kern w:val="0"/>
          <w:szCs w:val="21"/>
          <w:highlight w:val="none"/>
        </w:rPr>
      </w:pPr>
      <w:r>
        <w:rPr>
          <w:rFonts w:hint="eastAsia" w:ascii="宋体" w:hAnsi="宋体"/>
          <w:color w:val="auto"/>
          <w:kern w:val="0"/>
          <w:szCs w:val="21"/>
          <w:highlight w:val="none"/>
        </w:rPr>
        <w:t>（3）进行不正当投标；</w:t>
      </w:r>
    </w:p>
    <w:p w14:paraId="714205F1">
      <w:pPr>
        <w:widowControl/>
        <w:spacing w:line="400" w:lineRule="exact"/>
        <w:ind w:firstLine="567" w:firstLineChars="270"/>
        <w:rPr>
          <w:rFonts w:ascii="宋体" w:hAnsi="宋体"/>
          <w:color w:val="auto"/>
          <w:kern w:val="0"/>
          <w:szCs w:val="21"/>
          <w:highlight w:val="none"/>
        </w:rPr>
      </w:pPr>
      <w:r>
        <w:rPr>
          <w:rFonts w:hint="eastAsia" w:ascii="宋体" w:hAnsi="宋体"/>
          <w:color w:val="auto"/>
          <w:kern w:val="0"/>
          <w:szCs w:val="21"/>
          <w:highlight w:val="none"/>
        </w:rPr>
        <w:t>（4）没有按照中标协议承诺履行相应的责任和义务；</w:t>
      </w:r>
    </w:p>
    <w:p w14:paraId="3B091358">
      <w:pPr>
        <w:widowControl/>
        <w:spacing w:line="400" w:lineRule="exact"/>
        <w:ind w:firstLine="567" w:firstLineChars="270"/>
        <w:rPr>
          <w:rFonts w:ascii="宋体" w:hAnsi="宋体"/>
          <w:color w:val="auto"/>
          <w:kern w:val="0"/>
          <w:szCs w:val="21"/>
          <w:highlight w:val="none"/>
        </w:rPr>
      </w:pPr>
      <w:r>
        <w:rPr>
          <w:rFonts w:hint="eastAsia" w:ascii="宋体" w:hAnsi="宋体"/>
          <w:color w:val="auto"/>
          <w:kern w:val="0"/>
          <w:szCs w:val="21"/>
          <w:highlight w:val="none"/>
        </w:rPr>
        <w:t>（5）</w:t>
      </w:r>
      <w:r>
        <w:rPr>
          <w:rFonts w:hint="eastAsia" w:ascii="宋体" w:hAnsi="宋体"/>
          <w:color w:val="auto"/>
          <w:szCs w:val="21"/>
          <w:highlight w:val="none"/>
        </w:rPr>
        <w:t>不能按规定将到期存款本息足额缴入单位账户的；</w:t>
      </w:r>
    </w:p>
    <w:p w14:paraId="500FF58F">
      <w:pPr>
        <w:widowControl/>
        <w:spacing w:line="400" w:lineRule="exact"/>
        <w:ind w:firstLine="567" w:firstLineChars="270"/>
        <w:rPr>
          <w:rFonts w:ascii="宋体" w:hAnsi="宋体"/>
          <w:color w:val="auto"/>
          <w:kern w:val="0"/>
          <w:szCs w:val="21"/>
          <w:highlight w:val="none"/>
        </w:rPr>
      </w:pPr>
      <w:r>
        <w:rPr>
          <w:rFonts w:hint="eastAsia" w:ascii="宋体" w:hAnsi="宋体"/>
          <w:color w:val="auto"/>
          <w:kern w:val="0"/>
          <w:szCs w:val="21"/>
          <w:highlight w:val="none"/>
        </w:rPr>
        <w:t>（6）存在其他妨害资金安全行为的。</w:t>
      </w:r>
    </w:p>
    <w:p w14:paraId="2BC606D8">
      <w:pPr>
        <w:widowControl/>
        <w:spacing w:line="400" w:lineRule="exact"/>
        <w:ind w:firstLine="600"/>
        <w:rPr>
          <w:rFonts w:ascii="宋体" w:hAnsi="宋体"/>
          <w:color w:val="auto"/>
          <w:szCs w:val="21"/>
          <w:highlight w:val="none"/>
        </w:rPr>
      </w:pPr>
      <w:r>
        <w:rPr>
          <w:rFonts w:hint="eastAsia" w:ascii="宋体" w:hAnsi="宋体"/>
          <w:color w:val="auto"/>
          <w:szCs w:val="21"/>
          <w:highlight w:val="none"/>
        </w:rPr>
        <w:t>4.乙方未在竞争性存放资金到期日结清本息并将本息资金划转至指定账户的，甲方有权取消乙方之后各期的竞争性存放投标资格，按</w:t>
      </w:r>
      <w:r>
        <w:rPr>
          <w:rFonts w:hint="eastAsia" w:ascii="宋体" w:hAnsi="宋体"/>
          <w:color w:val="auto"/>
          <w:kern w:val="0"/>
          <w:szCs w:val="21"/>
          <w:highlight w:val="none"/>
        </w:rPr>
        <w:t>国家有关利率政策规定计付利息</w:t>
      </w:r>
      <w:r>
        <w:rPr>
          <w:rFonts w:hint="eastAsia" w:ascii="宋体" w:hAnsi="宋体"/>
          <w:color w:val="auto"/>
          <w:szCs w:val="21"/>
          <w:highlight w:val="none"/>
        </w:rPr>
        <w:t>。</w:t>
      </w:r>
    </w:p>
    <w:p w14:paraId="219D18B7">
      <w:pPr>
        <w:spacing w:line="400" w:lineRule="exact"/>
        <w:ind w:right="26" w:firstLine="409" w:firstLineChars="194"/>
        <w:rPr>
          <w:rFonts w:ascii="宋体" w:hAnsi="宋体"/>
          <w:b/>
          <w:bCs/>
          <w:color w:val="auto"/>
          <w:kern w:val="0"/>
          <w:szCs w:val="21"/>
          <w:highlight w:val="none"/>
        </w:rPr>
      </w:pPr>
      <w:r>
        <w:rPr>
          <w:rFonts w:hint="eastAsia" w:ascii="宋体" w:hAnsi="宋体"/>
          <w:b/>
          <w:color w:val="auto"/>
          <w:szCs w:val="21"/>
          <w:highlight w:val="none"/>
        </w:rPr>
        <w:t>五、提前支取</w:t>
      </w:r>
      <w:r>
        <w:rPr>
          <w:rFonts w:hint="eastAsia" w:ascii="宋体" w:hAnsi="宋体"/>
          <w:b/>
          <w:bCs/>
          <w:color w:val="auto"/>
          <w:kern w:val="0"/>
          <w:szCs w:val="21"/>
          <w:highlight w:val="none"/>
        </w:rPr>
        <w:t>。</w:t>
      </w:r>
    </w:p>
    <w:p w14:paraId="02BA9D5F">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1.甲方有权在到期日前提前支取资金定期存款，甲方至少应在</w:t>
      </w:r>
      <w:r>
        <w:rPr>
          <w:rFonts w:ascii="宋体" w:hAnsi="宋体"/>
          <w:color w:val="auto"/>
          <w:kern w:val="0"/>
          <w:szCs w:val="21"/>
          <w:highlight w:val="none"/>
          <w:u w:val="single"/>
        </w:rPr>
        <w:t>3</w:t>
      </w:r>
      <w:r>
        <w:rPr>
          <w:rFonts w:hint="eastAsia" w:ascii="宋体" w:hAnsi="宋体"/>
          <w:color w:val="auto"/>
          <w:kern w:val="0"/>
          <w:szCs w:val="21"/>
          <w:highlight w:val="none"/>
        </w:rPr>
        <w:t>个工作日前通知乙方，提前支取部分按支取时国家有关利率政策规定计付利息，未支取部分仍需按原存款约定的起息日、期限、约定利率、到期日还本付息。对提前支取的业务，乙方应积极配合办理。</w:t>
      </w:r>
    </w:p>
    <w:p w14:paraId="5BEED3FD">
      <w:pPr>
        <w:widowControl/>
        <w:spacing w:line="400" w:lineRule="exact"/>
        <w:ind w:firstLine="420" w:firstLineChars="200"/>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如遇国家和市有关政策调整需收回竞争性存放资金的，</w:t>
      </w:r>
      <w:r>
        <w:rPr>
          <w:rFonts w:hint="eastAsia" w:ascii="宋体" w:hAnsi="宋体"/>
          <w:color w:val="auto"/>
          <w:kern w:val="0"/>
          <w:szCs w:val="21"/>
          <w:highlight w:val="none"/>
        </w:rPr>
        <w:t>乙方</w:t>
      </w:r>
      <w:r>
        <w:rPr>
          <w:rFonts w:ascii="宋体" w:hAnsi="宋体"/>
          <w:color w:val="auto"/>
          <w:kern w:val="0"/>
          <w:szCs w:val="21"/>
          <w:highlight w:val="none"/>
        </w:rPr>
        <w:t>应按照</w:t>
      </w:r>
      <w:r>
        <w:rPr>
          <w:rFonts w:hint="eastAsia" w:ascii="宋体" w:hAnsi="宋体"/>
          <w:color w:val="auto"/>
          <w:kern w:val="0"/>
          <w:szCs w:val="21"/>
          <w:highlight w:val="none"/>
        </w:rPr>
        <w:t>甲方</w:t>
      </w:r>
      <w:r>
        <w:rPr>
          <w:rFonts w:ascii="宋体" w:hAnsi="宋体"/>
          <w:color w:val="auto"/>
          <w:kern w:val="0"/>
          <w:szCs w:val="21"/>
          <w:highlight w:val="none"/>
        </w:rPr>
        <w:t>通知，及时将资金转入</w:t>
      </w:r>
      <w:r>
        <w:rPr>
          <w:rFonts w:hint="eastAsia" w:ascii="宋体" w:hAnsi="宋体"/>
          <w:color w:val="auto"/>
          <w:kern w:val="0"/>
          <w:szCs w:val="21"/>
          <w:highlight w:val="none"/>
        </w:rPr>
        <w:t>甲方</w:t>
      </w:r>
      <w:r>
        <w:rPr>
          <w:rFonts w:ascii="宋体" w:hAnsi="宋体"/>
          <w:color w:val="auto"/>
          <w:kern w:val="0"/>
          <w:szCs w:val="21"/>
          <w:highlight w:val="none"/>
        </w:rPr>
        <w:t>指定账户。</w:t>
      </w:r>
    </w:p>
    <w:p w14:paraId="6FC7D821">
      <w:pPr>
        <w:spacing w:line="400" w:lineRule="exact"/>
        <w:ind w:firstLine="424" w:firstLineChars="201"/>
        <w:outlineLvl w:val="1"/>
        <w:rPr>
          <w:rFonts w:ascii="宋体" w:hAnsi="宋体" w:cs="宋体"/>
          <w:b/>
          <w:color w:val="auto"/>
          <w:kern w:val="0"/>
          <w:szCs w:val="21"/>
          <w:highlight w:val="none"/>
        </w:rPr>
      </w:pPr>
      <w:r>
        <w:rPr>
          <w:rFonts w:hint="eastAsia" w:ascii="宋体" w:hAnsi="宋体" w:cs="宋体"/>
          <w:b/>
          <w:color w:val="auto"/>
          <w:szCs w:val="21"/>
          <w:highlight w:val="none"/>
        </w:rPr>
        <w:t>六、</w:t>
      </w:r>
      <w:r>
        <w:rPr>
          <w:rFonts w:hint="eastAsia" w:ascii="宋体" w:hAnsi="宋体" w:cs="宋体"/>
          <w:b/>
          <w:color w:val="auto"/>
          <w:kern w:val="0"/>
          <w:szCs w:val="21"/>
          <w:highlight w:val="none"/>
        </w:rPr>
        <w:t>争议及未尽事宜：</w:t>
      </w:r>
    </w:p>
    <w:p w14:paraId="5DA59C3D">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有关本协议和签署本协议的争议应通过友好协商解决。如果协商不成，该争议应按照以下第</w:t>
      </w:r>
      <w:r>
        <w:rPr>
          <w:rFonts w:hint="eastAsia" w:ascii="宋体" w:hAnsi="宋体" w:cs="宋体"/>
          <w:bCs/>
          <w:color w:val="auto"/>
          <w:szCs w:val="21"/>
          <w:highlight w:val="none"/>
          <w:u w:val="single"/>
        </w:rPr>
        <w:t>（2）</w:t>
      </w:r>
      <w:r>
        <w:rPr>
          <w:rFonts w:hint="eastAsia" w:ascii="宋体" w:hAnsi="宋体" w:cs="宋体"/>
          <w:bCs/>
          <w:color w:val="auto"/>
          <w:szCs w:val="21"/>
          <w:highlight w:val="none"/>
        </w:rPr>
        <w:t>种方式解决</w:t>
      </w:r>
      <w:r>
        <w:rPr>
          <w:rFonts w:hint="eastAsia" w:ascii="宋体" w:hAnsi="宋体" w:cs="宋体"/>
          <w:color w:val="auto"/>
          <w:szCs w:val="21"/>
          <w:highlight w:val="none"/>
        </w:rPr>
        <w:t>：</w:t>
      </w:r>
    </w:p>
    <w:p w14:paraId="7A3B40B9">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（1）提交温州仲裁委员会仲裁，仲裁结果具有终结效力，双方应严格遵守；</w:t>
      </w:r>
    </w:p>
    <w:p w14:paraId="3E6505A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（2）提交甲方注册地人民法院通过诉讼解决。</w:t>
      </w:r>
    </w:p>
    <w:p w14:paraId="01209987">
      <w:pPr>
        <w:spacing w:line="40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本协议未尽事宜或与国家有关法律、法规相悖的，均按国家有关法律、规定执行。</w:t>
      </w:r>
    </w:p>
    <w:p w14:paraId="3A2640FA">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3.任何一方就对方针对本协议项下任何条款的违约行为的自动弃权或重复性弃权不应被视为是对下一次针对同一条款的违约行为、或针对其他条款的违约行为的弃权。</w:t>
      </w:r>
    </w:p>
    <w:p w14:paraId="6DC642AC">
      <w:pPr>
        <w:spacing w:line="400" w:lineRule="exact"/>
        <w:ind w:right="26" w:firstLine="409" w:firstLineChars="194"/>
        <w:rPr>
          <w:rFonts w:ascii="宋体" w:hAnsi="宋体"/>
          <w:color w:val="auto"/>
          <w:kern w:val="0"/>
          <w:szCs w:val="21"/>
          <w:highlight w:val="none"/>
        </w:rPr>
      </w:pPr>
      <w:r>
        <w:rPr>
          <w:rFonts w:hint="eastAsia" w:ascii="宋体" w:hAnsi="宋体"/>
          <w:b/>
          <w:color w:val="auto"/>
          <w:szCs w:val="21"/>
          <w:highlight w:val="none"/>
        </w:rPr>
        <w:t>七、</w:t>
      </w:r>
      <w:r>
        <w:rPr>
          <w:rFonts w:hint="eastAsia" w:ascii="宋体" w:hAnsi="宋体"/>
          <w:b/>
          <w:bCs/>
          <w:color w:val="auto"/>
          <w:kern w:val="0"/>
          <w:szCs w:val="21"/>
          <w:highlight w:val="none"/>
        </w:rPr>
        <w:t>协议期限。</w:t>
      </w:r>
      <w:r>
        <w:rPr>
          <w:rFonts w:hint="eastAsia" w:ascii="宋体" w:hAnsi="宋体"/>
          <w:color w:val="auto"/>
          <w:kern w:val="0"/>
          <w:szCs w:val="21"/>
          <w:highlight w:val="none"/>
        </w:rPr>
        <w:t>本协议期限为</w:t>
      </w:r>
      <w:r>
        <w:rPr>
          <w:rFonts w:ascii="宋体" w:hAnsi="宋体"/>
          <w:color w:val="auto"/>
          <w:kern w:val="0"/>
          <w:szCs w:val="21"/>
          <w:highlight w:val="none"/>
          <w:u w:val="single"/>
        </w:rPr>
        <w:t xml:space="preserve">   </w:t>
      </w:r>
      <w:r>
        <w:rPr>
          <w:rFonts w:hint="eastAsia" w:ascii="宋体" w:hAnsi="宋体"/>
          <w:color w:val="auto"/>
          <w:kern w:val="0"/>
          <w:szCs w:val="21"/>
          <w:highlight w:val="none"/>
        </w:rPr>
        <w:t>年，自</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日起至</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日存款到期日止。</w:t>
      </w:r>
    </w:p>
    <w:p w14:paraId="5C6625B7">
      <w:pPr>
        <w:spacing w:line="400" w:lineRule="exact"/>
        <w:ind w:right="26"/>
        <w:rPr>
          <w:rFonts w:ascii="宋体" w:hAnsi="宋体"/>
          <w:color w:val="auto"/>
          <w:szCs w:val="21"/>
          <w:highlight w:val="none"/>
        </w:rPr>
      </w:pPr>
      <w:r>
        <w:rPr>
          <w:rFonts w:hint="eastAsia" w:ascii="宋体" w:hAnsi="宋体"/>
          <w:b/>
          <w:color w:val="auto"/>
          <w:szCs w:val="21"/>
          <w:highlight w:val="none"/>
        </w:rPr>
        <w:t xml:space="preserve">    八、</w:t>
      </w:r>
      <w:r>
        <w:rPr>
          <w:rFonts w:hint="eastAsia" w:ascii="宋体" w:hAnsi="宋体"/>
          <w:color w:val="auto"/>
          <w:szCs w:val="21"/>
          <w:highlight w:val="none"/>
        </w:rPr>
        <w:t>本协议一式五份，双方各执二份，一份送招标公司备案，具有同等法律效力。</w:t>
      </w:r>
    </w:p>
    <w:p w14:paraId="729ED821">
      <w:pPr>
        <w:spacing w:line="400" w:lineRule="exact"/>
        <w:ind w:right="26" w:firstLine="409" w:firstLineChars="194"/>
        <w:rPr>
          <w:rFonts w:ascii="宋体" w:hAnsi="宋体"/>
          <w:b/>
          <w:bCs/>
          <w:color w:val="auto"/>
          <w:kern w:val="0"/>
          <w:szCs w:val="21"/>
          <w:highlight w:val="none"/>
        </w:rPr>
      </w:pPr>
    </w:p>
    <w:p w14:paraId="5478F242">
      <w:pPr>
        <w:spacing w:line="400" w:lineRule="exact"/>
        <w:ind w:firstLine="934" w:firstLineChars="445"/>
        <w:rPr>
          <w:rFonts w:ascii="宋体" w:hAnsi="宋体"/>
          <w:bCs/>
          <w:color w:val="auto"/>
          <w:szCs w:val="21"/>
          <w:highlight w:val="none"/>
        </w:rPr>
      </w:pPr>
      <w:r>
        <w:rPr>
          <w:rFonts w:hint="eastAsia" w:ascii="宋体" w:hAnsi="宋体"/>
          <w:bCs/>
          <w:color w:val="auto"/>
          <w:szCs w:val="21"/>
          <w:highlight w:val="none"/>
        </w:rPr>
        <w:t>甲方：                                    乙方：</w:t>
      </w:r>
    </w:p>
    <w:p w14:paraId="572790CF">
      <w:pPr>
        <w:spacing w:line="400" w:lineRule="exact"/>
        <w:ind w:firstLine="934" w:firstLineChars="445"/>
        <w:rPr>
          <w:rFonts w:ascii="宋体" w:hAnsi="宋体"/>
          <w:bCs/>
          <w:color w:val="auto"/>
          <w:szCs w:val="21"/>
          <w:highlight w:val="none"/>
        </w:rPr>
      </w:pPr>
      <w:r>
        <w:rPr>
          <w:rFonts w:hint="eastAsia" w:ascii="宋体" w:hAnsi="宋体"/>
          <w:bCs/>
          <w:color w:val="auto"/>
          <w:szCs w:val="21"/>
          <w:highlight w:val="none"/>
        </w:rPr>
        <w:t>法定（委托）代表人（签字）：               法定（委托）代表人（签字）：</w:t>
      </w:r>
    </w:p>
    <w:p w14:paraId="4ADDC511">
      <w:pPr>
        <w:spacing w:line="400" w:lineRule="exact"/>
        <w:ind w:firstLine="934" w:firstLineChars="445"/>
        <w:rPr>
          <w:rFonts w:ascii="宋体" w:hAnsi="宋体"/>
          <w:bCs/>
          <w:color w:val="auto"/>
          <w:szCs w:val="21"/>
          <w:highlight w:val="none"/>
        </w:rPr>
      </w:pPr>
      <w:r>
        <w:rPr>
          <w:rFonts w:hint="eastAsia" w:ascii="宋体" w:hAnsi="宋体"/>
          <w:bCs/>
          <w:color w:val="auto"/>
          <w:szCs w:val="21"/>
          <w:highlight w:val="none"/>
        </w:rPr>
        <w:t>项目联系人：                              项目联系人：</w:t>
      </w:r>
    </w:p>
    <w:p w14:paraId="4F689E45">
      <w:pPr>
        <w:spacing w:line="400" w:lineRule="exact"/>
        <w:ind w:firstLine="934" w:firstLineChars="445"/>
        <w:rPr>
          <w:rFonts w:ascii="宋体" w:hAnsi="宋体"/>
          <w:bCs/>
          <w:color w:val="auto"/>
          <w:szCs w:val="21"/>
          <w:highlight w:val="none"/>
        </w:rPr>
      </w:pPr>
      <w:r>
        <w:rPr>
          <w:rFonts w:hint="eastAsia" w:ascii="宋体" w:hAnsi="宋体"/>
          <w:bCs/>
          <w:color w:val="auto"/>
          <w:szCs w:val="21"/>
          <w:highlight w:val="none"/>
        </w:rPr>
        <w:t>通信地址：                                通信地址：</w:t>
      </w:r>
    </w:p>
    <w:p w14:paraId="288D153D">
      <w:pPr>
        <w:spacing w:line="400" w:lineRule="exact"/>
        <w:ind w:firstLine="934" w:firstLineChars="445"/>
        <w:rPr>
          <w:rFonts w:ascii="宋体" w:hAnsi="宋体"/>
          <w:bCs/>
          <w:color w:val="auto"/>
          <w:szCs w:val="21"/>
          <w:highlight w:val="none"/>
        </w:rPr>
      </w:pPr>
      <w:r>
        <w:rPr>
          <w:rFonts w:hint="eastAsia" w:ascii="宋体" w:hAnsi="宋体"/>
          <w:bCs/>
          <w:color w:val="auto"/>
          <w:szCs w:val="21"/>
          <w:highlight w:val="none"/>
        </w:rPr>
        <w:t>电话：                                    电话：</w:t>
      </w:r>
    </w:p>
    <w:p w14:paraId="6DDF5BD0">
      <w:pPr>
        <w:spacing w:line="400" w:lineRule="exact"/>
        <w:ind w:firstLine="934" w:firstLineChars="445"/>
        <w:rPr>
          <w:rFonts w:ascii="宋体" w:hAnsi="宋体"/>
          <w:bCs/>
          <w:color w:val="auto"/>
          <w:szCs w:val="21"/>
          <w:highlight w:val="none"/>
        </w:rPr>
      </w:pPr>
      <w:r>
        <w:rPr>
          <w:rFonts w:hint="eastAsia" w:ascii="宋体" w:hAnsi="宋体"/>
          <w:bCs/>
          <w:color w:val="auto"/>
          <w:szCs w:val="21"/>
          <w:highlight w:val="none"/>
        </w:rPr>
        <w:t>传真：                                    传真：</w:t>
      </w:r>
    </w:p>
    <w:p w14:paraId="2020B88A">
      <w:pPr>
        <w:spacing w:line="400" w:lineRule="exact"/>
        <w:ind w:firstLine="5344" w:firstLineChars="2545"/>
        <w:rPr>
          <w:rFonts w:ascii="宋体" w:hAnsi="宋体"/>
          <w:bCs/>
          <w:color w:val="auto"/>
          <w:szCs w:val="21"/>
          <w:highlight w:val="none"/>
        </w:rPr>
      </w:pPr>
      <w:r>
        <w:rPr>
          <w:rFonts w:hint="eastAsia" w:ascii="宋体" w:hAnsi="宋体"/>
          <w:bCs/>
          <w:color w:val="auto"/>
          <w:szCs w:val="21"/>
          <w:highlight w:val="none"/>
        </w:rPr>
        <w:t>签字日期：   年   月   日</w:t>
      </w:r>
    </w:p>
    <w:p w14:paraId="10984363">
      <w:pPr>
        <w:widowControl/>
        <w:jc w:val="left"/>
        <w:rPr>
          <w:rFonts w:ascii="宋体" w:hAnsi="宋体" w:cs="宋体"/>
          <w:b/>
          <w:snapToGrid w:val="0"/>
          <w:color w:val="auto"/>
          <w:kern w:val="0"/>
          <w:sz w:val="32"/>
          <w:szCs w:val="32"/>
          <w:highlight w:val="none"/>
        </w:rPr>
      </w:pPr>
      <w:r>
        <w:rPr>
          <w:rFonts w:hAnsi="宋体" w:cs="宋体"/>
          <w:b/>
          <w:snapToGrid w:val="0"/>
          <w:color w:val="auto"/>
          <w:kern w:val="0"/>
          <w:sz w:val="32"/>
          <w:szCs w:val="32"/>
          <w:highlight w:val="none"/>
        </w:rPr>
        <w:br w:type="page"/>
      </w:r>
    </w:p>
    <w:p w14:paraId="252D010F">
      <w:pPr>
        <w:numPr>
          <w:ilvl w:val="0"/>
          <w:numId w:val="6"/>
        </w:numPr>
        <w:spacing w:line="500" w:lineRule="exact"/>
        <w:jc w:val="center"/>
        <w:outlineLvl w:val="0"/>
        <w:rPr>
          <w:rFonts w:ascii="宋体" w:hAnsi="宋体" w:cs="宋体"/>
          <w:b/>
          <w:bCs/>
          <w:color w:val="auto"/>
          <w:sz w:val="32"/>
          <w:szCs w:val="32"/>
          <w:highlight w:val="none"/>
        </w:rPr>
      </w:pPr>
      <w:bookmarkStart w:id="7" w:name="_Toc122426744"/>
      <w:r>
        <w:rPr>
          <w:rFonts w:hint="eastAsia" w:ascii="宋体" w:hAnsi="宋体" w:cs="宋体"/>
          <w:b/>
          <w:bCs/>
          <w:color w:val="auto"/>
          <w:sz w:val="32"/>
          <w:szCs w:val="32"/>
          <w:highlight w:val="none"/>
        </w:rPr>
        <w:t>投标文件格式附件</w:t>
      </w:r>
      <w:bookmarkEnd w:id="7"/>
    </w:p>
    <w:p w14:paraId="611691E7">
      <w:pPr>
        <w:snapToGrid w:val="0"/>
        <w:spacing w:beforeLines="50" w:after="50"/>
        <w:jc w:val="center"/>
        <w:outlineLvl w:val="1"/>
        <w:rPr>
          <w:rFonts w:ascii="宋体" w:hAnsi="宋体" w:cs="宋体"/>
          <w:b/>
          <w:color w:val="auto"/>
          <w:sz w:val="30"/>
          <w:szCs w:val="30"/>
          <w:highlight w:val="none"/>
        </w:rPr>
      </w:pPr>
    </w:p>
    <w:p w14:paraId="64414566">
      <w:pPr>
        <w:snapToGrid w:val="0"/>
        <w:spacing w:beforeLines="50" w:after="50"/>
        <w:jc w:val="center"/>
        <w:outlineLvl w:val="1"/>
        <w:rPr>
          <w:rFonts w:ascii="宋体" w:hAnsi="宋体" w:cs="宋体"/>
          <w:b/>
          <w:bCs/>
          <w:color w:val="auto"/>
          <w:sz w:val="32"/>
          <w:szCs w:val="32"/>
          <w:highlight w:val="none"/>
        </w:rPr>
      </w:pPr>
    </w:p>
    <w:p w14:paraId="16030100">
      <w:pPr>
        <w:snapToGrid w:val="0"/>
        <w:spacing w:beforeLines="50" w:after="50"/>
        <w:jc w:val="center"/>
        <w:outlineLvl w:val="1"/>
        <w:rPr>
          <w:rFonts w:ascii="宋体" w:hAnsi="宋体" w:cs="宋体"/>
          <w:b/>
          <w:color w:val="auto"/>
          <w:sz w:val="24"/>
          <w:highlight w:val="none"/>
        </w:rPr>
      </w:pPr>
      <w:r>
        <w:rPr>
          <w:rFonts w:hint="eastAsia" w:ascii="宋体" w:hAnsi="宋体" w:cs="宋体"/>
          <w:b/>
          <w:bCs/>
          <w:color w:val="auto"/>
          <w:sz w:val="32"/>
          <w:szCs w:val="32"/>
          <w:highlight w:val="none"/>
        </w:rPr>
        <w:t>投标文件封面格式：</w:t>
      </w:r>
    </w:p>
    <w:p w14:paraId="5B3C0EB8">
      <w:pPr>
        <w:snapToGrid w:val="0"/>
        <w:spacing w:beforeLines="50" w:after="50"/>
        <w:rPr>
          <w:rFonts w:ascii="宋体" w:hAnsi="宋体" w:cs="宋体"/>
          <w:color w:val="auto"/>
          <w:sz w:val="24"/>
          <w:szCs w:val="20"/>
          <w:highlight w:val="none"/>
        </w:rPr>
      </w:pPr>
      <w:r>
        <w:rPr>
          <w:rFonts w:ascii="宋体" w:hAnsi="宋体" w:cs="宋体"/>
          <w:color w:val="auto"/>
          <w:sz w:val="24"/>
          <w:szCs w:val="20"/>
          <w:highlight w:val="none"/>
        </w:rPr>
        <mc:AlternateContent>
          <mc:Choice Requires="wps">
            <w:drawing>
              <wp:inline distT="0" distB="0" distL="114300" distR="114300">
                <wp:extent cx="5976620" cy="3641725"/>
                <wp:effectExtent l="4445" t="5080" r="19685" b="10795"/>
                <wp:docPr id="3" name="文本框 3"/>
                <wp:cNvGraphicFramePr/>
                <a:graphic xmlns:a="http://schemas.openxmlformats.org/drawingml/2006/main">
                  <a:graphicData uri="http://schemas.microsoft.com/office/word/2010/wordprocessingShape">
                    <wps:wsp>
                      <wps:cNvSpPr txBox="1">
                        <a:spLocks noRot="1"/>
                      </wps:cNvSpPr>
                      <wps:spPr>
                        <a:xfrm>
                          <a:off x="0" y="0"/>
                          <a:ext cx="5302250" cy="3641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ECC3008">
                            <w:pPr>
                              <w:snapToGrid w:val="0"/>
                              <w:spacing w:beforeLines="50" w:after="50"/>
                              <w:jc w:val="right"/>
                              <w:rPr>
                                <w:rFonts w:ascii="宋体" w:hAnsi="宋体"/>
                                <w:sz w:val="24"/>
                                <w:szCs w:val="24"/>
                              </w:rPr>
                            </w:pPr>
                          </w:p>
                          <w:p w14:paraId="4BFA54FB">
                            <w:pPr>
                              <w:snapToGrid w:val="0"/>
                              <w:spacing w:beforeLines="50" w:after="50"/>
                              <w:jc w:val="center"/>
                              <w:rPr>
                                <w:rFonts w:ascii="宋体" w:hAnsi="宋体"/>
                                <w:sz w:val="24"/>
                                <w:szCs w:val="24"/>
                              </w:rPr>
                            </w:pPr>
                          </w:p>
                          <w:p w14:paraId="2D458727">
                            <w:pPr>
                              <w:snapToGrid w:val="0"/>
                              <w:spacing w:beforeLines="50" w:after="50"/>
                              <w:jc w:val="center"/>
                              <w:rPr>
                                <w:rFonts w:ascii="宋体" w:hAnsi="宋体"/>
                                <w:bCs/>
                                <w:sz w:val="24"/>
                                <w:szCs w:val="24"/>
                              </w:rPr>
                            </w:pPr>
                            <w:r>
                              <w:rPr>
                                <w:rFonts w:hint="eastAsia" w:ascii="宋体" w:hAnsi="宋体"/>
                                <w:bCs/>
                                <w:sz w:val="24"/>
                                <w:szCs w:val="24"/>
                              </w:rPr>
                              <w:t>投标文件</w:t>
                            </w:r>
                          </w:p>
                          <w:p w14:paraId="57300653">
                            <w:pPr>
                              <w:snapToGrid w:val="0"/>
                              <w:spacing w:beforeLines="50" w:after="50"/>
                              <w:rPr>
                                <w:rFonts w:ascii="宋体" w:hAnsi="宋体"/>
                                <w:bCs/>
                                <w:sz w:val="24"/>
                                <w:szCs w:val="24"/>
                              </w:rPr>
                            </w:pPr>
                          </w:p>
                          <w:p w14:paraId="61993705">
                            <w:pPr>
                              <w:snapToGrid w:val="0"/>
                              <w:spacing w:beforeLines="50" w:after="50"/>
                              <w:ind w:firstLine="1068" w:firstLineChars="445"/>
                              <w:rPr>
                                <w:rFonts w:ascii="宋体" w:hAnsi="宋体"/>
                                <w:bCs/>
                                <w:sz w:val="24"/>
                              </w:rPr>
                            </w:pPr>
                            <w:r>
                              <w:rPr>
                                <w:rFonts w:hint="eastAsia" w:ascii="宋体" w:hAnsi="宋体"/>
                                <w:bCs/>
                                <w:sz w:val="24"/>
                              </w:rPr>
                              <w:t>项目名称：</w:t>
                            </w:r>
                          </w:p>
                          <w:p w14:paraId="64ED2BCB">
                            <w:pPr>
                              <w:snapToGrid w:val="0"/>
                              <w:spacing w:beforeLines="50" w:after="50"/>
                              <w:ind w:firstLine="1068" w:firstLineChars="445"/>
                              <w:rPr>
                                <w:rFonts w:ascii="宋体" w:hAnsi="宋体"/>
                                <w:bCs/>
                                <w:sz w:val="24"/>
                              </w:rPr>
                            </w:pPr>
                            <w:r>
                              <w:rPr>
                                <w:rFonts w:hint="eastAsia" w:ascii="宋体" w:hAnsi="宋体"/>
                                <w:bCs/>
                                <w:sz w:val="24"/>
                              </w:rPr>
                              <w:t>项目编号：</w:t>
                            </w:r>
                          </w:p>
                          <w:p w14:paraId="5E4FFA92">
                            <w:pPr>
                              <w:snapToGrid w:val="0"/>
                              <w:spacing w:beforeLines="50" w:after="50"/>
                              <w:ind w:firstLine="1068" w:firstLineChars="445"/>
                              <w:rPr>
                                <w:rFonts w:ascii="宋体" w:hAnsi="宋体"/>
                                <w:bCs/>
                                <w:sz w:val="24"/>
                              </w:rPr>
                            </w:pPr>
                            <w:r>
                              <w:rPr>
                                <w:rFonts w:hint="eastAsia" w:ascii="宋体" w:hAnsi="宋体"/>
                                <w:bCs/>
                                <w:sz w:val="24"/>
                              </w:rPr>
                              <w:t>标项：</w:t>
                            </w:r>
                          </w:p>
                          <w:p w14:paraId="5C81D575">
                            <w:pPr>
                              <w:snapToGrid w:val="0"/>
                              <w:spacing w:beforeLines="50" w:after="50"/>
                              <w:ind w:firstLine="1068" w:firstLineChars="445"/>
                              <w:rPr>
                                <w:rFonts w:ascii="宋体" w:hAnsi="宋体"/>
                                <w:bCs/>
                                <w:sz w:val="24"/>
                              </w:rPr>
                            </w:pPr>
                            <w:r>
                              <w:rPr>
                                <w:rFonts w:hint="eastAsia" w:ascii="宋体" w:hAnsi="宋体"/>
                                <w:bCs/>
                                <w:sz w:val="24"/>
                              </w:rPr>
                              <w:t>投标人名称：</w:t>
                            </w:r>
                          </w:p>
                          <w:p w14:paraId="57DD3EE1">
                            <w:pPr>
                              <w:snapToGrid w:val="0"/>
                              <w:spacing w:beforeLines="50" w:after="50"/>
                              <w:ind w:firstLine="1068" w:firstLineChars="445"/>
                              <w:rPr>
                                <w:rFonts w:ascii="宋体" w:hAnsi="宋体"/>
                                <w:bCs/>
                                <w:sz w:val="24"/>
                              </w:rPr>
                            </w:pPr>
                            <w:r>
                              <w:rPr>
                                <w:rFonts w:hint="eastAsia" w:ascii="宋体" w:hAnsi="宋体"/>
                                <w:bCs/>
                                <w:sz w:val="24"/>
                              </w:rPr>
                              <w:t>投标人地址：</w:t>
                            </w:r>
                          </w:p>
                          <w:p w14:paraId="5354A879">
                            <w:pPr>
                              <w:snapToGrid w:val="0"/>
                              <w:spacing w:beforeLines="50" w:after="50"/>
                              <w:ind w:firstLine="1068" w:firstLineChars="445"/>
                              <w:rPr>
                                <w:rFonts w:ascii="宋体" w:hAnsi="宋体"/>
                                <w:bCs/>
                                <w:sz w:val="24"/>
                              </w:rPr>
                            </w:pPr>
                            <w:r>
                              <w:rPr>
                                <w:rFonts w:hint="eastAsia" w:ascii="宋体" w:hAnsi="宋体"/>
                                <w:bCs/>
                                <w:sz w:val="24"/>
                              </w:rPr>
                              <w:t>法定负责人或授权代表签字或签章：</w:t>
                            </w:r>
                          </w:p>
                          <w:p w14:paraId="6708AD39">
                            <w:pPr>
                              <w:snapToGrid w:val="0"/>
                              <w:spacing w:beforeLines="50" w:after="50"/>
                              <w:ind w:firstLine="4080" w:firstLineChars="1700"/>
                              <w:rPr>
                                <w:rFonts w:ascii="宋体" w:hAnsi="宋体"/>
                                <w:sz w:val="24"/>
                                <w:szCs w:val="24"/>
                              </w:rPr>
                            </w:pPr>
                          </w:p>
                          <w:p w14:paraId="27D9C99D">
                            <w:pPr>
                              <w:jc w:val="center"/>
                              <w:rPr>
                                <w:sz w:val="24"/>
                                <w:szCs w:val="24"/>
                              </w:rPr>
                            </w:pPr>
                            <w:r>
                              <w:rPr>
                                <w:rFonts w:hint="eastAsia"/>
                                <w:sz w:val="24"/>
                                <w:szCs w:val="24"/>
                              </w:rPr>
                              <w:t>年  月  日</w:t>
                            </w:r>
                          </w:p>
                        </w:txbxContent>
                      </wps:txbx>
                      <wps:bodyPr upright="1"/>
                    </wps:wsp>
                  </a:graphicData>
                </a:graphic>
              </wp:inline>
            </w:drawing>
          </mc:Choice>
          <mc:Fallback>
            <w:pict>
              <v:shape id="_x0000_s1026" o:spid="_x0000_s1026" o:spt="202" type="#_x0000_t202" style="height:286.75pt;width:470.6pt;" fillcolor="#FFFFFF" filled="t" stroked="t" coordsize="21600,21600" o:gfxdata="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2GjD3WAAAA&#10;BQEAAA8AAAAAAAAAAQAgAAAAIgAAAGRycy9kb3ducmV2LnhtbFBLAQIUABQAAAAIAIdO4kBx7k1i&#10;HwIAAGgEAAAOAAAAAAAAAAEAIAAAACUBAABkcnMvZTJvRG9jLnhtbFBLBQYAAAAABgAGAFkBAAC2&#10;BQAAAAA=&#10;">
                <v:fill on="t" focussize="0,0"/>
                <v:stroke color="#000000" joinstyle="miter"/>
                <v:imagedata o:title=""/>
                <o:lock v:ext="edit" rotation="t" aspectratio="f"/>
                <v:textbox>
                  <w:txbxContent>
                    <w:p w14:paraId="3ECC3008">
                      <w:pPr>
                        <w:snapToGrid w:val="0"/>
                        <w:spacing w:beforeLines="50" w:after="50"/>
                        <w:jc w:val="right"/>
                        <w:rPr>
                          <w:rFonts w:ascii="宋体" w:hAnsi="宋体"/>
                          <w:sz w:val="24"/>
                          <w:szCs w:val="24"/>
                        </w:rPr>
                      </w:pPr>
                    </w:p>
                    <w:p w14:paraId="4BFA54FB">
                      <w:pPr>
                        <w:snapToGrid w:val="0"/>
                        <w:spacing w:beforeLines="50" w:after="50"/>
                        <w:jc w:val="center"/>
                        <w:rPr>
                          <w:rFonts w:ascii="宋体" w:hAnsi="宋体"/>
                          <w:sz w:val="24"/>
                          <w:szCs w:val="24"/>
                        </w:rPr>
                      </w:pPr>
                    </w:p>
                    <w:p w14:paraId="2D458727">
                      <w:pPr>
                        <w:snapToGrid w:val="0"/>
                        <w:spacing w:beforeLines="50" w:after="50"/>
                        <w:jc w:val="center"/>
                        <w:rPr>
                          <w:rFonts w:ascii="宋体" w:hAnsi="宋体"/>
                          <w:bCs/>
                          <w:sz w:val="24"/>
                          <w:szCs w:val="24"/>
                        </w:rPr>
                      </w:pPr>
                      <w:r>
                        <w:rPr>
                          <w:rFonts w:hint="eastAsia" w:ascii="宋体" w:hAnsi="宋体"/>
                          <w:bCs/>
                          <w:sz w:val="24"/>
                          <w:szCs w:val="24"/>
                        </w:rPr>
                        <w:t>投标文件</w:t>
                      </w:r>
                    </w:p>
                    <w:p w14:paraId="57300653">
                      <w:pPr>
                        <w:snapToGrid w:val="0"/>
                        <w:spacing w:beforeLines="50" w:after="50"/>
                        <w:rPr>
                          <w:rFonts w:ascii="宋体" w:hAnsi="宋体"/>
                          <w:bCs/>
                          <w:sz w:val="24"/>
                          <w:szCs w:val="24"/>
                        </w:rPr>
                      </w:pPr>
                    </w:p>
                    <w:p w14:paraId="61993705">
                      <w:pPr>
                        <w:snapToGrid w:val="0"/>
                        <w:spacing w:beforeLines="50" w:after="50"/>
                        <w:ind w:firstLine="1068" w:firstLineChars="445"/>
                        <w:rPr>
                          <w:rFonts w:ascii="宋体" w:hAnsi="宋体"/>
                          <w:bCs/>
                          <w:sz w:val="24"/>
                        </w:rPr>
                      </w:pPr>
                      <w:r>
                        <w:rPr>
                          <w:rFonts w:hint="eastAsia" w:ascii="宋体" w:hAnsi="宋体"/>
                          <w:bCs/>
                          <w:sz w:val="24"/>
                        </w:rPr>
                        <w:t>项目名称：</w:t>
                      </w:r>
                    </w:p>
                    <w:p w14:paraId="64ED2BCB">
                      <w:pPr>
                        <w:snapToGrid w:val="0"/>
                        <w:spacing w:beforeLines="50" w:after="50"/>
                        <w:ind w:firstLine="1068" w:firstLineChars="445"/>
                        <w:rPr>
                          <w:rFonts w:ascii="宋体" w:hAnsi="宋体"/>
                          <w:bCs/>
                          <w:sz w:val="24"/>
                        </w:rPr>
                      </w:pPr>
                      <w:r>
                        <w:rPr>
                          <w:rFonts w:hint="eastAsia" w:ascii="宋体" w:hAnsi="宋体"/>
                          <w:bCs/>
                          <w:sz w:val="24"/>
                        </w:rPr>
                        <w:t>项目编号：</w:t>
                      </w:r>
                    </w:p>
                    <w:p w14:paraId="5E4FFA92">
                      <w:pPr>
                        <w:snapToGrid w:val="0"/>
                        <w:spacing w:beforeLines="50" w:after="50"/>
                        <w:ind w:firstLine="1068" w:firstLineChars="445"/>
                        <w:rPr>
                          <w:rFonts w:ascii="宋体" w:hAnsi="宋体"/>
                          <w:bCs/>
                          <w:sz w:val="24"/>
                        </w:rPr>
                      </w:pPr>
                      <w:r>
                        <w:rPr>
                          <w:rFonts w:hint="eastAsia" w:ascii="宋体" w:hAnsi="宋体"/>
                          <w:bCs/>
                          <w:sz w:val="24"/>
                        </w:rPr>
                        <w:t>标项：</w:t>
                      </w:r>
                    </w:p>
                    <w:p w14:paraId="5C81D575">
                      <w:pPr>
                        <w:snapToGrid w:val="0"/>
                        <w:spacing w:beforeLines="50" w:after="50"/>
                        <w:ind w:firstLine="1068" w:firstLineChars="445"/>
                        <w:rPr>
                          <w:rFonts w:ascii="宋体" w:hAnsi="宋体"/>
                          <w:bCs/>
                          <w:sz w:val="24"/>
                        </w:rPr>
                      </w:pPr>
                      <w:r>
                        <w:rPr>
                          <w:rFonts w:hint="eastAsia" w:ascii="宋体" w:hAnsi="宋体"/>
                          <w:bCs/>
                          <w:sz w:val="24"/>
                        </w:rPr>
                        <w:t>投标人名称：</w:t>
                      </w:r>
                    </w:p>
                    <w:p w14:paraId="57DD3EE1">
                      <w:pPr>
                        <w:snapToGrid w:val="0"/>
                        <w:spacing w:beforeLines="50" w:after="50"/>
                        <w:ind w:firstLine="1068" w:firstLineChars="445"/>
                        <w:rPr>
                          <w:rFonts w:ascii="宋体" w:hAnsi="宋体"/>
                          <w:bCs/>
                          <w:sz w:val="24"/>
                        </w:rPr>
                      </w:pPr>
                      <w:r>
                        <w:rPr>
                          <w:rFonts w:hint="eastAsia" w:ascii="宋体" w:hAnsi="宋体"/>
                          <w:bCs/>
                          <w:sz w:val="24"/>
                        </w:rPr>
                        <w:t>投标人地址：</w:t>
                      </w:r>
                    </w:p>
                    <w:p w14:paraId="5354A879">
                      <w:pPr>
                        <w:snapToGrid w:val="0"/>
                        <w:spacing w:beforeLines="50" w:after="50"/>
                        <w:ind w:firstLine="1068" w:firstLineChars="445"/>
                        <w:rPr>
                          <w:rFonts w:ascii="宋体" w:hAnsi="宋体"/>
                          <w:bCs/>
                          <w:sz w:val="24"/>
                        </w:rPr>
                      </w:pPr>
                      <w:r>
                        <w:rPr>
                          <w:rFonts w:hint="eastAsia" w:ascii="宋体" w:hAnsi="宋体"/>
                          <w:bCs/>
                          <w:sz w:val="24"/>
                        </w:rPr>
                        <w:t>法定负责人或授权代表签字或签章：</w:t>
                      </w:r>
                    </w:p>
                    <w:p w14:paraId="6708AD39">
                      <w:pPr>
                        <w:snapToGrid w:val="0"/>
                        <w:spacing w:beforeLines="50" w:after="50"/>
                        <w:ind w:firstLine="4080" w:firstLineChars="1700"/>
                        <w:rPr>
                          <w:rFonts w:ascii="宋体" w:hAnsi="宋体"/>
                          <w:sz w:val="24"/>
                          <w:szCs w:val="24"/>
                        </w:rPr>
                      </w:pPr>
                    </w:p>
                    <w:p w14:paraId="27D9C99D">
                      <w:pPr>
                        <w:jc w:val="center"/>
                        <w:rPr>
                          <w:sz w:val="24"/>
                          <w:szCs w:val="24"/>
                        </w:rPr>
                      </w:pPr>
                      <w:r>
                        <w:rPr>
                          <w:rFonts w:hint="eastAsia"/>
                          <w:sz w:val="24"/>
                          <w:szCs w:val="24"/>
                        </w:rPr>
                        <w:t>年  月  日</w:t>
                      </w:r>
                    </w:p>
                  </w:txbxContent>
                </v:textbox>
                <w10:wrap type="none"/>
                <w10:anchorlock/>
              </v:shape>
            </w:pict>
          </mc:Fallback>
        </mc:AlternateContent>
      </w:r>
    </w:p>
    <w:p w14:paraId="38FE0ECF">
      <w:pPr>
        <w:spacing w:line="460" w:lineRule="exact"/>
        <w:jc w:val="center"/>
        <w:rPr>
          <w:rFonts w:ascii="宋体" w:hAnsi="宋体" w:cs="宋体"/>
          <w:color w:val="auto"/>
          <w:szCs w:val="21"/>
          <w:highlight w:val="none"/>
        </w:rPr>
      </w:pPr>
      <w:r>
        <w:rPr>
          <w:rFonts w:hint="eastAsia" w:ascii="宋体" w:hAnsi="宋体" w:cs="宋体"/>
          <w:b/>
          <w:color w:val="auto"/>
          <w:sz w:val="36"/>
          <w:szCs w:val="36"/>
          <w:highlight w:val="none"/>
        </w:rPr>
        <w:br w:type="page"/>
      </w:r>
      <w:r>
        <w:rPr>
          <w:rFonts w:ascii="宋体" w:hAnsi="宋体" w:cs="宋体"/>
          <w:color w:val="auto"/>
          <w:szCs w:val="21"/>
          <w:highlight w:val="none"/>
        </w:rPr>
        <w:t xml:space="preserve"> </w:t>
      </w:r>
    </w:p>
    <w:p w14:paraId="2D1BADC2">
      <w:pPr>
        <w:spacing w:line="460" w:lineRule="exact"/>
        <w:outlineLvl w:val="2"/>
        <w:rPr>
          <w:rFonts w:ascii="宋体" w:hAnsi="宋体" w:cs="宋体"/>
          <w:b/>
          <w:bCs/>
          <w:color w:val="auto"/>
          <w:szCs w:val="21"/>
          <w:highlight w:val="none"/>
        </w:rPr>
      </w:pPr>
      <w:r>
        <w:rPr>
          <w:rFonts w:hint="eastAsia" w:ascii="宋体" w:hAnsi="宋体" w:cs="宋体"/>
          <w:b/>
          <w:bCs/>
          <w:color w:val="auto"/>
          <w:szCs w:val="21"/>
          <w:highlight w:val="none"/>
        </w:rPr>
        <w:t>附件一</w:t>
      </w:r>
    </w:p>
    <w:p w14:paraId="5AD5F2A0">
      <w:pPr>
        <w:spacing w:line="460" w:lineRule="exact"/>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投 标 函</w:t>
      </w:r>
    </w:p>
    <w:p w14:paraId="1B6D81A6">
      <w:pPr>
        <w:spacing w:line="440" w:lineRule="exact"/>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rPr>
        <w:t>致：</w:t>
      </w:r>
      <w:r>
        <w:rPr>
          <w:rFonts w:hint="eastAsia" w:ascii="宋体" w:hAnsi="宋体" w:cs="宋体"/>
          <w:b/>
          <w:bCs/>
          <w:color w:val="auto"/>
          <w:szCs w:val="21"/>
          <w:highlight w:val="none"/>
          <w:u w:val="single"/>
        </w:rPr>
        <w:t>温州科技职业学院、</w:t>
      </w:r>
      <w:r>
        <w:rPr>
          <w:rFonts w:hint="eastAsia" w:ascii="宋体" w:hAnsi="宋体" w:cs="宋体"/>
          <w:b/>
          <w:bCs/>
          <w:color w:val="auto"/>
          <w:szCs w:val="21"/>
          <w:highlight w:val="none"/>
          <w:u w:val="single"/>
          <w:lang w:eastAsia="zh-CN"/>
        </w:rPr>
        <w:t>温州市华信采购招标代理有限公司</w:t>
      </w:r>
    </w:p>
    <w:p w14:paraId="36CE5109">
      <w:pPr>
        <w:spacing w:line="400" w:lineRule="exact"/>
        <w:ind w:firstLine="514" w:firstLineChars="245"/>
        <w:rPr>
          <w:rFonts w:ascii="宋体" w:hAnsi="宋体" w:cs="宋体"/>
          <w:color w:val="auto"/>
          <w:szCs w:val="21"/>
          <w:highlight w:val="none"/>
        </w:rPr>
      </w:pPr>
      <w:r>
        <w:rPr>
          <w:rFonts w:hint="eastAsia" w:ascii="宋体" w:hAnsi="宋体" w:cs="宋体"/>
          <w:color w:val="auto"/>
          <w:szCs w:val="21"/>
          <w:highlight w:val="none"/>
        </w:rPr>
        <w:t>根据贵方为</w:t>
      </w:r>
      <w:r>
        <w:rPr>
          <w:rFonts w:hint="eastAsia" w:ascii="宋体" w:hAnsi="宋体" w:cs="仿宋_GB2312"/>
          <w:color w:val="auto"/>
          <w:szCs w:val="21"/>
          <w:highlight w:val="none"/>
          <w:u w:val="single"/>
          <w:lang w:val="zh-CN"/>
        </w:rPr>
        <w:t>温州科技职业学院2025年公款竞争性存放项目（项目编号：WZHX2024-12-234）</w:t>
      </w:r>
      <w:r>
        <w:rPr>
          <w:rFonts w:hint="eastAsia" w:ascii="宋体" w:hAnsi="宋体" w:cs="宋体"/>
          <w:color w:val="auto"/>
          <w:szCs w:val="21"/>
          <w:highlight w:val="none"/>
        </w:rPr>
        <w:t>的投标邀请，我方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（投标人名称）作为投标人正式授权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（授权代表全名，职务）代表我方处理有关本投标的一切事宜。</w:t>
      </w:r>
    </w:p>
    <w:p w14:paraId="5AFBCB26">
      <w:pPr>
        <w:spacing w:line="400" w:lineRule="exact"/>
        <w:ind w:firstLine="514" w:firstLineChars="245"/>
        <w:rPr>
          <w:rFonts w:ascii="宋体" w:hAnsi="宋体" w:cs="宋体"/>
          <w:color w:val="auto"/>
          <w:szCs w:val="21"/>
          <w:highlight w:val="none"/>
        </w:rPr>
      </w:pPr>
      <w:r>
        <w:rPr>
          <w:rFonts w:hint="eastAsia" w:ascii="宋体" w:hAnsi="宋体" w:cs="宋体"/>
          <w:color w:val="auto"/>
          <w:szCs w:val="21"/>
          <w:highlight w:val="none"/>
        </w:rPr>
        <w:t>在此提交的投标文件中，包括如下内容，并已分别单独密封装袋：</w:t>
      </w:r>
    </w:p>
    <w:p w14:paraId="13B3AA65">
      <w:pPr>
        <w:spacing w:line="400" w:lineRule="exact"/>
        <w:ind w:firstLine="514" w:firstLineChars="245"/>
        <w:rPr>
          <w:rFonts w:ascii="宋体" w:hAnsi="宋体" w:cs="宋体"/>
          <w:color w:val="auto"/>
          <w:szCs w:val="21"/>
          <w:highlight w:val="none"/>
        </w:rPr>
      </w:pPr>
      <w:r>
        <w:rPr>
          <w:rFonts w:hint="eastAsia" w:ascii="宋体" w:hAnsi="宋体" w:cs="宋体"/>
          <w:color w:val="auto"/>
          <w:szCs w:val="21"/>
          <w:highlight w:val="none"/>
        </w:rPr>
        <w:t>（—）按“投标人须知”要求编制的投标文件；</w:t>
      </w:r>
    </w:p>
    <w:p w14:paraId="5917B42A">
      <w:pPr>
        <w:spacing w:line="400" w:lineRule="exact"/>
        <w:ind w:firstLine="514" w:firstLineChars="245"/>
        <w:rPr>
          <w:rFonts w:ascii="宋体" w:hAnsi="宋体" w:cs="宋体"/>
          <w:color w:val="auto"/>
          <w:szCs w:val="21"/>
          <w:highlight w:val="none"/>
        </w:rPr>
      </w:pPr>
      <w:r>
        <w:rPr>
          <w:rFonts w:hint="eastAsia" w:ascii="宋体" w:hAnsi="宋体" w:cs="宋体"/>
          <w:color w:val="auto"/>
          <w:szCs w:val="21"/>
          <w:highlight w:val="none"/>
        </w:rPr>
        <w:t>我方己完全明白招标文件的所有条款要求，并重申以下几点：</w:t>
      </w:r>
    </w:p>
    <w:p w14:paraId="61320D65">
      <w:pPr>
        <w:spacing w:line="400" w:lineRule="exact"/>
        <w:ind w:firstLine="514" w:firstLineChars="245"/>
        <w:rPr>
          <w:rFonts w:ascii="宋体" w:hAnsi="宋体" w:cs="宋体"/>
          <w:color w:val="auto"/>
          <w:szCs w:val="21"/>
          <w:highlight w:val="none"/>
        </w:rPr>
      </w:pPr>
      <w:r>
        <w:rPr>
          <w:rFonts w:hint="eastAsia" w:ascii="宋体" w:hAnsi="宋体" w:cs="宋体"/>
          <w:color w:val="auto"/>
          <w:szCs w:val="21"/>
          <w:highlight w:val="none"/>
        </w:rPr>
        <w:t>（一）本投标文件的有效期自提交投标文件的截止之日起</w:t>
      </w:r>
      <w:r>
        <w:rPr>
          <w:rFonts w:hint="eastAsia" w:ascii="宋体" w:hAnsi="宋体" w:cs="宋体"/>
          <w:color w:val="auto"/>
          <w:szCs w:val="21"/>
          <w:highlight w:val="none"/>
          <w:u w:val="single"/>
        </w:rPr>
        <w:t>90天内</w:t>
      </w:r>
      <w:r>
        <w:rPr>
          <w:rFonts w:hint="eastAsia" w:ascii="宋体" w:hAnsi="宋体" w:cs="宋体"/>
          <w:color w:val="auto"/>
          <w:szCs w:val="21"/>
          <w:highlight w:val="none"/>
        </w:rPr>
        <w:t>有效，如中标，有效期将延至协议终止日为止；</w:t>
      </w:r>
    </w:p>
    <w:p w14:paraId="1E66311C">
      <w:pPr>
        <w:spacing w:line="400" w:lineRule="exact"/>
        <w:ind w:firstLine="514" w:firstLineChars="245"/>
        <w:rPr>
          <w:rFonts w:ascii="宋体" w:hAnsi="宋体" w:cs="宋体"/>
          <w:color w:val="auto"/>
          <w:szCs w:val="21"/>
          <w:highlight w:val="none"/>
        </w:rPr>
      </w:pPr>
      <w:r>
        <w:rPr>
          <w:rFonts w:hint="eastAsia" w:ascii="宋体" w:hAnsi="宋体" w:cs="宋体"/>
          <w:color w:val="auto"/>
          <w:szCs w:val="21"/>
          <w:highlight w:val="none"/>
        </w:rPr>
        <w:t>（二）我方已详细研究了招标文件的所有内容包括修改书（如有）和所有已提供的参考资料以及有关附件，我方完全理解并同意放弃在此方面提出含糊意见或误解的一切权力；</w:t>
      </w:r>
    </w:p>
    <w:p w14:paraId="6B58CB8C">
      <w:pPr>
        <w:spacing w:line="400" w:lineRule="exact"/>
        <w:ind w:firstLine="514" w:firstLineChars="245"/>
        <w:rPr>
          <w:rFonts w:ascii="宋体" w:hAnsi="宋体" w:cs="宋体"/>
          <w:color w:val="auto"/>
          <w:szCs w:val="21"/>
          <w:highlight w:val="none"/>
        </w:rPr>
      </w:pPr>
      <w:r>
        <w:rPr>
          <w:rFonts w:hint="eastAsia" w:ascii="宋体" w:hAnsi="宋体" w:cs="宋体"/>
          <w:color w:val="auto"/>
          <w:szCs w:val="21"/>
          <w:highlight w:val="none"/>
        </w:rPr>
        <w:t>（三）我方明白并愿意在规定的开标时间之后，在投标有效期内撤回投标，贵方可按规定对我方进行处罚；</w:t>
      </w:r>
    </w:p>
    <w:p w14:paraId="0A138D6B">
      <w:pPr>
        <w:spacing w:line="400" w:lineRule="exact"/>
        <w:ind w:firstLine="514" w:firstLineChars="245"/>
        <w:rPr>
          <w:rFonts w:ascii="宋体" w:hAnsi="宋体" w:cs="宋体"/>
          <w:color w:val="auto"/>
          <w:szCs w:val="21"/>
          <w:highlight w:val="none"/>
        </w:rPr>
      </w:pPr>
      <w:r>
        <w:rPr>
          <w:rFonts w:hint="eastAsia" w:ascii="宋体" w:hAnsi="宋体" w:cs="宋体"/>
          <w:color w:val="auto"/>
          <w:szCs w:val="21"/>
          <w:highlight w:val="none"/>
        </w:rPr>
        <w:t>（四）我方同意提供按照贵方可能要求的与投标有关的一切数据或资料；</w:t>
      </w:r>
    </w:p>
    <w:p w14:paraId="0AD86886">
      <w:pPr>
        <w:spacing w:line="400" w:lineRule="exact"/>
        <w:ind w:firstLine="514" w:firstLineChars="245"/>
        <w:rPr>
          <w:rFonts w:ascii="宋体" w:hAnsi="宋体" w:cs="宋体"/>
          <w:color w:val="auto"/>
          <w:szCs w:val="21"/>
          <w:highlight w:val="none"/>
        </w:rPr>
      </w:pPr>
      <w:r>
        <w:rPr>
          <w:rFonts w:hint="eastAsia" w:ascii="宋体" w:hAnsi="宋体" w:cs="宋体"/>
          <w:color w:val="auto"/>
          <w:szCs w:val="21"/>
          <w:highlight w:val="none"/>
        </w:rPr>
        <w:t>（五）我方投标文件中如有虚假或隐瞒，我方愿意承担一切后果，并不再寻求任何旨在减轻或免除法律责任的辩解。</w:t>
      </w:r>
    </w:p>
    <w:p w14:paraId="319BF853">
      <w:pPr>
        <w:spacing w:line="400" w:lineRule="exact"/>
        <w:ind w:firstLine="514" w:firstLineChars="245"/>
        <w:rPr>
          <w:rFonts w:ascii="宋体" w:hAnsi="宋体" w:cs="宋体"/>
          <w:color w:val="auto"/>
          <w:szCs w:val="21"/>
          <w:highlight w:val="none"/>
        </w:rPr>
      </w:pPr>
      <w:r>
        <w:rPr>
          <w:rFonts w:hint="eastAsia" w:ascii="宋体" w:hAnsi="宋体" w:cs="宋体"/>
          <w:color w:val="auto"/>
          <w:szCs w:val="21"/>
          <w:highlight w:val="none"/>
        </w:rPr>
        <w:t>（六）我方理解贵方不一定接受最高报价。</w:t>
      </w:r>
    </w:p>
    <w:p w14:paraId="356FC0FD">
      <w:pPr>
        <w:spacing w:line="400" w:lineRule="exact"/>
        <w:ind w:firstLine="514" w:firstLineChars="245"/>
        <w:rPr>
          <w:rFonts w:ascii="宋体" w:hAnsi="宋体" w:cs="宋体"/>
          <w:color w:val="auto"/>
          <w:szCs w:val="21"/>
          <w:highlight w:val="none"/>
        </w:rPr>
      </w:pPr>
      <w:r>
        <w:rPr>
          <w:rFonts w:hint="eastAsia" w:ascii="宋体" w:hAnsi="宋体" w:cs="宋体"/>
          <w:color w:val="auto"/>
          <w:szCs w:val="21"/>
          <w:highlight w:val="none"/>
        </w:rPr>
        <w:t>（七）我方如果中标，将保证履行招标文件以及招标文件修改书（如有）中的全部责任和义务，按质、按量、按期完成《协议书》中的全部任务。</w:t>
      </w:r>
    </w:p>
    <w:p w14:paraId="38442C44">
      <w:pPr>
        <w:spacing w:line="400" w:lineRule="exact"/>
        <w:ind w:firstLine="514" w:firstLineChars="245"/>
        <w:rPr>
          <w:rFonts w:ascii="宋体" w:hAnsi="宋体" w:cs="宋体"/>
          <w:b/>
          <w:bCs/>
          <w:color w:val="auto"/>
          <w:kern w:val="0"/>
          <w:szCs w:val="21"/>
          <w:highlight w:val="none"/>
        </w:rPr>
      </w:pPr>
      <w:r>
        <w:rPr>
          <w:rFonts w:hint="eastAsia" w:ascii="宋体" w:hAnsi="宋体" w:cs="宋体"/>
          <w:color w:val="auto"/>
          <w:szCs w:val="21"/>
          <w:highlight w:val="none"/>
        </w:rPr>
        <w:t>（八）</w:t>
      </w:r>
      <w:r>
        <w:rPr>
          <w:rFonts w:hint="eastAsia" w:ascii="宋体" w:hAnsi="宋体" w:cs="宋体"/>
          <w:b/>
          <w:bCs/>
          <w:color w:val="auto"/>
          <w:szCs w:val="21"/>
          <w:highlight w:val="none"/>
        </w:rPr>
        <w:t>我方理解并接受</w:t>
      </w:r>
      <w:r>
        <w:rPr>
          <w:rFonts w:hint="eastAsia" w:ascii="宋体" w:hAnsi="宋体" w:cs="宋体"/>
          <w:b/>
          <w:bCs/>
          <w:color w:val="auto"/>
          <w:kern w:val="0"/>
          <w:szCs w:val="21"/>
          <w:highlight w:val="none"/>
        </w:rPr>
        <w:t>投标文件中</w:t>
      </w:r>
      <w:r>
        <w:rPr>
          <w:rFonts w:hint="eastAsia" w:ascii="宋体" w:hAnsi="宋体" w:cs="宋体"/>
          <w:b/>
          <w:bCs/>
          <w:color w:val="auto"/>
          <w:szCs w:val="21"/>
          <w:highlight w:val="none"/>
        </w:rPr>
        <w:t>提供数据真实有效，若事后发现数据中有虚假或者隐瞒，取消中标资格</w:t>
      </w:r>
      <w:r>
        <w:rPr>
          <w:rFonts w:hint="eastAsia" w:ascii="宋体" w:hAnsi="宋体" w:cs="宋体"/>
          <w:b/>
          <w:bCs/>
          <w:color w:val="auto"/>
          <w:kern w:val="0"/>
          <w:szCs w:val="21"/>
          <w:highlight w:val="none"/>
        </w:rPr>
        <w:t>，暂停相关银行之后的各期竞争性存放竞标资格，并及时向市财政局报告。</w:t>
      </w:r>
    </w:p>
    <w:p w14:paraId="42742D02">
      <w:pPr>
        <w:spacing w:line="400" w:lineRule="exact"/>
        <w:ind w:firstLine="514" w:firstLineChars="245"/>
        <w:rPr>
          <w:rFonts w:ascii="宋体" w:hAnsi="宋体" w:cs="宋体"/>
          <w:color w:val="auto"/>
          <w:szCs w:val="21"/>
          <w:highlight w:val="none"/>
        </w:rPr>
      </w:pPr>
      <w:r>
        <w:rPr>
          <w:rFonts w:hint="eastAsia" w:ascii="宋体" w:hAnsi="宋体" w:cs="宋体"/>
          <w:color w:val="auto"/>
          <w:szCs w:val="21"/>
          <w:highlight w:val="none"/>
        </w:rPr>
        <w:t>（九）所有与本投标有关的函件请发往下列地址：</w:t>
      </w:r>
    </w:p>
    <w:p w14:paraId="54A27620">
      <w:pPr>
        <w:spacing w:line="400" w:lineRule="exact"/>
        <w:ind w:firstLine="514" w:firstLineChars="245"/>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w:t>
      </w:r>
    </w:p>
    <w:p w14:paraId="30F9C50B">
      <w:pPr>
        <w:spacing w:line="400" w:lineRule="exact"/>
        <w:ind w:firstLine="514" w:firstLineChars="245"/>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 xml:space="preserve">　           </w:t>
      </w:r>
    </w:p>
    <w:p w14:paraId="770A84E5">
      <w:pPr>
        <w:spacing w:line="400" w:lineRule="exact"/>
        <w:ind w:firstLine="514" w:firstLineChars="245"/>
        <w:rPr>
          <w:rFonts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 xml:space="preserve">　           </w:t>
      </w:r>
    </w:p>
    <w:p w14:paraId="07A1FAF9">
      <w:pPr>
        <w:spacing w:line="400" w:lineRule="exact"/>
        <w:ind w:firstLine="514" w:firstLineChars="245"/>
        <w:rPr>
          <w:rFonts w:ascii="宋体" w:hAnsi="宋体" w:cs="宋体"/>
          <w:color w:val="auto"/>
          <w:szCs w:val="21"/>
          <w:highlight w:val="none"/>
        </w:rPr>
      </w:pPr>
      <w:r>
        <w:rPr>
          <w:rFonts w:hint="eastAsia" w:ascii="宋体" w:hAnsi="宋体" w:cs="宋体"/>
          <w:color w:val="auto"/>
          <w:szCs w:val="21"/>
          <w:highlight w:val="none"/>
        </w:rPr>
        <w:t>电子邮件</w:t>
      </w:r>
      <w:r>
        <w:rPr>
          <w:rFonts w:hint="eastAsia" w:ascii="宋体" w:hAnsi="宋体" w:cs="宋体"/>
          <w:color w:val="auto"/>
          <w:szCs w:val="21"/>
          <w:highlight w:val="none"/>
          <w:u w:val="single"/>
        </w:rPr>
        <w:t xml:space="preserve">　           </w:t>
      </w:r>
    </w:p>
    <w:p w14:paraId="3F219377">
      <w:pPr>
        <w:snapToGrid w:val="0"/>
        <w:spacing w:line="400" w:lineRule="exact"/>
        <w:ind w:firstLine="105" w:firstLineChars="50"/>
        <w:rPr>
          <w:rFonts w:ascii="宋体" w:hAnsi="宋体" w:cs="宋体"/>
          <w:color w:val="auto"/>
          <w:szCs w:val="21"/>
          <w:highlight w:val="none"/>
        </w:rPr>
      </w:pPr>
    </w:p>
    <w:p w14:paraId="47B9C40E">
      <w:pPr>
        <w:snapToGrid w:val="0"/>
        <w:spacing w:line="400" w:lineRule="exact"/>
        <w:ind w:firstLine="567" w:firstLineChars="270"/>
        <w:rPr>
          <w:rFonts w:ascii="宋体" w:hAnsi="宋体" w:cs="宋体"/>
          <w:color w:val="auto"/>
          <w:szCs w:val="21"/>
          <w:highlight w:val="none"/>
        </w:rPr>
      </w:pPr>
      <w:r>
        <w:rPr>
          <w:rFonts w:hint="eastAsia" w:ascii="宋体" w:hAnsi="宋体" w:cs="宋体"/>
          <w:color w:val="auto"/>
          <w:szCs w:val="21"/>
          <w:highlight w:val="none"/>
        </w:rPr>
        <w:t>投标人全称（公章）：</w:t>
      </w:r>
    </w:p>
    <w:p w14:paraId="67A373B8">
      <w:pPr>
        <w:snapToGrid w:val="0"/>
        <w:spacing w:line="400" w:lineRule="exact"/>
        <w:ind w:firstLine="567" w:firstLineChars="270"/>
        <w:rPr>
          <w:rFonts w:ascii="宋体" w:hAnsi="宋体" w:cs="宋体"/>
          <w:color w:val="auto"/>
          <w:szCs w:val="21"/>
          <w:highlight w:val="none"/>
        </w:rPr>
      </w:pPr>
      <w:r>
        <w:rPr>
          <w:rFonts w:hint="eastAsia" w:ascii="宋体" w:hAnsi="宋体" w:cs="宋体"/>
          <w:color w:val="auto"/>
          <w:szCs w:val="21"/>
          <w:highlight w:val="none"/>
        </w:rPr>
        <w:t>投标人全权代表（签字）：</w:t>
      </w:r>
    </w:p>
    <w:p w14:paraId="05236855">
      <w:pPr>
        <w:snapToGrid w:val="0"/>
        <w:spacing w:line="400" w:lineRule="exact"/>
        <w:ind w:firstLine="567" w:firstLineChars="270"/>
        <w:rPr>
          <w:rFonts w:ascii="宋体" w:hAnsi="宋体" w:cs="宋体"/>
          <w:color w:val="auto"/>
          <w:szCs w:val="21"/>
          <w:highlight w:val="none"/>
          <w:u w:val="single"/>
        </w:rPr>
      </w:pPr>
      <w:r>
        <w:rPr>
          <w:rFonts w:hint="eastAsia" w:ascii="宋体" w:hAnsi="宋体" w:cs="宋体"/>
          <w:color w:val="auto"/>
          <w:szCs w:val="21"/>
          <w:highlight w:val="none"/>
        </w:rPr>
        <w:t>日期：</w:t>
      </w:r>
    </w:p>
    <w:p w14:paraId="4D6E71C5">
      <w:pPr>
        <w:widowControl/>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09C68EA8">
      <w:pPr>
        <w:spacing w:line="460" w:lineRule="exact"/>
        <w:outlineLvl w:val="2"/>
        <w:rPr>
          <w:rFonts w:ascii="宋体" w:hAnsi="宋体" w:cs="宋体"/>
          <w:b/>
          <w:bCs/>
          <w:color w:val="auto"/>
          <w:sz w:val="32"/>
          <w:szCs w:val="32"/>
          <w:highlight w:val="none"/>
        </w:rPr>
      </w:pPr>
    </w:p>
    <w:p w14:paraId="095E222B">
      <w:pPr>
        <w:spacing w:line="460" w:lineRule="exact"/>
        <w:outlineLvl w:val="2"/>
        <w:rPr>
          <w:rFonts w:ascii="宋体" w:hAnsi="宋体" w:cs="宋体"/>
          <w:b/>
          <w:bCs/>
          <w:color w:val="auto"/>
          <w:szCs w:val="21"/>
          <w:highlight w:val="none"/>
        </w:rPr>
      </w:pPr>
      <w:r>
        <w:rPr>
          <w:rFonts w:hint="eastAsia" w:ascii="宋体" w:hAnsi="宋体" w:cs="宋体"/>
          <w:b/>
          <w:bCs/>
          <w:color w:val="auto"/>
          <w:szCs w:val="21"/>
          <w:highlight w:val="none"/>
        </w:rPr>
        <w:t>附件二</w:t>
      </w:r>
    </w:p>
    <w:p w14:paraId="055C91EB">
      <w:pPr>
        <w:snapToGrid w:val="0"/>
        <w:spacing w:beforeLines="100" w:afterLines="100" w:line="46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开 标 一 览 表</w:t>
      </w:r>
    </w:p>
    <w:p w14:paraId="396665B6">
      <w:pPr>
        <w:snapToGrid w:val="0"/>
        <w:spacing w:line="360" w:lineRule="auto"/>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项目编号：</w:t>
      </w:r>
      <w:r>
        <w:rPr>
          <w:rFonts w:hint="eastAsia" w:ascii="宋体" w:hAnsi="宋体" w:cs="宋体"/>
          <w:bCs/>
          <w:color w:val="auto"/>
          <w:szCs w:val="21"/>
          <w:highlight w:val="none"/>
          <w:lang w:eastAsia="zh-CN"/>
        </w:rPr>
        <w:t>WZHX2024-12-234</w:t>
      </w:r>
    </w:p>
    <w:tbl>
      <w:tblPr>
        <w:tblStyle w:val="18"/>
        <w:tblW w:w="9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866"/>
        <w:gridCol w:w="3555"/>
        <w:gridCol w:w="1825"/>
      </w:tblGrid>
      <w:tr w14:paraId="44B96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907" w:type="dxa"/>
            <w:vAlign w:val="center"/>
          </w:tcPr>
          <w:p w14:paraId="7A69F39A">
            <w:pPr>
              <w:snapToGrid w:val="0"/>
              <w:spacing w:line="380" w:lineRule="exact"/>
              <w:jc w:val="center"/>
              <w:rPr>
                <w:rFonts w:ascii="宋体" w:hAnsi="宋体" w:cs="宋体"/>
                <w:b/>
                <w:bCs/>
                <w:color w:val="auto"/>
                <w:szCs w:val="21"/>
                <w:highlight w:val="none"/>
              </w:rPr>
            </w:pPr>
            <w:r>
              <w:rPr>
                <w:rFonts w:hint="eastAsia" w:ascii="宋体" w:hAnsi="宋体" w:cs="宋体"/>
                <w:b/>
                <w:bCs/>
                <w:color w:val="auto"/>
                <w:szCs w:val="21"/>
                <w:highlight w:val="none"/>
              </w:rPr>
              <w:t>项目名称</w:t>
            </w:r>
          </w:p>
        </w:tc>
        <w:tc>
          <w:tcPr>
            <w:tcW w:w="1866" w:type="dxa"/>
            <w:vAlign w:val="center"/>
          </w:tcPr>
          <w:p w14:paraId="7B826ABB">
            <w:pPr>
              <w:snapToGrid w:val="0"/>
              <w:spacing w:line="380" w:lineRule="exact"/>
              <w:jc w:val="center"/>
              <w:rPr>
                <w:rFonts w:ascii="宋体" w:hAnsi="宋体" w:cs="宋体"/>
                <w:b/>
                <w:bCs/>
                <w:color w:val="auto"/>
                <w:szCs w:val="21"/>
                <w:highlight w:val="none"/>
              </w:rPr>
            </w:pPr>
            <w:r>
              <w:rPr>
                <w:rFonts w:hint="eastAsia" w:ascii="宋体" w:hAnsi="宋体" w:cs="宋体"/>
                <w:b/>
                <w:bCs/>
                <w:color w:val="auto"/>
                <w:szCs w:val="21"/>
                <w:highlight w:val="none"/>
              </w:rPr>
              <w:t>定期存款期限</w:t>
            </w:r>
          </w:p>
        </w:tc>
        <w:tc>
          <w:tcPr>
            <w:tcW w:w="3555" w:type="dxa"/>
            <w:vAlign w:val="center"/>
          </w:tcPr>
          <w:p w14:paraId="0A2AA193">
            <w:pPr>
              <w:snapToGrid w:val="0"/>
              <w:spacing w:line="38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投标报价</w:t>
            </w:r>
          </w:p>
          <w:p w14:paraId="2C643CD1">
            <w:pPr>
              <w:snapToGrid w:val="0"/>
              <w:spacing w:line="380" w:lineRule="exact"/>
              <w:jc w:val="center"/>
              <w:rPr>
                <w:rFonts w:ascii="宋体" w:hAnsi="宋体" w:cs="宋体"/>
                <w:b/>
                <w:bCs/>
                <w:color w:val="auto"/>
                <w:szCs w:val="21"/>
                <w:highlight w:val="none"/>
              </w:rPr>
            </w:pPr>
            <w:r>
              <w:rPr>
                <w:rFonts w:hint="eastAsia" w:ascii="宋体" w:hAnsi="宋体" w:cs="宋体"/>
                <w:b/>
                <w:bCs/>
                <w:color w:val="auto"/>
                <w:szCs w:val="21"/>
                <w:highlight w:val="none"/>
              </w:rPr>
              <w:t>上浮基点（BP）</w:t>
            </w:r>
          </w:p>
        </w:tc>
        <w:tc>
          <w:tcPr>
            <w:tcW w:w="1825" w:type="dxa"/>
            <w:vAlign w:val="center"/>
          </w:tcPr>
          <w:p w14:paraId="3220C173">
            <w:pPr>
              <w:snapToGrid w:val="0"/>
              <w:spacing w:line="380" w:lineRule="exact"/>
              <w:jc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备注</w:t>
            </w:r>
          </w:p>
        </w:tc>
      </w:tr>
      <w:tr w14:paraId="085B0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907" w:type="dxa"/>
            <w:vAlign w:val="center"/>
          </w:tcPr>
          <w:p w14:paraId="055A5FBE">
            <w:pPr>
              <w:snapToGrid w:val="0"/>
              <w:spacing w:line="38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温州科技职业学院2025年公款竞争性存放项目</w:t>
            </w:r>
          </w:p>
        </w:tc>
        <w:tc>
          <w:tcPr>
            <w:tcW w:w="1866" w:type="dxa"/>
            <w:vAlign w:val="center"/>
          </w:tcPr>
          <w:p w14:paraId="233AE451">
            <w:pPr>
              <w:snapToGrid w:val="0"/>
              <w:spacing w:line="380" w:lineRule="exact"/>
              <w:jc w:val="center"/>
              <w:rPr>
                <w:rFonts w:ascii="宋体" w:hAnsi="宋体" w:cs="宋体"/>
                <w:b/>
                <w:bCs/>
                <w:color w:val="auto"/>
                <w:szCs w:val="21"/>
                <w:highlight w:val="none"/>
              </w:rPr>
            </w:pPr>
            <w:r>
              <w:rPr>
                <w:rFonts w:hint="eastAsia" w:ascii="宋体" w:hAnsi="宋体" w:cs="宋体"/>
                <w:b/>
                <w:bCs/>
                <w:color w:val="auto"/>
                <w:szCs w:val="21"/>
                <w:highlight w:val="none"/>
              </w:rPr>
              <w:t>1年</w:t>
            </w:r>
          </w:p>
        </w:tc>
        <w:tc>
          <w:tcPr>
            <w:tcW w:w="3555" w:type="dxa"/>
            <w:vAlign w:val="center"/>
          </w:tcPr>
          <w:p w14:paraId="500C5192">
            <w:pPr>
              <w:snapToGrid w:val="0"/>
              <w:spacing w:line="380" w:lineRule="exact"/>
              <w:rPr>
                <w:rStyle w:val="23"/>
                <w:rFonts w:ascii="宋体" w:hAnsi="宋体" w:cs="宋体"/>
                <w:b/>
                <w:bCs/>
                <w:color w:val="auto"/>
                <w:szCs w:val="21"/>
                <w:highlight w:val="none"/>
              </w:rPr>
            </w:pPr>
            <w:r>
              <w:rPr>
                <w:rStyle w:val="23"/>
                <w:rFonts w:hint="eastAsia" w:ascii="宋体" w:hAnsi="宋体" w:cs="宋体"/>
                <w:b/>
                <w:bCs/>
                <w:color w:val="auto"/>
                <w:szCs w:val="21"/>
                <w:highlight w:val="none"/>
              </w:rPr>
              <w:t>小写：</w:t>
            </w:r>
          </w:p>
          <w:p w14:paraId="00620C3C">
            <w:pPr>
              <w:snapToGrid w:val="0"/>
              <w:spacing w:line="380" w:lineRule="exact"/>
              <w:rPr>
                <w:rFonts w:ascii="宋体" w:hAnsi="宋体" w:cs="宋体"/>
                <w:b/>
                <w:bCs/>
                <w:color w:val="auto"/>
                <w:szCs w:val="21"/>
                <w:highlight w:val="none"/>
              </w:rPr>
            </w:pPr>
            <w:r>
              <w:rPr>
                <w:rStyle w:val="23"/>
                <w:rFonts w:hint="eastAsia" w:ascii="宋体" w:hAnsi="宋体" w:cs="宋体"/>
                <w:b/>
                <w:bCs/>
                <w:color w:val="auto"/>
                <w:szCs w:val="21"/>
                <w:highlight w:val="none"/>
              </w:rPr>
              <w:t>大写：</w:t>
            </w:r>
          </w:p>
        </w:tc>
        <w:tc>
          <w:tcPr>
            <w:tcW w:w="1825" w:type="dxa"/>
            <w:vAlign w:val="center"/>
          </w:tcPr>
          <w:p w14:paraId="730E4154">
            <w:pPr>
              <w:snapToGrid w:val="0"/>
              <w:spacing w:line="380" w:lineRule="exact"/>
              <w:rPr>
                <w:rFonts w:ascii="宋体" w:hAnsi="宋体" w:cs="宋体"/>
                <w:b/>
                <w:bCs/>
                <w:color w:val="auto"/>
                <w:szCs w:val="21"/>
                <w:highlight w:val="none"/>
              </w:rPr>
            </w:pPr>
          </w:p>
        </w:tc>
      </w:tr>
    </w:tbl>
    <w:p w14:paraId="55CBEE81">
      <w:pPr>
        <w:snapToGrid w:val="0"/>
        <w:spacing w:line="360" w:lineRule="auto"/>
        <w:rPr>
          <w:rFonts w:ascii="宋体" w:hAnsi="宋体" w:cs="宋体"/>
          <w:color w:val="auto"/>
          <w:szCs w:val="21"/>
          <w:highlight w:val="none"/>
        </w:rPr>
      </w:pPr>
    </w:p>
    <w:p w14:paraId="78DC93DD">
      <w:pPr>
        <w:snapToGrid w:val="0"/>
        <w:spacing w:line="360" w:lineRule="auto"/>
        <w:ind w:firstLine="105" w:firstLineChars="50"/>
        <w:rPr>
          <w:rFonts w:ascii="宋体" w:hAnsi="宋体" w:cs="宋体"/>
          <w:color w:val="auto"/>
          <w:szCs w:val="21"/>
          <w:highlight w:val="none"/>
        </w:rPr>
      </w:pPr>
    </w:p>
    <w:p w14:paraId="7E6E4EF4">
      <w:pPr>
        <w:snapToGrid w:val="0"/>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投标人全称（公章）：</w:t>
      </w:r>
    </w:p>
    <w:p w14:paraId="1A8E3409">
      <w:pPr>
        <w:snapToGrid w:val="0"/>
        <w:spacing w:line="360" w:lineRule="auto"/>
        <w:ind w:right="-58" w:firstLine="105" w:firstLineChars="50"/>
        <w:rPr>
          <w:rFonts w:ascii="宋体" w:hAnsi="宋体" w:cs="宋体"/>
          <w:color w:val="auto"/>
          <w:szCs w:val="21"/>
          <w:highlight w:val="none"/>
        </w:rPr>
      </w:pPr>
      <w:r>
        <w:rPr>
          <w:rFonts w:hint="eastAsia" w:ascii="宋体" w:hAnsi="宋体" w:cs="宋体"/>
          <w:color w:val="auto"/>
          <w:szCs w:val="21"/>
          <w:highlight w:val="none"/>
        </w:rPr>
        <w:t>投标人全权代表（签字）：</w:t>
      </w:r>
    </w:p>
    <w:p w14:paraId="623472F0">
      <w:pPr>
        <w:snapToGrid w:val="0"/>
        <w:spacing w:line="360" w:lineRule="auto"/>
        <w:ind w:right="-58" w:firstLine="105" w:firstLineChars="50"/>
        <w:rPr>
          <w:rFonts w:ascii="宋体" w:hAnsi="宋体" w:cs="宋体"/>
          <w:color w:val="auto"/>
          <w:szCs w:val="21"/>
          <w:highlight w:val="none"/>
        </w:rPr>
      </w:pPr>
      <w:r>
        <w:rPr>
          <w:rFonts w:hint="eastAsia" w:ascii="宋体" w:hAnsi="宋体" w:cs="宋体"/>
          <w:color w:val="auto"/>
          <w:szCs w:val="21"/>
          <w:highlight w:val="none"/>
        </w:rPr>
        <w:t>日期：</w:t>
      </w:r>
    </w:p>
    <w:p w14:paraId="0697E7EF">
      <w:pPr>
        <w:pStyle w:val="12"/>
        <w:ind w:left="1470" w:right="1470"/>
        <w:rPr>
          <w:color w:val="auto"/>
          <w:highlight w:val="none"/>
        </w:rPr>
      </w:pPr>
    </w:p>
    <w:p w14:paraId="49EC8EBC">
      <w:pPr>
        <w:pStyle w:val="12"/>
        <w:ind w:left="1470" w:right="1470"/>
        <w:rPr>
          <w:color w:val="auto"/>
          <w:highlight w:val="none"/>
        </w:rPr>
      </w:pPr>
    </w:p>
    <w:p w14:paraId="1B681E13">
      <w:pPr>
        <w:widowControl/>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4480F108">
      <w:pPr>
        <w:spacing w:line="460" w:lineRule="exact"/>
        <w:outlineLvl w:val="2"/>
        <w:rPr>
          <w:rFonts w:ascii="宋体" w:hAnsi="宋体" w:cs="宋体"/>
          <w:b/>
          <w:bCs/>
          <w:color w:val="auto"/>
          <w:szCs w:val="21"/>
          <w:highlight w:val="none"/>
        </w:rPr>
      </w:pPr>
    </w:p>
    <w:p w14:paraId="3A2C3CD1">
      <w:pPr>
        <w:spacing w:line="460" w:lineRule="exact"/>
        <w:outlineLvl w:val="2"/>
        <w:rPr>
          <w:rFonts w:ascii="宋体" w:hAnsi="宋体" w:cs="宋体"/>
          <w:b/>
          <w:bCs/>
          <w:color w:val="auto"/>
          <w:szCs w:val="21"/>
          <w:highlight w:val="none"/>
        </w:rPr>
      </w:pPr>
      <w:r>
        <w:rPr>
          <w:rFonts w:hint="eastAsia" w:ascii="宋体" w:hAnsi="宋体" w:cs="宋体"/>
          <w:b/>
          <w:bCs/>
          <w:color w:val="auto"/>
          <w:szCs w:val="21"/>
          <w:highlight w:val="none"/>
        </w:rPr>
        <w:t>附件三</w:t>
      </w:r>
    </w:p>
    <w:p w14:paraId="1043823F">
      <w:pPr>
        <w:snapToGrid w:val="0"/>
        <w:spacing w:line="460" w:lineRule="exact"/>
        <w:jc w:val="center"/>
        <w:rPr>
          <w:rFonts w:ascii="宋体" w:hAnsi="宋体" w:cs="宋体"/>
          <w:b/>
          <w:color w:val="auto"/>
          <w:szCs w:val="21"/>
          <w:highlight w:val="none"/>
        </w:rPr>
      </w:pPr>
    </w:p>
    <w:p w14:paraId="3F6C7180">
      <w:pPr>
        <w:snapToGrid w:val="0"/>
        <w:spacing w:line="460" w:lineRule="exact"/>
        <w:jc w:val="center"/>
        <w:rPr>
          <w:rFonts w:ascii="宋体" w:hAnsi="宋体" w:cs="宋体"/>
          <w:b/>
          <w:color w:val="auto"/>
          <w:sz w:val="28"/>
          <w:szCs w:val="28"/>
          <w:highlight w:val="none"/>
        </w:rPr>
      </w:pPr>
      <w:r>
        <w:rPr>
          <w:rFonts w:hint="eastAsia" w:ascii="宋体" w:hAnsi="宋体" w:cs="宋体"/>
          <w:b/>
          <w:color w:val="auto"/>
          <w:sz w:val="28"/>
          <w:szCs w:val="28"/>
          <w:highlight w:val="none"/>
        </w:rPr>
        <w:t>投标声明书</w:t>
      </w:r>
    </w:p>
    <w:p w14:paraId="70698414">
      <w:pPr>
        <w:snapToGrid w:val="0"/>
        <w:spacing w:line="480" w:lineRule="auto"/>
        <w:rPr>
          <w:rFonts w:ascii="宋体" w:hAnsi="宋体" w:cs="宋体"/>
          <w:b/>
          <w:color w:val="auto"/>
          <w:szCs w:val="21"/>
          <w:highlight w:val="none"/>
        </w:rPr>
      </w:pPr>
    </w:p>
    <w:p w14:paraId="1D734DF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bCs/>
          <w:color w:val="auto"/>
          <w:szCs w:val="21"/>
          <w:highlight w:val="none"/>
          <w:u w:val="single"/>
        </w:rPr>
        <w:t>温州科技职业学院、</w:t>
      </w:r>
      <w:r>
        <w:rPr>
          <w:rFonts w:hint="eastAsia" w:ascii="宋体" w:hAnsi="宋体" w:cs="宋体"/>
          <w:bCs/>
          <w:color w:val="auto"/>
          <w:szCs w:val="21"/>
          <w:highlight w:val="none"/>
          <w:u w:val="single"/>
          <w:lang w:eastAsia="zh-CN"/>
        </w:rPr>
        <w:t>温州市华信采购招标代理有限公司</w:t>
      </w:r>
      <w:r>
        <w:rPr>
          <w:rFonts w:hint="eastAsia" w:ascii="宋体" w:hAnsi="宋体" w:cs="宋体"/>
          <w:color w:val="auto"/>
          <w:szCs w:val="21"/>
          <w:highlight w:val="none"/>
        </w:rPr>
        <w:t>：</w:t>
      </w:r>
    </w:p>
    <w:p w14:paraId="113E956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（投标人名称 ）</w:t>
      </w:r>
      <w:r>
        <w:rPr>
          <w:rFonts w:hint="eastAsia" w:ascii="宋体" w:hAnsi="宋体" w:cs="宋体"/>
          <w:color w:val="auto"/>
          <w:szCs w:val="21"/>
          <w:highlight w:val="none"/>
        </w:rPr>
        <w:t>系中华人民共和国合法企业，经营地址。</w:t>
      </w:r>
    </w:p>
    <w:p w14:paraId="298C0E5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（投标人名称）</w:t>
      </w:r>
      <w:r>
        <w:rPr>
          <w:rFonts w:hint="eastAsia" w:ascii="宋体" w:hAnsi="宋体" w:cs="宋体"/>
          <w:color w:val="auto"/>
          <w:szCs w:val="21"/>
          <w:highlight w:val="none"/>
        </w:rPr>
        <w:t>的法定代表人（负责人），我方愿意参加贵方组织的</w:t>
      </w:r>
      <w:r>
        <w:rPr>
          <w:rFonts w:hint="eastAsia" w:ascii="宋体" w:hAnsi="宋体" w:cs="仿宋_GB2312"/>
          <w:color w:val="auto"/>
          <w:szCs w:val="21"/>
          <w:highlight w:val="none"/>
          <w:u w:val="single"/>
          <w:lang w:val="zh-CN"/>
        </w:rPr>
        <w:t>温州科技职业学院2025年公款竞争性存放项目（项目编号：WZHX2024-12-234）</w:t>
      </w:r>
      <w:r>
        <w:rPr>
          <w:rFonts w:hint="eastAsia" w:ascii="宋体" w:hAnsi="宋体" w:cs="宋体"/>
          <w:color w:val="auto"/>
          <w:szCs w:val="21"/>
          <w:highlight w:val="none"/>
        </w:rPr>
        <w:t>的投标，为此，我方就本次投标有关事项郑重声明如下：</w:t>
      </w:r>
    </w:p>
    <w:p w14:paraId="7E6897AF">
      <w:pPr>
        <w:numPr>
          <w:ilvl w:val="0"/>
          <w:numId w:val="7"/>
        </w:num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投标人已详细审查全部招标文件，同意招标文件的各项要求。</w:t>
      </w:r>
    </w:p>
    <w:p w14:paraId="1BA4DDD1">
      <w:pPr>
        <w:numPr>
          <w:ilvl w:val="0"/>
          <w:numId w:val="7"/>
        </w:num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我方向贵方提交的所有投标文件、资料都是准确的和真实的。</w:t>
      </w:r>
    </w:p>
    <w:p w14:paraId="74FA4D54">
      <w:pPr>
        <w:numPr>
          <w:ilvl w:val="0"/>
          <w:numId w:val="7"/>
        </w:num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若中标，我方将按招标文件规定履行协议责任和义务。</w:t>
      </w:r>
    </w:p>
    <w:p w14:paraId="157BBB1C">
      <w:pPr>
        <w:numPr>
          <w:ilvl w:val="0"/>
          <w:numId w:val="7"/>
        </w:num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我方不是招标人的附属机构；在获知本项目招标信息后，与招标人聘请的为此项目提供咨询服务的公司及其附属机构没有任何联系。</w:t>
      </w:r>
    </w:p>
    <w:p w14:paraId="5ED60C06">
      <w:pPr>
        <w:numPr>
          <w:ilvl w:val="0"/>
          <w:numId w:val="7"/>
        </w:num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以上事项如有虚假或隐瞒，我方愿意承担一切后果，并不再寻求任何旨在减轻或免除法律责任的辩解。</w:t>
      </w:r>
    </w:p>
    <w:p w14:paraId="11EFFD56">
      <w:pPr>
        <w:pStyle w:val="11"/>
        <w:tabs>
          <w:tab w:val="left" w:pos="939"/>
        </w:tabs>
        <w:snapToGrid w:val="0"/>
        <w:spacing w:line="360" w:lineRule="auto"/>
        <w:ind w:left="716" w:leftChars="150" w:hanging="401" w:hangingChars="191"/>
        <w:rPr>
          <w:rFonts w:ascii="宋体" w:hAnsi="宋体" w:cs="宋体"/>
          <w:color w:val="auto"/>
          <w:sz w:val="21"/>
          <w:szCs w:val="21"/>
          <w:highlight w:val="none"/>
        </w:rPr>
      </w:pPr>
    </w:p>
    <w:p w14:paraId="07DF2BAD">
      <w:pPr>
        <w:pStyle w:val="11"/>
        <w:tabs>
          <w:tab w:val="left" w:pos="939"/>
        </w:tabs>
        <w:snapToGrid w:val="0"/>
        <w:spacing w:line="360" w:lineRule="auto"/>
        <w:ind w:left="716" w:leftChars="150" w:hanging="401" w:hangingChars="191"/>
        <w:rPr>
          <w:rFonts w:ascii="宋体" w:hAnsi="宋体" w:cs="宋体"/>
          <w:color w:val="auto"/>
          <w:sz w:val="21"/>
          <w:szCs w:val="21"/>
          <w:highlight w:val="none"/>
        </w:rPr>
      </w:pPr>
    </w:p>
    <w:p w14:paraId="4088475C">
      <w:pPr>
        <w:snapToGrid w:val="0"/>
        <w:spacing w:line="360" w:lineRule="auto"/>
        <w:ind w:firstLine="422" w:firstLineChars="201"/>
        <w:rPr>
          <w:rFonts w:ascii="宋体" w:hAnsi="宋体" w:cs="宋体"/>
          <w:bCs/>
          <w:color w:val="auto"/>
          <w:szCs w:val="21"/>
          <w:highlight w:val="none"/>
        </w:rPr>
      </w:pPr>
      <w:r>
        <w:rPr>
          <w:rFonts w:hint="eastAsia" w:ascii="宋体" w:hAnsi="宋体" w:cs="宋体"/>
          <w:bCs/>
          <w:color w:val="auto"/>
          <w:szCs w:val="21"/>
          <w:highlight w:val="none"/>
        </w:rPr>
        <w:t>投标人全称（公章）：</w:t>
      </w:r>
    </w:p>
    <w:p w14:paraId="4A458F2E">
      <w:pPr>
        <w:snapToGrid w:val="0"/>
        <w:spacing w:line="360" w:lineRule="auto"/>
        <w:ind w:right="-58" w:firstLine="422" w:firstLineChars="201"/>
        <w:rPr>
          <w:rFonts w:ascii="宋体" w:hAnsi="宋体" w:cs="宋体"/>
          <w:bCs/>
          <w:color w:val="auto"/>
          <w:szCs w:val="21"/>
          <w:highlight w:val="none"/>
        </w:rPr>
      </w:pPr>
      <w:r>
        <w:rPr>
          <w:rFonts w:hint="eastAsia" w:ascii="宋体" w:hAnsi="宋体" w:cs="宋体"/>
          <w:bCs/>
          <w:color w:val="auto"/>
          <w:szCs w:val="21"/>
          <w:highlight w:val="none"/>
        </w:rPr>
        <w:t>投标人全权代表（签字）：</w:t>
      </w:r>
    </w:p>
    <w:p w14:paraId="0C283001">
      <w:pPr>
        <w:snapToGrid w:val="0"/>
        <w:spacing w:line="360" w:lineRule="auto"/>
        <w:ind w:right="-58" w:firstLine="422" w:firstLineChars="201"/>
        <w:rPr>
          <w:rFonts w:ascii="宋体" w:hAnsi="宋体" w:cs="宋体"/>
          <w:bCs/>
          <w:color w:val="auto"/>
          <w:szCs w:val="21"/>
          <w:highlight w:val="none"/>
          <w:u w:val="single"/>
        </w:rPr>
      </w:pPr>
      <w:r>
        <w:rPr>
          <w:rFonts w:hint="eastAsia" w:ascii="宋体" w:hAnsi="宋体" w:cs="宋体"/>
          <w:bCs/>
          <w:color w:val="auto"/>
          <w:szCs w:val="21"/>
          <w:highlight w:val="none"/>
        </w:rPr>
        <w:t>日期：</w:t>
      </w:r>
    </w:p>
    <w:p w14:paraId="00F11BA0">
      <w:pPr>
        <w:snapToGrid w:val="0"/>
        <w:spacing w:line="460" w:lineRule="exact"/>
        <w:rPr>
          <w:rFonts w:ascii="宋体" w:hAnsi="宋体" w:cs="宋体"/>
          <w:b/>
          <w:color w:val="auto"/>
          <w:sz w:val="36"/>
          <w:szCs w:val="36"/>
          <w:highlight w:val="none"/>
        </w:rPr>
      </w:pPr>
    </w:p>
    <w:p w14:paraId="1FB89126">
      <w:pPr>
        <w:snapToGrid w:val="0"/>
        <w:spacing w:line="460" w:lineRule="exact"/>
        <w:rPr>
          <w:rFonts w:ascii="宋体" w:hAnsi="宋体" w:cs="宋体"/>
          <w:b/>
          <w:color w:val="auto"/>
          <w:sz w:val="36"/>
          <w:szCs w:val="36"/>
          <w:highlight w:val="none"/>
        </w:rPr>
      </w:pPr>
    </w:p>
    <w:p w14:paraId="09D03EC3">
      <w:pPr>
        <w:snapToGrid w:val="0"/>
        <w:spacing w:line="460" w:lineRule="exact"/>
        <w:rPr>
          <w:rFonts w:ascii="宋体" w:hAnsi="宋体" w:cs="宋体"/>
          <w:b/>
          <w:color w:val="auto"/>
          <w:sz w:val="36"/>
          <w:szCs w:val="36"/>
          <w:highlight w:val="none"/>
        </w:rPr>
      </w:pPr>
    </w:p>
    <w:p w14:paraId="282D58F1">
      <w:pPr>
        <w:snapToGrid w:val="0"/>
        <w:spacing w:line="460" w:lineRule="exact"/>
        <w:rPr>
          <w:rFonts w:ascii="宋体" w:hAnsi="宋体" w:cs="宋体"/>
          <w:b/>
          <w:color w:val="auto"/>
          <w:sz w:val="36"/>
          <w:szCs w:val="36"/>
          <w:highlight w:val="none"/>
        </w:rPr>
      </w:pPr>
    </w:p>
    <w:p w14:paraId="7AF2F2CD">
      <w:pPr>
        <w:snapToGrid w:val="0"/>
        <w:spacing w:line="460" w:lineRule="exact"/>
        <w:rPr>
          <w:rFonts w:ascii="宋体" w:hAnsi="宋体" w:cs="宋体"/>
          <w:b/>
          <w:color w:val="auto"/>
          <w:sz w:val="36"/>
          <w:szCs w:val="36"/>
          <w:highlight w:val="none"/>
        </w:rPr>
      </w:pPr>
    </w:p>
    <w:p w14:paraId="5B554CFF">
      <w:pPr>
        <w:pStyle w:val="12"/>
        <w:ind w:left="1470" w:right="1470"/>
        <w:rPr>
          <w:rFonts w:ascii="宋体" w:hAnsi="宋体" w:cs="宋体"/>
          <w:b/>
          <w:color w:val="auto"/>
          <w:sz w:val="36"/>
          <w:szCs w:val="36"/>
          <w:highlight w:val="none"/>
        </w:rPr>
      </w:pPr>
    </w:p>
    <w:p w14:paraId="4C71BF17">
      <w:pPr>
        <w:pStyle w:val="12"/>
        <w:ind w:left="1470" w:right="1470"/>
        <w:rPr>
          <w:rFonts w:ascii="宋体" w:hAnsi="宋体" w:cs="宋体"/>
          <w:b/>
          <w:color w:val="auto"/>
          <w:sz w:val="36"/>
          <w:szCs w:val="36"/>
          <w:highlight w:val="none"/>
        </w:rPr>
      </w:pPr>
    </w:p>
    <w:p w14:paraId="2B5A02D2">
      <w:pPr>
        <w:widowControl/>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19CEAD88">
      <w:pPr>
        <w:snapToGrid w:val="0"/>
        <w:spacing w:line="460" w:lineRule="exact"/>
        <w:rPr>
          <w:rFonts w:ascii="宋体" w:hAnsi="宋体" w:cs="宋体"/>
          <w:b/>
          <w:color w:val="auto"/>
          <w:sz w:val="36"/>
          <w:szCs w:val="36"/>
          <w:highlight w:val="none"/>
        </w:rPr>
      </w:pPr>
    </w:p>
    <w:p w14:paraId="7DB279B7">
      <w:pPr>
        <w:spacing w:line="460" w:lineRule="exact"/>
        <w:outlineLvl w:val="2"/>
        <w:rPr>
          <w:rFonts w:ascii="宋体" w:hAnsi="宋体" w:cs="宋体"/>
          <w:b/>
          <w:color w:val="auto"/>
          <w:szCs w:val="21"/>
          <w:highlight w:val="none"/>
        </w:rPr>
      </w:pPr>
      <w:r>
        <w:rPr>
          <w:rFonts w:hint="eastAsia" w:ascii="宋体" w:hAnsi="宋体" w:cs="宋体"/>
          <w:b/>
          <w:bCs/>
          <w:color w:val="auto"/>
          <w:szCs w:val="21"/>
          <w:highlight w:val="none"/>
        </w:rPr>
        <w:t>附件四</w:t>
      </w:r>
    </w:p>
    <w:p w14:paraId="526A8C2B">
      <w:pPr>
        <w:snapToGrid w:val="0"/>
        <w:spacing w:line="360" w:lineRule="auto"/>
        <w:rPr>
          <w:rFonts w:ascii="宋体" w:hAnsi="宋体" w:cs="宋体"/>
          <w:b/>
          <w:bCs/>
          <w:snapToGrid w:val="0"/>
          <w:color w:val="auto"/>
          <w:szCs w:val="21"/>
          <w:highlight w:val="none"/>
        </w:rPr>
      </w:pPr>
    </w:p>
    <w:p w14:paraId="0F6CBE0E">
      <w:pPr>
        <w:snapToGrid w:val="0"/>
        <w:spacing w:line="360" w:lineRule="auto"/>
        <w:rPr>
          <w:rFonts w:ascii="宋体" w:hAnsi="宋体" w:cs="宋体"/>
          <w:b/>
          <w:bCs/>
          <w:snapToGrid w:val="0"/>
          <w:color w:val="auto"/>
          <w:szCs w:val="21"/>
          <w:highlight w:val="none"/>
        </w:rPr>
      </w:pPr>
    </w:p>
    <w:p w14:paraId="46DDCBCB">
      <w:pPr>
        <w:snapToGrid w:val="0"/>
        <w:spacing w:line="360" w:lineRule="auto"/>
        <w:jc w:val="center"/>
        <w:rPr>
          <w:rFonts w:ascii="宋体" w:hAnsi="宋体" w:cs="宋体"/>
          <w:b/>
          <w:bCs/>
          <w:snapToGrid w:val="0"/>
          <w:color w:val="auto"/>
          <w:sz w:val="28"/>
          <w:szCs w:val="28"/>
          <w:highlight w:val="none"/>
        </w:rPr>
      </w:pPr>
      <w:r>
        <w:rPr>
          <w:rFonts w:hint="eastAsia" w:ascii="宋体" w:hAnsi="宋体" w:cs="宋体"/>
          <w:b/>
          <w:bCs/>
          <w:snapToGrid w:val="0"/>
          <w:color w:val="auto"/>
          <w:sz w:val="28"/>
          <w:szCs w:val="28"/>
          <w:highlight w:val="none"/>
        </w:rPr>
        <w:t>中华人民共和国金融许可证扫描件须加盖投标人公章</w:t>
      </w:r>
    </w:p>
    <w:p w14:paraId="1D499638">
      <w:pPr>
        <w:widowControl/>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9B7D7DD">
      <w:pPr>
        <w:spacing w:line="460" w:lineRule="exact"/>
        <w:outlineLvl w:val="2"/>
        <w:rPr>
          <w:rFonts w:ascii="宋体" w:hAnsi="宋体" w:cs="宋体"/>
          <w:b/>
          <w:bCs/>
          <w:color w:val="auto"/>
          <w:szCs w:val="21"/>
          <w:highlight w:val="none"/>
        </w:rPr>
      </w:pPr>
    </w:p>
    <w:p w14:paraId="5ED25854">
      <w:pPr>
        <w:spacing w:line="460" w:lineRule="exact"/>
        <w:outlineLvl w:val="2"/>
        <w:rPr>
          <w:rFonts w:ascii="宋体" w:hAnsi="宋体" w:cs="宋体"/>
          <w:b/>
          <w:color w:val="auto"/>
          <w:szCs w:val="21"/>
          <w:highlight w:val="none"/>
        </w:rPr>
      </w:pPr>
      <w:r>
        <w:rPr>
          <w:rFonts w:hint="eastAsia" w:ascii="宋体" w:hAnsi="宋体" w:cs="宋体"/>
          <w:b/>
          <w:bCs/>
          <w:color w:val="auto"/>
          <w:szCs w:val="21"/>
          <w:highlight w:val="none"/>
        </w:rPr>
        <w:t>附件五</w:t>
      </w:r>
    </w:p>
    <w:p w14:paraId="756250D5">
      <w:pPr>
        <w:snapToGrid w:val="0"/>
        <w:spacing w:line="360" w:lineRule="auto"/>
        <w:jc w:val="center"/>
        <w:rPr>
          <w:rFonts w:ascii="宋体" w:hAnsi="宋体" w:cs="宋体"/>
          <w:b/>
          <w:bCs/>
          <w:snapToGrid w:val="0"/>
          <w:color w:val="auto"/>
          <w:sz w:val="28"/>
          <w:szCs w:val="28"/>
          <w:highlight w:val="none"/>
        </w:rPr>
      </w:pPr>
      <w:r>
        <w:rPr>
          <w:rFonts w:hint="eastAsia" w:ascii="宋体" w:hAnsi="宋体" w:cs="宋体"/>
          <w:b/>
          <w:bCs/>
          <w:snapToGrid w:val="0"/>
          <w:color w:val="auto"/>
          <w:sz w:val="28"/>
          <w:szCs w:val="28"/>
          <w:highlight w:val="none"/>
        </w:rPr>
        <w:t>资格审查要求的资格证明材料</w:t>
      </w:r>
    </w:p>
    <w:p w14:paraId="704B8FAA">
      <w:pPr>
        <w:spacing w:line="460" w:lineRule="exact"/>
        <w:jc w:val="center"/>
        <w:outlineLvl w:val="2"/>
        <w:rPr>
          <w:rFonts w:ascii="宋体" w:hAnsi="宋体" w:cs="宋体"/>
          <w:b/>
          <w:color w:val="auto"/>
          <w:szCs w:val="21"/>
          <w:highlight w:val="none"/>
        </w:rPr>
      </w:pPr>
    </w:p>
    <w:p w14:paraId="5A6F1F88">
      <w:pPr>
        <w:spacing w:line="360" w:lineRule="auto"/>
        <w:jc w:val="center"/>
        <w:rPr>
          <w:rFonts w:ascii="宋体" w:hAnsi="宋体" w:cs="宋体"/>
          <w:b/>
          <w:color w:val="auto"/>
          <w:szCs w:val="21"/>
          <w:highlight w:val="none"/>
        </w:rPr>
      </w:pPr>
      <w:r>
        <w:rPr>
          <w:rFonts w:hint="eastAsia" w:ascii="宋体" w:hAnsi="宋体" w:cs="宋体"/>
          <w:b/>
          <w:bCs/>
          <w:color w:val="auto"/>
          <w:szCs w:val="21"/>
          <w:highlight w:val="none"/>
        </w:rPr>
        <w:t>（1）</w:t>
      </w:r>
      <w:r>
        <w:rPr>
          <w:rFonts w:hint="eastAsia" w:ascii="宋体" w:hAnsi="宋体" w:cs="宋体"/>
          <w:b/>
          <w:color w:val="auto"/>
          <w:szCs w:val="21"/>
          <w:highlight w:val="none"/>
        </w:rPr>
        <w:t>法定代表人（负责人）资格证明书</w:t>
      </w:r>
    </w:p>
    <w:p w14:paraId="76B47A24">
      <w:pPr>
        <w:spacing w:line="360" w:lineRule="auto"/>
        <w:jc w:val="left"/>
        <w:rPr>
          <w:rFonts w:ascii="宋体" w:hAnsi="宋体" w:cs="宋体"/>
          <w:bCs/>
          <w:color w:val="auto"/>
          <w:szCs w:val="21"/>
          <w:highlight w:val="none"/>
          <w:u w:val="single"/>
        </w:rPr>
      </w:pPr>
    </w:p>
    <w:p w14:paraId="60E798C3">
      <w:pPr>
        <w:spacing w:line="360" w:lineRule="auto"/>
        <w:jc w:val="left"/>
        <w:rPr>
          <w:rFonts w:ascii="宋体" w:hAnsi="宋体" w:cs="宋体"/>
          <w:b/>
          <w:color w:val="auto"/>
          <w:szCs w:val="21"/>
          <w:highlight w:val="none"/>
        </w:rPr>
      </w:pPr>
      <w:r>
        <w:rPr>
          <w:rFonts w:hint="eastAsia" w:ascii="宋体" w:hAnsi="宋体" w:cs="宋体"/>
          <w:bCs/>
          <w:color w:val="auto"/>
          <w:szCs w:val="21"/>
          <w:highlight w:val="none"/>
          <w:u w:val="single"/>
        </w:rPr>
        <w:t>温州科技职业学院、</w:t>
      </w:r>
      <w:r>
        <w:rPr>
          <w:rFonts w:hint="eastAsia" w:ascii="宋体" w:hAnsi="宋体" w:cs="宋体"/>
          <w:bCs/>
          <w:color w:val="auto"/>
          <w:szCs w:val="21"/>
          <w:highlight w:val="none"/>
          <w:u w:val="single"/>
          <w:lang w:eastAsia="zh-CN"/>
        </w:rPr>
        <w:t>温州市华信采购招标代理有限公司</w:t>
      </w:r>
      <w:r>
        <w:rPr>
          <w:rFonts w:hint="eastAsia" w:ascii="宋体" w:hAnsi="宋体" w:cs="宋体"/>
          <w:b/>
          <w:color w:val="auto"/>
          <w:szCs w:val="21"/>
          <w:highlight w:val="none"/>
        </w:rPr>
        <w:t>：</w:t>
      </w:r>
    </w:p>
    <w:p w14:paraId="6CF2B21B">
      <w:pPr>
        <w:spacing w:line="360" w:lineRule="auto"/>
        <w:ind w:firstLine="420" w:firstLineChars="200"/>
        <w:rPr>
          <w:rFonts w:ascii="宋体" w:hAnsi="宋体" w:cs="宋体"/>
          <w:color w:val="auto"/>
          <w:szCs w:val="21"/>
          <w:highlight w:val="none"/>
          <w:u w:val="single"/>
        </w:rPr>
      </w:pPr>
    </w:p>
    <w:p w14:paraId="2AA7FE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 xml:space="preserve">              （姓名、性别、年龄）</w:t>
      </w:r>
      <w:r>
        <w:rPr>
          <w:rFonts w:hint="eastAsia" w:ascii="宋体" w:hAnsi="宋体" w:cs="宋体"/>
          <w:color w:val="auto"/>
          <w:szCs w:val="21"/>
          <w:highlight w:val="none"/>
        </w:rPr>
        <w:t>在我单位任</w:t>
      </w:r>
      <w:r>
        <w:rPr>
          <w:rFonts w:hint="eastAsia" w:ascii="宋体" w:hAnsi="宋体" w:cs="宋体"/>
          <w:color w:val="auto"/>
          <w:szCs w:val="21"/>
          <w:highlight w:val="none"/>
          <w:u w:val="single"/>
        </w:rPr>
        <w:t xml:space="preserve">                      （职务名称）</w:t>
      </w:r>
      <w:r>
        <w:rPr>
          <w:rFonts w:hint="eastAsia" w:ascii="宋体" w:hAnsi="宋体" w:cs="宋体"/>
          <w:color w:val="auto"/>
          <w:szCs w:val="21"/>
          <w:highlight w:val="none"/>
        </w:rPr>
        <w:t>职务，是我单位的法定代表人（负责人）。</w:t>
      </w:r>
    </w:p>
    <w:p w14:paraId="671A6557">
      <w:pPr>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特此证明。</w:t>
      </w:r>
    </w:p>
    <w:p w14:paraId="7FBE26C7">
      <w:pPr>
        <w:spacing w:line="360" w:lineRule="auto"/>
        <w:jc w:val="left"/>
        <w:rPr>
          <w:rFonts w:ascii="宋体" w:hAnsi="宋体" w:cs="宋体"/>
          <w:color w:val="auto"/>
          <w:szCs w:val="21"/>
          <w:highlight w:val="none"/>
        </w:rPr>
      </w:pPr>
    </w:p>
    <w:p w14:paraId="2B2594BE">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法定代表人（负责人）身份证号： （身份证复印附后）</w:t>
      </w:r>
    </w:p>
    <w:p w14:paraId="0832B8F4">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法定代表人（负责人）电话：</w:t>
      </w:r>
    </w:p>
    <w:p w14:paraId="124E4FD2">
      <w:pPr>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投标人全称（公章）</w:t>
      </w:r>
    </w:p>
    <w:p w14:paraId="469D7777">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日 期：   年  月  日</w:t>
      </w:r>
    </w:p>
    <w:p w14:paraId="5002FBCB">
      <w:pPr>
        <w:spacing w:line="360" w:lineRule="auto"/>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598170</wp:posOffset>
                </wp:positionH>
                <wp:positionV relativeFrom="paragraph">
                  <wp:posOffset>158115</wp:posOffset>
                </wp:positionV>
                <wp:extent cx="3400425" cy="2377440"/>
                <wp:effectExtent l="4445" t="4445" r="5080" b="18415"/>
                <wp:wrapNone/>
                <wp:docPr id="1" name="文本框 1"/>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CE9BE97">
                            <w:pPr>
                              <w:rPr>
                                <w:rFonts w:ascii="宋体" w:hAnsi="宋体" w:cs="宋体"/>
                                <w:szCs w:val="21"/>
                              </w:rPr>
                            </w:pPr>
                            <w:r>
                              <w:rPr>
                                <w:rFonts w:hint="eastAsia" w:ascii="宋体" w:hAnsi="宋体" w:cs="宋体"/>
                                <w:szCs w:val="21"/>
                              </w:rPr>
                              <w:t>法人代表身份证扫描件粘贴：</w:t>
                            </w:r>
                          </w:p>
                        </w:txbxContent>
                      </wps:txbx>
                      <wps:bodyPr upright="1"/>
                    </wps:wsp>
                  </a:graphicData>
                </a:graphic>
              </wp:anchor>
            </w:drawing>
          </mc:Choice>
          <mc:Fallback>
            <w:pict>
              <v:shape id="_x0000_s1026" o:spid="_x0000_s1026" o:spt="202" type="#_x0000_t202" style="position:absolute;left:0pt;margin-left:47.1pt;margin-top:12.45pt;height:187.2pt;width:267.75pt;z-index:251661312;mso-width-relative:page;mso-height-relative:page;" fillcolor="#FFFFFF" filled="t" stroked="t" coordsize="21600,21600" o:gfxdata="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XyYO2AAAAAkBAAAPAAAAAAAA&#10;AAEAIAAAACIAAABkcnMvZG93bnJldi54bWxQSwECFAAUAAAACACHTuJAfqi+AxICAABFBAAADgAA&#10;AAAAAAABACAAAAAnAQAAZHJzL2Uyb0RvYy54bWxQSwUGAAAAAAYABgBZAQAAqwUAAAAA&#10;">
                <v:fill on="t" focussize="0,0"/>
                <v:stroke color="#000000" joinstyle="miter"/>
                <v:imagedata o:title=""/>
                <o:lock v:ext="edit" aspectratio="f"/>
                <v:textbox>
                  <w:txbxContent>
                    <w:p w14:paraId="1CE9BE97">
                      <w:pPr>
                        <w:rPr>
                          <w:rFonts w:ascii="宋体" w:hAnsi="宋体" w:cs="宋体"/>
                          <w:szCs w:val="21"/>
                        </w:rPr>
                      </w:pPr>
                      <w:r>
                        <w:rPr>
                          <w:rFonts w:hint="eastAsia" w:ascii="宋体" w:hAnsi="宋体" w:cs="宋体"/>
                          <w:szCs w:val="21"/>
                        </w:rPr>
                        <w:t>法人代表身份证扫描件粘贴：</w:t>
                      </w:r>
                    </w:p>
                  </w:txbxContent>
                </v:textbox>
              </v:shape>
            </w:pict>
          </mc:Fallback>
        </mc:AlternateContent>
      </w:r>
    </w:p>
    <w:p w14:paraId="33783D62">
      <w:pPr>
        <w:spacing w:line="360" w:lineRule="auto"/>
        <w:rPr>
          <w:rFonts w:ascii="宋体" w:hAnsi="宋体" w:cs="宋体"/>
          <w:color w:val="auto"/>
          <w:szCs w:val="21"/>
          <w:highlight w:val="none"/>
        </w:rPr>
      </w:pPr>
    </w:p>
    <w:p w14:paraId="2024BD76">
      <w:pPr>
        <w:spacing w:line="360" w:lineRule="auto"/>
        <w:rPr>
          <w:rFonts w:ascii="宋体" w:hAnsi="宋体" w:cs="宋体"/>
          <w:color w:val="auto"/>
          <w:szCs w:val="21"/>
          <w:highlight w:val="none"/>
        </w:rPr>
      </w:pPr>
    </w:p>
    <w:p w14:paraId="25CBBA64">
      <w:pPr>
        <w:spacing w:line="360" w:lineRule="auto"/>
        <w:rPr>
          <w:rFonts w:ascii="宋体" w:hAnsi="宋体" w:cs="宋体"/>
          <w:b/>
          <w:bCs/>
          <w:color w:val="auto"/>
          <w:szCs w:val="21"/>
          <w:highlight w:val="none"/>
        </w:rPr>
      </w:pPr>
    </w:p>
    <w:p w14:paraId="71C09221">
      <w:pPr>
        <w:spacing w:line="360" w:lineRule="auto"/>
        <w:rPr>
          <w:rFonts w:ascii="宋体" w:hAnsi="宋体" w:cs="宋体"/>
          <w:b/>
          <w:bCs/>
          <w:color w:val="auto"/>
          <w:szCs w:val="21"/>
          <w:highlight w:val="none"/>
        </w:rPr>
      </w:pPr>
    </w:p>
    <w:p w14:paraId="2AA0FFD4">
      <w:pPr>
        <w:spacing w:line="360" w:lineRule="auto"/>
        <w:rPr>
          <w:rFonts w:ascii="宋体" w:hAnsi="宋体" w:cs="宋体"/>
          <w:b/>
          <w:bCs/>
          <w:color w:val="auto"/>
          <w:szCs w:val="21"/>
          <w:highlight w:val="none"/>
        </w:rPr>
      </w:pPr>
    </w:p>
    <w:p w14:paraId="74EF3B19">
      <w:pPr>
        <w:spacing w:line="360" w:lineRule="auto"/>
        <w:rPr>
          <w:rFonts w:ascii="宋体" w:hAnsi="宋体" w:cs="宋体"/>
          <w:b/>
          <w:bCs/>
          <w:color w:val="auto"/>
          <w:szCs w:val="21"/>
          <w:highlight w:val="none"/>
        </w:rPr>
      </w:pPr>
    </w:p>
    <w:p w14:paraId="49BE6B51">
      <w:pPr>
        <w:spacing w:line="360" w:lineRule="auto"/>
        <w:rPr>
          <w:rFonts w:ascii="宋体" w:hAnsi="宋体" w:cs="宋体"/>
          <w:b/>
          <w:bCs/>
          <w:color w:val="auto"/>
          <w:szCs w:val="21"/>
          <w:highlight w:val="none"/>
        </w:rPr>
      </w:pPr>
    </w:p>
    <w:p w14:paraId="581CFC01">
      <w:pPr>
        <w:spacing w:line="360" w:lineRule="auto"/>
        <w:rPr>
          <w:rFonts w:ascii="宋体" w:hAnsi="宋体" w:cs="宋体"/>
          <w:b/>
          <w:bCs/>
          <w:color w:val="auto"/>
          <w:szCs w:val="21"/>
          <w:highlight w:val="none"/>
        </w:rPr>
      </w:pPr>
    </w:p>
    <w:p w14:paraId="54AEAC0E">
      <w:pPr>
        <w:snapToGrid w:val="0"/>
        <w:spacing w:after="50" w:line="360" w:lineRule="auto"/>
        <w:rPr>
          <w:rFonts w:ascii="宋体" w:hAnsi="宋体" w:cs="宋体"/>
          <w:color w:val="auto"/>
          <w:szCs w:val="21"/>
          <w:highlight w:val="none"/>
        </w:rPr>
      </w:pPr>
    </w:p>
    <w:p w14:paraId="2F7043C9">
      <w:pPr>
        <w:spacing w:line="360" w:lineRule="auto"/>
        <w:rPr>
          <w:rFonts w:ascii="宋体" w:hAnsi="宋体" w:cs="宋体"/>
          <w:b/>
          <w:bCs/>
          <w:color w:val="auto"/>
          <w:spacing w:val="-6"/>
          <w:szCs w:val="21"/>
          <w:highlight w:val="none"/>
        </w:rPr>
      </w:pPr>
      <w:r>
        <w:rPr>
          <w:rFonts w:hint="eastAsia" w:ascii="宋体" w:hAnsi="宋体" w:cs="宋体"/>
          <w:b/>
          <w:bCs/>
          <w:color w:val="auto"/>
          <w:spacing w:val="-6"/>
          <w:szCs w:val="21"/>
          <w:highlight w:val="none"/>
        </w:rPr>
        <w:t>说明：投标人的法定代表人（负责人）参加投标，须在投标文件中提供法定代表人（负责人）资格证明书；投标人的法定代表人（负责人）委托授权代表参加投标，须在投标文件中提供法定代表人（负责人）授权委托书。</w:t>
      </w:r>
    </w:p>
    <w:p w14:paraId="26A23763">
      <w:pPr>
        <w:pStyle w:val="12"/>
        <w:ind w:left="1470" w:right="1470"/>
        <w:rPr>
          <w:rFonts w:ascii="宋体" w:hAnsi="宋体" w:cs="宋体"/>
          <w:color w:val="auto"/>
          <w:sz w:val="21"/>
          <w:szCs w:val="21"/>
          <w:highlight w:val="none"/>
        </w:rPr>
      </w:pPr>
    </w:p>
    <w:p w14:paraId="3FB84831">
      <w:pPr>
        <w:widowControl/>
        <w:jc w:val="left"/>
        <w:rPr>
          <w:rFonts w:ascii="宋体" w:hAnsi="宋体" w:cs="宋体"/>
          <w:color w:val="auto"/>
          <w:szCs w:val="21"/>
          <w:highlight w:val="none"/>
        </w:rPr>
      </w:pPr>
      <w:r>
        <w:rPr>
          <w:rFonts w:ascii="宋体" w:hAnsi="宋体" w:cs="宋体"/>
          <w:color w:val="auto"/>
          <w:szCs w:val="21"/>
          <w:highlight w:val="none"/>
        </w:rPr>
        <w:br w:type="page"/>
      </w:r>
    </w:p>
    <w:p w14:paraId="4C3C75DA">
      <w:pPr>
        <w:pStyle w:val="12"/>
        <w:ind w:left="1470" w:right="1470"/>
        <w:rPr>
          <w:rFonts w:ascii="宋体" w:hAnsi="宋体" w:cs="宋体"/>
          <w:color w:val="auto"/>
          <w:sz w:val="21"/>
          <w:szCs w:val="21"/>
          <w:highlight w:val="none"/>
        </w:rPr>
      </w:pPr>
    </w:p>
    <w:p w14:paraId="0D4B300B">
      <w:pPr>
        <w:snapToGrid w:val="0"/>
        <w:spacing w:beforeLines="50" w:after="50"/>
        <w:jc w:val="center"/>
        <w:rPr>
          <w:rFonts w:ascii="宋体" w:hAnsi="宋体" w:cs="宋体"/>
          <w:b/>
          <w:color w:val="auto"/>
          <w:sz w:val="28"/>
          <w:szCs w:val="28"/>
          <w:highlight w:val="none"/>
        </w:rPr>
      </w:pPr>
      <w:r>
        <w:rPr>
          <w:rFonts w:hint="eastAsia" w:ascii="宋体" w:hAnsi="宋体" w:cs="宋体"/>
          <w:b/>
          <w:color w:val="auto"/>
          <w:sz w:val="28"/>
          <w:szCs w:val="28"/>
          <w:highlight w:val="none"/>
        </w:rPr>
        <w:t>法定代表人（负责人）授权委托书</w:t>
      </w:r>
    </w:p>
    <w:p w14:paraId="2A0804E5">
      <w:pPr>
        <w:snapToGrid w:val="0"/>
        <w:spacing w:beforeLines="100" w:afterLines="100" w:line="460" w:lineRule="exact"/>
        <w:rPr>
          <w:rFonts w:ascii="宋体" w:hAnsi="宋体" w:cs="宋体"/>
          <w:b/>
          <w:bCs/>
          <w:color w:val="auto"/>
          <w:spacing w:val="-6"/>
          <w:szCs w:val="21"/>
          <w:highlight w:val="none"/>
        </w:rPr>
      </w:pPr>
      <w:r>
        <w:rPr>
          <w:rFonts w:hint="eastAsia" w:ascii="宋体" w:hAnsi="宋体" w:cs="宋体"/>
          <w:bCs/>
          <w:color w:val="auto"/>
          <w:spacing w:val="-6"/>
          <w:szCs w:val="21"/>
          <w:highlight w:val="none"/>
        </w:rPr>
        <w:t>致：</w:t>
      </w:r>
      <w:r>
        <w:rPr>
          <w:rFonts w:hint="eastAsia" w:ascii="宋体" w:hAnsi="宋体" w:cs="宋体"/>
          <w:bCs/>
          <w:color w:val="auto"/>
          <w:szCs w:val="21"/>
          <w:highlight w:val="none"/>
          <w:u w:val="single"/>
        </w:rPr>
        <w:t>温州科技职业学院、</w:t>
      </w:r>
      <w:r>
        <w:rPr>
          <w:rFonts w:hint="eastAsia" w:ascii="宋体" w:hAnsi="宋体" w:cs="宋体"/>
          <w:bCs/>
          <w:color w:val="auto"/>
          <w:szCs w:val="21"/>
          <w:highlight w:val="none"/>
          <w:u w:val="single"/>
          <w:lang w:eastAsia="zh-CN"/>
        </w:rPr>
        <w:t>温州市华信采购招标代理有限公司</w:t>
      </w:r>
      <w:r>
        <w:rPr>
          <w:rFonts w:hint="eastAsia" w:ascii="宋体" w:hAnsi="宋体" w:cs="宋体"/>
          <w:bCs/>
          <w:color w:val="auto"/>
          <w:szCs w:val="21"/>
          <w:highlight w:val="none"/>
          <w:u w:val="single"/>
        </w:rPr>
        <w:t xml:space="preserve"> </w:t>
      </w:r>
      <w:r>
        <w:rPr>
          <w:rFonts w:hint="eastAsia" w:ascii="宋体" w:hAnsi="宋体" w:cs="宋体"/>
          <w:color w:val="auto"/>
          <w:spacing w:val="-6"/>
          <w:szCs w:val="21"/>
          <w:highlight w:val="none"/>
        </w:rPr>
        <w:t>：</w:t>
      </w:r>
    </w:p>
    <w:p w14:paraId="12245A77">
      <w:pPr>
        <w:snapToGrid w:val="0"/>
        <w:spacing w:line="360" w:lineRule="auto"/>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 xml:space="preserve">我 </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（姓名）系</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（投标人名称）的法定代表人（负责人），现授权委托本单位在职职工</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（姓名）（身份证号：</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）以我方的名义参加</w:t>
      </w:r>
      <w:r>
        <w:rPr>
          <w:rFonts w:hint="eastAsia" w:ascii="宋体" w:hAnsi="宋体" w:cs="仿宋_GB2312"/>
          <w:color w:val="auto"/>
          <w:szCs w:val="21"/>
          <w:highlight w:val="none"/>
          <w:u w:val="single"/>
          <w:lang w:val="zh-CN"/>
        </w:rPr>
        <w:t>温州科技职业学院2025年公款竞争性存放项目（项目编号：WZHX2024-12-234）</w:t>
      </w:r>
      <w:r>
        <w:rPr>
          <w:rFonts w:hint="eastAsia" w:ascii="宋体" w:hAnsi="宋体" w:cs="宋体"/>
          <w:color w:val="auto"/>
          <w:spacing w:val="-6"/>
          <w:szCs w:val="21"/>
          <w:highlight w:val="none"/>
        </w:rPr>
        <w:t>的投标活动，并代表我方全权办理针对上述项目的投标、开标、评标、签约等具体事务和签署相关文件。我方对被授权人的签字负全部责任。</w:t>
      </w:r>
    </w:p>
    <w:p w14:paraId="1858D075">
      <w:pPr>
        <w:snapToGrid w:val="0"/>
        <w:spacing w:line="360" w:lineRule="auto"/>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在撤销授权的书面通知以前，本授权书一直有效。被授权人在授权书有效期内签署的所有文件不因授权的撤销而失效。</w:t>
      </w:r>
    </w:p>
    <w:p w14:paraId="080AB6AE">
      <w:pPr>
        <w:snapToGrid w:val="0"/>
        <w:spacing w:line="360" w:lineRule="auto"/>
        <w:ind w:firstLine="396"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被授权人无转委托权，特此委托。</w:t>
      </w:r>
    </w:p>
    <w:p w14:paraId="3AA81627">
      <w:pPr>
        <w:snapToGrid w:val="0"/>
        <w:spacing w:beforeLines="50" w:after="50" w:line="360" w:lineRule="auto"/>
        <w:rPr>
          <w:rFonts w:ascii="宋体" w:hAnsi="宋体" w:cs="宋体"/>
          <w:color w:val="auto"/>
          <w:spacing w:val="-6"/>
          <w:szCs w:val="21"/>
          <w:highlight w:val="none"/>
        </w:rPr>
      </w:pPr>
    </w:p>
    <w:p w14:paraId="2A41AB23">
      <w:pPr>
        <w:snapToGrid w:val="0"/>
        <w:spacing w:beforeLines="50" w:after="50" w:line="360" w:lineRule="auto"/>
        <w:rPr>
          <w:rFonts w:ascii="宋体" w:hAnsi="宋体" w:cs="宋体"/>
          <w:color w:val="auto"/>
          <w:spacing w:val="-6"/>
          <w:szCs w:val="21"/>
          <w:highlight w:val="none"/>
        </w:rPr>
      </w:pPr>
    </w:p>
    <w:p w14:paraId="39EB1BCA">
      <w:pPr>
        <w:snapToGrid w:val="0"/>
        <w:spacing w:beforeLines="50" w:after="50" w:line="360" w:lineRule="auto"/>
        <w:rPr>
          <w:rFonts w:ascii="宋体" w:hAnsi="宋体" w:cs="宋体"/>
          <w:color w:val="auto"/>
          <w:spacing w:val="-6"/>
          <w:szCs w:val="21"/>
          <w:highlight w:val="none"/>
          <w:u w:val="single"/>
        </w:rPr>
      </w:pPr>
      <w:r>
        <w:rPr>
          <w:rFonts w:hint="eastAsia" w:ascii="宋体" w:hAnsi="宋体" w:cs="宋体"/>
          <w:color w:val="auto"/>
          <w:spacing w:val="-6"/>
          <w:szCs w:val="21"/>
          <w:highlight w:val="none"/>
        </w:rPr>
        <w:t>被授权人签字：                 法定代表人（负责人）签字或签章：</w:t>
      </w:r>
    </w:p>
    <w:p w14:paraId="4E0F6927">
      <w:pPr>
        <w:snapToGrid w:val="0"/>
        <w:spacing w:beforeLines="50" w:after="50" w:line="360" w:lineRule="auto"/>
        <w:ind w:firstLine="792" w:firstLineChars="400"/>
        <w:rPr>
          <w:rFonts w:ascii="宋体" w:hAnsi="宋体" w:cs="宋体"/>
          <w:color w:val="auto"/>
          <w:spacing w:val="-6"/>
          <w:szCs w:val="21"/>
          <w:highlight w:val="none"/>
        </w:rPr>
      </w:pPr>
      <w:r>
        <w:rPr>
          <w:rFonts w:hint="eastAsia" w:ascii="宋体" w:hAnsi="宋体" w:cs="宋体"/>
          <w:color w:val="auto"/>
          <w:spacing w:val="-6"/>
          <w:szCs w:val="21"/>
          <w:highlight w:val="none"/>
        </w:rPr>
        <w:t>职务：                                 职务：</w:t>
      </w:r>
    </w:p>
    <w:p w14:paraId="04DED7AE">
      <w:pPr>
        <w:snapToGrid w:val="0"/>
        <w:spacing w:beforeLines="50" w:after="50"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被授权人身份证号码：</w:t>
      </w:r>
    </w:p>
    <w:p w14:paraId="46DA07BD">
      <w:pPr>
        <w:snapToGrid w:val="0"/>
        <w:spacing w:beforeLines="50" w:after="50"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 xml:space="preserve">                                    投标人名称（</w:t>
      </w:r>
      <w:r>
        <w:rPr>
          <w:rFonts w:hint="eastAsia" w:ascii="宋体" w:hAnsi="宋体" w:cs="宋体"/>
          <w:color w:val="auto"/>
          <w:szCs w:val="21"/>
          <w:highlight w:val="none"/>
        </w:rPr>
        <w:t>公章</w:t>
      </w:r>
      <w:r>
        <w:rPr>
          <w:rFonts w:hint="eastAsia" w:ascii="宋体" w:hAnsi="宋体" w:cs="宋体"/>
          <w:color w:val="auto"/>
          <w:spacing w:val="-6"/>
          <w:szCs w:val="21"/>
          <w:highlight w:val="none"/>
        </w:rPr>
        <w:t>）：</w:t>
      </w:r>
    </w:p>
    <w:p w14:paraId="50CB696A">
      <w:pPr>
        <w:snapToGrid w:val="0"/>
        <w:spacing w:beforeLines="50" w:after="50" w:line="360" w:lineRule="auto"/>
        <w:jc w:val="center"/>
        <w:rPr>
          <w:rFonts w:ascii="宋体" w:hAnsi="宋体" w:cs="宋体"/>
          <w:color w:val="auto"/>
          <w:spacing w:val="-6"/>
          <w:szCs w:val="21"/>
          <w:highlight w:val="none"/>
        </w:rPr>
      </w:pPr>
      <w:r>
        <w:rPr>
          <w:rFonts w:hint="eastAsia" w:ascii="宋体" w:hAnsi="宋体" w:cs="宋体"/>
          <w:color w:val="auto"/>
          <w:spacing w:val="-6"/>
          <w:szCs w:val="21"/>
          <w:highlight w:val="none"/>
        </w:rPr>
        <w:t xml:space="preserve">                                        年    月    日</w:t>
      </w:r>
    </w:p>
    <w:p w14:paraId="5A6E795F">
      <w:pPr>
        <w:spacing w:line="360" w:lineRule="auto"/>
        <w:rPr>
          <w:rFonts w:ascii="宋体" w:hAnsi="宋体" w:cs="宋体"/>
          <w:color w:val="auto"/>
          <w:spacing w:val="-6"/>
          <w:szCs w:val="21"/>
          <w:highlight w:val="none"/>
        </w:rPr>
      </w:pPr>
      <w:r>
        <w:rPr>
          <w:rFonts w:ascii="宋体" w:hAnsi="宋体" w:cs="宋体"/>
          <w:color w:val="auto"/>
          <w:spacing w:val="-6"/>
          <w:szCs w:val="21"/>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148590</wp:posOffset>
                </wp:positionV>
                <wp:extent cx="5191125" cy="2360295"/>
                <wp:effectExtent l="4445" t="4445" r="5080" b="16510"/>
                <wp:wrapNone/>
                <wp:docPr id="2" name="文本框 2"/>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B9FB342">
                            <w:pPr>
                              <w:rPr>
                                <w:rFonts w:ascii="宋体" w:hAnsi="宋体"/>
                                <w:szCs w:val="21"/>
                              </w:rPr>
                            </w:pPr>
                            <w:r>
                              <w:rPr>
                                <w:rFonts w:hint="eastAsia" w:ascii="宋体" w:hAnsi="宋体"/>
                                <w:szCs w:val="21"/>
                              </w:rPr>
                              <w:t xml:space="preserve">  被授权人身份证：</w:t>
                            </w:r>
                          </w:p>
                          <w:p w14:paraId="4890C45D">
                            <w:pPr>
                              <w:rPr>
                                <w:rFonts w:ascii="宋体" w:hAnsi="宋体"/>
                                <w:szCs w:val="21"/>
                              </w:rPr>
                            </w:pPr>
                          </w:p>
                          <w:p w14:paraId="42E4EC43">
                            <w:pPr>
                              <w:rPr>
                                <w:rFonts w:ascii="宋体" w:hAnsi="宋体"/>
                                <w:szCs w:val="21"/>
                              </w:rPr>
                            </w:pPr>
                          </w:p>
                          <w:p w14:paraId="797D2D35">
                            <w:pPr>
                              <w:rPr>
                                <w:rFonts w:ascii="宋体" w:hAnsi="宋体"/>
                                <w:szCs w:val="21"/>
                              </w:rPr>
                            </w:pPr>
                          </w:p>
                          <w:p w14:paraId="01B17A18">
                            <w:pPr>
                              <w:rPr>
                                <w:rFonts w:ascii="宋体" w:hAnsi="宋体"/>
                                <w:szCs w:val="21"/>
                              </w:rPr>
                            </w:pPr>
                            <w:r>
                              <w:rPr>
                                <w:rFonts w:hint="eastAsia" w:ascii="宋体" w:hAnsi="宋体"/>
                                <w:szCs w:val="21"/>
                              </w:rPr>
                              <w:t xml:space="preserve">       扫描件粘贴处</w:t>
                            </w:r>
                          </w:p>
                        </w:txbxContent>
                      </wps:txbx>
                      <wps:bodyPr upright="1"/>
                    </wps:wsp>
                  </a:graphicData>
                </a:graphic>
              </wp:anchor>
            </w:drawing>
          </mc:Choice>
          <mc:Fallback>
            <w:pict>
              <v:shape id="_x0000_s1026" o:spid="_x0000_s1026" o:spt="202" type="#_x0000_t202" style="position:absolute;left:0pt;margin-left:0pt;margin-top:11.7pt;height:185.85pt;width:408.75pt;z-index:251660288;mso-width-relative:page;mso-height-relative:page;" fillcolor="#FFFFFF" filled="t" stroked="t" coordsize="21600,21600" o:gfxdata="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8q/5NgAAAAHAQAADwAAAAAAAAAB&#10;ACAAAAAiAAAAZHJzL2Rvd25yZXYueG1sUEsBAhQAFAAAAAgAh07iQPczCBAQAgAARQQAAA4AAAAA&#10;AAAAAQAgAAAAJwEAAGRycy9lMm9Eb2MueG1sUEsFBgAAAAAGAAYAWQEAAKkFAAAAAA==&#10;">
                <v:fill on="t" focussize="0,0"/>
                <v:stroke color="#000000" joinstyle="miter"/>
                <v:imagedata o:title=""/>
                <o:lock v:ext="edit" aspectratio="f"/>
                <v:textbox>
                  <w:txbxContent>
                    <w:p w14:paraId="2B9FB342">
                      <w:pPr>
                        <w:rPr>
                          <w:rFonts w:ascii="宋体" w:hAnsi="宋体"/>
                          <w:szCs w:val="21"/>
                        </w:rPr>
                      </w:pPr>
                      <w:r>
                        <w:rPr>
                          <w:rFonts w:hint="eastAsia" w:ascii="宋体" w:hAnsi="宋体"/>
                          <w:szCs w:val="21"/>
                        </w:rPr>
                        <w:t xml:space="preserve">  被授权人身份证：</w:t>
                      </w:r>
                    </w:p>
                    <w:p w14:paraId="4890C45D">
                      <w:pPr>
                        <w:rPr>
                          <w:rFonts w:ascii="宋体" w:hAnsi="宋体"/>
                          <w:szCs w:val="21"/>
                        </w:rPr>
                      </w:pPr>
                    </w:p>
                    <w:p w14:paraId="42E4EC43">
                      <w:pPr>
                        <w:rPr>
                          <w:rFonts w:ascii="宋体" w:hAnsi="宋体"/>
                          <w:szCs w:val="21"/>
                        </w:rPr>
                      </w:pPr>
                    </w:p>
                    <w:p w14:paraId="797D2D35">
                      <w:pPr>
                        <w:rPr>
                          <w:rFonts w:ascii="宋体" w:hAnsi="宋体"/>
                          <w:szCs w:val="21"/>
                        </w:rPr>
                      </w:pPr>
                    </w:p>
                    <w:p w14:paraId="01B17A18">
                      <w:pPr>
                        <w:rPr>
                          <w:rFonts w:ascii="宋体" w:hAnsi="宋体"/>
                          <w:szCs w:val="21"/>
                        </w:rPr>
                      </w:pPr>
                      <w:r>
                        <w:rPr>
                          <w:rFonts w:hint="eastAsia" w:ascii="宋体" w:hAnsi="宋体"/>
                          <w:szCs w:val="21"/>
                        </w:rPr>
                        <w:t xml:space="preserve">       扫描件粘贴处</w:t>
                      </w:r>
                    </w:p>
                  </w:txbxContent>
                </v:textbox>
              </v:shape>
            </w:pict>
          </mc:Fallback>
        </mc:AlternateContent>
      </w:r>
    </w:p>
    <w:p w14:paraId="5D255F13">
      <w:pPr>
        <w:spacing w:line="288" w:lineRule="auto"/>
        <w:rPr>
          <w:rFonts w:ascii="宋体" w:hAnsi="宋体" w:cs="宋体"/>
          <w:color w:val="auto"/>
          <w:spacing w:val="-6"/>
          <w:szCs w:val="21"/>
          <w:highlight w:val="none"/>
        </w:rPr>
      </w:pPr>
    </w:p>
    <w:p w14:paraId="7C4DE9FF">
      <w:pPr>
        <w:spacing w:line="288" w:lineRule="auto"/>
        <w:rPr>
          <w:rFonts w:ascii="宋体" w:hAnsi="宋体" w:cs="宋体"/>
          <w:color w:val="auto"/>
          <w:spacing w:val="-6"/>
          <w:szCs w:val="21"/>
          <w:highlight w:val="none"/>
        </w:rPr>
      </w:pPr>
    </w:p>
    <w:p w14:paraId="3CF1E5D0">
      <w:pPr>
        <w:spacing w:line="288" w:lineRule="auto"/>
        <w:rPr>
          <w:rFonts w:ascii="宋体" w:hAnsi="宋体" w:cs="宋体"/>
          <w:color w:val="auto"/>
          <w:spacing w:val="-6"/>
          <w:szCs w:val="21"/>
          <w:highlight w:val="none"/>
        </w:rPr>
      </w:pPr>
    </w:p>
    <w:p w14:paraId="13742613">
      <w:pPr>
        <w:spacing w:line="288" w:lineRule="auto"/>
        <w:rPr>
          <w:rFonts w:ascii="宋体" w:hAnsi="宋体" w:cs="宋体"/>
          <w:color w:val="auto"/>
          <w:spacing w:val="-6"/>
          <w:szCs w:val="21"/>
          <w:highlight w:val="none"/>
        </w:rPr>
      </w:pPr>
    </w:p>
    <w:p w14:paraId="497AF59D">
      <w:pPr>
        <w:rPr>
          <w:rFonts w:ascii="宋体" w:hAnsi="宋体" w:cs="宋体"/>
          <w:b/>
          <w:color w:val="auto"/>
          <w:szCs w:val="21"/>
          <w:highlight w:val="none"/>
        </w:rPr>
      </w:pPr>
    </w:p>
    <w:p w14:paraId="3CB430B2">
      <w:pPr>
        <w:rPr>
          <w:rFonts w:ascii="宋体" w:hAnsi="宋体" w:cs="宋体"/>
          <w:b/>
          <w:color w:val="auto"/>
          <w:szCs w:val="21"/>
          <w:highlight w:val="none"/>
        </w:rPr>
      </w:pPr>
    </w:p>
    <w:p w14:paraId="7270D480">
      <w:pPr>
        <w:rPr>
          <w:rFonts w:ascii="宋体" w:hAnsi="宋体" w:cs="宋体"/>
          <w:b/>
          <w:color w:val="auto"/>
          <w:szCs w:val="21"/>
          <w:highlight w:val="none"/>
        </w:rPr>
      </w:pPr>
    </w:p>
    <w:p w14:paraId="04C8BA56">
      <w:pPr>
        <w:rPr>
          <w:rFonts w:ascii="宋体" w:hAnsi="宋体" w:cs="宋体"/>
          <w:b/>
          <w:color w:val="auto"/>
          <w:szCs w:val="21"/>
          <w:highlight w:val="none"/>
        </w:rPr>
      </w:pPr>
    </w:p>
    <w:p w14:paraId="1156DB9A">
      <w:pPr>
        <w:rPr>
          <w:rFonts w:ascii="宋体" w:hAnsi="宋体" w:cs="宋体"/>
          <w:b/>
          <w:color w:val="auto"/>
          <w:szCs w:val="21"/>
          <w:highlight w:val="none"/>
        </w:rPr>
      </w:pPr>
    </w:p>
    <w:p w14:paraId="756F2193">
      <w:pPr>
        <w:pStyle w:val="12"/>
        <w:ind w:left="1470" w:right="1470"/>
        <w:rPr>
          <w:rFonts w:ascii="宋体" w:hAnsi="宋体" w:cs="宋体"/>
          <w:color w:val="auto"/>
          <w:sz w:val="21"/>
          <w:szCs w:val="21"/>
          <w:highlight w:val="none"/>
        </w:rPr>
      </w:pPr>
    </w:p>
    <w:p w14:paraId="43861F2F">
      <w:pPr>
        <w:pStyle w:val="12"/>
        <w:ind w:left="1470" w:right="1470"/>
        <w:rPr>
          <w:rFonts w:ascii="宋体" w:hAnsi="宋体" w:cs="宋体"/>
          <w:color w:val="auto"/>
          <w:sz w:val="21"/>
          <w:szCs w:val="21"/>
          <w:highlight w:val="none"/>
        </w:rPr>
      </w:pPr>
    </w:p>
    <w:p w14:paraId="41DE9608">
      <w:pPr>
        <w:snapToGrid w:val="0"/>
        <w:spacing w:line="400" w:lineRule="exact"/>
        <w:rPr>
          <w:rFonts w:ascii="宋体" w:hAnsi="宋体" w:cs="宋体"/>
          <w:b/>
          <w:bCs/>
          <w:color w:val="auto"/>
          <w:szCs w:val="21"/>
          <w:highlight w:val="none"/>
        </w:rPr>
      </w:pPr>
    </w:p>
    <w:p w14:paraId="3ACB040A">
      <w:pPr>
        <w:widowControl/>
        <w:jc w:val="left"/>
        <w:rPr>
          <w:rFonts w:ascii="宋体" w:hAnsi="宋体" w:cs="宋体"/>
          <w:b/>
          <w:bCs/>
          <w:color w:val="auto"/>
          <w:szCs w:val="21"/>
          <w:highlight w:val="none"/>
        </w:rPr>
      </w:pPr>
      <w:r>
        <w:rPr>
          <w:rFonts w:ascii="宋体" w:hAnsi="宋体" w:cs="宋体"/>
          <w:b/>
          <w:bCs/>
          <w:color w:val="auto"/>
          <w:szCs w:val="21"/>
          <w:highlight w:val="none"/>
        </w:rPr>
        <w:br w:type="page"/>
      </w:r>
    </w:p>
    <w:p w14:paraId="32ABB99E">
      <w:pPr>
        <w:snapToGrid w:val="0"/>
        <w:spacing w:line="400" w:lineRule="exact"/>
        <w:rPr>
          <w:rFonts w:ascii="宋体" w:hAnsi="宋体" w:cs="宋体"/>
          <w:b/>
          <w:bCs/>
          <w:color w:val="auto"/>
          <w:szCs w:val="21"/>
          <w:highlight w:val="none"/>
        </w:rPr>
      </w:pPr>
    </w:p>
    <w:p w14:paraId="56AE928F">
      <w:pPr>
        <w:snapToGrid w:val="0"/>
        <w:spacing w:line="400" w:lineRule="exact"/>
        <w:rPr>
          <w:rFonts w:ascii="宋体" w:hAnsi="宋体" w:cs="宋体"/>
          <w:b/>
          <w:bCs/>
          <w:color w:val="auto"/>
          <w:szCs w:val="21"/>
          <w:highlight w:val="none"/>
        </w:rPr>
      </w:pPr>
    </w:p>
    <w:p w14:paraId="33645AC6">
      <w:pPr>
        <w:snapToGrid w:val="0"/>
        <w:spacing w:line="400" w:lineRule="exact"/>
        <w:rPr>
          <w:rFonts w:ascii="宋体" w:hAnsi="宋体" w:cs="宋体"/>
          <w:b/>
          <w:bCs/>
          <w:color w:val="auto"/>
          <w:szCs w:val="21"/>
          <w:highlight w:val="none"/>
        </w:rPr>
      </w:pPr>
    </w:p>
    <w:p w14:paraId="27D785BF">
      <w:pPr>
        <w:snapToGrid w:val="0"/>
        <w:spacing w:line="400" w:lineRule="exact"/>
        <w:rPr>
          <w:rFonts w:ascii="宋体" w:hAnsi="宋体" w:cs="宋体"/>
          <w:b/>
          <w:bCs/>
          <w:color w:val="auto"/>
          <w:szCs w:val="21"/>
          <w:highlight w:val="none"/>
        </w:rPr>
      </w:pPr>
    </w:p>
    <w:p w14:paraId="57D57E12">
      <w:pPr>
        <w:snapToGrid w:val="0"/>
        <w:spacing w:line="400" w:lineRule="exact"/>
        <w:rPr>
          <w:rFonts w:ascii="宋体" w:hAnsi="宋体" w:cs="宋体"/>
          <w:b/>
          <w:color w:val="auto"/>
          <w:sz w:val="28"/>
          <w:szCs w:val="28"/>
          <w:highlight w:val="none"/>
        </w:rPr>
      </w:pPr>
      <w:r>
        <w:rPr>
          <w:rFonts w:hint="eastAsia" w:ascii="宋体" w:hAnsi="宋体" w:cs="宋体"/>
          <w:b/>
          <w:bCs/>
          <w:color w:val="auto"/>
          <w:sz w:val="28"/>
          <w:szCs w:val="28"/>
          <w:highlight w:val="none"/>
        </w:rPr>
        <w:t>（2）</w:t>
      </w:r>
      <w:r>
        <w:rPr>
          <w:rFonts w:hint="eastAsia" w:ascii="宋体" w:hAnsi="宋体" w:cs="宋体"/>
          <w:b/>
          <w:color w:val="auto"/>
          <w:sz w:val="28"/>
          <w:szCs w:val="28"/>
          <w:highlight w:val="none"/>
        </w:rPr>
        <w:t>营业执照扫描件</w:t>
      </w:r>
      <w:r>
        <w:rPr>
          <w:rFonts w:hint="eastAsia" w:ascii="宋体" w:hAnsi="宋体" w:cs="宋体"/>
          <w:b/>
          <w:bCs/>
          <w:snapToGrid w:val="0"/>
          <w:color w:val="auto"/>
          <w:sz w:val="28"/>
          <w:szCs w:val="28"/>
          <w:highlight w:val="none"/>
        </w:rPr>
        <w:t>件须加盖投标人公章</w:t>
      </w:r>
      <w:r>
        <w:rPr>
          <w:rFonts w:hint="eastAsia" w:ascii="宋体" w:hAnsi="宋体" w:cs="宋体"/>
          <w:b/>
          <w:color w:val="auto"/>
          <w:sz w:val="28"/>
          <w:szCs w:val="28"/>
          <w:highlight w:val="none"/>
        </w:rPr>
        <w:t>；</w:t>
      </w:r>
    </w:p>
    <w:p w14:paraId="42E016B3">
      <w:pPr>
        <w:pStyle w:val="24"/>
        <w:rPr>
          <w:rFonts w:ascii="宋体" w:hAnsi="宋体" w:eastAsia="宋体" w:cs="宋体"/>
          <w:b/>
          <w:color w:val="auto"/>
          <w:sz w:val="28"/>
          <w:szCs w:val="28"/>
          <w:highlight w:val="none"/>
        </w:rPr>
      </w:pPr>
    </w:p>
    <w:p w14:paraId="5CDA46D4">
      <w:pPr>
        <w:pStyle w:val="25"/>
        <w:rPr>
          <w:b/>
          <w:color w:val="auto"/>
          <w:sz w:val="28"/>
          <w:szCs w:val="28"/>
          <w:highlight w:val="none"/>
        </w:rPr>
      </w:pPr>
    </w:p>
    <w:p w14:paraId="4A755167">
      <w:pPr>
        <w:rPr>
          <w:b/>
          <w:color w:val="auto"/>
          <w:sz w:val="28"/>
          <w:szCs w:val="28"/>
          <w:highlight w:val="none"/>
        </w:rPr>
      </w:pPr>
    </w:p>
    <w:p w14:paraId="7A0552D9">
      <w:pPr>
        <w:pStyle w:val="12"/>
        <w:ind w:left="1470" w:right="1470"/>
        <w:rPr>
          <w:b/>
          <w:color w:val="auto"/>
          <w:sz w:val="28"/>
          <w:szCs w:val="28"/>
          <w:highlight w:val="none"/>
        </w:rPr>
      </w:pPr>
    </w:p>
    <w:p w14:paraId="3A5D2AB4">
      <w:pPr>
        <w:widowControl/>
        <w:jc w:val="left"/>
        <w:rPr>
          <w:rFonts w:ascii="宋体" w:hAnsi="宋体" w:cs="宋体"/>
          <w:b/>
          <w:color w:val="auto"/>
          <w:sz w:val="28"/>
          <w:szCs w:val="28"/>
          <w:highlight w:val="none"/>
        </w:rPr>
      </w:pPr>
      <w:r>
        <w:rPr>
          <w:rFonts w:hint="eastAsia" w:ascii="宋体" w:hAnsi="宋体" w:cs="宋体"/>
          <w:b/>
          <w:bCs/>
          <w:color w:val="auto"/>
          <w:sz w:val="28"/>
          <w:szCs w:val="28"/>
          <w:highlight w:val="none"/>
        </w:rPr>
        <w:t>（3）纳入人民银行综合评价的银行，人民银行上年度综合评价应达到B级及以上，不纳入人民银行评级范围的银行不受此限制。（提供证明材料扫描件须加盖投标人公章）</w:t>
      </w:r>
      <w:r>
        <w:rPr>
          <w:rFonts w:hint="eastAsia" w:ascii="宋体" w:hAnsi="宋体" w:cs="宋体"/>
          <w:b/>
          <w:color w:val="auto"/>
          <w:sz w:val="28"/>
          <w:szCs w:val="28"/>
          <w:highlight w:val="none"/>
        </w:rPr>
        <w:t xml:space="preserve">； </w:t>
      </w:r>
    </w:p>
    <w:p w14:paraId="4317A1EA">
      <w:pPr>
        <w:spacing w:line="480" w:lineRule="auto"/>
        <w:jc w:val="center"/>
        <w:rPr>
          <w:rFonts w:ascii="宋体" w:hAnsi="宋体" w:cs="宋体"/>
          <w:b/>
          <w:color w:val="auto"/>
          <w:sz w:val="28"/>
          <w:szCs w:val="28"/>
          <w:highlight w:val="none"/>
        </w:rPr>
      </w:pPr>
    </w:p>
    <w:p w14:paraId="55C8B721">
      <w:pPr>
        <w:snapToGrid w:val="0"/>
        <w:spacing w:line="360"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t>（4）</w:t>
      </w:r>
      <w:r>
        <w:rPr>
          <w:rFonts w:hint="eastAsia" w:ascii="宋体" w:hAnsi="宋体" w:cs="宋体"/>
          <w:b/>
          <w:color w:val="auto"/>
          <w:sz w:val="28"/>
          <w:szCs w:val="28"/>
          <w:highlight w:val="none"/>
        </w:rPr>
        <w:t>投标主体是支行的，总行或温州市分行唯一授权书原件扫描件</w:t>
      </w:r>
    </w:p>
    <w:p w14:paraId="5CF87457">
      <w:pPr>
        <w:rPr>
          <w:rFonts w:ascii="宋体" w:hAnsi="宋体" w:cs="宋体"/>
          <w:color w:val="auto"/>
          <w:highlight w:val="none"/>
        </w:rPr>
      </w:pPr>
    </w:p>
    <w:p w14:paraId="64D4EDA8">
      <w:pPr>
        <w:spacing w:line="480" w:lineRule="auto"/>
        <w:jc w:val="center"/>
        <w:rPr>
          <w:rFonts w:ascii="宋体" w:hAnsi="宋体" w:cs="宋体"/>
          <w:b/>
          <w:color w:val="auto"/>
          <w:sz w:val="32"/>
          <w:szCs w:val="32"/>
          <w:highlight w:val="none"/>
        </w:rPr>
      </w:pPr>
    </w:p>
    <w:p w14:paraId="6894F713">
      <w:pPr>
        <w:widowControl/>
        <w:jc w:val="left"/>
        <w:rPr>
          <w:rFonts w:ascii="宋体" w:hAnsi="宋体" w:cs="宋体"/>
          <w:b/>
          <w:bCs/>
          <w:color w:val="auto"/>
          <w:sz w:val="28"/>
          <w:szCs w:val="28"/>
          <w:highlight w:val="none"/>
        </w:rPr>
      </w:pPr>
      <w:r>
        <w:rPr>
          <w:rFonts w:ascii="宋体" w:hAnsi="宋体" w:cs="宋体"/>
          <w:b/>
          <w:bCs/>
          <w:color w:val="auto"/>
          <w:sz w:val="28"/>
          <w:szCs w:val="28"/>
          <w:highlight w:val="none"/>
        </w:rPr>
        <w:br w:type="page"/>
      </w:r>
    </w:p>
    <w:p w14:paraId="22759ACB">
      <w:pPr>
        <w:snapToGrid w:val="0"/>
        <w:spacing w:beforeLines="50" w:after="50" w:line="500" w:lineRule="exact"/>
        <w:jc w:val="center"/>
        <w:rPr>
          <w:rFonts w:ascii="宋体" w:hAnsi="宋体" w:cs="宋体"/>
          <w:b/>
          <w:bCs/>
          <w:color w:val="auto"/>
          <w:sz w:val="28"/>
          <w:szCs w:val="28"/>
          <w:highlight w:val="none"/>
        </w:rPr>
      </w:pPr>
    </w:p>
    <w:p w14:paraId="68D3332C">
      <w:pPr>
        <w:snapToGrid w:val="0"/>
        <w:spacing w:beforeLines="50" w:after="50" w:line="500" w:lineRule="exact"/>
        <w:jc w:val="center"/>
        <w:rPr>
          <w:rFonts w:ascii="宋体" w:hAnsi="宋体" w:cs="宋体"/>
          <w:b/>
          <w:color w:val="auto"/>
          <w:sz w:val="32"/>
          <w:szCs w:val="32"/>
          <w:highlight w:val="none"/>
        </w:rPr>
      </w:pPr>
      <w:r>
        <w:rPr>
          <w:rFonts w:hint="eastAsia" w:ascii="宋体" w:hAnsi="宋体" w:cs="宋体"/>
          <w:b/>
          <w:bCs/>
          <w:color w:val="auto"/>
          <w:sz w:val="28"/>
          <w:szCs w:val="28"/>
          <w:highlight w:val="none"/>
        </w:rPr>
        <w:t>（5）</w:t>
      </w:r>
      <w:r>
        <w:rPr>
          <w:rFonts w:hint="eastAsia" w:ascii="宋体" w:hAnsi="宋体" w:cs="宋体"/>
          <w:b/>
          <w:color w:val="auto"/>
          <w:sz w:val="32"/>
          <w:szCs w:val="32"/>
          <w:highlight w:val="none"/>
        </w:rPr>
        <w:t>依法开展经营活动，近3年内在经营活动中无重大违法违规记录及重大违约事件承诺函</w:t>
      </w:r>
    </w:p>
    <w:p w14:paraId="6766A75D">
      <w:pPr>
        <w:spacing w:line="480" w:lineRule="auto"/>
        <w:jc w:val="left"/>
        <w:rPr>
          <w:rFonts w:ascii="宋体" w:hAnsi="宋体" w:cs="宋体"/>
          <w:bCs/>
          <w:color w:val="auto"/>
          <w:sz w:val="24"/>
          <w:szCs w:val="24"/>
          <w:highlight w:val="none"/>
          <w:u w:val="single"/>
        </w:rPr>
      </w:pPr>
    </w:p>
    <w:p w14:paraId="04E101A0">
      <w:pPr>
        <w:spacing w:line="480" w:lineRule="auto"/>
        <w:jc w:val="left"/>
        <w:rPr>
          <w:rFonts w:ascii="宋体" w:hAnsi="宋体" w:cs="宋体"/>
          <w:bCs/>
          <w:color w:val="auto"/>
          <w:szCs w:val="21"/>
          <w:highlight w:val="none"/>
          <w:u w:val="single"/>
        </w:rPr>
      </w:pPr>
      <w:r>
        <w:rPr>
          <w:rFonts w:hint="eastAsia" w:ascii="宋体" w:hAnsi="宋体" w:cs="宋体"/>
          <w:bCs/>
          <w:color w:val="auto"/>
          <w:szCs w:val="21"/>
          <w:highlight w:val="none"/>
          <w:u w:val="single"/>
        </w:rPr>
        <w:t>温州科技职业学院</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温州市华信采购招标代理有限公司</w:t>
      </w:r>
      <w:r>
        <w:rPr>
          <w:rFonts w:hint="eastAsia" w:ascii="宋体" w:hAnsi="宋体" w:cs="宋体"/>
          <w:bCs/>
          <w:color w:val="auto"/>
          <w:szCs w:val="21"/>
          <w:highlight w:val="none"/>
          <w:u w:val="single"/>
        </w:rPr>
        <w:t>：</w:t>
      </w:r>
    </w:p>
    <w:p w14:paraId="2E3EB336">
      <w:pPr>
        <w:spacing w:line="480" w:lineRule="auto"/>
        <w:ind w:firstLine="424" w:firstLineChars="202"/>
        <w:jc w:val="left"/>
        <w:rPr>
          <w:rFonts w:ascii="宋体" w:hAnsi="宋体" w:cs="宋体"/>
          <w:bCs/>
          <w:color w:val="auto"/>
          <w:szCs w:val="21"/>
          <w:highlight w:val="none"/>
        </w:rPr>
      </w:pPr>
      <w:r>
        <w:rPr>
          <w:rFonts w:hint="eastAsia" w:ascii="宋体" w:hAnsi="宋体" w:cs="宋体"/>
          <w:bCs/>
          <w:color w:val="auto"/>
          <w:szCs w:val="21"/>
          <w:highlight w:val="none"/>
        </w:rPr>
        <w:t>我行自愿参与</w:t>
      </w:r>
      <w:r>
        <w:rPr>
          <w:rFonts w:hint="eastAsia" w:ascii="宋体" w:hAnsi="宋体" w:cs="仿宋_GB2312"/>
          <w:color w:val="auto"/>
          <w:szCs w:val="21"/>
          <w:highlight w:val="none"/>
          <w:u w:val="single"/>
          <w:lang w:val="zh-CN"/>
        </w:rPr>
        <w:t>温州科技职业学院2025年公款竞争性存放项目</w:t>
      </w:r>
      <w:r>
        <w:rPr>
          <w:rFonts w:hint="eastAsia" w:ascii="宋体" w:hAnsi="宋体" w:cs="宋体"/>
          <w:bCs/>
          <w:color w:val="auto"/>
          <w:szCs w:val="21"/>
          <w:highlight w:val="none"/>
        </w:rPr>
        <w:t>，并对以下事项作出承诺：</w:t>
      </w:r>
    </w:p>
    <w:p w14:paraId="61B100FB">
      <w:pPr>
        <w:spacing w:line="480" w:lineRule="auto"/>
        <w:ind w:firstLine="424" w:firstLineChars="202"/>
        <w:jc w:val="left"/>
        <w:rPr>
          <w:rFonts w:ascii="宋体" w:hAnsi="宋体" w:cs="宋体"/>
          <w:bCs/>
          <w:color w:val="auto"/>
          <w:szCs w:val="21"/>
          <w:highlight w:val="none"/>
        </w:rPr>
      </w:pPr>
      <w:r>
        <w:rPr>
          <w:rFonts w:hint="eastAsia" w:ascii="宋体" w:hAnsi="宋体" w:cs="宋体"/>
          <w:bCs/>
          <w:color w:val="auto"/>
          <w:szCs w:val="21"/>
          <w:highlight w:val="none"/>
        </w:rPr>
        <w:t>依法开展经营活动，内部管理机制健全，具有较强的风险控制能力，近3年内在经营活动中无重大违法违规记录、未发生金融风险及重大违约事件。</w:t>
      </w:r>
    </w:p>
    <w:p w14:paraId="5954C844">
      <w:pPr>
        <w:spacing w:line="480" w:lineRule="auto"/>
        <w:ind w:firstLine="424" w:firstLineChars="202"/>
        <w:jc w:val="left"/>
        <w:rPr>
          <w:rFonts w:ascii="宋体" w:hAnsi="宋体" w:cs="宋体"/>
          <w:bCs/>
          <w:color w:val="auto"/>
          <w:szCs w:val="21"/>
          <w:highlight w:val="none"/>
        </w:rPr>
      </w:pPr>
      <w:r>
        <w:rPr>
          <w:rFonts w:hint="eastAsia" w:ascii="宋体" w:hAnsi="宋体" w:cs="宋体"/>
          <w:bCs/>
          <w:color w:val="auto"/>
          <w:szCs w:val="21"/>
          <w:highlight w:val="none"/>
        </w:rPr>
        <w:t>以上承诺如有虚假，本行自愿接受相关部门通报和处理，并承担相应的一切后果。</w:t>
      </w:r>
    </w:p>
    <w:p w14:paraId="3A9D8CC2">
      <w:pPr>
        <w:spacing w:line="480" w:lineRule="auto"/>
        <w:ind w:left="2310" w:leftChars="1100" w:firstLine="540"/>
        <w:rPr>
          <w:rFonts w:ascii="宋体" w:hAnsi="宋体" w:cs="宋体"/>
          <w:color w:val="auto"/>
          <w:szCs w:val="21"/>
          <w:highlight w:val="none"/>
        </w:rPr>
      </w:pPr>
    </w:p>
    <w:p w14:paraId="26F427C3">
      <w:pPr>
        <w:spacing w:line="480" w:lineRule="auto"/>
        <w:ind w:left="2310" w:leftChars="1100" w:firstLine="540"/>
        <w:rPr>
          <w:rFonts w:ascii="宋体" w:hAnsi="宋体" w:cs="宋体"/>
          <w:color w:val="auto"/>
          <w:szCs w:val="21"/>
          <w:highlight w:val="none"/>
        </w:rPr>
      </w:pPr>
    </w:p>
    <w:p w14:paraId="1E9BF868">
      <w:pPr>
        <w:spacing w:line="480" w:lineRule="auto"/>
        <w:ind w:left="2310" w:leftChars="1100" w:firstLine="540"/>
        <w:rPr>
          <w:rFonts w:ascii="宋体" w:hAnsi="宋体" w:cs="宋体"/>
          <w:color w:val="auto"/>
          <w:szCs w:val="21"/>
          <w:highlight w:val="none"/>
          <w:u w:val="single"/>
        </w:rPr>
      </w:pPr>
      <w:r>
        <w:rPr>
          <w:rFonts w:hint="eastAsia" w:ascii="宋体" w:hAnsi="宋体" w:cs="宋体"/>
          <w:color w:val="auto"/>
          <w:szCs w:val="21"/>
          <w:highlight w:val="none"/>
        </w:rPr>
        <w:t xml:space="preserve">承诺单位（公章）： </w:t>
      </w:r>
    </w:p>
    <w:p w14:paraId="1331A454">
      <w:pPr>
        <w:spacing w:line="480" w:lineRule="auto"/>
        <w:ind w:left="2310" w:leftChars="1100" w:firstLine="540"/>
        <w:rPr>
          <w:rFonts w:ascii="宋体" w:hAnsi="宋体" w:cs="宋体"/>
          <w:color w:val="auto"/>
          <w:szCs w:val="21"/>
          <w:highlight w:val="none"/>
          <w:u w:val="single"/>
        </w:rPr>
      </w:pPr>
    </w:p>
    <w:p w14:paraId="57D8E001">
      <w:pPr>
        <w:spacing w:line="480" w:lineRule="auto"/>
        <w:ind w:left="2310" w:leftChars="1100" w:firstLine="540"/>
        <w:rPr>
          <w:rFonts w:ascii="宋体" w:hAnsi="宋体" w:cs="宋体"/>
          <w:color w:val="auto"/>
          <w:szCs w:val="21"/>
          <w:highlight w:val="none"/>
          <w:u w:val="single"/>
        </w:rPr>
      </w:pPr>
      <w:r>
        <w:rPr>
          <w:rFonts w:hint="eastAsia" w:ascii="宋体" w:hAnsi="宋体" w:cs="宋体"/>
          <w:color w:val="auto"/>
          <w:szCs w:val="21"/>
          <w:highlight w:val="none"/>
        </w:rPr>
        <w:t>投标人全权代表（签字）：</w:t>
      </w:r>
    </w:p>
    <w:p w14:paraId="03401FA3">
      <w:pPr>
        <w:spacing w:line="480" w:lineRule="auto"/>
        <w:ind w:left="2310" w:leftChars="1100" w:firstLine="540"/>
        <w:rPr>
          <w:rFonts w:ascii="宋体" w:hAnsi="宋体" w:cs="宋体"/>
          <w:color w:val="auto"/>
          <w:szCs w:val="21"/>
          <w:highlight w:val="none"/>
          <w:u w:val="single"/>
        </w:rPr>
      </w:pPr>
    </w:p>
    <w:p w14:paraId="1A897718">
      <w:pPr>
        <w:spacing w:line="480" w:lineRule="auto"/>
        <w:ind w:left="2310" w:leftChars="1100" w:firstLine="540"/>
        <w:rPr>
          <w:rFonts w:ascii="宋体" w:hAnsi="宋体" w:cs="宋体"/>
          <w:color w:val="auto"/>
          <w:szCs w:val="21"/>
          <w:highlight w:val="none"/>
          <w:u w:val="single"/>
        </w:rPr>
      </w:pPr>
      <w:r>
        <w:rPr>
          <w:rFonts w:hint="eastAsia" w:ascii="宋体" w:hAnsi="宋体" w:cs="宋体"/>
          <w:color w:val="auto"/>
          <w:szCs w:val="21"/>
          <w:highlight w:val="none"/>
        </w:rPr>
        <w:t xml:space="preserve"> 日期：     年    月   日</w:t>
      </w:r>
    </w:p>
    <w:p w14:paraId="45B5DCAF">
      <w:pPr>
        <w:pStyle w:val="12"/>
        <w:ind w:left="1470" w:right="1470"/>
        <w:rPr>
          <w:rFonts w:ascii="宋体" w:hAnsi="宋体" w:cs="宋体"/>
          <w:b/>
          <w:color w:val="auto"/>
          <w:sz w:val="36"/>
          <w:szCs w:val="36"/>
          <w:highlight w:val="none"/>
        </w:rPr>
      </w:pPr>
    </w:p>
    <w:p w14:paraId="51104D47">
      <w:pPr>
        <w:snapToGrid w:val="0"/>
        <w:spacing w:line="460" w:lineRule="exact"/>
        <w:ind w:firstLine="531" w:firstLineChars="147"/>
        <w:rPr>
          <w:rFonts w:ascii="宋体" w:hAnsi="宋体" w:cs="宋体"/>
          <w:b/>
          <w:color w:val="auto"/>
          <w:sz w:val="36"/>
          <w:szCs w:val="36"/>
          <w:highlight w:val="none"/>
        </w:rPr>
      </w:pPr>
    </w:p>
    <w:p w14:paraId="396AB6FD">
      <w:pPr>
        <w:widowControl/>
        <w:jc w:val="left"/>
        <w:rPr>
          <w:rFonts w:ascii="宋体" w:hAnsi="宋体" w:cs="宋体"/>
          <w:b/>
          <w:bCs/>
          <w:color w:val="auto"/>
          <w:sz w:val="28"/>
          <w:szCs w:val="28"/>
          <w:highlight w:val="none"/>
        </w:rPr>
      </w:pPr>
      <w:r>
        <w:rPr>
          <w:rFonts w:ascii="宋体" w:hAnsi="宋体" w:cs="宋体"/>
          <w:b/>
          <w:bCs/>
          <w:color w:val="auto"/>
          <w:sz w:val="28"/>
          <w:szCs w:val="28"/>
          <w:highlight w:val="none"/>
        </w:rPr>
        <w:br w:type="page"/>
      </w:r>
    </w:p>
    <w:p w14:paraId="0FA07953">
      <w:pPr>
        <w:spacing w:line="500" w:lineRule="exact"/>
        <w:jc w:val="center"/>
        <w:rPr>
          <w:rFonts w:ascii="宋体" w:hAnsi="宋体" w:cs="宋体"/>
          <w:b/>
          <w:bCs/>
          <w:color w:val="auto"/>
          <w:sz w:val="28"/>
          <w:szCs w:val="28"/>
          <w:highlight w:val="none"/>
        </w:rPr>
      </w:pPr>
    </w:p>
    <w:p w14:paraId="63ED0D28">
      <w:pPr>
        <w:spacing w:line="500" w:lineRule="exact"/>
        <w:jc w:val="center"/>
        <w:rPr>
          <w:rFonts w:ascii="宋体" w:hAnsi="宋体" w:cs="宋体"/>
          <w:b/>
          <w:bCs/>
          <w:color w:val="auto"/>
          <w:sz w:val="32"/>
          <w:szCs w:val="32"/>
          <w:highlight w:val="none"/>
        </w:rPr>
      </w:pPr>
      <w:r>
        <w:rPr>
          <w:rFonts w:hint="eastAsia" w:ascii="宋体" w:hAnsi="宋体" w:cs="宋体"/>
          <w:b/>
          <w:bCs/>
          <w:color w:val="auto"/>
          <w:sz w:val="28"/>
          <w:szCs w:val="28"/>
          <w:highlight w:val="none"/>
        </w:rPr>
        <w:t>（6）</w:t>
      </w:r>
      <w:r>
        <w:rPr>
          <w:rFonts w:hint="eastAsia" w:ascii="宋体" w:hAnsi="宋体" w:cs="宋体"/>
          <w:b/>
          <w:bCs/>
          <w:color w:val="auto"/>
          <w:sz w:val="32"/>
          <w:szCs w:val="32"/>
          <w:highlight w:val="none"/>
        </w:rPr>
        <w:t>廉政承诺书</w:t>
      </w:r>
    </w:p>
    <w:p w14:paraId="0D3C8AA2">
      <w:pPr>
        <w:spacing w:line="480" w:lineRule="auto"/>
        <w:rPr>
          <w:rFonts w:ascii="宋体" w:hAnsi="宋体" w:cs="宋体"/>
          <w:color w:val="auto"/>
          <w:szCs w:val="21"/>
          <w:highlight w:val="none"/>
        </w:rPr>
      </w:pPr>
      <w:r>
        <w:rPr>
          <w:rFonts w:hint="eastAsia" w:ascii="宋体" w:hAnsi="宋体" w:cs="宋体"/>
          <w:color w:val="auto"/>
          <w:szCs w:val="21"/>
          <w:highlight w:val="none"/>
          <w:u w:val="single"/>
        </w:rPr>
        <w:t>温州科技职业学院</w:t>
      </w:r>
      <w:r>
        <w:rPr>
          <w:rFonts w:hint="eastAsia" w:ascii="宋体" w:hAnsi="宋体" w:cs="宋体"/>
          <w:color w:val="auto"/>
          <w:szCs w:val="21"/>
          <w:highlight w:val="none"/>
        </w:rPr>
        <w:t>：</w:t>
      </w:r>
    </w:p>
    <w:p w14:paraId="4DC6959A">
      <w:pPr>
        <w:spacing w:line="480" w:lineRule="auto"/>
        <w:rPr>
          <w:rFonts w:ascii="宋体" w:hAnsi="宋体" w:cs="宋体"/>
          <w:color w:val="auto"/>
          <w:szCs w:val="21"/>
          <w:highlight w:val="none"/>
        </w:rPr>
      </w:pPr>
      <w:r>
        <w:rPr>
          <w:rFonts w:hint="eastAsia" w:ascii="宋体" w:hAnsi="宋体" w:cs="宋体"/>
          <w:color w:val="auto"/>
          <w:szCs w:val="21"/>
          <w:highlight w:val="none"/>
        </w:rPr>
        <w:t xml:space="preserve">    根据《温州市市级行政行政事业单位公款竞争性存放管理办法》（温财预执〔2021〕4号）相关规定，现就本行参加贵单位</w:t>
      </w:r>
      <w:r>
        <w:rPr>
          <w:rFonts w:hint="eastAsia" w:ascii="宋体" w:hAnsi="宋体" w:cs="仿宋_GB2312"/>
          <w:color w:val="auto"/>
          <w:szCs w:val="21"/>
          <w:highlight w:val="none"/>
          <w:u w:val="single"/>
          <w:lang w:val="zh-CN"/>
        </w:rPr>
        <w:t>温州科技职业学院2025年公款竞争性存放项目</w:t>
      </w:r>
      <w:r>
        <w:rPr>
          <w:rFonts w:hint="eastAsia" w:ascii="宋体" w:hAnsi="宋体" w:cs="宋体"/>
          <w:color w:val="auto"/>
          <w:szCs w:val="21"/>
          <w:highlight w:val="none"/>
        </w:rPr>
        <w:t>作出如下承诺：</w:t>
      </w:r>
    </w:p>
    <w:p w14:paraId="76F799CF">
      <w:pPr>
        <w:spacing w:line="480" w:lineRule="auto"/>
        <w:rPr>
          <w:rFonts w:ascii="宋体" w:hAnsi="宋体" w:cs="宋体"/>
          <w:color w:val="auto"/>
          <w:szCs w:val="21"/>
          <w:highlight w:val="none"/>
        </w:rPr>
      </w:pPr>
      <w:r>
        <w:rPr>
          <w:rFonts w:hint="eastAsia" w:ascii="宋体" w:hAnsi="宋体" w:cs="宋体"/>
          <w:color w:val="auto"/>
          <w:szCs w:val="21"/>
          <w:highlight w:val="none"/>
        </w:rPr>
        <w:t xml:space="preserve">    1.不向贵单位负责公款存放管理的领导及相关人员进行利益输送；</w:t>
      </w:r>
    </w:p>
    <w:p w14:paraId="5A045AA2">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2.不将公款存放与贵单位负责公款存放管理的领导及相关人员在本行的配偶、子女及其配偶和其他直接利益相关人员的业绩、收入、晋升等利益挂钩；</w:t>
      </w:r>
    </w:p>
    <w:p w14:paraId="3C19370C">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3.严格执行利益回避制度，贵单位负责公款竞争性存放相关人员的配偶、子女及其配偶和其他直接利益相关人员为本行工作人员的，不参与公款竞争性存放工作；</w:t>
      </w:r>
    </w:p>
    <w:p w14:paraId="4FF96C02">
      <w:pPr>
        <w:spacing w:line="480" w:lineRule="auto"/>
        <w:rPr>
          <w:rFonts w:ascii="宋体" w:hAnsi="宋体" w:cs="宋体"/>
          <w:color w:val="auto"/>
          <w:szCs w:val="21"/>
          <w:highlight w:val="none"/>
        </w:rPr>
      </w:pPr>
      <w:r>
        <w:rPr>
          <w:rFonts w:hint="eastAsia" w:ascii="宋体" w:hAnsi="宋体" w:cs="宋体"/>
          <w:color w:val="auto"/>
          <w:szCs w:val="21"/>
          <w:highlight w:val="none"/>
        </w:rPr>
        <w:t xml:space="preserve">    4.不发生除上述行为之外的其他任何利益输送行为。</w:t>
      </w:r>
    </w:p>
    <w:p w14:paraId="045E37E3">
      <w:pPr>
        <w:spacing w:line="48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未遵守以上承诺的，本行自愿接受财政部门通报和处理，承担相应的一切后果。</w:t>
      </w:r>
    </w:p>
    <w:p w14:paraId="112877CF">
      <w:pPr>
        <w:spacing w:line="480" w:lineRule="auto"/>
        <w:rPr>
          <w:rFonts w:ascii="宋体" w:hAnsi="宋体" w:cs="宋体"/>
          <w:color w:val="auto"/>
          <w:szCs w:val="21"/>
          <w:highlight w:val="none"/>
        </w:rPr>
      </w:pPr>
    </w:p>
    <w:p w14:paraId="007CC07C">
      <w:pPr>
        <w:spacing w:line="480" w:lineRule="auto"/>
        <w:ind w:firstLine="435"/>
        <w:rPr>
          <w:rFonts w:ascii="宋体" w:hAnsi="宋体" w:cs="宋体"/>
          <w:color w:val="auto"/>
          <w:szCs w:val="21"/>
          <w:highlight w:val="none"/>
        </w:rPr>
      </w:pPr>
    </w:p>
    <w:p w14:paraId="78EB3DC0">
      <w:pPr>
        <w:spacing w:line="480" w:lineRule="auto"/>
        <w:ind w:firstLine="435"/>
        <w:jc w:val="right"/>
        <w:rPr>
          <w:rFonts w:ascii="宋体" w:hAnsi="宋体" w:cs="宋体"/>
          <w:color w:val="auto"/>
          <w:szCs w:val="21"/>
          <w:highlight w:val="none"/>
        </w:rPr>
      </w:pPr>
      <w:r>
        <w:rPr>
          <w:rFonts w:hint="eastAsia" w:ascii="宋体" w:hAnsi="宋体" w:cs="宋体"/>
          <w:color w:val="auto"/>
          <w:szCs w:val="21"/>
          <w:highlight w:val="none"/>
        </w:rPr>
        <w:t>银行（公章）</w:t>
      </w:r>
    </w:p>
    <w:p w14:paraId="6426C8CC">
      <w:pPr>
        <w:spacing w:line="480" w:lineRule="auto"/>
        <w:ind w:firstLine="1029" w:firstLineChars="490"/>
        <w:jc w:val="right"/>
        <w:outlineLvl w:val="1"/>
        <w:rPr>
          <w:rFonts w:ascii="宋体" w:hAnsi="宋体" w:cs="宋体"/>
          <w:b/>
          <w:bCs/>
          <w:color w:val="auto"/>
          <w:szCs w:val="21"/>
          <w:highlight w:val="none"/>
        </w:rPr>
      </w:pPr>
      <w:r>
        <w:rPr>
          <w:rFonts w:hint="eastAsia" w:ascii="宋体" w:hAnsi="宋体" w:cs="宋体"/>
          <w:color w:val="auto"/>
          <w:szCs w:val="21"/>
          <w:highlight w:val="none"/>
        </w:rPr>
        <w:t>年   月   日</w:t>
      </w:r>
    </w:p>
    <w:p w14:paraId="693899EA">
      <w:pPr>
        <w:widowControl/>
        <w:jc w:val="left"/>
        <w:rPr>
          <w:rFonts w:ascii="宋体" w:hAnsi="宋体" w:cs="宋体"/>
          <w:color w:val="auto"/>
          <w:highlight w:val="none"/>
        </w:rPr>
      </w:pPr>
      <w:r>
        <w:rPr>
          <w:rFonts w:ascii="宋体" w:hAnsi="宋体" w:cs="宋体"/>
          <w:color w:val="auto"/>
          <w:highlight w:val="none"/>
        </w:rPr>
        <w:br w:type="page"/>
      </w:r>
    </w:p>
    <w:p w14:paraId="0EAAE873">
      <w:pPr>
        <w:rPr>
          <w:rFonts w:ascii="宋体" w:hAnsi="宋体" w:cs="宋体"/>
          <w:color w:val="auto"/>
          <w:highlight w:val="none"/>
        </w:rPr>
      </w:pPr>
    </w:p>
    <w:p w14:paraId="1C537CC0">
      <w:pPr>
        <w:spacing w:line="460" w:lineRule="exact"/>
        <w:outlineLvl w:val="2"/>
        <w:rPr>
          <w:rFonts w:ascii="宋体" w:hAnsi="宋体" w:cs="宋体"/>
          <w:b/>
          <w:bCs/>
          <w:color w:val="auto"/>
          <w:szCs w:val="21"/>
          <w:highlight w:val="none"/>
        </w:rPr>
      </w:pPr>
      <w:r>
        <w:rPr>
          <w:rFonts w:hint="eastAsia" w:ascii="宋体" w:hAnsi="宋体" w:cs="宋体"/>
          <w:b/>
          <w:bCs/>
          <w:color w:val="auto"/>
          <w:szCs w:val="21"/>
          <w:highlight w:val="none"/>
        </w:rPr>
        <w:t>附件六</w:t>
      </w:r>
    </w:p>
    <w:p w14:paraId="7EF92902">
      <w:pPr>
        <w:snapToGrid w:val="0"/>
        <w:spacing w:line="46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项目负责人及服务小组人员情况一览表</w:t>
      </w:r>
    </w:p>
    <w:p w14:paraId="0E222396">
      <w:pPr>
        <w:snapToGrid w:val="0"/>
        <w:spacing w:line="460" w:lineRule="exact"/>
        <w:rPr>
          <w:rFonts w:ascii="宋体" w:hAnsi="宋体" w:cs="宋体"/>
          <w:b/>
          <w:color w:val="auto"/>
          <w:szCs w:val="21"/>
          <w:highlight w:val="none"/>
        </w:rPr>
      </w:pPr>
    </w:p>
    <w:p w14:paraId="4A1F1B84">
      <w:pPr>
        <w:snapToGrid w:val="0"/>
        <w:spacing w:line="460" w:lineRule="exact"/>
        <w:rPr>
          <w:rFonts w:ascii="宋体" w:hAnsi="宋体" w:cs="宋体"/>
          <w:b/>
          <w:color w:val="auto"/>
          <w:szCs w:val="21"/>
          <w:highlight w:val="none"/>
        </w:rPr>
      </w:pPr>
      <w:r>
        <w:rPr>
          <w:rFonts w:hint="eastAsia" w:ascii="宋体" w:hAnsi="宋体" w:cs="宋体"/>
          <w:b/>
          <w:color w:val="auto"/>
          <w:szCs w:val="21"/>
          <w:highlight w:val="none"/>
        </w:rPr>
        <w:t>项目名称：                               年  月  日</w:t>
      </w:r>
    </w:p>
    <w:tbl>
      <w:tblPr>
        <w:tblStyle w:val="18"/>
        <w:tblW w:w="8997"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3488"/>
        <w:gridCol w:w="1701"/>
        <w:gridCol w:w="1800"/>
      </w:tblGrid>
      <w:tr w14:paraId="3100F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14:paraId="0985D3C8">
            <w:pPr>
              <w:snapToGrid w:val="0"/>
              <w:spacing w:beforeLines="50" w:after="50" w:line="460" w:lineRule="exact"/>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35FDBCA">
            <w:pPr>
              <w:snapToGrid w:val="0"/>
              <w:spacing w:beforeLines="50" w:after="50" w:line="460" w:lineRule="exact"/>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3488" w:type="dxa"/>
            <w:tcBorders>
              <w:top w:val="single" w:color="auto" w:sz="4" w:space="0"/>
              <w:left w:val="single" w:color="auto" w:sz="4" w:space="0"/>
              <w:bottom w:val="single" w:color="auto" w:sz="4" w:space="0"/>
              <w:right w:val="single" w:color="auto" w:sz="4" w:space="0"/>
            </w:tcBorders>
            <w:vAlign w:val="center"/>
          </w:tcPr>
          <w:p w14:paraId="559603C8">
            <w:pPr>
              <w:snapToGrid w:val="0"/>
              <w:spacing w:beforeLines="50" w:after="50" w:line="460" w:lineRule="exact"/>
              <w:jc w:val="center"/>
              <w:rPr>
                <w:rFonts w:ascii="宋体" w:hAnsi="宋体" w:cs="宋体"/>
                <w:color w:val="auto"/>
                <w:szCs w:val="21"/>
                <w:highlight w:val="none"/>
              </w:rPr>
            </w:pPr>
            <w:r>
              <w:rPr>
                <w:rFonts w:hint="eastAsia" w:ascii="宋体" w:hAnsi="宋体" w:cs="宋体"/>
                <w:color w:val="auto"/>
                <w:szCs w:val="21"/>
                <w:highlight w:val="none"/>
              </w:rPr>
              <w:t>专业技术资格</w:t>
            </w:r>
          </w:p>
        </w:tc>
        <w:tc>
          <w:tcPr>
            <w:tcW w:w="1701" w:type="dxa"/>
            <w:tcBorders>
              <w:top w:val="single" w:color="auto" w:sz="4" w:space="0"/>
              <w:left w:val="single" w:color="auto" w:sz="4" w:space="0"/>
              <w:bottom w:val="single" w:color="auto" w:sz="4" w:space="0"/>
              <w:right w:val="single" w:color="auto" w:sz="4" w:space="0"/>
            </w:tcBorders>
            <w:vAlign w:val="center"/>
          </w:tcPr>
          <w:p w14:paraId="5DB12F46">
            <w:pPr>
              <w:snapToGrid w:val="0"/>
              <w:spacing w:beforeLines="50" w:after="50" w:line="460" w:lineRule="exact"/>
              <w:jc w:val="center"/>
              <w:rPr>
                <w:rFonts w:ascii="宋体" w:hAnsi="宋体" w:cs="宋体"/>
                <w:color w:val="auto"/>
                <w:szCs w:val="21"/>
                <w:highlight w:val="none"/>
              </w:rPr>
            </w:pPr>
            <w:r>
              <w:rPr>
                <w:rFonts w:hint="eastAsia" w:ascii="宋体" w:hAnsi="宋体" w:cs="宋体"/>
                <w:color w:val="auto"/>
                <w:szCs w:val="21"/>
                <w:highlight w:val="none"/>
              </w:rPr>
              <w:t>证书编号</w:t>
            </w:r>
          </w:p>
        </w:tc>
        <w:tc>
          <w:tcPr>
            <w:tcW w:w="1800" w:type="dxa"/>
            <w:tcBorders>
              <w:top w:val="single" w:color="auto" w:sz="4" w:space="0"/>
              <w:left w:val="single" w:color="auto" w:sz="4" w:space="0"/>
              <w:bottom w:val="single" w:color="auto" w:sz="4" w:space="0"/>
              <w:right w:val="single" w:color="auto" w:sz="4" w:space="0"/>
            </w:tcBorders>
            <w:vAlign w:val="center"/>
          </w:tcPr>
          <w:p w14:paraId="3DA15962">
            <w:pPr>
              <w:snapToGrid w:val="0"/>
              <w:spacing w:beforeLines="50" w:after="50" w:line="460" w:lineRule="exact"/>
              <w:jc w:val="center"/>
              <w:rPr>
                <w:rFonts w:ascii="宋体" w:hAnsi="宋体" w:cs="宋体"/>
                <w:bCs/>
                <w:color w:val="auto"/>
                <w:szCs w:val="21"/>
                <w:highlight w:val="none"/>
              </w:rPr>
            </w:pPr>
            <w:r>
              <w:rPr>
                <w:rFonts w:hint="eastAsia" w:ascii="宋体" w:hAnsi="宋体" w:cs="宋体"/>
                <w:bCs/>
                <w:color w:val="auto"/>
                <w:szCs w:val="21"/>
                <w:highlight w:val="none"/>
              </w:rPr>
              <w:t>参加本单位工作时间</w:t>
            </w:r>
          </w:p>
        </w:tc>
      </w:tr>
      <w:tr w14:paraId="61C102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00219013">
            <w:pPr>
              <w:snapToGrid w:val="0"/>
              <w:spacing w:beforeLines="50" w:after="50" w:line="460" w:lineRule="exact"/>
              <w:rPr>
                <w:rFonts w:ascii="宋体" w:hAnsi="宋体" w:cs="宋体"/>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4F80636D">
            <w:pPr>
              <w:snapToGrid w:val="0"/>
              <w:spacing w:beforeLines="50" w:after="50" w:line="460" w:lineRule="exact"/>
              <w:rPr>
                <w:rFonts w:ascii="宋体" w:hAnsi="宋体" w:cs="宋体"/>
                <w:color w:val="auto"/>
                <w:szCs w:val="21"/>
                <w:highlight w:val="none"/>
              </w:rPr>
            </w:pPr>
          </w:p>
        </w:tc>
        <w:tc>
          <w:tcPr>
            <w:tcW w:w="3488" w:type="dxa"/>
            <w:tcBorders>
              <w:top w:val="single" w:color="auto" w:sz="4" w:space="0"/>
              <w:left w:val="single" w:color="auto" w:sz="4" w:space="0"/>
              <w:bottom w:val="single" w:color="auto" w:sz="4" w:space="0"/>
              <w:right w:val="single" w:color="auto" w:sz="4" w:space="0"/>
            </w:tcBorders>
          </w:tcPr>
          <w:p w14:paraId="72A7D45A">
            <w:pPr>
              <w:snapToGrid w:val="0"/>
              <w:spacing w:beforeLines="50" w:after="50" w:line="460" w:lineRule="exact"/>
              <w:rPr>
                <w:rFonts w:ascii="宋体" w:hAnsi="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29406190">
            <w:pPr>
              <w:snapToGrid w:val="0"/>
              <w:spacing w:beforeLines="50" w:after="50" w:line="460" w:lineRule="exact"/>
              <w:rPr>
                <w:rFonts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6BD657CC">
            <w:pPr>
              <w:snapToGrid w:val="0"/>
              <w:spacing w:beforeLines="50" w:after="50" w:line="460" w:lineRule="exact"/>
              <w:rPr>
                <w:rFonts w:ascii="宋体" w:hAnsi="宋体" w:cs="宋体"/>
                <w:color w:val="auto"/>
                <w:szCs w:val="21"/>
                <w:highlight w:val="none"/>
              </w:rPr>
            </w:pPr>
          </w:p>
        </w:tc>
      </w:tr>
      <w:tr w14:paraId="6F29D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76AB4C74">
            <w:pPr>
              <w:snapToGrid w:val="0"/>
              <w:spacing w:beforeLines="50" w:after="50" w:line="460" w:lineRule="exact"/>
              <w:rPr>
                <w:rFonts w:ascii="宋体" w:hAnsi="宋体" w:cs="宋体"/>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72514A27">
            <w:pPr>
              <w:snapToGrid w:val="0"/>
              <w:spacing w:beforeLines="50" w:after="50" w:line="460" w:lineRule="exact"/>
              <w:rPr>
                <w:rFonts w:ascii="宋体" w:hAnsi="宋体" w:cs="宋体"/>
                <w:color w:val="auto"/>
                <w:szCs w:val="21"/>
                <w:highlight w:val="none"/>
              </w:rPr>
            </w:pPr>
          </w:p>
        </w:tc>
        <w:tc>
          <w:tcPr>
            <w:tcW w:w="3488" w:type="dxa"/>
            <w:tcBorders>
              <w:top w:val="single" w:color="auto" w:sz="4" w:space="0"/>
              <w:left w:val="single" w:color="auto" w:sz="4" w:space="0"/>
              <w:bottom w:val="single" w:color="auto" w:sz="4" w:space="0"/>
              <w:right w:val="single" w:color="auto" w:sz="4" w:space="0"/>
            </w:tcBorders>
          </w:tcPr>
          <w:p w14:paraId="28A365C0">
            <w:pPr>
              <w:snapToGrid w:val="0"/>
              <w:spacing w:beforeLines="50" w:after="50" w:line="460" w:lineRule="exact"/>
              <w:rPr>
                <w:rFonts w:ascii="宋体" w:hAnsi="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282376F7">
            <w:pPr>
              <w:snapToGrid w:val="0"/>
              <w:spacing w:beforeLines="50" w:after="50" w:line="460" w:lineRule="exact"/>
              <w:rPr>
                <w:rFonts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7C8AF1CD">
            <w:pPr>
              <w:snapToGrid w:val="0"/>
              <w:spacing w:beforeLines="50" w:after="50" w:line="460" w:lineRule="exact"/>
              <w:rPr>
                <w:rFonts w:ascii="宋体" w:hAnsi="宋体" w:cs="宋体"/>
                <w:color w:val="auto"/>
                <w:szCs w:val="21"/>
                <w:highlight w:val="none"/>
              </w:rPr>
            </w:pPr>
          </w:p>
        </w:tc>
      </w:tr>
      <w:tr w14:paraId="6ED86E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14:paraId="1CE79821">
            <w:pPr>
              <w:snapToGrid w:val="0"/>
              <w:spacing w:beforeLines="50" w:after="50" w:line="460" w:lineRule="exact"/>
              <w:rPr>
                <w:rFonts w:ascii="宋体" w:hAnsi="宋体" w:cs="宋体"/>
                <w:color w:val="auto"/>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2CC2FCDF">
            <w:pPr>
              <w:snapToGrid w:val="0"/>
              <w:spacing w:beforeLines="50" w:after="50" w:line="460" w:lineRule="exact"/>
              <w:rPr>
                <w:rFonts w:ascii="宋体" w:hAnsi="宋体" w:cs="宋体"/>
                <w:color w:val="auto"/>
                <w:szCs w:val="21"/>
                <w:highlight w:val="none"/>
              </w:rPr>
            </w:pPr>
          </w:p>
        </w:tc>
        <w:tc>
          <w:tcPr>
            <w:tcW w:w="3488" w:type="dxa"/>
            <w:tcBorders>
              <w:top w:val="single" w:color="auto" w:sz="4" w:space="0"/>
              <w:left w:val="single" w:color="auto" w:sz="4" w:space="0"/>
              <w:bottom w:val="single" w:color="auto" w:sz="4" w:space="0"/>
              <w:right w:val="single" w:color="auto" w:sz="4" w:space="0"/>
            </w:tcBorders>
          </w:tcPr>
          <w:p w14:paraId="5F00FE58">
            <w:pPr>
              <w:snapToGrid w:val="0"/>
              <w:spacing w:beforeLines="50" w:after="50" w:line="460" w:lineRule="exact"/>
              <w:rPr>
                <w:rFonts w:ascii="宋体" w:hAnsi="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tcPr>
          <w:p w14:paraId="4A9ABF7B">
            <w:pPr>
              <w:snapToGrid w:val="0"/>
              <w:spacing w:beforeLines="50" w:after="50" w:line="460" w:lineRule="exact"/>
              <w:rPr>
                <w:rFonts w:ascii="宋体" w:hAnsi="宋体" w:cs="宋体"/>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tcPr>
          <w:p w14:paraId="2C995EF1">
            <w:pPr>
              <w:snapToGrid w:val="0"/>
              <w:spacing w:beforeLines="50" w:after="50" w:line="460" w:lineRule="exact"/>
              <w:rPr>
                <w:rFonts w:ascii="宋体" w:hAnsi="宋体" w:cs="宋体"/>
                <w:color w:val="auto"/>
                <w:szCs w:val="21"/>
                <w:highlight w:val="none"/>
              </w:rPr>
            </w:pPr>
          </w:p>
        </w:tc>
      </w:tr>
    </w:tbl>
    <w:p w14:paraId="246BF31D">
      <w:pPr>
        <w:spacing w:line="360" w:lineRule="auto"/>
        <w:rPr>
          <w:rFonts w:ascii="宋体" w:hAnsi="宋体" w:cs="宋体"/>
          <w:color w:val="auto"/>
          <w:szCs w:val="21"/>
          <w:highlight w:val="none"/>
        </w:rPr>
      </w:pPr>
      <w:r>
        <w:rPr>
          <w:rFonts w:hint="eastAsia" w:ascii="宋体" w:hAnsi="宋体" w:cs="宋体"/>
          <w:color w:val="auto"/>
          <w:szCs w:val="21"/>
          <w:highlight w:val="none"/>
        </w:rPr>
        <w:t>注：</w:t>
      </w:r>
    </w:p>
    <w:p w14:paraId="790C9930">
      <w:pPr>
        <w:numPr>
          <w:ilvl w:val="0"/>
          <w:numId w:val="8"/>
        </w:numPr>
        <w:spacing w:line="360" w:lineRule="auto"/>
        <w:rPr>
          <w:rFonts w:ascii="宋体" w:hAnsi="宋体" w:cs="宋体"/>
          <w:color w:val="auto"/>
          <w:szCs w:val="21"/>
          <w:highlight w:val="none"/>
        </w:rPr>
      </w:pPr>
      <w:r>
        <w:rPr>
          <w:rFonts w:hint="eastAsia" w:ascii="宋体" w:hAnsi="宋体" w:cs="宋体"/>
          <w:color w:val="auto"/>
          <w:szCs w:val="21"/>
          <w:highlight w:val="none"/>
        </w:rPr>
        <w:t>我方确定以上固定人员负责本项目业务，各主要专业工种负责人均已列入；</w:t>
      </w:r>
    </w:p>
    <w:p w14:paraId="5E5C4ADA">
      <w:pPr>
        <w:numPr>
          <w:ilvl w:val="0"/>
          <w:numId w:val="8"/>
        </w:numPr>
        <w:spacing w:line="360" w:lineRule="auto"/>
        <w:rPr>
          <w:rFonts w:ascii="宋体" w:hAnsi="宋体" w:cs="宋体"/>
          <w:color w:val="auto"/>
          <w:szCs w:val="21"/>
          <w:highlight w:val="none"/>
        </w:rPr>
      </w:pPr>
      <w:r>
        <w:rPr>
          <w:rFonts w:hint="eastAsia" w:ascii="宋体" w:hAnsi="宋体" w:cs="宋体"/>
          <w:color w:val="auto"/>
          <w:szCs w:val="21"/>
          <w:highlight w:val="none"/>
        </w:rPr>
        <w:t>列入本表人员如要更换，需经招标人同意，擅自更换或不到位属违约行为；</w:t>
      </w:r>
    </w:p>
    <w:p w14:paraId="3C91E395">
      <w:pPr>
        <w:pStyle w:val="6"/>
        <w:snapToGrid w:val="0"/>
        <w:spacing w:line="460" w:lineRule="exact"/>
        <w:rPr>
          <w:rFonts w:ascii="宋体" w:hAnsi="宋体" w:eastAsia="宋体" w:cs="宋体"/>
          <w:color w:val="auto"/>
          <w:sz w:val="21"/>
          <w:szCs w:val="21"/>
          <w:highlight w:val="none"/>
        </w:rPr>
      </w:pPr>
    </w:p>
    <w:p w14:paraId="30E9FA83">
      <w:pPr>
        <w:pStyle w:val="6"/>
        <w:snapToGrid w:val="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投标人全称（公章）：</w:t>
      </w:r>
    </w:p>
    <w:p w14:paraId="6E19F79D">
      <w:pPr>
        <w:pStyle w:val="6"/>
        <w:snapToGrid w:val="0"/>
        <w:spacing w:line="460" w:lineRule="exact"/>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全权代表签名：</w:t>
      </w:r>
    </w:p>
    <w:p w14:paraId="1C0EC1BF">
      <w:pPr>
        <w:snapToGrid w:val="0"/>
        <w:spacing w:before="50" w:afterLines="50" w:line="460" w:lineRule="exact"/>
        <w:jc w:val="left"/>
        <w:rPr>
          <w:rFonts w:ascii="宋体" w:hAnsi="宋体" w:cs="宋体"/>
          <w:color w:val="auto"/>
          <w:szCs w:val="21"/>
          <w:highlight w:val="none"/>
        </w:rPr>
      </w:pPr>
    </w:p>
    <w:p w14:paraId="6951415B">
      <w:pPr>
        <w:snapToGrid w:val="0"/>
        <w:spacing w:before="50" w:afterLines="50" w:line="460" w:lineRule="exact"/>
        <w:jc w:val="left"/>
        <w:rPr>
          <w:rFonts w:ascii="宋体" w:hAnsi="宋体" w:cs="宋体"/>
          <w:color w:val="auto"/>
          <w:szCs w:val="21"/>
          <w:highlight w:val="none"/>
        </w:rPr>
      </w:pPr>
      <w:r>
        <w:rPr>
          <w:rFonts w:hint="eastAsia" w:ascii="宋体" w:hAnsi="宋体" w:cs="宋体"/>
          <w:color w:val="auto"/>
          <w:szCs w:val="21"/>
          <w:highlight w:val="none"/>
        </w:rPr>
        <w:t>注：本表格如不适合投标单位的实际情况，可根据本表格式自行划表填写。项目负责人及服务小组人员的专业技术资格证书请提供扫描件。</w:t>
      </w:r>
    </w:p>
    <w:p w14:paraId="21572AEB">
      <w:pPr>
        <w:widowControl/>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237E50B3">
      <w:pPr>
        <w:spacing w:beforeLines="100" w:afterLines="50"/>
        <w:jc w:val="center"/>
        <w:rPr>
          <w:rFonts w:ascii="宋体" w:hAnsi="宋体" w:cs="宋体"/>
          <w:b/>
          <w:bCs/>
          <w:color w:val="auto"/>
          <w:sz w:val="32"/>
          <w:szCs w:val="32"/>
          <w:highlight w:val="none"/>
        </w:rPr>
      </w:pPr>
    </w:p>
    <w:p w14:paraId="489417E2">
      <w:pPr>
        <w:pStyle w:val="12"/>
        <w:ind w:left="1470" w:right="1470"/>
        <w:rPr>
          <w:color w:val="auto"/>
          <w:highlight w:val="none"/>
        </w:rPr>
      </w:pPr>
    </w:p>
    <w:p w14:paraId="06052458">
      <w:pPr>
        <w:spacing w:line="460" w:lineRule="exact"/>
        <w:outlineLvl w:val="2"/>
        <w:rPr>
          <w:rFonts w:ascii="宋体" w:hAnsi="宋体" w:cs="宋体"/>
          <w:b/>
          <w:bCs/>
          <w:color w:val="auto"/>
          <w:szCs w:val="21"/>
          <w:highlight w:val="none"/>
        </w:rPr>
      </w:pPr>
      <w:r>
        <w:rPr>
          <w:rFonts w:hint="eastAsia" w:ascii="宋体" w:hAnsi="宋体" w:cs="宋体"/>
          <w:b/>
          <w:bCs/>
          <w:color w:val="auto"/>
          <w:szCs w:val="21"/>
          <w:highlight w:val="none"/>
        </w:rPr>
        <w:t>附件七</w:t>
      </w:r>
    </w:p>
    <w:p w14:paraId="07D8B341">
      <w:pPr>
        <w:spacing w:beforeLines="100" w:afterLines="5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今后资金存放的利率承诺书</w:t>
      </w:r>
    </w:p>
    <w:p w14:paraId="50EDFBF5">
      <w:pPr>
        <w:pStyle w:val="12"/>
        <w:ind w:left="1470" w:right="1470"/>
        <w:rPr>
          <w:rFonts w:ascii="宋体" w:hAnsi="宋体" w:cs="宋体"/>
          <w:color w:val="auto"/>
          <w:sz w:val="21"/>
          <w:szCs w:val="21"/>
          <w:highlight w:val="none"/>
        </w:rPr>
      </w:pPr>
    </w:p>
    <w:p w14:paraId="57A6444B">
      <w:pPr>
        <w:spacing w:line="560" w:lineRule="exact"/>
        <w:rPr>
          <w:rFonts w:ascii="宋体" w:hAnsi="宋体" w:cs="宋体"/>
          <w:b/>
          <w:color w:val="auto"/>
          <w:szCs w:val="21"/>
          <w:highlight w:val="none"/>
        </w:rPr>
      </w:pPr>
      <w:r>
        <w:rPr>
          <w:rFonts w:hint="eastAsia" w:ascii="宋体" w:hAnsi="宋体" w:cs="宋体"/>
          <w:b/>
          <w:bCs/>
          <w:color w:val="auto"/>
          <w:szCs w:val="21"/>
          <w:highlight w:val="none"/>
          <w:u w:val="single"/>
        </w:rPr>
        <w:t>温州科技职业学院</w:t>
      </w:r>
      <w:r>
        <w:rPr>
          <w:rFonts w:hint="eastAsia" w:ascii="宋体" w:hAnsi="宋体" w:cs="宋体"/>
          <w:b/>
          <w:color w:val="auto"/>
          <w:szCs w:val="21"/>
          <w:highlight w:val="none"/>
        </w:rPr>
        <w:t>：</w:t>
      </w:r>
    </w:p>
    <w:p w14:paraId="10C43CBF">
      <w:pPr>
        <w:spacing w:line="460" w:lineRule="exact"/>
        <w:rPr>
          <w:rFonts w:ascii="宋体" w:hAnsi="宋体" w:cs="宋体"/>
          <w:b/>
          <w:bCs/>
          <w:color w:val="auto"/>
          <w:szCs w:val="21"/>
          <w:highlight w:val="none"/>
        </w:rPr>
      </w:pPr>
    </w:p>
    <w:p w14:paraId="2E87AA1D">
      <w:pPr>
        <w:spacing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我行参加贵单位组织的</w:t>
      </w:r>
      <w:r>
        <w:rPr>
          <w:rFonts w:hint="eastAsia" w:ascii="宋体" w:hAnsi="宋体" w:cs="宋体"/>
          <w:color w:val="auto"/>
          <w:szCs w:val="21"/>
          <w:highlight w:val="none"/>
          <w:u w:val="single"/>
          <w:lang w:eastAsia="zh-CN"/>
        </w:rPr>
        <w:t>温州科技职业学院2025年公款竞争性存放项目</w:t>
      </w:r>
      <w:r>
        <w:rPr>
          <w:rFonts w:hint="eastAsia" w:ascii="宋体" w:hAnsi="宋体" w:cs="宋体"/>
          <w:color w:val="auto"/>
          <w:szCs w:val="21"/>
          <w:highlight w:val="none"/>
          <w:u w:val="single"/>
        </w:rPr>
        <w:t>（项目编号：</w:t>
      </w:r>
      <w:r>
        <w:rPr>
          <w:rFonts w:hint="eastAsia" w:ascii="宋体" w:hAnsi="宋体" w:cs="宋体"/>
          <w:color w:val="auto"/>
          <w:szCs w:val="21"/>
          <w:highlight w:val="none"/>
          <w:u w:val="single"/>
          <w:lang w:eastAsia="zh-CN"/>
        </w:rPr>
        <w:t>WZHX2024-12-234</w:t>
      </w:r>
      <w:r>
        <w:rPr>
          <w:rFonts w:hint="eastAsia" w:ascii="宋体" w:hAnsi="宋体" w:cs="宋体"/>
          <w:color w:val="auto"/>
          <w:szCs w:val="21"/>
          <w:highlight w:val="none"/>
          <w:u w:val="single"/>
        </w:rPr>
        <w:t>）</w:t>
      </w:r>
      <w:r>
        <w:rPr>
          <w:rFonts w:hint="eastAsia" w:ascii="宋体" w:hAnsi="宋体" w:cs="宋体"/>
          <w:color w:val="auto"/>
          <w:szCs w:val="21"/>
          <w:highlight w:val="none"/>
        </w:rPr>
        <w:t>的招标活动，现承诺：如贵单位在存款合同期内陆续在我行办理存款业务的，我行提供的存款利率原则上不低于本次中标存款利率，如因国家或行业政策变化导致届时的存款利率的最高限值低于本次中标存款利率的，则按届时国家利率政策规定范围内的最高存款利率执行。</w:t>
      </w:r>
    </w:p>
    <w:p w14:paraId="52AAA452">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如我行不履行本承诺，自愿放弃你单位今后资金竞争性存放的投标资格。</w:t>
      </w:r>
    </w:p>
    <w:p w14:paraId="73FFF108">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特此声明。</w:t>
      </w:r>
    </w:p>
    <w:p w14:paraId="7E994CAB">
      <w:pPr>
        <w:spacing w:line="440" w:lineRule="exact"/>
        <w:ind w:firstLine="4200" w:firstLineChars="2000"/>
        <w:rPr>
          <w:rFonts w:ascii="宋体" w:hAnsi="宋体" w:cs="宋体"/>
          <w:color w:val="auto"/>
          <w:szCs w:val="21"/>
          <w:highlight w:val="none"/>
        </w:rPr>
      </w:pPr>
    </w:p>
    <w:p w14:paraId="0DD56A18">
      <w:pPr>
        <w:spacing w:line="440" w:lineRule="exact"/>
        <w:ind w:firstLine="4200" w:firstLineChars="2000"/>
        <w:rPr>
          <w:rFonts w:ascii="宋体" w:hAnsi="宋体" w:cs="宋体"/>
          <w:color w:val="auto"/>
          <w:szCs w:val="21"/>
          <w:highlight w:val="none"/>
        </w:rPr>
      </w:pPr>
    </w:p>
    <w:p w14:paraId="4EC13FA7">
      <w:pPr>
        <w:spacing w:line="440" w:lineRule="exact"/>
        <w:ind w:firstLine="4200" w:firstLineChars="2000"/>
        <w:rPr>
          <w:rFonts w:ascii="宋体" w:hAnsi="宋体" w:cs="宋体"/>
          <w:color w:val="auto"/>
          <w:szCs w:val="21"/>
          <w:highlight w:val="none"/>
        </w:rPr>
      </w:pPr>
    </w:p>
    <w:p w14:paraId="30A3AAEC">
      <w:pPr>
        <w:pStyle w:val="12"/>
        <w:ind w:left="0" w:leftChars="0" w:right="1470"/>
        <w:rPr>
          <w:rFonts w:ascii="宋体" w:hAnsi="宋体" w:cs="宋体"/>
          <w:color w:val="auto"/>
          <w:sz w:val="21"/>
          <w:szCs w:val="21"/>
          <w:highlight w:val="none"/>
        </w:rPr>
      </w:pPr>
    </w:p>
    <w:p w14:paraId="5AEA3E7E">
      <w:pPr>
        <w:spacing w:line="360" w:lineRule="auto"/>
        <w:ind w:right="-21" w:rightChars="-10" w:firstLine="424" w:firstLineChars="202"/>
        <w:rPr>
          <w:rFonts w:ascii="宋体" w:hAnsi="宋体" w:cs="宋体"/>
          <w:color w:val="auto"/>
          <w:szCs w:val="21"/>
          <w:highlight w:val="none"/>
        </w:rPr>
      </w:pPr>
      <w:r>
        <w:rPr>
          <w:rFonts w:hint="eastAsia" w:ascii="宋体" w:hAnsi="宋体" w:cs="宋体"/>
          <w:color w:val="auto"/>
          <w:szCs w:val="21"/>
          <w:highlight w:val="none"/>
        </w:rPr>
        <w:t>投标人全称（公章）：</w:t>
      </w:r>
    </w:p>
    <w:p w14:paraId="7E684972">
      <w:pPr>
        <w:spacing w:line="360" w:lineRule="auto"/>
        <w:ind w:right="-10" w:firstLine="424" w:firstLineChars="202"/>
        <w:rPr>
          <w:rFonts w:ascii="宋体" w:hAnsi="宋体" w:cs="宋体"/>
          <w:color w:val="auto"/>
          <w:szCs w:val="21"/>
          <w:highlight w:val="none"/>
        </w:rPr>
      </w:pPr>
      <w:r>
        <w:rPr>
          <w:rFonts w:hint="eastAsia" w:ascii="宋体" w:hAnsi="宋体" w:cs="宋体"/>
          <w:color w:val="auto"/>
          <w:szCs w:val="21"/>
          <w:highlight w:val="none"/>
        </w:rPr>
        <w:t>投标人全权代表（签字）：</w:t>
      </w:r>
    </w:p>
    <w:p w14:paraId="1786CA87">
      <w:pPr>
        <w:spacing w:before="50"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日期：     年    月   日</w:t>
      </w:r>
    </w:p>
    <w:p w14:paraId="349F467A">
      <w:pPr>
        <w:pStyle w:val="12"/>
        <w:ind w:left="1470" w:right="1470"/>
        <w:rPr>
          <w:rFonts w:ascii="宋体" w:hAnsi="宋体" w:cs="宋体"/>
          <w:color w:val="auto"/>
          <w:szCs w:val="30"/>
          <w:highlight w:val="none"/>
        </w:rPr>
      </w:pPr>
    </w:p>
    <w:p w14:paraId="3A7B17A7">
      <w:pPr>
        <w:widowControl/>
        <w:jc w:val="left"/>
        <w:rPr>
          <w:rFonts w:ascii="宋体" w:hAnsi="宋体" w:cs="宋体"/>
          <w:b/>
          <w:bCs/>
          <w:color w:val="auto"/>
          <w:kern w:val="0"/>
          <w:sz w:val="36"/>
          <w:szCs w:val="36"/>
          <w:highlight w:val="none"/>
        </w:rPr>
      </w:pPr>
      <w:r>
        <w:rPr>
          <w:rFonts w:ascii="宋体" w:hAnsi="宋体" w:cs="宋体"/>
          <w:color w:val="auto"/>
          <w:highlight w:val="none"/>
        </w:rPr>
        <w:br w:type="page"/>
      </w:r>
    </w:p>
    <w:p w14:paraId="3938A8E9">
      <w:pPr>
        <w:pStyle w:val="3"/>
        <w:numPr>
          <w:ilvl w:val="0"/>
          <w:numId w:val="0"/>
        </w:numPr>
        <w:jc w:val="both"/>
        <w:rPr>
          <w:rFonts w:ascii="宋体" w:hAnsi="宋体" w:eastAsia="宋体" w:cs="宋体"/>
          <w:color w:val="auto"/>
          <w:sz w:val="21"/>
          <w:szCs w:val="21"/>
          <w:highlight w:val="none"/>
        </w:rPr>
      </w:pPr>
    </w:p>
    <w:p w14:paraId="44C8FC52">
      <w:pPr>
        <w:spacing w:line="460" w:lineRule="exact"/>
        <w:outlineLvl w:val="2"/>
        <w:rPr>
          <w:rFonts w:ascii="宋体" w:hAnsi="宋体" w:cs="宋体"/>
          <w:b/>
          <w:bCs/>
          <w:color w:val="auto"/>
          <w:szCs w:val="21"/>
          <w:highlight w:val="none"/>
        </w:rPr>
      </w:pPr>
      <w:r>
        <w:rPr>
          <w:rFonts w:hint="eastAsia" w:ascii="宋体" w:hAnsi="宋体" w:cs="宋体"/>
          <w:b/>
          <w:bCs/>
          <w:color w:val="auto"/>
          <w:szCs w:val="21"/>
          <w:highlight w:val="none"/>
        </w:rPr>
        <w:t>附件八投标响应情况</w:t>
      </w:r>
    </w:p>
    <w:p w14:paraId="2F984332">
      <w:pPr>
        <w:spacing w:line="46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（1）投标响应表</w:t>
      </w:r>
    </w:p>
    <w:p w14:paraId="644B7642">
      <w:pPr>
        <w:spacing w:line="4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温州科技职业学院2025年公款竞争性存放项目</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lang w:eastAsia="zh-CN"/>
        </w:rPr>
        <w:t>WZHX2024-12-234</w:t>
      </w:r>
    </w:p>
    <w:tbl>
      <w:tblPr>
        <w:tblStyle w:val="1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2971"/>
        <w:gridCol w:w="5054"/>
        <w:gridCol w:w="781"/>
      </w:tblGrid>
      <w:tr w14:paraId="436A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4" w:type="dxa"/>
            <w:vAlign w:val="center"/>
          </w:tcPr>
          <w:p w14:paraId="63AE1160">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971" w:type="dxa"/>
            <w:vAlign w:val="center"/>
          </w:tcPr>
          <w:p w14:paraId="0936C1F1">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内容</w:t>
            </w:r>
          </w:p>
        </w:tc>
        <w:tc>
          <w:tcPr>
            <w:tcW w:w="5054" w:type="dxa"/>
            <w:vAlign w:val="center"/>
          </w:tcPr>
          <w:p w14:paraId="6D1433C1">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响应内容</w:t>
            </w:r>
          </w:p>
        </w:tc>
        <w:tc>
          <w:tcPr>
            <w:tcW w:w="781" w:type="dxa"/>
            <w:vAlign w:val="center"/>
          </w:tcPr>
          <w:p w14:paraId="38891F4C">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14:paraId="59D2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4" w:type="dxa"/>
            <w:vAlign w:val="center"/>
          </w:tcPr>
          <w:p w14:paraId="179822AC">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1</w:t>
            </w:r>
          </w:p>
        </w:tc>
        <w:tc>
          <w:tcPr>
            <w:tcW w:w="2971" w:type="dxa"/>
            <w:vAlign w:val="center"/>
          </w:tcPr>
          <w:p w14:paraId="0C17EB4D">
            <w:pPr>
              <w:spacing w:line="360" w:lineRule="exact"/>
              <w:jc w:val="center"/>
              <w:rPr>
                <w:rFonts w:ascii="宋体" w:hAnsi="宋体" w:cs="宋体"/>
                <w:b/>
                <w:color w:val="auto"/>
                <w:szCs w:val="21"/>
                <w:highlight w:val="none"/>
              </w:rPr>
            </w:pPr>
            <w:r>
              <w:rPr>
                <w:rFonts w:hint="eastAsia" w:ascii="宋体" w:hAnsi="宋体" w:cs="宋体"/>
                <w:b/>
                <w:bCs/>
                <w:color w:val="auto"/>
                <w:kern w:val="0"/>
                <w:szCs w:val="21"/>
                <w:highlight w:val="none"/>
                <w:shd w:val="clear" w:color="auto" w:fill="FFFFFF"/>
              </w:rPr>
              <w:t>法人指标反向测评</w:t>
            </w:r>
          </w:p>
        </w:tc>
        <w:tc>
          <w:tcPr>
            <w:tcW w:w="5054" w:type="dxa"/>
            <w:vAlign w:val="center"/>
          </w:tcPr>
          <w:p w14:paraId="2C507C29">
            <w:pPr>
              <w:tabs>
                <w:tab w:val="left" w:pos="360"/>
              </w:tabs>
              <w:spacing w:line="276" w:lineRule="auto"/>
              <w:ind w:left="420" w:hanging="420" w:hangingChars="200"/>
              <w:jc w:val="left"/>
              <w:rPr>
                <w:rFonts w:ascii="宋体" w:hAnsi="宋体" w:cs="宋体"/>
                <w:bCs/>
                <w:color w:val="auto"/>
                <w:szCs w:val="21"/>
                <w:highlight w:val="none"/>
              </w:rPr>
            </w:pPr>
            <w:r>
              <w:rPr>
                <w:rFonts w:hint="eastAsia" w:ascii="宋体" w:hAnsi="宋体" w:cs="宋体"/>
                <w:bCs/>
                <w:color w:val="auto"/>
                <w:szCs w:val="21"/>
                <w:highlight w:val="none"/>
              </w:rPr>
              <w:t>一、资本充足率：_____％；</w:t>
            </w:r>
          </w:p>
          <w:p w14:paraId="5F14FA87">
            <w:pPr>
              <w:tabs>
                <w:tab w:val="left" w:pos="360"/>
              </w:tabs>
              <w:spacing w:line="276" w:lineRule="auto"/>
              <w:ind w:left="420" w:hanging="420" w:hangingChars="200"/>
              <w:jc w:val="left"/>
              <w:rPr>
                <w:rFonts w:ascii="宋体" w:hAnsi="宋体" w:cs="宋体"/>
                <w:bCs/>
                <w:color w:val="auto"/>
                <w:szCs w:val="21"/>
                <w:highlight w:val="none"/>
              </w:rPr>
            </w:pP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rPr>
              <w:t>、拨备覆盖率：_____％；</w:t>
            </w:r>
          </w:p>
          <w:p w14:paraId="68264737">
            <w:pPr>
              <w:tabs>
                <w:tab w:val="left" w:pos="360"/>
              </w:tabs>
              <w:spacing w:line="276" w:lineRule="auto"/>
              <w:ind w:left="420" w:hanging="420" w:hangingChars="200"/>
              <w:jc w:val="left"/>
              <w:rPr>
                <w:rFonts w:hint="eastAsia" w:ascii="宋体" w:hAnsi="宋体" w:cs="宋体"/>
                <w:bCs/>
                <w:color w:val="auto"/>
                <w:szCs w:val="21"/>
                <w:highlight w:val="none"/>
              </w:rPr>
            </w:pPr>
            <w:r>
              <w:rPr>
                <w:rFonts w:hint="eastAsia" w:ascii="宋体" w:hAnsi="宋体" w:cs="宋体"/>
                <w:bCs/>
                <w:color w:val="auto"/>
                <w:szCs w:val="21"/>
                <w:highlight w:val="none"/>
                <w:lang w:val="en-US" w:eastAsia="zh-CN"/>
              </w:rPr>
              <w:t>三</w:t>
            </w:r>
            <w:r>
              <w:rPr>
                <w:rFonts w:hint="eastAsia" w:ascii="宋体" w:hAnsi="宋体" w:cs="宋体"/>
                <w:bCs/>
                <w:color w:val="auto"/>
                <w:szCs w:val="21"/>
                <w:highlight w:val="none"/>
              </w:rPr>
              <w:t>、流动性比例：_____％；</w:t>
            </w:r>
          </w:p>
          <w:p w14:paraId="73D884D2">
            <w:pPr>
              <w:pStyle w:val="2"/>
              <w:ind w:left="0" w:leftChars="0" w:firstLine="0" w:firstLineChars="0"/>
              <w:rPr>
                <w:color w:val="auto"/>
                <w:highlight w:val="none"/>
              </w:rPr>
            </w:pPr>
            <w:r>
              <w:rPr>
                <w:rFonts w:hint="eastAsia"/>
                <w:color w:val="auto"/>
                <w:highlight w:val="none"/>
                <w:lang w:val="en-US" w:eastAsia="zh-CN"/>
              </w:rPr>
              <w:t>四、</w:t>
            </w:r>
            <w:r>
              <w:rPr>
                <w:color w:val="auto"/>
                <w:highlight w:val="none"/>
              </w:rPr>
              <w:t>资产收益率指标</w:t>
            </w:r>
            <w:r>
              <w:rPr>
                <w:rFonts w:hint="eastAsia" w:ascii="宋体" w:hAnsi="宋体" w:cs="宋体"/>
                <w:bCs/>
                <w:color w:val="auto"/>
                <w:szCs w:val="21"/>
                <w:highlight w:val="none"/>
              </w:rPr>
              <w:t>：_____％；</w:t>
            </w:r>
          </w:p>
          <w:p w14:paraId="3083218C">
            <w:pPr>
              <w:spacing w:line="360" w:lineRule="exact"/>
              <w:rPr>
                <w:rFonts w:ascii="宋体" w:hAnsi="宋体" w:cs="宋体"/>
                <w:b/>
                <w:color w:val="auto"/>
                <w:szCs w:val="21"/>
                <w:highlight w:val="none"/>
              </w:rPr>
            </w:pPr>
            <w:r>
              <w:rPr>
                <w:rFonts w:hint="eastAsia" w:ascii="宋体" w:hAnsi="宋体" w:cs="宋体"/>
                <w:bCs/>
                <w:color w:val="auto"/>
                <w:szCs w:val="21"/>
                <w:highlight w:val="none"/>
              </w:rPr>
              <w:t>如本申报失实，本行自愿承担被取消中标资格等有关责任。</w:t>
            </w:r>
          </w:p>
        </w:tc>
        <w:tc>
          <w:tcPr>
            <w:tcW w:w="781" w:type="dxa"/>
            <w:vAlign w:val="center"/>
          </w:tcPr>
          <w:p w14:paraId="51E4CD26">
            <w:pPr>
              <w:spacing w:line="360" w:lineRule="exact"/>
              <w:jc w:val="center"/>
              <w:rPr>
                <w:rFonts w:ascii="宋体" w:hAnsi="宋体" w:cs="宋体"/>
                <w:b/>
                <w:color w:val="auto"/>
                <w:szCs w:val="21"/>
                <w:highlight w:val="none"/>
              </w:rPr>
            </w:pPr>
          </w:p>
        </w:tc>
      </w:tr>
      <w:tr w14:paraId="34D53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4" w:type="dxa"/>
            <w:vAlign w:val="center"/>
          </w:tcPr>
          <w:p w14:paraId="2107D600">
            <w:pPr>
              <w:spacing w:line="36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2</w:t>
            </w:r>
          </w:p>
        </w:tc>
        <w:tc>
          <w:tcPr>
            <w:tcW w:w="2971" w:type="dxa"/>
            <w:vAlign w:val="center"/>
          </w:tcPr>
          <w:p w14:paraId="34647D2D">
            <w:pPr>
              <w:spacing w:line="360" w:lineRule="exact"/>
              <w:jc w:val="center"/>
              <w:rPr>
                <w:rFonts w:ascii="宋体" w:hAnsi="宋体" w:cs="宋体"/>
                <w:b/>
                <w:bCs/>
                <w:color w:val="auto"/>
                <w:kern w:val="0"/>
                <w:szCs w:val="21"/>
                <w:highlight w:val="none"/>
                <w:shd w:val="clear" w:color="auto" w:fill="FFFFFF"/>
              </w:rPr>
            </w:pPr>
            <w:r>
              <w:rPr>
                <w:rFonts w:hint="eastAsia" w:ascii="宋体" w:hAnsi="宋体"/>
                <w:b/>
                <w:bCs/>
                <w:color w:val="auto"/>
                <w:szCs w:val="21"/>
                <w:highlight w:val="none"/>
              </w:rPr>
              <w:t>政府合作</w:t>
            </w:r>
          </w:p>
        </w:tc>
        <w:tc>
          <w:tcPr>
            <w:tcW w:w="5054" w:type="dxa"/>
            <w:vAlign w:val="center"/>
          </w:tcPr>
          <w:p w14:paraId="593EC2A0">
            <w:pPr>
              <w:spacing w:line="320" w:lineRule="exact"/>
              <w:rPr>
                <w:rFonts w:ascii="宋体" w:hAnsi="宋体" w:cs="宋体"/>
                <w:color w:val="auto"/>
                <w:kern w:val="0"/>
                <w:szCs w:val="21"/>
                <w:highlight w:val="none"/>
              </w:rPr>
            </w:pPr>
            <w:r>
              <w:rPr>
                <w:rFonts w:hint="eastAsia" w:ascii="宋体" w:hAnsi="宋体" w:cs="宋体"/>
                <w:color w:val="auto"/>
                <w:kern w:val="0"/>
                <w:szCs w:val="21"/>
                <w:highlight w:val="none"/>
              </w:rPr>
              <w:t>与温州市政府、市属机关或各县</w:t>
            </w:r>
            <w:r>
              <w:rPr>
                <w:rFonts w:ascii="宋体" w:hAnsi="宋体" w:cs="Segoe UI"/>
                <w:color w:val="auto"/>
                <w:kern w:val="0"/>
                <w:szCs w:val="21"/>
                <w:highlight w:val="none"/>
              </w:rPr>
              <w:t>(</w:t>
            </w:r>
            <w:r>
              <w:rPr>
                <w:rFonts w:hint="eastAsia" w:ascii="宋体" w:hAnsi="宋体" w:cs="宋体"/>
                <w:color w:val="auto"/>
                <w:kern w:val="0"/>
                <w:szCs w:val="21"/>
                <w:highlight w:val="none"/>
              </w:rPr>
              <w:t>市</w:t>
            </w:r>
            <w:r>
              <w:rPr>
                <w:rFonts w:ascii="宋体" w:hAnsi="宋体" w:cs="Segoe UI"/>
                <w:color w:val="auto"/>
                <w:kern w:val="0"/>
                <w:szCs w:val="21"/>
                <w:highlight w:val="none"/>
              </w:rPr>
              <w:t>)</w:t>
            </w:r>
            <w:r>
              <w:rPr>
                <w:rFonts w:hint="eastAsia" w:ascii="宋体" w:hAnsi="宋体" w:cs="宋体"/>
                <w:color w:val="auto"/>
                <w:kern w:val="0"/>
                <w:szCs w:val="21"/>
                <w:highlight w:val="none"/>
              </w:rPr>
              <w:t>政府</w:t>
            </w:r>
            <w:r>
              <w:rPr>
                <w:rFonts w:ascii="宋体" w:hAnsi="宋体" w:cs="Segoe UI"/>
                <w:color w:val="auto"/>
                <w:kern w:val="0"/>
                <w:szCs w:val="21"/>
                <w:highlight w:val="none"/>
              </w:rPr>
              <w:t>(</w:t>
            </w:r>
            <w:r>
              <w:rPr>
                <w:rFonts w:hint="eastAsia" w:ascii="宋体" w:hAnsi="宋体" w:cs="宋体"/>
                <w:color w:val="auto"/>
                <w:kern w:val="0"/>
                <w:szCs w:val="21"/>
                <w:highlight w:val="none"/>
              </w:rPr>
              <w:t>管委会</w:t>
            </w:r>
            <w:r>
              <w:rPr>
                <w:rFonts w:ascii="宋体" w:hAnsi="宋体" w:cs="Segoe UI"/>
                <w:color w:val="auto"/>
                <w:kern w:val="0"/>
                <w:szCs w:val="21"/>
                <w:highlight w:val="none"/>
              </w:rPr>
              <w:t>)</w:t>
            </w:r>
            <w:r>
              <w:rPr>
                <w:rFonts w:hint="eastAsia" w:ascii="宋体" w:hAnsi="宋体" w:cs="宋体"/>
                <w:color w:val="auto"/>
                <w:kern w:val="0"/>
                <w:szCs w:val="21"/>
                <w:highlight w:val="none"/>
              </w:rPr>
              <w:t>签署战略合作协议，共</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w:t>
            </w:r>
          </w:p>
          <w:p w14:paraId="6649EA15">
            <w:pPr>
              <w:widowControl/>
              <w:spacing w:line="276" w:lineRule="auto"/>
              <w:jc w:val="left"/>
              <w:rPr>
                <w:rFonts w:ascii="宋体" w:hAnsi="宋体" w:cs="宋体"/>
                <w:bCs/>
                <w:color w:val="auto"/>
                <w:szCs w:val="21"/>
                <w:highlight w:val="none"/>
              </w:rPr>
            </w:pPr>
            <w:r>
              <w:rPr>
                <w:rFonts w:hint="eastAsia" w:ascii="宋体" w:hAnsi="宋体" w:cs="宋体"/>
                <w:bCs/>
                <w:color w:val="auto"/>
                <w:szCs w:val="21"/>
                <w:highlight w:val="none"/>
              </w:rPr>
              <w:t>如本申报失实，本行自愿承担被取消中标资格等有关责任。</w:t>
            </w:r>
          </w:p>
        </w:tc>
        <w:tc>
          <w:tcPr>
            <w:tcW w:w="781" w:type="dxa"/>
            <w:vAlign w:val="center"/>
          </w:tcPr>
          <w:p w14:paraId="2F1F51D4">
            <w:pPr>
              <w:spacing w:line="360" w:lineRule="exact"/>
              <w:jc w:val="center"/>
              <w:rPr>
                <w:rFonts w:ascii="宋体" w:hAnsi="宋体" w:cs="宋体"/>
                <w:b/>
                <w:color w:val="auto"/>
                <w:szCs w:val="21"/>
                <w:highlight w:val="none"/>
              </w:rPr>
            </w:pPr>
          </w:p>
        </w:tc>
      </w:tr>
      <w:tr w14:paraId="7370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4" w:type="dxa"/>
            <w:vAlign w:val="center"/>
          </w:tcPr>
          <w:p w14:paraId="78ED194A">
            <w:pPr>
              <w:spacing w:line="360" w:lineRule="exact"/>
              <w:jc w:val="center"/>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3</w:t>
            </w:r>
          </w:p>
        </w:tc>
        <w:tc>
          <w:tcPr>
            <w:tcW w:w="2971" w:type="dxa"/>
            <w:vAlign w:val="center"/>
          </w:tcPr>
          <w:p w14:paraId="701AA2EB">
            <w:pPr>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投标人认为需要提供的其他响应内容</w:t>
            </w:r>
          </w:p>
        </w:tc>
        <w:tc>
          <w:tcPr>
            <w:tcW w:w="5054" w:type="dxa"/>
            <w:vAlign w:val="center"/>
          </w:tcPr>
          <w:p w14:paraId="0A5F47D1">
            <w:pPr>
              <w:spacing w:line="360" w:lineRule="exact"/>
              <w:rPr>
                <w:rFonts w:ascii="宋体" w:hAnsi="宋体" w:cs="宋体"/>
                <w:bCs/>
                <w:color w:val="auto"/>
                <w:szCs w:val="21"/>
                <w:highlight w:val="none"/>
              </w:rPr>
            </w:pPr>
          </w:p>
        </w:tc>
        <w:tc>
          <w:tcPr>
            <w:tcW w:w="781" w:type="dxa"/>
            <w:vAlign w:val="center"/>
          </w:tcPr>
          <w:p w14:paraId="29E474D6">
            <w:pPr>
              <w:spacing w:line="360" w:lineRule="exact"/>
              <w:jc w:val="center"/>
              <w:rPr>
                <w:rFonts w:ascii="宋体" w:hAnsi="宋体" w:cs="宋体"/>
                <w:b/>
                <w:bCs/>
                <w:color w:val="auto"/>
                <w:szCs w:val="21"/>
                <w:highlight w:val="none"/>
              </w:rPr>
            </w:pPr>
          </w:p>
        </w:tc>
      </w:tr>
    </w:tbl>
    <w:p w14:paraId="47E6A31A">
      <w:pPr>
        <w:spacing w:line="440" w:lineRule="exact"/>
        <w:rPr>
          <w:rFonts w:ascii="宋体" w:hAnsi="宋体" w:cs="宋体"/>
          <w:color w:val="auto"/>
          <w:szCs w:val="21"/>
          <w:highlight w:val="none"/>
        </w:rPr>
      </w:pPr>
    </w:p>
    <w:p w14:paraId="45C6A791">
      <w:pPr>
        <w:spacing w:line="440" w:lineRule="exact"/>
        <w:rPr>
          <w:rFonts w:ascii="宋体" w:hAnsi="宋体" w:cs="宋体"/>
          <w:color w:val="auto"/>
          <w:szCs w:val="21"/>
          <w:highlight w:val="none"/>
        </w:rPr>
      </w:pPr>
    </w:p>
    <w:p w14:paraId="364B1562">
      <w:pPr>
        <w:spacing w:line="440" w:lineRule="exact"/>
        <w:rPr>
          <w:rFonts w:ascii="宋体" w:hAnsi="宋体" w:cs="宋体"/>
          <w:color w:val="auto"/>
          <w:szCs w:val="21"/>
          <w:highlight w:val="none"/>
        </w:rPr>
      </w:pPr>
    </w:p>
    <w:p w14:paraId="02E9EED8">
      <w:pPr>
        <w:spacing w:line="44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说明：请在表格后面提供各项证明材料。</w:t>
      </w:r>
    </w:p>
    <w:p w14:paraId="383A1EF0">
      <w:pPr>
        <w:spacing w:line="400" w:lineRule="exact"/>
        <w:ind w:right="-21" w:rightChars="-10" w:firstLine="424" w:firstLineChars="202"/>
        <w:rPr>
          <w:rFonts w:ascii="宋体" w:hAnsi="宋体" w:cs="宋体"/>
          <w:color w:val="auto"/>
          <w:szCs w:val="21"/>
          <w:highlight w:val="none"/>
        </w:rPr>
      </w:pPr>
      <w:r>
        <w:rPr>
          <w:rFonts w:hint="eastAsia" w:ascii="宋体" w:hAnsi="宋体" w:cs="宋体"/>
          <w:color w:val="auto"/>
          <w:szCs w:val="21"/>
          <w:highlight w:val="none"/>
        </w:rPr>
        <w:t>投标人全称（公章）：</w:t>
      </w:r>
    </w:p>
    <w:p w14:paraId="0837D48E">
      <w:pPr>
        <w:spacing w:line="400" w:lineRule="exact"/>
        <w:ind w:right="-10" w:firstLine="424" w:firstLineChars="202"/>
        <w:rPr>
          <w:rFonts w:ascii="宋体" w:hAnsi="宋体" w:cs="宋体"/>
          <w:color w:val="auto"/>
          <w:szCs w:val="21"/>
          <w:highlight w:val="none"/>
        </w:rPr>
      </w:pPr>
      <w:r>
        <w:rPr>
          <w:rFonts w:hint="eastAsia" w:ascii="宋体" w:hAnsi="宋体" w:cs="宋体"/>
          <w:color w:val="auto"/>
          <w:szCs w:val="21"/>
          <w:highlight w:val="none"/>
        </w:rPr>
        <w:t>投标人全权代表（签字）：</w:t>
      </w:r>
    </w:p>
    <w:p w14:paraId="4620D8E6">
      <w:pPr>
        <w:spacing w:line="400" w:lineRule="exact"/>
        <w:ind w:firstLine="424" w:firstLineChars="202"/>
        <w:rPr>
          <w:rFonts w:ascii="宋体" w:hAnsi="宋体" w:cs="宋体"/>
          <w:color w:val="auto"/>
          <w:szCs w:val="21"/>
          <w:highlight w:val="none"/>
        </w:rPr>
      </w:pPr>
      <w:r>
        <w:rPr>
          <w:rFonts w:hint="eastAsia" w:ascii="宋体" w:hAnsi="宋体" w:cs="宋体"/>
          <w:color w:val="auto"/>
          <w:szCs w:val="21"/>
          <w:highlight w:val="none"/>
        </w:rPr>
        <w:t>日期：     年    月   日</w:t>
      </w:r>
    </w:p>
    <w:p w14:paraId="7AAEE472">
      <w:pPr>
        <w:spacing w:line="440" w:lineRule="exact"/>
        <w:rPr>
          <w:rFonts w:ascii="宋体" w:hAnsi="宋体" w:cs="宋体"/>
          <w:color w:val="auto"/>
          <w:sz w:val="22"/>
          <w:highlight w:val="none"/>
        </w:rPr>
      </w:pPr>
      <w:r>
        <w:rPr>
          <w:rFonts w:hint="eastAsia" w:ascii="宋体" w:hAnsi="宋体" w:cs="宋体"/>
          <w:color w:val="auto"/>
          <w:sz w:val="22"/>
          <w:highlight w:val="none"/>
        </w:rPr>
        <w:br w:type="page"/>
      </w:r>
      <w:r>
        <w:rPr>
          <w:rFonts w:ascii="宋体" w:hAnsi="宋体" w:cs="宋体"/>
          <w:color w:val="auto"/>
          <w:szCs w:val="21"/>
          <w:highlight w:val="none"/>
        </w:rPr>
        <w:t xml:space="preserve"> </w:t>
      </w:r>
    </w:p>
    <w:p w14:paraId="08D504ED">
      <w:pPr>
        <w:pStyle w:val="12"/>
        <w:ind w:left="1470" w:right="1470"/>
        <w:rPr>
          <w:rFonts w:ascii="宋体" w:hAnsi="宋体" w:cs="宋体"/>
          <w:color w:val="auto"/>
          <w:sz w:val="22"/>
          <w:szCs w:val="22"/>
          <w:highlight w:val="none"/>
        </w:rPr>
      </w:pPr>
    </w:p>
    <w:p w14:paraId="445BDDA2">
      <w:pPr>
        <w:pStyle w:val="12"/>
        <w:ind w:left="1470" w:right="1470"/>
        <w:rPr>
          <w:rFonts w:ascii="宋体" w:hAnsi="宋体" w:cs="宋体"/>
          <w:color w:val="auto"/>
          <w:sz w:val="22"/>
          <w:szCs w:val="22"/>
          <w:highlight w:val="none"/>
        </w:rPr>
      </w:pPr>
    </w:p>
    <w:p w14:paraId="796CB85E">
      <w:pPr>
        <w:pStyle w:val="13"/>
        <w:adjustRightInd w:val="0"/>
        <w:snapToGrid w:val="0"/>
        <w:spacing w:beforeLines="0" w:afterLines="0" w:line="460" w:lineRule="exact"/>
        <w:rPr>
          <w:rFonts w:hAnsi="宋体" w:cs="宋体"/>
          <w:b/>
          <w:bCs/>
          <w:color w:val="auto"/>
          <w:sz w:val="28"/>
          <w:szCs w:val="28"/>
          <w:highlight w:val="none"/>
        </w:rPr>
      </w:pPr>
      <w:bookmarkStart w:id="8" w:name="_Toc104902999"/>
      <w:r>
        <w:rPr>
          <w:rFonts w:hint="eastAsia" w:hAnsi="宋体" w:cs="宋体"/>
          <w:b/>
          <w:bCs/>
          <w:color w:val="auto"/>
          <w:sz w:val="28"/>
          <w:szCs w:val="28"/>
          <w:highlight w:val="none"/>
        </w:rPr>
        <w:t>（2）法人指标反向测评-证明材料</w:t>
      </w:r>
    </w:p>
    <w:p w14:paraId="2FA045DA">
      <w:pPr>
        <w:pStyle w:val="13"/>
        <w:adjustRightInd w:val="0"/>
        <w:snapToGrid w:val="0"/>
        <w:spacing w:beforeLines="0" w:afterLines="0" w:line="460" w:lineRule="exact"/>
        <w:rPr>
          <w:rFonts w:hAnsi="宋体" w:cs="宋体"/>
          <w:b/>
          <w:bCs/>
          <w:color w:val="auto"/>
          <w:sz w:val="28"/>
          <w:szCs w:val="28"/>
          <w:highlight w:val="none"/>
        </w:rPr>
      </w:pPr>
    </w:p>
    <w:p w14:paraId="0E567D75">
      <w:pPr>
        <w:pStyle w:val="13"/>
        <w:adjustRightInd w:val="0"/>
        <w:snapToGrid w:val="0"/>
        <w:spacing w:beforeLines="0" w:afterLines="0" w:line="460" w:lineRule="exact"/>
        <w:rPr>
          <w:rFonts w:hAnsi="宋体" w:cs="宋体"/>
          <w:b/>
          <w:bCs/>
          <w:color w:val="auto"/>
          <w:sz w:val="28"/>
          <w:szCs w:val="28"/>
          <w:highlight w:val="none"/>
        </w:rPr>
      </w:pPr>
    </w:p>
    <w:p w14:paraId="40204CA5">
      <w:pPr>
        <w:pStyle w:val="13"/>
        <w:adjustRightInd w:val="0"/>
        <w:snapToGrid w:val="0"/>
        <w:spacing w:beforeLines="0" w:afterLines="0" w:line="460" w:lineRule="exact"/>
        <w:rPr>
          <w:rFonts w:hAnsi="宋体" w:cs="宋体"/>
          <w:b/>
          <w:bCs/>
          <w:color w:val="auto"/>
          <w:sz w:val="28"/>
          <w:szCs w:val="28"/>
          <w:highlight w:val="none"/>
        </w:rPr>
      </w:pPr>
      <w:r>
        <w:rPr>
          <w:rFonts w:hint="eastAsia" w:hAnsi="宋体" w:cs="宋体"/>
          <w:b/>
          <w:bCs/>
          <w:color w:val="auto"/>
          <w:sz w:val="28"/>
          <w:szCs w:val="28"/>
          <w:highlight w:val="none"/>
        </w:rPr>
        <w:t>（</w:t>
      </w:r>
      <w:r>
        <w:rPr>
          <w:rFonts w:hint="eastAsia" w:hAnsi="宋体" w:cs="宋体"/>
          <w:b/>
          <w:bCs/>
          <w:color w:val="auto"/>
          <w:sz w:val="28"/>
          <w:szCs w:val="28"/>
          <w:highlight w:val="none"/>
          <w:lang w:val="en-US" w:eastAsia="zh-CN"/>
        </w:rPr>
        <w:t>3</w:t>
      </w:r>
      <w:r>
        <w:rPr>
          <w:rFonts w:hint="eastAsia" w:hAnsi="宋体" w:cs="宋体"/>
          <w:b/>
          <w:bCs/>
          <w:color w:val="auto"/>
          <w:sz w:val="28"/>
          <w:szCs w:val="28"/>
          <w:highlight w:val="none"/>
        </w:rPr>
        <w:t>）</w:t>
      </w:r>
      <w:r>
        <w:rPr>
          <w:rFonts w:hint="eastAsia" w:hAnsi="宋体"/>
          <w:b/>
          <w:bCs/>
          <w:color w:val="auto"/>
          <w:szCs w:val="21"/>
          <w:highlight w:val="none"/>
        </w:rPr>
        <w:t>政府合作</w:t>
      </w:r>
      <w:r>
        <w:rPr>
          <w:rFonts w:hint="eastAsia" w:hAnsi="宋体" w:cs="宋体"/>
          <w:b/>
          <w:bCs/>
          <w:color w:val="auto"/>
          <w:sz w:val="28"/>
          <w:szCs w:val="28"/>
          <w:highlight w:val="none"/>
        </w:rPr>
        <w:t>-证明材料</w:t>
      </w:r>
    </w:p>
    <w:p w14:paraId="3477305A">
      <w:pPr>
        <w:pStyle w:val="13"/>
        <w:adjustRightInd w:val="0"/>
        <w:snapToGrid w:val="0"/>
        <w:spacing w:beforeLines="0" w:afterLines="0" w:line="460" w:lineRule="exact"/>
        <w:jc w:val="center"/>
        <w:rPr>
          <w:rFonts w:hAnsi="宋体" w:cs="宋体"/>
          <w:b/>
          <w:bCs/>
          <w:color w:val="auto"/>
          <w:sz w:val="28"/>
          <w:szCs w:val="28"/>
          <w:highlight w:val="none"/>
        </w:rPr>
      </w:pPr>
    </w:p>
    <w:p w14:paraId="0C568077">
      <w:pPr>
        <w:pStyle w:val="13"/>
        <w:adjustRightInd w:val="0"/>
        <w:snapToGrid w:val="0"/>
        <w:spacing w:beforeLines="0" w:afterLines="0" w:line="460" w:lineRule="exact"/>
        <w:rPr>
          <w:rFonts w:hAnsi="宋体" w:cs="宋体"/>
          <w:b/>
          <w:bCs/>
          <w:color w:val="auto"/>
          <w:sz w:val="28"/>
          <w:szCs w:val="28"/>
          <w:highlight w:val="none"/>
        </w:rPr>
      </w:pPr>
    </w:p>
    <w:p w14:paraId="55725597">
      <w:pPr>
        <w:pStyle w:val="13"/>
        <w:adjustRightInd w:val="0"/>
        <w:snapToGrid w:val="0"/>
        <w:spacing w:beforeLines="0" w:afterLines="0" w:line="460" w:lineRule="exact"/>
        <w:rPr>
          <w:rFonts w:hAnsi="宋体" w:cs="宋体"/>
          <w:b/>
          <w:bCs/>
          <w:color w:val="auto"/>
          <w:sz w:val="28"/>
          <w:szCs w:val="28"/>
          <w:highlight w:val="none"/>
        </w:rPr>
      </w:pPr>
      <w:r>
        <w:rPr>
          <w:rFonts w:hint="eastAsia" w:hAnsi="宋体" w:cs="宋体"/>
          <w:b/>
          <w:bCs/>
          <w:color w:val="auto"/>
          <w:sz w:val="28"/>
          <w:szCs w:val="28"/>
          <w:highlight w:val="none"/>
        </w:rPr>
        <w:t>（</w:t>
      </w:r>
      <w:r>
        <w:rPr>
          <w:rFonts w:hint="eastAsia" w:hAnsi="宋体" w:cs="宋体"/>
          <w:b/>
          <w:bCs/>
          <w:color w:val="auto"/>
          <w:sz w:val="28"/>
          <w:szCs w:val="28"/>
          <w:highlight w:val="none"/>
          <w:lang w:val="en-US" w:eastAsia="zh-CN"/>
        </w:rPr>
        <w:t>4</w:t>
      </w:r>
      <w:r>
        <w:rPr>
          <w:rFonts w:hint="eastAsia" w:hAnsi="宋体" w:cs="宋体"/>
          <w:b/>
          <w:bCs/>
          <w:color w:val="auto"/>
          <w:sz w:val="28"/>
          <w:szCs w:val="28"/>
          <w:highlight w:val="none"/>
        </w:rPr>
        <w:t>）投标人认为需要提供的其他响应内容</w:t>
      </w:r>
    </w:p>
    <w:bookmarkEnd w:id="8"/>
    <w:p w14:paraId="697C48B8">
      <w:pPr>
        <w:widowControl/>
        <w:jc w:val="left"/>
        <w:rPr>
          <w:rFonts w:ascii="宋体" w:hAnsi="宋体" w:cs="宋体"/>
          <w:b/>
          <w:bCs/>
          <w:color w:val="auto"/>
          <w:sz w:val="28"/>
          <w:szCs w:val="28"/>
          <w:highlight w:val="none"/>
        </w:rPr>
      </w:pPr>
      <w:r>
        <w:rPr>
          <w:rFonts w:hAnsi="宋体" w:cs="宋体"/>
          <w:b/>
          <w:bCs/>
          <w:color w:val="auto"/>
          <w:sz w:val="28"/>
          <w:szCs w:val="28"/>
          <w:highlight w:val="none"/>
        </w:rPr>
        <w:br w:type="page"/>
      </w:r>
    </w:p>
    <w:p w14:paraId="796F7731">
      <w:pPr>
        <w:pStyle w:val="13"/>
        <w:adjustRightInd w:val="0"/>
        <w:snapToGrid w:val="0"/>
        <w:spacing w:beforeLines="0" w:afterLines="0" w:line="460" w:lineRule="exact"/>
        <w:jc w:val="center"/>
        <w:rPr>
          <w:color w:val="auto"/>
          <w:highlight w:val="none"/>
        </w:rPr>
      </w:pPr>
    </w:p>
    <w:p w14:paraId="656A3681">
      <w:pPr>
        <w:pStyle w:val="13"/>
        <w:adjustRightInd w:val="0"/>
        <w:snapToGrid w:val="0"/>
        <w:spacing w:before="120" w:after="120" w:line="460" w:lineRule="exact"/>
        <w:jc w:val="center"/>
        <w:rPr>
          <w:b/>
          <w:color w:val="auto"/>
          <w:sz w:val="28"/>
          <w:szCs w:val="28"/>
          <w:highlight w:val="none"/>
        </w:rPr>
      </w:pPr>
      <w:r>
        <w:rPr>
          <w:rFonts w:hint="eastAsia"/>
          <w:b/>
          <w:color w:val="auto"/>
          <w:sz w:val="28"/>
          <w:szCs w:val="28"/>
          <w:highlight w:val="none"/>
        </w:rPr>
        <w:t>以下内容根据评分格式自拟</w:t>
      </w:r>
    </w:p>
    <w:p w14:paraId="7DB9F5C8">
      <w:pPr>
        <w:pStyle w:val="13"/>
        <w:adjustRightInd w:val="0"/>
        <w:snapToGrid w:val="0"/>
        <w:spacing w:before="120" w:after="120" w:line="460" w:lineRule="exact"/>
        <w:jc w:val="center"/>
        <w:rPr>
          <w:color w:val="auto"/>
          <w:sz w:val="28"/>
          <w:szCs w:val="28"/>
          <w:highlight w:val="none"/>
        </w:rPr>
      </w:pPr>
    </w:p>
    <w:p w14:paraId="3503B4E7">
      <w:pPr>
        <w:pStyle w:val="13"/>
        <w:adjustRightInd w:val="0"/>
        <w:snapToGrid w:val="0"/>
        <w:spacing w:before="120" w:after="120" w:line="460" w:lineRule="exact"/>
        <w:jc w:val="center"/>
        <w:rPr>
          <w:color w:val="auto"/>
          <w:sz w:val="28"/>
          <w:szCs w:val="28"/>
          <w:highlight w:val="none"/>
        </w:rPr>
      </w:pPr>
    </w:p>
    <w:p w14:paraId="39CAB5B8">
      <w:pPr>
        <w:pStyle w:val="13"/>
        <w:adjustRightInd w:val="0"/>
        <w:snapToGrid w:val="0"/>
        <w:spacing w:before="120" w:after="120" w:line="460" w:lineRule="exact"/>
        <w:jc w:val="center"/>
        <w:rPr>
          <w:color w:val="auto"/>
          <w:sz w:val="28"/>
          <w:szCs w:val="28"/>
          <w:highlight w:val="none"/>
        </w:rPr>
      </w:pPr>
    </w:p>
    <w:p w14:paraId="081C27C9">
      <w:pPr>
        <w:pStyle w:val="13"/>
        <w:adjustRightInd w:val="0"/>
        <w:snapToGrid w:val="0"/>
        <w:spacing w:before="120" w:after="120" w:line="460" w:lineRule="exact"/>
        <w:jc w:val="center"/>
        <w:rPr>
          <w:color w:val="auto"/>
          <w:sz w:val="28"/>
          <w:szCs w:val="28"/>
          <w:highlight w:val="none"/>
        </w:rPr>
      </w:pPr>
      <w:r>
        <w:rPr>
          <w:rFonts w:hint="eastAsia"/>
          <w:color w:val="auto"/>
          <w:sz w:val="28"/>
          <w:szCs w:val="28"/>
          <w:highlight w:val="none"/>
        </w:rPr>
        <w:t>便捷业务服务及对公账号收费减免</w:t>
      </w:r>
    </w:p>
    <w:p w14:paraId="5AB2CC99">
      <w:pPr>
        <w:pStyle w:val="13"/>
        <w:adjustRightInd w:val="0"/>
        <w:snapToGrid w:val="0"/>
        <w:spacing w:beforeLines="0" w:afterLines="0" w:line="460" w:lineRule="exact"/>
        <w:jc w:val="center"/>
        <w:rPr>
          <w:color w:val="auto"/>
          <w:sz w:val="28"/>
          <w:szCs w:val="28"/>
          <w:highlight w:val="none"/>
        </w:rPr>
      </w:pPr>
    </w:p>
    <w:p w14:paraId="5D5C9680">
      <w:pPr>
        <w:pStyle w:val="13"/>
        <w:adjustRightInd w:val="0"/>
        <w:snapToGrid w:val="0"/>
        <w:spacing w:beforeLines="0" w:afterLines="0" w:line="460" w:lineRule="exact"/>
        <w:jc w:val="center"/>
        <w:rPr>
          <w:color w:val="auto"/>
          <w:sz w:val="28"/>
          <w:szCs w:val="28"/>
          <w:highlight w:val="none"/>
        </w:rPr>
      </w:pPr>
      <w:r>
        <w:rPr>
          <w:rFonts w:hint="eastAsia"/>
          <w:color w:val="auto"/>
          <w:sz w:val="28"/>
          <w:szCs w:val="28"/>
          <w:highlight w:val="none"/>
        </w:rPr>
        <w:t>服务承诺</w:t>
      </w:r>
    </w:p>
    <w:sectPr>
      <w:footerReference r:id="rId3" w:type="default"/>
      <w:pgSz w:w="11906" w:h="16838"/>
      <w:pgMar w:top="1247" w:right="1247" w:bottom="1247" w:left="1247" w:header="851" w:footer="85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0E562">
    <w:pPr>
      <w:pStyle w:val="14"/>
      <w:framePr w:wrap="around" w:vAnchor="text" w:hAnchor="margin" w:xAlign="center" w:y="1"/>
      <w:rPr>
        <w:rStyle w:val="20"/>
      </w:rPr>
    </w:pPr>
    <w:r>
      <w:fldChar w:fldCharType="begin"/>
    </w:r>
    <w:r>
      <w:rPr>
        <w:rStyle w:val="20"/>
      </w:rPr>
      <w:instrText xml:space="preserve">PAGE  </w:instrText>
    </w:r>
    <w:r>
      <w:fldChar w:fldCharType="separate"/>
    </w:r>
    <w:r>
      <w:rPr>
        <w:rStyle w:val="20"/>
      </w:rPr>
      <w:t>3</w:t>
    </w:r>
    <w:r>
      <w:fldChar w:fldCharType="end"/>
    </w:r>
  </w:p>
  <w:p w14:paraId="303808F6">
    <w:pPr>
      <w:pStyle w:val="1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D9670F"/>
    <w:multiLevelType w:val="singleLevel"/>
    <w:tmpl w:val="BCD9670F"/>
    <w:lvl w:ilvl="0" w:tentative="0">
      <w:start w:val="1"/>
      <w:numFmt w:val="decimal"/>
      <w:suff w:val="nothing"/>
      <w:lvlText w:val="%1．"/>
      <w:lvlJc w:val="left"/>
      <w:pPr>
        <w:ind w:left="0" w:firstLine="400"/>
      </w:pPr>
      <w:rPr>
        <w:rFonts w:hint="default"/>
      </w:rPr>
    </w:lvl>
  </w:abstractNum>
  <w:abstractNum w:abstractNumId="1">
    <w:nsid w:val="DEE020B2"/>
    <w:multiLevelType w:val="singleLevel"/>
    <w:tmpl w:val="DEE020B2"/>
    <w:lvl w:ilvl="0" w:tentative="0">
      <w:start w:val="1"/>
      <w:numFmt w:val="decimal"/>
      <w:pStyle w:val="5"/>
      <w:lvlText w:val="%1."/>
      <w:lvlJc w:val="left"/>
      <w:pPr>
        <w:tabs>
          <w:tab w:val="left" w:pos="360"/>
        </w:tabs>
        <w:ind w:left="360" w:hanging="360"/>
      </w:pPr>
    </w:lvl>
  </w:abstractNum>
  <w:abstractNum w:abstractNumId="2">
    <w:nsid w:val="00000002"/>
    <w:multiLevelType w:val="multilevel"/>
    <w:tmpl w:val="00000002"/>
    <w:lvl w:ilvl="0" w:tentative="0">
      <w:start w:val="1"/>
      <w:numFmt w:val="chineseCountingThousand"/>
      <w:pStyle w:val="3"/>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default" w:ascii="Arial" w:hAnsi="Arial"/>
      </w:rPr>
    </w:lvl>
    <w:lvl w:ilvl="4" w:tentative="0">
      <w:start w:val="1"/>
      <w:numFmt w:val="decimal"/>
      <w:lvlText w:val="%1.%2.%3.%4.%5"/>
      <w:lvlJc w:val="left"/>
      <w:pPr>
        <w:tabs>
          <w:tab w:val="left" w:pos="1150"/>
        </w:tabs>
        <w:ind w:left="1150"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2ECA4D65"/>
    <w:multiLevelType w:val="singleLevel"/>
    <w:tmpl w:val="2ECA4D65"/>
    <w:lvl w:ilvl="0" w:tentative="0">
      <w:start w:val="2"/>
      <w:numFmt w:val="decimal"/>
      <w:lvlText w:val="%1."/>
      <w:lvlJc w:val="left"/>
      <w:pPr>
        <w:tabs>
          <w:tab w:val="left" w:pos="312"/>
        </w:tabs>
      </w:pPr>
    </w:lvl>
  </w:abstractNum>
  <w:abstractNum w:abstractNumId="4">
    <w:nsid w:val="3DB24FED"/>
    <w:multiLevelType w:val="singleLevel"/>
    <w:tmpl w:val="3DB24FED"/>
    <w:lvl w:ilvl="0" w:tentative="0">
      <w:start w:val="1"/>
      <w:numFmt w:val="decimal"/>
      <w:suff w:val="space"/>
      <w:lvlText w:val="%1."/>
      <w:lvlJc w:val="left"/>
    </w:lvl>
  </w:abstractNum>
  <w:abstractNum w:abstractNumId="5">
    <w:nsid w:val="4C8847C3"/>
    <w:multiLevelType w:val="singleLevel"/>
    <w:tmpl w:val="4C8847C3"/>
    <w:lvl w:ilvl="0" w:tentative="0">
      <w:start w:val="2"/>
      <w:numFmt w:val="chineseCounting"/>
      <w:suff w:val="nothing"/>
      <w:lvlText w:val="（%1）"/>
      <w:lvlJc w:val="left"/>
      <w:rPr>
        <w:rFonts w:hint="eastAsia"/>
      </w:rPr>
    </w:lvl>
  </w:abstractNum>
  <w:abstractNum w:abstractNumId="6">
    <w:nsid w:val="6C88E2AE"/>
    <w:multiLevelType w:val="singleLevel"/>
    <w:tmpl w:val="6C88E2AE"/>
    <w:lvl w:ilvl="0" w:tentative="0">
      <w:start w:val="1"/>
      <w:numFmt w:val="decimal"/>
      <w:suff w:val="nothing"/>
      <w:lvlText w:val="%1．"/>
      <w:lvlJc w:val="left"/>
      <w:pPr>
        <w:ind w:left="20" w:firstLine="400"/>
      </w:pPr>
      <w:rPr>
        <w:rFonts w:hint="default"/>
      </w:rPr>
    </w:lvl>
  </w:abstractNum>
  <w:abstractNum w:abstractNumId="7">
    <w:nsid w:val="7925258D"/>
    <w:multiLevelType w:val="singleLevel"/>
    <w:tmpl w:val="7925258D"/>
    <w:lvl w:ilvl="0" w:tentative="0">
      <w:start w:val="5"/>
      <w:numFmt w:val="chineseCounting"/>
      <w:suff w:val="space"/>
      <w:lvlText w:val="第%1章"/>
      <w:lvlJc w:val="left"/>
      <w:rPr>
        <w:rFonts w:hint="eastAsia"/>
      </w:rPr>
    </w:lvl>
  </w:abstractNum>
  <w:num w:numId="1">
    <w:abstractNumId w:val="2"/>
  </w:num>
  <w:num w:numId="2">
    <w:abstractNumId w:val="1"/>
  </w:num>
  <w:num w:numId="3">
    <w:abstractNumId w:val="0"/>
  </w:num>
  <w:num w:numId="4">
    <w:abstractNumId w:val="5"/>
  </w:num>
  <w:num w:numId="5">
    <w:abstractNumId w:val="3"/>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yOTEzYzA0OTU5OTkxMmM0NzQ3MDQ0MTJlZTdlMGYifQ=="/>
  </w:docVars>
  <w:rsids>
    <w:rsidRoot w:val="005206A7"/>
    <w:rsid w:val="00052D87"/>
    <w:rsid w:val="000C4B13"/>
    <w:rsid w:val="000E011F"/>
    <w:rsid w:val="00100ECF"/>
    <w:rsid w:val="0013203B"/>
    <w:rsid w:val="00141AC5"/>
    <w:rsid w:val="00156BC5"/>
    <w:rsid w:val="00157730"/>
    <w:rsid w:val="00177B65"/>
    <w:rsid w:val="001A132F"/>
    <w:rsid w:val="001A72BC"/>
    <w:rsid w:val="002075D3"/>
    <w:rsid w:val="00272F1C"/>
    <w:rsid w:val="00290139"/>
    <w:rsid w:val="002D7C9E"/>
    <w:rsid w:val="002E29F6"/>
    <w:rsid w:val="002F642B"/>
    <w:rsid w:val="002F6E7B"/>
    <w:rsid w:val="003009CC"/>
    <w:rsid w:val="0033171E"/>
    <w:rsid w:val="00334B6B"/>
    <w:rsid w:val="00340A6D"/>
    <w:rsid w:val="003476EC"/>
    <w:rsid w:val="00360229"/>
    <w:rsid w:val="0038012E"/>
    <w:rsid w:val="003F6A73"/>
    <w:rsid w:val="003F7E84"/>
    <w:rsid w:val="00402F5E"/>
    <w:rsid w:val="0045171A"/>
    <w:rsid w:val="00470E54"/>
    <w:rsid w:val="00482CE6"/>
    <w:rsid w:val="00485FC7"/>
    <w:rsid w:val="004E2EBB"/>
    <w:rsid w:val="004E40C5"/>
    <w:rsid w:val="004E558C"/>
    <w:rsid w:val="005206A7"/>
    <w:rsid w:val="00536216"/>
    <w:rsid w:val="00542F9A"/>
    <w:rsid w:val="00555C85"/>
    <w:rsid w:val="00562D9C"/>
    <w:rsid w:val="00594E29"/>
    <w:rsid w:val="005B0571"/>
    <w:rsid w:val="005C472D"/>
    <w:rsid w:val="006A3312"/>
    <w:rsid w:val="006B68B0"/>
    <w:rsid w:val="006D3381"/>
    <w:rsid w:val="006F7A32"/>
    <w:rsid w:val="007D35FF"/>
    <w:rsid w:val="007E0120"/>
    <w:rsid w:val="007F1078"/>
    <w:rsid w:val="00820FAB"/>
    <w:rsid w:val="0083190A"/>
    <w:rsid w:val="00952D2A"/>
    <w:rsid w:val="0095345E"/>
    <w:rsid w:val="00975572"/>
    <w:rsid w:val="009A3212"/>
    <w:rsid w:val="009B0676"/>
    <w:rsid w:val="009B7D23"/>
    <w:rsid w:val="009D638D"/>
    <w:rsid w:val="009F04BD"/>
    <w:rsid w:val="00A4743D"/>
    <w:rsid w:val="00A537A6"/>
    <w:rsid w:val="00AB494D"/>
    <w:rsid w:val="00AF3526"/>
    <w:rsid w:val="00B12270"/>
    <w:rsid w:val="00B375A1"/>
    <w:rsid w:val="00B63F87"/>
    <w:rsid w:val="00BB6A19"/>
    <w:rsid w:val="00BB7AE0"/>
    <w:rsid w:val="00C53288"/>
    <w:rsid w:val="00C57EDA"/>
    <w:rsid w:val="00C649D3"/>
    <w:rsid w:val="00CC3614"/>
    <w:rsid w:val="00CD4C1D"/>
    <w:rsid w:val="00CD6662"/>
    <w:rsid w:val="00D00133"/>
    <w:rsid w:val="00D20527"/>
    <w:rsid w:val="00D20C7D"/>
    <w:rsid w:val="00D53815"/>
    <w:rsid w:val="00D925DF"/>
    <w:rsid w:val="00D92F81"/>
    <w:rsid w:val="00DA42C5"/>
    <w:rsid w:val="00DB1D33"/>
    <w:rsid w:val="00DB7615"/>
    <w:rsid w:val="00E01577"/>
    <w:rsid w:val="00E164D3"/>
    <w:rsid w:val="00E26B4F"/>
    <w:rsid w:val="00E56416"/>
    <w:rsid w:val="00E63E71"/>
    <w:rsid w:val="00E82B46"/>
    <w:rsid w:val="00EB036F"/>
    <w:rsid w:val="00EB4275"/>
    <w:rsid w:val="00EC207F"/>
    <w:rsid w:val="00EF4D1E"/>
    <w:rsid w:val="00F03656"/>
    <w:rsid w:val="00F270AA"/>
    <w:rsid w:val="00F318B7"/>
    <w:rsid w:val="00F42072"/>
    <w:rsid w:val="00F53D16"/>
    <w:rsid w:val="00F84CC1"/>
    <w:rsid w:val="00FD5B3B"/>
    <w:rsid w:val="011735CB"/>
    <w:rsid w:val="0598358F"/>
    <w:rsid w:val="0860699A"/>
    <w:rsid w:val="08D535AB"/>
    <w:rsid w:val="0EB13CB5"/>
    <w:rsid w:val="0FD20830"/>
    <w:rsid w:val="10D560B2"/>
    <w:rsid w:val="126914D9"/>
    <w:rsid w:val="12DE15D3"/>
    <w:rsid w:val="147E306D"/>
    <w:rsid w:val="14B545B5"/>
    <w:rsid w:val="14E5491C"/>
    <w:rsid w:val="1515490C"/>
    <w:rsid w:val="17A50911"/>
    <w:rsid w:val="21C4469A"/>
    <w:rsid w:val="22ED35D3"/>
    <w:rsid w:val="26DC3C24"/>
    <w:rsid w:val="277F1B6D"/>
    <w:rsid w:val="2B4552CB"/>
    <w:rsid w:val="2C0E487F"/>
    <w:rsid w:val="2C235B33"/>
    <w:rsid w:val="2C666469"/>
    <w:rsid w:val="2DEE792B"/>
    <w:rsid w:val="2E77346C"/>
    <w:rsid w:val="2ECB03C6"/>
    <w:rsid w:val="2F5910E2"/>
    <w:rsid w:val="30AE6631"/>
    <w:rsid w:val="30BA5C28"/>
    <w:rsid w:val="311F3FF9"/>
    <w:rsid w:val="333A001E"/>
    <w:rsid w:val="37AC6982"/>
    <w:rsid w:val="37FB45A5"/>
    <w:rsid w:val="38426BDF"/>
    <w:rsid w:val="389B5132"/>
    <w:rsid w:val="39571632"/>
    <w:rsid w:val="3C254166"/>
    <w:rsid w:val="3C6616AC"/>
    <w:rsid w:val="3CD1058C"/>
    <w:rsid w:val="3EB05890"/>
    <w:rsid w:val="403910DF"/>
    <w:rsid w:val="41EB7CFE"/>
    <w:rsid w:val="423C3AD4"/>
    <w:rsid w:val="453C3DB3"/>
    <w:rsid w:val="465502A3"/>
    <w:rsid w:val="4757421A"/>
    <w:rsid w:val="4C0B7BC5"/>
    <w:rsid w:val="4CB1585A"/>
    <w:rsid w:val="4CD40D75"/>
    <w:rsid w:val="4DEB083B"/>
    <w:rsid w:val="4E9133C2"/>
    <w:rsid w:val="50A53155"/>
    <w:rsid w:val="51090659"/>
    <w:rsid w:val="51BB7C21"/>
    <w:rsid w:val="54461561"/>
    <w:rsid w:val="548876D5"/>
    <w:rsid w:val="55F629D4"/>
    <w:rsid w:val="56876E58"/>
    <w:rsid w:val="56A36689"/>
    <w:rsid w:val="59967ADE"/>
    <w:rsid w:val="5ACB6C5D"/>
    <w:rsid w:val="5F6F1993"/>
    <w:rsid w:val="616A3AEB"/>
    <w:rsid w:val="620F3DC2"/>
    <w:rsid w:val="62DF61F0"/>
    <w:rsid w:val="64830C9E"/>
    <w:rsid w:val="64EF6FEA"/>
    <w:rsid w:val="6553660A"/>
    <w:rsid w:val="655914B5"/>
    <w:rsid w:val="65F35474"/>
    <w:rsid w:val="65FD2650"/>
    <w:rsid w:val="678639FC"/>
    <w:rsid w:val="67B664A1"/>
    <w:rsid w:val="68785735"/>
    <w:rsid w:val="69050BF1"/>
    <w:rsid w:val="69C062E9"/>
    <w:rsid w:val="6A6C74BF"/>
    <w:rsid w:val="6BB67B6C"/>
    <w:rsid w:val="6E523A71"/>
    <w:rsid w:val="6F831A58"/>
    <w:rsid w:val="72914FA8"/>
    <w:rsid w:val="72E54EA0"/>
    <w:rsid w:val="74C2364D"/>
    <w:rsid w:val="754925D4"/>
    <w:rsid w:val="77945A6C"/>
    <w:rsid w:val="7853714E"/>
    <w:rsid w:val="788479B5"/>
    <w:rsid w:val="7A0B1E21"/>
    <w:rsid w:val="7CCC54C1"/>
    <w:rsid w:val="7F594E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Arial"/>
      <w:kern w:val="2"/>
      <w:sz w:val="21"/>
      <w:szCs w:val="22"/>
      <w:lang w:val="en-US" w:eastAsia="zh-CN" w:bidi="ar-SA"/>
    </w:rPr>
  </w:style>
  <w:style w:type="paragraph" w:styleId="3">
    <w:name w:val="heading 1"/>
    <w:basedOn w:val="1"/>
    <w:next w:val="1"/>
    <w:qFormat/>
    <w:uiPriority w:val="0"/>
    <w:pPr>
      <w:numPr>
        <w:ilvl w:val="0"/>
        <w:numId w:val="1"/>
      </w:numPr>
      <w:autoSpaceDE w:val="0"/>
      <w:autoSpaceDN w:val="0"/>
      <w:adjustRightInd w:val="0"/>
      <w:spacing w:line="360" w:lineRule="auto"/>
      <w:jc w:val="center"/>
      <w:outlineLvl w:val="0"/>
    </w:pPr>
    <w:rPr>
      <w:rFonts w:ascii="Calibri" w:hAnsi="Calibri" w:eastAsia="隶书"/>
      <w:b/>
      <w:bCs/>
      <w:kern w:val="0"/>
      <w:sz w:val="36"/>
      <w:szCs w:val="36"/>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12" w:lineRule="atLeast"/>
      <w:ind w:firstLine="420"/>
      <w:textAlignment w:val="baseline"/>
    </w:pPr>
    <w:rPr>
      <w:kern w:val="0"/>
      <w:szCs w:val="20"/>
    </w:rPr>
  </w:style>
  <w:style w:type="paragraph" w:styleId="5">
    <w:name w:val="List Number"/>
    <w:basedOn w:val="1"/>
    <w:qFormat/>
    <w:uiPriority w:val="0"/>
    <w:pPr>
      <w:numPr>
        <w:ilvl w:val="0"/>
        <w:numId w:val="2"/>
      </w:numPr>
    </w:pPr>
  </w:style>
  <w:style w:type="paragraph" w:styleId="6">
    <w:name w:val="caption"/>
    <w:basedOn w:val="1"/>
    <w:next w:val="1"/>
    <w:qFormat/>
    <w:uiPriority w:val="0"/>
    <w:rPr>
      <w:rFonts w:ascii="Arial" w:hAnsi="Arial" w:eastAsia="黑体"/>
      <w:sz w:val="20"/>
      <w:szCs w:val="20"/>
    </w:rPr>
  </w:style>
  <w:style w:type="paragraph" w:styleId="7">
    <w:name w:val="annotation text"/>
    <w:basedOn w:val="1"/>
    <w:qFormat/>
    <w:uiPriority w:val="0"/>
    <w:pPr>
      <w:jc w:val="left"/>
    </w:pPr>
  </w:style>
  <w:style w:type="paragraph" w:styleId="8">
    <w:name w:val="Body Text"/>
    <w:basedOn w:val="1"/>
    <w:next w:val="9"/>
    <w:qFormat/>
    <w:uiPriority w:val="0"/>
    <w:pPr>
      <w:spacing w:after="120"/>
    </w:pPr>
  </w:style>
  <w:style w:type="paragraph" w:styleId="9">
    <w:name w:val="Body Text First Indent"/>
    <w:basedOn w:val="8"/>
    <w:next w:val="1"/>
    <w:qFormat/>
    <w:uiPriority w:val="0"/>
    <w:pPr>
      <w:ind w:firstLine="420" w:firstLineChars="100"/>
    </w:pPr>
    <w:rPr>
      <w:rFonts w:ascii="仿宋_GB2312" w:hAnsi="宋体" w:eastAsia="仿宋_GB2312"/>
      <w:b/>
      <w:color w:val="000000"/>
      <w:kern w:val="0"/>
    </w:rPr>
  </w:style>
  <w:style w:type="paragraph" w:styleId="10">
    <w:name w:val="Body Text Indent"/>
    <w:basedOn w:val="1"/>
    <w:next w:val="1"/>
    <w:qFormat/>
    <w:uiPriority w:val="0"/>
    <w:pPr>
      <w:spacing w:line="200" w:lineRule="exact"/>
      <w:ind w:firstLine="301"/>
    </w:pPr>
    <w:rPr>
      <w:rFonts w:ascii="宋体" w:hAnsi="Courier New"/>
      <w:spacing w:val="-4"/>
      <w:sz w:val="18"/>
      <w:szCs w:val="20"/>
    </w:rPr>
  </w:style>
  <w:style w:type="paragraph" w:styleId="11">
    <w:name w:val="List 2"/>
    <w:basedOn w:val="1"/>
    <w:qFormat/>
    <w:uiPriority w:val="0"/>
    <w:pPr>
      <w:ind w:left="100" w:leftChars="200" w:hanging="200" w:hangingChars="200"/>
    </w:pPr>
    <w:rPr>
      <w:sz w:val="28"/>
      <w:szCs w:val="24"/>
    </w:rPr>
  </w:style>
  <w:style w:type="paragraph" w:styleId="12">
    <w:name w:val="Block Text"/>
    <w:basedOn w:val="1"/>
    <w:qFormat/>
    <w:uiPriority w:val="0"/>
    <w:pPr>
      <w:ind w:left="1440" w:leftChars="700" w:right="1440" w:rightChars="700"/>
    </w:pPr>
    <w:rPr>
      <w:sz w:val="24"/>
      <w:szCs w:val="20"/>
    </w:rPr>
  </w:style>
  <w:style w:type="paragraph" w:styleId="13">
    <w:name w:val="Plain Text"/>
    <w:basedOn w:val="1"/>
    <w:qFormat/>
    <w:uiPriority w:val="0"/>
    <w:pPr>
      <w:spacing w:beforeLines="50" w:afterLines="50" w:line="400" w:lineRule="exact"/>
    </w:pPr>
    <w:rPr>
      <w:rFonts w:ascii="宋体" w:hAnsi="Courier New"/>
      <w:sz w:val="24"/>
      <w:szCs w:val="24"/>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Normal (Web)"/>
    <w:basedOn w:val="1"/>
    <w:qFormat/>
    <w:uiPriority w:val="99"/>
    <w:pPr>
      <w:widowControl/>
      <w:spacing w:beforeAutospacing="1" w:afterAutospacing="1"/>
      <w:jc w:val="left"/>
    </w:pPr>
    <w:rPr>
      <w:rFonts w:ascii="宋体" w:hAnsi="宋体" w:cs="宋体"/>
      <w:kern w:val="0"/>
      <w:sz w:val="24"/>
      <w:szCs w:val="24"/>
    </w:rPr>
  </w:style>
  <w:style w:type="character" w:styleId="20">
    <w:name w:val="page number"/>
    <w:qFormat/>
    <w:uiPriority w:val="0"/>
  </w:style>
  <w:style w:type="character" w:styleId="21">
    <w:name w:val="Hyperlink"/>
    <w:qFormat/>
    <w:uiPriority w:val="99"/>
    <w:rPr>
      <w:color w:val="0000FF"/>
      <w:u w:val="single"/>
    </w:rPr>
  </w:style>
  <w:style w:type="paragraph" w:customStyle="1" w:styleId="22">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character" w:customStyle="1" w:styleId="23">
    <w:name w:val="NormalCharacter"/>
    <w:qFormat/>
    <w:uiPriority w:val="0"/>
    <w:rPr>
      <w:rFonts w:ascii="Times New Roman" w:hAnsi="Times New Roman" w:eastAsia="宋体"/>
      <w:lang w:val="en-US"/>
    </w:rPr>
  </w:style>
  <w:style w:type="paragraph" w:customStyle="1" w:styleId="24">
    <w:name w:val="Default"/>
    <w:next w:val="25"/>
    <w:qFormat/>
    <w:uiPriority w:val="0"/>
    <w:pPr>
      <w:widowControl w:val="0"/>
      <w:autoSpaceDE w:val="0"/>
      <w:autoSpaceDN w:val="0"/>
      <w:adjustRightInd w:val="0"/>
    </w:pPr>
    <w:rPr>
      <w:rFonts w:ascii="楷体" w:hAnsi="Calibri" w:eastAsia="楷体" w:cs="楷体"/>
      <w:color w:val="000000"/>
      <w:sz w:val="24"/>
      <w:szCs w:val="24"/>
      <w:lang w:val="en-US" w:eastAsia="zh-CN" w:bidi="ar-SA"/>
    </w:rPr>
  </w:style>
  <w:style w:type="paragraph" w:customStyle="1" w:styleId="2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6">
    <w:name w:val="表格文字"/>
    <w:basedOn w:val="13"/>
    <w:next w:val="8"/>
    <w:qFormat/>
    <w:uiPriority w:val="0"/>
    <w:pPr>
      <w:jc w:val="left"/>
    </w:pPr>
    <w:rPr>
      <w:rFonts w:hAnsi="宋体"/>
      <w:szCs w:val="21"/>
    </w:rPr>
  </w:style>
  <w:style w:type="character" w:customStyle="1" w:styleId="27">
    <w:name w:val="页眉 Char"/>
    <w:basedOn w:val="19"/>
    <w:link w:val="15"/>
    <w:qFormat/>
    <w:uiPriority w:val="0"/>
    <w:rPr>
      <w:rFonts w:ascii="Times New Roman" w:hAnsi="Times New Roman" w:eastAsia="宋体" w:cs="Arial"/>
      <w:kern w:val="2"/>
      <w:sz w:val="18"/>
      <w:szCs w:val="18"/>
    </w:rPr>
  </w:style>
  <w:style w:type="paragraph" w:customStyle="1" w:styleId="28">
    <w:name w:val="List Paragraph_ca8288d8-c0c6-4159-a50e-cd9acc08a3ba"/>
    <w:basedOn w:val="1"/>
    <w:qFormat/>
    <w:uiPriority w:val="34"/>
    <w:pPr>
      <w:ind w:firstLine="420" w:firstLineChars="200"/>
    </w:pPr>
    <w:rPr>
      <w:rFonts w:ascii="Calibri" w:hAnsi="Calibri" w:cs="Times New Roman"/>
    </w:rPr>
  </w:style>
  <w:style w:type="paragraph" w:styleId="2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17143</Words>
  <Characters>18096</Characters>
  <Lines>144</Lines>
  <Paragraphs>40</Paragraphs>
  <TotalTime>83</TotalTime>
  <ScaleCrop>false</ScaleCrop>
  <LinksUpToDate>false</LinksUpToDate>
  <CharactersWithSpaces>18972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2022-11-15T09:21:00Z</dcterms:created>
  <dc:creator>dell</dc:creator>
  <cp:lastModifiedBy>Administrator</cp:lastModifiedBy>
  <dcterms:modified xsi:type="dcterms:W3CDTF">2025-01-23T02:52:30Z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F623B8730E764BC5B4AA004454084043_13</vt:lpwstr>
  </property>
  <property fmtid="{D5CDD505-2E9C-101B-9397-08002B2CF9AE}" pid="4" name="KSOTemplateDocerSaveRecord">
    <vt:lpwstr>eyJoZGlkIjoiYzRiNzgzMGE2ODU2OGRmMGZlNTUyNmNmYzIyYzc0NjcifQ==</vt:lpwstr>
  </property>
</Properties>
</file>