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color w:val="auto"/>
          <w:sz w:val="28"/>
          <w:szCs w:val="28"/>
        </w:rPr>
      </w:pPr>
    </w:p>
    <w:p>
      <w:pPr>
        <w:pStyle w:val="12"/>
        <w:spacing w:line="360" w:lineRule="auto"/>
        <w:rPr>
          <w:rFonts w:ascii="宋体" w:hAnsi="宋体"/>
          <w:b/>
          <w:color w:val="auto"/>
          <w:sz w:val="28"/>
          <w:szCs w:val="28"/>
        </w:rPr>
      </w:pPr>
    </w:p>
    <w:p>
      <w:pPr>
        <w:spacing w:line="700" w:lineRule="exact"/>
        <w:jc w:val="center"/>
        <w:rPr>
          <w:rFonts w:ascii="宋体" w:hAnsi="宋体"/>
          <w:b/>
          <w:color w:val="auto"/>
          <w:sz w:val="56"/>
          <w:szCs w:val="48"/>
        </w:rPr>
      </w:pPr>
      <w:r>
        <w:rPr>
          <w:rFonts w:hint="eastAsia" w:ascii="宋体" w:hAnsi="宋体"/>
          <w:b/>
          <w:color w:val="auto"/>
          <w:sz w:val="52"/>
          <w:szCs w:val="44"/>
        </w:rPr>
        <w:t>北京大学宁波海洋药物研究院基本存款账户项目</w:t>
      </w:r>
    </w:p>
    <w:p>
      <w:pPr>
        <w:spacing w:line="360" w:lineRule="auto"/>
        <w:jc w:val="left"/>
        <w:rPr>
          <w:rFonts w:ascii="宋体" w:hAnsi="宋体"/>
          <w:b/>
          <w:color w:val="auto"/>
          <w:sz w:val="44"/>
        </w:rPr>
      </w:pPr>
    </w:p>
    <w:p>
      <w:pPr>
        <w:pStyle w:val="12"/>
        <w:spacing w:line="360" w:lineRule="auto"/>
        <w:rPr>
          <w:rFonts w:ascii="宋体" w:hAnsi="宋体"/>
          <w:color w:val="auto"/>
        </w:rPr>
      </w:pPr>
    </w:p>
    <w:p>
      <w:pPr>
        <w:spacing w:line="1200" w:lineRule="exact"/>
        <w:ind w:right="-108"/>
        <w:jc w:val="center"/>
        <w:rPr>
          <w:rFonts w:ascii="宋体" w:hAnsi="宋体"/>
          <w:b/>
          <w:color w:val="auto"/>
          <w:spacing w:val="40"/>
          <w:sz w:val="72"/>
          <w:szCs w:val="72"/>
        </w:rPr>
      </w:pPr>
      <w:r>
        <w:rPr>
          <w:rFonts w:hint="eastAsia" w:ascii="宋体" w:hAnsi="宋体"/>
          <w:b/>
          <w:color w:val="auto"/>
          <w:spacing w:val="40"/>
          <w:sz w:val="72"/>
          <w:szCs w:val="72"/>
        </w:rPr>
        <w:t>招</w:t>
      </w:r>
    </w:p>
    <w:p>
      <w:pPr>
        <w:spacing w:line="1200" w:lineRule="exact"/>
        <w:ind w:right="-108"/>
        <w:jc w:val="center"/>
        <w:rPr>
          <w:rFonts w:ascii="宋体" w:hAnsi="宋体"/>
          <w:b/>
          <w:color w:val="auto"/>
          <w:spacing w:val="40"/>
          <w:sz w:val="72"/>
          <w:szCs w:val="72"/>
        </w:rPr>
      </w:pPr>
      <w:r>
        <w:rPr>
          <w:rFonts w:hint="eastAsia" w:ascii="宋体" w:hAnsi="宋体"/>
          <w:b/>
          <w:color w:val="auto"/>
          <w:spacing w:val="40"/>
          <w:sz w:val="72"/>
          <w:szCs w:val="72"/>
        </w:rPr>
        <w:t>标</w:t>
      </w:r>
    </w:p>
    <w:p>
      <w:pPr>
        <w:spacing w:line="1200" w:lineRule="exact"/>
        <w:ind w:right="-108"/>
        <w:jc w:val="center"/>
        <w:rPr>
          <w:rFonts w:ascii="宋体" w:hAnsi="宋体"/>
          <w:b/>
          <w:color w:val="auto"/>
          <w:spacing w:val="40"/>
          <w:sz w:val="72"/>
          <w:szCs w:val="72"/>
        </w:rPr>
      </w:pPr>
      <w:r>
        <w:rPr>
          <w:rFonts w:hint="eastAsia" w:ascii="宋体" w:hAnsi="宋体"/>
          <w:b/>
          <w:color w:val="auto"/>
          <w:spacing w:val="40"/>
          <w:sz w:val="72"/>
          <w:szCs w:val="72"/>
        </w:rPr>
        <w:t>文</w:t>
      </w:r>
    </w:p>
    <w:p>
      <w:pPr>
        <w:spacing w:line="1200" w:lineRule="exact"/>
        <w:ind w:right="-108"/>
        <w:jc w:val="center"/>
        <w:rPr>
          <w:rFonts w:ascii="宋体" w:hAnsi="宋体"/>
          <w:b/>
          <w:color w:val="auto"/>
          <w:spacing w:val="40"/>
          <w:sz w:val="72"/>
          <w:szCs w:val="72"/>
        </w:rPr>
      </w:pPr>
      <w:r>
        <w:rPr>
          <w:rFonts w:hint="eastAsia" w:ascii="宋体" w:hAnsi="宋体"/>
          <w:b/>
          <w:color w:val="auto"/>
          <w:spacing w:val="40"/>
          <w:sz w:val="72"/>
          <w:szCs w:val="72"/>
        </w:rPr>
        <w:t>件</w:t>
      </w:r>
    </w:p>
    <w:p>
      <w:pPr>
        <w:spacing w:line="500" w:lineRule="exact"/>
        <w:jc w:val="left"/>
        <w:rPr>
          <w:rFonts w:ascii="宋体" w:hAnsi="宋体"/>
          <w:b/>
          <w:color w:val="auto"/>
          <w:sz w:val="44"/>
        </w:rPr>
      </w:pPr>
    </w:p>
    <w:p>
      <w:pPr>
        <w:spacing w:line="500" w:lineRule="exact"/>
        <w:jc w:val="left"/>
        <w:rPr>
          <w:rFonts w:ascii="宋体" w:hAnsi="宋体"/>
          <w:b/>
          <w:color w:val="auto"/>
          <w:sz w:val="44"/>
        </w:rPr>
      </w:pPr>
    </w:p>
    <w:p>
      <w:pPr>
        <w:spacing w:line="500" w:lineRule="exact"/>
        <w:jc w:val="left"/>
        <w:rPr>
          <w:rFonts w:ascii="宋体" w:hAnsi="宋体"/>
          <w:b/>
          <w:color w:val="auto"/>
          <w:sz w:val="44"/>
        </w:rPr>
      </w:pPr>
    </w:p>
    <w:p>
      <w:pPr>
        <w:spacing w:line="480" w:lineRule="auto"/>
        <w:rPr>
          <w:rFonts w:ascii="宋体" w:hAnsi="宋体" w:cs="Arial"/>
          <w:b/>
          <w:bCs/>
          <w:color w:val="auto"/>
          <w:sz w:val="32"/>
          <w:szCs w:val="32"/>
        </w:rPr>
      </w:pPr>
      <w:r>
        <w:rPr>
          <w:rFonts w:hint="eastAsia" w:ascii="宋体" w:hAnsi="宋体" w:cs="Arial"/>
          <w:b/>
          <w:bCs/>
          <w:color w:val="auto"/>
          <w:sz w:val="32"/>
          <w:szCs w:val="32"/>
        </w:rPr>
        <w:t>项目编号</w:t>
      </w:r>
      <w:r>
        <w:rPr>
          <w:rFonts w:ascii="宋体" w:hAnsi="宋体" w:cs="Arial"/>
          <w:b/>
          <w:bCs/>
          <w:color w:val="auto"/>
          <w:sz w:val="32"/>
          <w:szCs w:val="32"/>
        </w:rPr>
        <w:t>：</w:t>
      </w:r>
      <w:bookmarkStart w:id="0" w:name="OLE_LINK1"/>
      <w:r>
        <w:rPr>
          <w:rFonts w:hint="eastAsia" w:ascii="宋体" w:hAnsi="宋体" w:cs="Arial"/>
          <w:b/>
          <w:bCs/>
          <w:color w:val="auto"/>
          <w:sz w:val="32"/>
          <w:szCs w:val="32"/>
          <w:u w:val="single"/>
        </w:rPr>
        <w:t>NBITC-202420444</w:t>
      </w:r>
      <w:bookmarkEnd w:id="0"/>
    </w:p>
    <w:p>
      <w:pPr>
        <w:spacing w:line="480" w:lineRule="auto"/>
        <w:rPr>
          <w:rFonts w:ascii="宋体" w:hAnsi="宋体" w:cs="Arial"/>
          <w:b/>
          <w:bCs/>
          <w:color w:val="auto"/>
          <w:sz w:val="32"/>
          <w:szCs w:val="32"/>
        </w:rPr>
      </w:pPr>
      <w:r>
        <w:rPr>
          <w:rFonts w:ascii="宋体" w:hAnsi="宋体" w:cs="Arial"/>
          <w:b/>
          <w:bCs/>
          <w:color w:val="auto"/>
          <w:sz w:val="32"/>
          <w:szCs w:val="32"/>
        </w:rPr>
        <w:t>招 标 人：</w:t>
      </w:r>
      <w:bookmarkStart w:id="1" w:name="OLE_LINK13"/>
      <w:r>
        <w:rPr>
          <w:rFonts w:hint="eastAsia" w:ascii="宋体" w:hAnsi="宋体"/>
          <w:b/>
          <w:bCs/>
          <w:color w:val="auto"/>
          <w:sz w:val="30"/>
          <w:u w:val="single"/>
        </w:rPr>
        <w:t>北京大学宁波海洋药物研究院</w:t>
      </w:r>
      <w:bookmarkEnd w:id="1"/>
    </w:p>
    <w:p>
      <w:pPr>
        <w:spacing w:line="480" w:lineRule="auto"/>
        <w:ind w:right="-108"/>
        <w:jc w:val="left"/>
        <w:rPr>
          <w:rFonts w:ascii="宋体" w:hAnsi="宋体"/>
          <w:b/>
          <w:bCs/>
          <w:color w:val="auto"/>
          <w:sz w:val="32"/>
          <w:szCs w:val="32"/>
          <w:u w:val="single"/>
        </w:rPr>
      </w:pPr>
      <w:r>
        <w:rPr>
          <w:rFonts w:hint="eastAsia" w:ascii="宋体" w:hAnsi="宋体"/>
          <w:b/>
          <w:bCs/>
          <w:color w:val="auto"/>
          <w:sz w:val="32"/>
          <w:szCs w:val="32"/>
        </w:rPr>
        <w:t>招标代理机构：</w:t>
      </w:r>
      <w:r>
        <w:rPr>
          <w:rFonts w:hint="eastAsia" w:ascii="宋体" w:hAnsi="宋体"/>
          <w:b/>
          <w:bCs/>
          <w:color w:val="auto"/>
          <w:sz w:val="32"/>
          <w:szCs w:val="32"/>
          <w:u w:val="single"/>
        </w:rPr>
        <w:t>宁波市国际招标有限公司</w:t>
      </w:r>
    </w:p>
    <w:p>
      <w:pPr>
        <w:spacing w:line="480" w:lineRule="auto"/>
        <w:ind w:right="-108"/>
        <w:jc w:val="left"/>
        <w:rPr>
          <w:rFonts w:ascii="宋体" w:hAnsi="宋体"/>
          <w:b/>
          <w:bCs/>
          <w:color w:val="auto"/>
          <w:sz w:val="32"/>
          <w:szCs w:val="32"/>
        </w:rPr>
      </w:pPr>
      <w:r>
        <w:rPr>
          <w:rFonts w:hint="eastAsia" w:ascii="宋体" w:hAnsi="宋体"/>
          <w:b/>
          <w:bCs/>
          <w:color w:val="auto"/>
          <w:sz w:val="32"/>
          <w:szCs w:val="32"/>
        </w:rPr>
        <w:t>编制日期：</w:t>
      </w:r>
      <w:r>
        <w:rPr>
          <w:rFonts w:hint="eastAsia" w:ascii="宋体" w:hAnsi="宋体"/>
          <w:b/>
          <w:bCs/>
          <w:color w:val="auto"/>
          <w:sz w:val="32"/>
          <w:szCs w:val="32"/>
          <w:u w:val="single"/>
        </w:rPr>
        <w:t>2024年12月</w:t>
      </w:r>
    </w:p>
    <w:p>
      <w:pPr>
        <w:snapToGrid w:val="0"/>
        <w:spacing w:before="120" w:beforeLines="50" w:line="360" w:lineRule="auto"/>
        <w:rPr>
          <w:rFonts w:ascii="宋体" w:hAnsi="宋体"/>
          <w:b/>
          <w:bCs/>
          <w:color w:val="auto"/>
          <w:w w:val="95"/>
          <w:sz w:val="30"/>
          <w:szCs w:val="30"/>
        </w:rPr>
      </w:pPr>
    </w:p>
    <w:p>
      <w:pPr>
        <w:snapToGrid w:val="0"/>
        <w:spacing w:line="480" w:lineRule="auto"/>
        <w:jc w:val="center"/>
        <w:rPr>
          <w:rFonts w:ascii="宋体" w:hAnsi="宋体"/>
          <w:color w:val="auto"/>
        </w:rPr>
        <w:sectPr>
          <w:headerReference r:id="rId3" w:type="default"/>
          <w:footerReference r:id="rId4" w:type="default"/>
          <w:pgSz w:w="11906" w:h="16838"/>
          <w:pgMar w:top="1361" w:right="1406" w:bottom="1304" w:left="1400" w:header="851" w:footer="850" w:gutter="0"/>
          <w:pgNumType w:start="1"/>
          <w:cols w:space="720" w:num="1"/>
          <w:docGrid w:linePitch="312" w:charSpace="0"/>
        </w:sectPr>
      </w:pPr>
    </w:p>
    <w:p>
      <w:pPr>
        <w:snapToGrid w:val="0"/>
        <w:spacing w:line="480" w:lineRule="auto"/>
        <w:jc w:val="center"/>
        <w:rPr>
          <w:rFonts w:ascii="宋体" w:hAnsi="宋体"/>
          <w:b/>
          <w:color w:val="auto"/>
          <w:sz w:val="32"/>
          <w:szCs w:val="32"/>
        </w:rPr>
      </w:pPr>
    </w:p>
    <w:p>
      <w:pPr>
        <w:snapToGrid w:val="0"/>
        <w:spacing w:line="360" w:lineRule="auto"/>
        <w:jc w:val="center"/>
        <w:rPr>
          <w:rFonts w:ascii="宋体" w:hAnsi="宋体"/>
          <w:b/>
          <w:color w:val="auto"/>
          <w:sz w:val="72"/>
          <w:szCs w:val="52"/>
        </w:rPr>
      </w:pPr>
      <w:r>
        <w:rPr>
          <w:rFonts w:hint="eastAsia" w:ascii="宋体" w:hAnsi="宋体"/>
          <w:b/>
          <w:color w:val="auto"/>
          <w:sz w:val="40"/>
          <w:szCs w:val="32"/>
        </w:rPr>
        <w:t>目  录</w:t>
      </w:r>
    </w:p>
    <w:p>
      <w:pPr>
        <w:pStyle w:val="12"/>
        <w:tabs>
          <w:tab w:val="right" w:leader="dot" w:pos="9096"/>
        </w:tabs>
        <w:spacing w:line="480" w:lineRule="auto"/>
        <w:rPr>
          <w:rFonts w:asciiTheme="minorHAnsi" w:hAnsiTheme="minorHAnsi" w:eastAsiaTheme="minorEastAsia" w:cstheme="minorBidi"/>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TOC \o "1-3" \h \z \u </w:instrText>
      </w:r>
      <w:r>
        <w:rPr>
          <w:rFonts w:hint="eastAsia" w:ascii="宋体" w:hAnsi="宋体" w:cs="宋体"/>
          <w:color w:val="auto"/>
          <w:sz w:val="28"/>
          <w:szCs w:val="28"/>
        </w:rPr>
        <w:fldChar w:fldCharType="separate"/>
      </w:r>
      <w:r>
        <w:rPr>
          <w:color w:val="auto"/>
        </w:rPr>
        <w:fldChar w:fldCharType="begin"/>
      </w:r>
      <w:r>
        <w:rPr>
          <w:color w:val="auto"/>
        </w:rPr>
        <w:instrText xml:space="preserve"> HYPERLINK \l "_Toc182932764" </w:instrText>
      </w:r>
      <w:r>
        <w:rPr>
          <w:color w:val="auto"/>
        </w:rPr>
        <w:fldChar w:fldCharType="separate"/>
      </w:r>
      <w:r>
        <w:rPr>
          <w:rStyle w:val="24"/>
          <w:rFonts w:hAnsi="宋体"/>
          <w:color w:val="auto"/>
          <w:sz w:val="28"/>
          <w:szCs w:val="28"/>
        </w:rPr>
        <w:t>第一章  招标公告</w:t>
      </w:r>
      <w:r>
        <w:rPr>
          <w:color w:val="auto"/>
          <w:sz w:val="28"/>
          <w:szCs w:val="28"/>
        </w:rPr>
        <w:tab/>
      </w:r>
      <w:r>
        <w:rPr>
          <w:color w:val="auto"/>
          <w:sz w:val="28"/>
          <w:szCs w:val="28"/>
        </w:rPr>
        <w:fldChar w:fldCharType="begin"/>
      </w:r>
      <w:r>
        <w:rPr>
          <w:color w:val="auto"/>
          <w:sz w:val="28"/>
          <w:szCs w:val="28"/>
        </w:rPr>
        <w:instrText xml:space="preserve"> PAGEREF _Toc182932764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12"/>
        <w:tabs>
          <w:tab w:val="right" w:leader="dot" w:pos="9096"/>
        </w:tabs>
        <w:spacing w:line="48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"_Toc182932765" </w:instrText>
      </w:r>
      <w:r>
        <w:rPr>
          <w:color w:val="auto"/>
        </w:rPr>
        <w:fldChar w:fldCharType="separate"/>
      </w:r>
      <w:r>
        <w:rPr>
          <w:rStyle w:val="24"/>
          <w:rFonts w:hAnsi="宋体"/>
          <w:color w:val="auto"/>
          <w:sz w:val="28"/>
          <w:szCs w:val="28"/>
        </w:rPr>
        <w:t>第二章  招标需求</w:t>
      </w:r>
      <w:r>
        <w:rPr>
          <w:color w:val="auto"/>
          <w:sz w:val="28"/>
          <w:szCs w:val="28"/>
        </w:rPr>
        <w:tab/>
      </w:r>
      <w:r>
        <w:rPr>
          <w:color w:val="auto"/>
          <w:sz w:val="28"/>
          <w:szCs w:val="28"/>
        </w:rPr>
        <w:fldChar w:fldCharType="begin"/>
      </w:r>
      <w:r>
        <w:rPr>
          <w:color w:val="auto"/>
          <w:sz w:val="28"/>
          <w:szCs w:val="28"/>
        </w:rPr>
        <w:instrText xml:space="preserve"> PAGEREF _Toc182932765 \h </w:instrText>
      </w:r>
      <w:r>
        <w:rPr>
          <w:color w:val="auto"/>
          <w:sz w:val="28"/>
          <w:szCs w:val="28"/>
        </w:rPr>
        <w:fldChar w:fldCharType="separate"/>
      </w:r>
      <w:r>
        <w:rPr>
          <w:color w:val="auto"/>
          <w:sz w:val="28"/>
          <w:szCs w:val="28"/>
        </w:rPr>
        <w:t>4</w:t>
      </w:r>
      <w:r>
        <w:rPr>
          <w:color w:val="auto"/>
          <w:sz w:val="28"/>
          <w:szCs w:val="28"/>
        </w:rPr>
        <w:fldChar w:fldCharType="end"/>
      </w:r>
      <w:r>
        <w:rPr>
          <w:color w:val="auto"/>
          <w:sz w:val="28"/>
          <w:szCs w:val="28"/>
        </w:rPr>
        <w:fldChar w:fldCharType="end"/>
      </w:r>
    </w:p>
    <w:p>
      <w:pPr>
        <w:pStyle w:val="12"/>
        <w:tabs>
          <w:tab w:val="right" w:leader="dot" w:pos="9096"/>
        </w:tabs>
        <w:spacing w:line="48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"_Toc182932772" </w:instrText>
      </w:r>
      <w:r>
        <w:rPr>
          <w:color w:val="auto"/>
        </w:rPr>
        <w:fldChar w:fldCharType="separate"/>
      </w:r>
      <w:r>
        <w:rPr>
          <w:rStyle w:val="24"/>
          <w:rFonts w:hAnsi="宋体"/>
          <w:color w:val="auto"/>
          <w:sz w:val="28"/>
          <w:szCs w:val="28"/>
        </w:rPr>
        <w:t>第三章  投标人须知</w:t>
      </w:r>
      <w:r>
        <w:rPr>
          <w:color w:val="auto"/>
          <w:sz w:val="28"/>
          <w:szCs w:val="28"/>
        </w:rPr>
        <w:tab/>
      </w:r>
      <w:r>
        <w:rPr>
          <w:color w:val="auto"/>
          <w:sz w:val="28"/>
          <w:szCs w:val="28"/>
        </w:rPr>
        <w:fldChar w:fldCharType="begin"/>
      </w:r>
      <w:r>
        <w:rPr>
          <w:color w:val="auto"/>
          <w:sz w:val="28"/>
          <w:szCs w:val="28"/>
        </w:rPr>
        <w:instrText xml:space="preserve"> PAGEREF _Toc182932772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pPr>
        <w:pStyle w:val="12"/>
        <w:tabs>
          <w:tab w:val="right" w:leader="dot" w:pos="9096"/>
        </w:tabs>
        <w:spacing w:line="48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"_Toc182932796" </w:instrText>
      </w:r>
      <w:r>
        <w:rPr>
          <w:color w:val="auto"/>
        </w:rPr>
        <w:fldChar w:fldCharType="separate"/>
      </w:r>
      <w:r>
        <w:rPr>
          <w:rStyle w:val="24"/>
          <w:rFonts w:hAnsi="宋体"/>
          <w:color w:val="auto"/>
          <w:sz w:val="28"/>
          <w:szCs w:val="28"/>
        </w:rPr>
        <w:t>第四章  评标办法及评分标准</w:t>
      </w:r>
      <w:r>
        <w:rPr>
          <w:color w:val="auto"/>
          <w:sz w:val="28"/>
          <w:szCs w:val="28"/>
        </w:rPr>
        <w:tab/>
      </w:r>
      <w:r>
        <w:rPr>
          <w:color w:val="auto"/>
          <w:sz w:val="28"/>
          <w:szCs w:val="28"/>
        </w:rPr>
        <w:fldChar w:fldCharType="begin"/>
      </w:r>
      <w:r>
        <w:rPr>
          <w:color w:val="auto"/>
          <w:sz w:val="28"/>
          <w:szCs w:val="28"/>
        </w:rPr>
        <w:instrText xml:space="preserve"> PAGEREF _Toc182932796 \h </w:instrText>
      </w:r>
      <w:r>
        <w:rPr>
          <w:color w:val="auto"/>
          <w:sz w:val="28"/>
          <w:szCs w:val="28"/>
        </w:rPr>
        <w:fldChar w:fldCharType="separate"/>
      </w:r>
      <w:r>
        <w:rPr>
          <w:color w:val="auto"/>
          <w:sz w:val="28"/>
          <w:szCs w:val="28"/>
        </w:rPr>
        <w:t>14</w:t>
      </w:r>
      <w:r>
        <w:rPr>
          <w:color w:val="auto"/>
          <w:sz w:val="28"/>
          <w:szCs w:val="28"/>
        </w:rPr>
        <w:fldChar w:fldCharType="end"/>
      </w:r>
      <w:r>
        <w:rPr>
          <w:color w:val="auto"/>
          <w:sz w:val="28"/>
          <w:szCs w:val="28"/>
        </w:rPr>
        <w:fldChar w:fldCharType="end"/>
      </w:r>
    </w:p>
    <w:p>
      <w:pPr>
        <w:pStyle w:val="12"/>
        <w:tabs>
          <w:tab w:val="right" w:leader="dot" w:pos="9096"/>
        </w:tabs>
        <w:spacing w:line="48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"_Toc182932803" </w:instrText>
      </w:r>
      <w:r>
        <w:rPr>
          <w:color w:val="auto"/>
        </w:rPr>
        <w:fldChar w:fldCharType="separate"/>
      </w:r>
      <w:r>
        <w:rPr>
          <w:rStyle w:val="24"/>
          <w:rFonts w:ascii="宋体" w:hAnsi="宋体"/>
          <w:color w:val="auto"/>
          <w:sz w:val="28"/>
          <w:szCs w:val="28"/>
        </w:rPr>
        <w:t>第五章  合同条款</w:t>
      </w:r>
      <w:r>
        <w:rPr>
          <w:color w:val="auto"/>
          <w:sz w:val="28"/>
          <w:szCs w:val="28"/>
        </w:rPr>
        <w:tab/>
      </w:r>
      <w:r>
        <w:rPr>
          <w:color w:val="auto"/>
          <w:sz w:val="28"/>
          <w:szCs w:val="28"/>
        </w:rPr>
        <w:fldChar w:fldCharType="begin"/>
      </w:r>
      <w:r>
        <w:rPr>
          <w:color w:val="auto"/>
          <w:sz w:val="28"/>
          <w:szCs w:val="28"/>
        </w:rPr>
        <w:instrText xml:space="preserve"> PAGEREF _Toc182932803 \h </w:instrText>
      </w:r>
      <w:r>
        <w:rPr>
          <w:color w:val="auto"/>
          <w:sz w:val="28"/>
          <w:szCs w:val="28"/>
        </w:rPr>
        <w:fldChar w:fldCharType="separate"/>
      </w:r>
      <w:r>
        <w:rPr>
          <w:color w:val="auto"/>
          <w:sz w:val="28"/>
          <w:szCs w:val="28"/>
        </w:rPr>
        <w:t>22</w:t>
      </w:r>
      <w:r>
        <w:rPr>
          <w:color w:val="auto"/>
          <w:sz w:val="28"/>
          <w:szCs w:val="28"/>
        </w:rPr>
        <w:fldChar w:fldCharType="end"/>
      </w:r>
      <w:r>
        <w:rPr>
          <w:color w:val="auto"/>
          <w:sz w:val="28"/>
          <w:szCs w:val="28"/>
        </w:rPr>
        <w:fldChar w:fldCharType="end"/>
      </w:r>
    </w:p>
    <w:p>
      <w:pPr>
        <w:pStyle w:val="12"/>
        <w:tabs>
          <w:tab w:val="right" w:leader="dot" w:pos="9096"/>
        </w:tabs>
        <w:spacing w:line="480" w:lineRule="auto"/>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"_Toc182932805" </w:instrText>
      </w:r>
      <w:r>
        <w:rPr>
          <w:color w:val="auto"/>
        </w:rPr>
        <w:fldChar w:fldCharType="separate"/>
      </w:r>
      <w:r>
        <w:rPr>
          <w:rStyle w:val="24"/>
          <w:rFonts w:ascii="宋体" w:hAnsi="宋体"/>
          <w:color w:val="auto"/>
          <w:sz w:val="28"/>
          <w:szCs w:val="28"/>
        </w:rPr>
        <w:t>第六章  投标文件格式</w:t>
      </w:r>
      <w:r>
        <w:rPr>
          <w:color w:val="auto"/>
          <w:sz w:val="28"/>
          <w:szCs w:val="28"/>
        </w:rPr>
        <w:tab/>
      </w:r>
      <w:r>
        <w:rPr>
          <w:color w:val="auto"/>
          <w:sz w:val="28"/>
          <w:szCs w:val="28"/>
        </w:rPr>
        <w:fldChar w:fldCharType="begin"/>
      </w:r>
      <w:r>
        <w:rPr>
          <w:color w:val="auto"/>
          <w:sz w:val="28"/>
          <w:szCs w:val="28"/>
        </w:rPr>
        <w:instrText xml:space="preserve"> PAGEREF _Toc182932805 \h </w:instrText>
      </w:r>
      <w:r>
        <w:rPr>
          <w:color w:val="auto"/>
          <w:sz w:val="28"/>
          <w:szCs w:val="28"/>
        </w:rPr>
        <w:fldChar w:fldCharType="separate"/>
      </w:r>
      <w:r>
        <w:rPr>
          <w:color w:val="auto"/>
          <w:sz w:val="28"/>
          <w:szCs w:val="28"/>
        </w:rPr>
        <w:t>24</w:t>
      </w:r>
      <w:r>
        <w:rPr>
          <w:color w:val="auto"/>
          <w:sz w:val="28"/>
          <w:szCs w:val="28"/>
        </w:rPr>
        <w:fldChar w:fldCharType="end"/>
      </w:r>
      <w:r>
        <w:rPr>
          <w:color w:val="auto"/>
          <w:sz w:val="28"/>
          <w:szCs w:val="28"/>
        </w:rPr>
        <w:fldChar w:fldCharType="end"/>
      </w:r>
    </w:p>
    <w:p>
      <w:pPr>
        <w:spacing w:line="480" w:lineRule="auto"/>
        <w:rPr>
          <w:rFonts w:ascii="宋体" w:hAnsi="宋体" w:cs="宋体"/>
          <w:color w:val="auto"/>
          <w:szCs w:val="36"/>
        </w:rPr>
        <w:sectPr>
          <w:footerReference r:id="rId5" w:type="default"/>
          <w:pgSz w:w="11906" w:h="16838"/>
          <w:pgMar w:top="1361" w:right="1400" w:bottom="1304" w:left="1400" w:header="851" w:footer="850" w:gutter="0"/>
          <w:pgNumType w:start="1"/>
          <w:cols w:space="720" w:num="1"/>
          <w:docGrid w:linePitch="312" w:charSpace="0"/>
        </w:sectPr>
      </w:pPr>
      <w:r>
        <w:rPr>
          <w:rFonts w:hint="eastAsia" w:ascii="宋体" w:hAnsi="宋体" w:cs="宋体"/>
          <w:color w:val="auto"/>
          <w:sz w:val="28"/>
          <w:szCs w:val="28"/>
        </w:rPr>
        <w:fldChar w:fldCharType="end"/>
      </w:r>
    </w:p>
    <w:p>
      <w:pPr>
        <w:pStyle w:val="8"/>
        <w:snapToGrid w:val="0"/>
        <w:spacing w:beforeLines="0" w:afterLines="0" w:line="360" w:lineRule="auto"/>
        <w:ind w:firstLine="601"/>
        <w:jc w:val="center"/>
        <w:outlineLvl w:val="0"/>
        <w:rPr>
          <w:rFonts w:hAnsi="宋体"/>
          <w:b/>
          <w:color w:val="auto"/>
          <w:sz w:val="30"/>
          <w:szCs w:val="30"/>
        </w:rPr>
      </w:pPr>
      <w:bookmarkStart w:id="2" w:name="_Toc182932764"/>
      <w:bookmarkStart w:id="3" w:name="_Hlk29211598"/>
      <w:r>
        <w:rPr>
          <w:rFonts w:hint="eastAsia" w:hAnsi="宋体"/>
          <w:b/>
          <w:color w:val="auto"/>
          <w:sz w:val="30"/>
          <w:szCs w:val="30"/>
        </w:rPr>
        <w:t xml:space="preserve">第一章 </w:t>
      </w:r>
      <w:r>
        <w:rPr>
          <w:rFonts w:hAnsi="宋体"/>
          <w:b/>
          <w:color w:val="auto"/>
          <w:sz w:val="30"/>
          <w:szCs w:val="30"/>
        </w:rPr>
        <w:t xml:space="preserve"> </w:t>
      </w:r>
      <w:r>
        <w:rPr>
          <w:rFonts w:hint="eastAsia" w:hAnsi="宋体"/>
          <w:b/>
          <w:color w:val="auto"/>
          <w:sz w:val="30"/>
          <w:szCs w:val="30"/>
        </w:rPr>
        <w:t>招标公告</w:t>
      </w:r>
      <w:bookmarkEnd w:id="2"/>
    </w:p>
    <w:bookmarkEnd w:id="3"/>
    <w:p>
      <w:pPr>
        <w:tabs>
          <w:tab w:val="left" w:pos="3150"/>
        </w:tabs>
        <w:snapToGrid w:val="0"/>
        <w:spacing w:line="360" w:lineRule="auto"/>
        <w:ind w:firstLine="420" w:firstLineChars="200"/>
        <w:rPr>
          <w:rFonts w:ascii="宋体" w:hAnsi="宋体"/>
          <w:b/>
          <w:bCs/>
          <w:color w:val="auto"/>
          <w:kern w:val="0"/>
          <w:szCs w:val="21"/>
        </w:rPr>
      </w:pPr>
      <w:bookmarkStart w:id="4" w:name="OLE_LINK15"/>
      <w:bookmarkStart w:id="5" w:name="OLE_LINK33"/>
      <w:r>
        <w:rPr>
          <w:rFonts w:hint="eastAsia" w:ascii="宋体" w:hAnsi="宋体"/>
          <w:color w:val="auto"/>
          <w:kern w:val="0"/>
          <w:szCs w:val="21"/>
        </w:rPr>
        <w:t>宁波市国际招标有限公司受北京大学宁波海洋药物研究院的委托，</w:t>
      </w:r>
      <w:r>
        <w:rPr>
          <w:rFonts w:hint="eastAsia" w:ascii="宋体" w:hAnsi="宋体"/>
          <w:color w:val="auto"/>
          <w:szCs w:val="21"/>
        </w:rPr>
        <w:t>根据《北仑区(开发区)区级预算单位银行账户和公款存放管理暂行办法的通知》（仑政办[2019]90号）等有关法律法规及相关文件规定，</w:t>
      </w:r>
      <w:r>
        <w:rPr>
          <w:rFonts w:hint="eastAsia" w:ascii="宋体" w:hAnsi="宋体"/>
          <w:color w:val="auto"/>
          <w:kern w:val="0"/>
          <w:szCs w:val="21"/>
        </w:rPr>
        <w:t>就</w:t>
      </w:r>
      <w:r>
        <w:rPr>
          <w:rFonts w:hint="eastAsia" w:ascii="宋体" w:hAnsi="宋体"/>
          <w:color w:val="auto"/>
          <w:kern w:val="0"/>
          <w:szCs w:val="21"/>
          <w:u w:val="single"/>
        </w:rPr>
        <w:t>北京大学宁波海洋药物研究院基本存款账户项目</w:t>
      </w:r>
      <w:r>
        <w:rPr>
          <w:rFonts w:hint="eastAsia" w:ascii="宋体" w:hAnsi="宋体"/>
          <w:color w:val="auto"/>
          <w:kern w:val="0"/>
          <w:szCs w:val="21"/>
        </w:rPr>
        <w:t>进行公开招标。</w:t>
      </w:r>
      <w:r>
        <w:rPr>
          <w:rFonts w:hint="eastAsia" w:ascii="宋体" w:hAnsi="宋体"/>
          <w:color w:val="auto"/>
          <w:szCs w:val="21"/>
        </w:rPr>
        <w:t>欢迎具备本项目资格要求且能够及时提供相关服务的投标人参加投标</w:t>
      </w:r>
      <w:r>
        <w:rPr>
          <w:rFonts w:ascii="宋体" w:hAnsi="宋体"/>
          <w:color w:val="auto"/>
          <w:kern w:val="0"/>
          <w:szCs w:val="21"/>
        </w:rPr>
        <w:t>。</w:t>
      </w:r>
    </w:p>
    <w:p>
      <w:pPr>
        <w:tabs>
          <w:tab w:val="left" w:pos="3150"/>
        </w:tabs>
        <w:snapToGrid w:val="0"/>
        <w:spacing w:line="360" w:lineRule="auto"/>
        <w:rPr>
          <w:rFonts w:ascii="宋体" w:hAnsi="宋体"/>
          <w:color w:val="auto"/>
          <w:kern w:val="0"/>
          <w:szCs w:val="21"/>
        </w:rPr>
      </w:pPr>
      <w:r>
        <w:rPr>
          <w:rFonts w:ascii="宋体" w:hAnsi="宋体"/>
          <w:b/>
          <w:bCs/>
          <w:color w:val="auto"/>
          <w:kern w:val="0"/>
          <w:szCs w:val="21"/>
        </w:rPr>
        <w:t>一、</w:t>
      </w:r>
      <w:r>
        <w:rPr>
          <w:rFonts w:hint="eastAsia" w:ascii="宋体" w:hAnsi="宋体"/>
          <w:b/>
          <w:bCs/>
          <w:color w:val="auto"/>
          <w:kern w:val="0"/>
          <w:szCs w:val="21"/>
        </w:rPr>
        <w:t>招标</w:t>
      </w:r>
      <w:r>
        <w:rPr>
          <w:rFonts w:ascii="宋体" w:hAnsi="宋体"/>
          <w:b/>
          <w:bCs/>
          <w:color w:val="auto"/>
          <w:kern w:val="0"/>
          <w:szCs w:val="21"/>
        </w:rPr>
        <w:t>项目名称：</w:t>
      </w:r>
      <w:r>
        <w:rPr>
          <w:rFonts w:hint="eastAsia" w:ascii="宋体" w:hAnsi="宋体"/>
          <w:color w:val="auto"/>
          <w:kern w:val="0"/>
          <w:szCs w:val="21"/>
        </w:rPr>
        <w:t>北京大学宁波海洋药物研究院</w:t>
      </w:r>
      <w:bookmarkStart w:id="6" w:name="OLE_LINK14"/>
      <w:r>
        <w:rPr>
          <w:rFonts w:hint="eastAsia" w:ascii="宋体" w:hAnsi="宋体"/>
          <w:color w:val="auto"/>
          <w:kern w:val="0"/>
          <w:szCs w:val="21"/>
        </w:rPr>
        <w:t>基本存款账户</w:t>
      </w:r>
      <w:bookmarkEnd w:id="6"/>
      <w:r>
        <w:rPr>
          <w:rFonts w:hint="eastAsia" w:ascii="宋体" w:hAnsi="宋体"/>
          <w:color w:val="auto"/>
          <w:kern w:val="0"/>
          <w:szCs w:val="21"/>
        </w:rPr>
        <w:t>项目</w:t>
      </w:r>
    </w:p>
    <w:p>
      <w:pPr>
        <w:spacing w:line="360" w:lineRule="auto"/>
        <w:jc w:val="left"/>
        <w:rPr>
          <w:rFonts w:ascii="宋体" w:hAnsi="宋体"/>
          <w:color w:val="auto"/>
        </w:rPr>
      </w:pPr>
      <w:r>
        <w:rPr>
          <w:rFonts w:hint="eastAsia" w:ascii="宋体" w:hAnsi="宋体"/>
          <w:b/>
          <w:color w:val="auto"/>
          <w:szCs w:val="21"/>
        </w:rPr>
        <w:t>二、项目概况：</w:t>
      </w:r>
      <w:r>
        <w:rPr>
          <w:rFonts w:hint="eastAsia" w:ascii="宋体" w:hAnsi="宋体"/>
          <w:color w:val="auto"/>
          <w:szCs w:val="21"/>
        </w:rPr>
        <w:t>本项目</w:t>
      </w:r>
      <w:r>
        <w:rPr>
          <w:rFonts w:ascii="宋体" w:hAnsi="宋体"/>
          <w:color w:val="auto"/>
          <w:szCs w:val="21"/>
        </w:rPr>
        <w:t>为</w:t>
      </w:r>
      <w:r>
        <w:rPr>
          <w:rFonts w:hint="eastAsia" w:ascii="宋体" w:hAnsi="宋体"/>
          <w:color w:val="auto"/>
          <w:kern w:val="0"/>
          <w:szCs w:val="21"/>
        </w:rPr>
        <w:t>北京大学宁波海洋药物研究院基本存款账户项目，</w:t>
      </w:r>
      <w:r>
        <w:rPr>
          <w:rFonts w:ascii="宋体" w:hAnsi="宋体"/>
          <w:color w:val="auto"/>
          <w:kern w:val="0"/>
          <w:szCs w:val="21"/>
        </w:rPr>
        <w:t>项目采用综合打分法，</w:t>
      </w:r>
      <w:r>
        <w:rPr>
          <w:rFonts w:hint="eastAsia" w:ascii="宋体" w:hAnsi="宋体"/>
          <w:color w:val="auto"/>
        </w:rPr>
        <w:t>综合得分排序第一名的银行，承担北京大学宁波海洋药物研究院基本存款银行账户。服务期限：6年，服务协议一年一签，入围银行的服务达到招标要求和投标响应的，经双方同意可续签订下一年度的协议；如果服务达不到招标要求和投标响应的，招标人有权终止协议。</w:t>
      </w:r>
    </w:p>
    <w:p>
      <w:pPr>
        <w:tabs>
          <w:tab w:val="left" w:pos="3150"/>
        </w:tabs>
        <w:snapToGrid w:val="0"/>
        <w:spacing w:line="360" w:lineRule="auto"/>
        <w:rPr>
          <w:rFonts w:ascii="宋体" w:hAnsi="宋体"/>
          <w:b/>
          <w:bCs/>
          <w:color w:val="auto"/>
          <w:kern w:val="0"/>
          <w:szCs w:val="21"/>
        </w:rPr>
      </w:pPr>
      <w:r>
        <w:rPr>
          <w:rFonts w:hint="eastAsia" w:ascii="宋体" w:hAnsi="宋体"/>
          <w:b/>
          <w:bCs/>
          <w:color w:val="auto"/>
          <w:kern w:val="0"/>
          <w:szCs w:val="21"/>
        </w:rPr>
        <w:t>三</w:t>
      </w:r>
      <w:r>
        <w:rPr>
          <w:rFonts w:ascii="宋体" w:hAnsi="宋体"/>
          <w:b/>
          <w:bCs/>
          <w:color w:val="auto"/>
          <w:kern w:val="0"/>
          <w:szCs w:val="21"/>
        </w:rPr>
        <w:t>、</w:t>
      </w:r>
      <w:r>
        <w:rPr>
          <w:rFonts w:hint="eastAsia" w:ascii="宋体" w:hAnsi="宋体"/>
          <w:b/>
          <w:color w:val="auto"/>
          <w:szCs w:val="21"/>
        </w:rPr>
        <w:t>投标人资格条件：</w:t>
      </w:r>
    </w:p>
    <w:p>
      <w:pPr>
        <w:tabs>
          <w:tab w:val="left" w:pos="3150"/>
        </w:tabs>
        <w:snapToGrid w:val="0"/>
        <w:spacing w:line="360" w:lineRule="auto"/>
        <w:ind w:firstLine="420" w:firstLineChars="200"/>
        <w:rPr>
          <w:rFonts w:ascii="宋体" w:hAnsi="宋体"/>
          <w:color w:val="auto"/>
          <w:szCs w:val="21"/>
        </w:rPr>
      </w:pPr>
      <w:r>
        <w:rPr>
          <w:rFonts w:hint="eastAsia" w:ascii="宋体" w:hAnsi="宋体"/>
          <w:color w:val="auto"/>
          <w:szCs w:val="21"/>
        </w:rPr>
        <w:t>在中华人民共和国境内依法设立的国有商业银行、股份制商业银行、邮政储蓄银行、城市商业银行、农村商业银行、农村合作银行及政策性银行等银行机构，并符合以下条件：</w:t>
      </w:r>
    </w:p>
    <w:p>
      <w:pPr>
        <w:spacing w:line="360" w:lineRule="auto"/>
        <w:ind w:firstLine="420" w:firstLineChars="200"/>
        <w:rPr>
          <w:rFonts w:ascii="宋体" w:hAnsi="宋体"/>
          <w:bCs/>
          <w:color w:val="auto"/>
          <w:szCs w:val="21"/>
        </w:rPr>
      </w:pPr>
      <w:r>
        <w:rPr>
          <w:rFonts w:hint="eastAsia" w:ascii="宋体" w:hAnsi="宋体"/>
          <w:bCs/>
          <w:color w:val="auto"/>
          <w:szCs w:val="21"/>
        </w:rPr>
        <w:t>（1）持有中国银行业监督管理委员会宁波监管局核发有效的《中华人民共和国金融许可证》和市场监督管理部门核发有效的《营业执照》且其“营业场所”或“住所”载明属于宁波市北仑区域，同时在北仑区域内设有分支机构（通指一级支行及以上金融机构）。</w:t>
      </w:r>
    </w:p>
    <w:p>
      <w:pPr>
        <w:spacing w:line="360" w:lineRule="auto"/>
        <w:ind w:firstLine="420" w:firstLineChars="200"/>
        <w:rPr>
          <w:rFonts w:ascii="宋体" w:hAnsi="宋体"/>
          <w:bCs/>
          <w:color w:val="auto"/>
          <w:szCs w:val="21"/>
        </w:rPr>
      </w:pPr>
      <w:r>
        <w:rPr>
          <w:rFonts w:hint="eastAsia" w:ascii="宋体" w:hAnsi="宋体"/>
          <w:bCs/>
          <w:color w:val="auto"/>
          <w:szCs w:val="21"/>
        </w:rPr>
        <w:t>（2）依法开展经营活动，近3年内在经营活动中无重大违法违规记录。</w:t>
      </w:r>
    </w:p>
    <w:p>
      <w:pPr>
        <w:spacing w:line="360" w:lineRule="auto"/>
        <w:ind w:firstLine="420" w:firstLineChars="200"/>
        <w:rPr>
          <w:rFonts w:ascii="宋体" w:hAnsi="宋体"/>
          <w:bCs/>
          <w:color w:val="auto"/>
          <w:szCs w:val="21"/>
        </w:rPr>
      </w:pPr>
      <w:r>
        <w:rPr>
          <w:rFonts w:hint="eastAsia" w:ascii="宋体" w:hAnsi="宋体"/>
          <w:bCs/>
          <w:color w:val="auto"/>
          <w:szCs w:val="21"/>
        </w:rPr>
        <w:t>（3）财务稳健，资金充足率、不良贷款率、拨备覆盖率、流动性覆盖率、流动性比例等指标达到监管要求。</w:t>
      </w:r>
    </w:p>
    <w:p>
      <w:pPr>
        <w:spacing w:line="360" w:lineRule="auto"/>
        <w:ind w:firstLine="420" w:firstLineChars="200"/>
        <w:rPr>
          <w:rFonts w:ascii="宋体" w:hAnsi="宋体"/>
          <w:bCs/>
          <w:color w:val="auto"/>
          <w:szCs w:val="21"/>
        </w:rPr>
      </w:pPr>
      <w:r>
        <w:rPr>
          <w:rFonts w:hint="eastAsia" w:ascii="宋体" w:hAnsi="宋体"/>
          <w:bCs/>
          <w:color w:val="auto"/>
          <w:szCs w:val="21"/>
        </w:rPr>
        <w:t>（4）内部管理机制健全，具有较强的风险控制能力，近3年内未发生金融风险及重大违约事件。</w:t>
      </w:r>
    </w:p>
    <w:p>
      <w:pPr>
        <w:spacing w:line="360" w:lineRule="auto"/>
        <w:ind w:firstLine="420" w:firstLineChars="200"/>
        <w:rPr>
          <w:rFonts w:ascii="宋体" w:hAnsi="宋体"/>
          <w:bCs/>
          <w:color w:val="auto"/>
          <w:szCs w:val="21"/>
        </w:rPr>
      </w:pPr>
      <w:r>
        <w:rPr>
          <w:rFonts w:hint="eastAsia" w:ascii="宋体" w:hAnsi="宋体"/>
          <w:bCs/>
          <w:color w:val="auto"/>
          <w:szCs w:val="21"/>
        </w:rPr>
        <w:t>（5）同一家金融机构只能有一家分支机构参加投标。如出现多家分支机构报名的,投标时凭该金融机构宁波市分行及以上机构出具的唯一授权书才能进行投标,否则其投标文件均作否决投标处理。</w:t>
      </w:r>
    </w:p>
    <w:p>
      <w:pPr>
        <w:spacing w:line="360" w:lineRule="auto"/>
        <w:ind w:firstLine="420" w:firstLineChars="200"/>
        <w:rPr>
          <w:rFonts w:ascii="宋体" w:hAnsi="宋体"/>
          <w:bCs/>
          <w:color w:val="auto"/>
          <w:szCs w:val="21"/>
        </w:rPr>
      </w:pPr>
      <w:r>
        <w:rPr>
          <w:rFonts w:hint="eastAsia" w:ascii="宋体" w:hAnsi="宋体"/>
          <w:bCs/>
          <w:color w:val="auto"/>
          <w:szCs w:val="21"/>
        </w:rPr>
        <w:t>（6）本项目实行资格后审，中标后不得合包、转包、分包。</w:t>
      </w:r>
    </w:p>
    <w:p>
      <w:pPr>
        <w:spacing w:line="360" w:lineRule="auto"/>
        <w:ind w:firstLine="422" w:firstLineChars="200"/>
        <w:rPr>
          <w:rFonts w:ascii="宋体" w:hAnsi="宋体"/>
          <w:b/>
          <w:color w:val="auto"/>
          <w:szCs w:val="21"/>
        </w:rPr>
      </w:pPr>
      <w:r>
        <w:rPr>
          <w:rFonts w:hint="eastAsia" w:ascii="宋体" w:hAnsi="宋体"/>
          <w:b/>
          <w:color w:val="auto"/>
          <w:szCs w:val="21"/>
        </w:rPr>
        <w:t>注：（1）法定代表人为同一个人的两个及两个以上法人，母公司、全资子公司及其控股公司，都不得在同一项目招标中同时投标。（2）本项目不接受联合体投标。（3）如投标人已为本项目的入围候选人，不进入北京大学宁波海洋药物研究院公款存放账户项目的后续评审。</w:t>
      </w:r>
    </w:p>
    <w:p>
      <w:pPr>
        <w:adjustRightInd w:val="0"/>
        <w:snapToGrid w:val="0"/>
        <w:spacing w:line="360" w:lineRule="auto"/>
        <w:rPr>
          <w:rFonts w:ascii="宋体" w:hAnsi="宋体" w:cs="Arial"/>
          <w:b/>
          <w:color w:val="auto"/>
          <w:szCs w:val="21"/>
        </w:rPr>
      </w:pPr>
      <w:r>
        <w:rPr>
          <w:rFonts w:hint="eastAsia" w:ascii="宋体" w:hAnsi="宋体"/>
          <w:b/>
          <w:color w:val="auto"/>
          <w:szCs w:val="21"/>
        </w:rPr>
        <w:t>四、</w:t>
      </w:r>
      <w:r>
        <w:rPr>
          <w:rFonts w:hint="eastAsia" w:ascii="宋体" w:hAnsi="宋体" w:cs="Arial"/>
          <w:b/>
          <w:color w:val="auto"/>
          <w:szCs w:val="21"/>
        </w:rPr>
        <w:t>投标报名</w:t>
      </w:r>
    </w:p>
    <w:p>
      <w:pPr>
        <w:spacing w:line="360" w:lineRule="auto"/>
        <w:ind w:firstLine="420" w:firstLineChars="200"/>
        <w:rPr>
          <w:rFonts w:ascii="宋体" w:hAnsi="宋体"/>
          <w:bCs/>
          <w:color w:val="auto"/>
          <w:szCs w:val="21"/>
        </w:rPr>
      </w:pPr>
      <w:r>
        <w:rPr>
          <w:rFonts w:hint="eastAsia" w:ascii="宋体" w:hAnsi="宋体"/>
          <w:bCs/>
          <w:color w:val="auto"/>
          <w:szCs w:val="21"/>
        </w:rPr>
        <w:t>1.报名时间：发招标公告之日起至 202</w:t>
      </w:r>
      <w:r>
        <w:rPr>
          <w:rFonts w:hint="eastAsia" w:ascii="宋体" w:hAnsi="宋体"/>
          <w:bCs/>
          <w:color w:val="auto"/>
          <w:szCs w:val="21"/>
          <w:lang w:val="en-US" w:eastAsia="zh-CN"/>
        </w:rPr>
        <w:t>5</w:t>
      </w:r>
      <w:r>
        <w:rPr>
          <w:rFonts w:hint="eastAsia" w:ascii="宋体" w:hAnsi="宋体"/>
          <w:bCs/>
          <w:color w:val="auto"/>
          <w:szCs w:val="21"/>
        </w:rPr>
        <w:t xml:space="preserve"> 年</w:t>
      </w:r>
      <w:r>
        <w:rPr>
          <w:rFonts w:hint="eastAsia" w:ascii="宋体" w:hAnsi="宋体"/>
          <w:bCs/>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9</w:t>
      </w:r>
      <w:r>
        <w:rPr>
          <w:rFonts w:hint="eastAsia" w:ascii="宋体" w:hAnsi="宋体"/>
          <w:bCs/>
          <w:color w:val="auto"/>
          <w:szCs w:val="21"/>
        </w:rPr>
        <w:t xml:space="preserve">日。 </w:t>
      </w:r>
    </w:p>
    <w:p>
      <w:pPr>
        <w:spacing w:line="360" w:lineRule="auto"/>
        <w:ind w:firstLine="420" w:firstLineChars="200"/>
        <w:rPr>
          <w:rFonts w:ascii="宋体" w:hAnsi="宋体"/>
          <w:bCs/>
          <w:color w:val="auto"/>
          <w:szCs w:val="21"/>
        </w:rPr>
      </w:pPr>
      <w:r>
        <w:rPr>
          <w:rFonts w:hint="eastAsia" w:ascii="宋体" w:hAnsi="宋体"/>
          <w:bCs/>
          <w:color w:val="auto"/>
          <w:szCs w:val="21"/>
        </w:rPr>
        <w:t>2.报名方式：本项目实行网上报名，不接受现场报名。报名银行须登录政府采购云平台 （</w:t>
      </w:r>
      <w:bookmarkStart w:id="7" w:name="OLE_LINK31"/>
      <w:r>
        <w:rPr>
          <w:rFonts w:hint="eastAsia" w:ascii="宋体" w:hAnsi="宋体"/>
          <w:bCs/>
          <w:color w:val="auto"/>
          <w:szCs w:val="21"/>
        </w:rPr>
        <w:t>https://www.zcygov.cn</w:t>
      </w:r>
      <w:bookmarkEnd w:id="7"/>
      <w:r>
        <w:rPr>
          <w:rFonts w:hint="eastAsia" w:ascii="宋体" w:hAnsi="宋体"/>
          <w:bCs/>
          <w:color w:val="auto"/>
          <w:szCs w:val="21"/>
        </w:rPr>
        <w:t xml:space="preserve">），进入公款竞争性存放招标系统（以下简称“招标系统”），在“竞标项目- 进行中”标签页下，选择状态为“未报名”的项目，点击操作栏【报名】按钮进行报名。 </w:t>
      </w:r>
    </w:p>
    <w:p>
      <w:pPr>
        <w:spacing w:line="360" w:lineRule="auto"/>
        <w:ind w:firstLine="420" w:firstLineChars="200"/>
        <w:rPr>
          <w:rFonts w:ascii="宋体" w:hAnsi="宋体"/>
          <w:bCs/>
          <w:color w:val="auto"/>
          <w:szCs w:val="21"/>
        </w:rPr>
      </w:pPr>
      <w:r>
        <w:rPr>
          <w:rFonts w:hint="eastAsia" w:ascii="宋体" w:hAnsi="宋体"/>
          <w:bCs/>
          <w:color w:val="auto"/>
          <w:szCs w:val="21"/>
        </w:rPr>
        <w:t xml:space="preserve">3.招标文件获取方式：报名成功后可在线查阅招标文件。 </w:t>
      </w:r>
    </w:p>
    <w:p>
      <w:pPr>
        <w:spacing w:line="360" w:lineRule="auto"/>
        <w:ind w:firstLine="420" w:firstLineChars="200"/>
        <w:rPr>
          <w:rFonts w:ascii="宋体" w:hAnsi="宋体"/>
          <w:bCs/>
          <w:color w:val="auto"/>
          <w:szCs w:val="21"/>
        </w:rPr>
      </w:pPr>
      <w:r>
        <w:rPr>
          <w:rFonts w:hint="eastAsia" w:ascii="宋体" w:hAnsi="宋体"/>
          <w:bCs/>
          <w:color w:val="auto"/>
          <w:szCs w:val="21"/>
        </w:rPr>
        <w:t xml:space="preserve">注意事项：还未在政采云平台完成账号注册的投标银行，请参照《银行入驻手册--公款竞争性存放平台》完成入驻。入驻审核通过后方能参与线上报名、投标等操作；未在规定的招标文件提供期限内或未按 </w:t>
      </w:r>
    </w:p>
    <w:p>
      <w:pPr>
        <w:spacing w:line="360" w:lineRule="auto"/>
        <w:ind w:firstLine="420" w:firstLineChars="200"/>
        <w:rPr>
          <w:rFonts w:ascii="宋体" w:hAnsi="宋体"/>
          <w:color w:val="auto"/>
          <w:szCs w:val="21"/>
        </w:rPr>
      </w:pPr>
      <w:r>
        <w:rPr>
          <w:rFonts w:hint="eastAsia" w:ascii="宋体" w:hAnsi="宋体"/>
          <w:bCs/>
          <w:color w:val="auto"/>
          <w:szCs w:val="21"/>
        </w:rPr>
        <w:t>上述方式获取招标文件的，其投标均视为无效，并不得对招标文件提起异议投诉。</w:t>
      </w:r>
    </w:p>
    <w:p>
      <w:pPr>
        <w:widowControl/>
        <w:spacing w:line="360" w:lineRule="auto"/>
        <w:rPr>
          <w:rFonts w:ascii="宋体" w:hAnsi="宋体" w:cs="Arial"/>
          <w:b/>
          <w:color w:val="auto"/>
          <w:szCs w:val="21"/>
        </w:rPr>
      </w:pPr>
      <w:r>
        <w:rPr>
          <w:rFonts w:hint="eastAsia" w:ascii="宋体" w:hAnsi="宋体"/>
          <w:b/>
          <w:color w:val="auto"/>
          <w:szCs w:val="21"/>
        </w:rPr>
        <w:t>五、</w:t>
      </w:r>
      <w:r>
        <w:rPr>
          <w:rFonts w:hint="eastAsia" w:ascii="宋体" w:hAnsi="宋体" w:cs="Arial"/>
          <w:b/>
          <w:color w:val="auto"/>
          <w:szCs w:val="21"/>
        </w:rPr>
        <w:t>投标起止时间及方式</w:t>
      </w:r>
    </w:p>
    <w:p>
      <w:pPr>
        <w:spacing w:line="360" w:lineRule="auto"/>
        <w:ind w:firstLine="420" w:firstLineChars="200"/>
        <w:rPr>
          <w:rFonts w:ascii="宋体" w:hAnsi="宋体"/>
          <w:bCs/>
          <w:color w:val="auto"/>
          <w:kern w:val="0"/>
          <w:szCs w:val="21"/>
        </w:rPr>
      </w:pPr>
      <w:r>
        <w:rPr>
          <w:rFonts w:hint="eastAsia" w:ascii="宋体" w:hAnsi="宋体"/>
          <w:bCs/>
          <w:color w:val="auto"/>
          <w:kern w:val="0"/>
          <w:szCs w:val="21"/>
        </w:rPr>
        <w:t>1.投标截止时间：202</w:t>
      </w:r>
      <w:r>
        <w:rPr>
          <w:rFonts w:hint="eastAsia" w:ascii="宋体" w:hAnsi="宋体"/>
          <w:bCs/>
          <w:color w:val="auto"/>
          <w:kern w:val="0"/>
          <w:szCs w:val="21"/>
          <w:lang w:val="en-US" w:eastAsia="zh-CN"/>
        </w:rPr>
        <w:t>5</w:t>
      </w:r>
      <w:r>
        <w:rPr>
          <w:rFonts w:hint="eastAsia" w:ascii="宋体" w:hAnsi="宋体"/>
          <w:bCs/>
          <w:color w:val="auto"/>
          <w:kern w:val="0"/>
          <w:szCs w:val="21"/>
        </w:rPr>
        <w:t>年</w:t>
      </w:r>
      <w:r>
        <w:rPr>
          <w:rFonts w:hint="eastAsia" w:ascii="宋体" w:hAnsi="宋体"/>
          <w:bCs/>
          <w:color w:val="auto"/>
          <w:kern w:val="0"/>
          <w:szCs w:val="21"/>
          <w:lang w:val="en-US" w:eastAsia="zh-CN"/>
        </w:rPr>
        <w:t>1</w:t>
      </w:r>
      <w:r>
        <w:rPr>
          <w:rFonts w:hint="eastAsia" w:ascii="宋体" w:hAnsi="宋体"/>
          <w:bCs/>
          <w:color w:val="auto"/>
          <w:kern w:val="0"/>
          <w:szCs w:val="21"/>
        </w:rPr>
        <w:t>月</w:t>
      </w:r>
      <w:r>
        <w:rPr>
          <w:rFonts w:hint="eastAsia" w:ascii="宋体" w:hAnsi="宋体"/>
          <w:bCs/>
          <w:color w:val="auto"/>
          <w:kern w:val="0"/>
          <w:szCs w:val="21"/>
          <w:lang w:val="en-US" w:eastAsia="zh-CN"/>
        </w:rPr>
        <w:t>10</w:t>
      </w:r>
      <w:r>
        <w:rPr>
          <w:rFonts w:hint="eastAsia" w:ascii="宋体" w:hAnsi="宋体"/>
          <w:bCs/>
          <w:color w:val="auto"/>
          <w:kern w:val="0"/>
          <w:szCs w:val="21"/>
        </w:rPr>
        <w:t>日</w:t>
      </w:r>
      <w:r>
        <w:rPr>
          <w:rFonts w:hint="eastAsia" w:ascii="宋体" w:hAnsi="宋体"/>
          <w:bCs/>
          <w:color w:val="auto"/>
          <w:kern w:val="0"/>
          <w:szCs w:val="21"/>
          <w:lang w:val="en-US" w:eastAsia="zh-CN"/>
        </w:rPr>
        <w:t>9</w:t>
      </w:r>
      <w:r>
        <w:rPr>
          <w:rFonts w:hint="eastAsia" w:ascii="宋体" w:hAnsi="宋体"/>
          <w:bCs/>
          <w:color w:val="auto"/>
          <w:kern w:val="0"/>
          <w:szCs w:val="21"/>
        </w:rPr>
        <w:t>时30分（北京时间）</w:t>
      </w:r>
    </w:p>
    <w:p>
      <w:pPr>
        <w:spacing w:line="360" w:lineRule="auto"/>
        <w:ind w:firstLine="420" w:firstLineChars="200"/>
        <w:rPr>
          <w:rFonts w:ascii="宋体" w:hAnsi="宋体"/>
          <w:bCs/>
          <w:color w:val="auto"/>
          <w:kern w:val="0"/>
          <w:szCs w:val="21"/>
        </w:rPr>
      </w:pPr>
      <w:r>
        <w:rPr>
          <w:rFonts w:hint="eastAsia" w:ascii="宋体" w:hAnsi="宋体"/>
          <w:bCs/>
          <w:color w:val="auto"/>
          <w:kern w:val="0"/>
          <w:szCs w:val="21"/>
        </w:rPr>
        <w:t>2.本项目实行网上电子投标，投标人可在系统中编制投标文件，且应于投标截止时间前，登录政府采购云平台，按规定进行投标，逾期投标视为未投标。</w:t>
      </w:r>
    </w:p>
    <w:p>
      <w:pPr>
        <w:spacing w:line="360" w:lineRule="auto"/>
        <w:jc w:val="left"/>
        <w:rPr>
          <w:rFonts w:ascii="宋体" w:hAnsi="宋体"/>
          <w:b/>
          <w:color w:val="auto"/>
          <w:szCs w:val="21"/>
        </w:rPr>
      </w:pPr>
      <w:r>
        <w:rPr>
          <w:rFonts w:hint="eastAsia" w:ascii="宋体" w:hAnsi="宋体"/>
          <w:b/>
          <w:color w:val="auto"/>
          <w:szCs w:val="21"/>
        </w:rPr>
        <w:t>六、开标时间和地点：</w:t>
      </w:r>
    </w:p>
    <w:p>
      <w:pPr>
        <w:spacing w:line="360" w:lineRule="auto"/>
        <w:ind w:firstLine="411" w:firstLineChars="196"/>
        <w:rPr>
          <w:rFonts w:ascii="宋体" w:hAnsi="宋体"/>
          <w:color w:val="auto"/>
          <w:szCs w:val="21"/>
        </w:rPr>
      </w:pPr>
      <w:r>
        <w:rPr>
          <w:rFonts w:hint="eastAsia" w:ascii="宋体" w:hAnsi="宋体"/>
          <w:color w:val="auto"/>
          <w:szCs w:val="21"/>
        </w:rPr>
        <w:t>1.开标时间：</w:t>
      </w:r>
      <w:r>
        <w:rPr>
          <w:rFonts w:hint="eastAsia" w:ascii="宋体" w:hAnsi="宋体"/>
          <w:bCs/>
          <w:color w:val="auto"/>
          <w:kern w:val="0"/>
          <w:szCs w:val="21"/>
        </w:rPr>
        <w:t>202</w:t>
      </w:r>
      <w:r>
        <w:rPr>
          <w:rFonts w:hint="eastAsia" w:ascii="宋体" w:hAnsi="宋体"/>
          <w:bCs/>
          <w:color w:val="auto"/>
          <w:kern w:val="0"/>
          <w:szCs w:val="21"/>
          <w:lang w:val="en-US" w:eastAsia="zh-CN"/>
        </w:rPr>
        <w:t>5</w:t>
      </w:r>
      <w:r>
        <w:rPr>
          <w:rFonts w:hint="eastAsia" w:ascii="宋体" w:hAnsi="宋体"/>
          <w:bCs/>
          <w:color w:val="auto"/>
          <w:kern w:val="0"/>
          <w:szCs w:val="21"/>
        </w:rPr>
        <w:t>年</w:t>
      </w:r>
      <w:r>
        <w:rPr>
          <w:rFonts w:hint="eastAsia" w:ascii="宋体" w:hAnsi="宋体"/>
          <w:bCs/>
          <w:color w:val="auto"/>
          <w:kern w:val="0"/>
          <w:szCs w:val="21"/>
          <w:lang w:val="en-US" w:eastAsia="zh-CN"/>
        </w:rPr>
        <w:t>1</w:t>
      </w:r>
      <w:r>
        <w:rPr>
          <w:rFonts w:hint="eastAsia" w:ascii="宋体" w:hAnsi="宋体"/>
          <w:bCs/>
          <w:color w:val="auto"/>
          <w:kern w:val="0"/>
          <w:szCs w:val="21"/>
        </w:rPr>
        <w:t>月</w:t>
      </w:r>
      <w:r>
        <w:rPr>
          <w:rFonts w:hint="eastAsia" w:ascii="宋体" w:hAnsi="宋体"/>
          <w:bCs/>
          <w:color w:val="auto"/>
          <w:kern w:val="0"/>
          <w:szCs w:val="21"/>
          <w:lang w:val="en-US" w:eastAsia="zh-CN"/>
        </w:rPr>
        <w:t>10</w:t>
      </w:r>
      <w:r>
        <w:rPr>
          <w:rFonts w:hint="eastAsia" w:ascii="宋体" w:hAnsi="宋体"/>
          <w:bCs/>
          <w:color w:val="auto"/>
          <w:kern w:val="0"/>
          <w:szCs w:val="21"/>
        </w:rPr>
        <w:t>日</w:t>
      </w:r>
      <w:r>
        <w:rPr>
          <w:rFonts w:hint="eastAsia" w:ascii="宋体" w:hAnsi="宋体"/>
          <w:bCs/>
          <w:color w:val="auto"/>
          <w:kern w:val="0"/>
          <w:szCs w:val="21"/>
          <w:lang w:val="en-US" w:eastAsia="zh-CN"/>
        </w:rPr>
        <w:t>9</w:t>
      </w:r>
      <w:r>
        <w:rPr>
          <w:rFonts w:hint="eastAsia" w:ascii="宋体" w:hAnsi="宋体"/>
          <w:bCs/>
          <w:color w:val="auto"/>
          <w:kern w:val="0"/>
          <w:szCs w:val="21"/>
        </w:rPr>
        <w:t>时30分</w:t>
      </w:r>
      <w:r>
        <w:rPr>
          <w:rFonts w:hint="eastAsia" w:ascii="宋体" w:hAnsi="宋体"/>
          <w:color w:val="auto"/>
          <w:szCs w:val="21"/>
        </w:rPr>
        <w:t>（北京时间）</w:t>
      </w:r>
    </w:p>
    <w:p>
      <w:pPr>
        <w:spacing w:line="360" w:lineRule="auto"/>
        <w:ind w:firstLine="411" w:firstLineChars="196"/>
        <w:rPr>
          <w:rFonts w:ascii="宋体" w:hAnsi="宋体"/>
          <w:color w:val="auto"/>
          <w:szCs w:val="21"/>
        </w:rPr>
      </w:pPr>
      <w:r>
        <w:rPr>
          <w:rFonts w:hint="eastAsia" w:ascii="宋体" w:hAnsi="宋体"/>
          <w:color w:val="auto"/>
          <w:szCs w:val="21"/>
        </w:rPr>
        <w:t>2.开标地点：</w:t>
      </w:r>
      <w:r>
        <w:rPr>
          <w:rFonts w:hint="eastAsia" w:ascii="宋体" w:hAnsi="宋体" w:cs="Arial"/>
          <w:color w:val="auto"/>
          <w:szCs w:val="21"/>
        </w:rPr>
        <w:t>政府采购云平台（http://zfcg.czt.zj.gov.cn）</w:t>
      </w:r>
      <w:bookmarkStart w:id="8" w:name="OLE_LINK32"/>
      <w:r>
        <w:rPr>
          <w:rFonts w:ascii="宋体" w:hAnsi="宋体"/>
          <w:color w:val="auto"/>
          <w:szCs w:val="21"/>
        </w:rPr>
        <w:t>宁波市北仑区长江路1166号行政大楼B楼北仑区（开发区）公共资源交易中心</w:t>
      </w:r>
      <w:bookmarkEnd w:id="8"/>
      <w:r>
        <w:rPr>
          <w:rFonts w:ascii="宋体" w:hAnsi="宋体"/>
          <w:color w:val="auto"/>
          <w:szCs w:val="21"/>
        </w:rPr>
        <w:t>（招投标中心）交易厅（详见中心候标区电子显示屏）</w:t>
      </w:r>
      <w:r>
        <w:rPr>
          <w:rFonts w:hint="eastAsia" w:ascii="宋体" w:hAnsi="宋体"/>
          <w:color w:val="auto"/>
          <w:szCs w:val="21"/>
        </w:rPr>
        <w:t>。</w:t>
      </w:r>
    </w:p>
    <w:p>
      <w:pPr>
        <w:tabs>
          <w:tab w:val="left" w:pos="3150"/>
        </w:tabs>
        <w:snapToGrid w:val="0"/>
        <w:spacing w:line="360" w:lineRule="auto"/>
        <w:rPr>
          <w:rFonts w:ascii="宋体" w:hAnsi="宋体"/>
          <w:b/>
          <w:bCs/>
          <w:color w:val="auto"/>
          <w:kern w:val="0"/>
          <w:szCs w:val="21"/>
        </w:rPr>
      </w:pPr>
      <w:r>
        <w:rPr>
          <w:rFonts w:hint="eastAsia" w:ascii="宋体" w:hAnsi="宋体"/>
          <w:b/>
          <w:bCs/>
          <w:color w:val="auto"/>
          <w:kern w:val="0"/>
          <w:szCs w:val="21"/>
        </w:rPr>
        <w:t>七、注意事项：</w:t>
      </w:r>
    </w:p>
    <w:p>
      <w:pPr>
        <w:tabs>
          <w:tab w:val="left" w:pos="3150"/>
        </w:tabs>
        <w:snapToGrid w:val="0"/>
        <w:spacing w:line="360" w:lineRule="auto"/>
        <w:ind w:firstLine="420" w:firstLineChars="200"/>
        <w:rPr>
          <w:rFonts w:ascii="宋体" w:hAnsi="宋体" w:cs="宋体"/>
          <w:color w:val="auto"/>
        </w:rPr>
      </w:pPr>
      <w:r>
        <w:rPr>
          <w:rFonts w:hint="eastAsia" w:ascii="宋体" w:hAnsi="宋体" w:cs="宋体"/>
          <w:color w:val="auto"/>
        </w:rPr>
        <w:t>1.投标文件制作：</w:t>
      </w:r>
    </w:p>
    <w:p>
      <w:pPr>
        <w:tabs>
          <w:tab w:val="left" w:pos="3150"/>
        </w:tabs>
        <w:snapToGrid w:val="0"/>
        <w:spacing w:line="360" w:lineRule="auto"/>
        <w:ind w:firstLine="420" w:firstLineChars="200"/>
        <w:rPr>
          <w:rFonts w:ascii="宋体" w:hAnsi="宋体" w:cs="宋体"/>
          <w:color w:val="auto"/>
        </w:rPr>
      </w:pPr>
      <w:r>
        <w:rPr>
          <w:rFonts w:hint="eastAsia" w:ascii="宋体" w:hAnsi="宋体" w:cs="宋体"/>
          <w:color w:val="auto"/>
        </w:rPr>
        <w:t>1.1应按照本项目招标文件和政府采购云平台的要求编制、加密并递交投标文件。投标人在使用系统进行投标的过程中遇到涉及平台使用的任何问题，可致电政府采购云平台技术支持热线咨询，联系方式：</w:t>
      </w:r>
      <w:r>
        <w:rPr>
          <w:rFonts w:hint="eastAsia" w:ascii="宋体" w:hAnsi="宋体" w:cs="宋体"/>
          <w:color w:val="auto"/>
          <w:szCs w:val="21"/>
        </w:rPr>
        <w:t>95763</w:t>
      </w:r>
      <w:r>
        <w:rPr>
          <w:rFonts w:hint="eastAsia" w:ascii="宋体" w:hAnsi="宋体" w:cs="宋体"/>
          <w:color w:val="auto"/>
        </w:rPr>
        <w:t>。</w:t>
      </w:r>
    </w:p>
    <w:p>
      <w:pPr>
        <w:tabs>
          <w:tab w:val="left" w:pos="3150"/>
        </w:tabs>
        <w:snapToGrid w:val="0"/>
        <w:spacing w:line="360" w:lineRule="auto"/>
        <w:ind w:firstLine="420" w:firstLineChars="200"/>
        <w:rPr>
          <w:rFonts w:ascii="宋体" w:hAnsi="宋体" w:cs="宋体"/>
          <w:color w:val="auto"/>
        </w:rPr>
      </w:pPr>
      <w:r>
        <w:rPr>
          <w:rFonts w:hint="eastAsia" w:ascii="宋体" w:hAnsi="宋体" w:cs="宋体"/>
          <w:color w:val="auto"/>
        </w:rPr>
        <w:t>1.2投标人通过政府采购云平台电子投标工具制作投标文件，电子投标工具请投标人自行前往浙江政府采购网下载并安装，投标文件制作具体流程详见政府采购云平台。</w:t>
      </w:r>
    </w:p>
    <w:p>
      <w:pPr>
        <w:tabs>
          <w:tab w:val="left" w:pos="3150"/>
        </w:tabs>
        <w:snapToGrid w:val="0"/>
        <w:spacing w:line="360" w:lineRule="auto"/>
        <w:ind w:firstLine="420" w:firstLineChars="200"/>
        <w:rPr>
          <w:rFonts w:ascii="宋体" w:hAnsi="宋体" w:cs="宋体"/>
          <w:color w:val="auto"/>
        </w:rPr>
      </w:pPr>
      <w:r>
        <w:rPr>
          <w:rFonts w:hint="eastAsia" w:ascii="宋体" w:hAnsi="宋体" w:cs="宋体"/>
          <w:color w:val="auto"/>
        </w:rPr>
        <w:t>1.3以U盘存储的电子备份投标文件1份，按政府采购云平台要求制作的电子备份投标文件，以用于异常情况处理。</w:t>
      </w:r>
    </w:p>
    <w:p>
      <w:pPr>
        <w:tabs>
          <w:tab w:val="left" w:pos="3150"/>
        </w:tabs>
        <w:snapToGrid w:val="0"/>
        <w:spacing w:line="360" w:lineRule="auto"/>
        <w:ind w:firstLine="420" w:firstLineChars="200"/>
        <w:rPr>
          <w:rFonts w:ascii="宋体" w:hAnsi="宋体" w:cs="宋体"/>
          <w:color w:val="auto"/>
        </w:rPr>
      </w:pPr>
      <w:r>
        <w:rPr>
          <w:rFonts w:hint="eastAsia" w:ascii="宋体" w:hAnsi="宋体" w:cs="宋体"/>
          <w:color w:val="auto"/>
        </w:rPr>
        <w:t>2.本招标公告附件中的招标文件仅供阅览使用，投标人应在规定的招标文件获取期限内在政采云平台登录投标人注册的账号后获取招标文件，未按上述方式获招标文件的，不得对磋商文件提起异议投诉。</w:t>
      </w:r>
    </w:p>
    <w:p>
      <w:pPr>
        <w:tabs>
          <w:tab w:val="left" w:pos="3150"/>
        </w:tabs>
        <w:snapToGrid w:val="0"/>
        <w:spacing w:line="360" w:lineRule="auto"/>
        <w:ind w:firstLine="420" w:firstLineChars="200"/>
        <w:rPr>
          <w:rFonts w:ascii="宋体" w:hAnsi="宋体" w:cs="宋体"/>
          <w:color w:val="auto"/>
        </w:rPr>
      </w:pPr>
      <w:r>
        <w:rPr>
          <w:rFonts w:hint="eastAsia" w:ascii="宋体" w:hAnsi="宋体" w:cs="宋体"/>
          <w:color w:val="auto"/>
        </w:rPr>
        <w:t>3.投标人应于提交投标文件截止时间前将电子投标文件上传到政府采购云平台www.zcygov.cn，未上传电子投标文件，视为投标人放弃投标。</w:t>
      </w:r>
    </w:p>
    <w:p>
      <w:pPr>
        <w:tabs>
          <w:tab w:val="left" w:pos="3150"/>
        </w:tabs>
        <w:snapToGrid w:val="0"/>
        <w:spacing w:line="360" w:lineRule="auto"/>
        <w:ind w:firstLine="420" w:firstLineChars="200"/>
        <w:rPr>
          <w:rFonts w:ascii="宋体" w:hAnsi="宋体" w:cs="宋体"/>
          <w:color w:val="auto"/>
        </w:rPr>
      </w:pPr>
      <w:r>
        <w:rPr>
          <w:rFonts w:hint="eastAsia" w:ascii="宋体" w:hAnsi="宋体" w:cs="宋体"/>
          <w:color w:val="auto"/>
        </w:rPr>
        <w:t>4.投标人电子备份投标文件的投标方式：投标人可采用邮寄（含快递）方式或现场方式递交。</w:t>
      </w:r>
    </w:p>
    <w:p>
      <w:pPr>
        <w:tabs>
          <w:tab w:val="left" w:pos="3150"/>
        </w:tabs>
        <w:snapToGrid w:val="0"/>
        <w:spacing w:line="360" w:lineRule="auto"/>
        <w:ind w:firstLine="420" w:firstLineChars="200"/>
        <w:rPr>
          <w:rFonts w:ascii="宋体" w:hAnsi="宋体" w:cs="宋体"/>
          <w:color w:val="auto"/>
        </w:rPr>
      </w:pPr>
      <w:r>
        <w:rPr>
          <w:rFonts w:hint="eastAsia" w:ascii="宋体" w:hAnsi="宋体" w:cs="宋体"/>
          <w:color w:val="auto"/>
        </w:rPr>
        <w:t>4.1采用邮寄方式递交的，需按以下要求递交：各投标人在投标文件提交截止时间前将投标文件邮寄至规定地点，由招标代理工作人员进行签收，各投标人自行考虑邮寄在途时间，邮寄过程中无论何种因素导致投标文件未按时递交的后果，均由投标人自行负责。投标文件递交时间以招标代理实际收到投标文件的时间为准。</w:t>
      </w:r>
    </w:p>
    <w:p>
      <w:pPr>
        <w:tabs>
          <w:tab w:val="left" w:pos="3150"/>
        </w:tabs>
        <w:snapToGrid w:val="0"/>
        <w:spacing w:line="360" w:lineRule="auto"/>
        <w:ind w:firstLine="420" w:firstLineChars="200"/>
        <w:rPr>
          <w:rFonts w:ascii="宋体" w:hAnsi="宋体" w:cs="宋体"/>
          <w:color w:val="auto"/>
          <w:szCs w:val="22"/>
        </w:rPr>
      </w:pPr>
      <w:r>
        <w:rPr>
          <w:rFonts w:hint="eastAsia" w:ascii="宋体" w:hAnsi="宋体" w:cs="宋体"/>
          <w:color w:val="auto"/>
        </w:rPr>
        <w:t>拟在202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1</w:t>
      </w:r>
      <w:r>
        <w:rPr>
          <w:rFonts w:hint="eastAsia" w:ascii="宋体" w:hAnsi="宋体" w:cs="宋体"/>
          <w:color w:val="auto"/>
        </w:rPr>
        <w:t>月</w:t>
      </w:r>
      <w:r>
        <w:rPr>
          <w:rFonts w:hint="eastAsia" w:ascii="宋体" w:hAnsi="宋体" w:cs="宋体"/>
          <w:color w:val="auto"/>
          <w:lang w:val="en-US" w:eastAsia="zh-CN"/>
        </w:rPr>
        <w:t>9</w:t>
      </w:r>
      <w:r>
        <w:rPr>
          <w:rFonts w:hint="eastAsia" w:ascii="宋体" w:hAnsi="宋体" w:cs="宋体"/>
          <w:color w:val="auto"/>
        </w:rPr>
        <w:t>日16：00前到件的邮寄地址为：</w:t>
      </w:r>
      <w:r>
        <w:rPr>
          <w:rFonts w:hint="eastAsia" w:ascii="宋体" w:hAnsi="宋体" w:cs="宋体"/>
          <w:color w:val="auto"/>
          <w:szCs w:val="21"/>
        </w:rPr>
        <w:t>宁波市江北区环城北路西段207弄19号世茂茂悦商业中心1号楼八楼</w:t>
      </w:r>
      <w:r>
        <w:rPr>
          <w:rFonts w:hint="eastAsia" w:ascii="宋体" w:hAnsi="宋体" w:cs="宋体"/>
          <w:color w:val="auto"/>
          <w:szCs w:val="22"/>
        </w:rPr>
        <w:t>。收件人：郭爱   联系方式：0574-87495260</w:t>
      </w:r>
    </w:p>
    <w:p>
      <w:pPr>
        <w:tabs>
          <w:tab w:val="left" w:pos="3150"/>
        </w:tabs>
        <w:snapToGrid w:val="0"/>
        <w:spacing w:line="360" w:lineRule="auto"/>
        <w:ind w:firstLine="420" w:firstLineChars="200"/>
        <w:rPr>
          <w:rFonts w:ascii="宋体" w:hAnsi="宋体" w:cs="宋体"/>
          <w:color w:val="auto"/>
        </w:rPr>
      </w:pPr>
      <w:r>
        <w:rPr>
          <w:rFonts w:hint="eastAsia" w:ascii="宋体" w:hAnsi="宋体" w:cs="宋体"/>
          <w:color w:val="auto"/>
        </w:rPr>
        <w:t>请各投标人确保密封包装在邮寄过程密封包装完好，因邮寄过程的密封破损造成不符合开标要求的，本招标人及代理机构概不负责。</w:t>
      </w:r>
    </w:p>
    <w:p>
      <w:pPr>
        <w:tabs>
          <w:tab w:val="left" w:pos="3150"/>
        </w:tabs>
        <w:snapToGrid w:val="0"/>
        <w:spacing w:line="360" w:lineRule="auto"/>
        <w:ind w:firstLine="420" w:firstLineChars="200"/>
        <w:rPr>
          <w:rFonts w:ascii="宋体" w:hAnsi="宋体" w:cs="宋体"/>
          <w:color w:val="auto"/>
        </w:rPr>
      </w:pPr>
      <w:r>
        <w:rPr>
          <w:rFonts w:hint="eastAsia" w:ascii="宋体" w:hAnsi="宋体" w:cs="宋体"/>
          <w:color w:val="auto"/>
        </w:rPr>
        <w:t>4.2采用现场方式送达的，需按以下要求递交：所有投标人相关人员在投标截止时间前将电子备份投标文件送至投标地点。电子备份投标文件递交时需同时递交投标人的法定代表人（或其委托代理人）联系方式，并保证开标期间联系方式的畅通。</w:t>
      </w:r>
    </w:p>
    <w:p>
      <w:pPr>
        <w:tabs>
          <w:tab w:val="left" w:pos="3150"/>
        </w:tabs>
        <w:snapToGrid w:val="0"/>
        <w:spacing w:line="360" w:lineRule="auto"/>
        <w:rPr>
          <w:rFonts w:ascii="宋体" w:hAnsi="宋体"/>
          <w:b/>
          <w:color w:val="auto"/>
          <w:kern w:val="0"/>
          <w:szCs w:val="21"/>
        </w:rPr>
      </w:pPr>
      <w:r>
        <w:rPr>
          <w:rFonts w:hint="eastAsia" w:ascii="宋体" w:hAnsi="宋体"/>
          <w:b/>
          <w:color w:val="auto"/>
          <w:kern w:val="0"/>
          <w:szCs w:val="21"/>
        </w:rPr>
        <w:t>八、招标人及其委托代理机构联系方式：</w:t>
      </w:r>
    </w:p>
    <w:p>
      <w:pPr>
        <w:widowControl/>
        <w:spacing w:line="360" w:lineRule="auto"/>
        <w:ind w:firstLine="420" w:firstLineChars="200"/>
        <w:rPr>
          <w:rFonts w:ascii="宋体" w:hAnsi="宋体"/>
          <w:color w:val="auto"/>
          <w:kern w:val="0"/>
          <w:szCs w:val="21"/>
        </w:rPr>
      </w:pPr>
      <w:r>
        <w:rPr>
          <w:rFonts w:hint="eastAsia" w:ascii="宋体" w:hAnsi="宋体"/>
          <w:color w:val="auto"/>
          <w:kern w:val="0"/>
          <w:szCs w:val="21"/>
        </w:rPr>
        <w:t>招标人：北京大学宁波海洋药物研究院</w:t>
      </w:r>
    </w:p>
    <w:p>
      <w:pPr>
        <w:widowControl/>
        <w:spacing w:line="360" w:lineRule="auto"/>
        <w:ind w:firstLine="420" w:firstLineChars="200"/>
        <w:rPr>
          <w:rFonts w:ascii="宋体" w:hAnsi="宋体"/>
          <w:color w:val="auto"/>
          <w:kern w:val="0"/>
          <w:szCs w:val="21"/>
        </w:rPr>
      </w:pPr>
      <w:r>
        <w:rPr>
          <w:rFonts w:hint="eastAsia" w:ascii="宋体" w:hAnsi="宋体"/>
          <w:color w:val="auto"/>
          <w:kern w:val="0"/>
          <w:szCs w:val="21"/>
        </w:rPr>
        <w:t>地址：</w:t>
      </w:r>
      <w:bookmarkStart w:id="9" w:name="OLE_LINK4"/>
      <w:r>
        <w:rPr>
          <w:rFonts w:hint="eastAsia" w:ascii="宋体" w:hAnsi="宋体"/>
          <w:color w:val="auto"/>
          <w:kern w:val="0"/>
          <w:szCs w:val="21"/>
        </w:rPr>
        <w:t>宁波市梅山街道康达路宁波大学(梅山校区)东北侧约130米三创基地二期11号楼</w:t>
      </w:r>
      <w:bookmarkEnd w:id="9"/>
    </w:p>
    <w:p>
      <w:pPr>
        <w:widowControl/>
        <w:spacing w:line="360" w:lineRule="auto"/>
        <w:ind w:firstLine="420" w:firstLineChars="200"/>
        <w:rPr>
          <w:rFonts w:ascii="宋体" w:hAnsi="宋体"/>
          <w:color w:val="auto"/>
          <w:kern w:val="0"/>
          <w:szCs w:val="21"/>
        </w:rPr>
      </w:pPr>
      <w:r>
        <w:rPr>
          <w:rFonts w:hint="eastAsia" w:ascii="宋体" w:hAnsi="宋体"/>
          <w:color w:val="auto"/>
          <w:kern w:val="0"/>
          <w:szCs w:val="21"/>
        </w:rPr>
        <w:t>联系人：冯</w:t>
      </w:r>
      <w:r>
        <w:rPr>
          <w:rFonts w:ascii="宋体" w:hAnsi="宋体"/>
          <w:color w:val="auto"/>
          <w:kern w:val="0"/>
          <w:szCs w:val="21"/>
        </w:rPr>
        <w:t>老师</w:t>
      </w:r>
      <w:r>
        <w:rPr>
          <w:rFonts w:hint="eastAsia" w:ascii="宋体" w:hAnsi="宋体"/>
          <w:color w:val="auto"/>
          <w:kern w:val="0"/>
          <w:szCs w:val="21"/>
        </w:rPr>
        <w:t>、</w:t>
      </w:r>
      <w:bookmarkStart w:id="10" w:name="OLE_LINK2"/>
      <w:r>
        <w:rPr>
          <w:rFonts w:ascii="宋体" w:hAnsi="宋体"/>
          <w:color w:val="auto"/>
          <w:kern w:val="0"/>
          <w:szCs w:val="21"/>
        </w:rPr>
        <w:t>王老师</w:t>
      </w:r>
      <w:bookmarkEnd w:id="10"/>
    </w:p>
    <w:p>
      <w:pPr>
        <w:widowControl/>
        <w:spacing w:line="360" w:lineRule="auto"/>
        <w:ind w:firstLine="420" w:firstLineChars="200"/>
        <w:rPr>
          <w:rFonts w:ascii="宋体" w:hAnsi="宋体"/>
          <w:color w:val="auto"/>
          <w:kern w:val="0"/>
          <w:szCs w:val="21"/>
        </w:rPr>
      </w:pPr>
      <w:r>
        <w:rPr>
          <w:rFonts w:hint="eastAsia" w:ascii="宋体" w:hAnsi="宋体"/>
          <w:color w:val="auto"/>
          <w:kern w:val="0"/>
          <w:szCs w:val="21"/>
        </w:rPr>
        <w:t>联系电话：</w:t>
      </w:r>
      <w:bookmarkStart w:id="11" w:name="OLE_LINK3"/>
      <w:r>
        <w:rPr>
          <w:rFonts w:hint="eastAsia" w:ascii="宋体" w:hAnsi="宋体"/>
          <w:color w:val="auto"/>
          <w:kern w:val="0"/>
          <w:szCs w:val="21"/>
        </w:rPr>
        <w:t>0574-86000889</w:t>
      </w:r>
      <w:bookmarkEnd w:id="11"/>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代理机构：宁波市国际招标有限公司</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地址：</w:t>
      </w:r>
      <w:r>
        <w:rPr>
          <w:rFonts w:ascii="宋体" w:hAnsi="宋体"/>
          <w:color w:val="auto"/>
          <w:szCs w:val="21"/>
        </w:rPr>
        <w:t>宁波</w:t>
      </w:r>
      <w:r>
        <w:rPr>
          <w:rFonts w:ascii="宋体" w:hAnsi="宋体" w:cs="宋体"/>
          <w:color w:val="auto"/>
          <w:kern w:val="0"/>
          <w:szCs w:val="21"/>
        </w:rPr>
        <w:t>市</w:t>
      </w:r>
      <w:r>
        <w:rPr>
          <w:rFonts w:ascii="宋体" w:hAnsi="宋体"/>
          <w:color w:val="auto"/>
          <w:szCs w:val="21"/>
        </w:rPr>
        <w:t>江北</w:t>
      </w:r>
      <w:r>
        <w:rPr>
          <w:rFonts w:ascii="宋体" w:hAnsi="宋体" w:cs="宋体"/>
          <w:color w:val="auto"/>
          <w:kern w:val="0"/>
          <w:szCs w:val="21"/>
        </w:rPr>
        <w:t>区环城北路西段207弄19号世茂茂悦商业中心1号楼八楼</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联系人：章海波、郭爱、翁伟冬、戴启东</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2"/>
        </w:rPr>
        <w:t>0574-87495260</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异议、投诉受理单位：宁波市北仑区财政局（国库局）</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联系电话：0574-89383739</w:t>
      </w:r>
    </w:p>
    <w:p>
      <w:pPr>
        <w:widowControl/>
        <w:spacing w:line="400" w:lineRule="exact"/>
        <w:jc w:val="left"/>
        <w:rPr>
          <w:rFonts w:ascii="宋体" w:hAnsi="宋体" w:cs="宋体"/>
          <w:b/>
          <w:bCs/>
          <w:color w:val="auto"/>
          <w:kern w:val="0"/>
          <w:szCs w:val="21"/>
        </w:rPr>
      </w:pPr>
      <w:r>
        <w:rPr>
          <w:rFonts w:hint="eastAsia" w:ascii="宋体" w:hAnsi="宋体" w:cs="宋体"/>
          <w:b/>
          <w:bCs/>
          <w:color w:val="auto"/>
          <w:kern w:val="0"/>
          <w:szCs w:val="21"/>
        </w:rPr>
        <w:t>若对项目电子交易系统操作有疑问，可登录政采云（https：//www.zcygov.cn/），点击右侧咨询小采，获取采小蜜智能服务管家帮助，或拨打政采云服务热线</w:t>
      </w:r>
      <w:r>
        <w:rPr>
          <w:rFonts w:ascii="宋体" w:hAnsi="宋体" w:cs="宋体"/>
          <w:b/>
          <w:bCs/>
          <w:color w:val="auto"/>
          <w:kern w:val="0"/>
          <w:szCs w:val="21"/>
        </w:rPr>
        <w:t>95763</w:t>
      </w:r>
      <w:r>
        <w:rPr>
          <w:rFonts w:hint="eastAsia" w:ascii="宋体" w:hAnsi="宋体" w:cs="宋体"/>
          <w:b/>
          <w:bCs/>
          <w:color w:val="auto"/>
          <w:kern w:val="0"/>
          <w:szCs w:val="21"/>
        </w:rPr>
        <w:t>获取热线服务帮助。</w:t>
      </w:r>
    </w:p>
    <w:p>
      <w:pPr>
        <w:widowControl/>
        <w:spacing w:line="400" w:lineRule="exact"/>
        <w:jc w:val="left"/>
        <w:rPr>
          <w:rFonts w:ascii="宋体" w:hAnsi="宋体"/>
          <w:color w:val="auto"/>
          <w:sz w:val="36"/>
          <w:szCs w:val="36"/>
        </w:rPr>
      </w:pPr>
      <w:r>
        <w:rPr>
          <w:rFonts w:hint="eastAsia" w:ascii="宋体" w:hAnsi="宋体" w:cs="宋体"/>
          <w:b/>
          <w:bCs/>
          <w:color w:val="auto"/>
          <w:kern w:val="0"/>
          <w:szCs w:val="21"/>
        </w:rPr>
        <w:t>CA问题联系电话（人工）：汇信CA400-888-4636；天谷CA400-087-8198。</w:t>
      </w:r>
      <w:bookmarkEnd w:id="4"/>
    </w:p>
    <w:bookmarkEnd w:id="5"/>
    <w:p>
      <w:pPr>
        <w:pStyle w:val="8"/>
        <w:snapToGrid w:val="0"/>
        <w:spacing w:beforeLines="0" w:afterLines="0" w:line="360" w:lineRule="auto"/>
        <w:jc w:val="center"/>
        <w:outlineLvl w:val="0"/>
        <w:rPr>
          <w:rFonts w:hAnsi="宋体"/>
          <w:color w:val="auto"/>
          <w:sz w:val="28"/>
          <w:szCs w:val="28"/>
        </w:rPr>
      </w:pPr>
      <w:r>
        <w:rPr>
          <w:rFonts w:hint="eastAsia" w:hAnsi="宋体"/>
          <w:b/>
          <w:color w:val="auto"/>
          <w:sz w:val="30"/>
          <w:szCs w:val="30"/>
        </w:rPr>
        <w:br w:type="page"/>
      </w:r>
      <w:bookmarkStart w:id="12" w:name="_Toc182932765"/>
      <w:r>
        <w:rPr>
          <w:rFonts w:hint="eastAsia" w:hAnsi="宋体"/>
          <w:b/>
          <w:color w:val="auto"/>
          <w:sz w:val="30"/>
          <w:szCs w:val="30"/>
        </w:rPr>
        <w:t>第二章  招标需求</w:t>
      </w:r>
      <w:bookmarkEnd w:id="12"/>
    </w:p>
    <w:p>
      <w:pPr>
        <w:pStyle w:val="31"/>
        <w:spacing w:line="360" w:lineRule="auto"/>
        <w:ind w:firstLine="0" w:firstLineChars="0"/>
        <w:outlineLvl w:val="1"/>
        <w:rPr>
          <w:rFonts w:ascii="宋体" w:hAnsi="宋体" w:eastAsia="宋体"/>
          <w:color w:val="auto"/>
          <w:sz w:val="21"/>
          <w:szCs w:val="21"/>
        </w:rPr>
      </w:pPr>
      <w:bookmarkStart w:id="13" w:name="_Toc182932766"/>
      <w:r>
        <w:rPr>
          <w:rFonts w:hint="eastAsia" w:ascii="宋体" w:hAnsi="宋体" w:eastAsia="宋体"/>
          <w:b/>
          <w:bCs/>
          <w:color w:val="auto"/>
          <w:sz w:val="21"/>
          <w:szCs w:val="21"/>
        </w:rPr>
        <w:t>一、项目背景</w:t>
      </w:r>
      <w:bookmarkEnd w:id="13"/>
    </w:p>
    <w:p>
      <w:pPr>
        <w:pStyle w:val="31"/>
        <w:spacing w:line="360" w:lineRule="auto"/>
        <w:ind w:firstLine="420" w:firstLineChars="0"/>
        <w:rPr>
          <w:rFonts w:ascii="宋体" w:hAnsi="宋体" w:eastAsia="宋体"/>
          <w:b/>
          <w:bCs/>
          <w:color w:val="auto"/>
          <w:sz w:val="21"/>
          <w:szCs w:val="21"/>
        </w:rPr>
      </w:pPr>
      <w:r>
        <w:rPr>
          <w:rFonts w:hint="eastAsia" w:ascii="宋体" w:hAnsi="宋体" w:eastAsia="宋体"/>
          <w:color w:val="auto"/>
          <w:sz w:val="21"/>
          <w:szCs w:val="21"/>
        </w:rPr>
        <w:t>为规范本单位银行账户管理，提高资金使用和管理效率，确保资金保值、增值。根据财库〔2019〕49号《财政部关于切实加强地方预算执行和财政资金安全管理有关事宜的通知》和（仑政办〔2019〕90号）《北仑区（开发区）区级预算单位银行账户和账户开立管理暂行办法的通知》等有关法律法规及相关文件规定，特对北京大学宁波海洋药物研究院基本存款账户项目进行公开招标。</w:t>
      </w:r>
    </w:p>
    <w:p>
      <w:pPr>
        <w:pStyle w:val="31"/>
        <w:spacing w:line="360" w:lineRule="auto"/>
        <w:ind w:firstLine="0" w:firstLineChars="0"/>
        <w:outlineLvl w:val="1"/>
        <w:rPr>
          <w:rFonts w:ascii="宋体" w:hAnsi="宋体" w:eastAsia="宋体"/>
          <w:b/>
          <w:bCs/>
          <w:color w:val="auto"/>
          <w:sz w:val="21"/>
          <w:szCs w:val="21"/>
        </w:rPr>
      </w:pPr>
    </w:p>
    <w:p>
      <w:pPr>
        <w:pStyle w:val="31"/>
        <w:spacing w:line="360" w:lineRule="auto"/>
        <w:ind w:firstLine="0" w:firstLineChars="0"/>
        <w:outlineLvl w:val="1"/>
        <w:rPr>
          <w:rFonts w:ascii="宋体" w:hAnsi="宋体" w:eastAsia="宋体"/>
          <w:color w:val="auto"/>
          <w:sz w:val="21"/>
          <w:szCs w:val="21"/>
        </w:rPr>
      </w:pPr>
      <w:r>
        <w:rPr>
          <w:rFonts w:hint="eastAsia" w:ascii="宋体" w:hAnsi="宋体" w:eastAsia="宋体"/>
          <w:b/>
          <w:bCs/>
          <w:color w:val="auto"/>
          <w:sz w:val="21"/>
          <w:szCs w:val="21"/>
        </w:rPr>
        <w:t>二</w:t>
      </w:r>
      <w:r>
        <w:rPr>
          <w:rFonts w:ascii="宋体" w:hAnsi="宋体" w:eastAsia="宋体"/>
          <w:b/>
          <w:bCs/>
          <w:color w:val="auto"/>
          <w:sz w:val="21"/>
          <w:szCs w:val="21"/>
        </w:rPr>
        <w:t>、</w:t>
      </w:r>
      <w:r>
        <w:rPr>
          <w:rFonts w:hint="eastAsia" w:ascii="宋体" w:hAnsi="宋体" w:eastAsia="宋体"/>
          <w:b/>
          <w:bCs/>
          <w:color w:val="auto"/>
          <w:sz w:val="21"/>
          <w:szCs w:val="21"/>
        </w:rPr>
        <w:t>招标需求</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本项目</w:t>
      </w:r>
      <w:r>
        <w:rPr>
          <w:rFonts w:ascii="宋体" w:hAnsi="宋体"/>
          <w:color w:val="auto"/>
          <w:szCs w:val="21"/>
        </w:rPr>
        <w:t>为</w:t>
      </w:r>
      <w:r>
        <w:rPr>
          <w:rFonts w:hint="eastAsia" w:ascii="宋体" w:hAnsi="宋体"/>
          <w:color w:val="auto"/>
          <w:kern w:val="0"/>
          <w:szCs w:val="21"/>
        </w:rPr>
        <w:t>北京大学宁波海洋药物研究院基本存款账户项目，</w:t>
      </w:r>
      <w:r>
        <w:rPr>
          <w:rFonts w:ascii="宋体" w:hAnsi="宋体"/>
          <w:color w:val="auto"/>
          <w:kern w:val="0"/>
          <w:szCs w:val="21"/>
        </w:rPr>
        <w:t>项目采用综合打分法，</w:t>
      </w:r>
      <w:r>
        <w:rPr>
          <w:rFonts w:hint="eastAsia" w:ascii="宋体" w:hAnsi="宋体"/>
          <w:color w:val="auto"/>
        </w:rPr>
        <w:t>综合得分排序第一名的银行，承担北京大学宁波海洋药物研究院基本存款银行账户。</w:t>
      </w:r>
    </w:p>
    <w:p>
      <w:pPr>
        <w:widowControl/>
        <w:spacing w:line="360" w:lineRule="auto"/>
        <w:jc w:val="left"/>
        <w:outlineLvl w:val="0"/>
        <w:rPr>
          <w:rFonts w:ascii="宋体" w:hAnsi="宋体"/>
          <w:color w:val="auto"/>
          <w:szCs w:val="21"/>
        </w:rPr>
      </w:pPr>
    </w:p>
    <w:p>
      <w:pPr>
        <w:widowControl/>
        <w:spacing w:line="360" w:lineRule="auto"/>
        <w:jc w:val="left"/>
        <w:outlineLvl w:val="0"/>
        <w:rPr>
          <w:rFonts w:ascii="宋体" w:hAnsi="宋体"/>
          <w:b/>
          <w:bCs/>
          <w:color w:val="auto"/>
          <w:szCs w:val="21"/>
        </w:rPr>
      </w:pPr>
      <w:r>
        <w:rPr>
          <w:rFonts w:hint="eastAsia" w:ascii="宋体" w:hAnsi="宋体"/>
          <w:color w:val="auto"/>
          <w:szCs w:val="21"/>
        </w:rPr>
        <w:t>三</w:t>
      </w:r>
      <w:r>
        <w:rPr>
          <w:rFonts w:ascii="宋体" w:hAnsi="宋体"/>
          <w:color w:val="auto"/>
          <w:szCs w:val="21"/>
        </w:rPr>
        <w:t>、</w:t>
      </w:r>
      <w:r>
        <w:rPr>
          <w:rFonts w:hint="eastAsia" w:ascii="宋体" w:hAnsi="宋体"/>
          <w:b/>
          <w:bCs/>
          <w:color w:val="auto"/>
          <w:szCs w:val="21"/>
        </w:rPr>
        <w:t>服务要求</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1、具有承办本项目业务的能力和服务水平，具备先进的信息反馈系统，能够及时、全面、准确地反映代管的业务信息。</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2、中标人应及时向招标人提供账户开立、资金存放和结算、保密及解锁、对账服务、分账核算、各类查询、原路退款、电话咨询、网上银行服务等在内的一切配套基本服务，包含服务期间招标人提出的其他各项服务，免收存款人账户各项业务手续费。</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3、投标人需要协助完成全部存款账户迁移手续（如有时）。</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4、银行故障或招标人工作遇到疑问时，投标人应该能够30分钟内及时响应招标人疑问或维修要求，并在2小时内提出解决方案，24小时内解决问题。</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5、入围银行应当在《入围通知书》发出之日起30天内，指派人员与招标人对接并签订存放协议，未执行的视作自动弃权中标资格。</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6、投标人须在方案中明确列明提供服务的网点，招标人有权根据就近原则选择中标银行的各服务网点。</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7、能够满足招标人单位根据流动性需求的提前支取（不限支取额度）需求，提前支取通知时间为支取前24小时内。</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8、能够保证资金划汇系统和内部网络的安全性，并承担自身网络安全问题方面的有关责任。</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9、合同期内，如遇政策变化导致资金变动或招标人因资金使用需要提前支取的，入围银行必须无条件积极配合。</w:t>
      </w:r>
    </w:p>
    <w:p>
      <w:pPr>
        <w:widowControl/>
        <w:spacing w:line="360" w:lineRule="auto"/>
        <w:ind w:firstLine="420" w:firstLineChars="200"/>
        <w:jc w:val="left"/>
        <w:outlineLvl w:val="0"/>
        <w:rPr>
          <w:rFonts w:ascii="宋体" w:hAnsi="宋体"/>
          <w:color w:val="auto"/>
          <w:szCs w:val="21"/>
        </w:rPr>
      </w:pPr>
    </w:p>
    <w:p>
      <w:pPr>
        <w:widowControl/>
        <w:spacing w:line="360" w:lineRule="auto"/>
        <w:jc w:val="left"/>
        <w:outlineLvl w:val="0"/>
        <w:rPr>
          <w:rFonts w:ascii="宋体" w:hAnsi="宋体"/>
          <w:b/>
          <w:bCs/>
          <w:color w:val="auto"/>
          <w:szCs w:val="21"/>
        </w:rPr>
      </w:pPr>
      <w:r>
        <w:rPr>
          <w:rFonts w:hint="eastAsia" w:ascii="宋体" w:hAnsi="宋体"/>
          <w:b/>
          <w:bCs/>
          <w:color w:val="auto"/>
          <w:szCs w:val="21"/>
        </w:rPr>
        <w:t>四、服务期限</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6年，服务协议一年一签，入围银行的服务达到招标要求和投标响应的，经双方同意可续签订下一年度的协议；如果服务达不到招标要求和投标响应的，招标人有权终止协议。</w:t>
      </w:r>
    </w:p>
    <w:p>
      <w:pPr>
        <w:widowControl/>
        <w:spacing w:line="360" w:lineRule="auto"/>
        <w:jc w:val="left"/>
        <w:outlineLvl w:val="0"/>
        <w:rPr>
          <w:rFonts w:ascii="宋体" w:hAnsi="宋体"/>
          <w:b/>
          <w:bCs/>
          <w:color w:val="auto"/>
          <w:szCs w:val="21"/>
        </w:rPr>
      </w:pPr>
    </w:p>
    <w:p>
      <w:pPr>
        <w:widowControl/>
        <w:spacing w:line="360" w:lineRule="auto"/>
        <w:jc w:val="left"/>
        <w:outlineLvl w:val="0"/>
        <w:rPr>
          <w:rFonts w:ascii="宋体" w:hAnsi="宋体"/>
          <w:b/>
          <w:bCs/>
          <w:color w:val="auto"/>
          <w:szCs w:val="21"/>
        </w:rPr>
      </w:pPr>
      <w:r>
        <w:rPr>
          <w:rFonts w:hint="eastAsia" w:ascii="宋体" w:hAnsi="宋体"/>
          <w:b/>
          <w:bCs/>
          <w:color w:val="auto"/>
          <w:szCs w:val="21"/>
        </w:rPr>
        <w:t>五、单位基本户存放的原则：</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1、公开、公平、公正原则。单位资金竞争性存放应公开、公平、公正开展，防范廉政风险；</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2、安全性、流动性、收益性相统一原则。在确保单位资金安全和资金支付流动性需求基础上，实现资金保值增值；</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3、突出重点、兼顾效率原则。重点做好对大额资金、专项资金的竞争性存放，在效益优先的同时，确保工作效率。</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4、服务内容安全、便捷、灵活。</w:t>
      </w:r>
    </w:p>
    <w:p>
      <w:pPr>
        <w:widowControl/>
        <w:spacing w:line="360" w:lineRule="auto"/>
        <w:ind w:firstLine="420" w:firstLineChars="200"/>
        <w:jc w:val="left"/>
        <w:outlineLvl w:val="0"/>
        <w:rPr>
          <w:rFonts w:ascii="宋体" w:hAnsi="宋体"/>
          <w:color w:val="auto"/>
          <w:szCs w:val="21"/>
        </w:rPr>
      </w:pPr>
    </w:p>
    <w:p>
      <w:pPr>
        <w:widowControl/>
        <w:spacing w:line="360" w:lineRule="auto"/>
        <w:jc w:val="left"/>
        <w:outlineLvl w:val="0"/>
        <w:rPr>
          <w:rFonts w:ascii="宋体" w:hAnsi="宋体"/>
          <w:b/>
          <w:bCs/>
          <w:color w:val="auto"/>
          <w:szCs w:val="21"/>
        </w:rPr>
      </w:pPr>
      <w:r>
        <w:rPr>
          <w:rFonts w:hint="eastAsia" w:ascii="宋体" w:hAnsi="宋体"/>
          <w:b/>
          <w:bCs/>
          <w:color w:val="auto"/>
          <w:szCs w:val="21"/>
        </w:rPr>
        <w:t>六、入围银行出现以下情形之一的，招标人有权提前终止、变更开户银行：</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1、出现资金安全事故、重大违法违规情况或财务恶化；</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2、监管评级降低，监管部门认为存在较大运营风险；</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3、未按照中标协议承诺履行相应的责任和义务；</w:t>
      </w:r>
    </w:p>
    <w:p>
      <w:pPr>
        <w:widowControl/>
        <w:spacing w:line="360" w:lineRule="auto"/>
        <w:ind w:firstLine="420" w:firstLineChars="200"/>
        <w:jc w:val="left"/>
        <w:outlineLvl w:val="0"/>
        <w:rPr>
          <w:rFonts w:ascii="宋体" w:hAnsi="宋体"/>
          <w:color w:val="auto"/>
          <w:szCs w:val="21"/>
        </w:rPr>
      </w:pPr>
      <w:r>
        <w:rPr>
          <w:rFonts w:hint="eastAsia" w:ascii="宋体" w:hAnsi="宋体"/>
          <w:color w:val="auto"/>
          <w:szCs w:val="21"/>
        </w:rPr>
        <w:t>4、不能及时将到期存款本息足额缴入单位账户，擅自降低服务条件和服务内容的；</w:t>
      </w:r>
    </w:p>
    <w:p>
      <w:pPr>
        <w:widowControl/>
        <w:spacing w:line="360" w:lineRule="auto"/>
        <w:ind w:firstLine="420" w:firstLineChars="200"/>
        <w:jc w:val="left"/>
        <w:outlineLvl w:val="0"/>
        <w:rPr>
          <w:rFonts w:hAnsi="宋体"/>
          <w:color w:val="auto"/>
          <w:sz w:val="28"/>
          <w:szCs w:val="28"/>
        </w:rPr>
      </w:pPr>
      <w:r>
        <w:rPr>
          <w:rFonts w:hint="eastAsia" w:ascii="宋体" w:hAnsi="宋体"/>
          <w:color w:val="auto"/>
          <w:szCs w:val="21"/>
        </w:rPr>
        <w:t>5、出现银行挤兑、存款被盗或其他可能妨害公款安全的情形。</w:t>
      </w:r>
      <w:r>
        <w:rPr>
          <w:rFonts w:ascii="宋体" w:hAnsi="宋体"/>
          <w:b/>
          <w:bCs/>
          <w:color w:val="auto"/>
          <w:szCs w:val="21"/>
        </w:rPr>
        <w:br w:type="page"/>
      </w:r>
      <w:bookmarkStart w:id="14" w:name="_Toc182932772"/>
      <w:r>
        <w:rPr>
          <w:rFonts w:hint="eastAsia" w:hAnsi="宋体"/>
          <w:b/>
          <w:color w:val="auto"/>
          <w:sz w:val="30"/>
          <w:szCs w:val="30"/>
        </w:rPr>
        <w:t>第三章  投标人须知</w:t>
      </w:r>
      <w:bookmarkEnd w:id="14"/>
    </w:p>
    <w:p>
      <w:pPr>
        <w:snapToGrid w:val="0"/>
        <w:spacing w:line="360" w:lineRule="auto"/>
        <w:jc w:val="center"/>
        <w:rPr>
          <w:rFonts w:ascii="宋体" w:hAnsi="宋体"/>
          <w:color w:val="auto"/>
          <w:szCs w:val="21"/>
        </w:rPr>
      </w:pPr>
      <w:r>
        <w:rPr>
          <w:rFonts w:hint="eastAsia" w:ascii="宋体" w:hAnsi="宋体"/>
          <w:color w:val="auto"/>
          <w:szCs w:val="21"/>
        </w:rPr>
        <w:t>前附表</w:t>
      </w:r>
    </w:p>
    <w:tbl>
      <w:tblPr>
        <w:tblStyle w:val="19"/>
        <w:tblW w:w="94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85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25" w:type="dxa"/>
            <w:noWrap/>
            <w:vAlign w:val="center"/>
          </w:tcPr>
          <w:p>
            <w:pPr>
              <w:snapToGrid w:val="0"/>
              <w:spacing w:line="360" w:lineRule="auto"/>
              <w:jc w:val="center"/>
              <w:rPr>
                <w:rFonts w:ascii="宋体" w:hAnsi="宋体"/>
                <w:b/>
                <w:bCs/>
                <w:color w:val="auto"/>
                <w:sz w:val="24"/>
                <w:szCs w:val="24"/>
              </w:rPr>
            </w:pPr>
            <w:r>
              <w:rPr>
                <w:rFonts w:hint="eastAsia" w:ascii="宋体" w:hAnsi="宋体"/>
                <w:b/>
                <w:bCs/>
                <w:color w:val="auto"/>
                <w:sz w:val="24"/>
                <w:szCs w:val="24"/>
              </w:rPr>
              <w:t>序号</w:t>
            </w:r>
          </w:p>
        </w:tc>
        <w:tc>
          <w:tcPr>
            <w:tcW w:w="8554" w:type="dxa"/>
            <w:noWrap/>
            <w:vAlign w:val="center"/>
          </w:tcPr>
          <w:p>
            <w:pPr>
              <w:snapToGrid w:val="0"/>
              <w:spacing w:line="360" w:lineRule="auto"/>
              <w:jc w:val="center"/>
              <w:rPr>
                <w:rFonts w:ascii="宋体" w:hAnsi="宋体"/>
                <w:b/>
                <w:bCs/>
                <w:color w:val="auto"/>
                <w:sz w:val="24"/>
                <w:szCs w:val="24"/>
              </w:rPr>
            </w:pPr>
            <w:r>
              <w:rPr>
                <w:rFonts w:hint="eastAsia" w:ascii="宋体" w:hAnsi="宋体"/>
                <w:b/>
                <w:bCs/>
                <w:color w:val="auto"/>
                <w:sz w:val="24"/>
                <w:szCs w:val="24"/>
              </w:rPr>
              <w:t>内    容    及    要    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color w:val="auto"/>
                <w:szCs w:val="21"/>
              </w:rPr>
              <w:t>1</w:t>
            </w:r>
          </w:p>
        </w:tc>
        <w:tc>
          <w:tcPr>
            <w:tcW w:w="8554" w:type="dxa"/>
            <w:noWrap/>
            <w:vAlign w:val="center"/>
          </w:tcPr>
          <w:p>
            <w:pPr>
              <w:snapToGrid w:val="0"/>
              <w:spacing w:line="360" w:lineRule="auto"/>
              <w:rPr>
                <w:rFonts w:ascii="宋体" w:hAnsi="宋体"/>
                <w:color w:val="auto"/>
                <w:szCs w:val="21"/>
              </w:rPr>
            </w:pPr>
            <w:r>
              <w:rPr>
                <w:rFonts w:hint="eastAsia" w:ascii="宋体" w:hAnsi="宋体"/>
                <w:color w:val="auto"/>
                <w:szCs w:val="21"/>
              </w:rPr>
              <w:t>项目名称及数量：</w:t>
            </w:r>
            <w:r>
              <w:rPr>
                <w:rFonts w:hint="eastAsia" w:ascii="宋体" w:hAnsi="宋体"/>
                <w:bCs/>
                <w:color w:val="auto"/>
                <w:szCs w:val="21"/>
              </w:rPr>
              <w:t>详见《第一章 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color w:val="auto"/>
                <w:szCs w:val="21"/>
              </w:rPr>
              <w:t>2</w:t>
            </w:r>
          </w:p>
        </w:tc>
        <w:tc>
          <w:tcPr>
            <w:tcW w:w="8554" w:type="dxa"/>
            <w:noWrap/>
            <w:vAlign w:val="center"/>
          </w:tcPr>
          <w:p>
            <w:pPr>
              <w:snapToGrid w:val="0"/>
              <w:spacing w:line="360" w:lineRule="auto"/>
              <w:rPr>
                <w:rFonts w:ascii="宋体" w:hAnsi="宋体"/>
                <w:color w:val="auto"/>
                <w:szCs w:val="21"/>
              </w:rPr>
            </w:pPr>
            <w:r>
              <w:rPr>
                <w:rFonts w:hint="eastAsia" w:ascii="宋体" w:hAnsi="宋体"/>
                <w:bCs/>
                <w:color w:val="auto"/>
                <w:szCs w:val="21"/>
              </w:rPr>
              <w:t>答疑与澄清：投标人如对招标文件有异议，应当于招标文件要求提交投标文件截止时间五日前，以书面形式向招标人提出，逾期不予受理。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color w:val="auto"/>
                <w:szCs w:val="21"/>
              </w:rPr>
              <w:t>3</w:t>
            </w:r>
          </w:p>
        </w:tc>
        <w:tc>
          <w:tcPr>
            <w:tcW w:w="8554" w:type="dxa"/>
            <w:noWrap/>
            <w:vAlign w:val="center"/>
          </w:tcPr>
          <w:p>
            <w:pPr>
              <w:snapToGrid w:val="0"/>
              <w:spacing w:line="360" w:lineRule="auto"/>
              <w:rPr>
                <w:rFonts w:ascii="宋体" w:hAnsi="宋体"/>
                <w:color w:val="auto"/>
                <w:szCs w:val="21"/>
              </w:rPr>
            </w:pPr>
            <w:r>
              <w:rPr>
                <w:rFonts w:hint="eastAsia" w:ascii="宋体" w:hAnsi="宋体"/>
                <w:color w:val="auto"/>
                <w:szCs w:val="21"/>
              </w:rPr>
              <w:t>是否接受转包与分包：否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color w:val="auto"/>
                <w:szCs w:val="21"/>
              </w:rPr>
              <w:t>4</w:t>
            </w:r>
          </w:p>
        </w:tc>
        <w:tc>
          <w:tcPr>
            <w:tcW w:w="8554" w:type="dxa"/>
            <w:noWrap/>
            <w:vAlign w:val="center"/>
          </w:tcPr>
          <w:p>
            <w:pPr>
              <w:snapToGrid w:val="0"/>
              <w:spacing w:line="360" w:lineRule="auto"/>
              <w:rPr>
                <w:rFonts w:ascii="宋体" w:hAnsi="宋体"/>
                <w:color w:val="auto"/>
                <w:szCs w:val="21"/>
              </w:rPr>
            </w:pPr>
            <w:r>
              <w:rPr>
                <w:rFonts w:hint="eastAsia" w:ascii="宋体" w:hAnsi="宋体"/>
                <w:color w:val="auto"/>
                <w:szCs w:val="21"/>
              </w:rPr>
              <w:t>是否接受联合体投标：否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color w:val="auto"/>
                <w:szCs w:val="21"/>
              </w:rPr>
              <w:t>5</w:t>
            </w:r>
          </w:p>
        </w:tc>
        <w:tc>
          <w:tcPr>
            <w:tcW w:w="8554" w:type="dxa"/>
            <w:noWrap/>
            <w:vAlign w:val="center"/>
          </w:tcPr>
          <w:p>
            <w:pPr>
              <w:snapToGrid w:val="0"/>
              <w:spacing w:line="360" w:lineRule="auto"/>
              <w:rPr>
                <w:rFonts w:ascii="宋体" w:hAnsi="宋体"/>
                <w:color w:val="auto"/>
                <w:szCs w:val="21"/>
              </w:rPr>
            </w:pPr>
            <w:r>
              <w:rPr>
                <w:rFonts w:hint="eastAsia" w:ascii="宋体" w:hAnsi="宋体"/>
                <w:color w:val="auto"/>
                <w:szCs w:val="21"/>
              </w:rPr>
              <w:t>开标时间：</w:t>
            </w:r>
            <w:r>
              <w:rPr>
                <w:rFonts w:hint="eastAsia" w:ascii="宋体" w:hAnsi="宋体"/>
                <w:bCs/>
                <w:color w:val="auto"/>
                <w:szCs w:val="21"/>
              </w:rPr>
              <w:t>详见《第一章 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color w:val="auto"/>
                <w:szCs w:val="21"/>
              </w:rPr>
              <w:t>6</w:t>
            </w:r>
          </w:p>
        </w:tc>
        <w:tc>
          <w:tcPr>
            <w:tcW w:w="8554" w:type="dxa"/>
            <w:noWrap/>
            <w:vAlign w:val="center"/>
          </w:tcPr>
          <w:p>
            <w:pPr>
              <w:snapToGrid w:val="0"/>
              <w:spacing w:line="360" w:lineRule="auto"/>
              <w:rPr>
                <w:rFonts w:ascii="宋体" w:hAnsi="宋体"/>
                <w:color w:val="auto"/>
                <w:szCs w:val="21"/>
              </w:rPr>
            </w:pPr>
            <w:r>
              <w:rPr>
                <w:rFonts w:hint="eastAsia" w:ascii="宋体" w:hAnsi="宋体"/>
                <w:color w:val="auto"/>
                <w:szCs w:val="21"/>
              </w:rPr>
              <w:t>开标地点：</w:t>
            </w:r>
            <w:r>
              <w:rPr>
                <w:rFonts w:hint="eastAsia" w:ascii="宋体" w:hAnsi="宋体"/>
                <w:bCs/>
                <w:color w:val="auto"/>
                <w:szCs w:val="21"/>
              </w:rPr>
              <w:t>详见《第一章 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b/>
                <w:color w:val="auto"/>
              </w:rPr>
              <w:t>★</w:t>
            </w:r>
            <w:r>
              <w:rPr>
                <w:rFonts w:hint="eastAsia" w:ascii="宋体" w:hAnsi="宋体"/>
                <w:color w:val="auto"/>
                <w:szCs w:val="21"/>
              </w:rPr>
              <w:t>7</w:t>
            </w:r>
          </w:p>
        </w:tc>
        <w:tc>
          <w:tcPr>
            <w:tcW w:w="8554" w:type="dxa"/>
            <w:noWrap/>
            <w:vAlign w:val="center"/>
          </w:tcPr>
          <w:p>
            <w:pPr>
              <w:widowControl/>
              <w:snapToGrid w:val="0"/>
              <w:spacing w:line="360" w:lineRule="auto"/>
              <w:rPr>
                <w:rFonts w:ascii="宋体" w:hAnsi="宋体"/>
                <w:b/>
                <w:bCs/>
                <w:color w:val="auto"/>
                <w:szCs w:val="21"/>
              </w:rPr>
            </w:pPr>
            <w:r>
              <w:rPr>
                <w:rFonts w:hint="eastAsia" w:ascii="宋体" w:hAnsi="宋体"/>
                <w:b/>
                <w:bCs/>
                <w:color w:val="auto"/>
                <w:szCs w:val="21"/>
              </w:rPr>
              <w:t>投标文件组成：电子投标文件上传至政府采购云平台。</w:t>
            </w:r>
          </w:p>
          <w:p>
            <w:pPr>
              <w:widowControl/>
              <w:snapToGrid w:val="0"/>
              <w:spacing w:line="360" w:lineRule="auto"/>
              <w:rPr>
                <w:rFonts w:ascii="宋体" w:hAnsi="宋体"/>
                <w:b/>
                <w:bCs/>
                <w:color w:val="auto"/>
                <w:szCs w:val="21"/>
              </w:rPr>
            </w:pPr>
            <w:r>
              <w:rPr>
                <w:rFonts w:hint="eastAsia" w:ascii="宋体" w:hAnsi="宋体"/>
                <w:b/>
                <w:bCs/>
                <w:color w:val="auto"/>
                <w:szCs w:val="21"/>
              </w:rPr>
              <w:t>注：</w:t>
            </w:r>
          </w:p>
          <w:p>
            <w:pPr>
              <w:widowControl/>
              <w:snapToGrid w:val="0"/>
              <w:spacing w:line="360" w:lineRule="auto"/>
              <w:rPr>
                <w:rFonts w:ascii="宋体" w:hAnsi="宋体"/>
                <w:b/>
                <w:bCs/>
                <w:color w:val="auto"/>
                <w:szCs w:val="21"/>
              </w:rPr>
            </w:pPr>
            <w:r>
              <w:rPr>
                <w:rFonts w:hint="eastAsia" w:ascii="宋体" w:hAnsi="宋体"/>
                <w:b/>
                <w:bCs/>
                <w:color w:val="auto"/>
                <w:szCs w:val="21"/>
              </w:rPr>
              <w:t>（1）第四章 评标办法及评分标准“附表3：评标细则的服务方案”项中需上传本项目全套完整电子投标文件的内容”；</w:t>
            </w:r>
          </w:p>
          <w:p>
            <w:pPr>
              <w:snapToGrid w:val="0"/>
              <w:spacing w:line="360" w:lineRule="auto"/>
              <w:rPr>
                <w:rFonts w:ascii="宋体" w:hAnsi="宋体"/>
                <w:color w:val="auto"/>
                <w:szCs w:val="21"/>
              </w:rPr>
            </w:pPr>
            <w:r>
              <w:rPr>
                <w:rFonts w:hint="eastAsia" w:ascii="宋体" w:hAnsi="宋体"/>
                <w:b/>
                <w:bCs/>
                <w:color w:val="auto"/>
                <w:szCs w:val="21"/>
              </w:rPr>
              <w:t>（2）入围银行在取得入围通知书前需补交纸质投标文件3份，内容需与上传的电子投标文件一致，纸质投标文件封面盖投标人的公章，并且投标文件格式中有签字、盖章处，需按格式要求签字、盖章。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b/>
                <w:color w:val="auto"/>
              </w:rPr>
              <w:t>★</w:t>
            </w:r>
            <w:r>
              <w:rPr>
                <w:rFonts w:hint="eastAsia" w:ascii="宋体" w:hAnsi="宋体"/>
                <w:color w:val="auto"/>
                <w:szCs w:val="21"/>
              </w:rPr>
              <w:t>8</w:t>
            </w:r>
          </w:p>
        </w:tc>
        <w:tc>
          <w:tcPr>
            <w:tcW w:w="8554" w:type="dxa"/>
            <w:noWrap/>
            <w:vAlign w:val="center"/>
          </w:tcPr>
          <w:p>
            <w:pPr>
              <w:snapToGrid w:val="0"/>
              <w:spacing w:line="360" w:lineRule="auto"/>
              <w:rPr>
                <w:rFonts w:ascii="宋体" w:hAnsi="宋体"/>
                <w:color w:val="auto"/>
                <w:szCs w:val="21"/>
              </w:rPr>
            </w:pPr>
            <w:r>
              <w:rPr>
                <w:rFonts w:hint="eastAsia" w:ascii="宋体" w:hAnsi="宋体"/>
                <w:color w:val="auto"/>
                <w:szCs w:val="21"/>
              </w:rPr>
              <w:t>投标报价：</w:t>
            </w:r>
          </w:p>
          <w:p>
            <w:pPr>
              <w:snapToGrid w:val="0"/>
              <w:spacing w:line="360" w:lineRule="auto"/>
              <w:rPr>
                <w:rFonts w:ascii="宋体" w:hAnsi="宋体"/>
                <w:color w:val="auto"/>
                <w:szCs w:val="21"/>
              </w:rPr>
            </w:pPr>
            <w:r>
              <w:rPr>
                <w:rFonts w:hint="eastAsia" w:ascii="宋体" w:hAnsi="宋体"/>
                <w:color w:val="auto"/>
                <w:szCs w:val="21"/>
              </w:rPr>
              <w:t>（1）投标报价应按招标文件中相关附表格式填写。</w:t>
            </w:r>
          </w:p>
          <w:p>
            <w:pPr>
              <w:snapToGrid w:val="0"/>
              <w:spacing w:line="360" w:lineRule="auto"/>
              <w:rPr>
                <w:rFonts w:ascii="宋体" w:hAnsi="宋体"/>
                <w:color w:val="auto"/>
                <w:szCs w:val="21"/>
              </w:rPr>
            </w:pPr>
            <w:r>
              <w:rPr>
                <w:rFonts w:hint="eastAsia" w:ascii="宋体" w:hAnsi="宋体"/>
                <w:color w:val="auto"/>
                <w:szCs w:val="21"/>
              </w:rPr>
              <w:t>（2）投标人须以人民银行基准利率为基准，利率的上浮率应符合国家有关利率管理规定，同时参考金融机构市场利率定价自律机制。</w:t>
            </w:r>
          </w:p>
          <w:p>
            <w:pPr>
              <w:snapToGrid w:val="0"/>
              <w:spacing w:line="360" w:lineRule="auto"/>
              <w:rPr>
                <w:rFonts w:ascii="宋体" w:hAnsi="宋体"/>
                <w:color w:val="auto"/>
                <w:szCs w:val="21"/>
              </w:rPr>
            </w:pPr>
            <w:r>
              <w:rPr>
                <w:rFonts w:hint="eastAsia" w:ascii="宋体" w:hAnsi="宋体"/>
                <w:color w:val="auto"/>
                <w:szCs w:val="21"/>
              </w:rPr>
              <w:t>（3）投标报价是履行合同的最终价格。</w:t>
            </w:r>
          </w:p>
          <w:p>
            <w:pPr>
              <w:snapToGrid w:val="0"/>
              <w:spacing w:line="360" w:lineRule="auto"/>
              <w:rPr>
                <w:rFonts w:ascii="宋体" w:hAnsi="宋体"/>
                <w:color w:val="auto"/>
                <w:szCs w:val="21"/>
              </w:rPr>
            </w:pPr>
            <w:r>
              <w:rPr>
                <w:rFonts w:hint="eastAsia" w:ascii="宋体" w:hAnsi="宋体"/>
                <w:color w:val="auto"/>
                <w:szCs w:val="21"/>
              </w:rPr>
              <w:t>（4）投标文件只允许有一个报价，有选择的或有条件的报价将不予接受。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color w:val="auto"/>
                <w:szCs w:val="21"/>
              </w:rPr>
              <w:t>9</w:t>
            </w:r>
          </w:p>
        </w:tc>
        <w:tc>
          <w:tcPr>
            <w:tcW w:w="8554" w:type="dxa"/>
            <w:noWrap/>
            <w:vAlign w:val="center"/>
          </w:tcPr>
          <w:p>
            <w:pPr>
              <w:snapToGrid w:val="0"/>
              <w:spacing w:line="360" w:lineRule="auto"/>
              <w:rPr>
                <w:rFonts w:ascii="宋体" w:hAnsi="宋体"/>
                <w:color w:val="auto"/>
                <w:szCs w:val="21"/>
              </w:rPr>
            </w:pPr>
            <w:r>
              <w:rPr>
                <w:rFonts w:hint="eastAsia" w:ascii="宋体" w:hAnsi="宋体"/>
                <w:color w:val="auto"/>
                <w:szCs w:val="21"/>
              </w:rPr>
              <w:t>签订协议时间：入围通知书发出后30日内。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b/>
                <w:color w:val="auto"/>
              </w:rPr>
              <w:t>★</w:t>
            </w:r>
            <w:r>
              <w:rPr>
                <w:rFonts w:hint="eastAsia" w:ascii="宋体" w:hAnsi="宋体"/>
                <w:color w:val="auto"/>
                <w:szCs w:val="21"/>
              </w:rPr>
              <w:t>10</w:t>
            </w:r>
          </w:p>
        </w:tc>
        <w:tc>
          <w:tcPr>
            <w:tcW w:w="8554" w:type="dxa"/>
            <w:noWrap/>
            <w:vAlign w:val="center"/>
          </w:tcPr>
          <w:p>
            <w:pPr>
              <w:snapToGrid w:val="0"/>
              <w:spacing w:line="360" w:lineRule="auto"/>
              <w:rPr>
                <w:rFonts w:ascii="宋体" w:hAnsi="宋体"/>
                <w:color w:val="auto"/>
                <w:szCs w:val="21"/>
              </w:rPr>
            </w:pPr>
            <w:r>
              <w:rPr>
                <w:rFonts w:hint="eastAsia" w:ascii="宋体" w:hAnsi="宋体"/>
                <w:color w:val="auto"/>
                <w:szCs w:val="21"/>
              </w:rPr>
              <w:t>服务期限</w:t>
            </w:r>
            <w:r>
              <w:rPr>
                <w:rFonts w:ascii="宋体" w:hAnsi="宋体"/>
                <w:color w:val="auto"/>
                <w:szCs w:val="21"/>
              </w:rPr>
              <w:t>：</w:t>
            </w:r>
            <w:r>
              <w:rPr>
                <w:rFonts w:hint="eastAsia" w:ascii="宋体" w:hAnsi="宋体"/>
                <w:color w:val="auto"/>
                <w:szCs w:val="21"/>
              </w:rPr>
              <w:t>6年，服务协议一年一签，入围银行的服务达到招标要求和投标响应的，经双方同意可续签订下一年度的协议；如果服务达不到招标要求和投标响应的，招标人有权终止协议。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b/>
                <w:color w:val="auto"/>
              </w:rPr>
              <w:t>★</w:t>
            </w:r>
            <w:r>
              <w:rPr>
                <w:rFonts w:hint="eastAsia" w:ascii="宋体" w:hAnsi="宋体"/>
                <w:color w:val="auto"/>
                <w:szCs w:val="21"/>
              </w:rPr>
              <w:t>11</w:t>
            </w:r>
          </w:p>
        </w:tc>
        <w:tc>
          <w:tcPr>
            <w:tcW w:w="8554" w:type="dxa"/>
            <w:noWrap/>
            <w:vAlign w:val="center"/>
          </w:tcPr>
          <w:p>
            <w:pPr>
              <w:snapToGrid w:val="0"/>
              <w:spacing w:line="360" w:lineRule="auto"/>
              <w:rPr>
                <w:rFonts w:ascii="宋体" w:hAnsi="宋体"/>
                <w:color w:val="auto"/>
                <w:szCs w:val="21"/>
              </w:rPr>
            </w:pPr>
            <w:r>
              <w:rPr>
                <w:rFonts w:hint="eastAsia" w:ascii="宋体" w:hAnsi="宋体"/>
                <w:color w:val="auto"/>
                <w:szCs w:val="21"/>
              </w:rPr>
              <w:t>投标文件有效期为</w:t>
            </w:r>
            <w:r>
              <w:rPr>
                <w:rFonts w:hint="eastAsia" w:ascii="宋体" w:hAnsi="宋体" w:cs="Arial"/>
                <w:color w:val="auto"/>
                <w:szCs w:val="21"/>
              </w:rPr>
              <w:t>90天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color w:val="auto"/>
                <w:szCs w:val="21"/>
              </w:rPr>
              <w:t>12</w:t>
            </w:r>
          </w:p>
        </w:tc>
        <w:tc>
          <w:tcPr>
            <w:tcW w:w="8554" w:type="dxa"/>
            <w:noWrap/>
            <w:vAlign w:val="center"/>
          </w:tcPr>
          <w:p>
            <w:pPr>
              <w:snapToGrid w:val="0"/>
              <w:spacing w:line="360" w:lineRule="auto"/>
              <w:rPr>
                <w:rFonts w:ascii="宋体" w:hAnsi="宋体"/>
                <w:color w:val="auto"/>
                <w:szCs w:val="21"/>
              </w:rPr>
            </w:pPr>
            <w:r>
              <w:rPr>
                <w:rFonts w:hint="eastAsia" w:ascii="宋体" w:hAnsi="宋体"/>
                <w:color w:val="auto"/>
                <w:szCs w:val="21"/>
              </w:rPr>
              <w:t>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color w:val="auto"/>
                <w:szCs w:val="21"/>
              </w:rPr>
              <w:t>13</w:t>
            </w:r>
          </w:p>
        </w:tc>
        <w:tc>
          <w:tcPr>
            <w:tcW w:w="8554" w:type="dxa"/>
            <w:noWrap/>
            <w:vAlign w:val="center"/>
          </w:tcPr>
          <w:p>
            <w:pPr>
              <w:snapToGrid w:val="0"/>
              <w:spacing w:line="360" w:lineRule="auto"/>
              <w:rPr>
                <w:rFonts w:ascii="宋体" w:hAnsi="宋体" w:cs="宋体"/>
                <w:color w:val="auto"/>
                <w:szCs w:val="21"/>
                <w:lang w:val="zh-CN"/>
              </w:rPr>
            </w:pPr>
            <w:r>
              <w:rPr>
                <w:rFonts w:hint="eastAsia" w:ascii="宋体" w:hAnsi="宋体" w:cs="宋体"/>
                <w:color w:val="auto"/>
                <w:szCs w:val="21"/>
                <w:lang w:val="zh-CN"/>
              </w:rPr>
              <w:t>本项目的代理服务费由入围银行支付，</w:t>
            </w:r>
            <w:r>
              <w:rPr>
                <w:rFonts w:hint="eastAsia" w:ascii="宋体" w:hAnsi="宋体" w:cs="宋体"/>
                <w:color w:val="auto"/>
                <w:szCs w:val="21"/>
              </w:rPr>
              <w:t>金额为人民币4000元，入围银行</w:t>
            </w:r>
            <w:r>
              <w:rPr>
                <w:rFonts w:hint="eastAsia" w:ascii="宋体" w:hAnsi="宋体" w:cs="宋体"/>
                <w:color w:val="auto"/>
                <w:szCs w:val="21"/>
                <w:lang w:val="zh-CN"/>
              </w:rPr>
              <w:t>领取《入围通知书》之前向招标代理人支付；</w:t>
            </w:r>
          </w:p>
          <w:p>
            <w:pPr>
              <w:snapToGrid w:val="0"/>
              <w:spacing w:line="360" w:lineRule="auto"/>
              <w:rPr>
                <w:rFonts w:ascii="宋体" w:hAnsi="宋体"/>
                <w:color w:val="auto"/>
                <w:szCs w:val="21"/>
              </w:rPr>
            </w:pPr>
            <w:r>
              <w:rPr>
                <w:rFonts w:hint="eastAsia" w:ascii="宋体" w:hAnsi="宋体" w:cs="宋体"/>
                <w:color w:val="auto"/>
                <w:szCs w:val="21"/>
                <w:lang w:val="zh-CN"/>
              </w:rPr>
              <w:t>入围银行拒绝于招标人指定期限内支付代理服务费的，招标人有权取消其中标资格。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color w:val="auto"/>
                <w:szCs w:val="21"/>
              </w:rPr>
              <w:t>14</w:t>
            </w:r>
          </w:p>
        </w:tc>
        <w:tc>
          <w:tcPr>
            <w:tcW w:w="8554" w:type="dxa"/>
            <w:noWrap/>
            <w:vAlign w:val="center"/>
          </w:tcPr>
          <w:p>
            <w:pPr>
              <w:snapToGrid w:val="0"/>
              <w:spacing w:line="360" w:lineRule="auto"/>
              <w:rPr>
                <w:rFonts w:ascii="宋体" w:hAnsi="宋体"/>
                <w:color w:val="auto"/>
                <w:szCs w:val="21"/>
              </w:rPr>
            </w:pPr>
            <w:r>
              <w:rPr>
                <w:rFonts w:hint="eastAsia" w:ascii="宋体" w:hAnsi="宋体"/>
                <w:color w:val="auto"/>
                <w:szCs w:val="21"/>
              </w:rPr>
              <w:t>招标公告、评标结果公告的发布媒体：</w:t>
            </w:r>
          </w:p>
          <w:p>
            <w:pPr>
              <w:snapToGrid w:val="0"/>
              <w:spacing w:line="360" w:lineRule="auto"/>
              <w:rPr>
                <w:rFonts w:ascii="宋体" w:hAnsi="宋体"/>
                <w:color w:val="auto"/>
                <w:szCs w:val="21"/>
              </w:rPr>
            </w:pPr>
            <w:r>
              <w:rPr>
                <w:rFonts w:hint="eastAsia" w:ascii="宋体" w:hAnsi="宋体"/>
                <w:color w:val="auto"/>
                <w:szCs w:val="21"/>
              </w:rPr>
              <w:t>1、浙江政府采购网</w:t>
            </w:r>
          </w:p>
          <w:p>
            <w:pPr>
              <w:snapToGrid w:val="0"/>
              <w:spacing w:line="360" w:lineRule="auto"/>
              <w:rPr>
                <w:rFonts w:ascii="宋体" w:hAnsi="宋体"/>
                <w:color w:val="auto"/>
                <w:szCs w:val="21"/>
              </w:rPr>
            </w:pPr>
            <w:r>
              <w:rPr>
                <w:rFonts w:hint="eastAsia" w:ascii="宋体" w:hAnsi="宋体"/>
                <w:color w:val="auto"/>
                <w:szCs w:val="21"/>
              </w:rPr>
              <w:t>2、宁波市公共资源交易电子服务系统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5" w:type="dxa"/>
            <w:noWrap/>
            <w:vAlign w:val="center"/>
          </w:tcPr>
          <w:p>
            <w:pPr>
              <w:snapToGrid w:val="0"/>
              <w:spacing w:line="360" w:lineRule="auto"/>
              <w:jc w:val="center"/>
              <w:rPr>
                <w:rFonts w:ascii="宋体" w:hAnsi="宋体"/>
                <w:color w:val="auto"/>
                <w:szCs w:val="21"/>
              </w:rPr>
            </w:pPr>
            <w:r>
              <w:rPr>
                <w:rFonts w:hint="eastAsia" w:ascii="宋体" w:hAnsi="宋体"/>
                <w:color w:val="auto"/>
                <w:szCs w:val="21"/>
              </w:rPr>
              <w:t>15</w:t>
            </w:r>
          </w:p>
        </w:tc>
        <w:tc>
          <w:tcPr>
            <w:tcW w:w="8554" w:type="dxa"/>
            <w:noWrap/>
            <w:vAlign w:val="center"/>
          </w:tcPr>
          <w:p>
            <w:pPr>
              <w:snapToGrid w:val="0"/>
              <w:spacing w:line="360" w:lineRule="auto"/>
              <w:rPr>
                <w:rFonts w:ascii="宋体" w:hAnsi="宋体"/>
                <w:color w:val="auto"/>
                <w:szCs w:val="21"/>
              </w:rPr>
            </w:pPr>
            <w:r>
              <w:rPr>
                <w:rFonts w:hint="eastAsia" w:ascii="宋体" w:hAnsi="宋体" w:cs="宋体"/>
                <w:color w:val="auto"/>
                <w:szCs w:val="21"/>
              </w:rPr>
              <w:t>解释：本招标文件的解释权属于招标人。</w:t>
            </w:r>
          </w:p>
        </w:tc>
      </w:tr>
    </w:tbl>
    <w:p>
      <w:pPr>
        <w:spacing w:line="360" w:lineRule="auto"/>
        <w:rPr>
          <w:rFonts w:ascii="宋体" w:hAnsi="宋体"/>
          <w:b/>
          <w:bCs/>
          <w:color w:val="auto"/>
        </w:rPr>
      </w:pPr>
    </w:p>
    <w:p>
      <w:pPr>
        <w:snapToGrid w:val="0"/>
        <w:spacing w:line="360" w:lineRule="auto"/>
        <w:rPr>
          <w:rFonts w:ascii="宋体" w:hAnsi="宋体"/>
          <w:b/>
          <w:color w:val="auto"/>
          <w:szCs w:val="21"/>
        </w:rPr>
      </w:pPr>
    </w:p>
    <w:p>
      <w:pPr>
        <w:rPr>
          <w:rFonts w:ascii="宋体" w:hAnsi="宋体"/>
          <w:b/>
          <w:color w:val="auto"/>
          <w:szCs w:val="21"/>
        </w:rPr>
      </w:pPr>
      <w:bookmarkStart w:id="15" w:name="_Toc182932773"/>
      <w:r>
        <w:rPr>
          <w:rFonts w:hint="eastAsia" w:ascii="宋体" w:hAnsi="宋体"/>
          <w:b/>
          <w:color w:val="auto"/>
          <w:szCs w:val="21"/>
        </w:rPr>
        <w:br w:type="page"/>
      </w:r>
    </w:p>
    <w:p>
      <w:pPr>
        <w:snapToGrid w:val="0"/>
        <w:spacing w:line="360" w:lineRule="auto"/>
        <w:outlineLvl w:val="1"/>
        <w:rPr>
          <w:rFonts w:ascii="宋体" w:hAnsi="宋体"/>
          <w:color w:val="auto"/>
          <w:szCs w:val="21"/>
        </w:rPr>
      </w:pPr>
      <w:r>
        <w:rPr>
          <w:rFonts w:hint="eastAsia" w:ascii="宋体" w:hAnsi="宋体"/>
          <w:b/>
          <w:color w:val="auto"/>
          <w:szCs w:val="21"/>
        </w:rPr>
        <w:t>一、总  则</w:t>
      </w:r>
      <w:bookmarkEnd w:id="15"/>
    </w:p>
    <w:p>
      <w:pPr>
        <w:snapToGrid w:val="0"/>
        <w:spacing w:line="360" w:lineRule="auto"/>
        <w:ind w:firstLine="312" w:firstLineChars="148"/>
        <w:outlineLvl w:val="2"/>
        <w:rPr>
          <w:rFonts w:ascii="宋体" w:hAnsi="宋体"/>
          <w:b/>
          <w:color w:val="auto"/>
          <w:szCs w:val="21"/>
        </w:rPr>
      </w:pPr>
      <w:bookmarkStart w:id="16" w:name="_Toc182932774"/>
      <w:bookmarkStart w:id="17" w:name="_Toc511230458"/>
      <w:r>
        <w:rPr>
          <w:rFonts w:hint="eastAsia" w:ascii="宋体" w:hAnsi="宋体"/>
          <w:b/>
          <w:color w:val="auto"/>
          <w:szCs w:val="21"/>
        </w:rPr>
        <w:t>（一） 适用范围</w:t>
      </w:r>
      <w:bookmarkEnd w:id="16"/>
      <w:bookmarkEnd w:id="17"/>
    </w:p>
    <w:p>
      <w:pPr>
        <w:snapToGrid w:val="0"/>
        <w:spacing w:line="360" w:lineRule="auto"/>
        <w:ind w:firstLine="420" w:firstLineChars="200"/>
        <w:rPr>
          <w:rFonts w:ascii="宋体" w:hAnsi="宋体" w:cs="Arial"/>
          <w:color w:val="auto"/>
          <w:szCs w:val="21"/>
        </w:rPr>
      </w:pPr>
      <w:r>
        <w:rPr>
          <w:rFonts w:hint="eastAsia" w:ascii="宋体" w:hAnsi="宋体" w:cs="Arial"/>
          <w:color w:val="auto"/>
          <w:szCs w:val="21"/>
        </w:rPr>
        <w:t>仅适用于本次招标文件中招标项目的招标、投标、评标、定标、合同履约等行为（法律、法规另有规定的，从其规定）。</w:t>
      </w:r>
    </w:p>
    <w:p>
      <w:pPr>
        <w:snapToGrid w:val="0"/>
        <w:spacing w:line="360" w:lineRule="auto"/>
        <w:ind w:firstLine="413" w:firstLineChars="196"/>
        <w:outlineLvl w:val="2"/>
        <w:rPr>
          <w:rFonts w:ascii="宋体" w:hAnsi="宋体"/>
          <w:b/>
          <w:color w:val="auto"/>
          <w:szCs w:val="21"/>
        </w:rPr>
      </w:pPr>
      <w:bookmarkStart w:id="18" w:name="_Toc182932776"/>
      <w:bookmarkStart w:id="19" w:name="_Toc511230460"/>
      <w:r>
        <w:rPr>
          <w:rFonts w:hint="eastAsia" w:ascii="宋体" w:hAnsi="宋体"/>
          <w:b/>
          <w:color w:val="auto"/>
          <w:szCs w:val="21"/>
        </w:rPr>
        <w:t>（二）投标委托</w:t>
      </w:r>
      <w:bookmarkEnd w:id="18"/>
      <w:bookmarkEnd w:id="19"/>
    </w:p>
    <w:p>
      <w:pPr>
        <w:snapToGrid w:val="0"/>
        <w:spacing w:line="360" w:lineRule="auto"/>
        <w:ind w:firstLine="420" w:firstLineChars="200"/>
        <w:rPr>
          <w:rFonts w:ascii="宋体" w:hAnsi="宋体" w:cs="Arial"/>
          <w:color w:val="auto"/>
          <w:szCs w:val="21"/>
        </w:rPr>
      </w:pPr>
      <w:r>
        <w:rPr>
          <w:rFonts w:hint="eastAsia" w:ascii="宋体" w:hAnsi="宋体" w:cs="Arial"/>
          <w:color w:val="auto"/>
          <w:szCs w:val="21"/>
        </w:rPr>
        <w:t>全权代表须携带有效身份证件。如全权代表不是法定代表人或负责人，须有投标人银行负责人出具的授权委托书（正本用原件，副本用复印件，格式见附件）。</w:t>
      </w:r>
    </w:p>
    <w:p>
      <w:pPr>
        <w:snapToGrid w:val="0"/>
        <w:spacing w:line="360" w:lineRule="auto"/>
        <w:ind w:firstLine="413" w:firstLineChars="196"/>
        <w:outlineLvl w:val="2"/>
        <w:rPr>
          <w:rFonts w:ascii="宋体" w:hAnsi="宋体"/>
          <w:b/>
          <w:color w:val="auto"/>
          <w:szCs w:val="21"/>
        </w:rPr>
      </w:pPr>
      <w:bookmarkStart w:id="20" w:name="_Toc511230461"/>
      <w:bookmarkStart w:id="21" w:name="_Toc182932777"/>
      <w:r>
        <w:rPr>
          <w:rFonts w:hint="eastAsia" w:ascii="宋体" w:hAnsi="宋体"/>
          <w:b/>
          <w:color w:val="auto"/>
          <w:szCs w:val="21"/>
        </w:rPr>
        <w:t>（三）特别说明：</w:t>
      </w:r>
      <w:bookmarkEnd w:id="20"/>
      <w:bookmarkEnd w:id="21"/>
    </w:p>
    <w:p>
      <w:pPr>
        <w:pStyle w:val="8"/>
        <w:snapToGrid w:val="0"/>
        <w:spacing w:beforeLines="0" w:afterLines="0" w:line="360" w:lineRule="auto"/>
        <w:ind w:left="2" w:leftChars="1" w:firstLine="420" w:firstLineChars="200"/>
        <w:rPr>
          <w:rFonts w:hAnsi="宋体" w:cs="Arial"/>
          <w:color w:val="auto"/>
          <w:sz w:val="21"/>
          <w:szCs w:val="21"/>
        </w:rPr>
      </w:pPr>
      <w:r>
        <w:rPr>
          <w:rFonts w:hint="eastAsia" w:hAnsi="宋体" w:cs="Arial"/>
          <w:color w:val="auto"/>
          <w:sz w:val="21"/>
          <w:szCs w:val="21"/>
        </w:rPr>
        <w:t>1.投标人投标所使用的资格、信誉、荣誉、业绩与企业认证必须为本法人所拥有。投标人投标所使用的项目相关人员必须为本法人员工（或必须为本法人或控股公司正式员工）。</w:t>
      </w:r>
    </w:p>
    <w:p>
      <w:pPr>
        <w:pStyle w:val="8"/>
        <w:snapToGrid w:val="0"/>
        <w:spacing w:beforeLines="0" w:afterLines="0" w:line="360" w:lineRule="auto"/>
        <w:ind w:left="2" w:leftChars="1" w:firstLine="420" w:firstLineChars="200"/>
        <w:rPr>
          <w:rFonts w:hAnsi="宋体" w:cs="Arial"/>
          <w:color w:val="auto"/>
          <w:sz w:val="21"/>
          <w:szCs w:val="21"/>
        </w:rPr>
      </w:pPr>
      <w:r>
        <w:rPr>
          <w:rFonts w:hint="eastAsia" w:hAnsi="宋体" w:cs="Arial"/>
          <w:color w:val="auto"/>
          <w:sz w:val="21"/>
          <w:szCs w:val="21"/>
        </w:rPr>
        <w:t>2.投标人应仔细阅读招标文件的所有内容，按照招标文件的要求提交投标文件，并对所提供的全部资料的真实性承担法律责任。</w:t>
      </w:r>
    </w:p>
    <w:p>
      <w:pPr>
        <w:pStyle w:val="8"/>
        <w:snapToGrid w:val="0"/>
        <w:spacing w:beforeLines="0" w:afterLines="0" w:line="360" w:lineRule="auto"/>
        <w:ind w:firstLine="413" w:firstLineChars="196"/>
        <w:outlineLvl w:val="2"/>
        <w:rPr>
          <w:rFonts w:hAnsi="宋体"/>
          <w:b/>
          <w:bCs/>
          <w:color w:val="auto"/>
          <w:sz w:val="21"/>
          <w:szCs w:val="21"/>
        </w:rPr>
      </w:pPr>
      <w:bookmarkStart w:id="22" w:name="_Toc182932778"/>
      <w:bookmarkStart w:id="23" w:name="_Toc511230462"/>
      <w:r>
        <w:rPr>
          <w:rFonts w:hint="eastAsia" w:hAnsi="宋体"/>
          <w:b/>
          <w:bCs/>
          <w:color w:val="auto"/>
          <w:sz w:val="21"/>
          <w:szCs w:val="21"/>
        </w:rPr>
        <w:t>（四）</w:t>
      </w:r>
      <w:bookmarkEnd w:id="22"/>
      <w:bookmarkEnd w:id="23"/>
      <w:r>
        <w:rPr>
          <w:rFonts w:hint="eastAsia" w:hAnsi="宋体"/>
          <w:b/>
          <w:bCs/>
          <w:color w:val="auto"/>
          <w:sz w:val="21"/>
          <w:szCs w:val="21"/>
        </w:rPr>
        <w:t>异议</w:t>
      </w:r>
    </w:p>
    <w:p>
      <w:pPr>
        <w:widowControl/>
        <w:spacing w:line="360" w:lineRule="auto"/>
        <w:ind w:firstLine="420" w:firstLineChars="200"/>
        <w:rPr>
          <w:rFonts w:ascii="宋体" w:hAnsi="宋体" w:cs="Arial"/>
          <w:color w:val="auto"/>
          <w:szCs w:val="21"/>
        </w:rPr>
      </w:pPr>
      <w:r>
        <w:rPr>
          <w:rFonts w:hint="eastAsia" w:ascii="宋体" w:hAnsi="宋体" w:cs="Arial"/>
          <w:color w:val="auto"/>
          <w:szCs w:val="21"/>
        </w:rPr>
        <w:t>1.对招标文件有异议的，应当在投标截止时间10日前提出；对开标过程有异议的，应当在开标现场提出；对评标结果有异议的，应当在中标结果公示期内提出。超过以上期限提出的异议，招标人和招标代理机构不予受理。</w:t>
      </w:r>
    </w:p>
    <w:p>
      <w:pPr>
        <w:widowControl/>
        <w:spacing w:line="360" w:lineRule="auto"/>
        <w:ind w:firstLine="420" w:firstLineChars="200"/>
        <w:rPr>
          <w:rFonts w:ascii="宋体" w:hAnsi="宋体" w:cs="Arial"/>
          <w:color w:val="auto"/>
          <w:szCs w:val="21"/>
        </w:rPr>
      </w:pPr>
      <w:r>
        <w:rPr>
          <w:rFonts w:hint="eastAsia" w:ascii="宋体" w:hAnsi="宋体" w:cs="Arial"/>
          <w:color w:val="auto"/>
          <w:szCs w:val="21"/>
        </w:rPr>
        <w:t>2.异议应当采用加盖投标人公章的书面形式，异议书应明确阐述招标过程或中标结果中使自己合法权益受到损害的实质性内容，提供相关事实、依据和证据及其来源或线索，便于有关单位调查、答复和处理，否则，招标代理机构将不予受理。</w:t>
      </w:r>
    </w:p>
    <w:p>
      <w:pPr>
        <w:pStyle w:val="3"/>
        <w:numPr>
          <w:ilvl w:val="0"/>
          <w:numId w:val="0"/>
        </w:numPr>
        <w:tabs>
          <w:tab w:val="left" w:pos="720"/>
          <w:tab w:val="clear" w:pos="360"/>
        </w:tabs>
        <w:snapToGrid w:val="0"/>
        <w:spacing w:line="360" w:lineRule="auto"/>
        <w:ind w:left="412" w:leftChars="196"/>
        <w:outlineLvl w:val="2"/>
        <w:rPr>
          <w:rFonts w:ascii="宋体" w:hAnsi="宋体"/>
          <w:b/>
          <w:color w:val="auto"/>
          <w:szCs w:val="21"/>
        </w:rPr>
      </w:pPr>
      <w:bookmarkStart w:id="24" w:name="_Toc182932779"/>
      <w:r>
        <w:rPr>
          <w:rFonts w:hint="eastAsia" w:ascii="宋体" w:hAnsi="宋体"/>
          <w:b/>
          <w:color w:val="auto"/>
          <w:szCs w:val="21"/>
        </w:rPr>
        <w:t>（五）招标文件的澄清与修改</w:t>
      </w:r>
      <w:bookmarkEnd w:id="24"/>
      <w:r>
        <w:rPr>
          <w:rFonts w:hint="eastAsia" w:ascii="宋体" w:hAnsi="宋体"/>
          <w:b/>
          <w:color w:val="auto"/>
          <w:szCs w:val="21"/>
        </w:rPr>
        <w:t xml:space="preserve"> </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招标人可以对已发出的招标文件进行必要的澄清或者修改，将以“更正公告”的形式发布在政采云平台，投标人应及时登录政采云平台，进行浏览并下载，未及时浏览下载的责任自负。澄清或者修改的内容可能影响投标文件编制的。</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2.招标文件澄清、答复、修改、补充的内容为招标文件的组成部分。当招标文件与招标文件的答复、澄清、修改、补充通知就同一内容的表述不一致时，以最后发出的书面文件为准。</w:t>
      </w:r>
    </w:p>
    <w:p>
      <w:pPr>
        <w:pStyle w:val="8"/>
        <w:snapToGrid w:val="0"/>
        <w:spacing w:beforeLines="0" w:afterLines="0" w:line="360" w:lineRule="auto"/>
        <w:outlineLvl w:val="1"/>
        <w:rPr>
          <w:rFonts w:hAnsi="宋体"/>
          <w:b/>
          <w:color w:val="auto"/>
          <w:sz w:val="21"/>
          <w:szCs w:val="21"/>
        </w:rPr>
      </w:pPr>
      <w:bookmarkStart w:id="25" w:name="_Toc182932780"/>
      <w:r>
        <w:rPr>
          <w:rFonts w:hint="eastAsia" w:hAnsi="宋体"/>
          <w:b/>
          <w:color w:val="auto"/>
          <w:sz w:val="21"/>
          <w:szCs w:val="21"/>
        </w:rPr>
        <w:t>二、投标文件的编制</w:t>
      </w:r>
      <w:bookmarkEnd w:id="25"/>
    </w:p>
    <w:p>
      <w:pPr>
        <w:snapToGrid w:val="0"/>
        <w:spacing w:line="360" w:lineRule="auto"/>
        <w:ind w:firstLine="413" w:firstLineChars="196"/>
        <w:outlineLvl w:val="2"/>
        <w:rPr>
          <w:rFonts w:ascii="宋体" w:hAnsi="宋体"/>
          <w:color w:val="auto"/>
          <w:szCs w:val="21"/>
        </w:rPr>
      </w:pPr>
      <w:bookmarkStart w:id="26" w:name="_Toc182932781"/>
      <w:r>
        <w:rPr>
          <w:rFonts w:hint="eastAsia" w:ascii="宋体" w:hAnsi="宋体"/>
          <w:b/>
          <w:bCs/>
          <w:color w:val="auto"/>
          <w:szCs w:val="21"/>
        </w:rPr>
        <w:t>（一）投标文件的组成</w:t>
      </w:r>
      <w:bookmarkEnd w:id="26"/>
    </w:p>
    <w:p>
      <w:pPr>
        <w:snapToGrid w:val="0"/>
        <w:spacing w:line="360" w:lineRule="auto"/>
        <w:ind w:firstLine="420" w:firstLineChars="200"/>
        <w:rPr>
          <w:rFonts w:ascii="宋体" w:hAnsi="宋体"/>
          <w:color w:val="auto"/>
          <w:szCs w:val="21"/>
        </w:rPr>
      </w:pPr>
      <w:bookmarkStart w:id="27" w:name="_Toc511230463"/>
      <w:r>
        <w:rPr>
          <w:rFonts w:hint="eastAsia" w:ascii="宋体" w:hAnsi="宋体"/>
          <w:color w:val="auto"/>
          <w:szCs w:val="21"/>
        </w:rPr>
        <w:t>1.投标声明书（见附件一）；</w:t>
      </w:r>
    </w:p>
    <w:p>
      <w:pPr>
        <w:snapToGrid w:val="0"/>
        <w:spacing w:line="360" w:lineRule="auto"/>
        <w:ind w:firstLine="420" w:firstLineChars="200"/>
        <w:rPr>
          <w:rFonts w:ascii="宋体" w:hAnsi="宋体"/>
          <w:color w:val="auto"/>
          <w:szCs w:val="21"/>
        </w:rPr>
      </w:pPr>
      <w:r>
        <w:rPr>
          <w:rFonts w:hint="eastAsia" w:ascii="宋体" w:hAnsi="宋体"/>
          <w:color w:val="auto"/>
          <w:szCs w:val="21"/>
        </w:rPr>
        <w:t>2.投标报价一览表（见附件二）；</w:t>
      </w:r>
    </w:p>
    <w:p>
      <w:pPr>
        <w:snapToGrid w:val="0"/>
        <w:spacing w:line="360" w:lineRule="auto"/>
        <w:ind w:firstLine="420" w:firstLineChars="200"/>
        <w:rPr>
          <w:rFonts w:ascii="宋体" w:hAnsi="宋体"/>
          <w:color w:val="auto"/>
          <w:szCs w:val="21"/>
        </w:rPr>
      </w:pPr>
      <w:r>
        <w:rPr>
          <w:rFonts w:hint="eastAsia" w:ascii="宋体" w:hAnsi="宋体"/>
          <w:color w:val="auto"/>
          <w:szCs w:val="21"/>
        </w:rPr>
        <w:t>3.法定代表人（或单位负责人）身份证明书（见附件三）；</w:t>
      </w:r>
    </w:p>
    <w:p>
      <w:pPr>
        <w:snapToGrid w:val="0"/>
        <w:spacing w:line="360" w:lineRule="auto"/>
        <w:ind w:firstLine="420" w:firstLineChars="200"/>
        <w:rPr>
          <w:rFonts w:ascii="宋体" w:hAnsi="宋体"/>
          <w:color w:val="auto"/>
          <w:szCs w:val="21"/>
        </w:rPr>
      </w:pPr>
      <w:r>
        <w:rPr>
          <w:rFonts w:hint="eastAsia" w:ascii="宋体" w:hAnsi="宋体"/>
          <w:color w:val="auto"/>
          <w:szCs w:val="21"/>
        </w:rPr>
        <w:t>4.若代理人参加需提供有效的法定代表人（或单位负责人）的授权委托书（见附件四）；</w:t>
      </w:r>
    </w:p>
    <w:p>
      <w:pPr>
        <w:snapToGrid w:val="0"/>
        <w:spacing w:line="360" w:lineRule="auto"/>
        <w:ind w:firstLine="420" w:firstLineChars="200"/>
        <w:rPr>
          <w:rFonts w:ascii="宋体" w:hAnsi="宋体"/>
          <w:color w:val="auto"/>
          <w:szCs w:val="21"/>
        </w:rPr>
      </w:pPr>
      <w:r>
        <w:rPr>
          <w:rFonts w:hint="eastAsia" w:ascii="宋体" w:hAnsi="宋体"/>
          <w:color w:val="auto"/>
          <w:szCs w:val="21"/>
        </w:rPr>
        <w:t>5.投标人基本情况声明（见附件五）；</w:t>
      </w:r>
    </w:p>
    <w:p>
      <w:pPr>
        <w:snapToGrid w:val="0"/>
        <w:spacing w:line="360" w:lineRule="auto"/>
        <w:ind w:firstLine="420" w:firstLineChars="200"/>
        <w:rPr>
          <w:rFonts w:ascii="宋体" w:hAnsi="宋体"/>
          <w:color w:val="auto"/>
          <w:szCs w:val="21"/>
        </w:rPr>
      </w:pPr>
      <w:r>
        <w:rPr>
          <w:rFonts w:hint="eastAsia" w:ascii="宋体" w:hAnsi="宋体"/>
          <w:color w:val="auto"/>
          <w:szCs w:val="21"/>
        </w:rPr>
        <w:t>6.投标人资格证明文件（见附件六）；</w:t>
      </w:r>
    </w:p>
    <w:p>
      <w:pPr>
        <w:snapToGrid w:val="0"/>
        <w:spacing w:line="360" w:lineRule="auto"/>
        <w:ind w:firstLine="420" w:firstLineChars="200"/>
        <w:rPr>
          <w:rFonts w:ascii="宋体" w:hAnsi="宋体"/>
          <w:color w:val="auto"/>
          <w:szCs w:val="21"/>
        </w:rPr>
      </w:pPr>
      <w:r>
        <w:rPr>
          <w:rFonts w:hint="eastAsia" w:ascii="宋体" w:hAnsi="宋体"/>
          <w:color w:val="auto"/>
          <w:szCs w:val="21"/>
        </w:rPr>
        <w:t>（1）金融许可证；</w:t>
      </w:r>
    </w:p>
    <w:p>
      <w:pPr>
        <w:snapToGrid w:val="0"/>
        <w:spacing w:line="360" w:lineRule="auto"/>
        <w:ind w:firstLine="420" w:firstLineChars="200"/>
        <w:rPr>
          <w:rFonts w:ascii="宋体" w:hAnsi="宋体"/>
          <w:color w:val="auto"/>
          <w:szCs w:val="21"/>
        </w:rPr>
      </w:pPr>
      <w:r>
        <w:rPr>
          <w:rFonts w:hint="eastAsia" w:ascii="宋体" w:hAnsi="宋体"/>
          <w:color w:val="auto"/>
          <w:szCs w:val="21"/>
        </w:rPr>
        <w:t>（2）营业执照；</w:t>
      </w:r>
    </w:p>
    <w:p>
      <w:pPr>
        <w:snapToGrid w:val="0"/>
        <w:spacing w:line="360" w:lineRule="auto"/>
        <w:ind w:firstLine="420" w:firstLineChars="200"/>
        <w:rPr>
          <w:rFonts w:ascii="宋体" w:hAnsi="宋体"/>
          <w:color w:val="auto"/>
          <w:szCs w:val="21"/>
        </w:rPr>
      </w:pPr>
      <w:r>
        <w:rPr>
          <w:rFonts w:hint="eastAsia" w:ascii="宋体" w:hAnsi="宋体"/>
          <w:color w:val="auto"/>
          <w:szCs w:val="21"/>
        </w:rPr>
        <w:t>（3）无行贿犯罪记录承诺书；</w:t>
      </w:r>
    </w:p>
    <w:p>
      <w:pPr>
        <w:snapToGrid w:val="0"/>
        <w:spacing w:line="360" w:lineRule="auto"/>
        <w:ind w:firstLine="420" w:firstLineChars="200"/>
        <w:rPr>
          <w:rFonts w:ascii="宋体" w:hAnsi="宋体"/>
          <w:color w:val="auto"/>
          <w:szCs w:val="21"/>
        </w:rPr>
      </w:pPr>
      <w:r>
        <w:rPr>
          <w:rFonts w:hint="eastAsia" w:ascii="宋体" w:hAnsi="宋体"/>
          <w:color w:val="auto"/>
          <w:szCs w:val="21"/>
        </w:rPr>
        <w:t>（4）无重大违法违规记录及重大违约的承诺书；</w:t>
      </w:r>
    </w:p>
    <w:p>
      <w:pPr>
        <w:snapToGrid w:val="0"/>
        <w:spacing w:line="360" w:lineRule="auto"/>
        <w:ind w:firstLine="420" w:firstLineChars="200"/>
        <w:rPr>
          <w:rFonts w:ascii="宋体" w:hAnsi="宋体"/>
          <w:color w:val="auto"/>
          <w:szCs w:val="21"/>
        </w:rPr>
      </w:pPr>
      <w:r>
        <w:rPr>
          <w:rFonts w:hint="eastAsia" w:ascii="宋体" w:hAnsi="宋体"/>
          <w:color w:val="auto"/>
          <w:szCs w:val="21"/>
        </w:rPr>
        <w:t>（5）具有履行合同所必需的设备和专业技术能力,资信状况和经营业绩优良，具有较强的风险控制能力的承诺书。</w:t>
      </w:r>
    </w:p>
    <w:p>
      <w:pPr>
        <w:snapToGrid w:val="0"/>
        <w:spacing w:line="360" w:lineRule="auto"/>
        <w:ind w:firstLine="420" w:firstLineChars="200"/>
        <w:rPr>
          <w:rFonts w:ascii="宋体" w:hAnsi="宋体"/>
          <w:color w:val="auto"/>
          <w:szCs w:val="21"/>
        </w:rPr>
      </w:pPr>
      <w:r>
        <w:rPr>
          <w:rFonts w:hint="eastAsia" w:ascii="宋体" w:hAnsi="宋体"/>
          <w:color w:val="auto"/>
          <w:szCs w:val="21"/>
        </w:rPr>
        <w:t>7.2023年度资产负债表和损益表（见附件七）；</w:t>
      </w:r>
    </w:p>
    <w:p>
      <w:pPr>
        <w:snapToGrid w:val="0"/>
        <w:spacing w:line="360" w:lineRule="auto"/>
        <w:ind w:firstLine="420" w:firstLineChars="200"/>
        <w:rPr>
          <w:rFonts w:ascii="宋体" w:hAnsi="宋体"/>
          <w:color w:val="auto"/>
          <w:szCs w:val="21"/>
        </w:rPr>
      </w:pPr>
      <w:r>
        <w:rPr>
          <w:rFonts w:hint="eastAsia" w:ascii="宋体" w:hAnsi="宋体"/>
          <w:color w:val="auto"/>
          <w:szCs w:val="21"/>
        </w:rPr>
        <w:t>8.指标数据响应表（见附件八）；</w:t>
      </w:r>
    </w:p>
    <w:p>
      <w:pPr>
        <w:snapToGrid w:val="0"/>
        <w:spacing w:line="360" w:lineRule="auto"/>
        <w:ind w:firstLine="420" w:firstLineChars="200"/>
        <w:rPr>
          <w:rFonts w:ascii="宋体" w:hAnsi="宋体"/>
          <w:color w:val="auto"/>
          <w:szCs w:val="21"/>
        </w:rPr>
      </w:pPr>
      <w:r>
        <w:rPr>
          <w:rFonts w:hint="eastAsia" w:ascii="宋体" w:hAnsi="宋体"/>
          <w:color w:val="auto"/>
          <w:szCs w:val="21"/>
        </w:rPr>
        <w:t>9.廉政承诺书（见附件九）；</w:t>
      </w:r>
    </w:p>
    <w:p>
      <w:pPr>
        <w:snapToGrid w:val="0"/>
        <w:spacing w:line="360" w:lineRule="auto"/>
        <w:ind w:firstLine="420" w:firstLineChars="200"/>
        <w:rPr>
          <w:rFonts w:ascii="宋体" w:hAnsi="宋体"/>
          <w:color w:val="auto"/>
          <w:szCs w:val="21"/>
        </w:rPr>
      </w:pPr>
      <w:r>
        <w:rPr>
          <w:rFonts w:hint="eastAsia" w:ascii="宋体" w:hAnsi="宋体"/>
          <w:color w:val="auto"/>
          <w:szCs w:val="21"/>
        </w:rPr>
        <w:t>10.费用减免服务承诺书（见附件十）；</w:t>
      </w:r>
    </w:p>
    <w:p>
      <w:pPr>
        <w:snapToGrid w:val="0"/>
        <w:spacing w:line="360" w:lineRule="auto"/>
        <w:ind w:firstLine="420" w:firstLineChars="200"/>
        <w:rPr>
          <w:rFonts w:ascii="宋体" w:hAnsi="宋体"/>
          <w:color w:val="auto"/>
          <w:szCs w:val="21"/>
        </w:rPr>
      </w:pPr>
      <w:r>
        <w:rPr>
          <w:rFonts w:hint="eastAsia" w:ascii="宋体" w:hAnsi="宋体"/>
          <w:color w:val="auto"/>
          <w:szCs w:val="21"/>
        </w:rPr>
        <w:t>11.投标人针对本项目需要说明的其他文件和说明（格式自拟）。</w:t>
      </w:r>
    </w:p>
    <w:p>
      <w:pPr>
        <w:snapToGrid w:val="0"/>
        <w:spacing w:line="360" w:lineRule="auto"/>
        <w:rPr>
          <w:rFonts w:ascii="宋体" w:hAnsi="宋体"/>
          <w:b/>
          <w:color w:val="auto"/>
          <w:szCs w:val="21"/>
        </w:rPr>
      </w:pPr>
      <w:r>
        <w:rPr>
          <w:rFonts w:hint="eastAsia" w:ascii="宋体" w:hAnsi="宋体"/>
          <w:b/>
          <w:color w:val="auto"/>
          <w:szCs w:val="21"/>
        </w:rPr>
        <w:t>（注：1.所有的复印件，在提供时请仔细检查当期是否有效，并请加盖投标人公章。2.投标人须按以上顺序准备投标资料，如未按要求导致产生不利于投标人评标结果的，后果由投标人自行负责。</w:t>
      </w:r>
      <w:r>
        <w:rPr>
          <w:rFonts w:hint="eastAsia" w:ascii="宋体" w:hAnsi="宋体"/>
          <w:b/>
          <w:color w:val="auto"/>
        </w:rPr>
        <w:t>★</w:t>
      </w:r>
      <w:r>
        <w:rPr>
          <w:rFonts w:hint="eastAsia" w:ascii="宋体" w:hAnsi="宋体"/>
          <w:b/>
          <w:color w:val="auto"/>
          <w:szCs w:val="21"/>
        </w:rPr>
        <w:t>3.法定代表人（或单位负责人）的授权委托书必须由投标人法定代表人（或单位负责人）签名或盖章并加盖投标人公章）。</w:t>
      </w:r>
    </w:p>
    <w:p>
      <w:pPr>
        <w:snapToGrid w:val="0"/>
        <w:spacing w:line="360" w:lineRule="auto"/>
        <w:ind w:firstLine="413" w:firstLineChars="196"/>
        <w:outlineLvl w:val="2"/>
        <w:rPr>
          <w:rFonts w:ascii="宋体" w:hAnsi="宋体"/>
          <w:b/>
          <w:color w:val="auto"/>
          <w:szCs w:val="21"/>
        </w:rPr>
      </w:pPr>
      <w:bookmarkStart w:id="28" w:name="_Toc182932782"/>
      <w:r>
        <w:rPr>
          <w:rFonts w:hint="eastAsia" w:ascii="宋体" w:hAnsi="宋体"/>
          <w:b/>
          <w:color w:val="auto"/>
          <w:szCs w:val="21"/>
        </w:rPr>
        <w:t>（二）投标文件的语言</w:t>
      </w:r>
      <w:bookmarkEnd w:id="27"/>
      <w:bookmarkEnd w:id="28"/>
    </w:p>
    <w:p>
      <w:pPr>
        <w:snapToGrid w:val="0"/>
        <w:spacing w:line="360" w:lineRule="auto"/>
        <w:ind w:firstLine="420" w:firstLineChars="200"/>
        <w:rPr>
          <w:rFonts w:ascii="宋体" w:hAnsi="宋体"/>
          <w:color w:val="auto"/>
          <w:szCs w:val="21"/>
        </w:rPr>
      </w:pPr>
      <w:r>
        <w:rPr>
          <w:rFonts w:hint="eastAsia" w:ascii="宋体" w:hAnsi="宋体"/>
          <w:color w:val="auto"/>
          <w:szCs w:val="21"/>
        </w:rPr>
        <w:t>投标文件以及投标人与招标人就有关投标事宜的所有来往函电，均应以中文汉语书写。除签字、盖章、专用名称等特殊情形外，以中文汉语以外的文字表述的投标文件视同未提供。</w:t>
      </w:r>
    </w:p>
    <w:p>
      <w:pPr>
        <w:pStyle w:val="3"/>
        <w:numPr>
          <w:ilvl w:val="0"/>
          <w:numId w:val="0"/>
        </w:numPr>
        <w:tabs>
          <w:tab w:val="left" w:pos="720"/>
          <w:tab w:val="clear" w:pos="360"/>
        </w:tabs>
        <w:snapToGrid w:val="0"/>
        <w:spacing w:line="360" w:lineRule="auto"/>
        <w:ind w:left="412" w:leftChars="196"/>
        <w:outlineLvl w:val="2"/>
        <w:rPr>
          <w:rFonts w:ascii="宋体" w:hAnsi="宋体"/>
          <w:b/>
          <w:color w:val="auto"/>
          <w:szCs w:val="21"/>
        </w:rPr>
      </w:pPr>
      <w:bookmarkStart w:id="29" w:name="_Toc182932783"/>
      <w:r>
        <w:rPr>
          <w:rFonts w:hint="eastAsia" w:ascii="宋体" w:hAnsi="宋体"/>
          <w:b/>
          <w:color w:val="auto"/>
          <w:szCs w:val="21"/>
        </w:rPr>
        <w:t>（三）投标文件的有效期</w:t>
      </w:r>
      <w:bookmarkEnd w:id="29"/>
    </w:p>
    <w:p>
      <w:pPr>
        <w:pStyle w:val="3"/>
        <w:numPr>
          <w:ilvl w:val="0"/>
          <w:numId w:val="0"/>
        </w:numPr>
        <w:tabs>
          <w:tab w:val="left" w:pos="720"/>
          <w:tab w:val="clear" w:pos="360"/>
        </w:tabs>
        <w:snapToGrid w:val="0"/>
        <w:spacing w:line="360" w:lineRule="auto"/>
        <w:ind w:left="420" w:leftChars="200"/>
        <w:rPr>
          <w:rFonts w:ascii="宋体" w:hAnsi="宋体"/>
          <w:color w:val="auto"/>
          <w:szCs w:val="21"/>
        </w:rPr>
      </w:pPr>
      <w:r>
        <w:rPr>
          <w:rFonts w:hint="eastAsia" w:ascii="宋体" w:hAnsi="宋体"/>
          <w:color w:val="auto"/>
          <w:szCs w:val="21"/>
        </w:rPr>
        <w:t>1.自投标截止日起90天内投标文件应保持有效。有效期不足的投标文件将被拒绝。</w:t>
      </w:r>
    </w:p>
    <w:p>
      <w:pPr>
        <w:snapToGrid w:val="0"/>
        <w:spacing w:line="360" w:lineRule="auto"/>
        <w:ind w:firstLine="420" w:firstLineChars="200"/>
        <w:rPr>
          <w:rFonts w:ascii="宋体" w:hAnsi="宋体"/>
          <w:b/>
          <w:color w:val="auto"/>
          <w:szCs w:val="21"/>
        </w:rPr>
      </w:pPr>
      <w:bookmarkStart w:id="30" w:name="_Toc511230464"/>
      <w:r>
        <w:rPr>
          <w:rFonts w:hint="eastAsia" w:ascii="宋体" w:hAnsi="宋体"/>
          <w:color w:val="auto"/>
          <w:szCs w:val="21"/>
        </w:rPr>
        <w:t>2.中标人的投标文件自开标之日起至协议履行完毕止均应保持有效。</w:t>
      </w:r>
      <w:bookmarkEnd w:id="30"/>
    </w:p>
    <w:p>
      <w:pPr>
        <w:snapToGrid w:val="0"/>
        <w:spacing w:line="360" w:lineRule="auto"/>
        <w:ind w:firstLine="413" w:firstLineChars="196"/>
        <w:outlineLvl w:val="2"/>
        <w:rPr>
          <w:rFonts w:ascii="宋体" w:hAnsi="宋体"/>
          <w:b/>
          <w:color w:val="auto"/>
          <w:szCs w:val="21"/>
        </w:rPr>
      </w:pPr>
      <w:bookmarkStart w:id="31" w:name="_Toc182932784"/>
      <w:bookmarkStart w:id="32" w:name="_Toc511230465"/>
      <w:r>
        <w:rPr>
          <w:rFonts w:hint="eastAsia" w:ascii="宋体" w:hAnsi="宋体"/>
          <w:b/>
          <w:color w:val="auto"/>
          <w:szCs w:val="21"/>
        </w:rPr>
        <w:t>（四）投标文件的签署和份数</w:t>
      </w:r>
      <w:bookmarkEnd w:id="31"/>
      <w:bookmarkEnd w:id="32"/>
    </w:p>
    <w:p>
      <w:pPr>
        <w:snapToGrid w:val="0"/>
        <w:spacing w:line="360" w:lineRule="auto"/>
        <w:ind w:firstLine="420" w:firstLineChars="200"/>
        <w:rPr>
          <w:rFonts w:ascii="宋体" w:hAnsi="宋体"/>
          <w:color w:val="auto"/>
          <w:szCs w:val="21"/>
        </w:rPr>
      </w:pPr>
      <w:r>
        <w:rPr>
          <w:rFonts w:hint="eastAsia" w:ascii="宋体" w:hAnsi="宋体"/>
          <w:color w:val="auto"/>
          <w:szCs w:val="21"/>
        </w:rPr>
        <w:t>1.本项目实行网上投标，投标人应准备以下投标文件：</w:t>
      </w:r>
    </w:p>
    <w:p>
      <w:pPr>
        <w:snapToGrid w:val="0"/>
        <w:spacing w:line="360" w:lineRule="auto"/>
        <w:ind w:firstLine="527" w:firstLineChars="250"/>
        <w:rPr>
          <w:rFonts w:ascii="宋体" w:hAnsi="宋体"/>
          <w:color w:val="auto"/>
          <w:szCs w:val="21"/>
        </w:rPr>
      </w:pPr>
      <w:r>
        <w:rPr>
          <w:rFonts w:hint="eastAsia" w:ascii="宋体" w:hAnsi="宋体"/>
          <w:b/>
          <w:color w:val="auto"/>
        </w:rPr>
        <w:t>★</w:t>
      </w:r>
      <w:r>
        <w:rPr>
          <w:rFonts w:hint="eastAsia" w:ascii="宋体" w:hAnsi="宋体"/>
          <w:color w:val="auto"/>
          <w:szCs w:val="21"/>
        </w:rPr>
        <w:t>（1）上传到政府采购云平台的电子投标文件1份。</w:t>
      </w:r>
    </w:p>
    <w:p>
      <w:pPr>
        <w:snapToGrid w:val="0"/>
        <w:spacing w:line="360" w:lineRule="auto"/>
        <w:ind w:firstLine="420" w:firstLineChars="200"/>
        <w:rPr>
          <w:rFonts w:ascii="宋体" w:hAnsi="宋体"/>
          <w:color w:val="auto"/>
          <w:szCs w:val="21"/>
        </w:rPr>
      </w:pPr>
      <w:r>
        <w:rPr>
          <w:rFonts w:hint="eastAsia" w:ascii="宋体" w:hAnsi="宋体"/>
          <w:color w:val="auto"/>
          <w:szCs w:val="21"/>
        </w:rPr>
        <w:t>（2）以U盘或光盘存储的电子备份投标文件1份。</w:t>
      </w:r>
    </w:p>
    <w:p>
      <w:pPr>
        <w:snapToGrid w:val="0"/>
        <w:spacing w:line="360" w:lineRule="auto"/>
        <w:ind w:firstLine="527" w:firstLineChars="250"/>
        <w:rPr>
          <w:rFonts w:ascii="宋体" w:hAnsi="宋体"/>
          <w:color w:val="auto"/>
          <w:szCs w:val="21"/>
        </w:rPr>
      </w:pPr>
      <w:r>
        <w:rPr>
          <w:rFonts w:hint="eastAsia" w:ascii="宋体" w:hAnsi="宋体"/>
          <w:b/>
          <w:color w:val="auto"/>
        </w:rPr>
        <w:t>★</w:t>
      </w:r>
      <w:r>
        <w:rPr>
          <w:rFonts w:hint="eastAsia" w:ascii="宋体" w:hAnsi="宋体"/>
          <w:color w:val="auto"/>
          <w:szCs w:val="21"/>
        </w:rPr>
        <w:t>2.招标文件“第六章 投标文件格式附件”中标明加盖公章或签字的，加盖公章部分采用CA签章，签字部分由法定代表人或授权代表签字后扫描上传（或加盖对应法定代表人或授权代表的电子签名或签章）。授权代表签字的，还应附法定代表人签署的法定代表人授权书。</w:t>
      </w:r>
    </w:p>
    <w:p>
      <w:pPr>
        <w:snapToGrid w:val="0"/>
        <w:spacing w:line="360" w:lineRule="auto"/>
        <w:ind w:firstLine="413" w:firstLineChars="196"/>
        <w:outlineLvl w:val="2"/>
        <w:rPr>
          <w:rFonts w:ascii="宋体" w:hAnsi="宋体"/>
          <w:b/>
          <w:color w:val="auto"/>
          <w:szCs w:val="21"/>
        </w:rPr>
      </w:pPr>
      <w:bookmarkStart w:id="33" w:name="_Toc182932785"/>
      <w:r>
        <w:rPr>
          <w:rFonts w:hint="eastAsia" w:ascii="宋体" w:hAnsi="宋体"/>
          <w:b/>
          <w:color w:val="auto"/>
          <w:szCs w:val="21"/>
        </w:rPr>
        <w:t>（五）投标文件制作：</w:t>
      </w:r>
      <w:bookmarkEnd w:id="33"/>
    </w:p>
    <w:p>
      <w:pPr>
        <w:snapToGrid w:val="0"/>
        <w:spacing w:line="360" w:lineRule="auto"/>
        <w:ind w:firstLine="420" w:firstLineChars="200"/>
        <w:rPr>
          <w:rFonts w:ascii="宋体" w:hAnsi="宋体"/>
          <w:color w:val="auto"/>
          <w:szCs w:val="21"/>
        </w:rPr>
      </w:pPr>
      <w:r>
        <w:rPr>
          <w:rFonts w:hint="eastAsia" w:ascii="宋体" w:hAnsi="宋体"/>
          <w:color w:val="auto"/>
          <w:szCs w:val="21"/>
        </w:rPr>
        <w:t>1.应按照本项目招标文件和政府采购云平台的要求编制、加密并递交投标文件。投标人在使用系统进行投标的过程中遇到涉及平台使用的任何问题，可致电政府采购云平台技术支持热线咨询，联系方式：</w:t>
      </w:r>
      <w:r>
        <w:rPr>
          <w:rFonts w:hint="eastAsia" w:ascii="宋体" w:hAnsi="宋体" w:cs="宋体"/>
          <w:color w:val="auto"/>
          <w:szCs w:val="21"/>
        </w:rPr>
        <w:t>95763</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2.投标人通过政府采购云平台电子投标工具制作投标文件。电子投标工具请投标人自行前往浙江政府采购网下载并安装。</w:t>
      </w:r>
    </w:p>
    <w:p>
      <w:pPr>
        <w:snapToGrid w:val="0"/>
        <w:spacing w:line="360" w:lineRule="auto"/>
        <w:ind w:firstLine="420" w:firstLineChars="200"/>
        <w:rPr>
          <w:rFonts w:ascii="宋体" w:hAnsi="宋体"/>
          <w:color w:val="auto"/>
          <w:szCs w:val="21"/>
        </w:rPr>
      </w:pPr>
      <w:r>
        <w:rPr>
          <w:rFonts w:hint="eastAsia" w:ascii="宋体" w:hAnsi="宋体"/>
          <w:color w:val="auto"/>
          <w:szCs w:val="21"/>
        </w:rPr>
        <w:t>3.以U盘或光盘存储的电子备份投标文件1份，即按“项目采购-电子招投标操作指南”制作的电子备份文件，以用于异常情况处理。</w:t>
      </w:r>
    </w:p>
    <w:p>
      <w:pPr>
        <w:snapToGrid w:val="0"/>
        <w:spacing w:line="360" w:lineRule="auto"/>
        <w:ind w:firstLine="420" w:firstLineChars="200"/>
        <w:rPr>
          <w:rFonts w:ascii="宋体" w:hAnsi="宋体"/>
          <w:b/>
          <w:color w:val="auto"/>
          <w:szCs w:val="21"/>
        </w:rPr>
      </w:pPr>
      <w:r>
        <w:rPr>
          <w:rFonts w:hint="eastAsia" w:ascii="宋体" w:hAnsi="宋体"/>
          <w:color w:val="auto"/>
          <w:szCs w:val="21"/>
        </w:rPr>
        <w:t>4.开标前准备：各投标人应在投标截止时间前确保成为浙江政府采购网正式注册入库投标人，并完成CA数字证书办理。因未注册入库、未办理CA数字证书等原因造成无法投标或投标失败等后果由投标人自行承担。</w:t>
      </w:r>
      <w:r>
        <w:rPr>
          <w:rFonts w:hint="eastAsia" w:ascii="宋体" w:hAnsi="宋体" w:cs="仿宋"/>
          <w:b/>
          <w:bCs/>
          <w:color w:val="auto"/>
          <w:szCs w:val="21"/>
        </w:rPr>
        <w:t>完成CA数字证书办理预计一周左右，请投标人自行把握时间。</w:t>
      </w:r>
    </w:p>
    <w:p>
      <w:pPr>
        <w:snapToGrid w:val="0"/>
        <w:spacing w:line="360" w:lineRule="auto"/>
        <w:ind w:firstLine="310" w:firstLineChars="147"/>
        <w:outlineLvl w:val="2"/>
        <w:rPr>
          <w:rFonts w:ascii="宋体" w:hAnsi="宋体" w:cs="宋体"/>
          <w:b/>
          <w:bCs/>
          <w:color w:val="auto"/>
          <w:szCs w:val="21"/>
        </w:rPr>
      </w:pPr>
      <w:bookmarkStart w:id="34" w:name="_Toc182932786"/>
      <w:r>
        <w:rPr>
          <w:rFonts w:hint="eastAsia" w:ascii="宋体" w:hAnsi="宋体"/>
          <w:b/>
          <w:color w:val="auto"/>
          <w:szCs w:val="21"/>
        </w:rPr>
        <w:t>（六）投标文件的密封和标记</w:t>
      </w:r>
      <w:bookmarkEnd w:id="34"/>
    </w:p>
    <w:p>
      <w:pPr>
        <w:spacing w:line="360" w:lineRule="auto"/>
        <w:ind w:firstLine="420" w:firstLineChars="200"/>
        <w:jc w:val="left"/>
        <w:rPr>
          <w:rFonts w:ascii="宋体" w:hAnsi="宋体"/>
          <w:color w:val="auto"/>
          <w:szCs w:val="21"/>
        </w:rPr>
      </w:pPr>
      <w:r>
        <w:rPr>
          <w:rFonts w:hint="eastAsia" w:ascii="宋体" w:hAnsi="宋体"/>
          <w:bCs/>
          <w:color w:val="auto"/>
          <w:szCs w:val="21"/>
        </w:rPr>
        <w:t>1.</w:t>
      </w:r>
      <w:r>
        <w:rPr>
          <w:rFonts w:hint="eastAsia" w:ascii="宋体" w:hAnsi="宋体"/>
          <w:color w:val="auto"/>
          <w:szCs w:val="21"/>
        </w:rPr>
        <w:t>电子投标文件：投标人应根据“项目采购-电子招投标操作指南”及本招标文件规定的格式和顺序编制电子投标文件并进行关联定位。</w:t>
      </w:r>
    </w:p>
    <w:p>
      <w:pPr>
        <w:spacing w:line="360" w:lineRule="auto"/>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以U盘或光盘存储的电子备份投标文件</w:t>
      </w:r>
      <w:r>
        <w:rPr>
          <w:rFonts w:hint="eastAsia" w:ascii="宋体" w:hAnsi="宋体"/>
          <w:color w:val="auto"/>
          <w:szCs w:val="21"/>
        </w:rPr>
        <w:t>用封袋密封后递交。</w:t>
      </w:r>
    </w:p>
    <w:p>
      <w:pPr>
        <w:spacing w:line="360" w:lineRule="auto"/>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电子备份投标文件须在</w:t>
      </w:r>
      <w:r>
        <w:rPr>
          <w:rFonts w:hint="eastAsia" w:ascii="宋体" w:hAnsi="宋体"/>
          <w:color w:val="auto"/>
          <w:szCs w:val="21"/>
        </w:rPr>
        <w:t>封袋上分别注明：</w:t>
      </w:r>
    </w:p>
    <w:p>
      <w:pPr>
        <w:tabs>
          <w:tab w:val="left" w:pos="900"/>
        </w:tabs>
        <w:spacing w:line="360" w:lineRule="auto"/>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“电子备份投标文件”            </w:t>
      </w:r>
      <w:r>
        <w:rPr>
          <w:rFonts w:hint="eastAsia" w:ascii="宋体" w:hAnsi="宋体"/>
          <w:color w:val="auto"/>
          <w:szCs w:val="21"/>
        </w:rPr>
        <w:t>；</w:t>
      </w:r>
    </w:p>
    <w:p>
      <w:pPr>
        <w:tabs>
          <w:tab w:val="left" w:pos="900"/>
        </w:tabs>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pPr>
        <w:tabs>
          <w:tab w:val="left" w:pos="900"/>
        </w:tabs>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w:t>
      </w:r>
    </w:p>
    <w:p>
      <w:pPr>
        <w:tabs>
          <w:tab w:val="left" w:pos="900"/>
        </w:tabs>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）所投标项（如有多个标项须填写）：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pPr>
        <w:tabs>
          <w:tab w:val="left" w:pos="900"/>
        </w:tabs>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）在</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日（规定的开标日期和时间）前不准启封；</w:t>
      </w:r>
    </w:p>
    <w:p>
      <w:pPr>
        <w:tabs>
          <w:tab w:val="left" w:pos="900"/>
        </w:tabs>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）投标人的名称：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pPr>
        <w:spacing w:line="360" w:lineRule="auto"/>
        <w:ind w:firstLine="420" w:firstLineChars="200"/>
        <w:jc w:val="left"/>
        <w:rPr>
          <w:rFonts w:ascii="宋体" w:hAnsi="宋体"/>
          <w:color w:val="auto"/>
          <w:szCs w:val="21"/>
        </w:rPr>
      </w:pPr>
      <w:r>
        <w:rPr>
          <w:rFonts w:hint="eastAsia" w:ascii="宋体" w:hAnsi="宋体"/>
          <w:color w:val="auto"/>
          <w:szCs w:val="21"/>
        </w:rPr>
        <w:t>投标人须在包封上加盖投标人公章或由其法定代表人（或授权代表）签字或盖章。</w:t>
      </w:r>
    </w:p>
    <w:p>
      <w:pPr>
        <w:snapToGrid w:val="0"/>
        <w:spacing w:line="360" w:lineRule="auto"/>
        <w:ind w:firstLine="420" w:firstLineChars="200"/>
        <w:rPr>
          <w:rFonts w:ascii="宋体" w:hAnsi="宋体"/>
          <w:bCs/>
          <w:color w:val="auto"/>
          <w:szCs w:val="21"/>
        </w:rPr>
      </w:pPr>
      <w:r>
        <w:rPr>
          <w:rFonts w:hint="eastAsia" w:ascii="宋体" w:hAnsi="宋体"/>
          <w:color w:val="auto"/>
          <w:szCs w:val="21"/>
        </w:rPr>
        <w:t>投标人未按上述要求标记的，招标人（代理机构）不承担错放或提前开封的责任</w:t>
      </w:r>
      <w:r>
        <w:rPr>
          <w:rFonts w:hint="eastAsia" w:ascii="宋体" w:hAnsi="宋体"/>
          <w:bCs/>
          <w:color w:val="auto"/>
          <w:szCs w:val="21"/>
        </w:rPr>
        <w:t>。</w:t>
      </w:r>
    </w:p>
    <w:p>
      <w:pPr>
        <w:snapToGrid w:val="0"/>
        <w:spacing w:line="360" w:lineRule="auto"/>
        <w:ind w:firstLine="310" w:firstLineChars="147"/>
        <w:outlineLvl w:val="2"/>
        <w:rPr>
          <w:rFonts w:ascii="宋体" w:hAnsi="宋体"/>
          <w:b/>
          <w:color w:val="auto"/>
          <w:szCs w:val="21"/>
        </w:rPr>
      </w:pPr>
      <w:bookmarkStart w:id="35" w:name="_Toc182932787"/>
      <w:bookmarkStart w:id="36" w:name="_Toc511230466"/>
      <w:r>
        <w:rPr>
          <w:rFonts w:hint="eastAsia" w:ascii="宋体" w:hAnsi="宋体"/>
          <w:b/>
          <w:color w:val="auto"/>
          <w:szCs w:val="21"/>
        </w:rPr>
        <w:t>（七）投标文件的递交</w:t>
      </w:r>
      <w:bookmarkEnd w:id="35"/>
    </w:p>
    <w:p>
      <w:pPr>
        <w:snapToGrid w:val="0"/>
        <w:spacing w:line="360" w:lineRule="auto"/>
        <w:ind w:firstLine="420" w:firstLineChars="200"/>
        <w:rPr>
          <w:rFonts w:ascii="宋体" w:hAnsi="宋体"/>
          <w:color w:val="auto"/>
          <w:szCs w:val="21"/>
        </w:rPr>
      </w:pPr>
      <w:r>
        <w:rPr>
          <w:rFonts w:hint="eastAsia" w:ascii="宋体" w:hAnsi="宋体"/>
          <w:color w:val="auto"/>
          <w:szCs w:val="21"/>
        </w:rPr>
        <w:t>1.递交方式：</w:t>
      </w:r>
    </w:p>
    <w:p>
      <w:pPr>
        <w:snapToGrid w:val="0"/>
        <w:spacing w:line="360" w:lineRule="auto"/>
        <w:ind w:firstLine="420" w:firstLineChars="200"/>
        <w:rPr>
          <w:rFonts w:ascii="宋体" w:hAnsi="宋体"/>
          <w:color w:val="auto"/>
          <w:szCs w:val="21"/>
        </w:rPr>
      </w:pPr>
      <w:r>
        <w:rPr>
          <w:rFonts w:hint="eastAsia" w:ascii="宋体" w:hAnsi="宋体"/>
          <w:color w:val="auto"/>
          <w:szCs w:val="21"/>
        </w:rPr>
        <w:t>投标人应于提交投标文件截止时间前将电子投标文件上传到政府采购云平台（https://www.zcygov.cn/），并应于提交投标文件截止时间前，将以U盘或光盘存储的电子备份投标文件密封，采用现场递交或邮寄送达方式递交。</w:t>
      </w:r>
    </w:p>
    <w:p>
      <w:pPr>
        <w:snapToGrid w:val="0"/>
        <w:spacing w:line="360" w:lineRule="auto"/>
        <w:ind w:firstLine="420" w:firstLineChars="200"/>
        <w:rPr>
          <w:rFonts w:ascii="宋体" w:hAnsi="宋体"/>
          <w:color w:val="auto"/>
          <w:szCs w:val="21"/>
        </w:rPr>
      </w:pPr>
      <w:r>
        <w:rPr>
          <w:rFonts w:hint="eastAsia" w:ascii="宋体" w:hAnsi="宋体"/>
          <w:color w:val="auto"/>
          <w:szCs w:val="21"/>
        </w:rPr>
        <w:t>方式一：现场递交方式，投标人的法定代表人或授权代表在投标截止时间前将投标文件送至开标地点：宁波市北仑区长江路1166号行政大楼B楼北仑区（开发区）公共资源交易中心（招投标中心）交易厅（详见中心候标区电子显示屏）。投标文件递交时须同时递交投标人的法定代表人（或其授权代表）联系方式，并保证投标期间联系方式畅通。</w:t>
      </w:r>
    </w:p>
    <w:p>
      <w:pPr>
        <w:snapToGrid w:val="0"/>
        <w:spacing w:line="360" w:lineRule="auto"/>
        <w:ind w:firstLine="420" w:firstLineChars="200"/>
        <w:rPr>
          <w:rFonts w:ascii="宋体" w:hAnsi="宋体"/>
          <w:color w:val="auto"/>
          <w:szCs w:val="21"/>
        </w:rPr>
      </w:pPr>
      <w:r>
        <w:rPr>
          <w:rFonts w:hint="eastAsia" w:ascii="宋体" w:hAnsi="宋体"/>
          <w:color w:val="auto"/>
          <w:szCs w:val="21"/>
        </w:rPr>
        <w:t>方式二：邮寄送达，送达地址：宁波市国际招标有限公司（</w:t>
      </w:r>
      <w:r>
        <w:rPr>
          <w:rFonts w:hint="eastAsia" w:ascii="宋体" w:hAnsi="宋体" w:cs="宋体"/>
          <w:color w:val="auto"/>
          <w:szCs w:val="21"/>
        </w:rPr>
        <w:t>宁波市江北区环城北路西段207弄19号世茂茂悦商业中心1号楼八楼</w:t>
      </w:r>
      <w:r>
        <w:rPr>
          <w:rFonts w:hint="eastAsia" w:ascii="宋体" w:hAnsi="宋体" w:cs="宋体"/>
          <w:color w:val="auto"/>
          <w:szCs w:val="22"/>
        </w:rPr>
        <w:t>。收件人：郭爱   联系方式：0574-87495260）</w:t>
      </w:r>
      <w:r>
        <w:rPr>
          <w:rFonts w:hint="eastAsia" w:ascii="宋体" w:hAnsi="宋体"/>
          <w:color w:val="auto"/>
          <w:szCs w:val="21"/>
        </w:rPr>
        <w:t>。投标人邮寄后须将邮件单号发送至代理机构电子邮箱（电子邮箱：nbitc02@126.com），并致电招标代理机构，以便招标代理机构查询物流记录。各投标人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在投标截止时间前送达的，代理机构将拒绝其投标文件。各投标人自行考虑邮寄在途时间，投标文件送达时间以代理机构工作人员实际签收时间为准。</w:t>
      </w:r>
    </w:p>
    <w:p>
      <w:pPr>
        <w:snapToGrid w:val="0"/>
        <w:spacing w:line="360" w:lineRule="auto"/>
        <w:ind w:firstLine="420" w:firstLineChars="200"/>
        <w:rPr>
          <w:rFonts w:ascii="宋体" w:hAnsi="宋体"/>
          <w:color w:val="auto"/>
          <w:szCs w:val="21"/>
        </w:rPr>
      </w:pPr>
      <w:r>
        <w:rPr>
          <w:rFonts w:hint="eastAsia" w:ascii="宋体" w:hAnsi="宋体"/>
          <w:color w:val="auto"/>
          <w:szCs w:val="21"/>
        </w:rPr>
        <w:t>2.投标人未按上述要求密封的电子备份投标文件，代理机构不予受理。</w:t>
      </w:r>
    </w:p>
    <w:p>
      <w:pPr>
        <w:snapToGrid w:val="0"/>
        <w:spacing w:line="360" w:lineRule="auto"/>
        <w:ind w:firstLine="420" w:firstLineChars="200"/>
        <w:rPr>
          <w:rFonts w:ascii="宋体" w:hAnsi="宋体"/>
          <w:color w:val="auto"/>
          <w:szCs w:val="21"/>
        </w:rPr>
      </w:pPr>
      <w:r>
        <w:rPr>
          <w:rFonts w:hint="eastAsia" w:ascii="宋体" w:hAnsi="宋体"/>
          <w:color w:val="auto"/>
          <w:szCs w:val="21"/>
        </w:rPr>
        <w:t>3.逾期送达的或者未送达指定地点的，代理机构不予受理。</w:t>
      </w:r>
    </w:p>
    <w:p>
      <w:pPr>
        <w:snapToGrid w:val="0"/>
        <w:spacing w:line="360" w:lineRule="auto"/>
        <w:ind w:firstLine="420" w:firstLineChars="200"/>
        <w:rPr>
          <w:rFonts w:ascii="宋体" w:hAnsi="宋体"/>
          <w:color w:val="auto"/>
          <w:szCs w:val="21"/>
        </w:rPr>
      </w:pPr>
      <w:r>
        <w:rPr>
          <w:rFonts w:hint="eastAsia" w:ascii="宋体" w:hAnsi="宋体"/>
          <w:color w:val="auto"/>
          <w:szCs w:val="21"/>
        </w:rPr>
        <w:t>4.投标文件的补充、修改</w:t>
      </w:r>
    </w:p>
    <w:p>
      <w:pPr>
        <w:snapToGrid w:val="0"/>
        <w:spacing w:line="360" w:lineRule="auto"/>
        <w:ind w:firstLine="420" w:firstLineChars="200"/>
        <w:rPr>
          <w:rFonts w:ascii="宋体" w:hAnsi="宋体"/>
          <w:color w:val="auto"/>
          <w:szCs w:val="21"/>
        </w:rPr>
      </w:pPr>
      <w:r>
        <w:rPr>
          <w:rFonts w:hint="eastAsia" w:ascii="宋体" w:hAnsi="宋体"/>
          <w:color w:val="auto"/>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招标人提交正式文件。</w:t>
      </w:r>
    </w:p>
    <w:bookmarkEnd w:id="36"/>
    <w:p>
      <w:pPr>
        <w:pStyle w:val="8"/>
        <w:snapToGrid w:val="0"/>
        <w:spacing w:beforeLines="0" w:afterLines="0" w:line="360" w:lineRule="auto"/>
        <w:ind w:left="690" w:leftChars="228" w:hanging="211" w:hangingChars="100"/>
        <w:outlineLvl w:val="2"/>
        <w:rPr>
          <w:rFonts w:hAnsi="宋体"/>
          <w:b/>
          <w:color w:val="auto"/>
          <w:sz w:val="21"/>
          <w:szCs w:val="21"/>
        </w:rPr>
      </w:pPr>
      <w:bookmarkStart w:id="37" w:name="_Toc182932788"/>
      <w:r>
        <w:rPr>
          <w:rFonts w:hint="eastAsia" w:hAnsi="宋体"/>
          <w:b/>
          <w:color w:val="auto"/>
          <w:sz w:val="21"/>
          <w:szCs w:val="21"/>
        </w:rPr>
        <w:t>（八）错误修正</w:t>
      </w:r>
      <w:bookmarkEnd w:id="37"/>
    </w:p>
    <w:p>
      <w:pPr>
        <w:pStyle w:val="8"/>
        <w:snapToGrid w:val="0"/>
        <w:spacing w:beforeLines="0" w:afterLines="0" w:line="360" w:lineRule="auto"/>
        <w:ind w:left="2" w:firstLine="378" w:firstLineChars="180"/>
        <w:rPr>
          <w:rFonts w:hAnsi="宋体"/>
          <w:color w:val="auto"/>
          <w:sz w:val="21"/>
          <w:szCs w:val="21"/>
        </w:rPr>
      </w:pPr>
      <w:r>
        <w:rPr>
          <w:rFonts w:hint="eastAsia" w:hAnsi="宋体"/>
          <w:color w:val="auto"/>
          <w:sz w:val="21"/>
          <w:szCs w:val="21"/>
        </w:rPr>
        <w:t>投标文件如果出现计算或表达上的错误，修正错误的原则如下：</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1.投标文件中开标一览表内容与政采云系统“开标一览表”中录入的内容不一致的，以投标文件中开标一览表为准；</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2.投标文件中开标一览表内容与投标文件中分项报价表内容不一致的，以开标一览表为准；</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3.投标文件的大写金额和小写金额不一致的，以大写金额为准；</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4.单价金额小数点有明显错位的，应以总价为准，并修改单价；</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5.总价金额与按单价汇总金额不一致的，以单价金额计算结果为准。</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同时出现两种以上不一致的，按照前款规定的顺序修正。按上述修正错误的原则及方法调整或修正投标文件的投标报价，投标人同意并签名确认后，调整后的投标报价对投标人具有约束作用。如果投标人不接受修正后的报价，则其投标将作为无效投标处理。</w:t>
      </w:r>
    </w:p>
    <w:p>
      <w:pPr>
        <w:pStyle w:val="8"/>
        <w:snapToGrid w:val="0"/>
        <w:spacing w:beforeLines="0" w:afterLines="0" w:line="360" w:lineRule="auto"/>
        <w:outlineLvl w:val="1"/>
        <w:rPr>
          <w:rFonts w:hAnsi="宋体"/>
          <w:b/>
          <w:color w:val="auto"/>
          <w:sz w:val="21"/>
          <w:szCs w:val="21"/>
        </w:rPr>
      </w:pPr>
      <w:bookmarkStart w:id="38" w:name="_Toc182932789"/>
      <w:r>
        <w:rPr>
          <w:rFonts w:hint="eastAsia" w:hAnsi="宋体"/>
          <w:b/>
          <w:color w:val="auto"/>
          <w:sz w:val="21"/>
          <w:szCs w:val="21"/>
        </w:rPr>
        <w:t>三、开标</w:t>
      </w:r>
      <w:bookmarkEnd w:id="38"/>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代理机构在招标文件规定的时间和地点公开开标，并邀请所有投标人的法定代表人（或授权代表）准时参加。投标人的法定代表人（或授权代表）不参加开标的或迟到参加开标的，视同该投标人默认开标记录，不得事后对开标过程提出任何异议。</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2.电子招投标开标程序：</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（1）投标截止时间后，投标单位登录政府采购云平台，用“项目采购-开标评标”功能对电子投标文件进行在线解密，在线解密电子投标文件时间为开标时间后30分钟内。</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（2）在政府采购云平台开启已解密投标单位的投标文件，并做开标记录；</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（3）主持人公布评审结果。</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（4）开标会议结束。</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3、特别说明：政府采购云平台如对电子化开标及评审程序有调整的，按调整后的程序操作。</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本项目原则上采用政采云电子投标开标及评审程序，但有下情形之一的，按以下情况处理：</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（1）若投标人在规定时间内无法解密或解密失败，代理机构将开启上述投标人递交的以U盘或光盘存储的电子备份投标文件，上传至政采云平台项目采购模块，以完成开标，电子投标文件自动失效。</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（2）招标过程中出现以下情形，导致电子交易平台无法正常运行，或者无法保证电子交易的公平、公正和安全时，招标人（或代理机构）可中止电子交易活动：</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3.1电子交易平台发生故障而无法登录访问的；</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3.2电子交易平台应用或数据库出现错误，不能进行正常操作的；</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3.3电子交易平台发现严重安全漏洞，有潜在泄密危险的；</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 xml:space="preserve">3.4病毒发作导致不能进行正常操作的； </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3.5其他无法保证电子交易的公平、公正和安全的情况。</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出现前款规定情形，不影响招标公平、公正性的，招标人（或代理机构）可以待上述情形消除后继续组织电子交易活动。</w:t>
      </w:r>
    </w:p>
    <w:p>
      <w:pPr>
        <w:pStyle w:val="8"/>
        <w:snapToGrid w:val="0"/>
        <w:spacing w:beforeLines="0" w:afterLines="0" w:line="360" w:lineRule="auto"/>
        <w:outlineLvl w:val="1"/>
        <w:rPr>
          <w:rFonts w:hAnsi="宋体"/>
          <w:b/>
          <w:color w:val="auto"/>
          <w:sz w:val="21"/>
          <w:szCs w:val="21"/>
        </w:rPr>
      </w:pPr>
      <w:bookmarkStart w:id="39" w:name="_Toc182932790"/>
      <w:r>
        <w:rPr>
          <w:rFonts w:hint="eastAsia" w:hAnsi="宋体"/>
          <w:b/>
          <w:color w:val="auto"/>
          <w:sz w:val="21"/>
          <w:szCs w:val="21"/>
        </w:rPr>
        <w:t>四、评标</w:t>
      </w:r>
      <w:bookmarkEnd w:id="39"/>
    </w:p>
    <w:p>
      <w:pPr>
        <w:pStyle w:val="8"/>
        <w:snapToGrid w:val="0"/>
        <w:spacing w:beforeLines="0" w:afterLines="0" w:line="360" w:lineRule="auto"/>
        <w:ind w:left="690" w:leftChars="228" w:hanging="211" w:hangingChars="100"/>
        <w:outlineLvl w:val="2"/>
        <w:rPr>
          <w:rFonts w:hAnsi="宋体"/>
          <w:b/>
          <w:color w:val="auto"/>
          <w:sz w:val="21"/>
          <w:szCs w:val="21"/>
        </w:rPr>
      </w:pPr>
      <w:bookmarkStart w:id="40" w:name="_Toc182932791"/>
      <w:r>
        <w:rPr>
          <w:rFonts w:hint="eastAsia" w:hAnsi="宋体"/>
          <w:b/>
          <w:color w:val="auto"/>
          <w:sz w:val="21"/>
          <w:szCs w:val="21"/>
        </w:rPr>
        <w:t>（一）组建评标委员会</w:t>
      </w:r>
      <w:bookmarkEnd w:id="40"/>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本项目评标委员会按相关要求组建，评标委员会组成共5人，从专家库中随机抽取4人和招标人的评标代表1人。</w:t>
      </w:r>
    </w:p>
    <w:p>
      <w:pPr>
        <w:pStyle w:val="8"/>
        <w:snapToGrid w:val="0"/>
        <w:spacing w:beforeLines="0" w:afterLines="0" w:line="360" w:lineRule="auto"/>
        <w:ind w:left="690" w:leftChars="228" w:hanging="211" w:hangingChars="100"/>
        <w:outlineLvl w:val="2"/>
        <w:rPr>
          <w:rFonts w:hAnsi="宋体"/>
          <w:b/>
          <w:color w:val="auto"/>
          <w:sz w:val="21"/>
          <w:szCs w:val="21"/>
        </w:rPr>
      </w:pPr>
      <w:bookmarkStart w:id="41" w:name="_Toc182932792"/>
      <w:r>
        <w:rPr>
          <w:rFonts w:hint="eastAsia" w:hAnsi="宋体"/>
          <w:b/>
          <w:color w:val="auto"/>
          <w:sz w:val="21"/>
          <w:szCs w:val="21"/>
        </w:rPr>
        <w:t>（二）</w:t>
      </w:r>
      <w:r>
        <w:rPr>
          <w:rFonts w:hint="eastAsia" w:hAnsi="宋体"/>
          <w:b/>
          <w:bCs/>
          <w:color w:val="auto"/>
          <w:sz w:val="21"/>
          <w:szCs w:val="21"/>
        </w:rPr>
        <w:t>评标程序</w:t>
      </w:r>
      <w:bookmarkEnd w:id="41"/>
    </w:p>
    <w:p>
      <w:pPr>
        <w:snapToGrid w:val="0"/>
        <w:spacing w:line="360" w:lineRule="auto"/>
        <w:ind w:firstLine="420" w:firstLineChars="200"/>
        <w:rPr>
          <w:rFonts w:ascii="宋体" w:hAnsi="宋体"/>
          <w:b/>
          <w:color w:val="auto"/>
          <w:szCs w:val="21"/>
        </w:rPr>
      </w:pPr>
      <w:r>
        <w:rPr>
          <w:rFonts w:hint="eastAsia" w:ascii="宋体" w:hAnsi="宋体"/>
          <w:color w:val="auto"/>
          <w:szCs w:val="21"/>
        </w:rPr>
        <w:t>1.</w:t>
      </w:r>
      <w:r>
        <w:rPr>
          <w:rFonts w:hint="eastAsia" w:ascii="宋体" w:hAnsi="宋体"/>
          <w:bCs/>
          <w:color w:val="auto"/>
          <w:szCs w:val="21"/>
        </w:rPr>
        <w:t>代理机构</w:t>
      </w:r>
      <w:r>
        <w:rPr>
          <w:rFonts w:hint="eastAsia" w:ascii="宋体" w:hAnsi="宋体"/>
          <w:color w:val="auto"/>
          <w:szCs w:val="21"/>
        </w:rPr>
        <w:t>工作人员协助评标委员会对投标人的资格和投标文件的完整性、合法性等进行审查。</w:t>
      </w:r>
    </w:p>
    <w:p>
      <w:pPr>
        <w:snapToGrid w:val="0"/>
        <w:spacing w:line="360" w:lineRule="auto"/>
        <w:ind w:firstLine="420" w:firstLineChars="200"/>
        <w:rPr>
          <w:rFonts w:ascii="宋体" w:hAnsi="宋体"/>
          <w:color w:val="auto"/>
          <w:szCs w:val="21"/>
        </w:rPr>
      </w:pPr>
      <w:r>
        <w:rPr>
          <w:rFonts w:hint="eastAsia" w:ascii="宋体" w:hAnsi="宋体"/>
          <w:color w:val="auto"/>
          <w:szCs w:val="21"/>
        </w:rPr>
        <w:t>2.评标委员会审查投标文件的实质性内容是否符合招标文件的实质性要求。</w:t>
      </w:r>
    </w:p>
    <w:p>
      <w:pPr>
        <w:snapToGrid w:val="0"/>
        <w:spacing w:line="360" w:lineRule="auto"/>
        <w:ind w:firstLine="420" w:firstLineChars="200"/>
        <w:rPr>
          <w:rFonts w:ascii="宋体" w:hAnsi="宋体"/>
          <w:color w:val="auto"/>
          <w:szCs w:val="21"/>
        </w:rPr>
      </w:pPr>
      <w:r>
        <w:rPr>
          <w:rFonts w:hint="eastAsia" w:ascii="宋体" w:hAnsi="宋体"/>
          <w:color w:val="auto"/>
          <w:szCs w:val="21"/>
        </w:rPr>
        <w:t>3.评标委员会将根据投标人的投标文件进行审查、核对,如有疑问,将对投标人进行询标,投标人要向评标委员会澄清有关问题。</w:t>
      </w:r>
    </w:p>
    <w:p>
      <w:pPr>
        <w:snapToGrid w:val="0"/>
        <w:spacing w:line="360" w:lineRule="auto"/>
        <w:ind w:firstLine="420" w:firstLineChars="200"/>
        <w:rPr>
          <w:rFonts w:ascii="宋体" w:hAnsi="宋体"/>
          <w:color w:val="auto"/>
          <w:szCs w:val="21"/>
        </w:rPr>
      </w:pPr>
      <w:r>
        <w:rPr>
          <w:rFonts w:hint="eastAsia" w:ascii="宋体" w:hAnsi="宋体"/>
          <w:color w:val="auto"/>
          <w:szCs w:val="21"/>
        </w:rPr>
        <w:t>4.评标委员会完成评标后,评标委员会按评标原则推荐中标候选人同时编制评标报告。</w:t>
      </w:r>
    </w:p>
    <w:p>
      <w:pPr>
        <w:snapToGrid w:val="0"/>
        <w:spacing w:line="360" w:lineRule="auto"/>
        <w:ind w:firstLine="420" w:firstLineChars="200"/>
        <w:rPr>
          <w:rFonts w:ascii="宋体" w:hAnsi="宋体"/>
          <w:color w:val="auto"/>
          <w:szCs w:val="21"/>
        </w:rPr>
      </w:pPr>
      <w:r>
        <w:rPr>
          <w:rFonts w:hint="eastAsia" w:ascii="宋体" w:hAnsi="宋体"/>
          <w:color w:val="auto"/>
          <w:szCs w:val="21"/>
        </w:rPr>
        <w:t>5.全权代表未到场或者拒绝澄清或者澄清的内容改变了投标文件的实质性内容的，评标委员会有权对该投标文件作出不利于投标人的评判。</w:t>
      </w:r>
    </w:p>
    <w:p>
      <w:pPr>
        <w:pStyle w:val="8"/>
        <w:tabs>
          <w:tab w:val="left" w:pos="630"/>
        </w:tabs>
        <w:snapToGrid w:val="0"/>
        <w:spacing w:beforeLines="0" w:afterLines="0" w:line="360" w:lineRule="auto"/>
        <w:ind w:firstLine="413" w:firstLineChars="196"/>
        <w:outlineLvl w:val="2"/>
        <w:rPr>
          <w:rFonts w:hAnsi="宋体"/>
          <w:b/>
          <w:color w:val="auto"/>
          <w:sz w:val="21"/>
          <w:szCs w:val="21"/>
        </w:rPr>
      </w:pPr>
      <w:bookmarkStart w:id="42" w:name="_Toc182932793"/>
      <w:r>
        <w:rPr>
          <w:rFonts w:hint="eastAsia" w:hAnsi="宋体"/>
          <w:b/>
          <w:color w:val="auto"/>
          <w:sz w:val="21"/>
          <w:szCs w:val="21"/>
        </w:rPr>
        <w:t>（三）评标原则</w:t>
      </w:r>
      <w:bookmarkEnd w:id="42"/>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8"/>
        <w:snapToGrid w:val="0"/>
        <w:spacing w:beforeLines="0" w:afterLines="0" w:line="380" w:lineRule="exact"/>
        <w:outlineLvl w:val="1"/>
        <w:rPr>
          <w:rFonts w:hAnsi="宋体"/>
          <w:b/>
          <w:color w:val="auto"/>
          <w:sz w:val="21"/>
          <w:szCs w:val="21"/>
        </w:rPr>
      </w:pPr>
      <w:bookmarkStart w:id="43" w:name="_Toc182932794"/>
      <w:bookmarkStart w:id="44" w:name="_Toc511230467"/>
      <w:r>
        <w:rPr>
          <w:rFonts w:hint="eastAsia" w:hAnsi="宋体"/>
          <w:b/>
          <w:color w:val="auto"/>
          <w:sz w:val="21"/>
          <w:szCs w:val="21"/>
        </w:rPr>
        <w:t>五、定标</w:t>
      </w:r>
      <w:bookmarkEnd w:id="43"/>
      <w:bookmarkEnd w:id="44"/>
    </w:p>
    <w:p>
      <w:pPr>
        <w:pStyle w:val="8"/>
        <w:snapToGrid w:val="0"/>
        <w:spacing w:beforeLines="0" w:afterLines="0" w:line="380" w:lineRule="exact"/>
        <w:ind w:firstLine="411" w:firstLineChars="196"/>
        <w:rPr>
          <w:rFonts w:hAnsi="宋体"/>
          <w:color w:val="auto"/>
          <w:sz w:val="21"/>
          <w:szCs w:val="21"/>
        </w:rPr>
      </w:pPr>
      <w:r>
        <w:rPr>
          <w:rFonts w:hint="eastAsia" w:hAnsi="宋体"/>
          <w:color w:val="auto"/>
          <w:sz w:val="21"/>
          <w:szCs w:val="21"/>
        </w:rPr>
        <w:t>1.本项目由评标委员会根据</w:t>
      </w:r>
      <w:r>
        <w:rPr>
          <w:rFonts w:hint="eastAsia" w:hAnsi="宋体"/>
          <w:b/>
          <w:bCs/>
          <w:color w:val="auto"/>
          <w:sz w:val="21"/>
          <w:szCs w:val="21"/>
        </w:rPr>
        <w:t>“第四章评标办法及评分标准”</w:t>
      </w:r>
      <w:r>
        <w:rPr>
          <w:rFonts w:hint="eastAsia" w:hAnsi="宋体"/>
          <w:color w:val="auto"/>
          <w:sz w:val="21"/>
          <w:szCs w:val="21"/>
        </w:rPr>
        <w:t>规定推荐入围人，招标结果由招标人代表签字确认。</w:t>
      </w:r>
    </w:p>
    <w:p>
      <w:pPr>
        <w:spacing w:line="380" w:lineRule="exact"/>
        <w:ind w:firstLine="420" w:firstLineChars="200"/>
        <w:jc w:val="left"/>
        <w:rPr>
          <w:rFonts w:ascii="宋体" w:hAnsi="宋体"/>
          <w:color w:val="auto"/>
          <w:szCs w:val="21"/>
        </w:rPr>
      </w:pPr>
      <w:r>
        <w:rPr>
          <w:rFonts w:hint="eastAsia" w:ascii="宋体" w:hAnsi="宋体"/>
          <w:color w:val="auto"/>
          <w:szCs w:val="21"/>
        </w:rPr>
        <w:t>2.招标结果经招标人确认后，招标代理机构将在浙江政府采购网、宁波市公共资源交易电子服务系统网站上发布中标公告，并向入围银行签发书面《入围通知书》。入围银行自行与招标人联系协议签订事宜。</w:t>
      </w:r>
    </w:p>
    <w:p>
      <w:pPr>
        <w:pStyle w:val="8"/>
        <w:snapToGrid w:val="0"/>
        <w:spacing w:beforeLines="0" w:afterLines="0" w:line="380" w:lineRule="exact"/>
        <w:outlineLvl w:val="1"/>
        <w:rPr>
          <w:rFonts w:hAnsi="宋体"/>
          <w:b/>
          <w:color w:val="auto"/>
          <w:sz w:val="21"/>
          <w:szCs w:val="21"/>
        </w:rPr>
      </w:pPr>
      <w:bookmarkStart w:id="45" w:name="_Toc182932795"/>
      <w:r>
        <w:rPr>
          <w:rFonts w:hint="eastAsia" w:hAnsi="宋体"/>
          <w:b/>
          <w:color w:val="auto"/>
          <w:sz w:val="21"/>
          <w:szCs w:val="21"/>
        </w:rPr>
        <w:t>六、投标的澄清</w:t>
      </w:r>
      <w:bookmarkEnd w:id="45"/>
    </w:p>
    <w:p>
      <w:pPr>
        <w:spacing w:line="360" w:lineRule="auto"/>
        <w:ind w:firstLine="420" w:firstLineChars="200"/>
        <w:rPr>
          <w:rFonts w:ascii="宋体" w:hAnsi="宋体" w:cs="宋体"/>
          <w:color w:val="auto"/>
        </w:rPr>
      </w:pPr>
      <w:r>
        <w:rPr>
          <w:rFonts w:hint="eastAsia" w:ascii="宋体" w:hAnsi="宋体" w:cs="宋体"/>
          <w:color w:val="auto"/>
        </w:rPr>
        <w:t>1.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pPr>
        <w:spacing w:line="360" w:lineRule="auto"/>
        <w:ind w:firstLine="420" w:firstLineChars="200"/>
        <w:rPr>
          <w:rFonts w:ascii="宋体" w:hAnsi="宋体" w:cs="宋体"/>
          <w:color w:val="auto"/>
        </w:rPr>
      </w:pPr>
      <w:r>
        <w:rPr>
          <w:rFonts w:hint="eastAsia" w:ascii="宋体" w:hAnsi="宋体" w:cs="宋体"/>
          <w:color w:val="auto"/>
        </w:rPr>
        <w:t>2.政采云具体操作如下：</w:t>
      </w:r>
    </w:p>
    <w:p>
      <w:pPr>
        <w:spacing w:line="360" w:lineRule="auto"/>
        <w:ind w:firstLine="420" w:firstLineChars="200"/>
        <w:rPr>
          <w:rFonts w:ascii="宋体" w:hAnsi="宋体" w:cs="宋体"/>
          <w:color w:val="auto"/>
        </w:rPr>
      </w:pPr>
      <w:r>
        <w:rPr>
          <w:rFonts w:hint="eastAsia" w:ascii="宋体" w:hAnsi="宋体" w:cs="宋体"/>
          <w:color w:val="auto"/>
        </w:rPr>
        <w:t>在评审过程中，如评标委员会对投标文件有疑问，由评标委员会组长将问题汇总后发函，或由招标代理机构代替发起。投标人在截止时间前，予以回复。此回复将作为投标文件内容的一部分，具有相应的法律效力。</w:t>
      </w:r>
    </w:p>
    <w:p>
      <w:pPr>
        <w:spacing w:line="360" w:lineRule="auto"/>
        <w:ind w:firstLine="420" w:firstLineChars="200"/>
        <w:rPr>
          <w:rFonts w:ascii="宋体" w:hAnsi="宋体" w:cs="宋体"/>
          <w:color w:val="auto"/>
        </w:rPr>
      </w:pPr>
      <w:r>
        <w:rPr>
          <w:rFonts w:hint="eastAsia" w:ascii="宋体" w:hAnsi="宋体" w:cs="宋体"/>
          <w:color w:val="auto"/>
        </w:rPr>
        <w:t>路径：用户中心—项目采购—询标澄清</w:t>
      </w:r>
    </w:p>
    <w:p>
      <w:pPr>
        <w:spacing w:line="360" w:lineRule="auto"/>
        <w:ind w:firstLine="420" w:firstLineChars="200"/>
        <w:rPr>
          <w:rFonts w:ascii="宋体" w:hAnsi="宋体" w:cs="宋体"/>
          <w:color w:val="auto"/>
        </w:rPr>
      </w:pPr>
      <w:r>
        <w:rPr>
          <w:rFonts w:hint="eastAsia" w:ascii="宋体" w:hAnsi="宋体" w:cs="宋体"/>
          <w:color w:val="auto"/>
        </w:rPr>
        <w:t>（1）政采云平台通过待办事项和短信提醒投标人在截止时间前完成澄清。</w:t>
      </w:r>
    </w:p>
    <w:p>
      <w:pPr>
        <w:spacing w:line="360" w:lineRule="auto"/>
        <w:ind w:firstLine="420" w:firstLineChars="200"/>
        <w:rPr>
          <w:rFonts w:ascii="宋体" w:hAnsi="宋体" w:cs="宋体"/>
          <w:color w:val="auto"/>
        </w:rPr>
      </w:pPr>
      <w:r>
        <w:rPr>
          <w:rFonts w:hint="eastAsia" w:ascii="宋体" w:hAnsi="宋体" w:cs="宋体"/>
          <w:color w:val="auto"/>
        </w:rPr>
        <w:t>（2）投标人在“询标澄清-待办理”标签页下选择状态为“待澄清”的项目，点击操作栏【澄清】。</w:t>
      </w:r>
    </w:p>
    <w:p>
      <w:pPr>
        <w:spacing w:line="360" w:lineRule="auto"/>
        <w:ind w:firstLine="420" w:firstLineChars="200"/>
        <w:rPr>
          <w:rFonts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pPr>
        <w:spacing w:line="360" w:lineRule="auto"/>
        <w:ind w:firstLine="420" w:firstLineChars="200"/>
        <w:rPr>
          <w:rFonts w:ascii="宋体" w:hAnsi="宋体" w:cs="宋体"/>
          <w:color w:val="auto"/>
        </w:rPr>
      </w:pPr>
      <w:r>
        <w:rPr>
          <w:rFonts w:hint="eastAsia" w:ascii="宋体" w:hAnsi="宋体" w:cs="宋体"/>
          <w:color w:val="auto"/>
        </w:rPr>
        <w:t>（4）签章完成，文件名称处显示“已签章”，投标人可“撤回签章”修改澄清函和“查看文件”。</w:t>
      </w:r>
    </w:p>
    <w:p>
      <w:pPr>
        <w:spacing w:line="360" w:lineRule="auto"/>
        <w:ind w:firstLine="420" w:firstLineChars="200"/>
        <w:rPr>
          <w:rFonts w:ascii="宋体" w:hAnsi="宋体" w:cs="宋体"/>
          <w:color w:val="auto"/>
        </w:rPr>
      </w:pPr>
      <w:r>
        <w:rPr>
          <w:rFonts w:hint="eastAsia" w:ascii="宋体" w:hAnsi="宋体" w:cs="宋体"/>
          <w:color w:val="auto"/>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pPr>
        <w:spacing w:line="360" w:lineRule="auto"/>
        <w:ind w:firstLine="420" w:firstLineChars="200"/>
        <w:rPr>
          <w:rFonts w:ascii="宋体" w:hAnsi="宋体" w:cs="宋体"/>
          <w:color w:val="auto"/>
        </w:rPr>
      </w:pPr>
      <w:r>
        <w:rPr>
          <w:rFonts w:hint="eastAsia" w:ascii="宋体" w:hAnsi="宋体" w:cs="宋体"/>
          <w:color w:val="auto"/>
        </w:rPr>
        <w:t>（6）完成状态：投标人澄清文件提交成功后，在“询标澄清-全部”标签页下显示状态为“已澄清”。</w:t>
      </w:r>
    </w:p>
    <w:p>
      <w:pPr>
        <w:spacing w:line="360" w:lineRule="auto"/>
        <w:ind w:firstLine="420" w:firstLineChars="200"/>
        <w:rPr>
          <w:rFonts w:ascii="宋体" w:hAnsi="宋体" w:cs="宋体"/>
          <w:color w:val="auto"/>
        </w:rPr>
      </w:pPr>
      <w:r>
        <w:rPr>
          <w:rFonts w:hint="eastAsia" w:ascii="宋体" w:hAnsi="宋体" w:cs="宋体"/>
          <w:color w:val="auto"/>
        </w:rPr>
        <w:t>3.开标现场，投标人安排法定代表人或授权代表到场的，则由评标委员会组长将问题汇总后向投标人发出书面“招标响应文件问题澄清通知”，投标人应对需要澄清的问题作书面回答，该书面澄清应当由投标人的法定代表人或授权代表签字或者加盖投标人公章。书面澄清将作为投标文件内容的一部分，具有相应的法律效力。</w:t>
      </w:r>
    </w:p>
    <w:p>
      <w:pPr>
        <w:spacing w:line="360" w:lineRule="auto"/>
        <w:ind w:firstLine="420" w:firstLineChars="200"/>
        <w:rPr>
          <w:rFonts w:ascii="宋体" w:hAnsi="宋体" w:cs="宋体"/>
          <w:color w:val="auto"/>
        </w:rPr>
      </w:pPr>
      <w:r>
        <w:rPr>
          <w:rFonts w:hint="eastAsia" w:ascii="宋体" w:hAnsi="宋体" w:cs="宋体"/>
          <w:color w:val="auto"/>
        </w:rPr>
        <w:t>4.投标人未在截止时间前完成澄清，将被视作自动放弃。</w:t>
      </w:r>
    </w:p>
    <w:p>
      <w:pPr>
        <w:pStyle w:val="8"/>
        <w:snapToGrid w:val="0"/>
        <w:spacing w:beforeLines="0" w:afterLines="0" w:line="360" w:lineRule="auto"/>
        <w:jc w:val="center"/>
        <w:outlineLvl w:val="0"/>
        <w:rPr>
          <w:rFonts w:hAnsi="宋体"/>
          <w:color w:val="auto"/>
          <w:sz w:val="28"/>
          <w:szCs w:val="28"/>
        </w:rPr>
      </w:pPr>
      <w:r>
        <w:rPr>
          <w:rFonts w:hAnsi="宋体"/>
          <w:color w:val="auto"/>
          <w:sz w:val="21"/>
          <w:szCs w:val="21"/>
        </w:rPr>
        <w:br w:type="page"/>
      </w:r>
      <w:bookmarkStart w:id="46" w:name="_Toc182932796"/>
      <w:r>
        <w:rPr>
          <w:rFonts w:hint="eastAsia" w:hAnsi="宋体"/>
          <w:b/>
          <w:color w:val="auto"/>
          <w:sz w:val="30"/>
          <w:szCs w:val="30"/>
        </w:rPr>
        <w:t>第四章  评标办法及评分标准</w:t>
      </w:r>
      <w:bookmarkEnd w:id="46"/>
    </w:p>
    <w:p>
      <w:pPr>
        <w:spacing w:line="360" w:lineRule="auto"/>
        <w:outlineLvl w:val="1"/>
        <w:rPr>
          <w:rFonts w:ascii="宋体" w:hAnsi="宋体"/>
          <w:b/>
          <w:color w:val="auto"/>
          <w:szCs w:val="21"/>
        </w:rPr>
      </w:pPr>
      <w:bookmarkStart w:id="47" w:name="_Toc182932797"/>
      <w:r>
        <w:rPr>
          <w:rFonts w:hint="eastAsia" w:ascii="宋体" w:hAnsi="宋体"/>
          <w:b/>
          <w:color w:val="auto"/>
          <w:szCs w:val="21"/>
        </w:rPr>
        <w:t>一、评标办法</w:t>
      </w:r>
      <w:bookmarkEnd w:id="47"/>
    </w:p>
    <w:p>
      <w:pPr>
        <w:spacing w:line="360" w:lineRule="auto"/>
        <w:ind w:firstLine="420" w:firstLineChars="200"/>
        <w:rPr>
          <w:rFonts w:ascii="宋体" w:hAnsi="宋体"/>
          <w:color w:val="auto"/>
          <w:szCs w:val="21"/>
        </w:rPr>
      </w:pPr>
      <w:r>
        <w:rPr>
          <w:rFonts w:hint="eastAsia" w:ascii="宋体" w:hAnsi="宋体"/>
          <w:color w:val="auto"/>
          <w:szCs w:val="21"/>
        </w:rPr>
        <w:t>本项目采用综合评分法。即在满足招标文件实质性要求前提下，按照招标文件中规定的各项因素进行综合评审后，按综合得分自高向低次序排出评标结果排序。</w:t>
      </w:r>
    </w:p>
    <w:p>
      <w:pPr>
        <w:spacing w:line="360" w:lineRule="auto"/>
        <w:ind w:firstLine="420" w:firstLineChars="200"/>
        <w:rPr>
          <w:rFonts w:ascii="宋体" w:hAnsi="宋体"/>
          <w:color w:val="auto"/>
          <w:szCs w:val="21"/>
        </w:rPr>
      </w:pPr>
      <w:r>
        <w:rPr>
          <w:rFonts w:hint="eastAsia" w:ascii="宋体" w:hAnsi="宋体"/>
          <w:color w:val="auto"/>
          <w:szCs w:val="21"/>
        </w:rPr>
        <w:t>综合评分的各项因素详见：评标细则（兼评委打分表）。</w:t>
      </w:r>
    </w:p>
    <w:p>
      <w:pPr>
        <w:spacing w:line="360" w:lineRule="auto"/>
        <w:ind w:firstLine="420" w:firstLineChars="200"/>
        <w:rPr>
          <w:rFonts w:ascii="宋体" w:hAnsi="宋体"/>
          <w:color w:val="auto"/>
          <w:szCs w:val="21"/>
        </w:rPr>
      </w:pPr>
      <w:r>
        <w:rPr>
          <w:rFonts w:hint="eastAsia" w:ascii="宋体" w:hAnsi="宋体"/>
          <w:color w:val="auto"/>
          <w:szCs w:val="21"/>
        </w:rPr>
        <w:t>评标委员会按综合得分从高到低排列，推荐排名第一名的投标人为本项目的中标候选人。</w:t>
      </w:r>
    </w:p>
    <w:p>
      <w:pPr>
        <w:spacing w:line="360" w:lineRule="auto"/>
        <w:outlineLvl w:val="1"/>
        <w:rPr>
          <w:rFonts w:ascii="宋体" w:hAnsi="宋体"/>
          <w:b/>
          <w:color w:val="auto"/>
          <w:szCs w:val="21"/>
        </w:rPr>
      </w:pPr>
      <w:bookmarkStart w:id="48" w:name="_Toc182932798"/>
      <w:r>
        <w:rPr>
          <w:rFonts w:hint="eastAsia" w:ascii="宋体" w:hAnsi="宋体"/>
          <w:b/>
          <w:color w:val="auto"/>
          <w:szCs w:val="21"/>
        </w:rPr>
        <w:t>二、评标原则</w:t>
      </w:r>
      <w:bookmarkEnd w:id="48"/>
    </w:p>
    <w:p>
      <w:pPr>
        <w:spacing w:line="360" w:lineRule="auto"/>
        <w:ind w:firstLine="420" w:firstLineChars="200"/>
        <w:rPr>
          <w:rFonts w:ascii="宋体" w:hAnsi="宋体"/>
          <w:color w:val="auto"/>
          <w:szCs w:val="21"/>
        </w:rPr>
      </w:pPr>
      <w:r>
        <w:rPr>
          <w:rFonts w:hint="eastAsia" w:ascii="宋体" w:hAnsi="宋体"/>
          <w:color w:val="auto"/>
          <w:szCs w:val="21"/>
        </w:rPr>
        <w:t>1.评标委员会将遵循公开、公平、公正的原则，由评委按照“评标细则（兼评委打分表）”记名并独立打分。</w:t>
      </w:r>
    </w:p>
    <w:p>
      <w:pPr>
        <w:spacing w:line="360" w:lineRule="auto"/>
        <w:ind w:firstLine="420" w:firstLineChars="200"/>
        <w:rPr>
          <w:rFonts w:ascii="宋体" w:hAnsi="宋体"/>
          <w:color w:val="auto"/>
          <w:szCs w:val="21"/>
        </w:rPr>
      </w:pPr>
      <w:r>
        <w:rPr>
          <w:rFonts w:hint="eastAsia" w:ascii="宋体" w:hAnsi="宋体"/>
          <w:color w:val="auto"/>
          <w:szCs w:val="21"/>
        </w:rPr>
        <w:t>2.客观、公正的对待所有投标人，对所有投标评价，均采用相同的程序和标准。</w:t>
      </w:r>
    </w:p>
    <w:p>
      <w:pPr>
        <w:spacing w:line="360" w:lineRule="auto"/>
        <w:ind w:firstLine="420" w:firstLineChars="200"/>
        <w:rPr>
          <w:rFonts w:ascii="宋体" w:hAnsi="宋体"/>
          <w:color w:val="auto"/>
          <w:szCs w:val="21"/>
        </w:rPr>
      </w:pPr>
      <w:r>
        <w:rPr>
          <w:rFonts w:hint="eastAsia" w:ascii="宋体" w:hAnsi="宋体"/>
          <w:color w:val="auto"/>
          <w:szCs w:val="21"/>
        </w:rPr>
        <w:t>3.在开标、投标期间，投标人不得向评标委员会成员询问评标情况，不得进行旨在影响评标结果的活动，否则将废除其投标资格。</w:t>
      </w:r>
    </w:p>
    <w:p>
      <w:pPr>
        <w:spacing w:line="360" w:lineRule="auto"/>
        <w:ind w:firstLine="420" w:firstLineChars="200"/>
        <w:rPr>
          <w:rFonts w:ascii="宋体" w:hAnsi="宋体"/>
          <w:color w:val="auto"/>
          <w:szCs w:val="21"/>
        </w:rPr>
      </w:pPr>
      <w:r>
        <w:rPr>
          <w:rFonts w:hint="eastAsia" w:ascii="宋体" w:hAnsi="宋体"/>
          <w:color w:val="auto"/>
          <w:szCs w:val="21"/>
        </w:rPr>
        <w:t>4.在评标过程中，评标成员不得与投标人私下交换意见，在招标工作结束后，凡与评标情况有接触的人不得将评标情况扩散出评标成员之外。</w:t>
      </w:r>
    </w:p>
    <w:p>
      <w:pPr>
        <w:spacing w:line="360" w:lineRule="auto"/>
        <w:ind w:firstLine="420" w:firstLineChars="200"/>
        <w:rPr>
          <w:rFonts w:ascii="宋体" w:hAnsi="宋体"/>
          <w:color w:val="auto"/>
          <w:szCs w:val="21"/>
        </w:rPr>
      </w:pPr>
      <w:r>
        <w:rPr>
          <w:rFonts w:hint="eastAsia" w:ascii="宋体" w:hAnsi="宋体"/>
          <w:color w:val="auto"/>
          <w:szCs w:val="21"/>
        </w:rPr>
        <w:t>5.招标人不向投标人解释落标原因，不退还投标文件。</w:t>
      </w:r>
    </w:p>
    <w:p>
      <w:pPr>
        <w:spacing w:line="360" w:lineRule="auto"/>
        <w:outlineLvl w:val="1"/>
        <w:rPr>
          <w:rFonts w:ascii="宋体" w:hAnsi="宋体"/>
          <w:b/>
          <w:color w:val="auto"/>
          <w:szCs w:val="21"/>
        </w:rPr>
      </w:pPr>
      <w:bookmarkStart w:id="49" w:name="_Toc182932799"/>
      <w:r>
        <w:rPr>
          <w:rFonts w:hint="eastAsia" w:ascii="宋体" w:hAnsi="宋体"/>
          <w:b/>
          <w:color w:val="auto"/>
          <w:szCs w:val="21"/>
        </w:rPr>
        <w:t>三、评标程序</w:t>
      </w:r>
      <w:bookmarkEnd w:id="49"/>
    </w:p>
    <w:p>
      <w:pPr>
        <w:spacing w:line="360" w:lineRule="auto"/>
        <w:ind w:firstLine="420" w:firstLineChars="200"/>
        <w:rPr>
          <w:rFonts w:ascii="宋体" w:hAnsi="宋体"/>
          <w:color w:val="auto"/>
          <w:szCs w:val="21"/>
        </w:rPr>
      </w:pPr>
      <w:r>
        <w:rPr>
          <w:rFonts w:hint="eastAsia" w:ascii="宋体" w:hAnsi="宋体"/>
          <w:color w:val="auto"/>
          <w:szCs w:val="21"/>
        </w:rPr>
        <w:t>1.初步审查：对投标文件是否实质性响应招标文件要求、资格条件是否满足招标文件要求、投标有效性等方面进行审查。初步审查不合格的，不进入下一评审程序。</w:t>
      </w:r>
    </w:p>
    <w:p>
      <w:pPr>
        <w:spacing w:line="360" w:lineRule="auto"/>
        <w:ind w:firstLine="420" w:firstLineChars="200"/>
        <w:rPr>
          <w:rFonts w:ascii="宋体" w:hAnsi="宋体"/>
          <w:color w:val="auto"/>
          <w:szCs w:val="21"/>
        </w:rPr>
      </w:pPr>
      <w:r>
        <w:rPr>
          <w:rFonts w:hint="eastAsia" w:ascii="宋体" w:hAnsi="宋体"/>
          <w:color w:val="auto"/>
          <w:szCs w:val="21"/>
        </w:rPr>
        <w:t>2.综合评估：对通过初步审查的投标人，评标委员会成员按照“评标细则（兼评委打分表）”的规定进行独立打分，汇总后计算平均分即为各投标人的综合得分（保留小数点后两位）。</w:t>
      </w:r>
    </w:p>
    <w:p>
      <w:pPr>
        <w:spacing w:line="360" w:lineRule="auto"/>
        <w:ind w:firstLine="420" w:firstLineChars="200"/>
        <w:rPr>
          <w:rFonts w:ascii="宋体" w:hAnsi="宋体"/>
          <w:color w:val="auto"/>
          <w:szCs w:val="21"/>
        </w:rPr>
      </w:pPr>
      <w:r>
        <w:rPr>
          <w:rFonts w:hint="eastAsia" w:ascii="宋体" w:hAnsi="宋体"/>
          <w:color w:val="auto"/>
          <w:szCs w:val="21"/>
        </w:rPr>
        <w:t>3.推荐入围候选人</w:t>
      </w:r>
    </w:p>
    <w:p>
      <w:pPr>
        <w:spacing w:line="360" w:lineRule="auto"/>
        <w:ind w:firstLine="420" w:firstLineChars="200"/>
        <w:rPr>
          <w:rFonts w:ascii="宋体" w:hAnsi="宋体"/>
          <w:color w:val="auto"/>
          <w:szCs w:val="21"/>
        </w:rPr>
      </w:pPr>
      <w:r>
        <w:rPr>
          <w:rFonts w:hint="eastAsia" w:ascii="宋体" w:hAnsi="宋体"/>
          <w:color w:val="auto"/>
          <w:szCs w:val="21"/>
        </w:rPr>
        <w:t>入围候选人数量：1家；本项目按综合得分从高到低排列，推荐入围候选人。</w:t>
      </w:r>
    </w:p>
    <w:p>
      <w:pPr>
        <w:spacing w:line="360" w:lineRule="auto"/>
        <w:ind w:firstLine="420" w:firstLineChars="200"/>
        <w:rPr>
          <w:rFonts w:ascii="宋体" w:hAnsi="宋体"/>
          <w:color w:val="auto"/>
          <w:szCs w:val="21"/>
        </w:rPr>
      </w:pPr>
      <w:r>
        <w:rPr>
          <w:rFonts w:hint="eastAsia" w:ascii="宋体" w:hAnsi="宋体"/>
          <w:color w:val="auto"/>
          <w:szCs w:val="21"/>
        </w:rPr>
        <w:t>当出现综合得分相同时，按以下评审得分项顺序的得分高低确定中标资格排列顺序：按“利率水平”、“经济贡献度”、“经营状况”、“服务水平”项以及随机原则抽签顺序确定。具体为：</w:t>
      </w:r>
    </w:p>
    <w:p>
      <w:pPr>
        <w:spacing w:line="360" w:lineRule="auto"/>
        <w:ind w:firstLine="420" w:firstLineChars="200"/>
        <w:rPr>
          <w:rFonts w:ascii="宋体" w:hAnsi="宋体"/>
          <w:color w:val="auto"/>
          <w:szCs w:val="21"/>
        </w:rPr>
      </w:pPr>
      <w:r>
        <w:rPr>
          <w:rFonts w:hint="eastAsia" w:ascii="宋体" w:hAnsi="宋体"/>
          <w:color w:val="auto"/>
          <w:szCs w:val="21"/>
        </w:rPr>
        <w:t>a、有综合得分相同时，按“利率水平”项的评审得分决定排列顺序，“利率水平”项的评审得分高的排列在前。</w:t>
      </w:r>
    </w:p>
    <w:p>
      <w:pPr>
        <w:spacing w:line="360" w:lineRule="auto"/>
        <w:ind w:firstLine="420" w:firstLineChars="200"/>
        <w:rPr>
          <w:rFonts w:ascii="宋体" w:hAnsi="宋体"/>
          <w:color w:val="auto"/>
          <w:szCs w:val="21"/>
        </w:rPr>
      </w:pPr>
      <w:r>
        <w:rPr>
          <w:rFonts w:ascii="宋体" w:hAnsi="宋体"/>
          <w:color w:val="auto"/>
          <w:szCs w:val="21"/>
        </w:rPr>
        <w:t>b</w:t>
      </w:r>
      <w:r>
        <w:rPr>
          <w:rFonts w:hint="eastAsia" w:ascii="宋体" w:hAnsi="宋体"/>
          <w:color w:val="auto"/>
          <w:szCs w:val="21"/>
        </w:rPr>
        <w:t>、当“利率水平”相同时，按“经济贡献度”项的评审得分决定排列顺序，“经济贡献度”项的评审得分高的排列在前。</w:t>
      </w:r>
    </w:p>
    <w:p>
      <w:pPr>
        <w:spacing w:line="360" w:lineRule="auto"/>
        <w:ind w:firstLine="420" w:firstLineChars="200"/>
        <w:rPr>
          <w:rFonts w:ascii="宋体" w:hAnsi="宋体"/>
          <w:color w:val="auto"/>
          <w:szCs w:val="21"/>
        </w:rPr>
      </w:pPr>
      <w:r>
        <w:rPr>
          <w:rFonts w:hint="eastAsia" w:ascii="宋体" w:hAnsi="宋体"/>
          <w:color w:val="auto"/>
          <w:szCs w:val="21"/>
        </w:rPr>
        <w:t>c、当“经济贡献度”项的评审得分也相同的，按“经营状况”项的评审得分决定排列顺序，“经营状况”项的评审得分高的排列在前。</w:t>
      </w:r>
    </w:p>
    <w:p>
      <w:pPr>
        <w:spacing w:line="360" w:lineRule="auto"/>
        <w:ind w:firstLine="420" w:firstLineChars="200"/>
        <w:rPr>
          <w:rFonts w:ascii="宋体" w:hAnsi="宋体"/>
          <w:color w:val="auto"/>
          <w:szCs w:val="21"/>
        </w:rPr>
      </w:pPr>
      <w:r>
        <w:rPr>
          <w:rFonts w:hint="eastAsia" w:ascii="宋体" w:hAnsi="宋体"/>
          <w:color w:val="auto"/>
          <w:szCs w:val="21"/>
        </w:rPr>
        <w:t>c、当“经营状况”项的评审得分也相同的，按“服务水平”项的评审得分决定排列顺序，“服务水平”项的评审得分高的排列在前。</w:t>
      </w:r>
    </w:p>
    <w:p>
      <w:pPr>
        <w:spacing w:line="360" w:lineRule="auto"/>
        <w:ind w:firstLine="420" w:firstLineChars="200"/>
        <w:rPr>
          <w:rFonts w:ascii="宋体" w:hAnsi="宋体"/>
          <w:color w:val="auto"/>
          <w:szCs w:val="21"/>
        </w:rPr>
      </w:pPr>
      <w:r>
        <w:rPr>
          <w:rFonts w:hint="eastAsia" w:ascii="宋体" w:hAnsi="宋体"/>
          <w:color w:val="auto"/>
          <w:szCs w:val="21"/>
        </w:rPr>
        <w:t>d、当“服务水平”项的评审得分也相同的,由招标人代表随机抽签确定排列顺序，先抽中的排列在前，以此类推。</w:t>
      </w:r>
    </w:p>
    <w:p>
      <w:pPr>
        <w:spacing w:line="360" w:lineRule="auto"/>
        <w:ind w:firstLine="420" w:firstLineChars="200"/>
        <w:rPr>
          <w:rFonts w:ascii="宋体" w:hAnsi="宋体"/>
          <w:color w:val="auto"/>
          <w:szCs w:val="21"/>
        </w:rPr>
      </w:pPr>
      <w:r>
        <w:rPr>
          <w:rFonts w:hint="eastAsia" w:ascii="宋体" w:hAnsi="宋体"/>
          <w:color w:val="auto"/>
          <w:szCs w:val="21"/>
        </w:rPr>
        <w:t>4.确定入围候选人</w:t>
      </w:r>
    </w:p>
    <w:p>
      <w:pPr>
        <w:spacing w:line="360" w:lineRule="auto"/>
        <w:ind w:firstLine="420" w:firstLineChars="200"/>
        <w:rPr>
          <w:rFonts w:ascii="宋体" w:hAnsi="宋体"/>
          <w:color w:val="auto"/>
          <w:szCs w:val="21"/>
        </w:rPr>
      </w:pPr>
      <w:r>
        <w:rPr>
          <w:rFonts w:hint="eastAsia" w:ascii="宋体" w:hAnsi="宋体"/>
          <w:color w:val="auto"/>
          <w:szCs w:val="21"/>
        </w:rPr>
        <w:t>确定评标结果排序第一名的投标人为入围候选人。</w:t>
      </w:r>
    </w:p>
    <w:p>
      <w:pPr>
        <w:spacing w:line="360" w:lineRule="auto"/>
        <w:ind w:firstLine="420" w:firstLineChars="200"/>
        <w:rPr>
          <w:rFonts w:ascii="宋体" w:hAnsi="宋体"/>
          <w:color w:val="auto"/>
          <w:szCs w:val="21"/>
        </w:rPr>
      </w:pPr>
      <w:r>
        <w:rPr>
          <w:rFonts w:hint="eastAsia" w:ascii="宋体" w:hAnsi="宋体"/>
          <w:color w:val="auto"/>
          <w:szCs w:val="21"/>
        </w:rPr>
        <w:t>其他</w:t>
      </w:r>
      <w:r>
        <w:rPr>
          <w:rFonts w:ascii="宋体" w:hAnsi="宋体"/>
          <w:color w:val="auto"/>
          <w:szCs w:val="21"/>
        </w:rPr>
        <w:t>说明：如投标人已为</w:t>
      </w:r>
      <w:r>
        <w:rPr>
          <w:rFonts w:hint="eastAsia" w:ascii="宋体" w:hAnsi="宋体"/>
          <w:color w:val="auto"/>
          <w:szCs w:val="21"/>
        </w:rPr>
        <w:t>本项目</w:t>
      </w:r>
      <w:r>
        <w:rPr>
          <w:rFonts w:ascii="宋体" w:hAnsi="宋体"/>
          <w:color w:val="auto"/>
          <w:szCs w:val="21"/>
        </w:rPr>
        <w:t>的入围候选人，不进入</w:t>
      </w:r>
      <w:r>
        <w:rPr>
          <w:rFonts w:hint="eastAsia" w:ascii="宋体" w:hAnsi="宋体"/>
          <w:color w:val="auto"/>
          <w:szCs w:val="21"/>
        </w:rPr>
        <w:t>北京大学宁波海洋药物研究院公款存放账户项目的</w:t>
      </w:r>
      <w:r>
        <w:rPr>
          <w:rFonts w:ascii="宋体" w:hAnsi="宋体"/>
          <w:color w:val="auto"/>
          <w:szCs w:val="21"/>
        </w:rPr>
        <w:t>后续</w:t>
      </w:r>
      <w:r>
        <w:rPr>
          <w:rFonts w:hint="eastAsia" w:ascii="宋体" w:hAnsi="宋体"/>
          <w:color w:val="auto"/>
          <w:szCs w:val="21"/>
        </w:rPr>
        <w:t>评审</w:t>
      </w:r>
      <w:r>
        <w:rPr>
          <w:rFonts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5.中标结果</w:t>
      </w:r>
    </w:p>
    <w:p>
      <w:pPr>
        <w:spacing w:line="360" w:lineRule="auto"/>
        <w:ind w:firstLine="420" w:firstLineChars="200"/>
        <w:rPr>
          <w:rFonts w:ascii="宋体" w:hAnsi="宋体"/>
          <w:color w:val="auto"/>
          <w:szCs w:val="21"/>
        </w:rPr>
      </w:pPr>
      <w:r>
        <w:rPr>
          <w:rFonts w:hint="eastAsia" w:ascii="宋体" w:hAnsi="宋体"/>
          <w:color w:val="auto"/>
          <w:szCs w:val="21"/>
        </w:rPr>
        <w:t>招标代理机构在评标结束后将评标报告交招标人确认，招标人自收到评标报告之日起3个工作日内在评标报告推荐的入围候选人中按顺序确定入围银行，并在发布招标公告的网站上对入围候选人进行公示（公示期3个工作日），并向入围银行发出中标通知书。</w:t>
      </w:r>
    </w:p>
    <w:p>
      <w:pPr>
        <w:spacing w:line="360" w:lineRule="auto"/>
        <w:ind w:firstLine="420" w:firstLineChars="200"/>
        <w:rPr>
          <w:rFonts w:ascii="宋体" w:hAnsi="宋体"/>
          <w:color w:val="auto"/>
          <w:szCs w:val="21"/>
        </w:rPr>
      </w:pPr>
      <w:r>
        <w:rPr>
          <w:rFonts w:hint="eastAsia" w:ascii="宋体" w:hAnsi="宋体"/>
          <w:color w:val="auto"/>
          <w:szCs w:val="21"/>
        </w:rPr>
        <w:t>6.重新招标</w:t>
      </w:r>
    </w:p>
    <w:p>
      <w:pPr>
        <w:spacing w:line="360" w:lineRule="auto"/>
        <w:ind w:firstLine="420" w:firstLineChars="200"/>
        <w:rPr>
          <w:rFonts w:ascii="宋体" w:hAnsi="宋体"/>
          <w:color w:val="auto"/>
          <w:szCs w:val="21"/>
        </w:rPr>
      </w:pPr>
      <w:r>
        <w:rPr>
          <w:rFonts w:hint="eastAsia" w:ascii="宋体" w:hAnsi="宋体"/>
          <w:color w:val="auto"/>
          <w:szCs w:val="21"/>
        </w:rPr>
        <w:t>有下列情形之一的，招标人将重新招标：</w:t>
      </w:r>
    </w:p>
    <w:p>
      <w:pPr>
        <w:spacing w:line="360" w:lineRule="auto"/>
        <w:ind w:firstLine="420" w:firstLineChars="200"/>
        <w:rPr>
          <w:rFonts w:ascii="宋体" w:hAnsi="宋体"/>
          <w:color w:val="auto"/>
          <w:szCs w:val="21"/>
        </w:rPr>
      </w:pPr>
      <w:r>
        <w:rPr>
          <w:rFonts w:hint="eastAsia" w:ascii="宋体" w:hAnsi="宋体"/>
          <w:color w:val="auto"/>
          <w:szCs w:val="21"/>
        </w:rPr>
        <w:t>（1）投标截止时间止，投标人数量＜3家的；</w:t>
      </w:r>
    </w:p>
    <w:p>
      <w:pPr>
        <w:spacing w:line="360" w:lineRule="auto"/>
        <w:ind w:firstLine="420" w:firstLineChars="200"/>
        <w:rPr>
          <w:rFonts w:ascii="宋体" w:hAnsi="宋体"/>
          <w:color w:val="auto"/>
          <w:szCs w:val="21"/>
        </w:rPr>
      </w:pPr>
      <w:r>
        <w:rPr>
          <w:rFonts w:hint="eastAsia" w:ascii="宋体" w:hAnsi="宋体"/>
          <w:color w:val="auto"/>
          <w:szCs w:val="21"/>
        </w:rPr>
        <w:t>（2）对招标文件作实质响应的投标人＜3家的。</w:t>
      </w:r>
    </w:p>
    <w:p>
      <w:pPr>
        <w:spacing w:line="360" w:lineRule="auto"/>
        <w:ind w:firstLine="420" w:firstLineChars="200"/>
        <w:rPr>
          <w:rFonts w:ascii="宋体" w:hAnsi="宋体"/>
          <w:color w:val="auto"/>
          <w:szCs w:val="21"/>
        </w:rPr>
      </w:pPr>
      <w:r>
        <w:rPr>
          <w:rFonts w:hint="eastAsia" w:ascii="宋体" w:hAnsi="宋体"/>
          <w:color w:val="auto"/>
          <w:szCs w:val="21"/>
        </w:rPr>
        <w:t>7.若入围单位放弃中标、或因不可抗力提出不能履行合同的，将由其他的合格投标人按得分名次顺位替补入围，或者进行重新招标。</w:t>
      </w:r>
    </w:p>
    <w:p>
      <w:pPr>
        <w:spacing w:line="360" w:lineRule="auto"/>
        <w:ind w:firstLine="420" w:firstLineChars="200"/>
        <w:rPr>
          <w:rFonts w:ascii="宋体" w:hAnsi="宋体"/>
          <w:color w:val="auto"/>
          <w:szCs w:val="21"/>
        </w:rPr>
      </w:pPr>
      <w:r>
        <w:rPr>
          <w:rFonts w:hint="eastAsia" w:ascii="宋体" w:hAnsi="宋体"/>
          <w:color w:val="auto"/>
          <w:szCs w:val="21"/>
        </w:rPr>
        <w:t>8.入围单位拖延、拒签合同的，将取消中标资格，招标人有权挑选排序后一位的银行作为入围银行或者重新招标。</w:t>
      </w:r>
    </w:p>
    <w:p>
      <w:pPr>
        <w:pStyle w:val="18"/>
        <w:ind w:left="0" w:leftChars="0"/>
        <w:rPr>
          <w:rFonts w:ascii="宋体" w:hAnsi="宋体"/>
          <w:color w:val="auto"/>
        </w:rPr>
      </w:pPr>
      <w:r>
        <w:rPr>
          <w:rFonts w:hint="eastAsia" w:ascii="宋体" w:hAnsi="宋体"/>
          <w:color w:val="auto"/>
        </w:rPr>
        <w:t>9.如因政策变化、或不可抗力原因，招标人有权调整相应的评审标准或者重新招标。</w:t>
      </w:r>
    </w:p>
    <w:p>
      <w:pPr>
        <w:rPr>
          <w:rFonts w:ascii="宋体" w:hAnsi="宋体"/>
          <w:color w:val="auto"/>
          <w:szCs w:val="21"/>
        </w:rPr>
      </w:pPr>
    </w:p>
    <w:p>
      <w:pPr>
        <w:widowControl/>
        <w:jc w:val="left"/>
        <w:rPr>
          <w:rFonts w:ascii="宋体" w:hAnsi="宋体"/>
          <w:color w:val="auto"/>
          <w:szCs w:val="21"/>
        </w:rPr>
      </w:pPr>
      <w:r>
        <w:rPr>
          <w:rFonts w:ascii="宋体" w:hAnsi="宋体"/>
          <w:color w:val="auto"/>
          <w:szCs w:val="21"/>
        </w:rPr>
        <w:br w:type="page"/>
      </w:r>
    </w:p>
    <w:p>
      <w:pPr>
        <w:spacing w:line="360" w:lineRule="auto"/>
        <w:outlineLvl w:val="2"/>
        <w:rPr>
          <w:rFonts w:ascii="宋体" w:hAnsi="宋体"/>
          <w:color w:val="auto"/>
          <w:szCs w:val="21"/>
        </w:rPr>
      </w:pPr>
      <w:bookmarkStart w:id="50" w:name="_Toc182932800"/>
      <w:r>
        <w:rPr>
          <w:rFonts w:hint="eastAsia" w:ascii="宋体" w:hAnsi="宋体"/>
          <w:color w:val="auto"/>
          <w:szCs w:val="21"/>
        </w:rPr>
        <w:t>附表1：</w:t>
      </w:r>
      <w:bookmarkEnd w:id="50"/>
      <w:r>
        <w:rPr>
          <w:rFonts w:hint="eastAsia" w:ascii="宋体" w:hAnsi="宋体"/>
          <w:color w:val="auto"/>
          <w:szCs w:val="21"/>
        </w:rPr>
        <w:t xml:space="preserve">                              </w:t>
      </w:r>
    </w:p>
    <w:p>
      <w:pPr>
        <w:spacing w:line="360" w:lineRule="auto"/>
        <w:jc w:val="center"/>
        <w:rPr>
          <w:rFonts w:ascii="宋体" w:hAnsi="宋体"/>
          <w:b/>
          <w:color w:val="auto"/>
          <w:szCs w:val="21"/>
        </w:rPr>
      </w:pPr>
      <w:r>
        <w:rPr>
          <w:rFonts w:hint="eastAsia" w:ascii="宋体" w:hAnsi="宋体"/>
          <w:b/>
          <w:color w:val="auto"/>
          <w:szCs w:val="21"/>
        </w:rPr>
        <w:t>资格审查表</w:t>
      </w:r>
    </w:p>
    <w:tbl>
      <w:tblPr>
        <w:tblStyle w:val="19"/>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507"/>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1" w:type="dxa"/>
            <w:noWrap/>
          </w:tcPr>
          <w:p>
            <w:pPr>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5507" w:type="dxa"/>
            <w:noWrap/>
          </w:tcPr>
          <w:p>
            <w:pPr>
              <w:spacing w:line="400" w:lineRule="exact"/>
              <w:jc w:val="center"/>
              <w:rPr>
                <w:rFonts w:ascii="宋体" w:hAnsi="宋体" w:cs="宋体"/>
                <w:b/>
                <w:color w:val="auto"/>
                <w:szCs w:val="21"/>
              </w:rPr>
            </w:pPr>
            <w:r>
              <w:rPr>
                <w:rFonts w:hint="eastAsia" w:ascii="宋体" w:hAnsi="宋体" w:cs="宋体"/>
                <w:b/>
                <w:color w:val="auto"/>
                <w:szCs w:val="21"/>
              </w:rPr>
              <w:t>审查项目</w:t>
            </w:r>
          </w:p>
        </w:tc>
        <w:tc>
          <w:tcPr>
            <w:tcW w:w="3091" w:type="dxa"/>
            <w:noWrap/>
          </w:tcPr>
          <w:p>
            <w:pPr>
              <w:spacing w:line="400" w:lineRule="exact"/>
              <w:jc w:val="center"/>
              <w:rPr>
                <w:rFonts w:ascii="宋体" w:hAnsi="宋体" w:cs="宋体"/>
                <w:b/>
                <w:color w:val="auto"/>
                <w:szCs w:val="21"/>
              </w:rPr>
            </w:pPr>
            <w:r>
              <w:rPr>
                <w:rFonts w:hint="eastAsia" w:ascii="宋体" w:hAnsi="宋体" w:cs="宋体"/>
                <w:b/>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01" w:type="dxa"/>
            <w:noWrap/>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5507" w:type="dxa"/>
            <w:noWrap/>
            <w:vAlign w:val="center"/>
          </w:tcPr>
          <w:p>
            <w:pPr>
              <w:spacing w:line="400" w:lineRule="exact"/>
              <w:jc w:val="left"/>
              <w:rPr>
                <w:rFonts w:ascii="宋体" w:hAnsi="宋体"/>
                <w:color w:val="auto"/>
              </w:rPr>
            </w:pPr>
            <w:r>
              <w:rPr>
                <w:rFonts w:hint="eastAsia" w:ascii="宋体" w:hAnsi="宋体"/>
                <w:bCs/>
                <w:color w:val="auto"/>
                <w:szCs w:val="21"/>
              </w:rPr>
              <w:t>持有中国银行业监督管理委员会宁波监管局核发有效的《中华人民共和国金融许可证》和市场监督管理部门核发有效的《营业执照》且其“营业场所”或“住所”载明属于宁波市北仑区域，同时在北仑区域内设有分支机构（通指一级支行及以上金融机构）</w:t>
            </w:r>
          </w:p>
        </w:tc>
        <w:tc>
          <w:tcPr>
            <w:tcW w:w="3091" w:type="dxa"/>
            <w:noWrap/>
            <w:vAlign w:val="center"/>
          </w:tcPr>
          <w:p>
            <w:pPr>
              <w:numPr>
                <w:ilvl w:val="0"/>
                <w:numId w:val="2"/>
              </w:numPr>
              <w:spacing w:line="400" w:lineRule="exact"/>
              <w:jc w:val="left"/>
              <w:rPr>
                <w:rFonts w:hint="eastAsia" w:ascii="宋体" w:hAnsi="宋体" w:cs="宋体"/>
                <w:color w:val="auto"/>
                <w:szCs w:val="21"/>
              </w:rPr>
            </w:pPr>
            <w:bookmarkStart w:id="51" w:name="OLE_LINK5"/>
            <w:r>
              <w:rPr>
                <w:rFonts w:hint="eastAsia" w:ascii="宋体" w:hAnsi="宋体" w:cs="宋体"/>
                <w:color w:val="auto"/>
                <w:szCs w:val="21"/>
              </w:rPr>
              <w:t>提供有效的《中华人民共和国金融许可证》复印件</w:t>
            </w:r>
            <w:bookmarkEnd w:id="51"/>
          </w:p>
          <w:p>
            <w:pPr>
              <w:numPr>
                <w:ilvl w:val="0"/>
                <w:numId w:val="2"/>
              </w:numPr>
              <w:spacing w:line="400" w:lineRule="exact"/>
              <w:jc w:val="left"/>
              <w:rPr>
                <w:rFonts w:hint="eastAsia" w:ascii="宋体" w:hAnsi="宋体" w:cs="宋体"/>
                <w:color w:val="auto"/>
                <w:szCs w:val="21"/>
              </w:rPr>
            </w:pPr>
            <w:r>
              <w:rPr>
                <w:rFonts w:hint="eastAsia" w:ascii="宋体" w:hAnsi="宋体" w:cs="宋体"/>
                <w:color w:val="auto"/>
                <w:szCs w:val="21"/>
              </w:rPr>
              <w:t>提供有效的《营业执照》复印件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01" w:type="dxa"/>
            <w:noWrap/>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5507" w:type="dxa"/>
            <w:noWrap/>
            <w:vAlign w:val="center"/>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依法开展经营活动，近3年内在经营活动中无重大违法违规记录</w:t>
            </w:r>
            <w:r>
              <w:rPr>
                <w:rFonts w:hint="eastAsia" w:ascii="宋体" w:hAnsi="宋体" w:cs="宋体"/>
                <w:color w:val="auto"/>
                <w:szCs w:val="21"/>
                <w:lang w:eastAsia="zh-CN"/>
              </w:rPr>
              <w:t>。</w:t>
            </w:r>
          </w:p>
        </w:tc>
        <w:tc>
          <w:tcPr>
            <w:tcW w:w="3091" w:type="dxa"/>
            <w:noWrap/>
            <w:vAlign w:val="center"/>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lang w:eastAsia="zh-CN"/>
              </w:rPr>
              <w:t>提供“无重大违法违规记录及重大违约的承诺书”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1" w:type="dxa"/>
            <w:noWrap/>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5507" w:type="dxa"/>
            <w:noWrap/>
            <w:vAlign w:val="center"/>
          </w:tcPr>
          <w:p>
            <w:pPr>
              <w:spacing w:line="400" w:lineRule="exact"/>
              <w:jc w:val="left"/>
              <w:rPr>
                <w:rFonts w:ascii="宋体" w:hAnsi="宋体" w:cs="宋体"/>
                <w:color w:val="auto"/>
                <w:szCs w:val="21"/>
              </w:rPr>
            </w:pPr>
            <w:r>
              <w:rPr>
                <w:rFonts w:hint="eastAsia" w:ascii="宋体" w:hAnsi="宋体"/>
                <w:bCs/>
                <w:color w:val="auto"/>
                <w:szCs w:val="21"/>
              </w:rPr>
              <w:t>财务稳健，资金充足率、不良贷款率、拨备覆盖率、流动性覆盖率、流动性比例等指标达到监管要求。</w:t>
            </w:r>
          </w:p>
        </w:tc>
        <w:tc>
          <w:tcPr>
            <w:tcW w:w="3091" w:type="dxa"/>
            <w:noWrap/>
            <w:vAlign w:val="center"/>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lang w:eastAsia="zh-CN"/>
              </w:rPr>
              <w:t>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1" w:type="dxa"/>
            <w:noWrap/>
            <w:vAlign w:val="center"/>
          </w:tcPr>
          <w:p>
            <w:pPr>
              <w:spacing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5507" w:type="dxa"/>
            <w:noWrap/>
            <w:vAlign w:val="center"/>
          </w:tcPr>
          <w:p>
            <w:pPr>
              <w:spacing w:line="400" w:lineRule="exact"/>
              <w:jc w:val="left"/>
              <w:rPr>
                <w:rFonts w:hint="eastAsia" w:ascii="宋体" w:hAnsi="宋体" w:eastAsia="宋体" w:cs="宋体"/>
                <w:color w:val="auto"/>
                <w:szCs w:val="21"/>
                <w:lang w:eastAsia="zh-CN"/>
              </w:rPr>
            </w:pPr>
            <w:r>
              <w:rPr>
                <w:rFonts w:hint="eastAsia" w:ascii="宋体" w:hAnsi="宋体"/>
                <w:bCs/>
                <w:color w:val="auto"/>
                <w:szCs w:val="21"/>
              </w:rPr>
              <w:t>内部管理机制健全，具有较强的风险控制能力，近3年内未发生金融风险及重大违约事件</w:t>
            </w:r>
            <w:r>
              <w:rPr>
                <w:rFonts w:hint="eastAsia" w:ascii="宋体" w:hAnsi="宋体"/>
                <w:bCs/>
                <w:color w:val="auto"/>
                <w:szCs w:val="21"/>
                <w:lang w:eastAsia="zh-CN"/>
              </w:rPr>
              <w:t>。</w:t>
            </w:r>
          </w:p>
        </w:tc>
        <w:tc>
          <w:tcPr>
            <w:tcW w:w="3091" w:type="dxa"/>
            <w:noWrap/>
            <w:vAlign w:val="center"/>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lang w:eastAsia="zh-CN"/>
              </w:rPr>
              <w:t>提供“具有履行合同所必需的设备和专业技术能力,资信状况和经营业绩优良，具有较强的风险控制能力的承诺书”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1" w:type="dxa"/>
            <w:noWrap/>
            <w:vAlign w:val="center"/>
          </w:tcPr>
          <w:p>
            <w:pPr>
              <w:spacing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5507" w:type="dxa"/>
            <w:noWrap/>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同一家金融机构只能有一家分支机构参加投标。如出现多家分支机构报名的,投标时凭该金融机构宁波市分行及以上机构出具的唯一授权书才能进行投标,否则其投标文件均作否决投标处理。</w:t>
            </w:r>
          </w:p>
        </w:tc>
        <w:tc>
          <w:tcPr>
            <w:tcW w:w="3091" w:type="dxa"/>
            <w:noWrap/>
            <w:vAlign w:val="center"/>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lang w:eastAsia="zh-CN"/>
              </w:rPr>
              <w:t>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1" w:type="dxa"/>
            <w:noWrap/>
            <w:vAlign w:val="center"/>
          </w:tcPr>
          <w:p>
            <w:pPr>
              <w:spacing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5507" w:type="dxa"/>
            <w:noWrap/>
            <w:vAlign w:val="center"/>
          </w:tcPr>
          <w:p>
            <w:pPr>
              <w:spacing w:line="400" w:lineRule="exact"/>
              <w:jc w:val="left"/>
              <w:rPr>
                <w:rFonts w:hint="eastAsia" w:ascii="宋体" w:hAnsi="宋体" w:cs="宋体"/>
                <w:color w:val="auto"/>
                <w:szCs w:val="21"/>
              </w:rPr>
            </w:pPr>
            <w:r>
              <w:rPr>
                <w:rFonts w:hint="eastAsia" w:ascii="宋体" w:hAnsi="宋体"/>
                <w:bCs/>
                <w:color w:val="auto"/>
                <w:szCs w:val="21"/>
              </w:rPr>
              <w:t>本项目实行资格后审，中标后不得合包、转包、分包</w:t>
            </w:r>
          </w:p>
        </w:tc>
        <w:tc>
          <w:tcPr>
            <w:tcW w:w="3091" w:type="dxa"/>
            <w:noWrap/>
            <w:vAlign w:val="center"/>
          </w:tcPr>
          <w:p>
            <w:pPr>
              <w:spacing w:line="400" w:lineRule="exact"/>
              <w:jc w:val="left"/>
              <w:rPr>
                <w:rFonts w:hint="eastAsia" w:ascii="宋体" w:hAnsi="宋体" w:cs="宋体"/>
                <w:color w:val="auto"/>
                <w:szCs w:val="21"/>
              </w:rPr>
            </w:pPr>
            <w:r>
              <w:rPr>
                <w:rFonts w:hint="eastAsia" w:ascii="宋体" w:hAnsi="宋体" w:cs="宋体"/>
                <w:color w:val="auto"/>
                <w:szCs w:val="21"/>
                <w:lang w:eastAsia="zh-CN"/>
              </w:rPr>
              <w:t>提供“承诺书”（格式自拟）</w:t>
            </w:r>
            <w:bookmarkStart w:id="93" w:name="_GoBack"/>
            <w:bookmarkEnd w:id="93"/>
          </w:p>
        </w:tc>
      </w:tr>
    </w:tbl>
    <w:p>
      <w:pPr>
        <w:spacing w:line="360" w:lineRule="exact"/>
        <w:rPr>
          <w:rFonts w:ascii="宋体" w:hAnsi="宋体"/>
          <w:b/>
          <w:color w:val="auto"/>
        </w:rPr>
      </w:pPr>
      <w:r>
        <w:rPr>
          <w:rFonts w:hint="eastAsia" w:ascii="宋体" w:hAnsi="宋体"/>
          <w:b/>
          <w:color w:val="auto"/>
        </w:rPr>
        <w:t>注：1、上述资格证明文件未按招标文件要求附入投标文件中的，资格性审查不合格。</w:t>
      </w:r>
    </w:p>
    <w:p>
      <w:pPr>
        <w:spacing w:line="360" w:lineRule="exact"/>
        <w:ind w:firstLine="422" w:firstLineChars="200"/>
        <w:rPr>
          <w:rFonts w:ascii="宋体" w:hAnsi="宋体"/>
          <w:b/>
          <w:color w:val="auto"/>
        </w:rPr>
      </w:pPr>
      <w:r>
        <w:rPr>
          <w:rFonts w:hint="eastAsia" w:ascii="宋体" w:hAnsi="宋体"/>
          <w:b/>
          <w:color w:val="auto"/>
        </w:rPr>
        <w:t>2、上述审查项目中，任意一项不符合的，资格性审查不合格。</w:t>
      </w:r>
    </w:p>
    <w:p>
      <w:pPr>
        <w:spacing w:line="360" w:lineRule="exact"/>
        <w:rPr>
          <w:rFonts w:ascii="宋体" w:hAnsi="宋体"/>
          <w:color w:val="auto"/>
          <w:szCs w:val="21"/>
        </w:rPr>
      </w:pPr>
    </w:p>
    <w:p>
      <w:pPr>
        <w:widowControl/>
        <w:jc w:val="left"/>
        <w:rPr>
          <w:rFonts w:ascii="宋体" w:hAnsi="宋体"/>
          <w:color w:val="auto"/>
          <w:szCs w:val="21"/>
        </w:rPr>
      </w:pPr>
      <w:r>
        <w:rPr>
          <w:rFonts w:ascii="宋体" w:hAnsi="宋体"/>
          <w:color w:val="auto"/>
          <w:szCs w:val="21"/>
        </w:rPr>
        <w:br w:type="page"/>
      </w:r>
    </w:p>
    <w:p>
      <w:pPr>
        <w:spacing w:line="360" w:lineRule="auto"/>
        <w:outlineLvl w:val="2"/>
        <w:rPr>
          <w:rFonts w:ascii="宋体" w:hAnsi="宋体"/>
          <w:color w:val="auto"/>
          <w:szCs w:val="21"/>
        </w:rPr>
      </w:pPr>
      <w:bookmarkStart w:id="52" w:name="_Toc182932801"/>
      <w:r>
        <w:rPr>
          <w:rFonts w:hint="eastAsia" w:ascii="宋体" w:hAnsi="宋体"/>
          <w:color w:val="auto"/>
          <w:szCs w:val="21"/>
        </w:rPr>
        <w:t>附表2：</w:t>
      </w:r>
      <w:bookmarkEnd w:id="52"/>
    </w:p>
    <w:p>
      <w:pPr>
        <w:widowControl/>
        <w:snapToGrid w:val="0"/>
        <w:spacing w:line="560" w:lineRule="exact"/>
        <w:jc w:val="center"/>
        <w:rPr>
          <w:rFonts w:ascii="宋体" w:hAnsi="宋体"/>
          <w:b/>
          <w:color w:val="auto"/>
          <w:szCs w:val="21"/>
        </w:rPr>
      </w:pPr>
      <w:r>
        <w:rPr>
          <w:rFonts w:hint="eastAsia" w:ascii="宋体" w:hAnsi="宋体"/>
          <w:b/>
          <w:color w:val="auto"/>
          <w:szCs w:val="21"/>
        </w:rPr>
        <w:t>符合性审查表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250"/>
        <w:gridCol w:w="6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8" w:type="dxa"/>
            <w:noWrap/>
          </w:tcPr>
          <w:p>
            <w:pPr>
              <w:spacing w:line="400" w:lineRule="exact"/>
              <w:jc w:val="center"/>
              <w:rPr>
                <w:rFonts w:ascii="宋体" w:hAnsi="宋体"/>
                <w:b/>
                <w:color w:val="auto"/>
                <w:szCs w:val="21"/>
              </w:rPr>
            </w:pPr>
            <w:r>
              <w:rPr>
                <w:rFonts w:hint="eastAsia" w:ascii="宋体" w:hAnsi="宋体"/>
                <w:b/>
                <w:color w:val="auto"/>
                <w:szCs w:val="21"/>
              </w:rPr>
              <w:t>序号</w:t>
            </w:r>
          </w:p>
        </w:tc>
        <w:tc>
          <w:tcPr>
            <w:tcW w:w="2250" w:type="dxa"/>
            <w:noWrap/>
          </w:tcPr>
          <w:p>
            <w:pPr>
              <w:spacing w:line="400" w:lineRule="exact"/>
              <w:jc w:val="center"/>
              <w:rPr>
                <w:rFonts w:ascii="宋体" w:hAnsi="宋体"/>
                <w:b/>
                <w:color w:val="auto"/>
                <w:szCs w:val="21"/>
              </w:rPr>
            </w:pPr>
            <w:r>
              <w:rPr>
                <w:rFonts w:hint="eastAsia" w:ascii="宋体" w:hAnsi="宋体"/>
                <w:b/>
                <w:color w:val="auto"/>
                <w:szCs w:val="21"/>
              </w:rPr>
              <w:t>审查项目</w:t>
            </w:r>
          </w:p>
        </w:tc>
        <w:tc>
          <w:tcPr>
            <w:tcW w:w="6311" w:type="dxa"/>
            <w:noWrap/>
          </w:tcPr>
          <w:p>
            <w:pPr>
              <w:spacing w:line="400" w:lineRule="exact"/>
              <w:jc w:val="center"/>
              <w:rPr>
                <w:rFonts w:ascii="宋体" w:hAnsi="宋体"/>
                <w:b/>
                <w:color w:val="auto"/>
                <w:szCs w:val="21"/>
              </w:rPr>
            </w:pPr>
            <w:r>
              <w:rPr>
                <w:rFonts w:hint="eastAsia" w:ascii="宋体" w:hAnsi="宋体"/>
                <w:b/>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8" w:type="dxa"/>
            <w:noWrap/>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250" w:type="dxa"/>
            <w:noWrap/>
            <w:vAlign w:val="center"/>
          </w:tcPr>
          <w:p>
            <w:pPr>
              <w:spacing w:line="400" w:lineRule="exact"/>
              <w:rPr>
                <w:rFonts w:ascii="宋体" w:hAnsi="宋体"/>
                <w:color w:val="auto"/>
                <w:szCs w:val="21"/>
              </w:rPr>
            </w:pPr>
            <w:r>
              <w:rPr>
                <w:rFonts w:hint="eastAsia" w:ascii="宋体" w:hAnsi="宋体"/>
                <w:color w:val="auto"/>
                <w:szCs w:val="21"/>
              </w:rPr>
              <w:t>投标单位名称</w:t>
            </w:r>
          </w:p>
        </w:tc>
        <w:tc>
          <w:tcPr>
            <w:tcW w:w="6311" w:type="dxa"/>
            <w:noWrap/>
          </w:tcPr>
          <w:p>
            <w:pPr>
              <w:spacing w:line="400" w:lineRule="exact"/>
              <w:rPr>
                <w:rFonts w:ascii="宋体" w:hAnsi="宋体"/>
                <w:color w:val="auto"/>
                <w:szCs w:val="21"/>
              </w:rPr>
            </w:pPr>
            <w:r>
              <w:rPr>
                <w:rFonts w:hint="eastAsia" w:ascii="宋体" w:hAnsi="宋体"/>
                <w:color w:val="auto"/>
                <w:szCs w:val="21"/>
              </w:rPr>
              <w:t>与营业执照副本一致。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8" w:type="dxa"/>
            <w:noWrap/>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250" w:type="dxa"/>
            <w:noWrap/>
            <w:vAlign w:val="center"/>
          </w:tcPr>
          <w:p>
            <w:pPr>
              <w:spacing w:line="400" w:lineRule="exact"/>
              <w:rPr>
                <w:rFonts w:ascii="宋体" w:hAnsi="宋体"/>
                <w:color w:val="auto"/>
                <w:szCs w:val="21"/>
              </w:rPr>
            </w:pPr>
            <w:r>
              <w:rPr>
                <w:rFonts w:hint="eastAsia" w:ascii="宋体" w:hAnsi="宋体"/>
                <w:color w:val="auto"/>
                <w:szCs w:val="21"/>
              </w:rPr>
              <w:t>投标有效期</w:t>
            </w:r>
          </w:p>
        </w:tc>
        <w:tc>
          <w:tcPr>
            <w:tcW w:w="6311" w:type="dxa"/>
            <w:noWrap/>
            <w:vAlign w:val="center"/>
          </w:tcPr>
          <w:p>
            <w:pPr>
              <w:spacing w:line="400" w:lineRule="exact"/>
              <w:rPr>
                <w:rFonts w:ascii="宋体" w:hAnsi="宋体"/>
                <w:color w:val="auto"/>
                <w:szCs w:val="21"/>
              </w:rPr>
            </w:pPr>
            <w:r>
              <w:rPr>
                <w:rFonts w:hint="eastAsia" w:ascii="宋体" w:hAnsi="宋体"/>
                <w:color w:val="auto"/>
                <w:szCs w:val="21"/>
              </w:rPr>
              <w:t>符合第三章“投标人须知”中前附表“第11条</w:t>
            </w:r>
            <w:r>
              <w:rPr>
                <w:rFonts w:hint="eastAsia" w:ascii="宋体" w:hAnsi="宋体"/>
                <w:b/>
                <w:color w:val="auto"/>
              </w:rPr>
              <w:t>★</w:t>
            </w:r>
            <w:r>
              <w:rPr>
                <w:rFonts w:hint="eastAsia" w:ascii="宋体" w:hAnsi="宋体"/>
                <w:color w:val="auto"/>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8" w:type="dxa"/>
            <w:noWrap/>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250" w:type="dxa"/>
            <w:noWrap/>
            <w:vAlign w:val="center"/>
          </w:tcPr>
          <w:p>
            <w:pPr>
              <w:spacing w:line="400" w:lineRule="exact"/>
              <w:rPr>
                <w:rFonts w:ascii="宋体" w:hAnsi="宋体"/>
                <w:color w:val="auto"/>
                <w:szCs w:val="21"/>
              </w:rPr>
            </w:pPr>
            <w:r>
              <w:rPr>
                <w:rFonts w:hint="eastAsia" w:ascii="宋体" w:hAnsi="宋体"/>
                <w:color w:val="auto"/>
                <w:szCs w:val="21"/>
              </w:rPr>
              <w:t>授权委托书</w:t>
            </w:r>
          </w:p>
        </w:tc>
        <w:tc>
          <w:tcPr>
            <w:tcW w:w="6311" w:type="dxa"/>
            <w:noWrap/>
            <w:vAlign w:val="center"/>
          </w:tcPr>
          <w:p>
            <w:pPr>
              <w:spacing w:line="400" w:lineRule="exact"/>
              <w:rPr>
                <w:rFonts w:ascii="宋体" w:hAnsi="宋体"/>
                <w:color w:val="auto"/>
                <w:szCs w:val="21"/>
              </w:rPr>
            </w:pPr>
            <w:r>
              <w:rPr>
                <w:rFonts w:hint="eastAsia" w:ascii="宋体" w:hAnsi="宋体"/>
                <w:color w:val="auto"/>
                <w:szCs w:val="21"/>
              </w:rPr>
              <w:t>投标文件由投标人法定代表人（或单位负责人）签字的，提供“法定代表人（或单位负责人）身份证明书”；</w:t>
            </w:r>
          </w:p>
          <w:p>
            <w:pPr>
              <w:spacing w:line="400" w:lineRule="exact"/>
              <w:rPr>
                <w:rFonts w:ascii="宋体" w:hAnsi="宋体"/>
                <w:color w:val="auto"/>
                <w:szCs w:val="21"/>
              </w:rPr>
            </w:pPr>
            <w:r>
              <w:rPr>
                <w:rFonts w:hint="eastAsia" w:ascii="宋体" w:hAnsi="宋体"/>
                <w:color w:val="auto"/>
                <w:szCs w:val="21"/>
              </w:rPr>
              <w:t>投标文件由授权代表签字的，提供“法定代表人（或单位负责人）的授权委托书”。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98" w:type="dxa"/>
            <w:noWrap/>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250" w:type="dxa"/>
            <w:noWrap/>
            <w:vAlign w:val="center"/>
          </w:tcPr>
          <w:p>
            <w:pPr>
              <w:spacing w:line="400" w:lineRule="exact"/>
              <w:rPr>
                <w:rFonts w:ascii="宋体" w:hAnsi="宋体"/>
                <w:color w:val="auto"/>
                <w:szCs w:val="21"/>
              </w:rPr>
            </w:pPr>
            <w:r>
              <w:rPr>
                <w:rFonts w:hint="eastAsia" w:ascii="宋体" w:hAnsi="宋体"/>
                <w:color w:val="auto"/>
                <w:szCs w:val="21"/>
              </w:rPr>
              <w:t>投标文件的签署盖章</w:t>
            </w:r>
          </w:p>
        </w:tc>
        <w:tc>
          <w:tcPr>
            <w:tcW w:w="6311" w:type="dxa"/>
            <w:noWrap/>
            <w:vAlign w:val="center"/>
          </w:tcPr>
          <w:p>
            <w:pPr>
              <w:spacing w:line="400" w:lineRule="exact"/>
              <w:rPr>
                <w:rFonts w:ascii="宋体" w:hAnsi="宋体"/>
                <w:color w:val="auto"/>
                <w:szCs w:val="21"/>
              </w:rPr>
            </w:pPr>
            <w:r>
              <w:rPr>
                <w:rFonts w:hint="eastAsia" w:ascii="宋体" w:hAnsi="宋体"/>
                <w:color w:val="auto"/>
                <w:szCs w:val="21"/>
              </w:rPr>
              <w:t>投标文件按招标文件要求签署盖章。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98" w:type="dxa"/>
            <w:noWrap/>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2250" w:type="dxa"/>
            <w:noWrap/>
            <w:vAlign w:val="center"/>
          </w:tcPr>
          <w:p>
            <w:pPr>
              <w:spacing w:line="400" w:lineRule="exact"/>
              <w:rPr>
                <w:rFonts w:ascii="宋体" w:hAnsi="宋体"/>
                <w:color w:val="auto"/>
                <w:szCs w:val="21"/>
              </w:rPr>
            </w:pPr>
            <w:r>
              <w:rPr>
                <w:rFonts w:hint="eastAsia" w:ascii="宋体" w:hAnsi="宋体"/>
                <w:color w:val="auto"/>
                <w:szCs w:val="21"/>
              </w:rPr>
              <w:t>其他</w:t>
            </w:r>
          </w:p>
        </w:tc>
        <w:tc>
          <w:tcPr>
            <w:tcW w:w="6311" w:type="dxa"/>
            <w:noWrap/>
            <w:vAlign w:val="center"/>
          </w:tcPr>
          <w:p>
            <w:pPr>
              <w:spacing w:line="40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rPr>
              <w:t>★</w:t>
            </w:r>
            <w:r>
              <w:rPr>
                <w:rFonts w:hint="eastAsia" w:ascii="宋体" w:hAnsi="宋体"/>
                <w:color w:val="auto"/>
                <w:szCs w:val="21"/>
              </w:rPr>
              <w:t>”标记）。</w:t>
            </w:r>
          </w:p>
        </w:tc>
      </w:tr>
    </w:tbl>
    <w:p>
      <w:pPr>
        <w:rPr>
          <w:rFonts w:ascii="宋体" w:hAnsi="宋体"/>
          <w:color w:val="auto"/>
        </w:rPr>
      </w:pPr>
      <w:r>
        <w:rPr>
          <w:rFonts w:hint="eastAsia" w:ascii="宋体" w:hAnsi="宋体"/>
          <w:b/>
          <w:color w:val="auto"/>
          <w:szCs w:val="21"/>
        </w:rPr>
        <w:t>注：1、上述审查项目中，任意一项不符合的，符合性审查不合格。</w:t>
      </w:r>
    </w:p>
    <w:p>
      <w:pPr>
        <w:pStyle w:val="12"/>
        <w:rPr>
          <w:rFonts w:ascii="宋体" w:hAnsi="宋体"/>
          <w:color w:val="auto"/>
          <w:szCs w:val="21"/>
        </w:rPr>
      </w:pPr>
    </w:p>
    <w:p>
      <w:pPr>
        <w:widowControl/>
        <w:jc w:val="left"/>
        <w:rPr>
          <w:rFonts w:ascii="宋体" w:hAnsi="宋体"/>
          <w:color w:val="auto"/>
          <w:szCs w:val="21"/>
        </w:rPr>
      </w:pPr>
      <w:r>
        <w:rPr>
          <w:rFonts w:ascii="宋体" w:hAnsi="宋体"/>
          <w:color w:val="auto"/>
          <w:szCs w:val="21"/>
        </w:rPr>
        <w:br w:type="page"/>
      </w:r>
    </w:p>
    <w:p>
      <w:pPr>
        <w:spacing w:line="360" w:lineRule="auto"/>
        <w:outlineLvl w:val="2"/>
        <w:rPr>
          <w:rFonts w:ascii="宋体" w:hAnsi="宋体"/>
          <w:color w:val="auto"/>
          <w:szCs w:val="21"/>
        </w:rPr>
      </w:pPr>
      <w:bookmarkStart w:id="53" w:name="_Toc182932802"/>
      <w:r>
        <w:rPr>
          <w:rFonts w:hint="eastAsia" w:ascii="宋体" w:hAnsi="宋体"/>
          <w:color w:val="auto"/>
          <w:szCs w:val="21"/>
        </w:rPr>
        <w:t>附表3：</w:t>
      </w:r>
      <w:bookmarkEnd w:id="53"/>
    </w:p>
    <w:p>
      <w:pPr>
        <w:widowControl/>
        <w:snapToGrid w:val="0"/>
        <w:spacing w:line="360" w:lineRule="auto"/>
        <w:jc w:val="center"/>
        <w:rPr>
          <w:rFonts w:ascii="宋体" w:hAnsi="宋体"/>
          <w:b/>
          <w:bCs/>
          <w:color w:val="auto"/>
          <w:szCs w:val="21"/>
        </w:rPr>
      </w:pPr>
      <w:r>
        <w:rPr>
          <w:rFonts w:hint="eastAsia" w:ascii="宋体" w:hAnsi="宋体"/>
          <w:b/>
          <w:bCs/>
          <w:color w:val="auto"/>
          <w:szCs w:val="21"/>
        </w:rPr>
        <w:t>评标细则（兼评委打分表）</w:t>
      </w:r>
    </w:p>
    <w:tbl>
      <w:tblPr>
        <w:tblStyle w:val="19"/>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55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39" w:type="dxa"/>
            <w:gridSpan w:val="2"/>
            <w:noWrap/>
            <w:vAlign w:val="center"/>
          </w:tcPr>
          <w:p>
            <w:pPr>
              <w:spacing w:line="440" w:lineRule="exact"/>
              <w:jc w:val="center"/>
              <w:rPr>
                <w:rFonts w:ascii="宋体" w:hAnsi="宋体" w:cs="宋体"/>
                <w:b/>
                <w:color w:val="auto"/>
                <w:szCs w:val="21"/>
              </w:rPr>
            </w:pPr>
            <w:r>
              <w:rPr>
                <w:rFonts w:hint="eastAsia" w:ascii="宋体" w:hAnsi="宋体" w:cs="宋体"/>
                <w:b/>
                <w:color w:val="auto"/>
                <w:szCs w:val="21"/>
              </w:rPr>
              <w:t>评审项目</w:t>
            </w:r>
          </w:p>
        </w:tc>
        <w:tc>
          <w:tcPr>
            <w:tcW w:w="6804" w:type="dxa"/>
            <w:noWrap/>
            <w:vAlign w:val="center"/>
          </w:tcPr>
          <w:p>
            <w:pPr>
              <w:spacing w:line="440" w:lineRule="exact"/>
              <w:jc w:val="center"/>
              <w:rPr>
                <w:rFonts w:ascii="宋体" w:hAnsi="宋体" w:cs="宋体"/>
                <w:b/>
                <w:color w:val="auto"/>
                <w:szCs w:val="21"/>
              </w:rPr>
            </w:pPr>
            <w:r>
              <w:rPr>
                <w:rFonts w:hint="eastAsia" w:ascii="宋体" w:hAnsi="宋体" w:cs="宋体"/>
                <w:b/>
                <w:color w:val="auto"/>
                <w:szCs w:val="21"/>
              </w:rPr>
              <w:t>评审内容及评分标准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ign w:val="center"/>
          </w:tcPr>
          <w:p>
            <w:pPr>
              <w:spacing w:line="300" w:lineRule="exact"/>
              <w:jc w:val="center"/>
              <w:rPr>
                <w:rFonts w:ascii="宋体" w:hAnsi="宋体"/>
                <w:color w:val="auto"/>
                <w:szCs w:val="21"/>
              </w:rPr>
            </w:pPr>
            <w:r>
              <w:rPr>
                <w:rFonts w:hint="eastAsia" w:ascii="宋体" w:hAnsi="宋体"/>
                <w:color w:val="auto"/>
                <w:szCs w:val="21"/>
              </w:rPr>
              <w:t>一、</w:t>
            </w:r>
            <w:bookmarkStart w:id="54" w:name="OLE_LINK16"/>
            <w:r>
              <w:rPr>
                <w:rFonts w:hint="eastAsia" w:ascii="宋体" w:hAnsi="宋体"/>
                <w:color w:val="auto"/>
                <w:szCs w:val="21"/>
              </w:rPr>
              <w:t>经营状况</w:t>
            </w:r>
          </w:p>
          <w:bookmarkEnd w:id="54"/>
          <w:p>
            <w:pPr>
              <w:spacing w:line="300" w:lineRule="exact"/>
              <w:jc w:val="center"/>
              <w:rPr>
                <w:rFonts w:ascii="宋体" w:hAnsi="宋体" w:cs="宋体"/>
                <w:color w:val="auto"/>
                <w:kern w:val="0"/>
                <w:szCs w:val="21"/>
              </w:rPr>
            </w:pPr>
            <w:r>
              <w:rPr>
                <w:rFonts w:hint="eastAsia" w:ascii="宋体" w:hAnsi="宋体"/>
                <w:color w:val="auto"/>
                <w:szCs w:val="21"/>
              </w:rPr>
              <w:t>（31分）</w:t>
            </w:r>
          </w:p>
        </w:tc>
        <w:tc>
          <w:tcPr>
            <w:tcW w:w="1559" w:type="dxa"/>
            <w:noWrap/>
            <w:vAlign w:val="center"/>
          </w:tcPr>
          <w:p>
            <w:pPr>
              <w:spacing w:line="300" w:lineRule="exact"/>
              <w:jc w:val="center"/>
              <w:rPr>
                <w:rFonts w:ascii="宋体" w:hAnsi="宋体"/>
                <w:color w:val="auto"/>
                <w:szCs w:val="21"/>
              </w:rPr>
            </w:pPr>
            <w:bookmarkStart w:id="55" w:name="OLE_LINK7"/>
            <w:r>
              <w:rPr>
                <w:rFonts w:hint="eastAsia" w:ascii="宋体" w:hAnsi="宋体"/>
                <w:color w:val="auto"/>
                <w:szCs w:val="21"/>
              </w:rPr>
              <w:t>1.资本充足率</w:t>
            </w:r>
          </w:p>
          <w:p>
            <w:pPr>
              <w:spacing w:line="300" w:lineRule="exact"/>
              <w:jc w:val="center"/>
              <w:rPr>
                <w:rFonts w:ascii="宋体" w:hAnsi="宋体" w:cs="宋体"/>
                <w:b/>
                <w:color w:val="auto"/>
                <w:kern w:val="0"/>
                <w:szCs w:val="21"/>
              </w:rPr>
            </w:pPr>
            <w:r>
              <w:rPr>
                <w:rFonts w:hint="eastAsia" w:ascii="宋体" w:hAnsi="宋体"/>
                <w:color w:val="auto"/>
                <w:szCs w:val="21"/>
              </w:rPr>
              <w:t>（7分）</w:t>
            </w:r>
            <w:bookmarkEnd w:id="55"/>
          </w:p>
        </w:tc>
        <w:tc>
          <w:tcPr>
            <w:tcW w:w="6804" w:type="dxa"/>
            <w:noWrap/>
            <w:vAlign w:val="center"/>
          </w:tcPr>
          <w:p>
            <w:pPr>
              <w:spacing w:line="320" w:lineRule="exact"/>
              <w:jc w:val="left"/>
              <w:rPr>
                <w:rFonts w:ascii="宋体" w:hAnsi="宋体"/>
                <w:color w:val="auto"/>
                <w:szCs w:val="21"/>
              </w:rPr>
            </w:pPr>
            <w:r>
              <w:rPr>
                <w:rFonts w:hint="eastAsia" w:ascii="宋体" w:hAnsi="宋体"/>
                <w:color w:val="auto"/>
                <w:szCs w:val="21"/>
              </w:rPr>
              <w:t>根据投标人总行的2023年末资本充足率数据进行评审：</w:t>
            </w:r>
          </w:p>
          <w:p>
            <w:pPr>
              <w:spacing w:line="320" w:lineRule="exact"/>
              <w:jc w:val="left"/>
              <w:rPr>
                <w:rFonts w:ascii="宋体" w:hAnsi="宋体" w:cs="宋体"/>
                <w:iCs/>
                <w:color w:val="auto"/>
                <w:kern w:val="0"/>
                <w:szCs w:val="21"/>
              </w:rPr>
            </w:pPr>
            <w:bookmarkStart w:id="56" w:name="OLE_LINK23"/>
            <w:r>
              <w:rPr>
                <w:rFonts w:hint="eastAsia" w:ascii="宋体" w:hAnsi="宋体" w:cs="宋体"/>
                <w:iCs/>
                <w:color w:val="auto"/>
                <w:kern w:val="0"/>
                <w:szCs w:val="21"/>
              </w:rPr>
              <w:t>15%及以上的</w:t>
            </w:r>
            <w:bookmarkEnd w:id="56"/>
            <w:r>
              <w:rPr>
                <w:rFonts w:hint="eastAsia" w:ascii="宋体" w:hAnsi="宋体" w:cs="宋体"/>
                <w:iCs/>
                <w:color w:val="auto"/>
                <w:kern w:val="0"/>
                <w:szCs w:val="21"/>
              </w:rPr>
              <w:t>，得7分；</w:t>
            </w:r>
          </w:p>
          <w:p>
            <w:pPr>
              <w:spacing w:line="320" w:lineRule="exact"/>
              <w:jc w:val="left"/>
              <w:rPr>
                <w:rFonts w:ascii="宋体" w:hAnsi="宋体"/>
                <w:color w:val="auto"/>
                <w:szCs w:val="21"/>
              </w:rPr>
            </w:pPr>
            <w:r>
              <w:rPr>
                <w:rFonts w:hint="eastAsia" w:ascii="宋体" w:hAnsi="宋体"/>
                <w:color w:val="auto"/>
                <w:szCs w:val="21"/>
              </w:rPr>
              <w:t>13%（含）-15%（不含）的，得5分；</w:t>
            </w:r>
          </w:p>
          <w:p>
            <w:pPr>
              <w:spacing w:line="320" w:lineRule="exact"/>
              <w:jc w:val="left"/>
              <w:rPr>
                <w:rFonts w:ascii="宋体" w:hAnsi="宋体"/>
                <w:color w:val="auto"/>
                <w:szCs w:val="21"/>
              </w:rPr>
            </w:pPr>
            <w:r>
              <w:rPr>
                <w:rFonts w:hint="eastAsia" w:ascii="宋体" w:hAnsi="宋体"/>
                <w:color w:val="auto"/>
                <w:szCs w:val="21"/>
              </w:rPr>
              <w:t>11%（含）-13%（不含）的，得3分；</w:t>
            </w:r>
          </w:p>
          <w:p>
            <w:pPr>
              <w:spacing w:line="320" w:lineRule="exact"/>
              <w:jc w:val="left"/>
              <w:rPr>
                <w:rFonts w:ascii="宋体" w:hAnsi="宋体"/>
                <w:color w:val="auto"/>
                <w:szCs w:val="21"/>
              </w:rPr>
            </w:pPr>
            <w:r>
              <w:rPr>
                <w:rFonts w:hint="eastAsia" w:ascii="宋体" w:hAnsi="宋体"/>
                <w:color w:val="auto"/>
                <w:szCs w:val="21"/>
              </w:rPr>
              <w:t>11%以下的，得1分。</w:t>
            </w:r>
          </w:p>
          <w:p>
            <w:pPr>
              <w:spacing w:line="320" w:lineRule="exact"/>
              <w:jc w:val="left"/>
              <w:rPr>
                <w:rFonts w:ascii="宋体" w:hAnsi="宋体" w:cs="宋体"/>
                <w:iCs/>
                <w:color w:val="auto"/>
                <w:kern w:val="0"/>
                <w:szCs w:val="21"/>
              </w:rPr>
            </w:pPr>
            <w:r>
              <w:rPr>
                <w:rFonts w:hint="eastAsia" w:ascii="宋体" w:hAnsi="宋体"/>
                <w:color w:val="auto"/>
                <w:szCs w:val="21"/>
              </w:rPr>
              <w:t>本项最高得7分。</w:t>
            </w:r>
          </w:p>
          <w:p>
            <w:pPr>
              <w:spacing w:line="320" w:lineRule="exact"/>
              <w:jc w:val="left"/>
              <w:rPr>
                <w:rFonts w:ascii="宋体" w:hAnsi="宋体"/>
                <w:color w:val="auto"/>
                <w:spacing w:val="-3"/>
                <w:szCs w:val="21"/>
              </w:rPr>
            </w:pPr>
            <w:r>
              <w:rPr>
                <w:rFonts w:hint="eastAsia" w:ascii="宋体" w:hAnsi="宋体" w:cs="宋体"/>
                <w:iCs/>
                <w:color w:val="auto"/>
                <w:kern w:val="0"/>
                <w:szCs w:val="21"/>
              </w:rPr>
              <w:t>投标文件须提供相关资料复印件加盖投标人公章，未提供不得分。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00" w:lineRule="exact"/>
              <w:jc w:val="center"/>
              <w:rPr>
                <w:rFonts w:ascii="宋体" w:hAnsi="宋体"/>
                <w:color w:val="auto"/>
                <w:szCs w:val="21"/>
              </w:rPr>
            </w:pPr>
          </w:p>
        </w:tc>
        <w:tc>
          <w:tcPr>
            <w:tcW w:w="1559" w:type="dxa"/>
            <w:noWrap/>
            <w:vAlign w:val="center"/>
          </w:tcPr>
          <w:p>
            <w:pPr>
              <w:spacing w:line="300" w:lineRule="exact"/>
              <w:jc w:val="center"/>
              <w:rPr>
                <w:rFonts w:ascii="宋体" w:hAnsi="宋体"/>
                <w:color w:val="auto"/>
                <w:szCs w:val="21"/>
              </w:rPr>
            </w:pPr>
            <w:bookmarkStart w:id="57" w:name="OLE_LINK8"/>
            <w:r>
              <w:rPr>
                <w:rFonts w:hint="eastAsia" w:ascii="宋体" w:hAnsi="宋体"/>
                <w:color w:val="auto"/>
                <w:szCs w:val="21"/>
              </w:rPr>
              <w:t>2.不良贷款率</w:t>
            </w:r>
          </w:p>
          <w:p>
            <w:pPr>
              <w:spacing w:line="300" w:lineRule="exact"/>
              <w:jc w:val="center"/>
              <w:rPr>
                <w:rFonts w:ascii="宋体" w:hAnsi="宋体"/>
                <w:color w:val="auto"/>
                <w:szCs w:val="21"/>
              </w:rPr>
            </w:pPr>
            <w:r>
              <w:rPr>
                <w:rFonts w:hint="eastAsia" w:ascii="宋体" w:hAnsi="宋体"/>
                <w:color w:val="auto"/>
                <w:szCs w:val="21"/>
              </w:rPr>
              <w:t>（7分）</w:t>
            </w:r>
            <w:bookmarkEnd w:id="57"/>
          </w:p>
        </w:tc>
        <w:tc>
          <w:tcPr>
            <w:tcW w:w="6804" w:type="dxa"/>
            <w:noWrap/>
            <w:vAlign w:val="center"/>
          </w:tcPr>
          <w:p>
            <w:pPr>
              <w:spacing w:line="320" w:lineRule="exact"/>
              <w:jc w:val="left"/>
              <w:rPr>
                <w:rFonts w:ascii="宋体" w:hAnsi="宋体" w:cs="宋体"/>
                <w:iCs/>
                <w:color w:val="auto"/>
                <w:kern w:val="0"/>
                <w:szCs w:val="21"/>
              </w:rPr>
            </w:pPr>
            <w:r>
              <w:rPr>
                <w:rFonts w:hint="eastAsia" w:ascii="宋体" w:hAnsi="宋体"/>
                <w:color w:val="auto"/>
                <w:szCs w:val="21"/>
              </w:rPr>
              <w:t>根据投标人总行的2023年末不良贷款率数据进行</w:t>
            </w:r>
            <w:r>
              <w:rPr>
                <w:rFonts w:hint="eastAsia" w:ascii="宋体" w:hAnsi="宋体" w:cs="宋体"/>
                <w:iCs/>
                <w:color w:val="auto"/>
                <w:kern w:val="0"/>
                <w:szCs w:val="21"/>
              </w:rPr>
              <w:t>评审：</w:t>
            </w:r>
          </w:p>
          <w:p>
            <w:pPr>
              <w:spacing w:line="320" w:lineRule="exact"/>
              <w:jc w:val="left"/>
              <w:rPr>
                <w:rFonts w:ascii="宋体" w:hAnsi="宋体"/>
                <w:color w:val="auto"/>
                <w:szCs w:val="21"/>
              </w:rPr>
            </w:pPr>
            <w:r>
              <w:rPr>
                <w:rFonts w:hint="eastAsia" w:ascii="宋体" w:hAnsi="宋体"/>
                <w:color w:val="auto"/>
                <w:szCs w:val="21"/>
              </w:rPr>
              <w:t>1.2%及以下的，得7分；</w:t>
            </w:r>
          </w:p>
          <w:p>
            <w:pPr>
              <w:spacing w:line="320" w:lineRule="exact"/>
              <w:jc w:val="left"/>
              <w:rPr>
                <w:rFonts w:ascii="宋体" w:hAnsi="宋体"/>
                <w:color w:val="auto"/>
                <w:szCs w:val="21"/>
              </w:rPr>
            </w:pPr>
            <w:r>
              <w:rPr>
                <w:rFonts w:hint="eastAsia" w:ascii="宋体" w:hAnsi="宋体"/>
                <w:color w:val="auto"/>
                <w:szCs w:val="21"/>
              </w:rPr>
              <w:t>1.2%（不含）-1.4%（含）的，得5分；</w:t>
            </w:r>
          </w:p>
          <w:p>
            <w:pPr>
              <w:spacing w:line="320" w:lineRule="exact"/>
              <w:jc w:val="left"/>
              <w:rPr>
                <w:rFonts w:ascii="宋体" w:hAnsi="宋体"/>
                <w:color w:val="auto"/>
                <w:szCs w:val="21"/>
              </w:rPr>
            </w:pPr>
            <w:r>
              <w:rPr>
                <w:rFonts w:hint="eastAsia" w:ascii="宋体" w:hAnsi="宋体"/>
                <w:color w:val="auto"/>
                <w:szCs w:val="21"/>
              </w:rPr>
              <w:t>1.4%（不含）-1.6%（含）的，得3分；</w:t>
            </w:r>
          </w:p>
          <w:p>
            <w:pPr>
              <w:spacing w:line="320" w:lineRule="exact"/>
              <w:jc w:val="left"/>
              <w:rPr>
                <w:rFonts w:ascii="宋体" w:hAnsi="宋体"/>
                <w:color w:val="auto"/>
                <w:szCs w:val="21"/>
              </w:rPr>
            </w:pPr>
            <w:r>
              <w:rPr>
                <w:rFonts w:hint="eastAsia" w:ascii="宋体" w:hAnsi="宋体"/>
                <w:color w:val="auto"/>
                <w:szCs w:val="21"/>
              </w:rPr>
              <w:t>1.6%以上的，得1分。</w:t>
            </w:r>
          </w:p>
          <w:p>
            <w:pPr>
              <w:spacing w:line="320" w:lineRule="exact"/>
              <w:jc w:val="left"/>
              <w:rPr>
                <w:rFonts w:ascii="宋体" w:hAnsi="宋体" w:cs="宋体"/>
                <w:iCs/>
                <w:color w:val="auto"/>
                <w:kern w:val="0"/>
                <w:szCs w:val="21"/>
              </w:rPr>
            </w:pPr>
            <w:r>
              <w:rPr>
                <w:rFonts w:hint="eastAsia" w:ascii="宋体" w:hAnsi="宋体"/>
                <w:color w:val="auto"/>
                <w:szCs w:val="21"/>
              </w:rPr>
              <w:t>本项最高得7分。</w:t>
            </w:r>
          </w:p>
          <w:p>
            <w:pPr>
              <w:spacing w:line="320" w:lineRule="exact"/>
              <w:jc w:val="left"/>
              <w:rPr>
                <w:rFonts w:ascii="宋体" w:hAnsi="宋体"/>
                <w:color w:val="auto"/>
                <w:szCs w:val="21"/>
              </w:rPr>
            </w:pPr>
            <w:r>
              <w:rPr>
                <w:rFonts w:hint="eastAsia" w:ascii="宋体" w:hAnsi="宋体" w:cs="宋体"/>
                <w:iCs/>
                <w:color w:val="auto"/>
                <w:kern w:val="0"/>
                <w:szCs w:val="21"/>
              </w:rPr>
              <w:t>须提供相关证明资料复印件加盖投标人公章，未提供不得分。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00" w:lineRule="exact"/>
              <w:jc w:val="center"/>
              <w:rPr>
                <w:rFonts w:ascii="宋体" w:hAnsi="宋体"/>
                <w:color w:val="auto"/>
                <w:szCs w:val="21"/>
              </w:rPr>
            </w:pPr>
          </w:p>
        </w:tc>
        <w:tc>
          <w:tcPr>
            <w:tcW w:w="1559" w:type="dxa"/>
            <w:noWrap/>
            <w:vAlign w:val="center"/>
          </w:tcPr>
          <w:p>
            <w:pPr>
              <w:spacing w:line="300" w:lineRule="exact"/>
              <w:jc w:val="center"/>
              <w:rPr>
                <w:rFonts w:ascii="宋体" w:hAnsi="宋体"/>
                <w:color w:val="auto"/>
                <w:szCs w:val="21"/>
              </w:rPr>
            </w:pPr>
            <w:r>
              <w:rPr>
                <w:rFonts w:hint="eastAsia" w:ascii="宋体" w:hAnsi="宋体"/>
                <w:color w:val="auto"/>
                <w:szCs w:val="21"/>
              </w:rPr>
              <w:t>3.拨备覆盖率</w:t>
            </w:r>
          </w:p>
          <w:p>
            <w:pPr>
              <w:spacing w:line="300" w:lineRule="exact"/>
              <w:jc w:val="center"/>
              <w:rPr>
                <w:rFonts w:ascii="宋体" w:hAnsi="宋体"/>
                <w:color w:val="auto"/>
                <w:szCs w:val="21"/>
              </w:rPr>
            </w:pPr>
            <w:r>
              <w:rPr>
                <w:rFonts w:hint="eastAsia" w:ascii="宋体" w:hAnsi="宋体"/>
                <w:color w:val="auto"/>
                <w:szCs w:val="21"/>
              </w:rPr>
              <w:t>（7分）</w:t>
            </w:r>
          </w:p>
        </w:tc>
        <w:tc>
          <w:tcPr>
            <w:tcW w:w="6804" w:type="dxa"/>
            <w:noWrap/>
            <w:vAlign w:val="center"/>
          </w:tcPr>
          <w:p>
            <w:pPr>
              <w:spacing w:line="320" w:lineRule="exact"/>
              <w:jc w:val="left"/>
              <w:rPr>
                <w:rFonts w:ascii="宋体" w:hAnsi="宋体"/>
                <w:color w:val="auto"/>
                <w:szCs w:val="21"/>
              </w:rPr>
            </w:pPr>
            <w:r>
              <w:rPr>
                <w:rFonts w:hint="eastAsia" w:ascii="宋体" w:hAnsi="宋体"/>
                <w:color w:val="auto"/>
                <w:szCs w:val="21"/>
              </w:rPr>
              <w:t>根据投标人总行的2023年末数据进行评审：</w:t>
            </w:r>
          </w:p>
          <w:p>
            <w:pPr>
              <w:spacing w:line="320" w:lineRule="exact"/>
              <w:jc w:val="left"/>
              <w:rPr>
                <w:rFonts w:ascii="宋体" w:hAnsi="宋体" w:cs="宋体"/>
                <w:iCs/>
                <w:color w:val="auto"/>
                <w:kern w:val="0"/>
                <w:szCs w:val="21"/>
              </w:rPr>
            </w:pPr>
            <w:r>
              <w:rPr>
                <w:rFonts w:hint="eastAsia" w:ascii="宋体" w:hAnsi="宋体" w:cs="宋体"/>
                <w:iCs/>
                <w:color w:val="auto"/>
                <w:kern w:val="0"/>
                <w:szCs w:val="21"/>
              </w:rPr>
              <w:t>150%及以上的，得7分；</w:t>
            </w:r>
          </w:p>
          <w:p>
            <w:pPr>
              <w:spacing w:line="320" w:lineRule="exact"/>
              <w:jc w:val="left"/>
              <w:rPr>
                <w:rFonts w:ascii="宋体" w:hAnsi="宋体" w:cs="宋体"/>
                <w:iCs/>
                <w:color w:val="auto"/>
                <w:kern w:val="0"/>
                <w:szCs w:val="21"/>
              </w:rPr>
            </w:pPr>
            <w:r>
              <w:rPr>
                <w:rFonts w:hint="eastAsia" w:ascii="宋体" w:hAnsi="宋体" w:cs="宋体"/>
                <w:iCs/>
                <w:color w:val="auto"/>
                <w:kern w:val="0"/>
                <w:szCs w:val="21"/>
              </w:rPr>
              <w:t>120%（含）-150%（不含）的，得5分；</w:t>
            </w:r>
          </w:p>
          <w:p>
            <w:pPr>
              <w:spacing w:line="320" w:lineRule="exact"/>
              <w:jc w:val="left"/>
              <w:rPr>
                <w:rFonts w:ascii="宋体" w:hAnsi="宋体" w:cs="宋体"/>
                <w:iCs/>
                <w:color w:val="auto"/>
                <w:kern w:val="0"/>
                <w:szCs w:val="21"/>
              </w:rPr>
            </w:pPr>
            <w:r>
              <w:rPr>
                <w:rFonts w:hint="eastAsia" w:ascii="宋体" w:hAnsi="宋体" w:cs="宋体"/>
                <w:iCs/>
                <w:color w:val="auto"/>
                <w:kern w:val="0"/>
                <w:szCs w:val="21"/>
              </w:rPr>
              <w:t>100%（含）-120%（不含）的，得3分；</w:t>
            </w:r>
          </w:p>
          <w:p>
            <w:pPr>
              <w:spacing w:line="320" w:lineRule="exact"/>
              <w:jc w:val="left"/>
              <w:rPr>
                <w:rFonts w:ascii="宋体" w:hAnsi="宋体" w:cs="宋体"/>
                <w:iCs/>
                <w:color w:val="auto"/>
                <w:kern w:val="0"/>
                <w:szCs w:val="21"/>
              </w:rPr>
            </w:pPr>
            <w:r>
              <w:rPr>
                <w:rFonts w:hint="eastAsia" w:ascii="宋体" w:hAnsi="宋体" w:cs="宋体"/>
                <w:iCs/>
                <w:color w:val="auto"/>
                <w:kern w:val="0"/>
                <w:szCs w:val="21"/>
              </w:rPr>
              <w:t>100% 以下的，得1分。</w:t>
            </w:r>
          </w:p>
          <w:p>
            <w:pPr>
              <w:spacing w:line="320" w:lineRule="exact"/>
              <w:jc w:val="left"/>
              <w:rPr>
                <w:rFonts w:ascii="宋体" w:hAnsi="宋体" w:cs="宋体"/>
                <w:iCs/>
                <w:color w:val="auto"/>
                <w:kern w:val="0"/>
                <w:szCs w:val="21"/>
              </w:rPr>
            </w:pPr>
            <w:r>
              <w:rPr>
                <w:rFonts w:hint="eastAsia" w:ascii="宋体" w:hAnsi="宋体"/>
                <w:color w:val="auto"/>
                <w:szCs w:val="21"/>
              </w:rPr>
              <w:t>本项最高得7分。</w:t>
            </w:r>
          </w:p>
          <w:p>
            <w:pPr>
              <w:spacing w:line="320" w:lineRule="exact"/>
              <w:jc w:val="left"/>
              <w:rPr>
                <w:rFonts w:ascii="宋体" w:hAnsi="宋体"/>
                <w:color w:val="auto"/>
                <w:szCs w:val="21"/>
              </w:rPr>
            </w:pPr>
            <w:r>
              <w:rPr>
                <w:rFonts w:hint="eastAsia" w:ascii="宋体" w:hAnsi="宋体" w:cs="宋体"/>
                <w:iCs/>
                <w:color w:val="auto"/>
                <w:kern w:val="0"/>
                <w:szCs w:val="21"/>
              </w:rPr>
              <w:t>投标文件须提供相关资料复印件加盖投标人公章，未提供不得分。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00" w:lineRule="exact"/>
              <w:jc w:val="center"/>
              <w:rPr>
                <w:rFonts w:ascii="宋体" w:hAnsi="宋体" w:cs="宋体"/>
                <w:color w:val="auto"/>
                <w:kern w:val="0"/>
                <w:szCs w:val="21"/>
              </w:rPr>
            </w:pPr>
          </w:p>
        </w:tc>
        <w:tc>
          <w:tcPr>
            <w:tcW w:w="1559" w:type="dxa"/>
            <w:noWrap/>
            <w:vAlign w:val="center"/>
          </w:tcPr>
          <w:p>
            <w:pPr>
              <w:spacing w:line="300" w:lineRule="exact"/>
              <w:jc w:val="center"/>
              <w:rPr>
                <w:rFonts w:ascii="宋体" w:hAnsi="宋体"/>
                <w:color w:val="auto"/>
                <w:szCs w:val="21"/>
              </w:rPr>
            </w:pPr>
            <w:r>
              <w:rPr>
                <w:rFonts w:hint="eastAsia" w:ascii="宋体" w:hAnsi="宋体"/>
                <w:color w:val="auto"/>
                <w:szCs w:val="21"/>
              </w:rPr>
              <w:t>4.流动性比率</w:t>
            </w:r>
          </w:p>
          <w:p>
            <w:pPr>
              <w:spacing w:line="300" w:lineRule="exact"/>
              <w:jc w:val="center"/>
              <w:rPr>
                <w:rFonts w:ascii="宋体" w:hAnsi="宋体"/>
                <w:color w:val="auto"/>
                <w:szCs w:val="21"/>
              </w:rPr>
            </w:pPr>
            <w:r>
              <w:rPr>
                <w:rFonts w:hint="eastAsia" w:ascii="宋体" w:hAnsi="宋体"/>
                <w:color w:val="auto"/>
                <w:szCs w:val="21"/>
              </w:rPr>
              <w:t>（7分）</w:t>
            </w:r>
          </w:p>
        </w:tc>
        <w:tc>
          <w:tcPr>
            <w:tcW w:w="6804" w:type="dxa"/>
            <w:noWrap/>
            <w:vAlign w:val="center"/>
          </w:tcPr>
          <w:p>
            <w:pPr>
              <w:spacing w:line="320" w:lineRule="exact"/>
              <w:jc w:val="left"/>
              <w:rPr>
                <w:rFonts w:ascii="宋体" w:hAnsi="宋体"/>
                <w:color w:val="auto"/>
                <w:szCs w:val="21"/>
              </w:rPr>
            </w:pPr>
            <w:r>
              <w:rPr>
                <w:rFonts w:hint="eastAsia" w:ascii="宋体" w:hAnsi="宋体"/>
                <w:color w:val="auto"/>
                <w:szCs w:val="21"/>
              </w:rPr>
              <w:t>根据投标人总行的2023年末数据进行评审：</w:t>
            </w:r>
          </w:p>
          <w:p>
            <w:pPr>
              <w:spacing w:line="320" w:lineRule="exact"/>
              <w:jc w:val="left"/>
              <w:rPr>
                <w:rFonts w:ascii="宋体" w:hAnsi="宋体"/>
                <w:color w:val="auto"/>
                <w:szCs w:val="21"/>
              </w:rPr>
            </w:pPr>
            <w:r>
              <w:rPr>
                <w:rFonts w:hint="eastAsia" w:ascii="宋体" w:hAnsi="宋体"/>
                <w:color w:val="auto"/>
                <w:szCs w:val="21"/>
              </w:rPr>
              <w:t>65%及以上的，得7分；</w:t>
            </w:r>
          </w:p>
          <w:p>
            <w:pPr>
              <w:spacing w:line="320" w:lineRule="exact"/>
              <w:jc w:val="left"/>
              <w:rPr>
                <w:rFonts w:ascii="宋体" w:hAnsi="宋体"/>
                <w:color w:val="auto"/>
                <w:szCs w:val="21"/>
              </w:rPr>
            </w:pPr>
            <w:r>
              <w:rPr>
                <w:rFonts w:hint="eastAsia" w:ascii="宋体" w:hAnsi="宋体"/>
                <w:color w:val="auto"/>
                <w:szCs w:val="21"/>
              </w:rPr>
              <w:t>55%（含）-65%（不含）的，得5分；</w:t>
            </w:r>
          </w:p>
          <w:p>
            <w:pPr>
              <w:spacing w:line="320" w:lineRule="exact"/>
              <w:jc w:val="left"/>
              <w:rPr>
                <w:rFonts w:ascii="宋体" w:hAnsi="宋体"/>
                <w:color w:val="auto"/>
                <w:szCs w:val="21"/>
              </w:rPr>
            </w:pPr>
            <w:r>
              <w:rPr>
                <w:rFonts w:hint="eastAsia" w:ascii="宋体" w:hAnsi="宋体"/>
                <w:color w:val="auto"/>
                <w:szCs w:val="21"/>
              </w:rPr>
              <w:t>45%（含）-55%（不含）的，得3分；</w:t>
            </w:r>
          </w:p>
          <w:p>
            <w:pPr>
              <w:spacing w:line="320" w:lineRule="exact"/>
              <w:jc w:val="left"/>
              <w:rPr>
                <w:rFonts w:ascii="宋体" w:hAnsi="宋体"/>
                <w:color w:val="auto"/>
                <w:szCs w:val="21"/>
              </w:rPr>
            </w:pPr>
            <w:r>
              <w:rPr>
                <w:rFonts w:hint="eastAsia" w:ascii="宋体" w:hAnsi="宋体"/>
                <w:color w:val="auto"/>
                <w:szCs w:val="21"/>
              </w:rPr>
              <w:t>45%以下的，得1分。</w:t>
            </w:r>
          </w:p>
          <w:p>
            <w:pPr>
              <w:spacing w:line="320" w:lineRule="exact"/>
              <w:jc w:val="left"/>
              <w:rPr>
                <w:rFonts w:ascii="宋体" w:hAnsi="宋体" w:cs="宋体"/>
                <w:iCs/>
                <w:color w:val="auto"/>
                <w:kern w:val="0"/>
                <w:szCs w:val="21"/>
              </w:rPr>
            </w:pPr>
            <w:r>
              <w:rPr>
                <w:rFonts w:hint="eastAsia" w:ascii="宋体" w:hAnsi="宋体"/>
                <w:color w:val="auto"/>
                <w:szCs w:val="21"/>
              </w:rPr>
              <w:t>本项最高得7分。</w:t>
            </w:r>
          </w:p>
          <w:p>
            <w:pPr>
              <w:spacing w:line="320" w:lineRule="exact"/>
              <w:jc w:val="left"/>
              <w:rPr>
                <w:rFonts w:ascii="宋体" w:hAnsi="宋体"/>
                <w:color w:val="auto"/>
                <w:szCs w:val="21"/>
              </w:rPr>
            </w:pPr>
            <w:r>
              <w:rPr>
                <w:rFonts w:hint="eastAsia" w:ascii="宋体" w:hAnsi="宋体"/>
                <w:color w:val="auto"/>
                <w:szCs w:val="21"/>
              </w:rPr>
              <w:t>须提供相关证明资料复印件加盖投标人公章，未提供不得分。</w:t>
            </w:r>
          </w:p>
          <w:p>
            <w:pPr>
              <w:spacing w:line="320" w:lineRule="exact"/>
              <w:jc w:val="left"/>
              <w:rPr>
                <w:rFonts w:ascii="宋体" w:hAnsi="宋体"/>
                <w:color w:val="auto"/>
                <w:szCs w:val="21"/>
              </w:rPr>
            </w:pPr>
            <w:r>
              <w:rPr>
                <w:rFonts w:hint="eastAsia" w:ascii="宋体" w:hAnsi="宋体"/>
                <w:color w:val="auto"/>
                <w:szCs w:val="21"/>
              </w:rPr>
              <w:t>证明资料中流动性比率分人民币和外币的,以人民币流动性比率数据为准。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00" w:lineRule="exact"/>
              <w:jc w:val="center"/>
              <w:rPr>
                <w:rFonts w:ascii="宋体" w:hAnsi="宋体" w:cs="宋体"/>
                <w:color w:val="auto"/>
                <w:kern w:val="0"/>
                <w:szCs w:val="21"/>
              </w:rPr>
            </w:pPr>
          </w:p>
        </w:tc>
        <w:tc>
          <w:tcPr>
            <w:tcW w:w="1559" w:type="dxa"/>
            <w:noWrap/>
            <w:vAlign w:val="center"/>
          </w:tcPr>
          <w:p>
            <w:pPr>
              <w:spacing w:line="300" w:lineRule="exact"/>
              <w:jc w:val="center"/>
              <w:rPr>
                <w:rFonts w:ascii="宋体" w:hAnsi="宋体"/>
                <w:color w:val="auto"/>
                <w:szCs w:val="21"/>
              </w:rPr>
            </w:pPr>
            <w:r>
              <w:rPr>
                <w:rFonts w:hint="eastAsia" w:ascii="宋体" w:hAnsi="宋体"/>
                <w:color w:val="auto"/>
                <w:szCs w:val="21"/>
              </w:rPr>
              <w:t>5.人行对金融机构考评情况（3分）</w:t>
            </w:r>
          </w:p>
        </w:tc>
        <w:tc>
          <w:tcPr>
            <w:tcW w:w="6804" w:type="dxa"/>
            <w:noWrap/>
            <w:vAlign w:val="center"/>
          </w:tcPr>
          <w:p>
            <w:pPr>
              <w:spacing w:line="320" w:lineRule="exact"/>
              <w:jc w:val="left"/>
              <w:rPr>
                <w:rFonts w:ascii="宋体" w:hAnsi="宋体" w:cs="宋体"/>
                <w:iCs/>
                <w:color w:val="auto"/>
                <w:kern w:val="0"/>
                <w:szCs w:val="21"/>
              </w:rPr>
            </w:pPr>
            <w:bookmarkStart w:id="58" w:name="OLE_LINK9"/>
            <w:r>
              <w:rPr>
                <w:rFonts w:hint="eastAsia" w:ascii="宋体" w:hAnsi="宋体" w:cs="宋体"/>
                <w:iCs/>
                <w:color w:val="auto"/>
                <w:kern w:val="0"/>
                <w:szCs w:val="21"/>
              </w:rPr>
              <w:t>根据中国人民银行北仑支行最近三年（2021年度,2022年度,2023年度）对辖区银行业金融机构年度综合评价情况通报的相关文件进行评审：</w:t>
            </w:r>
          </w:p>
          <w:p>
            <w:pPr>
              <w:spacing w:line="320" w:lineRule="exact"/>
              <w:jc w:val="left"/>
              <w:rPr>
                <w:rFonts w:ascii="宋体" w:hAnsi="宋体" w:cs="宋体"/>
                <w:iCs/>
                <w:color w:val="auto"/>
                <w:kern w:val="0"/>
                <w:szCs w:val="21"/>
              </w:rPr>
            </w:pPr>
            <w:r>
              <w:rPr>
                <w:rFonts w:hint="eastAsia" w:ascii="宋体" w:hAnsi="宋体" w:cs="宋体"/>
                <w:iCs/>
                <w:color w:val="auto"/>
                <w:kern w:val="0"/>
                <w:szCs w:val="21"/>
              </w:rPr>
              <w:t>1）得分评审内容：</w:t>
            </w:r>
          </w:p>
          <w:p>
            <w:pPr>
              <w:spacing w:line="320" w:lineRule="exact"/>
              <w:jc w:val="left"/>
              <w:rPr>
                <w:rFonts w:ascii="宋体" w:hAnsi="宋体" w:cs="宋体"/>
                <w:iCs/>
                <w:color w:val="auto"/>
                <w:kern w:val="0"/>
                <w:szCs w:val="21"/>
              </w:rPr>
            </w:pPr>
            <w:r>
              <w:rPr>
                <w:rFonts w:hint="eastAsia" w:ascii="宋体" w:hAnsi="宋体" w:cs="宋体"/>
                <w:iCs/>
                <w:color w:val="auto"/>
                <w:kern w:val="0"/>
                <w:szCs w:val="21"/>
              </w:rPr>
              <w:t>①至少有二个年度获得过A类行的，得3分；</w:t>
            </w:r>
          </w:p>
          <w:p>
            <w:pPr>
              <w:spacing w:line="320" w:lineRule="exact"/>
              <w:jc w:val="left"/>
              <w:rPr>
                <w:rFonts w:ascii="宋体" w:hAnsi="宋体" w:cs="宋体"/>
                <w:iCs/>
                <w:color w:val="auto"/>
                <w:kern w:val="0"/>
                <w:szCs w:val="21"/>
              </w:rPr>
            </w:pPr>
            <w:r>
              <w:rPr>
                <w:rFonts w:hint="eastAsia" w:ascii="宋体" w:hAnsi="宋体" w:cs="宋体"/>
                <w:iCs/>
                <w:color w:val="auto"/>
                <w:kern w:val="0"/>
                <w:szCs w:val="21"/>
              </w:rPr>
              <w:t>②有一个年度获得过A类行的，得2分；</w:t>
            </w:r>
          </w:p>
          <w:p>
            <w:pPr>
              <w:spacing w:line="320" w:lineRule="exact"/>
              <w:jc w:val="left"/>
              <w:rPr>
                <w:rFonts w:ascii="宋体" w:hAnsi="宋体" w:cs="宋体"/>
                <w:iCs/>
                <w:color w:val="auto"/>
                <w:kern w:val="0"/>
                <w:szCs w:val="21"/>
              </w:rPr>
            </w:pPr>
            <w:r>
              <w:rPr>
                <w:rFonts w:hint="eastAsia" w:ascii="宋体" w:hAnsi="宋体" w:cs="宋体"/>
                <w:iCs/>
                <w:color w:val="auto"/>
                <w:kern w:val="0"/>
                <w:szCs w:val="21"/>
              </w:rPr>
              <w:t>③其余情况得1分。</w:t>
            </w:r>
          </w:p>
          <w:p>
            <w:pPr>
              <w:spacing w:line="320" w:lineRule="exact"/>
              <w:jc w:val="left"/>
              <w:rPr>
                <w:rFonts w:ascii="宋体" w:hAnsi="宋体" w:cs="宋体"/>
                <w:iCs/>
                <w:color w:val="auto"/>
                <w:kern w:val="0"/>
                <w:szCs w:val="21"/>
              </w:rPr>
            </w:pPr>
            <w:r>
              <w:rPr>
                <w:rFonts w:hint="eastAsia" w:ascii="宋体" w:hAnsi="宋体" w:cs="宋体"/>
                <w:iCs/>
                <w:color w:val="auto"/>
                <w:kern w:val="0"/>
                <w:szCs w:val="21"/>
              </w:rPr>
              <w:t>未获得的，不得分。</w:t>
            </w:r>
          </w:p>
          <w:p>
            <w:pPr>
              <w:spacing w:line="320" w:lineRule="exact"/>
              <w:jc w:val="left"/>
              <w:rPr>
                <w:rFonts w:ascii="宋体" w:hAnsi="宋体" w:cs="宋体"/>
                <w:iCs/>
                <w:color w:val="auto"/>
                <w:kern w:val="0"/>
                <w:szCs w:val="21"/>
              </w:rPr>
            </w:pPr>
            <w:r>
              <w:rPr>
                <w:rFonts w:hint="eastAsia" w:ascii="宋体" w:hAnsi="宋体" w:cs="宋体"/>
                <w:iCs/>
                <w:color w:val="auto"/>
                <w:kern w:val="0"/>
                <w:szCs w:val="21"/>
              </w:rPr>
              <w:t>2）得分评审说明：根据投标人获得的年度综合评价情况进行评审统计，本项最高得3分。</w:t>
            </w:r>
          </w:p>
          <w:p>
            <w:pPr>
              <w:spacing w:line="320" w:lineRule="exact"/>
              <w:jc w:val="left"/>
              <w:rPr>
                <w:rFonts w:ascii="宋体" w:hAnsi="宋体"/>
                <w:color w:val="auto"/>
                <w:szCs w:val="21"/>
              </w:rPr>
            </w:pPr>
            <w:r>
              <w:rPr>
                <w:rFonts w:hint="eastAsia" w:ascii="宋体" w:hAnsi="宋体" w:cs="宋体"/>
                <w:iCs/>
                <w:color w:val="auto"/>
                <w:kern w:val="0"/>
                <w:szCs w:val="21"/>
              </w:rPr>
              <w:t>注：投标文件提供人民银行发文复印件加盖投标人公章。</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ign w:val="center"/>
          </w:tcPr>
          <w:p>
            <w:pPr>
              <w:spacing w:line="320" w:lineRule="exact"/>
              <w:jc w:val="center"/>
              <w:rPr>
                <w:rFonts w:ascii="宋体" w:hAnsi="宋体" w:cs="宋体"/>
                <w:iCs/>
                <w:color w:val="auto"/>
                <w:kern w:val="0"/>
                <w:szCs w:val="21"/>
              </w:rPr>
            </w:pPr>
            <w:r>
              <w:rPr>
                <w:rFonts w:hint="eastAsia" w:ascii="宋体" w:hAnsi="宋体" w:cs="宋体"/>
                <w:iCs/>
                <w:color w:val="auto"/>
                <w:kern w:val="0"/>
                <w:szCs w:val="21"/>
              </w:rPr>
              <w:t>二、利率水平</w:t>
            </w:r>
          </w:p>
          <w:p>
            <w:pPr>
              <w:spacing w:line="320" w:lineRule="exact"/>
              <w:jc w:val="left"/>
              <w:rPr>
                <w:rFonts w:ascii="宋体" w:hAnsi="宋体" w:cs="宋体"/>
                <w:iCs/>
                <w:color w:val="auto"/>
                <w:kern w:val="0"/>
                <w:szCs w:val="21"/>
              </w:rPr>
            </w:pPr>
            <w:r>
              <w:rPr>
                <w:rFonts w:hint="eastAsia" w:ascii="宋体" w:hAnsi="宋体" w:cs="宋体"/>
                <w:iCs/>
                <w:color w:val="auto"/>
                <w:kern w:val="0"/>
                <w:szCs w:val="21"/>
              </w:rPr>
              <w:t>（</w:t>
            </w:r>
            <w:r>
              <w:rPr>
                <w:rFonts w:ascii="宋体" w:hAnsi="宋体" w:cs="宋体"/>
                <w:iCs/>
                <w:color w:val="auto"/>
                <w:kern w:val="0"/>
                <w:szCs w:val="21"/>
              </w:rPr>
              <w:t>5</w:t>
            </w:r>
            <w:r>
              <w:rPr>
                <w:rFonts w:hint="eastAsia" w:ascii="宋体" w:hAnsi="宋体" w:cs="宋体"/>
                <w:iCs/>
                <w:color w:val="auto"/>
                <w:kern w:val="0"/>
                <w:szCs w:val="21"/>
              </w:rPr>
              <w:t>分）</w:t>
            </w:r>
          </w:p>
        </w:tc>
        <w:tc>
          <w:tcPr>
            <w:tcW w:w="1559" w:type="dxa"/>
            <w:vMerge w:val="restart"/>
            <w:noWrap/>
            <w:vAlign w:val="center"/>
          </w:tcPr>
          <w:p>
            <w:pPr>
              <w:spacing w:line="320" w:lineRule="exact"/>
              <w:ind w:firstLine="210" w:firstLineChars="100"/>
              <w:jc w:val="left"/>
              <w:rPr>
                <w:rFonts w:ascii="宋体" w:hAnsi="宋体" w:cs="宋体"/>
                <w:iCs/>
                <w:color w:val="auto"/>
                <w:kern w:val="0"/>
                <w:szCs w:val="21"/>
              </w:rPr>
            </w:pPr>
            <w:r>
              <w:rPr>
                <w:rFonts w:hint="eastAsia" w:ascii="宋体" w:hAnsi="宋体" w:cs="宋体"/>
                <w:iCs/>
                <w:color w:val="auto"/>
                <w:kern w:val="0"/>
                <w:szCs w:val="21"/>
              </w:rPr>
              <w:t>利率水平</w:t>
            </w:r>
          </w:p>
          <w:p>
            <w:pPr>
              <w:spacing w:line="320" w:lineRule="exact"/>
              <w:ind w:firstLine="210" w:firstLineChars="100"/>
              <w:jc w:val="left"/>
              <w:rPr>
                <w:rFonts w:ascii="宋体" w:hAnsi="宋体" w:cs="宋体"/>
                <w:iCs/>
                <w:color w:val="auto"/>
                <w:kern w:val="0"/>
                <w:szCs w:val="21"/>
              </w:rPr>
            </w:pPr>
            <w:r>
              <w:rPr>
                <w:rFonts w:hint="eastAsia" w:ascii="宋体" w:hAnsi="宋体" w:cs="宋体"/>
                <w:iCs/>
                <w:color w:val="auto"/>
                <w:kern w:val="0"/>
                <w:szCs w:val="21"/>
              </w:rPr>
              <w:t>（</w:t>
            </w:r>
            <w:r>
              <w:rPr>
                <w:rFonts w:ascii="宋体" w:hAnsi="宋体" w:cs="宋体"/>
                <w:iCs/>
                <w:color w:val="auto"/>
                <w:kern w:val="0"/>
                <w:szCs w:val="21"/>
              </w:rPr>
              <w:t>5</w:t>
            </w:r>
            <w:r>
              <w:rPr>
                <w:rFonts w:hint="eastAsia" w:ascii="宋体" w:hAnsi="宋体" w:cs="宋体"/>
                <w:iCs/>
                <w:color w:val="auto"/>
                <w:kern w:val="0"/>
                <w:szCs w:val="21"/>
              </w:rPr>
              <w:t>分）</w:t>
            </w:r>
          </w:p>
        </w:tc>
        <w:tc>
          <w:tcPr>
            <w:tcW w:w="6804" w:type="dxa"/>
            <w:noWrap/>
            <w:vAlign w:val="center"/>
          </w:tcPr>
          <w:p>
            <w:pPr>
              <w:spacing w:line="320" w:lineRule="exact"/>
              <w:jc w:val="left"/>
              <w:rPr>
                <w:rFonts w:ascii="宋体" w:hAnsi="宋体" w:cs="宋体"/>
                <w:color w:val="auto"/>
                <w:kern w:val="0"/>
                <w:szCs w:val="21"/>
                <w:lang w:bidi="ar"/>
              </w:rPr>
            </w:pPr>
            <w:bookmarkStart w:id="59" w:name="OLE_LINK24"/>
            <w:r>
              <w:rPr>
                <w:rFonts w:hint="eastAsia" w:ascii="宋体" w:hAnsi="宋体" w:cs="宋体"/>
                <w:color w:val="auto"/>
                <w:kern w:val="0"/>
                <w:szCs w:val="21"/>
                <w:lang w:bidi="ar"/>
              </w:rPr>
              <w:t>活期存款利率：承诺按最新自律管理机制上限结合人民银行最新规定上限提供的，得1分，</w:t>
            </w:r>
            <w:r>
              <w:rPr>
                <w:rFonts w:ascii="宋体" w:hAnsi="宋体" w:cs="宋体"/>
                <w:color w:val="auto"/>
                <w:kern w:val="0"/>
                <w:szCs w:val="21"/>
                <w:lang w:bidi="ar"/>
              </w:rPr>
              <w:t>未承诺或承诺不符合要求的，不得分。</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ign w:val="center"/>
          </w:tcPr>
          <w:p>
            <w:pPr>
              <w:spacing w:line="320" w:lineRule="exact"/>
              <w:jc w:val="left"/>
              <w:rPr>
                <w:rFonts w:ascii="宋体" w:hAnsi="宋体" w:cs="宋体"/>
                <w:iCs/>
                <w:color w:val="auto"/>
                <w:kern w:val="0"/>
                <w:szCs w:val="21"/>
              </w:rPr>
            </w:pPr>
          </w:p>
        </w:tc>
        <w:tc>
          <w:tcPr>
            <w:tcW w:w="1559" w:type="dxa"/>
            <w:vMerge w:val="continue"/>
            <w:noWrap/>
            <w:vAlign w:val="center"/>
          </w:tcPr>
          <w:p>
            <w:pPr>
              <w:spacing w:line="320" w:lineRule="exact"/>
              <w:jc w:val="left"/>
              <w:rPr>
                <w:rFonts w:ascii="宋体" w:hAnsi="宋体" w:cs="宋体"/>
                <w:iCs/>
                <w:color w:val="auto"/>
                <w:kern w:val="0"/>
                <w:szCs w:val="21"/>
              </w:rPr>
            </w:pPr>
          </w:p>
        </w:tc>
        <w:tc>
          <w:tcPr>
            <w:tcW w:w="6804" w:type="dxa"/>
            <w:noWrap/>
            <w:vAlign w:val="center"/>
          </w:tcPr>
          <w:p>
            <w:pPr>
              <w:spacing w:line="320" w:lineRule="exact"/>
              <w:jc w:val="left"/>
              <w:rPr>
                <w:rFonts w:ascii="宋体" w:hAnsi="宋体" w:cs="宋体"/>
                <w:color w:val="auto"/>
                <w:kern w:val="0"/>
                <w:szCs w:val="21"/>
                <w:lang w:bidi="ar"/>
              </w:rPr>
            </w:pPr>
            <w:bookmarkStart w:id="60" w:name="OLE_LINK25"/>
            <w:r>
              <w:rPr>
                <w:rFonts w:hint="eastAsia" w:ascii="宋体" w:hAnsi="宋体" w:cs="宋体"/>
                <w:color w:val="auto"/>
                <w:kern w:val="0"/>
                <w:szCs w:val="21"/>
                <w:lang w:bidi="ar"/>
              </w:rPr>
              <w:t>协定存款利率：承诺按最新自律管理机制上限结合人民银行最新规定上限提供的，得1分，未承诺或承诺不符合要求的，不得分。</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20" w:lineRule="exact"/>
              <w:jc w:val="left"/>
              <w:rPr>
                <w:rFonts w:ascii="宋体" w:hAnsi="宋体" w:cs="宋体"/>
                <w:iCs/>
                <w:color w:val="auto"/>
                <w:kern w:val="0"/>
                <w:szCs w:val="21"/>
              </w:rPr>
            </w:pPr>
          </w:p>
        </w:tc>
        <w:tc>
          <w:tcPr>
            <w:tcW w:w="1559" w:type="dxa"/>
            <w:vMerge w:val="continue"/>
            <w:noWrap/>
            <w:vAlign w:val="center"/>
          </w:tcPr>
          <w:p>
            <w:pPr>
              <w:spacing w:line="320" w:lineRule="exact"/>
              <w:jc w:val="left"/>
              <w:rPr>
                <w:rFonts w:ascii="宋体" w:hAnsi="宋体" w:cs="宋体"/>
                <w:iCs/>
                <w:color w:val="auto"/>
                <w:kern w:val="0"/>
                <w:szCs w:val="21"/>
              </w:rPr>
            </w:pPr>
          </w:p>
        </w:tc>
        <w:tc>
          <w:tcPr>
            <w:tcW w:w="6804" w:type="dxa"/>
            <w:noWrap/>
            <w:vAlign w:val="center"/>
          </w:tcPr>
          <w:p>
            <w:pPr>
              <w:spacing w:line="320" w:lineRule="exact"/>
              <w:jc w:val="left"/>
              <w:rPr>
                <w:rFonts w:ascii="宋体" w:hAnsi="宋体" w:cs="宋体"/>
                <w:color w:val="auto"/>
                <w:kern w:val="0"/>
                <w:szCs w:val="21"/>
                <w:lang w:bidi="ar"/>
              </w:rPr>
            </w:pPr>
            <w:bookmarkStart w:id="61" w:name="OLE_LINK26"/>
            <w:r>
              <w:rPr>
                <w:rFonts w:hint="eastAsia" w:ascii="宋体" w:hAnsi="宋体" w:cs="宋体"/>
                <w:color w:val="auto"/>
                <w:kern w:val="0"/>
                <w:szCs w:val="21"/>
                <w:lang w:bidi="ar"/>
              </w:rPr>
              <w:t>七天通知存款利率：承诺按最新自律管理机制上限结合人民银行最新规定上限提供的，得1分，未承诺或承诺不符合要求的，不得分。</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20" w:lineRule="exact"/>
              <w:jc w:val="left"/>
              <w:rPr>
                <w:rFonts w:ascii="宋体" w:hAnsi="宋体" w:cs="宋体"/>
                <w:iCs/>
                <w:color w:val="auto"/>
                <w:kern w:val="0"/>
                <w:szCs w:val="21"/>
              </w:rPr>
            </w:pPr>
          </w:p>
        </w:tc>
        <w:tc>
          <w:tcPr>
            <w:tcW w:w="1559" w:type="dxa"/>
            <w:vMerge w:val="continue"/>
            <w:noWrap/>
            <w:vAlign w:val="center"/>
          </w:tcPr>
          <w:p>
            <w:pPr>
              <w:spacing w:line="320" w:lineRule="exact"/>
              <w:jc w:val="left"/>
              <w:rPr>
                <w:rFonts w:ascii="宋体" w:hAnsi="宋体" w:cs="宋体"/>
                <w:iCs/>
                <w:color w:val="auto"/>
                <w:kern w:val="0"/>
                <w:szCs w:val="21"/>
              </w:rPr>
            </w:pPr>
          </w:p>
        </w:tc>
        <w:tc>
          <w:tcPr>
            <w:tcW w:w="6804" w:type="dxa"/>
            <w:noWrap/>
            <w:vAlign w:val="center"/>
          </w:tcPr>
          <w:p>
            <w:pPr>
              <w:spacing w:line="320" w:lineRule="exact"/>
              <w:jc w:val="left"/>
              <w:rPr>
                <w:rFonts w:ascii="宋体" w:hAnsi="宋体" w:cs="宋体"/>
                <w:color w:val="auto"/>
                <w:kern w:val="0"/>
                <w:szCs w:val="21"/>
                <w:lang w:bidi="ar"/>
              </w:rPr>
            </w:pPr>
            <w:bookmarkStart w:id="62" w:name="OLE_LINK27"/>
            <w:r>
              <w:rPr>
                <w:rFonts w:hint="eastAsia" w:ascii="宋体" w:hAnsi="宋体" w:cs="宋体"/>
                <w:color w:val="auto"/>
                <w:kern w:val="0"/>
                <w:szCs w:val="21"/>
                <w:lang w:bidi="ar"/>
              </w:rPr>
              <w:t>半年以内(含半年)定期存款利率：承诺按最新自律管理机制上限结合人民银行最新规定上限提供的，得1分，未承诺或承诺不符合要求的，不得分。</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080" w:type="dxa"/>
            <w:vMerge w:val="continue"/>
            <w:noWrap/>
            <w:vAlign w:val="center"/>
          </w:tcPr>
          <w:p>
            <w:pPr>
              <w:spacing w:line="320" w:lineRule="exact"/>
              <w:jc w:val="left"/>
              <w:rPr>
                <w:rFonts w:ascii="宋体" w:hAnsi="宋体" w:cs="宋体"/>
                <w:iCs/>
                <w:color w:val="auto"/>
                <w:kern w:val="0"/>
                <w:szCs w:val="21"/>
              </w:rPr>
            </w:pPr>
          </w:p>
        </w:tc>
        <w:tc>
          <w:tcPr>
            <w:tcW w:w="1559" w:type="dxa"/>
            <w:vMerge w:val="continue"/>
            <w:noWrap/>
            <w:vAlign w:val="center"/>
          </w:tcPr>
          <w:p>
            <w:pPr>
              <w:spacing w:line="320" w:lineRule="exact"/>
              <w:jc w:val="left"/>
              <w:rPr>
                <w:rFonts w:ascii="宋体" w:hAnsi="宋体" w:cs="宋体"/>
                <w:iCs/>
                <w:color w:val="auto"/>
                <w:kern w:val="0"/>
                <w:szCs w:val="21"/>
              </w:rPr>
            </w:pPr>
          </w:p>
        </w:tc>
        <w:tc>
          <w:tcPr>
            <w:tcW w:w="6804" w:type="dxa"/>
            <w:noWrap/>
            <w:vAlign w:val="center"/>
          </w:tcPr>
          <w:p>
            <w:pPr>
              <w:spacing w:line="320" w:lineRule="exact"/>
              <w:jc w:val="left"/>
              <w:rPr>
                <w:rFonts w:ascii="宋体" w:hAnsi="宋体" w:cs="宋体"/>
                <w:color w:val="auto"/>
                <w:kern w:val="0"/>
                <w:szCs w:val="21"/>
                <w:lang w:bidi="ar"/>
              </w:rPr>
            </w:pPr>
            <w:bookmarkStart w:id="63" w:name="OLE_LINK17"/>
            <w:bookmarkStart w:id="64" w:name="OLE_LINK6"/>
            <w:r>
              <w:rPr>
                <w:rFonts w:hint="eastAsia" w:ascii="宋体" w:hAnsi="宋体" w:cs="宋体"/>
                <w:color w:val="auto"/>
                <w:kern w:val="0"/>
                <w:szCs w:val="21"/>
                <w:lang w:bidi="ar"/>
              </w:rPr>
              <w:t>一年定期存款利率</w:t>
            </w:r>
            <w:bookmarkEnd w:id="63"/>
            <w:r>
              <w:rPr>
                <w:rFonts w:hint="eastAsia" w:ascii="宋体" w:hAnsi="宋体" w:cs="宋体"/>
                <w:color w:val="auto"/>
                <w:kern w:val="0"/>
                <w:szCs w:val="21"/>
                <w:lang w:bidi="ar"/>
              </w:rPr>
              <w:t>：承诺按最新自律管理机制上限结合人民银行最新规定上限提供的，得1分，未承诺或承诺不符合要求的，不得分。</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ign w:val="center"/>
          </w:tcPr>
          <w:p>
            <w:pPr>
              <w:spacing w:line="300" w:lineRule="exact"/>
              <w:jc w:val="center"/>
              <w:rPr>
                <w:rFonts w:ascii="宋体" w:hAnsi="宋体"/>
                <w:color w:val="auto"/>
                <w:szCs w:val="21"/>
              </w:rPr>
            </w:pPr>
            <w:r>
              <w:rPr>
                <w:rFonts w:hint="eastAsia" w:ascii="宋体" w:hAnsi="宋体"/>
                <w:color w:val="auto"/>
                <w:szCs w:val="21"/>
              </w:rPr>
              <w:t>三、经济贡献度</w:t>
            </w:r>
          </w:p>
          <w:p>
            <w:pPr>
              <w:spacing w:line="300" w:lineRule="exact"/>
              <w:jc w:val="center"/>
              <w:rPr>
                <w:rFonts w:ascii="宋体" w:hAnsi="宋体" w:cs="宋体"/>
                <w:b/>
                <w:color w:val="auto"/>
                <w:kern w:val="0"/>
                <w:szCs w:val="21"/>
              </w:rPr>
            </w:pPr>
            <w:r>
              <w:rPr>
                <w:rFonts w:hint="eastAsia" w:ascii="宋体" w:hAnsi="宋体"/>
                <w:color w:val="auto"/>
                <w:szCs w:val="21"/>
              </w:rPr>
              <w:t>（58分）</w:t>
            </w:r>
          </w:p>
        </w:tc>
        <w:tc>
          <w:tcPr>
            <w:tcW w:w="1559" w:type="dxa"/>
            <w:noWrap/>
            <w:vAlign w:val="center"/>
          </w:tcPr>
          <w:p>
            <w:pPr>
              <w:spacing w:line="300" w:lineRule="exact"/>
              <w:jc w:val="center"/>
              <w:rPr>
                <w:rFonts w:ascii="宋体" w:hAnsi="宋体"/>
                <w:color w:val="auto"/>
                <w:szCs w:val="21"/>
              </w:rPr>
            </w:pPr>
            <w:r>
              <w:rPr>
                <w:rFonts w:ascii="宋体" w:hAnsi="宋体"/>
                <w:color w:val="auto"/>
                <w:szCs w:val="21"/>
              </w:rPr>
              <w:t>1.</w:t>
            </w:r>
            <w:r>
              <w:rPr>
                <w:rFonts w:hint="eastAsia" w:ascii="宋体" w:hAnsi="宋体"/>
                <w:color w:val="auto"/>
                <w:szCs w:val="21"/>
              </w:rPr>
              <w:t>纳税总额</w:t>
            </w:r>
          </w:p>
          <w:p>
            <w:pPr>
              <w:spacing w:line="260" w:lineRule="exact"/>
              <w:jc w:val="center"/>
              <w:rPr>
                <w:rFonts w:ascii="宋体" w:hAnsi="宋体"/>
                <w:color w:val="auto"/>
                <w:szCs w:val="21"/>
              </w:rPr>
            </w:pPr>
            <w:r>
              <w:rPr>
                <w:rFonts w:hint="eastAsia" w:ascii="宋体" w:hAnsi="宋体"/>
                <w:color w:val="auto"/>
                <w:szCs w:val="21"/>
              </w:rPr>
              <w:t>（6分）</w:t>
            </w:r>
          </w:p>
        </w:tc>
        <w:tc>
          <w:tcPr>
            <w:tcW w:w="6804" w:type="dxa"/>
            <w:noWrap/>
            <w:vAlign w:val="center"/>
          </w:tcPr>
          <w:p>
            <w:pPr>
              <w:widowControl/>
              <w:spacing w:line="320" w:lineRule="exact"/>
              <w:jc w:val="left"/>
              <w:rPr>
                <w:rFonts w:ascii="宋体" w:hAnsi="宋体"/>
                <w:color w:val="auto"/>
                <w:kern w:val="0"/>
                <w:szCs w:val="21"/>
              </w:rPr>
            </w:pPr>
            <w:r>
              <w:rPr>
                <w:rFonts w:hint="eastAsia" w:ascii="宋体" w:hAnsi="宋体"/>
                <w:color w:val="auto"/>
                <w:kern w:val="0"/>
                <w:szCs w:val="21"/>
              </w:rPr>
              <w:t>根据投标文件中提供的由国家税务总局宁波市北仑区税务局出具盖章的纳（完）税证明中载明的入库时间是</w:t>
            </w:r>
            <w:r>
              <w:rPr>
                <w:rFonts w:ascii="宋体" w:hAnsi="宋体"/>
                <w:color w:val="auto"/>
                <w:kern w:val="0"/>
                <w:szCs w:val="21"/>
              </w:rPr>
              <w:t>202</w:t>
            </w:r>
            <w:r>
              <w:rPr>
                <w:rFonts w:hint="eastAsia" w:ascii="宋体" w:hAnsi="宋体"/>
                <w:color w:val="auto"/>
                <w:kern w:val="0"/>
                <w:szCs w:val="21"/>
              </w:rPr>
              <w:t>3年度的各种税款总额</w:t>
            </w:r>
            <w:r>
              <w:rPr>
                <w:rFonts w:hint="eastAsia" w:ascii="宋体" w:hAnsi="宋体"/>
                <w:b/>
                <w:bCs/>
                <w:color w:val="auto"/>
                <w:kern w:val="0"/>
                <w:szCs w:val="21"/>
              </w:rPr>
              <w:t>【仅指各种税、教育费附加和地方教育附加】</w:t>
            </w:r>
            <w:r>
              <w:rPr>
                <w:rFonts w:hint="eastAsia" w:ascii="宋体" w:hAnsi="宋体"/>
                <w:color w:val="auto"/>
                <w:kern w:val="0"/>
                <w:szCs w:val="21"/>
              </w:rPr>
              <w:t>进行评审：</w:t>
            </w:r>
          </w:p>
          <w:p>
            <w:pPr>
              <w:spacing w:line="360" w:lineRule="exact"/>
              <w:jc w:val="left"/>
              <w:rPr>
                <w:rFonts w:ascii="宋体" w:hAnsi="宋体"/>
                <w:color w:val="auto"/>
                <w:szCs w:val="21"/>
              </w:rPr>
            </w:pPr>
            <w:r>
              <w:rPr>
                <w:rFonts w:hint="eastAsia" w:ascii="宋体" w:hAnsi="宋体"/>
                <w:color w:val="auto"/>
                <w:szCs w:val="21"/>
              </w:rPr>
              <w:t>纳税在5000万元及以上的，得6分；</w:t>
            </w:r>
          </w:p>
          <w:p>
            <w:pPr>
              <w:spacing w:line="360" w:lineRule="exact"/>
              <w:jc w:val="left"/>
              <w:rPr>
                <w:rFonts w:ascii="宋体" w:hAnsi="宋体"/>
                <w:color w:val="auto"/>
                <w:szCs w:val="21"/>
              </w:rPr>
            </w:pPr>
            <w:r>
              <w:rPr>
                <w:rFonts w:hint="eastAsia" w:ascii="宋体" w:hAnsi="宋体"/>
                <w:color w:val="auto"/>
                <w:szCs w:val="21"/>
              </w:rPr>
              <w:t>纳税在3500万元（含）至5000万元（不含）的，得5分；</w:t>
            </w:r>
          </w:p>
          <w:p>
            <w:pPr>
              <w:spacing w:line="360" w:lineRule="exact"/>
              <w:jc w:val="left"/>
              <w:rPr>
                <w:rFonts w:ascii="宋体" w:hAnsi="宋体"/>
                <w:color w:val="auto"/>
                <w:szCs w:val="21"/>
              </w:rPr>
            </w:pPr>
            <w:r>
              <w:rPr>
                <w:rFonts w:hint="eastAsia" w:ascii="宋体" w:hAnsi="宋体"/>
                <w:color w:val="auto"/>
                <w:szCs w:val="21"/>
              </w:rPr>
              <w:t>纳税在2000万元（含）至3500万元（不含）的，得3分；</w:t>
            </w:r>
          </w:p>
          <w:p>
            <w:pPr>
              <w:widowControl/>
              <w:spacing w:line="320" w:lineRule="exact"/>
              <w:jc w:val="left"/>
              <w:rPr>
                <w:rFonts w:ascii="宋体" w:hAnsi="宋体"/>
                <w:color w:val="auto"/>
                <w:kern w:val="0"/>
                <w:szCs w:val="21"/>
              </w:rPr>
            </w:pPr>
            <w:r>
              <w:rPr>
                <w:rFonts w:hint="eastAsia" w:ascii="宋体" w:hAnsi="宋体"/>
                <w:color w:val="auto"/>
                <w:szCs w:val="21"/>
              </w:rPr>
              <w:t>纳税在2000万元以下的，得1分</w:t>
            </w:r>
          </w:p>
          <w:p>
            <w:pPr>
              <w:spacing w:line="360" w:lineRule="exact"/>
              <w:jc w:val="left"/>
              <w:rPr>
                <w:rFonts w:ascii="宋体" w:hAnsi="宋体"/>
                <w:color w:val="auto"/>
                <w:szCs w:val="21"/>
              </w:rPr>
            </w:pPr>
            <w:r>
              <w:rPr>
                <w:rFonts w:hint="eastAsia" w:ascii="宋体" w:hAnsi="宋体"/>
                <w:color w:val="auto"/>
                <w:szCs w:val="21"/>
              </w:rPr>
              <w:t>本项最高得6分。</w:t>
            </w:r>
          </w:p>
          <w:p>
            <w:pPr>
              <w:spacing w:line="360" w:lineRule="exact"/>
              <w:jc w:val="left"/>
              <w:rPr>
                <w:rFonts w:ascii="宋体" w:hAnsi="宋体"/>
                <w:color w:val="auto"/>
                <w:szCs w:val="21"/>
              </w:rPr>
            </w:pPr>
            <w:r>
              <w:rPr>
                <w:rFonts w:hint="eastAsia" w:ascii="宋体" w:hAnsi="宋体"/>
                <w:color w:val="auto"/>
                <w:szCs w:val="21"/>
              </w:rPr>
              <w:t>无纳税数据资料的，不得分。</w:t>
            </w:r>
          </w:p>
          <w:p>
            <w:pPr>
              <w:spacing w:line="360" w:lineRule="exact"/>
              <w:jc w:val="left"/>
              <w:rPr>
                <w:rFonts w:ascii="宋体" w:hAnsi="宋体"/>
                <w:color w:val="auto"/>
                <w:szCs w:val="21"/>
              </w:rPr>
            </w:pPr>
            <w:r>
              <w:rPr>
                <w:rFonts w:hint="eastAsia" w:ascii="宋体" w:hAnsi="宋体"/>
                <w:color w:val="auto"/>
                <w:kern w:val="0"/>
                <w:szCs w:val="21"/>
              </w:rPr>
              <w:t>《纳税证明》和《税收完税证明》上的纳税人名称须与投标人名称一致，否则不予认可。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00" w:lineRule="exact"/>
              <w:jc w:val="center"/>
              <w:rPr>
                <w:rFonts w:ascii="宋体" w:hAnsi="宋体" w:cs="宋体"/>
                <w:b/>
                <w:color w:val="auto"/>
                <w:kern w:val="0"/>
                <w:szCs w:val="21"/>
              </w:rPr>
            </w:pPr>
          </w:p>
        </w:tc>
        <w:tc>
          <w:tcPr>
            <w:tcW w:w="1559" w:type="dxa"/>
            <w:noWrap/>
            <w:vAlign w:val="center"/>
          </w:tcPr>
          <w:p>
            <w:pPr>
              <w:spacing w:line="300" w:lineRule="exact"/>
              <w:jc w:val="center"/>
              <w:rPr>
                <w:rFonts w:ascii="宋体" w:hAnsi="宋体"/>
                <w:color w:val="auto"/>
                <w:szCs w:val="21"/>
              </w:rPr>
            </w:pPr>
            <w:r>
              <w:rPr>
                <w:rFonts w:ascii="宋体" w:hAnsi="宋体"/>
                <w:color w:val="auto"/>
                <w:szCs w:val="21"/>
              </w:rPr>
              <w:t>2.</w:t>
            </w:r>
            <w:bookmarkStart w:id="65" w:name="OLE_LINK18"/>
            <w:r>
              <w:rPr>
                <w:rFonts w:hint="eastAsia" w:ascii="宋体" w:hAnsi="宋体"/>
                <w:color w:val="auto"/>
                <w:szCs w:val="21"/>
              </w:rPr>
              <w:t>纳税增幅</w:t>
            </w:r>
            <w:bookmarkEnd w:id="65"/>
          </w:p>
          <w:p>
            <w:pPr>
              <w:spacing w:line="260" w:lineRule="exact"/>
              <w:jc w:val="center"/>
              <w:rPr>
                <w:rFonts w:ascii="宋体" w:hAnsi="宋体"/>
                <w:color w:val="auto"/>
                <w:szCs w:val="21"/>
              </w:rPr>
            </w:pPr>
            <w:r>
              <w:rPr>
                <w:rFonts w:hint="eastAsia" w:ascii="宋体" w:hAnsi="宋体"/>
                <w:color w:val="auto"/>
                <w:szCs w:val="21"/>
              </w:rPr>
              <w:t>（2分）</w:t>
            </w:r>
          </w:p>
        </w:tc>
        <w:tc>
          <w:tcPr>
            <w:tcW w:w="6804" w:type="dxa"/>
            <w:noWrap/>
            <w:vAlign w:val="center"/>
          </w:tcPr>
          <w:p>
            <w:pPr>
              <w:spacing w:line="360" w:lineRule="exact"/>
              <w:jc w:val="left"/>
              <w:rPr>
                <w:rFonts w:ascii="宋体" w:hAnsi="宋体"/>
                <w:color w:val="auto"/>
                <w:szCs w:val="21"/>
              </w:rPr>
            </w:pPr>
            <w:r>
              <w:rPr>
                <w:rFonts w:hint="eastAsia" w:ascii="宋体" w:hAnsi="宋体" w:cs="宋体"/>
                <w:iCs/>
                <w:color w:val="auto"/>
                <w:kern w:val="0"/>
                <w:szCs w:val="21"/>
              </w:rPr>
              <w:t>根据投标人</w:t>
            </w:r>
            <w:r>
              <w:rPr>
                <w:rFonts w:ascii="宋体" w:hAnsi="宋体" w:cs="宋体"/>
                <w:iCs/>
                <w:color w:val="auto"/>
                <w:kern w:val="0"/>
                <w:szCs w:val="21"/>
              </w:rPr>
              <w:t>202</w:t>
            </w:r>
            <w:r>
              <w:rPr>
                <w:rFonts w:hint="eastAsia" w:ascii="宋体" w:hAnsi="宋体" w:cs="宋体"/>
                <w:iCs/>
                <w:color w:val="auto"/>
                <w:kern w:val="0"/>
                <w:szCs w:val="21"/>
              </w:rPr>
              <w:t>2年度</w:t>
            </w:r>
            <w:r>
              <w:rPr>
                <w:rFonts w:hint="eastAsia" w:ascii="宋体" w:hAnsi="宋体"/>
                <w:color w:val="auto"/>
                <w:szCs w:val="21"/>
              </w:rPr>
              <w:t>与</w:t>
            </w:r>
            <w:r>
              <w:rPr>
                <w:rFonts w:ascii="宋体" w:hAnsi="宋体"/>
                <w:color w:val="auto"/>
                <w:szCs w:val="21"/>
              </w:rPr>
              <w:t>202</w:t>
            </w:r>
            <w:r>
              <w:rPr>
                <w:rFonts w:hint="eastAsia" w:ascii="宋体" w:hAnsi="宋体"/>
                <w:color w:val="auto"/>
                <w:szCs w:val="21"/>
              </w:rPr>
              <w:t>3年度的纳税总额情况进行评审：</w:t>
            </w:r>
          </w:p>
          <w:p>
            <w:pPr>
              <w:spacing w:line="360" w:lineRule="exact"/>
              <w:jc w:val="left"/>
              <w:rPr>
                <w:rFonts w:ascii="宋体" w:hAnsi="宋体"/>
                <w:color w:val="auto"/>
                <w:szCs w:val="21"/>
              </w:rPr>
            </w:pPr>
            <w:r>
              <w:rPr>
                <w:rFonts w:hint="eastAsia" w:ascii="宋体" w:hAnsi="宋体"/>
                <w:color w:val="auto"/>
                <w:szCs w:val="21"/>
              </w:rPr>
              <w:t>纳税增幅为正增长的，得2分；其余的，得</w:t>
            </w:r>
            <w:r>
              <w:rPr>
                <w:rFonts w:ascii="宋体" w:hAnsi="宋体"/>
                <w:color w:val="auto"/>
                <w:szCs w:val="21"/>
              </w:rPr>
              <w:t>0</w:t>
            </w:r>
            <w:r>
              <w:rPr>
                <w:rFonts w:hint="eastAsia" w:ascii="宋体" w:hAnsi="宋体"/>
                <w:color w:val="auto"/>
                <w:szCs w:val="21"/>
              </w:rPr>
              <w:t>分；无相应纳税增幅数据的，不得分。</w:t>
            </w:r>
          </w:p>
          <w:p>
            <w:pPr>
              <w:spacing w:line="360" w:lineRule="exact"/>
              <w:jc w:val="left"/>
              <w:rPr>
                <w:rFonts w:ascii="宋体" w:hAnsi="宋体" w:cs="宋体"/>
                <w:iCs/>
                <w:color w:val="auto"/>
                <w:kern w:val="0"/>
                <w:szCs w:val="21"/>
              </w:rPr>
            </w:pPr>
            <w:r>
              <w:rPr>
                <w:rFonts w:hint="eastAsia" w:ascii="宋体" w:hAnsi="宋体"/>
                <w:color w:val="auto"/>
                <w:szCs w:val="21"/>
              </w:rPr>
              <w:t>以国家税务总局宁波市北仑区（宁波经济技术开发区）税务局出具盖章的</w:t>
            </w:r>
            <w:r>
              <w:rPr>
                <w:rFonts w:hint="eastAsia" w:ascii="宋体" w:hAnsi="宋体"/>
                <w:b/>
                <w:bCs/>
                <w:color w:val="auto"/>
                <w:kern w:val="0"/>
                <w:szCs w:val="21"/>
              </w:rPr>
              <w:t>入库时间</w:t>
            </w:r>
            <w:r>
              <w:rPr>
                <w:rFonts w:hint="eastAsia" w:ascii="宋体" w:hAnsi="宋体"/>
                <w:color w:val="auto"/>
                <w:szCs w:val="21"/>
              </w:rPr>
              <w:t>为</w:t>
            </w:r>
            <w:r>
              <w:rPr>
                <w:rFonts w:ascii="宋体" w:hAnsi="宋体"/>
                <w:b/>
                <w:bCs/>
                <w:color w:val="auto"/>
                <w:szCs w:val="21"/>
              </w:rPr>
              <w:t>202</w:t>
            </w:r>
            <w:r>
              <w:rPr>
                <w:rFonts w:hint="eastAsia" w:ascii="宋体" w:hAnsi="宋体"/>
                <w:b/>
                <w:bCs/>
                <w:color w:val="auto"/>
                <w:szCs w:val="21"/>
              </w:rPr>
              <w:t>2年度、</w:t>
            </w:r>
            <w:r>
              <w:rPr>
                <w:rFonts w:ascii="宋体" w:hAnsi="宋体"/>
                <w:b/>
                <w:bCs/>
                <w:color w:val="auto"/>
                <w:szCs w:val="21"/>
              </w:rPr>
              <w:t>202</w:t>
            </w:r>
            <w:r>
              <w:rPr>
                <w:rFonts w:hint="eastAsia" w:ascii="宋体" w:hAnsi="宋体"/>
                <w:b/>
                <w:bCs/>
                <w:color w:val="auto"/>
                <w:szCs w:val="21"/>
              </w:rPr>
              <w:t>3年度</w:t>
            </w:r>
            <w:r>
              <w:rPr>
                <w:rFonts w:hint="eastAsia" w:ascii="宋体" w:hAnsi="宋体"/>
                <w:color w:val="auto"/>
                <w:szCs w:val="21"/>
              </w:rPr>
              <w:t>纳（完）税证明为准。《纳税证明》和《税收完税证明》上的纳税人名称须与投标人名称一致，否则不予认可。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00" w:lineRule="exact"/>
              <w:jc w:val="center"/>
              <w:rPr>
                <w:rFonts w:ascii="宋体" w:hAnsi="宋体" w:cs="宋体"/>
                <w:b/>
                <w:color w:val="auto"/>
                <w:kern w:val="0"/>
                <w:szCs w:val="21"/>
              </w:rPr>
            </w:pPr>
          </w:p>
        </w:tc>
        <w:tc>
          <w:tcPr>
            <w:tcW w:w="1559" w:type="dxa"/>
            <w:noWrap/>
            <w:vAlign w:val="center"/>
          </w:tcPr>
          <w:p>
            <w:pPr>
              <w:tabs>
                <w:tab w:val="left" w:pos="312"/>
              </w:tabs>
              <w:spacing w:line="260" w:lineRule="exact"/>
              <w:jc w:val="center"/>
              <w:rPr>
                <w:rFonts w:ascii="宋体" w:hAnsi="宋体"/>
                <w:color w:val="auto"/>
                <w:szCs w:val="21"/>
              </w:rPr>
            </w:pPr>
            <w:r>
              <w:rPr>
                <w:rFonts w:hint="eastAsia" w:ascii="宋体" w:hAnsi="宋体"/>
                <w:color w:val="auto"/>
                <w:szCs w:val="21"/>
              </w:rPr>
              <w:t>3.</w:t>
            </w:r>
            <w:bookmarkStart w:id="66" w:name="OLE_LINK19"/>
            <w:r>
              <w:rPr>
                <w:rFonts w:hint="eastAsia" w:ascii="宋体" w:hAnsi="宋体"/>
                <w:color w:val="auto"/>
                <w:szCs w:val="21"/>
              </w:rPr>
              <w:t>对本区域重点事业支持情况</w:t>
            </w:r>
            <w:bookmarkEnd w:id="66"/>
          </w:p>
          <w:p>
            <w:pPr>
              <w:spacing w:line="260" w:lineRule="exact"/>
              <w:jc w:val="center"/>
              <w:rPr>
                <w:rFonts w:ascii="宋体" w:hAnsi="宋体"/>
                <w:color w:val="auto"/>
                <w:szCs w:val="21"/>
              </w:rPr>
            </w:pPr>
            <w:r>
              <w:rPr>
                <w:rFonts w:hint="eastAsia" w:ascii="宋体" w:hAnsi="宋体"/>
                <w:color w:val="auto"/>
                <w:szCs w:val="21"/>
              </w:rPr>
              <w:t>（17分）</w:t>
            </w:r>
          </w:p>
        </w:tc>
        <w:tc>
          <w:tcPr>
            <w:tcW w:w="6804" w:type="dxa"/>
            <w:noWrap/>
            <w:vAlign w:val="center"/>
          </w:tcPr>
          <w:p>
            <w:pPr>
              <w:spacing w:line="360" w:lineRule="exact"/>
              <w:jc w:val="left"/>
              <w:rPr>
                <w:rFonts w:ascii="宋体" w:hAnsi="宋体" w:cs="宋体"/>
                <w:color w:val="auto"/>
                <w:kern w:val="0"/>
                <w:szCs w:val="21"/>
              </w:rPr>
            </w:pPr>
            <w:bookmarkStart w:id="67" w:name="OLE_LINK28"/>
            <w:r>
              <w:rPr>
                <w:rFonts w:hint="eastAsia" w:ascii="宋体" w:hAnsi="宋体" w:cs="宋体"/>
                <w:color w:val="auto"/>
                <w:kern w:val="0"/>
                <w:szCs w:val="21"/>
              </w:rPr>
              <w:t>根据各投标人提供的宁波市北仑区政府性债务管理中心出具并盖章的“关于</w:t>
            </w:r>
            <w:r>
              <w:rPr>
                <w:rFonts w:ascii="宋体" w:hAnsi="宋体" w:cs="宋体"/>
                <w:color w:val="auto"/>
                <w:kern w:val="0"/>
                <w:szCs w:val="21"/>
              </w:rPr>
              <w:t>202</w:t>
            </w:r>
            <w:r>
              <w:rPr>
                <w:rFonts w:hint="eastAsia" w:ascii="宋体" w:hAnsi="宋体" w:cs="宋体"/>
                <w:color w:val="auto"/>
                <w:kern w:val="0"/>
                <w:szCs w:val="21"/>
              </w:rPr>
              <w:t>3年度重点事业支持情况得分的通知”中投标人的“得分”为准，按“得分”从高到低进行排序（相同得分的排序相同，且不占用后续的排序名序）进行评审：排序第一至</w:t>
            </w:r>
            <w:r>
              <w:rPr>
                <w:rFonts w:ascii="宋体" w:hAnsi="宋体" w:cs="宋体"/>
                <w:color w:val="auto"/>
                <w:kern w:val="0"/>
                <w:szCs w:val="21"/>
              </w:rPr>
              <w:t>二</w:t>
            </w:r>
            <w:r>
              <w:rPr>
                <w:rFonts w:hint="eastAsia" w:ascii="宋体" w:hAnsi="宋体" w:cs="宋体"/>
                <w:color w:val="auto"/>
                <w:kern w:val="0"/>
                <w:szCs w:val="21"/>
              </w:rPr>
              <w:t>名的，得17分；排序第三至</w:t>
            </w:r>
            <w:r>
              <w:rPr>
                <w:rFonts w:ascii="宋体" w:hAnsi="宋体" w:cs="宋体"/>
                <w:color w:val="auto"/>
                <w:kern w:val="0"/>
                <w:szCs w:val="21"/>
              </w:rPr>
              <w:t>四</w:t>
            </w:r>
            <w:r>
              <w:rPr>
                <w:rFonts w:hint="eastAsia" w:ascii="宋体" w:hAnsi="宋体" w:cs="宋体"/>
                <w:color w:val="auto"/>
                <w:kern w:val="0"/>
                <w:szCs w:val="21"/>
              </w:rPr>
              <w:t>名的得16分；排序第五名及以后的均得</w:t>
            </w:r>
            <w:r>
              <w:rPr>
                <w:rFonts w:ascii="宋体" w:hAnsi="宋体" w:cs="宋体"/>
                <w:color w:val="auto"/>
                <w:kern w:val="0"/>
                <w:szCs w:val="21"/>
              </w:rPr>
              <w:t>15</w:t>
            </w:r>
            <w:r>
              <w:rPr>
                <w:rFonts w:hint="eastAsia" w:ascii="宋体" w:hAnsi="宋体" w:cs="宋体"/>
                <w:color w:val="auto"/>
                <w:kern w:val="0"/>
                <w:szCs w:val="21"/>
              </w:rPr>
              <w:t>分。未提供或不符合的不得分。</w:t>
            </w:r>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00" w:lineRule="exact"/>
              <w:jc w:val="center"/>
              <w:rPr>
                <w:rFonts w:ascii="宋体" w:hAnsi="宋体" w:cs="宋体"/>
                <w:b/>
                <w:color w:val="auto"/>
                <w:kern w:val="0"/>
                <w:szCs w:val="21"/>
              </w:rPr>
            </w:pPr>
          </w:p>
        </w:tc>
        <w:tc>
          <w:tcPr>
            <w:tcW w:w="1559" w:type="dxa"/>
            <w:noWrap/>
            <w:vAlign w:val="center"/>
          </w:tcPr>
          <w:p>
            <w:pPr>
              <w:spacing w:line="300" w:lineRule="exact"/>
              <w:jc w:val="center"/>
              <w:rPr>
                <w:rFonts w:ascii="宋体" w:hAnsi="宋体"/>
                <w:color w:val="auto"/>
                <w:szCs w:val="21"/>
              </w:rPr>
            </w:pPr>
            <w:r>
              <w:rPr>
                <w:rFonts w:ascii="宋体" w:hAnsi="宋体"/>
                <w:color w:val="auto"/>
                <w:szCs w:val="21"/>
              </w:rPr>
              <w:t>4.</w:t>
            </w:r>
            <w:r>
              <w:rPr>
                <w:rFonts w:hint="eastAsia" w:ascii="宋体" w:hAnsi="宋体"/>
                <w:color w:val="auto"/>
                <w:szCs w:val="21"/>
              </w:rPr>
              <w:t>本外币贷款余额</w:t>
            </w:r>
          </w:p>
          <w:p>
            <w:pPr>
              <w:spacing w:line="300" w:lineRule="exact"/>
              <w:jc w:val="center"/>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分）</w:t>
            </w:r>
          </w:p>
        </w:tc>
        <w:tc>
          <w:tcPr>
            <w:tcW w:w="6804" w:type="dxa"/>
            <w:noWrap/>
            <w:vAlign w:val="center"/>
          </w:tcPr>
          <w:p>
            <w:pPr>
              <w:spacing w:line="360" w:lineRule="exact"/>
              <w:jc w:val="left"/>
              <w:rPr>
                <w:rFonts w:ascii="宋体" w:hAnsi="宋体" w:cs="宋体"/>
                <w:color w:val="auto"/>
                <w:kern w:val="0"/>
                <w:szCs w:val="21"/>
              </w:rPr>
            </w:pPr>
            <w:r>
              <w:rPr>
                <w:rFonts w:hint="eastAsia" w:ascii="宋体" w:hAnsi="宋体" w:cs="宋体"/>
                <w:color w:val="auto"/>
                <w:kern w:val="0"/>
                <w:szCs w:val="21"/>
              </w:rPr>
              <w:t>根据人民银行北仑支行出具的投标人2023年末数据进行评审：</w:t>
            </w:r>
          </w:p>
          <w:p>
            <w:pPr>
              <w:spacing w:line="360" w:lineRule="exact"/>
              <w:jc w:val="left"/>
              <w:rPr>
                <w:rFonts w:ascii="宋体" w:hAnsi="宋体" w:cs="宋体"/>
                <w:color w:val="auto"/>
                <w:kern w:val="0"/>
                <w:szCs w:val="21"/>
              </w:rPr>
            </w:pPr>
            <w:r>
              <w:rPr>
                <w:rFonts w:hint="eastAsia" w:ascii="宋体" w:hAnsi="宋体" w:cs="宋体"/>
                <w:color w:val="auto"/>
                <w:kern w:val="0"/>
                <w:szCs w:val="21"/>
              </w:rPr>
              <w:t>100亿元及以上的，得6分；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75亿元（含）-100亿元（不含）的，得4分；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50亿元（含）-75亿元（不含）的，得2分；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50亿元（不含）以下的，得1分；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本项最高6分。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00" w:lineRule="exact"/>
              <w:jc w:val="center"/>
              <w:rPr>
                <w:rFonts w:ascii="宋体" w:hAnsi="宋体" w:cs="宋体"/>
                <w:b/>
                <w:color w:val="auto"/>
                <w:kern w:val="0"/>
                <w:szCs w:val="21"/>
              </w:rPr>
            </w:pPr>
          </w:p>
        </w:tc>
        <w:tc>
          <w:tcPr>
            <w:tcW w:w="1559" w:type="dxa"/>
            <w:noWrap/>
            <w:vAlign w:val="center"/>
          </w:tcPr>
          <w:p>
            <w:pPr>
              <w:spacing w:line="300" w:lineRule="exact"/>
              <w:jc w:val="center"/>
              <w:rPr>
                <w:rFonts w:ascii="宋体" w:hAnsi="宋体"/>
                <w:color w:val="auto"/>
                <w:szCs w:val="21"/>
              </w:rPr>
            </w:pPr>
            <w:r>
              <w:rPr>
                <w:rFonts w:ascii="宋体" w:hAnsi="宋体"/>
                <w:color w:val="auto"/>
                <w:szCs w:val="21"/>
              </w:rPr>
              <w:t>5.</w:t>
            </w:r>
            <w:r>
              <w:rPr>
                <w:rFonts w:hint="eastAsia" w:ascii="宋体" w:hAnsi="宋体"/>
                <w:color w:val="auto"/>
                <w:szCs w:val="21"/>
              </w:rPr>
              <w:t>存贷比率</w:t>
            </w:r>
          </w:p>
          <w:p>
            <w:pPr>
              <w:spacing w:line="300" w:lineRule="exact"/>
              <w:jc w:val="center"/>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分）</w:t>
            </w:r>
          </w:p>
        </w:tc>
        <w:tc>
          <w:tcPr>
            <w:tcW w:w="6804" w:type="dxa"/>
            <w:noWrap/>
            <w:vAlign w:val="center"/>
          </w:tcPr>
          <w:p>
            <w:pPr>
              <w:spacing w:line="360" w:lineRule="exact"/>
              <w:jc w:val="left"/>
              <w:rPr>
                <w:rFonts w:ascii="宋体" w:hAnsi="宋体" w:cs="宋体"/>
                <w:color w:val="auto"/>
                <w:kern w:val="0"/>
                <w:szCs w:val="21"/>
              </w:rPr>
            </w:pPr>
            <w:r>
              <w:rPr>
                <w:rFonts w:hint="eastAsia" w:ascii="宋体" w:hAnsi="宋体" w:cs="宋体"/>
                <w:color w:val="auto"/>
                <w:kern w:val="0"/>
                <w:szCs w:val="21"/>
              </w:rPr>
              <w:t>根据人民银行北仑支行出具的投标人2023年末数据进行评审：</w:t>
            </w:r>
          </w:p>
          <w:p>
            <w:pPr>
              <w:spacing w:line="360" w:lineRule="exact"/>
              <w:jc w:val="left"/>
              <w:rPr>
                <w:rFonts w:ascii="宋体" w:hAnsi="宋体" w:cs="宋体"/>
                <w:color w:val="auto"/>
                <w:kern w:val="0"/>
                <w:szCs w:val="21"/>
              </w:rPr>
            </w:pPr>
            <w:r>
              <w:rPr>
                <w:rFonts w:hint="eastAsia" w:ascii="宋体" w:hAnsi="宋体" w:cs="宋体"/>
                <w:color w:val="auto"/>
                <w:kern w:val="0"/>
                <w:szCs w:val="21"/>
              </w:rPr>
              <w:t>在45%（含）-105%（含）范围内的，得6分。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①存贷比率＞105%的，得分=（105%／存贷比率）*6分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②存贷比例＜45%的，得分=（存贷比例/45%）*6分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【存贷比率=各项贷款总额／各项存款总额*100%】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00" w:lineRule="exact"/>
              <w:jc w:val="center"/>
              <w:rPr>
                <w:rFonts w:ascii="宋体" w:hAnsi="宋体" w:cs="宋体"/>
                <w:b/>
                <w:color w:val="auto"/>
                <w:kern w:val="0"/>
                <w:szCs w:val="21"/>
              </w:rPr>
            </w:pPr>
          </w:p>
        </w:tc>
        <w:tc>
          <w:tcPr>
            <w:tcW w:w="1559" w:type="dxa"/>
            <w:noWrap/>
            <w:vAlign w:val="center"/>
          </w:tcPr>
          <w:p>
            <w:pPr>
              <w:spacing w:line="300" w:lineRule="exact"/>
              <w:jc w:val="center"/>
              <w:rPr>
                <w:rFonts w:ascii="宋体" w:hAnsi="宋体"/>
                <w:color w:val="auto"/>
                <w:szCs w:val="21"/>
              </w:rPr>
            </w:pPr>
            <w:r>
              <w:rPr>
                <w:rFonts w:ascii="宋体" w:hAnsi="宋体"/>
                <w:color w:val="auto"/>
                <w:szCs w:val="21"/>
              </w:rPr>
              <w:t>6.</w:t>
            </w:r>
            <w:r>
              <w:rPr>
                <w:rFonts w:hint="eastAsia" w:ascii="宋体" w:hAnsi="宋体"/>
                <w:color w:val="auto"/>
                <w:szCs w:val="21"/>
              </w:rPr>
              <w:t>普惠口径小微企业贷款余额占本外币贷款余额比例</w:t>
            </w:r>
          </w:p>
          <w:p>
            <w:pPr>
              <w:spacing w:line="300" w:lineRule="exact"/>
              <w:jc w:val="center"/>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分）</w:t>
            </w:r>
          </w:p>
        </w:tc>
        <w:tc>
          <w:tcPr>
            <w:tcW w:w="6804" w:type="dxa"/>
            <w:noWrap/>
            <w:vAlign w:val="center"/>
          </w:tcPr>
          <w:p>
            <w:pPr>
              <w:spacing w:line="360" w:lineRule="exact"/>
              <w:jc w:val="left"/>
              <w:rPr>
                <w:rFonts w:ascii="宋体" w:hAnsi="宋体" w:cs="宋体"/>
                <w:color w:val="auto"/>
                <w:kern w:val="0"/>
                <w:szCs w:val="21"/>
              </w:rPr>
            </w:pPr>
            <w:bookmarkStart w:id="68" w:name="OLE_LINK11"/>
            <w:r>
              <w:rPr>
                <w:rFonts w:hint="eastAsia" w:ascii="宋体" w:hAnsi="宋体" w:cs="宋体"/>
                <w:color w:val="auto"/>
                <w:kern w:val="0"/>
                <w:szCs w:val="21"/>
              </w:rPr>
              <w:t>根据人民银行北仑支行出具的投标人2023年末数据进行评审：</w:t>
            </w:r>
          </w:p>
          <w:p>
            <w:pPr>
              <w:spacing w:line="360" w:lineRule="exact"/>
              <w:jc w:val="left"/>
              <w:rPr>
                <w:rFonts w:ascii="宋体" w:hAnsi="宋体" w:cs="宋体"/>
                <w:color w:val="auto"/>
                <w:kern w:val="0"/>
                <w:szCs w:val="21"/>
              </w:rPr>
            </w:pPr>
            <w:r>
              <w:rPr>
                <w:rFonts w:hint="eastAsia" w:ascii="宋体" w:hAnsi="宋体" w:cs="宋体"/>
                <w:color w:val="auto"/>
                <w:kern w:val="0"/>
                <w:szCs w:val="21"/>
              </w:rPr>
              <w:t>【比例值计算公式：2023年度在北仑区的普惠口径小微贷款余额÷2023年度在北仑区的本外币贷款余额×100%】</w:t>
            </w:r>
          </w:p>
          <w:p>
            <w:pPr>
              <w:spacing w:line="360" w:lineRule="exact"/>
              <w:jc w:val="left"/>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0</w:t>
            </w:r>
            <w:r>
              <w:rPr>
                <w:rFonts w:hint="eastAsia" w:ascii="宋体" w:hAnsi="宋体" w:cs="宋体"/>
                <w:color w:val="auto"/>
                <w:kern w:val="0"/>
                <w:szCs w:val="21"/>
              </w:rPr>
              <w:t>%及以上得6分；</w:t>
            </w:r>
          </w:p>
          <w:p>
            <w:pPr>
              <w:spacing w:line="360" w:lineRule="exact"/>
              <w:jc w:val="left"/>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%（含）-1</w:t>
            </w:r>
            <w:r>
              <w:rPr>
                <w:rFonts w:ascii="宋体" w:hAnsi="宋体" w:cs="宋体"/>
                <w:color w:val="auto"/>
                <w:kern w:val="0"/>
                <w:szCs w:val="21"/>
              </w:rPr>
              <w:t>0</w:t>
            </w:r>
            <w:r>
              <w:rPr>
                <w:rFonts w:hint="eastAsia" w:ascii="宋体" w:hAnsi="宋体" w:cs="宋体"/>
                <w:color w:val="auto"/>
                <w:kern w:val="0"/>
                <w:szCs w:val="21"/>
              </w:rPr>
              <w:t>%（不含）得</w:t>
            </w:r>
            <w:r>
              <w:rPr>
                <w:rFonts w:ascii="宋体" w:hAnsi="宋体" w:cs="宋体"/>
                <w:color w:val="auto"/>
                <w:kern w:val="0"/>
                <w:szCs w:val="21"/>
              </w:rPr>
              <w:t>4.5</w:t>
            </w:r>
            <w:r>
              <w:rPr>
                <w:rFonts w:hint="eastAsia" w:ascii="宋体" w:hAnsi="宋体" w:cs="宋体"/>
                <w:color w:val="auto"/>
                <w:kern w:val="0"/>
                <w:szCs w:val="21"/>
              </w:rPr>
              <w:t>分；</w:t>
            </w:r>
          </w:p>
          <w:p>
            <w:pPr>
              <w:spacing w:line="360" w:lineRule="exact"/>
              <w:jc w:val="left"/>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%（含）-</w:t>
            </w:r>
            <w:r>
              <w:rPr>
                <w:rFonts w:ascii="宋体" w:hAnsi="宋体" w:cs="宋体"/>
                <w:color w:val="auto"/>
                <w:kern w:val="0"/>
                <w:szCs w:val="21"/>
              </w:rPr>
              <w:t>7</w:t>
            </w:r>
            <w:r>
              <w:rPr>
                <w:rFonts w:hint="eastAsia" w:ascii="宋体" w:hAnsi="宋体" w:cs="宋体"/>
                <w:color w:val="auto"/>
                <w:kern w:val="0"/>
                <w:szCs w:val="21"/>
              </w:rPr>
              <w:t>%（不含）得3分；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1%（含）-</w:t>
            </w:r>
            <w:r>
              <w:rPr>
                <w:rFonts w:ascii="宋体" w:hAnsi="宋体" w:cs="宋体"/>
                <w:color w:val="auto"/>
                <w:kern w:val="0"/>
                <w:szCs w:val="21"/>
              </w:rPr>
              <w:t>4</w:t>
            </w:r>
            <w:r>
              <w:rPr>
                <w:rFonts w:hint="eastAsia" w:ascii="宋体" w:hAnsi="宋体" w:cs="宋体"/>
                <w:color w:val="auto"/>
                <w:kern w:val="0"/>
                <w:szCs w:val="21"/>
              </w:rPr>
              <w:t>%（不含）得2分；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1%以下不得分。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本项最高6分。</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00" w:lineRule="exact"/>
              <w:jc w:val="center"/>
              <w:rPr>
                <w:rFonts w:ascii="宋体" w:hAnsi="宋体" w:cs="宋体"/>
                <w:b/>
                <w:color w:val="auto"/>
                <w:kern w:val="0"/>
                <w:szCs w:val="21"/>
              </w:rPr>
            </w:pPr>
          </w:p>
        </w:tc>
        <w:tc>
          <w:tcPr>
            <w:tcW w:w="1559" w:type="dxa"/>
            <w:noWrap/>
            <w:vAlign w:val="center"/>
          </w:tcPr>
          <w:p>
            <w:pPr>
              <w:spacing w:line="300" w:lineRule="exact"/>
              <w:jc w:val="center"/>
              <w:rPr>
                <w:rFonts w:ascii="宋体" w:hAnsi="宋体"/>
                <w:color w:val="auto"/>
                <w:szCs w:val="21"/>
              </w:rPr>
            </w:pPr>
            <w:r>
              <w:rPr>
                <w:rFonts w:ascii="宋体" w:hAnsi="宋体"/>
                <w:color w:val="auto"/>
                <w:szCs w:val="21"/>
              </w:rPr>
              <w:t>7.</w:t>
            </w:r>
            <w:r>
              <w:rPr>
                <w:rFonts w:hint="eastAsia" w:ascii="宋体" w:hAnsi="宋体"/>
                <w:color w:val="auto"/>
                <w:szCs w:val="21"/>
              </w:rPr>
              <w:t>制造业贷款余额</w:t>
            </w:r>
          </w:p>
          <w:p>
            <w:pPr>
              <w:spacing w:line="300" w:lineRule="exact"/>
              <w:jc w:val="center"/>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分）</w:t>
            </w:r>
          </w:p>
        </w:tc>
        <w:tc>
          <w:tcPr>
            <w:tcW w:w="6804" w:type="dxa"/>
            <w:noWrap/>
            <w:vAlign w:val="center"/>
          </w:tcPr>
          <w:p>
            <w:pPr>
              <w:spacing w:line="360" w:lineRule="exact"/>
              <w:jc w:val="left"/>
              <w:rPr>
                <w:rFonts w:ascii="宋体" w:hAnsi="宋体" w:cs="宋体"/>
                <w:color w:val="auto"/>
                <w:kern w:val="0"/>
                <w:szCs w:val="21"/>
              </w:rPr>
            </w:pPr>
            <w:r>
              <w:rPr>
                <w:rFonts w:hint="eastAsia" w:ascii="宋体" w:hAnsi="宋体" w:cs="宋体"/>
                <w:color w:val="auto"/>
                <w:kern w:val="0"/>
                <w:szCs w:val="21"/>
              </w:rPr>
              <w:t>根据人民银行北仑支行出具的投标人2023年末数据进行评审：</w:t>
            </w:r>
          </w:p>
          <w:p>
            <w:pPr>
              <w:spacing w:line="360" w:lineRule="exact"/>
              <w:jc w:val="left"/>
              <w:rPr>
                <w:rFonts w:ascii="宋体" w:hAnsi="宋体" w:cs="宋体"/>
                <w:color w:val="auto"/>
                <w:kern w:val="0"/>
                <w:szCs w:val="21"/>
              </w:rPr>
            </w:pPr>
            <w:r>
              <w:rPr>
                <w:rFonts w:hint="eastAsia" w:ascii="宋体" w:hAnsi="宋体" w:cs="宋体"/>
                <w:color w:val="auto"/>
                <w:kern w:val="0"/>
                <w:szCs w:val="21"/>
              </w:rPr>
              <w:t>余额在25亿元及以上的，得6分；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余额在20亿元（含）-25亿元（不含）的，得4分；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余额在15亿元（含）-20亿元（不含）的，得3分；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余额在10亿元（含）-15亿元（不含）的，得2分；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余额在10亿元以下的，得1分。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本项最高6分。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00" w:lineRule="exact"/>
              <w:jc w:val="center"/>
              <w:rPr>
                <w:rFonts w:ascii="宋体" w:hAnsi="宋体" w:cs="宋体"/>
                <w:b/>
                <w:color w:val="auto"/>
                <w:kern w:val="0"/>
                <w:szCs w:val="21"/>
              </w:rPr>
            </w:pPr>
          </w:p>
        </w:tc>
        <w:tc>
          <w:tcPr>
            <w:tcW w:w="1559" w:type="dxa"/>
            <w:noWrap/>
            <w:vAlign w:val="center"/>
          </w:tcPr>
          <w:p>
            <w:pPr>
              <w:spacing w:line="300" w:lineRule="exact"/>
              <w:jc w:val="center"/>
              <w:rPr>
                <w:rFonts w:ascii="宋体" w:hAnsi="宋体"/>
                <w:color w:val="auto"/>
                <w:szCs w:val="21"/>
              </w:rPr>
            </w:pPr>
            <w:r>
              <w:rPr>
                <w:rFonts w:ascii="宋体" w:hAnsi="宋体"/>
                <w:color w:val="auto"/>
                <w:szCs w:val="21"/>
              </w:rPr>
              <w:t>8.</w:t>
            </w:r>
            <w:r>
              <w:rPr>
                <w:rFonts w:hint="eastAsia" w:ascii="宋体" w:hAnsi="宋体"/>
                <w:color w:val="auto"/>
                <w:szCs w:val="21"/>
              </w:rPr>
              <w:t>制造业贷款余额占本外币贷款余额比例（6分）</w:t>
            </w:r>
          </w:p>
        </w:tc>
        <w:tc>
          <w:tcPr>
            <w:tcW w:w="6804" w:type="dxa"/>
            <w:noWrap/>
            <w:vAlign w:val="center"/>
          </w:tcPr>
          <w:p>
            <w:pPr>
              <w:spacing w:line="360" w:lineRule="exact"/>
              <w:jc w:val="left"/>
              <w:rPr>
                <w:rFonts w:ascii="宋体" w:hAnsi="宋体" w:cs="宋体"/>
                <w:color w:val="auto"/>
                <w:kern w:val="0"/>
                <w:szCs w:val="21"/>
              </w:rPr>
            </w:pPr>
            <w:r>
              <w:rPr>
                <w:rFonts w:hint="eastAsia" w:ascii="宋体" w:hAnsi="宋体" w:cs="宋体"/>
                <w:color w:val="auto"/>
                <w:kern w:val="0"/>
                <w:szCs w:val="21"/>
              </w:rPr>
              <w:t>根据人民银行北仑支行出具的投标人2023年末数据进行评审：</w:t>
            </w:r>
          </w:p>
          <w:p>
            <w:pPr>
              <w:spacing w:line="360" w:lineRule="exact"/>
              <w:jc w:val="left"/>
              <w:rPr>
                <w:rFonts w:ascii="宋体" w:hAnsi="宋体" w:cs="宋体"/>
                <w:color w:val="auto"/>
                <w:kern w:val="0"/>
                <w:szCs w:val="21"/>
              </w:rPr>
            </w:pPr>
            <w:r>
              <w:rPr>
                <w:rFonts w:hint="eastAsia" w:ascii="宋体" w:hAnsi="宋体" w:cs="宋体"/>
                <w:color w:val="auto"/>
                <w:kern w:val="0"/>
                <w:szCs w:val="21"/>
              </w:rPr>
              <w:t>【比例值计算公式：2023年度在北仑区的制造业贷款余额÷2023年度在北仑区的本外币贷款余额×100%】</w:t>
            </w:r>
          </w:p>
          <w:p>
            <w:pPr>
              <w:spacing w:line="360" w:lineRule="exact"/>
              <w:jc w:val="left"/>
              <w:rPr>
                <w:rFonts w:ascii="宋体" w:hAnsi="宋体" w:cs="宋体"/>
                <w:color w:val="auto"/>
                <w:kern w:val="0"/>
                <w:szCs w:val="21"/>
              </w:rPr>
            </w:pPr>
            <w:r>
              <w:rPr>
                <w:rFonts w:hint="eastAsia" w:ascii="宋体" w:hAnsi="宋体" w:cs="宋体"/>
                <w:color w:val="auto"/>
                <w:kern w:val="0"/>
                <w:szCs w:val="21"/>
              </w:rPr>
              <w:t>20%及以上的，得6分；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10%（含）-20%（不含）的，得4分；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10%以下的，得2分。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本项最高6分。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00" w:lineRule="exact"/>
              <w:jc w:val="center"/>
              <w:rPr>
                <w:rFonts w:ascii="宋体" w:hAnsi="宋体" w:cs="宋体"/>
                <w:b/>
                <w:color w:val="auto"/>
                <w:kern w:val="0"/>
                <w:szCs w:val="21"/>
              </w:rPr>
            </w:pPr>
            <w:bookmarkStart w:id="69" w:name="OLE_LINK30" w:colFirst="2" w:colLast="2"/>
          </w:p>
        </w:tc>
        <w:tc>
          <w:tcPr>
            <w:tcW w:w="1559" w:type="dxa"/>
            <w:noWrap/>
            <w:vAlign w:val="center"/>
          </w:tcPr>
          <w:p>
            <w:pPr>
              <w:spacing w:line="320" w:lineRule="exact"/>
              <w:jc w:val="center"/>
              <w:rPr>
                <w:rFonts w:ascii="宋体" w:hAnsi="宋体"/>
                <w:color w:val="auto"/>
                <w:szCs w:val="21"/>
              </w:rPr>
            </w:pPr>
            <w:r>
              <w:rPr>
                <w:rFonts w:ascii="宋体" w:hAnsi="宋体"/>
                <w:color w:val="auto"/>
                <w:szCs w:val="21"/>
              </w:rPr>
              <w:t>9.</w:t>
            </w:r>
            <w:bookmarkStart w:id="70" w:name="OLE_LINK29"/>
            <w:bookmarkStart w:id="71" w:name="OLE_LINK10"/>
            <w:r>
              <w:rPr>
                <w:rFonts w:hint="eastAsia"/>
                <w:color w:val="auto"/>
              </w:rPr>
              <w:t>金融发展服务中心</w:t>
            </w:r>
            <w:r>
              <w:rPr>
                <w:rFonts w:hint="eastAsia" w:ascii="宋体" w:hAnsi="宋体"/>
                <w:color w:val="auto"/>
                <w:szCs w:val="21"/>
              </w:rPr>
              <w:t>对金融机构考评情况</w:t>
            </w:r>
            <w:bookmarkEnd w:id="70"/>
            <w:r>
              <w:rPr>
                <w:rFonts w:hint="eastAsia" w:ascii="宋体" w:hAnsi="宋体"/>
                <w:color w:val="auto"/>
                <w:szCs w:val="21"/>
              </w:rPr>
              <w:t>（3分）</w:t>
            </w:r>
            <w:bookmarkEnd w:id="71"/>
          </w:p>
        </w:tc>
        <w:tc>
          <w:tcPr>
            <w:tcW w:w="6804" w:type="dxa"/>
            <w:noWrap/>
            <w:vAlign w:val="center"/>
          </w:tcPr>
          <w:p>
            <w:pPr>
              <w:spacing w:line="360" w:lineRule="exact"/>
              <w:jc w:val="left"/>
              <w:rPr>
                <w:rFonts w:ascii="宋体" w:hAnsi="宋体" w:cs="宋体"/>
                <w:color w:val="auto"/>
                <w:kern w:val="0"/>
                <w:szCs w:val="21"/>
              </w:rPr>
            </w:pPr>
            <w:r>
              <w:rPr>
                <w:rFonts w:hint="eastAsia" w:ascii="宋体" w:hAnsi="宋体" w:cs="宋体"/>
                <w:color w:val="auto"/>
                <w:kern w:val="0"/>
                <w:szCs w:val="21"/>
              </w:rPr>
              <w:t>根据</w:t>
            </w:r>
            <w:r>
              <w:rPr>
                <w:rFonts w:hint="eastAsia"/>
                <w:color w:val="auto"/>
              </w:rPr>
              <w:t>宁波市北仑区金融发展服务中心</w:t>
            </w:r>
            <w:r>
              <w:rPr>
                <w:rFonts w:hint="eastAsia" w:ascii="宋体" w:hAnsi="宋体" w:cs="宋体"/>
                <w:color w:val="auto"/>
                <w:kern w:val="0"/>
                <w:szCs w:val="21"/>
              </w:rPr>
              <w:t>最近两年关于北仑区金融业支持地方经济发展考核情况通报的相关文件进行评审，评审标准为:</w:t>
            </w:r>
          </w:p>
          <w:p>
            <w:pPr>
              <w:spacing w:line="360" w:lineRule="exact"/>
              <w:jc w:val="left"/>
              <w:rPr>
                <w:rFonts w:ascii="宋体" w:hAnsi="宋体" w:cs="宋体"/>
                <w:color w:val="auto"/>
                <w:kern w:val="0"/>
                <w:szCs w:val="21"/>
              </w:rPr>
            </w:pPr>
            <w:r>
              <w:rPr>
                <w:rFonts w:hint="eastAsia" w:ascii="宋体" w:hAnsi="宋体" w:cs="宋体"/>
                <w:color w:val="auto"/>
                <w:kern w:val="0"/>
                <w:szCs w:val="21"/>
              </w:rPr>
              <w:t>（1）获得综合先进单位一等奖及以上的，每有一个得1.5分；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（2）获得综合先进单位二等奖的，每有一个得1分；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（3）获得综合先进单位三等奖的，每有一个得0.5分；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（4）获得其他奖项的，每有一个得0.5分（若已以按1、2、3项得分的，本项不得再累计得分）；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评审说明：根据投标人获得的奖项情况进行评审统计，得分可以累计（除上述第4项规定外），本项最高得3分。</w:t>
            </w:r>
          </w:p>
        </w:tc>
      </w:tr>
      <w:bookmark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ign w:val="center"/>
          </w:tcPr>
          <w:p>
            <w:pPr>
              <w:spacing w:line="300" w:lineRule="exact"/>
              <w:jc w:val="center"/>
              <w:rPr>
                <w:rFonts w:ascii="宋体" w:hAnsi="宋体" w:cs="宋体"/>
                <w:color w:val="auto"/>
                <w:kern w:val="0"/>
                <w:szCs w:val="21"/>
              </w:rPr>
            </w:pPr>
            <w:r>
              <w:rPr>
                <w:rFonts w:hint="eastAsia" w:ascii="宋体" w:hAnsi="宋体" w:cs="宋体"/>
                <w:color w:val="auto"/>
                <w:kern w:val="0"/>
                <w:szCs w:val="21"/>
              </w:rPr>
              <w:t>四、服务水平</w:t>
            </w:r>
          </w:p>
          <w:p>
            <w:pPr>
              <w:spacing w:line="300" w:lineRule="exact"/>
              <w:jc w:val="center"/>
              <w:rPr>
                <w:rFonts w:ascii="宋体" w:hAnsi="宋体" w:cs="宋体"/>
                <w:b/>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分）</w:t>
            </w:r>
          </w:p>
        </w:tc>
        <w:tc>
          <w:tcPr>
            <w:tcW w:w="1559" w:type="dxa"/>
            <w:noWrap/>
            <w:vAlign w:val="center"/>
          </w:tcPr>
          <w:p>
            <w:pPr>
              <w:spacing w:line="320" w:lineRule="exact"/>
              <w:jc w:val="center"/>
              <w:rPr>
                <w:rFonts w:ascii="宋体" w:hAnsi="宋体" w:cs="宋体"/>
                <w:iCs/>
                <w:color w:val="auto"/>
                <w:kern w:val="0"/>
                <w:szCs w:val="21"/>
              </w:rPr>
            </w:pPr>
            <w:r>
              <w:rPr>
                <w:rFonts w:hint="eastAsia" w:ascii="宋体" w:hAnsi="宋体" w:cs="宋体"/>
                <w:iCs/>
                <w:color w:val="auto"/>
                <w:kern w:val="0"/>
                <w:szCs w:val="21"/>
              </w:rPr>
              <w:t>1.服务方案</w:t>
            </w:r>
          </w:p>
          <w:p>
            <w:pPr>
              <w:spacing w:line="320" w:lineRule="exact"/>
              <w:ind w:firstLine="420" w:firstLineChars="200"/>
              <w:rPr>
                <w:rFonts w:ascii="宋体" w:hAnsi="宋体" w:cs="宋体"/>
                <w:iCs/>
                <w:color w:val="auto"/>
                <w:kern w:val="0"/>
                <w:szCs w:val="21"/>
              </w:rPr>
            </w:pPr>
            <w:r>
              <w:rPr>
                <w:rFonts w:hint="eastAsia" w:ascii="宋体" w:hAnsi="宋体" w:cs="宋体"/>
                <w:iCs/>
                <w:color w:val="auto"/>
                <w:kern w:val="0"/>
                <w:szCs w:val="21"/>
              </w:rPr>
              <w:t>（</w:t>
            </w:r>
            <w:r>
              <w:rPr>
                <w:rFonts w:ascii="宋体" w:hAnsi="宋体" w:cs="宋体"/>
                <w:iCs/>
                <w:color w:val="auto"/>
                <w:kern w:val="0"/>
                <w:szCs w:val="21"/>
              </w:rPr>
              <w:t>2</w:t>
            </w:r>
            <w:r>
              <w:rPr>
                <w:rFonts w:hint="eastAsia" w:ascii="宋体" w:hAnsi="宋体" w:cs="宋体"/>
                <w:iCs/>
                <w:color w:val="auto"/>
                <w:kern w:val="0"/>
                <w:szCs w:val="21"/>
              </w:rPr>
              <w:t>分）</w:t>
            </w:r>
          </w:p>
        </w:tc>
        <w:tc>
          <w:tcPr>
            <w:tcW w:w="6804" w:type="dxa"/>
            <w:noWrap/>
            <w:vAlign w:val="center"/>
          </w:tcPr>
          <w:p>
            <w:pPr>
              <w:spacing w:line="360" w:lineRule="exact"/>
              <w:jc w:val="left"/>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.1</w:t>
            </w:r>
            <w:r>
              <w:rPr>
                <w:rFonts w:hint="eastAsia" w:ascii="宋体" w:hAnsi="宋体" w:cs="宋体"/>
                <w:color w:val="auto"/>
                <w:kern w:val="0"/>
                <w:szCs w:val="21"/>
              </w:rPr>
              <w:t>评委根据投标文件中对项目理念、理解和掌握情况，结合项目的特点，能否提出对本项目有关管理服务的定位、目标及标准等服务方案以及信息系统建设、服务水平、服务特色、服务优势、服务团队及人员配备情况进行评审：评审为好的，得</w:t>
            </w:r>
            <w:r>
              <w:rPr>
                <w:rFonts w:ascii="宋体" w:hAnsi="宋体" w:cs="宋体"/>
                <w:color w:val="auto"/>
                <w:kern w:val="0"/>
                <w:szCs w:val="21"/>
              </w:rPr>
              <w:t>1</w:t>
            </w:r>
            <w:r>
              <w:rPr>
                <w:rFonts w:hint="eastAsia" w:ascii="宋体" w:hAnsi="宋体" w:cs="宋体"/>
                <w:color w:val="auto"/>
                <w:kern w:val="0"/>
                <w:szCs w:val="21"/>
              </w:rPr>
              <w:t>分；评审为较好的，得分</w:t>
            </w:r>
            <w:r>
              <w:rPr>
                <w:rFonts w:ascii="宋体" w:hAnsi="宋体" w:cs="宋体"/>
                <w:color w:val="auto"/>
                <w:kern w:val="0"/>
                <w:szCs w:val="21"/>
              </w:rPr>
              <w:t>0.5</w:t>
            </w:r>
            <w:r>
              <w:rPr>
                <w:rFonts w:hint="eastAsia" w:ascii="宋体" w:hAnsi="宋体" w:cs="宋体"/>
                <w:color w:val="auto"/>
                <w:kern w:val="0"/>
                <w:szCs w:val="21"/>
              </w:rPr>
              <w:t>分；评审为一般或差或缺项的，得分</w:t>
            </w:r>
            <w:r>
              <w:rPr>
                <w:rFonts w:ascii="宋体" w:hAnsi="宋体" w:cs="宋体"/>
                <w:color w:val="auto"/>
                <w:kern w:val="0"/>
                <w:szCs w:val="21"/>
              </w:rPr>
              <w:t>0</w:t>
            </w:r>
            <w:r>
              <w:rPr>
                <w:rFonts w:hint="eastAsia" w:ascii="宋体" w:hAnsi="宋体" w:cs="宋体"/>
                <w:color w:val="auto"/>
                <w:kern w:val="0"/>
                <w:szCs w:val="21"/>
              </w:rPr>
              <w:t>分。</w:t>
            </w:r>
          </w:p>
          <w:p>
            <w:pPr>
              <w:spacing w:line="360" w:lineRule="exact"/>
              <w:jc w:val="left"/>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.2</w:t>
            </w:r>
            <w:r>
              <w:rPr>
                <w:rFonts w:hint="eastAsia" w:ascii="宋体" w:hAnsi="宋体" w:cs="宋体"/>
                <w:color w:val="auto"/>
                <w:kern w:val="0"/>
                <w:szCs w:val="21"/>
              </w:rPr>
              <w:t>评委根据投标文件中对支付结算、对账、分账核算以及相关服务等进行评审：评审为好的，得</w:t>
            </w:r>
            <w:r>
              <w:rPr>
                <w:rFonts w:ascii="宋体" w:hAnsi="宋体" w:cs="宋体"/>
                <w:color w:val="auto"/>
                <w:kern w:val="0"/>
                <w:szCs w:val="21"/>
              </w:rPr>
              <w:t>1</w:t>
            </w:r>
            <w:r>
              <w:rPr>
                <w:rFonts w:hint="eastAsia" w:ascii="宋体" w:hAnsi="宋体" w:cs="宋体"/>
                <w:color w:val="auto"/>
                <w:kern w:val="0"/>
                <w:szCs w:val="21"/>
              </w:rPr>
              <w:t>分；评审为较好的，得分</w:t>
            </w:r>
            <w:r>
              <w:rPr>
                <w:rFonts w:ascii="宋体" w:hAnsi="宋体" w:cs="宋体"/>
                <w:color w:val="auto"/>
                <w:kern w:val="0"/>
                <w:szCs w:val="21"/>
              </w:rPr>
              <w:t>0.5</w:t>
            </w:r>
            <w:r>
              <w:rPr>
                <w:rFonts w:hint="eastAsia" w:ascii="宋体" w:hAnsi="宋体" w:cs="宋体"/>
                <w:color w:val="auto"/>
                <w:kern w:val="0"/>
                <w:szCs w:val="21"/>
              </w:rPr>
              <w:t>分；评审为一般或差或缺项的，得分</w:t>
            </w:r>
            <w:r>
              <w:rPr>
                <w:rFonts w:ascii="宋体" w:hAnsi="宋体" w:cs="宋体"/>
                <w:color w:val="auto"/>
                <w:kern w:val="0"/>
                <w:szCs w:val="21"/>
              </w:rPr>
              <w:t>0</w:t>
            </w:r>
            <w:r>
              <w:rPr>
                <w:rFonts w:hint="eastAsia" w:ascii="宋体" w:hAnsi="宋体" w:cs="宋体"/>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80" w:type="dxa"/>
            <w:vMerge w:val="continue"/>
            <w:noWrap/>
            <w:vAlign w:val="center"/>
          </w:tcPr>
          <w:p>
            <w:pPr>
              <w:spacing w:line="300" w:lineRule="exact"/>
              <w:jc w:val="center"/>
              <w:rPr>
                <w:rFonts w:ascii="宋体" w:hAnsi="宋体" w:cs="宋体"/>
                <w:color w:val="auto"/>
                <w:kern w:val="0"/>
                <w:szCs w:val="21"/>
              </w:rPr>
            </w:pPr>
          </w:p>
        </w:tc>
        <w:tc>
          <w:tcPr>
            <w:tcW w:w="1559" w:type="dxa"/>
            <w:noWrap/>
            <w:vAlign w:val="center"/>
          </w:tcPr>
          <w:p>
            <w:pPr>
              <w:spacing w:line="320" w:lineRule="exact"/>
              <w:rPr>
                <w:rFonts w:ascii="宋体" w:hAnsi="宋体" w:cs="宋体"/>
                <w:iCs/>
                <w:color w:val="auto"/>
                <w:kern w:val="0"/>
                <w:szCs w:val="21"/>
              </w:rPr>
            </w:pPr>
            <w:r>
              <w:rPr>
                <w:rFonts w:hint="eastAsia" w:ascii="宋体" w:hAnsi="宋体" w:cs="宋体"/>
                <w:iCs/>
                <w:color w:val="auto"/>
                <w:kern w:val="0"/>
                <w:szCs w:val="21"/>
              </w:rPr>
              <w:t>2.</w:t>
            </w:r>
            <w:bookmarkStart w:id="72" w:name="OLE_LINK20"/>
            <w:r>
              <w:rPr>
                <w:rFonts w:hint="eastAsia"/>
                <w:color w:val="auto"/>
                <w:spacing w:val="-13"/>
                <w:szCs w:val="21"/>
              </w:rPr>
              <w:t>分支机构</w:t>
            </w:r>
            <w:bookmarkEnd w:id="72"/>
            <w:r>
              <w:rPr>
                <w:rFonts w:hint="eastAsia"/>
                <w:color w:val="auto"/>
                <w:spacing w:val="-13"/>
                <w:szCs w:val="21"/>
              </w:rPr>
              <w:t>与上门服务（1分）</w:t>
            </w:r>
          </w:p>
        </w:tc>
        <w:tc>
          <w:tcPr>
            <w:tcW w:w="6804" w:type="dxa"/>
            <w:noWrap/>
            <w:vAlign w:val="center"/>
          </w:tcPr>
          <w:p>
            <w:pPr>
              <w:widowControl/>
              <w:spacing w:line="300" w:lineRule="auto"/>
              <w:rPr>
                <w:color w:val="auto"/>
                <w:szCs w:val="21"/>
              </w:rPr>
            </w:pPr>
            <w:r>
              <w:rPr>
                <w:color w:val="auto"/>
                <w:szCs w:val="21"/>
              </w:rPr>
              <w:t>投标人</w:t>
            </w:r>
            <w:r>
              <w:rPr>
                <w:rFonts w:hint="eastAsia"/>
                <w:color w:val="auto"/>
                <w:szCs w:val="21"/>
              </w:rPr>
              <w:t>在梅山岛设有分支机构的且承诺1小时内快速响应、工作日（法定节假日除外）免费提供上门服务。</w:t>
            </w:r>
          </w:p>
          <w:p>
            <w:pPr>
              <w:spacing w:line="360" w:lineRule="exact"/>
              <w:jc w:val="left"/>
              <w:rPr>
                <w:rFonts w:ascii="宋体" w:hAnsi="宋体" w:cs="宋体"/>
                <w:color w:val="auto"/>
                <w:kern w:val="0"/>
                <w:szCs w:val="21"/>
              </w:rPr>
            </w:pPr>
            <w:r>
              <w:rPr>
                <w:color w:val="auto"/>
                <w:szCs w:val="21"/>
              </w:rPr>
              <w:t>投标人</w:t>
            </w:r>
            <w:r>
              <w:rPr>
                <w:rFonts w:hint="eastAsia"/>
                <w:color w:val="auto"/>
                <w:szCs w:val="21"/>
              </w:rPr>
              <w:t>提供有效分支机构依据且承诺的得1分，无分支机构依据及不承诺或承诺内容不全的不得分。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spacing w:line="300" w:lineRule="exact"/>
              <w:jc w:val="center"/>
              <w:rPr>
                <w:rFonts w:ascii="宋体" w:hAnsi="宋体" w:cs="宋体"/>
                <w:color w:val="auto"/>
                <w:kern w:val="0"/>
                <w:szCs w:val="21"/>
              </w:rPr>
            </w:pPr>
          </w:p>
        </w:tc>
        <w:tc>
          <w:tcPr>
            <w:tcW w:w="1559" w:type="dxa"/>
            <w:noWrap/>
            <w:vAlign w:val="center"/>
          </w:tcPr>
          <w:p>
            <w:pPr>
              <w:spacing w:line="320" w:lineRule="exact"/>
              <w:jc w:val="center"/>
              <w:rPr>
                <w:rFonts w:ascii="宋体" w:hAnsi="宋体"/>
                <w:color w:val="auto"/>
                <w:szCs w:val="21"/>
              </w:rPr>
            </w:pPr>
            <w:r>
              <w:rPr>
                <w:rFonts w:hint="eastAsia" w:ascii="宋体" w:hAnsi="宋体"/>
                <w:color w:val="auto"/>
                <w:sz w:val="22"/>
                <w:szCs w:val="22"/>
              </w:rPr>
              <w:t>3</w:t>
            </w:r>
            <w:r>
              <w:rPr>
                <w:rFonts w:ascii="宋体" w:hAnsi="宋体"/>
                <w:color w:val="auto"/>
                <w:sz w:val="22"/>
                <w:szCs w:val="22"/>
              </w:rPr>
              <w:t>.</w:t>
            </w:r>
            <w:bookmarkStart w:id="73" w:name="OLE_LINK21"/>
            <w:bookmarkStart w:id="74" w:name="OLE_LINK22"/>
            <w:r>
              <w:rPr>
                <w:rFonts w:hint="eastAsia" w:ascii="宋体" w:hAnsi="宋体"/>
                <w:color w:val="auto"/>
                <w:szCs w:val="21"/>
              </w:rPr>
              <w:t>费用减免</w:t>
            </w:r>
            <w:bookmarkEnd w:id="73"/>
            <w:r>
              <w:rPr>
                <w:rFonts w:hint="eastAsia" w:ascii="宋体" w:hAnsi="宋体"/>
                <w:color w:val="auto"/>
                <w:szCs w:val="21"/>
              </w:rPr>
              <w:t>及服务承诺</w:t>
            </w:r>
            <w:bookmarkEnd w:id="74"/>
          </w:p>
          <w:p>
            <w:pPr>
              <w:spacing w:line="320" w:lineRule="exact"/>
              <w:jc w:val="center"/>
              <w:rPr>
                <w:rFonts w:ascii="宋体" w:hAnsi="宋体"/>
                <w:color w:val="auto"/>
                <w:szCs w:val="21"/>
              </w:rPr>
            </w:pPr>
            <w:r>
              <w:rPr>
                <w:rFonts w:hint="eastAsia" w:ascii="宋体" w:hAnsi="宋体"/>
                <w:color w:val="auto"/>
                <w:szCs w:val="21"/>
              </w:rPr>
              <w:t>（3分）</w:t>
            </w:r>
          </w:p>
        </w:tc>
        <w:tc>
          <w:tcPr>
            <w:tcW w:w="6804" w:type="dxa"/>
            <w:noWrap/>
            <w:vAlign w:val="center"/>
          </w:tcPr>
          <w:p>
            <w:pPr>
              <w:spacing w:line="360" w:lineRule="exact"/>
              <w:jc w:val="left"/>
              <w:rPr>
                <w:rFonts w:ascii="宋体" w:hAnsi="宋体" w:cs="宋体"/>
                <w:color w:val="auto"/>
                <w:kern w:val="0"/>
                <w:szCs w:val="21"/>
              </w:rPr>
            </w:pPr>
            <w:bookmarkStart w:id="75" w:name="OLE_LINK12"/>
            <w:r>
              <w:rPr>
                <w:rFonts w:hint="eastAsia" w:ascii="宋体" w:hAnsi="宋体" w:cs="宋体"/>
                <w:color w:val="auto"/>
                <w:kern w:val="0"/>
                <w:szCs w:val="21"/>
              </w:rPr>
              <w:t>根据投标人承诺提供的（支票工本费、支票手续费、电汇手续费、补单手续费、基本帐户维护费、回单箱年费、银行资金出入短信提醒业务（含职工）、网银汇款手续费、外汇汇款手续费、网银U盾手续费、代发工资手续费、网银年费、对公跨行柜台转账汇款手续费）十三项服务费用全减免的得3分，每少减免一项扣0.5分，扣完为止。</w:t>
            </w:r>
            <w:bookmarkEnd w:id="75"/>
          </w:p>
        </w:tc>
      </w:tr>
    </w:tbl>
    <w:p>
      <w:pPr>
        <w:spacing w:line="360" w:lineRule="auto"/>
        <w:rPr>
          <w:rFonts w:ascii="宋体" w:hAnsi="宋体"/>
          <w:color w:val="auto"/>
          <w:szCs w:val="21"/>
        </w:rPr>
      </w:pPr>
      <w:r>
        <w:rPr>
          <w:rFonts w:hint="eastAsia" w:ascii="宋体" w:hAnsi="宋体"/>
          <w:color w:val="auto"/>
          <w:szCs w:val="21"/>
        </w:rPr>
        <w:t>★注：1.以上投标人所提供的资料必须真实有效，如发现提供的数据作假，取消入围资格。</w:t>
      </w:r>
    </w:p>
    <w:p>
      <w:pPr>
        <w:pStyle w:val="8"/>
        <w:snapToGrid w:val="0"/>
        <w:spacing w:beforeLines="0" w:afterLines="0" w:line="360" w:lineRule="auto"/>
        <w:rPr>
          <w:rFonts w:hAnsi="宋体" w:cs="宋体"/>
          <w:b/>
          <w:color w:val="auto"/>
          <w:kern w:val="0"/>
          <w:sz w:val="21"/>
          <w:szCs w:val="21"/>
        </w:rPr>
      </w:pPr>
      <w:r>
        <w:rPr>
          <w:rFonts w:hint="eastAsia" w:hAnsi="宋体"/>
          <w:b/>
          <w:color w:val="auto"/>
          <w:sz w:val="21"/>
          <w:szCs w:val="21"/>
        </w:rPr>
        <w:t xml:space="preserve">      2.上述评标细则表中“%”表述的数据均填写小数，如13.12%，填写为0.1312。</w:t>
      </w:r>
    </w:p>
    <w:p>
      <w:pPr>
        <w:pStyle w:val="8"/>
        <w:snapToGrid w:val="0"/>
        <w:spacing w:beforeLines="0" w:afterLines="0" w:line="360" w:lineRule="auto"/>
        <w:rPr>
          <w:rFonts w:hAnsi="宋体" w:cs="宋体"/>
          <w:b/>
          <w:color w:val="auto"/>
          <w:kern w:val="0"/>
          <w:sz w:val="21"/>
          <w:szCs w:val="21"/>
        </w:rPr>
      </w:pPr>
    </w:p>
    <w:p>
      <w:pPr>
        <w:pStyle w:val="8"/>
        <w:snapToGrid w:val="0"/>
        <w:spacing w:beforeLines="0" w:afterLines="0" w:line="360" w:lineRule="auto"/>
        <w:rPr>
          <w:rFonts w:hAnsi="宋体" w:cs="宋体"/>
          <w:b/>
          <w:color w:val="auto"/>
          <w:kern w:val="0"/>
          <w:sz w:val="21"/>
          <w:szCs w:val="21"/>
        </w:rPr>
      </w:pPr>
      <w:r>
        <w:rPr>
          <w:rFonts w:hint="eastAsia" w:hAnsi="宋体" w:cs="宋体"/>
          <w:b/>
          <w:color w:val="auto"/>
          <w:kern w:val="0"/>
          <w:sz w:val="21"/>
          <w:szCs w:val="21"/>
        </w:rPr>
        <w:t>评审说明：</w:t>
      </w:r>
    </w:p>
    <w:p>
      <w:pPr>
        <w:spacing w:line="360" w:lineRule="auto"/>
        <w:ind w:firstLine="411" w:firstLineChars="196"/>
        <w:rPr>
          <w:rFonts w:ascii="宋体" w:hAnsi="宋体" w:cs="宋体"/>
          <w:bCs/>
          <w:color w:val="auto"/>
          <w:kern w:val="0"/>
          <w:szCs w:val="21"/>
        </w:rPr>
      </w:pPr>
      <w:r>
        <w:rPr>
          <w:rFonts w:hint="eastAsia" w:ascii="宋体" w:hAnsi="宋体" w:cs="宋体"/>
          <w:bCs/>
          <w:color w:val="auto"/>
          <w:kern w:val="0"/>
          <w:szCs w:val="21"/>
        </w:rPr>
        <w:t>1.评审内容中要求提供相关证明材料供评标委员会评审的，投标人应将证明材料做入投标文件中。</w:t>
      </w:r>
    </w:p>
    <w:p>
      <w:pPr>
        <w:spacing w:line="360" w:lineRule="auto"/>
        <w:ind w:firstLine="411" w:firstLineChars="196"/>
        <w:rPr>
          <w:rFonts w:ascii="宋体" w:hAnsi="宋体" w:cs="宋体"/>
          <w:bCs/>
          <w:color w:val="auto"/>
          <w:kern w:val="0"/>
          <w:szCs w:val="21"/>
        </w:rPr>
      </w:pPr>
      <w:r>
        <w:rPr>
          <w:rFonts w:hint="eastAsia" w:ascii="宋体" w:hAnsi="宋体" w:cs="宋体"/>
          <w:bCs/>
          <w:color w:val="auto"/>
          <w:kern w:val="0"/>
          <w:szCs w:val="21"/>
        </w:rPr>
        <w:t>2.投标人提供的证明材料应真实有效，如发现有弄虚作假行为的，招标人将取消其投标资格，已中标的取消其中标资格，并将弄虚作假行为通报给中国银行业监督管理委员会宁波监管局经济技术开发区办事处、中国人民银行北仑支行和北仑区财政局等部门，对招标人造成损失的应相应赔偿，招标人保留依法追究的权利。</w:t>
      </w:r>
    </w:p>
    <w:p>
      <w:pPr>
        <w:snapToGrid w:val="0"/>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3.评标委员会根据“</w:t>
      </w:r>
      <w:r>
        <w:rPr>
          <w:rFonts w:hint="eastAsia" w:ascii="宋体" w:hAnsi="宋体"/>
          <w:color w:val="auto"/>
          <w:szCs w:val="21"/>
        </w:rPr>
        <w:t>评标细则（兼评委打分表）</w:t>
      </w:r>
      <w:r>
        <w:rPr>
          <w:rFonts w:hint="eastAsia" w:ascii="宋体" w:hAnsi="宋体" w:cs="宋体"/>
          <w:bCs/>
          <w:color w:val="auto"/>
          <w:kern w:val="0"/>
          <w:szCs w:val="21"/>
        </w:rPr>
        <w:t>”进行打分，每栏分值不得超出本栏规定的分值范围。</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4.取所有评委打分的算术平均值即为投标人的最终评审得分。（计算结果保留两位小数，第三位四舍五入）</w:t>
      </w:r>
    </w:p>
    <w:p>
      <w:pPr>
        <w:spacing w:line="360" w:lineRule="auto"/>
        <w:ind w:firstLine="420" w:firstLineChars="200"/>
        <w:rPr>
          <w:rFonts w:ascii="宋体" w:hAnsi="宋体" w:cs="宋体"/>
          <w:bCs/>
          <w:color w:val="auto"/>
          <w:kern w:val="0"/>
          <w:szCs w:val="21"/>
          <w:shd w:val="clear" w:color="auto" w:fill="FFFFFF"/>
        </w:rPr>
      </w:pPr>
      <w:r>
        <w:rPr>
          <w:rFonts w:hint="eastAsia" w:ascii="宋体" w:hAnsi="宋体" w:cs="宋体"/>
          <w:bCs/>
          <w:color w:val="auto"/>
          <w:kern w:val="0"/>
          <w:szCs w:val="21"/>
        </w:rPr>
        <w:t>5.评标过程中如有其他特殊情况，由评标委员会集体讨论决定。</w:t>
      </w:r>
    </w:p>
    <w:p>
      <w:pPr>
        <w:rPr>
          <w:rFonts w:ascii="宋体" w:hAnsi="宋体"/>
          <w:b/>
          <w:color w:val="auto"/>
          <w:sz w:val="30"/>
          <w:szCs w:val="30"/>
        </w:rPr>
      </w:pPr>
      <w:r>
        <w:rPr>
          <w:rFonts w:hint="eastAsia" w:ascii="宋体" w:hAnsi="宋体"/>
          <w:b/>
          <w:color w:val="auto"/>
          <w:sz w:val="30"/>
          <w:szCs w:val="30"/>
        </w:rPr>
        <w:br w:type="page"/>
      </w:r>
    </w:p>
    <w:p>
      <w:pPr>
        <w:spacing w:line="360" w:lineRule="auto"/>
        <w:jc w:val="center"/>
        <w:outlineLvl w:val="0"/>
        <w:rPr>
          <w:rFonts w:ascii="宋体" w:hAnsi="宋体"/>
          <w:b/>
          <w:bCs/>
          <w:color w:val="auto"/>
          <w:sz w:val="32"/>
          <w:szCs w:val="32"/>
        </w:rPr>
      </w:pPr>
      <w:bookmarkStart w:id="76" w:name="_Toc182932803"/>
      <w:r>
        <w:rPr>
          <w:rFonts w:hint="eastAsia" w:ascii="宋体" w:hAnsi="宋体"/>
          <w:b/>
          <w:color w:val="auto"/>
          <w:sz w:val="30"/>
          <w:szCs w:val="30"/>
        </w:rPr>
        <w:t>第五章  合同主要条款（参考格式）</w:t>
      </w:r>
      <w:bookmarkEnd w:id="76"/>
    </w:p>
    <w:p>
      <w:pPr>
        <w:pStyle w:val="8"/>
        <w:snapToGrid w:val="0"/>
        <w:spacing w:beforeLines="0" w:afterLines="0" w:line="360" w:lineRule="auto"/>
        <w:rPr>
          <w:rFonts w:hAnsi="宋体"/>
          <w:color w:val="auto"/>
          <w:kern w:val="0"/>
          <w:sz w:val="21"/>
          <w:szCs w:val="21"/>
        </w:rPr>
      </w:pPr>
      <w:r>
        <w:rPr>
          <w:rFonts w:hAnsi="宋体"/>
          <w:color w:val="auto"/>
          <w:sz w:val="21"/>
          <w:szCs w:val="21"/>
        </w:rPr>
        <w:t>项目名称：</w:t>
      </w:r>
      <w:r>
        <w:rPr>
          <w:rFonts w:hint="eastAsia" w:hAnsi="宋体"/>
          <w:color w:val="auto"/>
          <w:kern w:val="0"/>
          <w:sz w:val="21"/>
          <w:szCs w:val="21"/>
        </w:rPr>
        <w:t>北京大学宁波海洋药物研究院基本存款账户项目</w:t>
      </w:r>
    </w:p>
    <w:p>
      <w:pPr>
        <w:pStyle w:val="8"/>
        <w:snapToGrid w:val="0"/>
        <w:spacing w:beforeLines="0" w:afterLines="0" w:line="360" w:lineRule="auto"/>
        <w:rPr>
          <w:rFonts w:hAnsi="宋体"/>
          <w:color w:val="auto"/>
          <w:sz w:val="21"/>
          <w:szCs w:val="21"/>
        </w:rPr>
      </w:pPr>
      <w:r>
        <w:rPr>
          <w:rFonts w:hAnsi="宋体"/>
          <w:color w:val="auto"/>
          <w:sz w:val="21"/>
          <w:szCs w:val="21"/>
        </w:rPr>
        <w:t>项目编号：</w:t>
      </w:r>
      <w:r>
        <w:rPr>
          <w:rFonts w:hint="eastAsia" w:hAnsi="宋体"/>
          <w:color w:val="auto"/>
          <w:kern w:val="0"/>
          <w:sz w:val="21"/>
          <w:szCs w:val="21"/>
        </w:rPr>
        <w:t>NBITC-202420444</w:t>
      </w:r>
    </w:p>
    <w:p>
      <w:pPr>
        <w:pStyle w:val="8"/>
        <w:snapToGrid w:val="0"/>
        <w:spacing w:beforeLines="0" w:afterLines="0" w:line="360" w:lineRule="auto"/>
        <w:rPr>
          <w:rFonts w:hAnsi="宋体"/>
          <w:color w:val="auto"/>
          <w:sz w:val="21"/>
          <w:szCs w:val="21"/>
        </w:rPr>
      </w:pPr>
      <w:r>
        <w:rPr>
          <w:rFonts w:hAnsi="宋体"/>
          <w:color w:val="auto"/>
          <w:sz w:val="21"/>
          <w:szCs w:val="21"/>
        </w:rPr>
        <w:t>甲方：</w:t>
      </w:r>
    </w:p>
    <w:p>
      <w:pPr>
        <w:pStyle w:val="8"/>
        <w:snapToGrid w:val="0"/>
        <w:spacing w:beforeLines="0" w:afterLines="0" w:line="360" w:lineRule="auto"/>
        <w:rPr>
          <w:rFonts w:hAnsi="宋体"/>
          <w:color w:val="auto"/>
          <w:sz w:val="21"/>
          <w:szCs w:val="21"/>
        </w:rPr>
      </w:pPr>
      <w:r>
        <w:rPr>
          <w:rFonts w:hAnsi="宋体"/>
          <w:color w:val="auto"/>
          <w:sz w:val="21"/>
          <w:szCs w:val="21"/>
        </w:rPr>
        <w:t xml:space="preserve">乙方： </w:t>
      </w:r>
    </w:p>
    <w:p>
      <w:pPr>
        <w:pStyle w:val="8"/>
        <w:snapToGrid w:val="0"/>
        <w:spacing w:beforeLines="0" w:afterLines="0" w:line="360" w:lineRule="auto"/>
        <w:ind w:firstLine="420" w:firstLineChars="200"/>
        <w:rPr>
          <w:rFonts w:hAnsi="宋体"/>
          <w:b/>
          <w:color w:val="auto"/>
          <w:sz w:val="21"/>
          <w:szCs w:val="21"/>
        </w:rPr>
      </w:pPr>
      <w:r>
        <w:rPr>
          <w:rFonts w:hAnsi="宋体"/>
          <w:color w:val="auto"/>
          <w:sz w:val="21"/>
          <w:szCs w:val="21"/>
        </w:rPr>
        <w:t>甲、乙双方根据</w:t>
      </w:r>
      <w:r>
        <w:rPr>
          <w:rFonts w:hint="eastAsia" w:hAnsi="宋体"/>
          <w:color w:val="auto"/>
          <w:kern w:val="0"/>
          <w:sz w:val="21"/>
          <w:szCs w:val="21"/>
          <w:u w:val="single"/>
        </w:rPr>
        <w:t>北京大学宁波海洋药物研究院基本存款账户项目</w:t>
      </w:r>
      <w:r>
        <w:rPr>
          <w:rFonts w:hAnsi="宋体"/>
          <w:color w:val="auto"/>
          <w:sz w:val="21"/>
          <w:szCs w:val="21"/>
        </w:rPr>
        <w:t>公开招标的结果，签署本合同。</w:t>
      </w:r>
    </w:p>
    <w:p>
      <w:pPr>
        <w:pStyle w:val="8"/>
        <w:snapToGrid w:val="0"/>
        <w:spacing w:beforeLines="0" w:afterLines="0" w:line="360" w:lineRule="auto"/>
        <w:rPr>
          <w:rFonts w:hAnsi="宋体"/>
          <w:b/>
          <w:color w:val="auto"/>
          <w:sz w:val="21"/>
          <w:szCs w:val="21"/>
        </w:rPr>
      </w:pPr>
      <w:r>
        <w:rPr>
          <w:rFonts w:hAnsi="宋体"/>
          <w:b/>
          <w:color w:val="auto"/>
          <w:sz w:val="21"/>
          <w:szCs w:val="21"/>
        </w:rPr>
        <w:t>一、</w:t>
      </w:r>
      <w:r>
        <w:rPr>
          <w:rFonts w:hint="eastAsia" w:hAnsi="宋体"/>
          <w:b/>
          <w:color w:val="auto"/>
          <w:sz w:val="21"/>
          <w:szCs w:val="21"/>
        </w:rPr>
        <w:t>服务内容及要求</w:t>
      </w:r>
    </w:p>
    <w:p>
      <w:pPr>
        <w:spacing w:line="360" w:lineRule="auto"/>
        <w:ind w:firstLine="411" w:firstLineChars="196"/>
        <w:rPr>
          <w:rFonts w:ascii="宋体" w:hAnsi="宋体" w:cs="宋体"/>
          <w:color w:val="auto"/>
          <w:szCs w:val="21"/>
        </w:rPr>
      </w:pPr>
      <w:r>
        <w:rPr>
          <w:rFonts w:hint="eastAsia" w:ascii="宋体" w:hAnsi="宋体" w:cs="宋体"/>
          <w:color w:val="auto"/>
          <w:szCs w:val="21"/>
        </w:rPr>
        <w:t>1、具有承办本项目业务的能力和服务水平，具备先进的信息反馈系统，能够及时、全面、准确地反映代管的业务信息。</w:t>
      </w:r>
    </w:p>
    <w:p>
      <w:pPr>
        <w:spacing w:line="360" w:lineRule="auto"/>
        <w:ind w:firstLine="411" w:firstLineChars="196"/>
        <w:rPr>
          <w:rFonts w:ascii="宋体" w:hAnsi="宋体" w:cs="宋体"/>
          <w:color w:val="auto"/>
          <w:szCs w:val="21"/>
        </w:rPr>
      </w:pPr>
      <w:r>
        <w:rPr>
          <w:rFonts w:hint="eastAsia" w:ascii="宋体" w:hAnsi="宋体" w:cs="宋体"/>
          <w:color w:val="auto"/>
          <w:szCs w:val="21"/>
        </w:rPr>
        <w:t>2、乙方应及时向甲方提供账户开立、资金存放和结算、保密及解锁、对账服务、分账核算、各类查询、原路退款、电话咨询、网上银行服务等在内的一切配套基本服务，包含服务期间甲方提出的其他各项服务，免收存款人账户各项业务手续费。</w:t>
      </w:r>
    </w:p>
    <w:p>
      <w:pPr>
        <w:spacing w:line="360" w:lineRule="auto"/>
        <w:ind w:firstLine="411" w:firstLineChars="196"/>
        <w:rPr>
          <w:rFonts w:ascii="宋体" w:hAnsi="宋体" w:cs="宋体"/>
          <w:color w:val="auto"/>
          <w:szCs w:val="21"/>
        </w:rPr>
      </w:pPr>
      <w:r>
        <w:rPr>
          <w:rFonts w:hint="eastAsia" w:ascii="宋体" w:hAnsi="宋体" w:cs="宋体"/>
          <w:color w:val="auto"/>
          <w:szCs w:val="21"/>
        </w:rPr>
        <w:t>3、乙方需要协助完成全部存款账户迁移手续（如有时）。</w:t>
      </w:r>
    </w:p>
    <w:p>
      <w:pPr>
        <w:spacing w:line="360" w:lineRule="auto"/>
        <w:ind w:firstLine="411" w:firstLineChars="196"/>
        <w:rPr>
          <w:rFonts w:ascii="宋体" w:hAnsi="宋体" w:cs="宋体"/>
          <w:color w:val="auto"/>
          <w:szCs w:val="21"/>
        </w:rPr>
      </w:pPr>
      <w:r>
        <w:rPr>
          <w:rFonts w:hint="eastAsia" w:ascii="宋体" w:hAnsi="宋体" w:cs="宋体"/>
          <w:color w:val="auto"/>
          <w:szCs w:val="21"/>
        </w:rPr>
        <w:t>4、银行故障或甲方工作遇到疑问时，乙方应该能够30分钟内及时响应甲方疑问或维修要求，并在2小时内提出解决方案，24小时内解决问题。</w:t>
      </w:r>
    </w:p>
    <w:p>
      <w:pPr>
        <w:spacing w:line="360" w:lineRule="auto"/>
        <w:ind w:firstLine="411" w:firstLineChars="196"/>
        <w:rPr>
          <w:rFonts w:ascii="宋体" w:hAnsi="宋体" w:cs="宋体"/>
          <w:color w:val="auto"/>
          <w:szCs w:val="21"/>
        </w:rPr>
      </w:pPr>
      <w:r>
        <w:rPr>
          <w:rFonts w:hint="eastAsia" w:ascii="宋体" w:hAnsi="宋体" w:cs="宋体"/>
          <w:color w:val="auto"/>
          <w:szCs w:val="21"/>
        </w:rPr>
        <w:t>5、入围银行应当在《入围通知书》发出之日起30天内，指派人员与甲方对接并签订存放协议，未执行的视作自动弃权中标资格。</w:t>
      </w:r>
    </w:p>
    <w:p>
      <w:pPr>
        <w:spacing w:line="360" w:lineRule="auto"/>
        <w:ind w:firstLine="411" w:firstLineChars="196"/>
        <w:rPr>
          <w:rFonts w:ascii="宋体" w:hAnsi="宋体" w:cs="宋体"/>
          <w:color w:val="auto"/>
          <w:szCs w:val="21"/>
        </w:rPr>
      </w:pPr>
      <w:r>
        <w:rPr>
          <w:rFonts w:hint="eastAsia" w:ascii="宋体" w:hAnsi="宋体" w:cs="宋体"/>
          <w:color w:val="auto"/>
          <w:szCs w:val="21"/>
        </w:rPr>
        <w:t>6、乙方须在方案中明确列明提供服务的网点，甲方有权根据就近原则选择中标银行的各服务网点。</w:t>
      </w:r>
    </w:p>
    <w:p>
      <w:pPr>
        <w:spacing w:line="360" w:lineRule="auto"/>
        <w:ind w:firstLine="411" w:firstLineChars="196"/>
        <w:rPr>
          <w:rFonts w:ascii="宋体" w:hAnsi="宋体" w:cs="宋体"/>
          <w:color w:val="auto"/>
          <w:szCs w:val="21"/>
        </w:rPr>
      </w:pPr>
      <w:r>
        <w:rPr>
          <w:rFonts w:hint="eastAsia" w:ascii="宋体" w:hAnsi="宋体" w:cs="宋体"/>
          <w:color w:val="auto"/>
          <w:szCs w:val="21"/>
        </w:rPr>
        <w:t>7、能够满足甲方单位根据流动性需求的提前支取（不限支取额度）需求，提前支取通知时间为支取前24小时内。</w:t>
      </w:r>
    </w:p>
    <w:p>
      <w:pPr>
        <w:spacing w:line="360" w:lineRule="auto"/>
        <w:ind w:firstLine="411" w:firstLineChars="196"/>
        <w:rPr>
          <w:rFonts w:hAnsi="宋体"/>
          <w:b/>
          <w:color w:val="auto"/>
          <w:szCs w:val="21"/>
        </w:rPr>
      </w:pPr>
      <w:r>
        <w:rPr>
          <w:rFonts w:ascii="宋体" w:hAnsi="宋体" w:cs="宋体"/>
          <w:color w:val="auto"/>
          <w:szCs w:val="21"/>
        </w:rPr>
        <w:t>8</w:t>
      </w:r>
      <w:r>
        <w:rPr>
          <w:rFonts w:hint="eastAsia" w:ascii="宋体" w:hAnsi="宋体" w:cs="宋体"/>
          <w:color w:val="auto"/>
          <w:szCs w:val="21"/>
        </w:rPr>
        <w:t>、能够保证资金划汇系统和内部网络的安全性，并承担自身网络安全问题方面的有关责任。</w:t>
      </w:r>
    </w:p>
    <w:p>
      <w:pPr>
        <w:pStyle w:val="8"/>
        <w:snapToGrid w:val="0"/>
        <w:spacing w:beforeLines="0" w:afterLines="0" w:line="360" w:lineRule="auto"/>
        <w:rPr>
          <w:rFonts w:hAnsi="宋体"/>
          <w:b/>
          <w:color w:val="auto"/>
          <w:sz w:val="21"/>
          <w:szCs w:val="21"/>
        </w:rPr>
      </w:pPr>
      <w:r>
        <w:rPr>
          <w:rFonts w:hAnsi="宋体"/>
          <w:b/>
          <w:color w:val="auto"/>
          <w:sz w:val="21"/>
          <w:szCs w:val="21"/>
        </w:rPr>
        <w:t>二、合同</w:t>
      </w:r>
      <w:r>
        <w:rPr>
          <w:rFonts w:hint="eastAsia" w:hAnsi="宋体"/>
          <w:b/>
          <w:color w:val="auto"/>
          <w:sz w:val="21"/>
          <w:szCs w:val="21"/>
        </w:rPr>
        <w:t>执行利率</w:t>
      </w:r>
    </w:p>
    <w:p>
      <w:pPr>
        <w:pStyle w:val="8"/>
        <w:snapToGrid w:val="0"/>
        <w:spacing w:beforeLines="0" w:afterLines="0" w:line="360" w:lineRule="auto"/>
        <w:ind w:left="418" w:leftChars="199" w:firstLine="60" w:firstLineChars="29"/>
        <w:rPr>
          <w:rFonts w:hAnsi="宋体"/>
          <w:color w:val="auto"/>
          <w:sz w:val="21"/>
          <w:szCs w:val="21"/>
        </w:rPr>
      </w:pPr>
      <w:r>
        <w:rPr>
          <w:rFonts w:hAnsi="宋体"/>
          <w:color w:val="auto"/>
          <w:sz w:val="21"/>
          <w:szCs w:val="21"/>
        </w:rPr>
        <w:t>2.1 本合同</w:t>
      </w:r>
      <w:r>
        <w:rPr>
          <w:rFonts w:hint="eastAsia" w:hAnsi="宋体"/>
          <w:color w:val="auto"/>
          <w:sz w:val="21"/>
          <w:szCs w:val="21"/>
        </w:rPr>
        <w:t>执行利率：</w:t>
      </w:r>
    </w:p>
    <w:p>
      <w:pPr>
        <w:pStyle w:val="8"/>
        <w:snapToGrid w:val="0"/>
        <w:spacing w:beforeLines="0" w:afterLines="0" w:line="360" w:lineRule="auto"/>
        <w:ind w:left="418" w:leftChars="199" w:firstLine="60" w:firstLineChars="29"/>
        <w:rPr>
          <w:rFonts w:hAnsi="宋体"/>
          <w:color w:val="auto"/>
          <w:sz w:val="21"/>
          <w:szCs w:val="21"/>
        </w:rPr>
      </w:pPr>
      <w:r>
        <w:rPr>
          <w:rFonts w:hint="eastAsia" w:hAnsi="宋体"/>
          <w:color w:val="auto"/>
          <w:sz w:val="21"/>
          <w:szCs w:val="21"/>
        </w:rPr>
        <w:t>按国家规定的规定基准利率基础上浮率：</w:t>
      </w:r>
    </w:p>
    <w:p>
      <w:pPr>
        <w:pStyle w:val="8"/>
        <w:snapToGrid w:val="0"/>
        <w:spacing w:beforeLines="0" w:afterLines="0" w:line="360" w:lineRule="auto"/>
        <w:ind w:left="395" w:leftChars="188" w:firstLine="60" w:firstLineChars="29"/>
        <w:rPr>
          <w:rFonts w:hAnsi="宋体"/>
          <w:color w:val="auto"/>
          <w:sz w:val="21"/>
          <w:szCs w:val="21"/>
        </w:rPr>
      </w:pPr>
      <w:r>
        <w:rPr>
          <w:rFonts w:hint="eastAsia" w:hAnsi="宋体"/>
          <w:color w:val="auto"/>
          <w:sz w:val="21"/>
          <w:szCs w:val="21"/>
        </w:rPr>
        <w:t>活期存款利率：在央行基准利率基础上±</w:t>
      </w:r>
      <w:r>
        <w:rPr>
          <w:rFonts w:hint="eastAsia" w:hAnsi="宋体"/>
          <w:color w:val="auto"/>
          <w:sz w:val="21"/>
          <w:szCs w:val="21"/>
          <w:u w:val="single"/>
        </w:rPr>
        <w:t xml:space="preserve">     </w:t>
      </w:r>
      <w:r>
        <w:rPr>
          <w:rFonts w:hint="eastAsia" w:hAnsi="宋体"/>
          <w:color w:val="auto"/>
          <w:sz w:val="21"/>
          <w:szCs w:val="21"/>
        </w:rPr>
        <w:t>BP；</w:t>
      </w:r>
    </w:p>
    <w:p>
      <w:pPr>
        <w:pStyle w:val="8"/>
        <w:snapToGrid w:val="0"/>
        <w:spacing w:beforeLines="0" w:afterLines="0" w:line="360" w:lineRule="auto"/>
        <w:ind w:left="395" w:leftChars="188" w:firstLine="60" w:firstLineChars="29"/>
        <w:rPr>
          <w:rFonts w:hAnsi="宋体"/>
          <w:color w:val="auto"/>
          <w:sz w:val="21"/>
          <w:szCs w:val="21"/>
        </w:rPr>
      </w:pPr>
      <w:r>
        <w:rPr>
          <w:rFonts w:hint="eastAsia" w:hAnsi="宋体"/>
          <w:color w:val="auto"/>
          <w:sz w:val="21"/>
          <w:szCs w:val="21"/>
        </w:rPr>
        <w:t>协定存款利率：在央行基准利率基础上±</w:t>
      </w:r>
      <w:r>
        <w:rPr>
          <w:rFonts w:hint="eastAsia" w:hAnsi="宋体"/>
          <w:color w:val="auto"/>
          <w:sz w:val="21"/>
          <w:szCs w:val="21"/>
          <w:u w:val="single"/>
        </w:rPr>
        <w:t xml:space="preserve">     </w:t>
      </w:r>
      <w:r>
        <w:rPr>
          <w:rFonts w:hint="eastAsia" w:hAnsi="宋体"/>
          <w:color w:val="auto"/>
          <w:sz w:val="21"/>
          <w:szCs w:val="21"/>
        </w:rPr>
        <w:t>BP；</w:t>
      </w:r>
    </w:p>
    <w:p>
      <w:pPr>
        <w:pStyle w:val="8"/>
        <w:snapToGrid w:val="0"/>
        <w:spacing w:beforeLines="0" w:afterLines="0" w:line="360" w:lineRule="auto"/>
        <w:ind w:left="395" w:leftChars="188" w:firstLine="60" w:firstLineChars="29"/>
        <w:rPr>
          <w:rFonts w:hAnsi="宋体"/>
          <w:color w:val="auto"/>
          <w:sz w:val="21"/>
          <w:szCs w:val="21"/>
        </w:rPr>
      </w:pPr>
      <w:r>
        <w:rPr>
          <w:rFonts w:hint="eastAsia" w:hAnsi="宋体"/>
          <w:color w:val="auto"/>
          <w:sz w:val="21"/>
          <w:szCs w:val="21"/>
        </w:rPr>
        <w:t>七天通知存款利率：在央行基准利率基础上±</w:t>
      </w:r>
      <w:r>
        <w:rPr>
          <w:rFonts w:hint="eastAsia" w:hAnsi="宋体"/>
          <w:color w:val="auto"/>
          <w:sz w:val="21"/>
          <w:szCs w:val="21"/>
          <w:u w:val="single"/>
        </w:rPr>
        <w:t xml:space="preserve">     </w:t>
      </w:r>
      <w:r>
        <w:rPr>
          <w:rFonts w:hint="eastAsia" w:hAnsi="宋体"/>
          <w:color w:val="auto"/>
          <w:sz w:val="21"/>
          <w:szCs w:val="21"/>
        </w:rPr>
        <w:t>BP；</w:t>
      </w:r>
    </w:p>
    <w:p>
      <w:pPr>
        <w:pStyle w:val="8"/>
        <w:snapToGrid w:val="0"/>
        <w:spacing w:beforeLines="0" w:afterLines="0" w:line="360" w:lineRule="auto"/>
        <w:ind w:left="395" w:leftChars="188" w:firstLine="60" w:firstLineChars="29"/>
        <w:rPr>
          <w:rFonts w:hAnsi="宋体"/>
          <w:color w:val="auto"/>
          <w:sz w:val="21"/>
          <w:szCs w:val="21"/>
        </w:rPr>
      </w:pPr>
      <w:r>
        <w:rPr>
          <w:rFonts w:hint="eastAsia" w:hAnsi="宋体"/>
          <w:color w:val="auto"/>
          <w:sz w:val="21"/>
          <w:szCs w:val="21"/>
        </w:rPr>
        <w:t>半年以内(含半年)定期存款利率：在央行基准利率基础上±</w:t>
      </w:r>
      <w:r>
        <w:rPr>
          <w:rFonts w:hint="eastAsia" w:hAnsi="宋体"/>
          <w:color w:val="auto"/>
          <w:sz w:val="21"/>
          <w:szCs w:val="21"/>
          <w:u w:val="single"/>
        </w:rPr>
        <w:t xml:space="preserve">     </w:t>
      </w:r>
      <w:r>
        <w:rPr>
          <w:rFonts w:hint="eastAsia" w:hAnsi="宋体"/>
          <w:color w:val="auto"/>
          <w:sz w:val="21"/>
          <w:szCs w:val="21"/>
        </w:rPr>
        <w:t>BP；</w:t>
      </w:r>
    </w:p>
    <w:p>
      <w:pPr>
        <w:pStyle w:val="8"/>
        <w:snapToGrid w:val="0"/>
        <w:spacing w:beforeLines="0" w:afterLines="0" w:line="360" w:lineRule="auto"/>
        <w:ind w:left="395" w:leftChars="188" w:firstLine="60" w:firstLineChars="29"/>
        <w:rPr>
          <w:rFonts w:hAnsi="宋体"/>
          <w:color w:val="auto"/>
          <w:sz w:val="21"/>
          <w:szCs w:val="21"/>
        </w:rPr>
      </w:pPr>
      <w:r>
        <w:rPr>
          <w:rFonts w:hint="eastAsia" w:hAnsi="宋体"/>
          <w:color w:val="auto"/>
          <w:sz w:val="21"/>
          <w:szCs w:val="21"/>
        </w:rPr>
        <w:t>一年定期存款利率：在央行基准利率基础上±</w:t>
      </w:r>
      <w:r>
        <w:rPr>
          <w:rFonts w:hint="eastAsia" w:hAnsi="宋体"/>
          <w:color w:val="auto"/>
          <w:sz w:val="21"/>
          <w:szCs w:val="21"/>
          <w:u w:val="single"/>
        </w:rPr>
        <w:t xml:space="preserve">     </w:t>
      </w:r>
      <w:r>
        <w:rPr>
          <w:rFonts w:hint="eastAsia" w:hAnsi="宋体"/>
          <w:color w:val="auto"/>
          <w:sz w:val="21"/>
          <w:szCs w:val="21"/>
        </w:rPr>
        <w:t>BP；</w:t>
      </w:r>
    </w:p>
    <w:p>
      <w:pPr>
        <w:widowControl/>
        <w:spacing w:line="360" w:lineRule="auto"/>
        <w:ind w:right="-540" w:rightChars="-257" w:firstLine="422" w:firstLineChars="200"/>
        <w:jc w:val="left"/>
        <w:rPr>
          <w:rFonts w:ascii="宋体" w:hAnsi="宋体"/>
          <w:b/>
          <w:color w:val="auto"/>
          <w:szCs w:val="21"/>
        </w:rPr>
      </w:pPr>
      <w:r>
        <w:rPr>
          <w:rFonts w:hint="eastAsia" w:ascii="宋体" w:hAnsi="宋体"/>
          <w:b/>
          <w:color w:val="auto"/>
          <w:szCs w:val="21"/>
        </w:rPr>
        <w:t>注</w:t>
      </w:r>
      <w:r>
        <w:rPr>
          <w:rFonts w:ascii="宋体" w:hAnsi="宋体"/>
          <w:b/>
          <w:color w:val="auto"/>
          <w:szCs w:val="21"/>
        </w:rPr>
        <w:t>：</w:t>
      </w:r>
      <w:r>
        <w:rPr>
          <w:rFonts w:hint="eastAsia" w:ascii="宋体" w:hAnsi="宋体"/>
          <w:b/>
          <w:color w:val="auto"/>
          <w:szCs w:val="21"/>
        </w:rPr>
        <w:t>利率上浮应符合国家有关利率管理规定，同时符合当地市场利率定价自律机制要求。协议期内，如市场利率定价机制利率上浮上限有调整，存量定期存款自然到期，新增定期存款利率应按调整后的符合自律要求利率上限确定；活期、协定存款利率，自调整日起按最新利率要求执行；存量单笔通知存款,应通知存款人及时支取，新存入通知存款，自调整日起按最新利率要求执行。</w:t>
      </w:r>
    </w:p>
    <w:p>
      <w:pPr>
        <w:widowControl/>
        <w:spacing w:line="360" w:lineRule="auto"/>
        <w:ind w:right="-540" w:rightChars="-257" w:firstLine="422" w:firstLineChars="200"/>
        <w:jc w:val="left"/>
        <w:rPr>
          <w:rFonts w:ascii="宋体" w:hAnsi="宋体"/>
          <w:b/>
          <w:color w:val="auto"/>
          <w:szCs w:val="21"/>
        </w:rPr>
      </w:pPr>
    </w:p>
    <w:p>
      <w:pPr>
        <w:widowControl/>
        <w:spacing w:line="360" w:lineRule="auto"/>
        <w:ind w:right="-540" w:rightChars="-257" w:firstLine="422" w:firstLineChars="200"/>
        <w:jc w:val="left"/>
        <w:rPr>
          <w:rFonts w:ascii="宋体" w:hAnsi="宋体"/>
          <w:b/>
          <w:color w:val="auto"/>
          <w:szCs w:val="21"/>
        </w:rPr>
      </w:pPr>
    </w:p>
    <w:p>
      <w:pPr>
        <w:widowControl/>
        <w:spacing w:line="360" w:lineRule="auto"/>
        <w:ind w:right="-540" w:rightChars="-257" w:firstLine="422" w:firstLineChars="200"/>
        <w:jc w:val="left"/>
        <w:rPr>
          <w:rFonts w:ascii="宋体" w:hAnsi="宋体"/>
          <w:b/>
          <w:color w:val="auto"/>
          <w:szCs w:val="21"/>
        </w:rPr>
      </w:pPr>
      <w:r>
        <w:rPr>
          <w:rFonts w:hint="eastAsia" w:ascii="宋体" w:hAnsi="宋体"/>
          <w:b/>
          <w:color w:val="auto"/>
          <w:szCs w:val="21"/>
        </w:rPr>
        <w:t>利率上浮应符合国家有关利率管理规定，同时符合当地市场利率定价自律机制要求。</w:t>
      </w:r>
    </w:p>
    <w:p>
      <w:pPr>
        <w:widowControl/>
        <w:spacing w:line="360" w:lineRule="auto"/>
        <w:ind w:right="-540" w:rightChars="-257"/>
        <w:jc w:val="left"/>
        <w:rPr>
          <w:rFonts w:ascii="宋体" w:hAnsi="宋体"/>
          <w:b/>
          <w:color w:val="auto"/>
          <w:szCs w:val="21"/>
        </w:rPr>
      </w:pPr>
      <w:r>
        <w:rPr>
          <w:rFonts w:hint="eastAsia" w:ascii="宋体" w:hAnsi="宋体"/>
          <w:b/>
          <w:color w:val="auto"/>
          <w:szCs w:val="21"/>
        </w:rPr>
        <w:t>三、服务期限：</w:t>
      </w:r>
    </w:p>
    <w:p>
      <w:pPr>
        <w:widowControl/>
        <w:spacing w:line="360" w:lineRule="auto"/>
        <w:ind w:right="34" w:rightChars="16" w:firstLine="420" w:firstLineChars="200"/>
        <w:jc w:val="left"/>
        <w:rPr>
          <w:rFonts w:ascii="宋体" w:hAnsi="宋体"/>
          <w:color w:val="auto"/>
          <w:szCs w:val="21"/>
        </w:rPr>
      </w:pPr>
      <w:r>
        <w:rPr>
          <w:rFonts w:hint="eastAsia" w:ascii="宋体" w:hAnsi="宋体"/>
          <w:color w:val="auto"/>
          <w:szCs w:val="21"/>
        </w:rPr>
        <w:t>3.1.2024年   月  日-年  月  日（最长六年，合同一年一签。</w:t>
      </w:r>
      <w:r>
        <w:rPr>
          <w:rFonts w:hint="eastAsia" w:ascii="宋体" w:hAnsi="宋体"/>
          <w:bCs/>
          <w:color w:val="auto"/>
          <w:szCs w:val="21"/>
        </w:rPr>
        <w:t>中标银行的服务达到了招标要求和投标响应的，经双方同意可续签订下一年度的协议。如果服务不能达到招标要求和投标响应的，招标人有权终止协议</w:t>
      </w:r>
      <w:r>
        <w:rPr>
          <w:rFonts w:hint="eastAsia" w:ascii="宋体" w:hAnsi="宋体"/>
          <w:color w:val="auto"/>
          <w:szCs w:val="21"/>
        </w:rPr>
        <w:t>。）</w:t>
      </w:r>
    </w:p>
    <w:p>
      <w:pPr>
        <w:widowControl/>
        <w:spacing w:line="360" w:lineRule="auto"/>
        <w:ind w:right="-540" w:rightChars="-257"/>
        <w:jc w:val="left"/>
        <w:rPr>
          <w:rFonts w:ascii="宋体" w:hAnsi="宋体"/>
          <w:b/>
          <w:color w:val="auto"/>
          <w:szCs w:val="21"/>
        </w:rPr>
      </w:pPr>
      <w:r>
        <w:rPr>
          <w:rFonts w:hint="eastAsia" w:ascii="宋体" w:hAnsi="宋体"/>
          <w:b/>
          <w:color w:val="auto"/>
          <w:szCs w:val="21"/>
        </w:rPr>
        <w:t>四、单位公款存放原则：</w:t>
      </w:r>
    </w:p>
    <w:p>
      <w:pPr>
        <w:widowControl/>
        <w:spacing w:line="360" w:lineRule="auto"/>
        <w:ind w:right="-540" w:rightChars="-257" w:firstLine="420" w:firstLineChars="200"/>
        <w:jc w:val="left"/>
        <w:rPr>
          <w:rFonts w:ascii="宋体" w:hAnsi="宋体"/>
          <w:color w:val="auto"/>
          <w:szCs w:val="21"/>
        </w:rPr>
      </w:pPr>
      <w:r>
        <w:rPr>
          <w:rFonts w:hint="eastAsia" w:ascii="宋体" w:hAnsi="宋体"/>
          <w:color w:val="auto"/>
          <w:szCs w:val="21"/>
        </w:rPr>
        <w:t>4.1.公开、公平、公正原则。单位资金竞争性存放应公开、公平、公正开展，防范廉政风险；</w:t>
      </w:r>
    </w:p>
    <w:p>
      <w:pPr>
        <w:widowControl/>
        <w:spacing w:line="360" w:lineRule="auto"/>
        <w:ind w:right="34" w:rightChars="16" w:firstLine="420" w:firstLineChars="200"/>
        <w:jc w:val="left"/>
        <w:rPr>
          <w:rFonts w:ascii="宋体" w:hAnsi="宋体"/>
          <w:color w:val="auto"/>
          <w:szCs w:val="21"/>
        </w:rPr>
      </w:pPr>
      <w:r>
        <w:rPr>
          <w:rFonts w:hint="eastAsia" w:ascii="宋体" w:hAnsi="宋体"/>
          <w:color w:val="auto"/>
          <w:szCs w:val="21"/>
        </w:rPr>
        <w:t>4.2.安全性、流动性、收益性相统一原则。在确保单位资金安全和资金支付流动性需求基础上，实现资金保值增值；</w:t>
      </w:r>
    </w:p>
    <w:p>
      <w:pPr>
        <w:widowControl/>
        <w:spacing w:line="360" w:lineRule="auto"/>
        <w:ind w:right="34" w:rightChars="16" w:firstLine="420" w:firstLineChars="200"/>
        <w:jc w:val="left"/>
        <w:rPr>
          <w:rFonts w:ascii="宋体" w:hAnsi="宋体"/>
          <w:color w:val="auto"/>
          <w:szCs w:val="21"/>
        </w:rPr>
      </w:pPr>
      <w:r>
        <w:rPr>
          <w:rFonts w:hint="eastAsia" w:ascii="宋体" w:hAnsi="宋体"/>
          <w:color w:val="auto"/>
          <w:szCs w:val="21"/>
        </w:rPr>
        <w:t>4.3.突出重点、兼顾效率原则。重点做好对大额资金、专项资金的竞争性存放，在效益优先的同时，确保工作效率。</w:t>
      </w:r>
    </w:p>
    <w:p>
      <w:pPr>
        <w:widowControl/>
        <w:spacing w:line="360" w:lineRule="auto"/>
        <w:ind w:right="-540" w:rightChars="-257" w:firstLine="420" w:firstLineChars="200"/>
        <w:jc w:val="left"/>
        <w:rPr>
          <w:rFonts w:ascii="宋体" w:hAnsi="宋体"/>
          <w:color w:val="auto"/>
          <w:szCs w:val="21"/>
        </w:rPr>
      </w:pPr>
      <w:r>
        <w:rPr>
          <w:rFonts w:hint="eastAsia" w:ascii="宋体" w:hAnsi="宋体"/>
          <w:color w:val="auto"/>
          <w:szCs w:val="21"/>
        </w:rPr>
        <w:t>4.4.服务内容安全、便捷、灵活。</w:t>
      </w:r>
    </w:p>
    <w:p>
      <w:pPr>
        <w:snapToGrid w:val="0"/>
        <w:spacing w:line="360" w:lineRule="auto"/>
        <w:rPr>
          <w:rFonts w:ascii="宋体" w:hAnsi="宋体"/>
          <w:b/>
          <w:color w:val="auto"/>
          <w:szCs w:val="21"/>
        </w:rPr>
      </w:pPr>
      <w:r>
        <w:rPr>
          <w:rFonts w:hint="eastAsia" w:ascii="宋体" w:hAnsi="宋体"/>
          <w:b/>
          <w:color w:val="auto"/>
          <w:szCs w:val="21"/>
        </w:rPr>
        <w:t>五、转包或分包</w:t>
      </w:r>
    </w:p>
    <w:p>
      <w:pPr>
        <w:snapToGrid w:val="0"/>
        <w:spacing w:line="360" w:lineRule="auto"/>
        <w:ind w:firstLine="420" w:firstLineChars="200"/>
        <w:rPr>
          <w:rFonts w:ascii="宋体" w:hAnsi="宋体"/>
          <w:color w:val="auto"/>
          <w:szCs w:val="21"/>
        </w:rPr>
      </w:pPr>
      <w:r>
        <w:rPr>
          <w:rFonts w:hint="eastAsia" w:ascii="宋体" w:hAnsi="宋体"/>
          <w:color w:val="auto"/>
          <w:szCs w:val="21"/>
        </w:rPr>
        <w:t>5.1.本合同范围的服务，应由乙方直接供应，不得转让他人供应；</w:t>
      </w:r>
    </w:p>
    <w:p>
      <w:pPr>
        <w:snapToGrid w:val="0"/>
        <w:spacing w:line="360" w:lineRule="auto"/>
        <w:ind w:firstLine="420" w:firstLineChars="200"/>
        <w:rPr>
          <w:rFonts w:ascii="宋体" w:hAnsi="宋体"/>
          <w:color w:val="auto"/>
          <w:szCs w:val="21"/>
        </w:rPr>
      </w:pPr>
      <w:r>
        <w:rPr>
          <w:rFonts w:hint="eastAsia" w:ascii="宋体" w:hAnsi="宋体"/>
          <w:color w:val="auto"/>
          <w:szCs w:val="21"/>
        </w:rPr>
        <w:t>5.2.除非得到甲方的书面同意，乙方不得部分分包给他人供应。</w:t>
      </w:r>
    </w:p>
    <w:p>
      <w:pPr>
        <w:snapToGrid w:val="0"/>
        <w:spacing w:line="360" w:lineRule="auto"/>
        <w:ind w:firstLine="420" w:firstLineChars="200"/>
        <w:rPr>
          <w:rFonts w:ascii="宋体" w:hAnsi="宋体"/>
          <w:color w:val="auto"/>
          <w:szCs w:val="21"/>
        </w:rPr>
      </w:pPr>
      <w:r>
        <w:rPr>
          <w:rFonts w:hint="eastAsia" w:ascii="宋体" w:hAnsi="宋体"/>
          <w:color w:val="auto"/>
          <w:szCs w:val="21"/>
        </w:rPr>
        <w:t>5.3.如有转让和未经甲方同意的分包行为，甲方有权给予终止合同。</w:t>
      </w:r>
    </w:p>
    <w:p>
      <w:pPr>
        <w:snapToGrid w:val="0"/>
        <w:spacing w:line="360" w:lineRule="auto"/>
        <w:rPr>
          <w:rFonts w:ascii="宋体" w:hAnsi="宋体"/>
          <w:b/>
          <w:color w:val="auto"/>
          <w:szCs w:val="21"/>
        </w:rPr>
      </w:pPr>
      <w:r>
        <w:rPr>
          <w:rFonts w:hint="eastAsia" w:ascii="宋体" w:hAnsi="宋体"/>
          <w:b/>
          <w:color w:val="auto"/>
          <w:szCs w:val="21"/>
        </w:rPr>
        <w:t>六、税</w:t>
      </w:r>
    </w:p>
    <w:p>
      <w:pPr>
        <w:snapToGrid w:val="0"/>
        <w:spacing w:line="360" w:lineRule="auto"/>
        <w:ind w:firstLine="420" w:firstLineChars="200"/>
        <w:rPr>
          <w:rFonts w:ascii="宋体" w:hAnsi="宋体"/>
          <w:color w:val="auto"/>
          <w:szCs w:val="21"/>
        </w:rPr>
      </w:pPr>
      <w:r>
        <w:rPr>
          <w:rFonts w:hint="eastAsia" w:ascii="宋体" w:hAnsi="宋体"/>
          <w:color w:val="auto"/>
          <w:szCs w:val="21"/>
        </w:rPr>
        <w:t>6.1.本合同执行中相关的一切税费均由乙方负担。</w:t>
      </w:r>
    </w:p>
    <w:p>
      <w:pPr>
        <w:pStyle w:val="8"/>
        <w:snapToGrid w:val="0"/>
        <w:spacing w:beforeLines="0" w:afterLines="0" w:line="360" w:lineRule="auto"/>
        <w:ind w:left="360" w:hanging="361" w:hangingChars="171"/>
        <w:rPr>
          <w:rFonts w:hAnsi="宋体"/>
          <w:color w:val="auto"/>
          <w:sz w:val="21"/>
          <w:szCs w:val="21"/>
        </w:rPr>
      </w:pPr>
      <w:r>
        <w:rPr>
          <w:rFonts w:hint="eastAsia" w:hAnsi="宋体"/>
          <w:b/>
          <w:color w:val="auto"/>
          <w:sz w:val="21"/>
          <w:szCs w:val="21"/>
        </w:rPr>
        <w:t>七</w:t>
      </w:r>
      <w:r>
        <w:rPr>
          <w:rFonts w:hAnsi="宋体"/>
          <w:b/>
          <w:color w:val="auto"/>
          <w:sz w:val="21"/>
          <w:szCs w:val="21"/>
        </w:rPr>
        <w:t>、质量保证及售后服务</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7</w:t>
      </w:r>
      <w:r>
        <w:rPr>
          <w:rFonts w:hAnsi="宋体"/>
          <w:color w:val="auto"/>
          <w:sz w:val="21"/>
          <w:szCs w:val="21"/>
        </w:rPr>
        <w:t>.1</w:t>
      </w:r>
      <w:r>
        <w:rPr>
          <w:rFonts w:hint="eastAsia" w:hAnsi="宋体"/>
          <w:color w:val="auto"/>
          <w:sz w:val="21"/>
          <w:szCs w:val="21"/>
        </w:rPr>
        <w:t>.</w:t>
      </w:r>
      <w:r>
        <w:rPr>
          <w:rFonts w:hAnsi="宋体"/>
          <w:color w:val="auto"/>
          <w:sz w:val="21"/>
          <w:szCs w:val="21"/>
        </w:rPr>
        <w:t>乙方应按招标文件规定的</w:t>
      </w:r>
      <w:r>
        <w:rPr>
          <w:rFonts w:hint="eastAsia" w:hAnsi="宋体"/>
          <w:color w:val="auto"/>
          <w:sz w:val="21"/>
          <w:szCs w:val="21"/>
        </w:rPr>
        <w:t>服务</w:t>
      </w:r>
      <w:r>
        <w:rPr>
          <w:rFonts w:hAnsi="宋体"/>
          <w:color w:val="auto"/>
          <w:sz w:val="21"/>
          <w:szCs w:val="21"/>
        </w:rPr>
        <w:t>要求、质量标准向甲方提供</w:t>
      </w:r>
      <w:r>
        <w:rPr>
          <w:rFonts w:hint="eastAsia" w:hAnsi="宋体"/>
          <w:color w:val="auto"/>
          <w:sz w:val="21"/>
          <w:szCs w:val="21"/>
        </w:rPr>
        <w:t>完整服务</w:t>
      </w:r>
      <w:r>
        <w:rPr>
          <w:rFonts w:hAnsi="宋体"/>
          <w:color w:val="auto"/>
          <w:sz w:val="21"/>
          <w:szCs w:val="21"/>
        </w:rPr>
        <w:t>。</w:t>
      </w:r>
    </w:p>
    <w:p>
      <w:pPr>
        <w:pStyle w:val="8"/>
        <w:snapToGrid w:val="0"/>
        <w:spacing w:beforeLines="0" w:afterLines="0" w:line="360" w:lineRule="auto"/>
        <w:rPr>
          <w:rFonts w:hAnsi="宋体"/>
          <w:b/>
          <w:color w:val="auto"/>
          <w:sz w:val="21"/>
          <w:szCs w:val="21"/>
        </w:rPr>
      </w:pPr>
      <w:r>
        <w:rPr>
          <w:rFonts w:hint="eastAsia" w:hAnsi="宋体"/>
          <w:b/>
          <w:color w:val="auto"/>
          <w:sz w:val="21"/>
          <w:szCs w:val="21"/>
        </w:rPr>
        <w:t>八</w:t>
      </w:r>
      <w:r>
        <w:rPr>
          <w:rFonts w:hAnsi="宋体"/>
          <w:b/>
          <w:color w:val="auto"/>
          <w:sz w:val="21"/>
          <w:szCs w:val="21"/>
        </w:rPr>
        <w:t>、不可抗力事件处理</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8</w:t>
      </w:r>
      <w:r>
        <w:rPr>
          <w:rFonts w:hAnsi="宋体"/>
          <w:color w:val="auto"/>
          <w:sz w:val="21"/>
          <w:szCs w:val="21"/>
        </w:rPr>
        <w:t>.1</w:t>
      </w:r>
      <w:r>
        <w:rPr>
          <w:rFonts w:hint="eastAsia" w:hAnsi="宋体"/>
          <w:color w:val="auto"/>
          <w:sz w:val="21"/>
          <w:szCs w:val="21"/>
        </w:rPr>
        <w:t>.</w:t>
      </w:r>
      <w:r>
        <w:rPr>
          <w:rFonts w:hAnsi="宋体"/>
          <w:color w:val="auto"/>
          <w:sz w:val="21"/>
          <w:szCs w:val="21"/>
        </w:rPr>
        <w:t>在合同有效期内，任何一方因不可抗力事件导致不能履行合同，则合同履行期可延长，其延长期与不可抗力影响期相同。</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8</w:t>
      </w:r>
      <w:r>
        <w:rPr>
          <w:rFonts w:hAnsi="宋体"/>
          <w:color w:val="auto"/>
          <w:sz w:val="21"/>
          <w:szCs w:val="21"/>
        </w:rPr>
        <w:t>.2</w:t>
      </w:r>
      <w:r>
        <w:rPr>
          <w:rFonts w:hint="eastAsia" w:hAnsi="宋体"/>
          <w:color w:val="auto"/>
          <w:sz w:val="21"/>
          <w:szCs w:val="21"/>
        </w:rPr>
        <w:t>.</w:t>
      </w:r>
      <w:r>
        <w:rPr>
          <w:rFonts w:hAnsi="宋体"/>
          <w:color w:val="auto"/>
          <w:sz w:val="21"/>
          <w:szCs w:val="21"/>
        </w:rPr>
        <w:t>不可抗力事件发生后，应立即通知对方，并寄送有关权威机构出具的证明。</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8</w:t>
      </w:r>
      <w:r>
        <w:rPr>
          <w:rFonts w:hAnsi="宋体"/>
          <w:color w:val="auto"/>
          <w:sz w:val="21"/>
          <w:szCs w:val="21"/>
        </w:rPr>
        <w:t>.3</w:t>
      </w:r>
      <w:r>
        <w:rPr>
          <w:rFonts w:hint="eastAsia" w:hAnsi="宋体"/>
          <w:color w:val="auto"/>
          <w:sz w:val="21"/>
          <w:szCs w:val="21"/>
        </w:rPr>
        <w:t>.</w:t>
      </w:r>
      <w:r>
        <w:rPr>
          <w:rFonts w:hAnsi="宋体"/>
          <w:color w:val="auto"/>
          <w:sz w:val="21"/>
          <w:szCs w:val="21"/>
        </w:rPr>
        <w:t>不可抗力事件延续120天以上，双方应通过友好协商，确定是否继续履行合同。</w:t>
      </w:r>
    </w:p>
    <w:p>
      <w:pPr>
        <w:pStyle w:val="8"/>
        <w:snapToGrid w:val="0"/>
        <w:spacing w:beforeLines="0" w:afterLines="0" w:line="360" w:lineRule="auto"/>
        <w:rPr>
          <w:rFonts w:hAnsi="宋体"/>
          <w:b/>
          <w:color w:val="auto"/>
          <w:sz w:val="21"/>
          <w:szCs w:val="21"/>
        </w:rPr>
      </w:pPr>
      <w:r>
        <w:rPr>
          <w:rFonts w:hint="eastAsia" w:hAnsi="宋体"/>
          <w:b/>
          <w:color w:val="auto"/>
          <w:sz w:val="21"/>
          <w:szCs w:val="21"/>
        </w:rPr>
        <w:t>九</w:t>
      </w:r>
      <w:r>
        <w:rPr>
          <w:rFonts w:hAnsi="宋体"/>
          <w:b/>
          <w:color w:val="auto"/>
          <w:sz w:val="21"/>
          <w:szCs w:val="21"/>
        </w:rPr>
        <w:t>、诉讼</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9</w:t>
      </w:r>
      <w:r>
        <w:rPr>
          <w:rFonts w:hAnsi="宋体"/>
          <w:color w:val="auto"/>
          <w:sz w:val="21"/>
          <w:szCs w:val="21"/>
        </w:rPr>
        <w:t>.1</w:t>
      </w:r>
      <w:r>
        <w:rPr>
          <w:rFonts w:hint="eastAsia" w:hAnsi="宋体"/>
          <w:color w:val="auto"/>
          <w:sz w:val="21"/>
          <w:szCs w:val="21"/>
        </w:rPr>
        <w:t>.</w:t>
      </w:r>
      <w:r>
        <w:rPr>
          <w:rFonts w:hAnsi="宋体"/>
          <w:color w:val="auto"/>
          <w:sz w:val="21"/>
          <w:szCs w:val="21"/>
        </w:rPr>
        <w:t>双方在执行合同中所发生的一切争议，应通过协商解决。如协商不成，可向合同签订地法院起诉，合同签订地在此约定为</w:t>
      </w:r>
      <w:r>
        <w:rPr>
          <w:rFonts w:hint="eastAsia" w:hAnsi="宋体"/>
          <w:color w:val="auto"/>
          <w:sz w:val="21"/>
          <w:szCs w:val="21"/>
        </w:rPr>
        <w:t>宁波市</w:t>
      </w:r>
      <w:r>
        <w:rPr>
          <w:rFonts w:hAnsi="宋体"/>
          <w:color w:val="auto"/>
          <w:sz w:val="21"/>
          <w:szCs w:val="21"/>
        </w:rPr>
        <w:t>。</w:t>
      </w:r>
    </w:p>
    <w:p>
      <w:pPr>
        <w:pStyle w:val="8"/>
        <w:snapToGrid w:val="0"/>
        <w:spacing w:beforeLines="0" w:afterLines="0" w:line="360" w:lineRule="auto"/>
        <w:rPr>
          <w:rFonts w:hAnsi="宋体"/>
          <w:b/>
          <w:color w:val="auto"/>
          <w:sz w:val="21"/>
          <w:szCs w:val="21"/>
        </w:rPr>
      </w:pPr>
      <w:r>
        <w:rPr>
          <w:rFonts w:hAnsi="宋体"/>
          <w:b/>
          <w:color w:val="auto"/>
          <w:sz w:val="21"/>
          <w:szCs w:val="21"/>
        </w:rPr>
        <w:t>十、合同生效及其它</w:t>
      </w:r>
    </w:p>
    <w:p>
      <w:pPr>
        <w:pStyle w:val="8"/>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10</w:t>
      </w:r>
      <w:r>
        <w:rPr>
          <w:rFonts w:hAnsi="宋体"/>
          <w:color w:val="auto"/>
          <w:sz w:val="21"/>
          <w:szCs w:val="21"/>
        </w:rPr>
        <w:t>.1</w:t>
      </w:r>
      <w:r>
        <w:rPr>
          <w:rFonts w:hint="eastAsia" w:hAnsi="宋体"/>
          <w:color w:val="auto"/>
          <w:sz w:val="21"/>
          <w:szCs w:val="21"/>
        </w:rPr>
        <w:t>.</w:t>
      </w:r>
      <w:r>
        <w:rPr>
          <w:rFonts w:hAnsi="宋体"/>
          <w:color w:val="auto"/>
          <w:sz w:val="21"/>
          <w:szCs w:val="21"/>
        </w:rPr>
        <w:t>合同经双方法定代表人（或单位负责人）或授权委托代理人签字并加盖单位公章后生效。</w:t>
      </w:r>
    </w:p>
    <w:p>
      <w:pPr>
        <w:pStyle w:val="8"/>
        <w:snapToGrid w:val="0"/>
        <w:spacing w:beforeLines="0" w:afterLines="0" w:line="360" w:lineRule="auto"/>
        <w:ind w:left="420" w:leftChars="200"/>
        <w:rPr>
          <w:rFonts w:hAnsi="宋体"/>
          <w:color w:val="auto"/>
          <w:sz w:val="21"/>
          <w:szCs w:val="21"/>
        </w:rPr>
      </w:pPr>
      <w:r>
        <w:rPr>
          <w:rFonts w:hint="eastAsia" w:hAnsi="宋体"/>
          <w:color w:val="auto"/>
          <w:sz w:val="21"/>
          <w:szCs w:val="21"/>
        </w:rPr>
        <w:t>10</w:t>
      </w:r>
      <w:r>
        <w:rPr>
          <w:rFonts w:hAnsi="宋体"/>
          <w:color w:val="auto"/>
          <w:sz w:val="21"/>
          <w:szCs w:val="21"/>
        </w:rPr>
        <w:t>.</w:t>
      </w:r>
      <w:r>
        <w:rPr>
          <w:rFonts w:hint="eastAsia" w:hAnsi="宋体"/>
          <w:color w:val="auto"/>
          <w:sz w:val="21"/>
          <w:szCs w:val="21"/>
        </w:rPr>
        <w:t>2.</w:t>
      </w:r>
      <w:r>
        <w:rPr>
          <w:rFonts w:hAnsi="宋体"/>
          <w:color w:val="auto"/>
          <w:sz w:val="21"/>
          <w:szCs w:val="21"/>
        </w:rPr>
        <w:t>本合同未尽事宜，遵照《</w:t>
      </w:r>
      <w:r>
        <w:rPr>
          <w:rFonts w:hint="eastAsia" w:hAnsi="宋体"/>
          <w:color w:val="auto"/>
          <w:sz w:val="21"/>
          <w:szCs w:val="21"/>
        </w:rPr>
        <w:t>中华人民共和国民法典</w:t>
      </w:r>
      <w:r>
        <w:rPr>
          <w:rFonts w:hAnsi="宋体"/>
          <w:color w:val="auto"/>
          <w:sz w:val="21"/>
          <w:szCs w:val="21"/>
        </w:rPr>
        <w:t>》有关条文执行。</w:t>
      </w:r>
    </w:p>
    <w:p>
      <w:pPr>
        <w:pStyle w:val="8"/>
        <w:snapToGrid w:val="0"/>
        <w:spacing w:beforeLines="0" w:afterLines="0" w:line="360" w:lineRule="auto"/>
        <w:ind w:left="420" w:leftChars="200"/>
        <w:rPr>
          <w:rFonts w:hAnsi="宋体"/>
          <w:color w:val="auto"/>
          <w:sz w:val="21"/>
          <w:szCs w:val="21"/>
        </w:rPr>
      </w:pPr>
      <w:r>
        <w:rPr>
          <w:rFonts w:hint="eastAsia" w:hAnsi="宋体"/>
          <w:color w:val="auto"/>
          <w:sz w:val="21"/>
          <w:szCs w:val="21"/>
        </w:rPr>
        <w:t>10</w:t>
      </w:r>
      <w:r>
        <w:rPr>
          <w:rFonts w:hAnsi="宋体"/>
          <w:color w:val="auto"/>
          <w:sz w:val="21"/>
          <w:szCs w:val="21"/>
        </w:rPr>
        <w:t>.</w:t>
      </w:r>
      <w:r>
        <w:rPr>
          <w:rFonts w:hint="eastAsia" w:hAnsi="宋体"/>
          <w:color w:val="auto"/>
          <w:sz w:val="21"/>
          <w:szCs w:val="21"/>
        </w:rPr>
        <w:t>3.</w:t>
      </w:r>
      <w:r>
        <w:rPr>
          <w:rFonts w:hAnsi="宋体"/>
          <w:color w:val="auto"/>
          <w:sz w:val="21"/>
          <w:szCs w:val="21"/>
        </w:rPr>
        <w:t>本合同正本一式两份，具有同等法律效力，甲乙双方各执一份；副本</w:t>
      </w:r>
      <w:r>
        <w:rPr>
          <w:rFonts w:hint="eastAsia" w:hAnsi="宋体"/>
          <w:b/>
          <w:color w:val="auto"/>
          <w:sz w:val="21"/>
          <w:szCs w:val="21"/>
          <w:u w:val="single"/>
        </w:rPr>
        <w:t xml:space="preserve">   </w:t>
      </w:r>
      <w:r>
        <w:rPr>
          <w:rFonts w:hAnsi="宋体"/>
          <w:color w:val="auto"/>
          <w:sz w:val="21"/>
          <w:szCs w:val="21"/>
        </w:rPr>
        <w:t>份，(用途)。</w:t>
      </w:r>
    </w:p>
    <w:p>
      <w:pPr>
        <w:pStyle w:val="8"/>
        <w:snapToGrid w:val="0"/>
        <w:spacing w:beforeLines="0" w:afterLines="0" w:line="360" w:lineRule="auto"/>
        <w:ind w:left="420" w:hanging="420" w:hangingChars="200"/>
        <w:rPr>
          <w:rFonts w:hAnsi="宋体"/>
          <w:color w:val="auto"/>
          <w:sz w:val="21"/>
          <w:szCs w:val="21"/>
        </w:rPr>
      </w:pPr>
      <w:r>
        <w:rPr>
          <w:rFonts w:hAnsi="宋体"/>
          <w:color w:val="auto"/>
          <w:sz w:val="21"/>
          <w:szCs w:val="21"/>
        </w:rPr>
        <w:t xml:space="preserve">甲方：                                   乙方： </w:t>
      </w:r>
    </w:p>
    <w:p>
      <w:pPr>
        <w:pStyle w:val="8"/>
        <w:snapToGrid w:val="0"/>
        <w:spacing w:beforeLines="0" w:afterLines="0" w:line="360" w:lineRule="auto"/>
        <w:rPr>
          <w:rFonts w:hAnsi="宋体"/>
          <w:color w:val="auto"/>
          <w:sz w:val="21"/>
          <w:szCs w:val="21"/>
        </w:rPr>
      </w:pPr>
      <w:r>
        <w:rPr>
          <w:rFonts w:hAnsi="宋体"/>
          <w:color w:val="auto"/>
          <w:sz w:val="21"/>
          <w:szCs w:val="21"/>
        </w:rPr>
        <w:t xml:space="preserve">地址：                                   地址： </w:t>
      </w:r>
    </w:p>
    <w:p>
      <w:pPr>
        <w:pStyle w:val="8"/>
        <w:snapToGrid w:val="0"/>
        <w:spacing w:beforeLines="0" w:afterLines="0" w:line="360" w:lineRule="auto"/>
        <w:rPr>
          <w:rFonts w:hAnsi="宋体"/>
          <w:color w:val="auto"/>
          <w:sz w:val="21"/>
          <w:szCs w:val="21"/>
        </w:rPr>
      </w:pPr>
      <w:r>
        <w:rPr>
          <w:rFonts w:hAnsi="宋体"/>
          <w:color w:val="auto"/>
          <w:sz w:val="21"/>
          <w:szCs w:val="21"/>
        </w:rPr>
        <w:t>法定代表人：                             法定代表人（或单位负责人）：</w:t>
      </w:r>
    </w:p>
    <w:p>
      <w:pPr>
        <w:pStyle w:val="8"/>
        <w:snapToGrid w:val="0"/>
        <w:spacing w:beforeLines="0" w:afterLines="0" w:line="360" w:lineRule="auto"/>
        <w:rPr>
          <w:rFonts w:hAnsi="宋体"/>
          <w:color w:val="auto"/>
          <w:sz w:val="21"/>
          <w:szCs w:val="21"/>
        </w:rPr>
      </w:pPr>
      <w:r>
        <w:rPr>
          <w:rFonts w:hAnsi="宋体"/>
          <w:color w:val="auto"/>
          <w:sz w:val="21"/>
          <w:szCs w:val="21"/>
        </w:rPr>
        <w:t xml:space="preserve">签订地点：                    </w:t>
      </w:r>
    </w:p>
    <w:p>
      <w:pPr>
        <w:pStyle w:val="8"/>
        <w:snapToGrid w:val="0"/>
        <w:spacing w:beforeLines="0" w:afterLines="0" w:line="360" w:lineRule="auto"/>
        <w:rPr>
          <w:rFonts w:hAnsi="宋体"/>
          <w:color w:val="auto"/>
          <w:sz w:val="21"/>
          <w:szCs w:val="21"/>
        </w:rPr>
      </w:pPr>
      <w:r>
        <w:rPr>
          <w:rFonts w:hAnsi="宋体"/>
          <w:color w:val="auto"/>
          <w:sz w:val="21"/>
          <w:szCs w:val="21"/>
        </w:rPr>
        <w:t>签订日期：      年  月  日</w:t>
      </w:r>
    </w:p>
    <w:p>
      <w:pPr>
        <w:pStyle w:val="8"/>
        <w:snapToGrid w:val="0"/>
        <w:spacing w:beforeLines="0" w:afterLines="0" w:line="360" w:lineRule="auto"/>
        <w:rPr>
          <w:rFonts w:hAnsi="宋体"/>
          <w:color w:val="auto"/>
          <w:sz w:val="21"/>
          <w:szCs w:val="21"/>
        </w:rPr>
      </w:pPr>
    </w:p>
    <w:p>
      <w:pPr>
        <w:pStyle w:val="8"/>
        <w:snapToGrid w:val="0"/>
        <w:spacing w:beforeLines="0" w:afterLines="0" w:line="360" w:lineRule="auto"/>
        <w:rPr>
          <w:rFonts w:hAnsi="宋体"/>
          <w:color w:val="auto"/>
          <w:sz w:val="21"/>
          <w:szCs w:val="21"/>
        </w:rPr>
      </w:pPr>
    </w:p>
    <w:p>
      <w:pPr>
        <w:pStyle w:val="8"/>
        <w:snapToGrid w:val="0"/>
        <w:spacing w:beforeLines="0" w:afterLines="0" w:line="360" w:lineRule="auto"/>
        <w:rPr>
          <w:rFonts w:hAnsi="宋体"/>
          <w:color w:val="auto"/>
          <w:sz w:val="21"/>
          <w:szCs w:val="21"/>
        </w:rPr>
      </w:pPr>
    </w:p>
    <w:p>
      <w:pPr>
        <w:widowControl/>
        <w:jc w:val="left"/>
        <w:rPr>
          <w:rFonts w:ascii="宋体" w:hAnsi="宋体"/>
          <w:color w:val="auto"/>
          <w:szCs w:val="21"/>
        </w:rPr>
      </w:pPr>
      <w:bookmarkStart w:id="77" w:name="_Toc182932805"/>
      <w:r>
        <w:rPr>
          <w:rFonts w:ascii="宋体" w:hAnsi="宋体"/>
          <w:color w:val="auto"/>
          <w:szCs w:val="21"/>
        </w:rPr>
        <w:br w:type="page"/>
      </w:r>
    </w:p>
    <w:p>
      <w:pPr>
        <w:adjustRightInd w:val="0"/>
        <w:snapToGrid w:val="0"/>
        <w:spacing w:before="120" w:after="120" w:line="360" w:lineRule="auto"/>
        <w:ind w:firstLine="3463" w:firstLineChars="1150"/>
        <w:outlineLvl w:val="0"/>
        <w:rPr>
          <w:rFonts w:ascii="宋体" w:hAnsi="宋体"/>
          <w:color w:val="auto"/>
          <w:sz w:val="28"/>
          <w:szCs w:val="28"/>
        </w:rPr>
      </w:pPr>
      <w:r>
        <w:rPr>
          <w:rFonts w:hint="eastAsia" w:ascii="宋体" w:hAnsi="宋体"/>
          <w:b/>
          <w:color w:val="auto"/>
          <w:sz w:val="30"/>
          <w:szCs w:val="30"/>
        </w:rPr>
        <w:t xml:space="preserve">第六章 </w:t>
      </w:r>
      <w:r>
        <w:rPr>
          <w:rFonts w:ascii="宋体" w:hAnsi="宋体"/>
          <w:b/>
          <w:color w:val="auto"/>
          <w:sz w:val="30"/>
          <w:szCs w:val="30"/>
        </w:rPr>
        <w:t xml:space="preserve"> </w:t>
      </w:r>
      <w:r>
        <w:rPr>
          <w:rFonts w:hint="eastAsia" w:ascii="宋体" w:hAnsi="宋体"/>
          <w:b/>
          <w:color w:val="auto"/>
          <w:sz w:val="30"/>
          <w:szCs w:val="30"/>
        </w:rPr>
        <w:t>投标文件格式</w:t>
      </w:r>
      <w:bookmarkEnd w:id="77"/>
    </w:p>
    <w:p>
      <w:pPr>
        <w:snapToGrid w:val="0"/>
        <w:spacing w:line="460" w:lineRule="exact"/>
        <w:ind w:firstLine="1193" w:firstLineChars="396"/>
        <w:rPr>
          <w:rFonts w:ascii="宋体" w:hAnsi="宋体"/>
          <w:b/>
          <w:color w:val="auto"/>
          <w:sz w:val="30"/>
          <w:szCs w:val="30"/>
        </w:rPr>
      </w:pPr>
      <w:r>
        <w:rPr>
          <w:rFonts w:hint="eastAsia" w:ascii="宋体" w:hAnsi="宋体"/>
          <w:b/>
          <w:color w:val="auto"/>
          <w:sz w:val="30"/>
          <w:szCs w:val="30"/>
        </w:rPr>
        <w:t xml:space="preserve">                                     </w:t>
      </w:r>
      <w:r>
        <w:rPr>
          <w:rFonts w:hint="eastAsia" w:ascii="宋体" w:hAnsi="宋体"/>
          <w:bCs/>
          <w:color w:val="auto"/>
          <w:sz w:val="30"/>
          <w:szCs w:val="30"/>
        </w:rPr>
        <w:t>正本(副本)</w:t>
      </w:r>
    </w:p>
    <w:p>
      <w:pPr>
        <w:pStyle w:val="8"/>
        <w:snapToGrid w:val="0"/>
        <w:spacing w:beforeLines="0" w:afterLines="0" w:line="360" w:lineRule="auto"/>
        <w:jc w:val="center"/>
        <w:rPr>
          <w:rFonts w:hAnsi="宋体"/>
          <w:b/>
          <w:color w:val="auto"/>
          <w:sz w:val="28"/>
          <w:szCs w:val="28"/>
          <w:lang w:val="zh-CN"/>
        </w:rPr>
      </w:pPr>
    </w:p>
    <w:p>
      <w:pPr>
        <w:pStyle w:val="8"/>
        <w:snapToGrid w:val="0"/>
        <w:spacing w:beforeLines="0" w:afterLines="0" w:line="360" w:lineRule="auto"/>
        <w:jc w:val="center"/>
        <w:rPr>
          <w:rFonts w:hAnsi="宋体"/>
          <w:color w:val="auto"/>
          <w:spacing w:val="40"/>
          <w:sz w:val="52"/>
          <w:szCs w:val="52"/>
        </w:rPr>
      </w:pPr>
      <w:r>
        <w:rPr>
          <w:rFonts w:hint="eastAsia" w:hAnsi="宋体"/>
          <w:b/>
          <w:color w:val="auto"/>
          <w:sz w:val="28"/>
          <w:szCs w:val="28"/>
          <w:lang w:val="zh-CN"/>
        </w:rPr>
        <w:t>北京大学宁波海洋药物研究院基本存款账户项目</w:t>
      </w:r>
    </w:p>
    <w:p>
      <w:pPr>
        <w:spacing w:line="360" w:lineRule="auto"/>
        <w:ind w:right="-108"/>
        <w:jc w:val="center"/>
        <w:rPr>
          <w:rFonts w:ascii="宋体" w:hAnsi="宋体"/>
          <w:b/>
          <w:color w:val="auto"/>
          <w:sz w:val="28"/>
          <w:szCs w:val="28"/>
        </w:rPr>
      </w:pPr>
      <w:r>
        <w:rPr>
          <w:rFonts w:hint="eastAsia" w:ascii="宋体" w:hAnsi="宋体"/>
          <w:b/>
          <w:color w:val="auto"/>
          <w:sz w:val="28"/>
          <w:szCs w:val="28"/>
          <w:lang w:val="zh-CN"/>
        </w:rPr>
        <w:t>项目编号：</w:t>
      </w:r>
      <w:r>
        <w:rPr>
          <w:rFonts w:hint="eastAsia" w:ascii="宋体" w:hAnsi="宋体"/>
          <w:b/>
          <w:color w:val="auto"/>
          <w:sz w:val="28"/>
          <w:szCs w:val="28"/>
        </w:rPr>
        <w:t>NBITC-202420444</w:t>
      </w:r>
    </w:p>
    <w:p>
      <w:pPr>
        <w:spacing w:before="120" w:beforeLines="50" w:after="120" w:afterLines="50" w:line="360" w:lineRule="auto"/>
        <w:ind w:right="-108"/>
        <w:jc w:val="center"/>
        <w:rPr>
          <w:rFonts w:ascii="宋体" w:hAnsi="宋体"/>
          <w:color w:val="auto"/>
          <w:sz w:val="36"/>
          <w:szCs w:val="36"/>
        </w:rPr>
      </w:pPr>
    </w:p>
    <w:p>
      <w:pPr>
        <w:spacing w:before="120" w:beforeLines="50" w:after="120" w:afterLines="50"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投</w:t>
      </w:r>
    </w:p>
    <w:p>
      <w:pPr>
        <w:spacing w:before="120" w:beforeLines="50" w:after="120" w:afterLines="50"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标</w:t>
      </w:r>
    </w:p>
    <w:p>
      <w:pPr>
        <w:spacing w:before="120" w:beforeLines="50" w:after="120" w:afterLines="50"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文</w:t>
      </w:r>
    </w:p>
    <w:p>
      <w:pPr>
        <w:spacing w:before="120" w:beforeLines="50" w:after="120" w:afterLines="50"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件</w:t>
      </w:r>
    </w:p>
    <w:p>
      <w:pPr>
        <w:spacing w:before="120" w:beforeLines="50" w:after="120" w:afterLines="50" w:line="360" w:lineRule="auto"/>
        <w:ind w:right="532" w:firstLine="720" w:firstLineChars="200"/>
        <w:rPr>
          <w:rFonts w:ascii="宋体" w:hAnsi="宋体"/>
          <w:color w:val="auto"/>
          <w:sz w:val="36"/>
          <w:szCs w:val="36"/>
        </w:rPr>
      </w:pPr>
    </w:p>
    <w:p>
      <w:pPr>
        <w:spacing w:line="360" w:lineRule="auto"/>
        <w:ind w:right="-108" w:firstLine="562" w:firstLineChars="200"/>
        <w:jc w:val="left"/>
        <w:rPr>
          <w:rFonts w:ascii="宋体" w:hAnsi="宋体"/>
          <w:b/>
          <w:color w:val="auto"/>
          <w:sz w:val="28"/>
          <w:szCs w:val="28"/>
          <w:lang w:val="zh-CN"/>
        </w:rPr>
      </w:pPr>
      <w:r>
        <w:rPr>
          <w:rFonts w:hint="eastAsia" w:ascii="宋体" w:hAnsi="宋体"/>
          <w:b/>
          <w:color w:val="auto"/>
          <w:sz w:val="28"/>
          <w:szCs w:val="28"/>
          <w:lang w:val="zh-CN"/>
        </w:rPr>
        <w:t>投标人全称（</w:t>
      </w:r>
      <w:r>
        <w:rPr>
          <w:rFonts w:hint="eastAsia" w:ascii="宋体" w:hAnsi="宋体"/>
          <w:b/>
          <w:color w:val="auto"/>
          <w:sz w:val="28"/>
          <w:szCs w:val="28"/>
        </w:rPr>
        <w:t>盖</w:t>
      </w:r>
      <w:r>
        <w:rPr>
          <w:rFonts w:hint="eastAsia" w:ascii="宋体" w:hAnsi="宋体"/>
          <w:b/>
          <w:color w:val="auto"/>
          <w:sz w:val="28"/>
          <w:szCs w:val="28"/>
          <w:lang w:val="zh-CN"/>
        </w:rPr>
        <w:t>章）：</w:t>
      </w:r>
    </w:p>
    <w:p>
      <w:pPr>
        <w:spacing w:line="360" w:lineRule="auto"/>
        <w:ind w:right="-108" w:firstLine="562" w:firstLineChars="200"/>
        <w:jc w:val="left"/>
        <w:rPr>
          <w:rFonts w:ascii="宋体" w:hAnsi="宋体"/>
          <w:b/>
          <w:color w:val="auto"/>
          <w:sz w:val="28"/>
          <w:szCs w:val="28"/>
          <w:lang w:val="zh-CN"/>
        </w:rPr>
      </w:pPr>
      <w:r>
        <w:rPr>
          <w:rFonts w:hint="eastAsia" w:ascii="宋体" w:hAnsi="宋体"/>
          <w:b/>
          <w:color w:val="auto"/>
          <w:sz w:val="28"/>
          <w:szCs w:val="28"/>
          <w:lang w:val="zh-CN"/>
        </w:rPr>
        <w:t>地    址：</w:t>
      </w:r>
    </w:p>
    <w:p>
      <w:pPr>
        <w:spacing w:line="360" w:lineRule="auto"/>
        <w:ind w:right="-108" w:firstLine="562" w:firstLineChars="200"/>
        <w:jc w:val="left"/>
        <w:rPr>
          <w:rFonts w:ascii="宋体" w:hAnsi="宋体"/>
          <w:b/>
          <w:color w:val="auto"/>
          <w:sz w:val="28"/>
          <w:szCs w:val="28"/>
          <w:lang w:val="zh-CN"/>
        </w:rPr>
      </w:pPr>
      <w:r>
        <w:rPr>
          <w:rFonts w:hint="eastAsia" w:ascii="宋体" w:hAnsi="宋体"/>
          <w:b/>
          <w:color w:val="auto"/>
          <w:sz w:val="28"/>
          <w:szCs w:val="28"/>
        </w:rPr>
        <w:t>投标人代表(签字)：</w:t>
      </w:r>
    </w:p>
    <w:p>
      <w:pPr>
        <w:spacing w:line="360" w:lineRule="auto"/>
        <w:ind w:right="-108" w:firstLine="562" w:firstLineChars="200"/>
        <w:jc w:val="left"/>
        <w:rPr>
          <w:rFonts w:ascii="宋体" w:hAnsi="宋体"/>
          <w:b/>
          <w:color w:val="auto"/>
          <w:sz w:val="28"/>
          <w:szCs w:val="28"/>
          <w:lang w:val="zh-CN"/>
        </w:rPr>
      </w:pPr>
      <w:r>
        <w:rPr>
          <w:rFonts w:hint="eastAsia" w:ascii="宋体" w:hAnsi="宋体"/>
          <w:b/>
          <w:color w:val="auto"/>
          <w:sz w:val="28"/>
          <w:szCs w:val="28"/>
          <w:lang w:val="zh-CN"/>
        </w:rPr>
        <w:t>时    间：</w:t>
      </w:r>
    </w:p>
    <w:p>
      <w:pPr>
        <w:snapToGrid w:val="0"/>
        <w:spacing w:line="360" w:lineRule="auto"/>
        <w:outlineLvl w:val="1"/>
        <w:rPr>
          <w:rFonts w:ascii="宋体" w:hAnsi="宋体"/>
          <w:color w:val="auto"/>
          <w:szCs w:val="21"/>
        </w:rPr>
      </w:pPr>
      <w:r>
        <w:rPr>
          <w:rFonts w:ascii="宋体" w:hAnsi="宋体"/>
          <w:b/>
          <w:color w:val="auto"/>
          <w:sz w:val="36"/>
          <w:szCs w:val="36"/>
        </w:rPr>
        <w:br w:type="page"/>
      </w:r>
      <w:bookmarkStart w:id="78" w:name="_Toc182932806"/>
      <w:r>
        <w:rPr>
          <w:rFonts w:hint="eastAsia" w:ascii="宋体" w:hAnsi="宋体"/>
          <w:color w:val="auto"/>
          <w:szCs w:val="21"/>
        </w:rPr>
        <w:t>附件一</w:t>
      </w:r>
      <w:bookmarkEnd w:id="78"/>
    </w:p>
    <w:p>
      <w:pPr>
        <w:snapToGrid w:val="0"/>
        <w:jc w:val="center"/>
        <w:rPr>
          <w:rFonts w:ascii="宋体" w:hAnsi="宋体"/>
          <w:b/>
          <w:color w:val="auto"/>
          <w:szCs w:val="21"/>
        </w:rPr>
      </w:pPr>
      <w:r>
        <w:rPr>
          <w:rFonts w:hint="eastAsia" w:ascii="宋体" w:hAnsi="宋体"/>
          <w:b/>
          <w:color w:val="auto"/>
          <w:szCs w:val="21"/>
        </w:rPr>
        <w:t>投标声明书</w:t>
      </w:r>
    </w:p>
    <w:p>
      <w:pPr>
        <w:spacing w:line="360" w:lineRule="auto"/>
        <w:rPr>
          <w:rFonts w:ascii="宋体" w:hAnsi="宋体"/>
          <w:color w:val="auto"/>
          <w:szCs w:val="21"/>
        </w:rPr>
      </w:pPr>
      <w:r>
        <w:rPr>
          <w:rFonts w:hint="eastAsia" w:ascii="宋体" w:hAnsi="宋体"/>
          <w:color w:val="auto"/>
          <w:szCs w:val="21"/>
          <w:u w:val="single"/>
        </w:rPr>
        <w:t>（招标人）名称</w:t>
      </w:r>
      <w:r>
        <w:rPr>
          <w:rFonts w:hint="eastAsia" w:ascii="宋体" w:hAnsi="宋体"/>
          <w:color w:val="auto"/>
          <w:szCs w:val="21"/>
        </w:rPr>
        <w:t xml:space="preserve">：    </w:t>
      </w:r>
    </w:p>
    <w:p>
      <w:pPr>
        <w:spacing w:line="360" w:lineRule="auto"/>
        <w:ind w:firstLine="630" w:firstLineChars="3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(投标人全称)授权</w:t>
      </w:r>
      <w:r>
        <w:rPr>
          <w:rFonts w:hint="eastAsia" w:ascii="宋体" w:hAnsi="宋体"/>
          <w:color w:val="auto"/>
          <w:szCs w:val="21"/>
          <w:u w:val="single"/>
        </w:rPr>
        <w:t xml:space="preserve">      </w:t>
      </w:r>
      <w:r>
        <w:rPr>
          <w:rFonts w:hint="eastAsia" w:ascii="宋体" w:hAnsi="宋体"/>
          <w:color w:val="auto"/>
          <w:szCs w:val="21"/>
        </w:rPr>
        <w:t>(投标人代表姓名)</w:t>
      </w:r>
      <w:r>
        <w:rPr>
          <w:rFonts w:hint="eastAsia" w:ascii="宋体" w:hAnsi="宋体"/>
          <w:color w:val="auto"/>
          <w:szCs w:val="21"/>
          <w:u w:val="single"/>
        </w:rPr>
        <w:t xml:space="preserve">      </w:t>
      </w:r>
      <w:r>
        <w:rPr>
          <w:rFonts w:hint="eastAsia" w:ascii="宋体" w:hAnsi="宋体"/>
          <w:color w:val="auto"/>
          <w:szCs w:val="21"/>
        </w:rPr>
        <w:t>(职务、职称)为我方代表，参加贵方组织的</w:t>
      </w:r>
      <w:r>
        <w:rPr>
          <w:rFonts w:hint="eastAsia" w:ascii="宋体" w:hAnsi="宋体"/>
          <w:color w:val="auto"/>
          <w:szCs w:val="21"/>
          <w:u w:val="single"/>
        </w:rPr>
        <w:t xml:space="preserve">        </w:t>
      </w:r>
      <w:r>
        <w:rPr>
          <w:rFonts w:hint="eastAsia" w:ascii="宋体" w:hAnsi="宋体"/>
          <w:color w:val="auto"/>
          <w:szCs w:val="21"/>
        </w:rPr>
        <w:t>(项目名称、招标编号)招标的有关活动，并对此项目进行投标。为此：</w:t>
      </w:r>
    </w:p>
    <w:p>
      <w:pPr>
        <w:pStyle w:val="32"/>
        <w:keepNext w:val="0"/>
        <w:keepLines w:val="0"/>
        <w:tabs>
          <w:tab w:val="left" w:pos="-3600"/>
        </w:tabs>
        <w:adjustRightInd w:val="0"/>
        <w:spacing w:before="0" w:after="0" w:line="360" w:lineRule="auto"/>
        <w:ind w:firstLine="420" w:firstLineChars="200"/>
        <w:textAlignment w:val="baseline"/>
        <w:outlineLvl w:val="9"/>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1.我方同意在本项目招标文件中规定的开标日起</w:t>
      </w:r>
      <w:r>
        <w:rPr>
          <w:rFonts w:hint="eastAsia" w:ascii="宋体" w:hAnsi="宋体" w:eastAsia="宋体" w:cs="宋体"/>
          <w:b w:val="0"/>
          <w:bCs w:val="0"/>
          <w:color w:val="auto"/>
          <w:sz w:val="21"/>
          <w:szCs w:val="21"/>
          <w:u w:val="single"/>
        </w:rPr>
        <w:t xml:space="preserve"> 90 </w:t>
      </w:r>
      <w:r>
        <w:rPr>
          <w:rFonts w:hint="eastAsia" w:ascii="宋体" w:hAnsi="宋体" w:eastAsia="宋体" w:cs="宋体"/>
          <w:b w:val="0"/>
          <w:bCs w:val="0"/>
          <w:color w:val="auto"/>
          <w:sz w:val="21"/>
          <w:szCs w:val="21"/>
        </w:rPr>
        <w:t>天内遵守本投标文件中的承诺且在此期限期满之前均具有约束力。</w:t>
      </w:r>
    </w:p>
    <w:p>
      <w:pPr>
        <w:pStyle w:val="32"/>
        <w:keepNext w:val="0"/>
        <w:keepLines w:val="0"/>
        <w:numPr>
          <w:ilvl w:val="0"/>
          <w:numId w:val="3"/>
        </w:numPr>
        <w:tabs>
          <w:tab w:val="left" w:pos="-1980"/>
        </w:tabs>
        <w:adjustRightInd w:val="0"/>
        <w:spacing w:before="0" w:after="0" w:line="360" w:lineRule="auto"/>
        <w:ind w:left="448" w:hanging="448"/>
        <w:textAlignment w:val="baseline"/>
        <w:outlineLvl w:val="9"/>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2.我方承诺已经具备参加投标的投标人应当具备的条件；</w:t>
      </w:r>
    </w:p>
    <w:p>
      <w:pPr>
        <w:pStyle w:val="32"/>
        <w:keepNext w:val="0"/>
        <w:keepLines w:val="0"/>
        <w:tabs>
          <w:tab w:val="left" w:pos="-1980"/>
        </w:tabs>
        <w:adjustRightInd w:val="0"/>
        <w:spacing w:before="0" w:after="0" w:line="360" w:lineRule="auto"/>
        <w:ind w:firstLine="420" w:firstLineChars="200"/>
        <w:textAlignment w:val="baseline"/>
        <w:outlineLvl w:val="9"/>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3.我方不是招标人的附属机构；在获知本项目招标信息后，与招标人聘请的为此项目提供咨询服务的公司及其附属机构没有任何联系。</w:t>
      </w:r>
    </w:p>
    <w:p>
      <w:pPr>
        <w:pStyle w:val="32"/>
        <w:keepNext w:val="0"/>
        <w:keepLines w:val="0"/>
        <w:numPr>
          <w:ilvl w:val="0"/>
          <w:numId w:val="3"/>
        </w:numPr>
        <w:tabs>
          <w:tab w:val="left" w:pos="-2340"/>
        </w:tabs>
        <w:adjustRightInd w:val="0"/>
        <w:spacing w:before="0" w:after="0" w:line="360" w:lineRule="auto"/>
        <w:ind w:left="448" w:hanging="448"/>
        <w:textAlignment w:val="baseline"/>
        <w:outlineLvl w:val="9"/>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4.提供投标须知规定的全部投标文件。</w:t>
      </w:r>
    </w:p>
    <w:p>
      <w:pPr>
        <w:pStyle w:val="32"/>
        <w:keepNext w:val="0"/>
        <w:keepLines w:val="0"/>
        <w:numPr>
          <w:ilvl w:val="0"/>
          <w:numId w:val="3"/>
        </w:numPr>
        <w:tabs>
          <w:tab w:val="left" w:pos="448"/>
        </w:tabs>
        <w:adjustRightInd w:val="0"/>
        <w:spacing w:before="0" w:after="0" w:line="360" w:lineRule="auto"/>
        <w:ind w:left="709" w:hanging="709"/>
        <w:textAlignment w:val="baseline"/>
        <w:outlineLvl w:val="9"/>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5.按招标文件要求提供服务的投标报价详见投标一览表。</w:t>
      </w:r>
    </w:p>
    <w:p>
      <w:pPr>
        <w:pStyle w:val="32"/>
        <w:keepNext w:val="0"/>
        <w:keepLines w:val="0"/>
        <w:numPr>
          <w:ilvl w:val="0"/>
          <w:numId w:val="3"/>
        </w:numPr>
        <w:tabs>
          <w:tab w:val="left" w:pos="448"/>
        </w:tabs>
        <w:adjustRightInd w:val="0"/>
        <w:spacing w:before="0" w:after="0" w:line="360" w:lineRule="auto"/>
        <w:ind w:left="709" w:hanging="709"/>
        <w:textAlignment w:val="baseline"/>
        <w:outlineLvl w:val="9"/>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6.保证遵守招标文件的规定。</w:t>
      </w:r>
    </w:p>
    <w:p>
      <w:pPr>
        <w:pStyle w:val="32"/>
        <w:keepNext w:val="0"/>
        <w:keepLines w:val="0"/>
        <w:numPr>
          <w:ilvl w:val="0"/>
          <w:numId w:val="3"/>
        </w:numPr>
        <w:tabs>
          <w:tab w:val="left" w:pos="448"/>
        </w:tabs>
        <w:adjustRightInd w:val="0"/>
        <w:spacing w:before="0" w:after="0" w:line="360" w:lineRule="auto"/>
        <w:ind w:left="709" w:hanging="709"/>
        <w:textAlignment w:val="baseline"/>
        <w:outlineLvl w:val="9"/>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7.如果在规定的开标时间后，我方在投标有效期内撤回投标，可取消我行本次投标资格。</w:t>
      </w:r>
    </w:p>
    <w:p>
      <w:pPr>
        <w:pStyle w:val="32"/>
        <w:keepNext w:val="0"/>
        <w:keepLines w:val="0"/>
        <w:numPr>
          <w:ilvl w:val="0"/>
          <w:numId w:val="3"/>
        </w:numPr>
        <w:tabs>
          <w:tab w:val="left" w:pos="448"/>
        </w:tabs>
        <w:adjustRightInd w:val="0"/>
        <w:spacing w:before="0" w:after="0" w:line="360" w:lineRule="auto"/>
        <w:ind w:left="709" w:hanging="709"/>
        <w:textAlignment w:val="baseline"/>
        <w:outlineLvl w:val="9"/>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8.我方完全理解最高上浮率不一定中标。</w:t>
      </w:r>
    </w:p>
    <w:p>
      <w:pPr>
        <w:pStyle w:val="32"/>
        <w:keepNext w:val="0"/>
        <w:keepLines w:val="0"/>
        <w:tabs>
          <w:tab w:val="left" w:pos="-1980"/>
        </w:tabs>
        <w:adjustRightInd w:val="0"/>
        <w:spacing w:before="0" w:after="0" w:line="360" w:lineRule="auto"/>
        <w:ind w:firstLine="420" w:firstLineChars="200"/>
        <w:textAlignment w:val="baseline"/>
        <w:outlineLvl w:val="9"/>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9.我方愿意向贵方提供任何与本项投标有关的数据、情况和技术资料。若贵方需要，我方愿意提供我方作出的一切承诺的证明材料。</w:t>
      </w:r>
    </w:p>
    <w:p>
      <w:pPr>
        <w:pStyle w:val="32"/>
        <w:keepNext w:val="0"/>
        <w:keepLines w:val="0"/>
        <w:adjustRightInd w:val="0"/>
        <w:spacing w:before="0" w:after="0" w:line="360" w:lineRule="auto"/>
        <w:ind w:firstLine="420" w:firstLineChars="200"/>
        <w:textAlignment w:val="baseline"/>
        <w:outlineLvl w:val="9"/>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10.我方已详细审核全部投标文件，包括投标文件修改书（如有的话）、参考资料及有关附件，确认无误。</w:t>
      </w:r>
    </w:p>
    <w:p>
      <w:pPr>
        <w:spacing w:line="360" w:lineRule="auto"/>
        <w:rPr>
          <w:rFonts w:ascii="宋体" w:hAnsi="宋体"/>
          <w:color w:val="auto"/>
          <w:szCs w:val="21"/>
        </w:rPr>
      </w:pPr>
      <w:r>
        <w:rPr>
          <w:rFonts w:hint="eastAsia" w:ascii="宋体" w:hAnsi="宋体"/>
          <w:color w:val="auto"/>
          <w:szCs w:val="21"/>
        </w:rPr>
        <w:t>与本投标有关的一切往来通讯请寄：</w:t>
      </w:r>
      <w:r>
        <w:rPr>
          <w:rFonts w:hint="eastAsia" w:ascii="宋体" w:hAnsi="宋体"/>
          <w:color w:val="auto"/>
          <w:szCs w:val="21"/>
        </w:rPr>
        <w:tab/>
      </w:r>
    </w:p>
    <w:p>
      <w:pPr>
        <w:spacing w:line="360" w:lineRule="auto"/>
        <w:rPr>
          <w:rFonts w:ascii="宋体" w:hAnsi="宋体"/>
          <w:color w:val="auto"/>
          <w:szCs w:val="21"/>
        </w:rPr>
      </w:pPr>
      <w:r>
        <w:rPr>
          <w:rFonts w:hint="eastAsia" w:ascii="宋体" w:hAnsi="宋体"/>
          <w:color w:val="auto"/>
          <w:szCs w:val="21"/>
        </w:rPr>
        <w:t>地址：____________________</w:t>
      </w:r>
    </w:p>
    <w:p>
      <w:pPr>
        <w:spacing w:line="360" w:lineRule="auto"/>
        <w:rPr>
          <w:rFonts w:ascii="宋体" w:hAnsi="宋体"/>
          <w:color w:val="auto"/>
          <w:szCs w:val="21"/>
        </w:rPr>
      </w:pPr>
      <w:r>
        <w:rPr>
          <w:rFonts w:hint="eastAsia" w:ascii="宋体" w:hAnsi="宋体"/>
          <w:color w:val="auto"/>
          <w:szCs w:val="21"/>
        </w:rPr>
        <w:t>邮编：____________　</w:t>
      </w:r>
    </w:p>
    <w:p>
      <w:pPr>
        <w:tabs>
          <w:tab w:val="left" w:pos="-1260"/>
        </w:tabs>
        <w:spacing w:line="360" w:lineRule="auto"/>
        <w:rPr>
          <w:rFonts w:ascii="宋体" w:hAnsi="宋体"/>
          <w:color w:val="auto"/>
          <w:szCs w:val="21"/>
        </w:rPr>
      </w:pPr>
      <w:r>
        <w:rPr>
          <w:rFonts w:hint="eastAsia" w:ascii="宋体" w:hAnsi="宋体"/>
          <w:color w:val="auto"/>
          <w:szCs w:val="21"/>
        </w:rPr>
        <w:t>电话：____________　</w:t>
      </w:r>
    </w:p>
    <w:p>
      <w:pPr>
        <w:spacing w:line="360" w:lineRule="auto"/>
        <w:rPr>
          <w:rFonts w:ascii="宋体" w:hAnsi="宋体"/>
          <w:color w:val="auto"/>
          <w:szCs w:val="21"/>
          <w:u w:val="single"/>
        </w:rPr>
      </w:pPr>
      <w:r>
        <w:rPr>
          <w:rFonts w:hint="eastAsia" w:ascii="宋体" w:hAnsi="宋体"/>
          <w:color w:val="auto"/>
          <w:szCs w:val="21"/>
        </w:rPr>
        <w:t>投标人代表姓名：</w:t>
      </w:r>
      <w:r>
        <w:rPr>
          <w:rFonts w:hint="eastAsia" w:ascii="宋体" w:hAnsi="宋体"/>
          <w:color w:val="auto"/>
          <w:szCs w:val="21"/>
          <w:u w:val="single"/>
        </w:rPr>
        <w:t xml:space="preserve">              </w:t>
      </w:r>
    </w:p>
    <w:p>
      <w:pPr>
        <w:spacing w:line="360" w:lineRule="auto"/>
        <w:rPr>
          <w:rFonts w:ascii="宋体" w:hAnsi="宋体"/>
          <w:color w:val="auto"/>
          <w:szCs w:val="21"/>
          <w:u w:val="single"/>
        </w:rPr>
      </w:pPr>
      <w:r>
        <w:rPr>
          <w:rFonts w:hint="eastAsia" w:ascii="宋体" w:hAnsi="宋体"/>
          <w:color w:val="auto"/>
          <w:szCs w:val="21"/>
        </w:rPr>
        <w:t>投标人代表联系电话</w:t>
      </w:r>
      <w:r>
        <w:rPr>
          <w:rFonts w:hint="eastAsia" w:ascii="宋体" w:hAnsi="宋体"/>
          <w:color w:val="auto"/>
          <w:szCs w:val="21"/>
          <w:u w:val="single"/>
        </w:rPr>
        <w:t xml:space="preserve">              </w:t>
      </w:r>
    </w:p>
    <w:p>
      <w:pPr>
        <w:spacing w:line="360" w:lineRule="auto"/>
        <w:ind w:firstLine="3960"/>
        <w:rPr>
          <w:rFonts w:ascii="宋体" w:hAnsi="宋体"/>
          <w:color w:val="auto"/>
          <w:szCs w:val="21"/>
        </w:rPr>
      </w:pPr>
    </w:p>
    <w:p>
      <w:pPr>
        <w:tabs>
          <w:tab w:val="left" w:pos="-2520"/>
        </w:tabs>
        <w:spacing w:line="360" w:lineRule="auto"/>
        <w:rPr>
          <w:rFonts w:ascii="宋体" w:hAnsi="宋体"/>
          <w:color w:val="auto"/>
          <w:szCs w:val="21"/>
        </w:rPr>
      </w:pPr>
      <w:r>
        <w:rPr>
          <w:rFonts w:hint="eastAsia" w:ascii="宋体" w:hAnsi="宋体"/>
          <w:color w:val="auto"/>
          <w:szCs w:val="21"/>
        </w:rPr>
        <w:t>投标人(盖章)：</w:t>
      </w:r>
    </w:p>
    <w:p>
      <w:pPr>
        <w:spacing w:line="360" w:lineRule="auto"/>
        <w:rPr>
          <w:rFonts w:ascii="宋体" w:hAnsi="宋体"/>
          <w:color w:val="auto"/>
          <w:szCs w:val="21"/>
        </w:rPr>
      </w:pPr>
      <w:r>
        <w:rPr>
          <w:rFonts w:hint="eastAsia" w:ascii="宋体" w:hAnsi="宋体"/>
          <w:color w:val="auto"/>
          <w:szCs w:val="21"/>
        </w:rPr>
        <w:t>投标人代表(签字)：</w:t>
      </w:r>
    </w:p>
    <w:p>
      <w:pPr>
        <w:spacing w:line="360" w:lineRule="auto"/>
        <w:rPr>
          <w:rFonts w:ascii="宋体" w:hAnsi="宋体"/>
          <w:color w:val="auto"/>
          <w:szCs w:val="21"/>
        </w:rPr>
      </w:pPr>
      <w:r>
        <w:rPr>
          <w:rFonts w:hint="eastAsia" w:ascii="宋体" w:hAnsi="宋体"/>
          <w:color w:val="auto"/>
          <w:szCs w:val="21"/>
        </w:rPr>
        <w:t>日　期：</w:t>
      </w:r>
    </w:p>
    <w:p>
      <w:pPr>
        <w:spacing w:line="360" w:lineRule="auto"/>
        <w:rPr>
          <w:rFonts w:ascii="宋体" w:hAnsi="宋体"/>
          <w:color w:val="auto"/>
          <w:szCs w:val="21"/>
        </w:rPr>
      </w:pPr>
      <w:r>
        <w:rPr>
          <w:rFonts w:hint="eastAsia" w:ascii="宋体" w:hAnsi="宋体"/>
          <w:color w:val="auto"/>
          <w:szCs w:val="21"/>
        </w:rPr>
        <w:t>注：除可填报项目外，对本投标函的任何修改将被视为非实质性响应投标，从而导致该投标被拒绝。</w:t>
      </w:r>
    </w:p>
    <w:p>
      <w:pPr>
        <w:rPr>
          <w:rFonts w:ascii="宋体" w:hAnsi="宋体"/>
          <w:color w:val="auto"/>
          <w:szCs w:val="21"/>
        </w:rPr>
      </w:pPr>
      <w:r>
        <w:rPr>
          <w:rFonts w:hint="eastAsia" w:ascii="宋体" w:hAnsi="宋体"/>
          <w:color w:val="auto"/>
          <w:szCs w:val="21"/>
        </w:rPr>
        <w:br w:type="page"/>
      </w:r>
    </w:p>
    <w:p>
      <w:pPr>
        <w:spacing w:line="360" w:lineRule="auto"/>
        <w:outlineLvl w:val="1"/>
        <w:rPr>
          <w:rFonts w:ascii="宋体" w:hAnsi="宋体"/>
          <w:b/>
          <w:color w:val="auto"/>
          <w:szCs w:val="21"/>
        </w:rPr>
      </w:pPr>
      <w:bookmarkStart w:id="79" w:name="_Toc182932807"/>
      <w:r>
        <w:rPr>
          <w:rFonts w:hint="eastAsia" w:ascii="宋体" w:hAnsi="宋体"/>
          <w:color w:val="auto"/>
          <w:szCs w:val="21"/>
        </w:rPr>
        <w:t>附件二</w:t>
      </w:r>
      <w:bookmarkEnd w:id="79"/>
    </w:p>
    <w:p>
      <w:pPr>
        <w:snapToGrid w:val="0"/>
        <w:jc w:val="center"/>
        <w:rPr>
          <w:rFonts w:ascii="宋体" w:hAnsi="宋体"/>
          <w:b/>
          <w:color w:val="auto"/>
          <w:szCs w:val="21"/>
        </w:rPr>
      </w:pPr>
      <w:r>
        <w:rPr>
          <w:rFonts w:hint="eastAsia" w:ascii="宋体" w:hAnsi="宋体"/>
          <w:b/>
          <w:color w:val="auto"/>
          <w:szCs w:val="21"/>
        </w:rPr>
        <w:t>投标报价一览表</w:t>
      </w:r>
    </w:p>
    <w:p>
      <w:pPr>
        <w:tabs>
          <w:tab w:val="left" w:pos="0"/>
        </w:tabs>
        <w:spacing w:line="300" w:lineRule="exact"/>
        <w:rPr>
          <w:rFonts w:ascii="宋体" w:hAnsi="宋体"/>
          <w:b/>
          <w:color w:val="auto"/>
          <w:szCs w:val="21"/>
        </w:rPr>
      </w:pPr>
    </w:p>
    <w:p>
      <w:pPr>
        <w:spacing w:line="360" w:lineRule="auto"/>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北京大学宁波海洋药物研究院基本存款账户项目</w:t>
      </w:r>
    </w:p>
    <w:p>
      <w:pPr>
        <w:spacing w:line="360" w:lineRule="auto"/>
        <w:rPr>
          <w:rFonts w:ascii="宋体" w:hAnsi="宋体"/>
          <w:color w:val="auto"/>
          <w:szCs w:val="21"/>
          <w:u w:val="single"/>
        </w:rPr>
      </w:pPr>
      <w:r>
        <w:rPr>
          <w:rFonts w:ascii="宋体" w:hAnsi="宋体"/>
          <w:color w:val="auto"/>
          <w:szCs w:val="21"/>
        </w:rPr>
        <w:t>招标编号：</w:t>
      </w:r>
      <w:r>
        <w:rPr>
          <w:rFonts w:hint="eastAsia" w:ascii="宋体" w:hAnsi="宋体"/>
          <w:color w:val="auto"/>
          <w:szCs w:val="21"/>
          <w:u w:val="single"/>
        </w:rPr>
        <w:t>NBITC-202420444</w:t>
      </w:r>
    </w:p>
    <w:p>
      <w:pPr>
        <w:pStyle w:val="26"/>
        <w:ind w:left="0" w:firstLine="0"/>
        <w:rPr>
          <w:color w:val="auto"/>
        </w:rPr>
      </w:pPr>
      <w:r>
        <w:rPr>
          <w:rFonts w:hint="eastAsia" w:hAnsi="宋体"/>
          <w:b/>
          <w:bCs/>
          <w:color w:val="auto"/>
          <w:szCs w:val="21"/>
        </w:rPr>
        <w:t>标项一（基本存款银行账户）</w:t>
      </w:r>
    </w:p>
    <w:tbl>
      <w:tblPr>
        <w:tblStyle w:val="19"/>
        <w:tblW w:w="497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86"/>
        <w:gridCol w:w="3594"/>
        <w:gridCol w:w="4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835" w:type="pct"/>
            <w:tcBorders>
              <w:top w:val="single" w:color="auto" w:sz="4" w:space="0"/>
              <w:bottom w:val="single" w:color="auto" w:sz="4" w:space="0"/>
              <w:right w:val="single" w:color="auto" w:sz="4" w:space="0"/>
            </w:tcBorders>
            <w:vAlign w:val="center"/>
          </w:tcPr>
          <w:p>
            <w:pPr>
              <w:snapToGrid w:val="0"/>
              <w:spacing w:line="460" w:lineRule="exact"/>
              <w:jc w:val="center"/>
              <w:rPr>
                <w:rFonts w:ascii="宋体" w:hAnsi="宋体"/>
                <w:b/>
                <w:bCs/>
                <w:color w:val="auto"/>
                <w:sz w:val="24"/>
                <w:szCs w:val="24"/>
              </w:rPr>
            </w:pPr>
            <w:r>
              <w:rPr>
                <w:rFonts w:hint="eastAsia" w:ascii="宋体" w:hAnsi="宋体" w:cs="宋体"/>
                <w:b/>
                <w:bCs/>
                <w:color w:val="auto"/>
                <w:sz w:val="24"/>
                <w:szCs w:val="24"/>
              </w:rPr>
              <w:t>项</w:t>
            </w:r>
            <w:r>
              <w:rPr>
                <w:rFonts w:ascii="宋体" w:hAnsi="宋体" w:cs="宋体"/>
                <w:b/>
                <w:bCs/>
                <w:color w:val="auto"/>
                <w:sz w:val="24"/>
                <w:szCs w:val="24"/>
              </w:rPr>
              <w:t xml:space="preserve"> </w:t>
            </w:r>
            <w:r>
              <w:rPr>
                <w:rFonts w:hint="eastAsia" w:ascii="宋体" w:hAnsi="宋体" w:cs="宋体"/>
                <w:b/>
                <w:bCs/>
                <w:color w:val="auto"/>
                <w:sz w:val="24"/>
                <w:szCs w:val="24"/>
              </w:rPr>
              <w:t>目</w:t>
            </w:r>
          </w:p>
        </w:tc>
        <w:tc>
          <w:tcPr>
            <w:tcW w:w="189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b/>
                <w:bCs/>
                <w:color w:val="auto"/>
                <w:sz w:val="24"/>
                <w:szCs w:val="24"/>
              </w:rPr>
            </w:pPr>
            <w:r>
              <w:rPr>
                <w:rFonts w:hint="eastAsia" w:ascii="宋体" w:hAnsi="宋体" w:cs="宋体"/>
                <w:b/>
                <w:bCs/>
                <w:color w:val="auto"/>
                <w:sz w:val="24"/>
                <w:szCs w:val="24"/>
              </w:rPr>
              <w:t>详细说明</w:t>
            </w:r>
          </w:p>
        </w:tc>
        <w:tc>
          <w:tcPr>
            <w:tcW w:w="2273" w:type="pct"/>
            <w:tcBorders>
              <w:top w:val="single" w:color="auto" w:sz="4" w:space="0"/>
              <w:left w:val="single" w:color="auto" w:sz="4" w:space="0"/>
              <w:bottom w:val="single" w:color="auto" w:sz="4" w:space="0"/>
            </w:tcBorders>
            <w:vAlign w:val="center"/>
          </w:tcPr>
          <w:p>
            <w:pPr>
              <w:snapToGrid w:val="0"/>
              <w:spacing w:line="460" w:lineRule="exact"/>
              <w:jc w:val="center"/>
              <w:rPr>
                <w:rFonts w:ascii="宋体" w:hAnsi="宋体"/>
                <w:b/>
                <w:bCs/>
                <w:color w:val="auto"/>
                <w:sz w:val="24"/>
                <w:szCs w:val="24"/>
              </w:rPr>
            </w:pPr>
            <w:r>
              <w:rPr>
                <w:rFonts w:hint="eastAsia" w:ascii="宋体" w:hAnsi="宋体" w:cs="宋体"/>
                <w:b/>
                <w:bCs/>
                <w:color w:val="auto"/>
                <w:sz w:val="24"/>
                <w:szCs w:val="24"/>
              </w:rPr>
              <w:t>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35" w:type="pct"/>
            <w:vMerge w:val="restart"/>
            <w:tcBorders>
              <w:top w:val="single" w:color="auto" w:sz="4" w:space="0"/>
              <w:right w:val="single" w:color="auto" w:sz="4" w:space="0"/>
            </w:tcBorders>
            <w:vAlign w:val="center"/>
          </w:tcPr>
          <w:p>
            <w:pPr>
              <w:snapToGrid w:val="0"/>
              <w:spacing w:line="400" w:lineRule="exact"/>
              <w:jc w:val="center"/>
              <w:rPr>
                <w:rFonts w:ascii="宋体" w:hAnsi="宋体"/>
                <w:color w:val="auto"/>
                <w:kern w:val="0"/>
                <w:szCs w:val="21"/>
              </w:rPr>
            </w:pPr>
            <w:r>
              <w:rPr>
                <w:rFonts w:hint="eastAsia" w:ascii="宋体" w:hAnsi="宋体" w:cs="宋体"/>
                <w:color w:val="auto"/>
                <w:kern w:val="0"/>
                <w:szCs w:val="21"/>
              </w:rPr>
              <w:t>存款利率</w:t>
            </w:r>
          </w:p>
        </w:tc>
        <w:tc>
          <w:tcPr>
            <w:tcW w:w="189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b/>
                <w:bCs/>
                <w:color w:val="auto"/>
                <w:szCs w:val="21"/>
              </w:rPr>
            </w:pPr>
            <w:r>
              <w:rPr>
                <w:rFonts w:hint="eastAsia" w:ascii="宋体" w:hAnsi="宋体" w:cs="宋体"/>
                <w:color w:val="auto"/>
                <w:kern w:val="0"/>
                <w:szCs w:val="21"/>
              </w:rPr>
              <w:t>活期存款利率</w:t>
            </w:r>
          </w:p>
        </w:tc>
        <w:tc>
          <w:tcPr>
            <w:tcW w:w="2273" w:type="pct"/>
            <w:tcBorders>
              <w:top w:val="single" w:color="auto" w:sz="4" w:space="0"/>
              <w:left w:val="single" w:color="auto" w:sz="4" w:space="0"/>
              <w:bottom w:val="single" w:color="auto" w:sz="4" w:space="0"/>
            </w:tcBorders>
            <w:vAlign w:val="center"/>
          </w:tcPr>
          <w:p>
            <w:pPr>
              <w:snapToGrid w:val="0"/>
              <w:spacing w:line="460" w:lineRule="exact"/>
              <w:jc w:val="center"/>
              <w:rPr>
                <w:rFonts w:ascii="宋体" w:hAnsi="宋体" w:cs="宋体"/>
                <w:color w:val="auto"/>
                <w:szCs w:val="21"/>
              </w:rPr>
            </w:pPr>
            <w:r>
              <w:rPr>
                <w:rFonts w:hint="eastAsia" w:ascii="宋体" w:hAnsi="宋体" w:cs="宋体"/>
                <w:color w:val="auto"/>
                <w:szCs w:val="21"/>
              </w:rPr>
              <w:t>承诺按最新自律管理机制上限结合人民银行最新规定上限提供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35" w:type="pct"/>
            <w:vMerge w:val="continue"/>
            <w:tcBorders>
              <w:right w:val="single" w:color="auto" w:sz="4" w:space="0"/>
            </w:tcBorders>
            <w:vAlign w:val="center"/>
          </w:tcPr>
          <w:p>
            <w:pPr>
              <w:snapToGrid w:val="0"/>
              <w:spacing w:line="400" w:lineRule="exact"/>
              <w:rPr>
                <w:rFonts w:ascii="宋体" w:hAnsi="宋体"/>
                <w:color w:val="auto"/>
                <w:kern w:val="0"/>
                <w:szCs w:val="21"/>
              </w:rPr>
            </w:pPr>
          </w:p>
        </w:tc>
        <w:tc>
          <w:tcPr>
            <w:tcW w:w="189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b/>
                <w:bCs/>
                <w:color w:val="auto"/>
                <w:szCs w:val="21"/>
              </w:rPr>
            </w:pPr>
            <w:r>
              <w:rPr>
                <w:rFonts w:hint="eastAsia" w:ascii="宋体" w:hAnsi="宋体" w:cs="宋体"/>
                <w:color w:val="auto"/>
                <w:kern w:val="0"/>
                <w:szCs w:val="21"/>
                <w:lang w:bidi="ar"/>
              </w:rPr>
              <w:t>协定存款利率</w:t>
            </w:r>
          </w:p>
        </w:tc>
        <w:tc>
          <w:tcPr>
            <w:tcW w:w="2273" w:type="pct"/>
            <w:tcBorders>
              <w:top w:val="single" w:color="auto" w:sz="4" w:space="0"/>
              <w:left w:val="single" w:color="auto" w:sz="4" w:space="0"/>
              <w:bottom w:val="single" w:color="auto" w:sz="4" w:space="0"/>
            </w:tcBorders>
            <w:vAlign w:val="center"/>
          </w:tcPr>
          <w:p>
            <w:pPr>
              <w:snapToGrid w:val="0"/>
              <w:spacing w:line="460" w:lineRule="exact"/>
              <w:jc w:val="center"/>
              <w:rPr>
                <w:rFonts w:ascii="宋体" w:hAnsi="宋体" w:cs="宋体"/>
                <w:color w:val="auto"/>
                <w:szCs w:val="21"/>
              </w:rPr>
            </w:pPr>
            <w:r>
              <w:rPr>
                <w:rFonts w:hint="eastAsia" w:ascii="宋体" w:hAnsi="宋体" w:cs="宋体"/>
                <w:color w:val="auto"/>
                <w:szCs w:val="21"/>
              </w:rPr>
              <w:t>承诺按最新自律管理机制上限结合人民银行最新规定上限提供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35" w:type="pct"/>
            <w:vMerge w:val="continue"/>
            <w:tcBorders>
              <w:right w:val="single" w:color="auto" w:sz="4" w:space="0"/>
            </w:tcBorders>
            <w:vAlign w:val="center"/>
          </w:tcPr>
          <w:p>
            <w:pPr>
              <w:snapToGrid w:val="0"/>
              <w:spacing w:line="400" w:lineRule="exact"/>
              <w:rPr>
                <w:rFonts w:ascii="宋体" w:hAnsi="宋体"/>
                <w:color w:val="auto"/>
                <w:kern w:val="0"/>
                <w:szCs w:val="21"/>
              </w:rPr>
            </w:pPr>
          </w:p>
        </w:tc>
        <w:tc>
          <w:tcPr>
            <w:tcW w:w="189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b/>
                <w:bCs/>
                <w:color w:val="auto"/>
                <w:szCs w:val="21"/>
              </w:rPr>
            </w:pPr>
            <w:r>
              <w:rPr>
                <w:rFonts w:hint="eastAsia" w:ascii="宋体" w:hAnsi="宋体" w:cs="宋体"/>
                <w:color w:val="auto"/>
                <w:kern w:val="0"/>
                <w:szCs w:val="21"/>
                <w:lang w:bidi="ar"/>
              </w:rPr>
              <w:t>七天通知存款利率</w:t>
            </w:r>
          </w:p>
        </w:tc>
        <w:tc>
          <w:tcPr>
            <w:tcW w:w="2273" w:type="pct"/>
            <w:tcBorders>
              <w:top w:val="single" w:color="auto" w:sz="4" w:space="0"/>
              <w:left w:val="single" w:color="auto" w:sz="4" w:space="0"/>
              <w:bottom w:val="single" w:color="auto" w:sz="4" w:space="0"/>
            </w:tcBorders>
            <w:vAlign w:val="center"/>
          </w:tcPr>
          <w:p>
            <w:pPr>
              <w:snapToGrid w:val="0"/>
              <w:spacing w:line="460" w:lineRule="exact"/>
              <w:jc w:val="center"/>
              <w:rPr>
                <w:rFonts w:ascii="宋体" w:hAnsi="宋体" w:cs="宋体"/>
                <w:color w:val="auto"/>
                <w:szCs w:val="21"/>
              </w:rPr>
            </w:pPr>
            <w:r>
              <w:rPr>
                <w:rFonts w:hint="eastAsia" w:ascii="宋体" w:hAnsi="宋体" w:cs="宋体"/>
                <w:color w:val="auto"/>
                <w:szCs w:val="21"/>
              </w:rPr>
              <w:t>承诺按最新自律管理机制上限结合人民银行最新规定上限提供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35" w:type="pct"/>
            <w:vMerge w:val="continue"/>
            <w:tcBorders>
              <w:right w:val="single" w:color="auto" w:sz="4" w:space="0"/>
            </w:tcBorders>
            <w:vAlign w:val="center"/>
          </w:tcPr>
          <w:p>
            <w:pPr>
              <w:snapToGrid w:val="0"/>
              <w:spacing w:line="400" w:lineRule="exact"/>
              <w:rPr>
                <w:rFonts w:ascii="宋体" w:hAnsi="宋体"/>
                <w:color w:val="auto"/>
                <w:kern w:val="0"/>
                <w:szCs w:val="21"/>
              </w:rPr>
            </w:pPr>
          </w:p>
        </w:tc>
        <w:tc>
          <w:tcPr>
            <w:tcW w:w="189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color w:val="auto"/>
                <w:kern w:val="0"/>
                <w:szCs w:val="21"/>
              </w:rPr>
            </w:pPr>
            <w:r>
              <w:rPr>
                <w:rFonts w:hint="eastAsia" w:ascii="宋体" w:hAnsi="宋体" w:cs="宋体"/>
                <w:color w:val="auto"/>
                <w:kern w:val="0"/>
                <w:szCs w:val="21"/>
                <w:lang w:bidi="ar"/>
              </w:rPr>
              <w:t>半年以内(含半年)定期存款利率</w:t>
            </w:r>
          </w:p>
        </w:tc>
        <w:tc>
          <w:tcPr>
            <w:tcW w:w="2273" w:type="pct"/>
            <w:tcBorders>
              <w:top w:val="single" w:color="auto" w:sz="4" w:space="0"/>
              <w:left w:val="single" w:color="auto" w:sz="4" w:space="0"/>
              <w:bottom w:val="single" w:color="auto" w:sz="4" w:space="0"/>
            </w:tcBorders>
            <w:vAlign w:val="center"/>
          </w:tcPr>
          <w:p>
            <w:pPr>
              <w:snapToGrid w:val="0"/>
              <w:spacing w:line="460" w:lineRule="exact"/>
              <w:jc w:val="center"/>
              <w:rPr>
                <w:rFonts w:ascii="宋体" w:hAnsi="宋体" w:cs="宋体"/>
                <w:color w:val="auto"/>
                <w:szCs w:val="21"/>
              </w:rPr>
            </w:pPr>
            <w:r>
              <w:rPr>
                <w:rFonts w:hint="eastAsia" w:ascii="宋体" w:hAnsi="宋体" w:cs="宋体"/>
                <w:color w:val="auto"/>
                <w:szCs w:val="21"/>
              </w:rPr>
              <w:t>承诺按最新自律管理机制上限结合人民银行最新规定上限提供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35" w:type="pct"/>
            <w:vMerge w:val="continue"/>
            <w:tcBorders>
              <w:bottom w:val="single" w:color="auto" w:sz="4" w:space="0"/>
              <w:right w:val="single" w:color="auto" w:sz="4" w:space="0"/>
            </w:tcBorders>
            <w:vAlign w:val="center"/>
          </w:tcPr>
          <w:p>
            <w:pPr>
              <w:snapToGrid w:val="0"/>
              <w:spacing w:line="400" w:lineRule="exact"/>
              <w:rPr>
                <w:rFonts w:ascii="宋体" w:hAnsi="宋体"/>
                <w:color w:val="auto"/>
                <w:kern w:val="0"/>
                <w:szCs w:val="21"/>
              </w:rPr>
            </w:pPr>
          </w:p>
        </w:tc>
        <w:tc>
          <w:tcPr>
            <w:tcW w:w="189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b/>
                <w:bCs/>
                <w:color w:val="auto"/>
                <w:szCs w:val="21"/>
              </w:rPr>
            </w:pPr>
            <w:r>
              <w:rPr>
                <w:rFonts w:hint="eastAsia" w:ascii="宋体" w:hAnsi="宋体" w:cs="宋体"/>
                <w:color w:val="auto"/>
                <w:kern w:val="0"/>
                <w:szCs w:val="21"/>
                <w:lang w:bidi="ar"/>
              </w:rPr>
              <w:t>一年定期存款利率</w:t>
            </w:r>
          </w:p>
        </w:tc>
        <w:tc>
          <w:tcPr>
            <w:tcW w:w="2273" w:type="pct"/>
            <w:tcBorders>
              <w:top w:val="single" w:color="auto" w:sz="4" w:space="0"/>
              <w:left w:val="single" w:color="auto" w:sz="4" w:space="0"/>
              <w:bottom w:val="single" w:color="auto" w:sz="4" w:space="0"/>
            </w:tcBorders>
            <w:vAlign w:val="center"/>
          </w:tcPr>
          <w:p>
            <w:pPr>
              <w:snapToGrid w:val="0"/>
              <w:spacing w:line="460" w:lineRule="exact"/>
              <w:jc w:val="center"/>
              <w:rPr>
                <w:rFonts w:ascii="宋体" w:hAnsi="宋体" w:cs="宋体"/>
                <w:color w:val="auto"/>
                <w:szCs w:val="21"/>
              </w:rPr>
            </w:pPr>
            <w:r>
              <w:rPr>
                <w:rFonts w:hint="eastAsia" w:ascii="宋体" w:hAnsi="宋体" w:cs="宋体"/>
                <w:color w:val="auto"/>
                <w:szCs w:val="21"/>
              </w:rPr>
              <w:t>承诺按最新自律管理机制上限结合人民银行最新规定上限提供</w:t>
            </w:r>
          </w:p>
        </w:tc>
      </w:tr>
    </w:tbl>
    <w:p>
      <w:pPr>
        <w:spacing w:before="120" w:beforeLines="50"/>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说明：存款</w:t>
      </w:r>
      <w:r>
        <w:rPr>
          <w:rFonts w:hint="eastAsia" w:ascii="宋体" w:hAnsi="宋体" w:cs="宋体"/>
          <w:iCs/>
          <w:color w:val="auto"/>
          <w:kern w:val="0"/>
          <w:szCs w:val="21"/>
        </w:rPr>
        <w:t>利率报价应符合最新自律管理机制和人民银行最新规定，可采用承诺制</w:t>
      </w:r>
      <w:r>
        <w:rPr>
          <w:rFonts w:hint="eastAsia" w:ascii="宋体" w:hAnsi="宋体"/>
          <w:color w:val="auto"/>
          <w:szCs w:val="21"/>
        </w:rPr>
        <w:t>。</w:t>
      </w:r>
    </w:p>
    <w:p>
      <w:pPr>
        <w:spacing w:line="400" w:lineRule="exact"/>
        <w:ind w:firstLine="315" w:firstLineChars="150"/>
        <w:rPr>
          <w:rFonts w:ascii="宋体" w:hAnsi="宋体"/>
          <w:color w:val="auto"/>
          <w:szCs w:val="21"/>
        </w:rPr>
      </w:pPr>
    </w:p>
    <w:p>
      <w:pPr>
        <w:pStyle w:val="18"/>
        <w:rPr>
          <w:rFonts w:ascii="宋体" w:hAnsi="宋体"/>
          <w:color w:val="auto"/>
          <w:szCs w:val="21"/>
        </w:rPr>
      </w:pPr>
    </w:p>
    <w:p>
      <w:pPr>
        <w:pStyle w:val="18"/>
        <w:rPr>
          <w:rFonts w:ascii="宋体" w:hAnsi="宋体"/>
          <w:color w:val="auto"/>
          <w:szCs w:val="21"/>
        </w:rPr>
      </w:pPr>
    </w:p>
    <w:p>
      <w:pPr>
        <w:pStyle w:val="18"/>
        <w:rPr>
          <w:rFonts w:ascii="宋体" w:hAnsi="宋体"/>
          <w:color w:val="auto"/>
          <w:szCs w:val="21"/>
        </w:rPr>
      </w:pPr>
    </w:p>
    <w:p>
      <w:pPr>
        <w:spacing w:line="400" w:lineRule="exact"/>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w:t>
      </w:r>
      <w:r>
        <w:rPr>
          <w:rFonts w:ascii="宋体" w:hAnsi="宋体"/>
          <w:color w:val="auto"/>
          <w:szCs w:val="21"/>
        </w:rPr>
        <w:t>（盖</w:t>
      </w:r>
      <w:r>
        <w:rPr>
          <w:rFonts w:hint="eastAsia" w:ascii="宋体" w:hAnsi="宋体"/>
          <w:color w:val="auto"/>
          <w:szCs w:val="21"/>
        </w:rPr>
        <w:t>公</w:t>
      </w:r>
      <w:r>
        <w:rPr>
          <w:rFonts w:ascii="宋体" w:hAnsi="宋体"/>
          <w:color w:val="auto"/>
          <w:szCs w:val="21"/>
        </w:rPr>
        <w:t>章）</w:t>
      </w:r>
    </w:p>
    <w:p>
      <w:pPr>
        <w:spacing w:line="400" w:lineRule="exact"/>
        <w:rPr>
          <w:rFonts w:ascii="宋体" w:hAnsi="宋体"/>
          <w:color w:val="auto"/>
          <w:szCs w:val="21"/>
        </w:rPr>
      </w:pPr>
    </w:p>
    <w:p>
      <w:pPr>
        <w:spacing w:line="400" w:lineRule="exact"/>
        <w:rPr>
          <w:rFonts w:ascii="宋体" w:hAnsi="宋体"/>
          <w:color w:val="auto"/>
          <w:szCs w:val="21"/>
          <w:u w:val="single"/>
        </w:rPr>
      </w:pPr>
      <w:r>
        <w:rPr>
          <w:rFonts w:ascii="宋体" w:hAnsi="宋体"/>
          <w:color w:val="auto"/>
          <w:szCs w:val="21"/>
        </w:rPr>
        <w:t>法定代表人</w:t>
      </w:r>
      <w:r>
        <w:rPr>
          <w:rFonts w:hint="eastAsia" w:ascii="宋体" w:hAnsi="宋体"/>
          <w:color w:val="auto"/>
          <w:szCs w:val="21"/>
        </w:rPr>
        <w:t>（或单位负责人）</w:t>
      </w:r>
      <w:r>
        <w:rPr>
          <w:rFonts w:ascii="宋体" w:hAnsi="宋体"/>
          <w:color w:val="auto"/>
          <w:szCs w:val="21"/>
        </w:rPr>
        <w:t>或</w:t>
      </w:r>
      <w:r>
        <w:rPr>
          <w:rFonts w:hint="eastAsia" w:ascii="宋体" w:hAnsi="宋体"/>
          <w:color w:val="auto"/>
          <w:szCs w:val="21"/>
        </w:rPr>
        <w:t>其</w:t>
      </w:r>
      <w:r>
        <w:rPr>
          <w:rFonts w:ascii="宋体" w:hAnsi="宋体"/>
          <w:color w:val="auto"/>
          <w:szCs w:val="21"/>
        </w:rPr>
        <w:t>授权</w:t>
      </w:r>
      <w:r>
        <w:rPr>
          <w:rFonts w:hint="eastAsia" w:ascii="宋体" w:hAnsi="宋体"/>
          <w:color w:val="auto"/>
          <w:szCs w:val="21"/>
        </w:rPr>
        <w:t>代理</w:t>
      </w:r>
      <w:r>
        <w:rPr>
          <w:rFonts w:ascii="宋体" w:hAnsi="宋体"/>
          <w:color w:val="auto"/>
          <w:szCs w:val="21"/>
        </w:rPr>
        <w:t>人</w:t>
      </w:r>
      <w:r>
        <w:rPr>
          <w:rFonts w:ascii="宋体" w:hAnsi="宋体"/>
          <w:color w:val="auto"/>
          <w:szCs w:val="21"/>
          <w:u w:val="single"/>
        </w:rPr>
        <w:t xml:space="preserve">              </w:t>
      </w:r>
      <w:r>
        <w:rPr>
          <w:rFonts w:ascii="宋体" w:hAnsi="宋体"/>
          <w:color w:val="auto"/>
          <w:szCs w:val="21"/>
        </w:rPr>
        <w:t>（签字</w:t>
      </w:r>
      <w:r>
        <w:rPr>
          <w:rFonts w:hint="eastAsia" w:ascii="宋体" w:hAnsi="宋体"/>
          <w:color w:val="auto"/>
          <w:szCs w:val="21"/>
        </w:rPr>
        <w:t>或盖章</w:t>
      </w:r>
      <w:r>
        <w:rPr>
          <w:rFonts w:ascii="宋体" w:hAnsi="宋体"/>
          <w:color w:val="auto"/>
          <w:szCs w:val="21"/>
        </w:rPr>
        <w:t>）</w:t>
      </w:r>
    </w:p>
    <w:p>
      <w:pPr>
        <w:spacing w:line="400" w:lineRule="exact"/>
        <w:jc w:val="left"/>
        <w:rPr>
          <w:rFonts w:ascii="宋体" w:hAnsi="宋体"/>
          <w:color w:val="auto"/>
          <w:szCs w:val="21"/>
        </w:rPr>
      </w:pPr>
    </w:p>
    <w:p>
      <w:pPr>
        <w:spacing w:line="400" w:lineRule="exact"/>
        <w:jc w:val="left"/>
        <w:rPr>
          <w:rFonts w:ascii="宋体" w:hAnsi="宋体"/>
          <w:color w:val="auto"/>
          <w:szCs w:val="21"/>
        </w:rPr>
      </w:pPr>
      <w:r>
        <w:rPr>
          <w:rFonts w:ascii="宋体" w:hAnsi="宋体"/>
          <w:color w:val="auto"/>
          <w:szCs w:val="21"/>
        </w:rPr>
        <w:t>日期：    年    月    日</w:t>
      </w:r>
    </w:p>
    <w:p>
      <w:pPr>
        <w:rPr>
          <w:rFonts w:ascii="宋体" w:hAnsi="宋体"/>
          <w:color w:val="auto"/>
          <w:szCs w:val="21"/>
        </w:rPr>
      </w:pPr>
      <w:r>
        <w:rPr>
          <w:rFonts w:ascii="宋体" w:hAnsi="宋体"/>
          <w:color w:val="auto"/>
          <w:szCs w:val="21"/>
        </w:rPr>
        <w:br w:type="page"/>
      </w:r>
    </w:p>
    <w:p>
      <w:pPr>
        <w:pStyle w:val="26"/>
        <w:rPr>
          <w:color w:val="auto"/>
        </w:rPr>
      </w:pPr>
    </w:p>
    <w:p>
      <w:pPr>
        <w:spacing w:line="360" w:lineRule="auto"/>
        <w:outlineLvl w:val="1"/>
        <w:rPr>
          <w:rFonts w:ascii="宋体" w:hAnsi="宋体"/>
          <w:b/>
          <w:color w:val="auto"/>
          <w:szCs w:val="21"/>
        </w:rPr>
      </w:pPr>
      <w:bookmarkStart w:id="80" w:name="_Toc182932808"/>
      <w:r>
        <w:rPr>
          <w:rFonts w:hint="eastAsia" w:ascii="宋体" w:hAnsi="宋体"/>
          <w:color w:val="auto"/>
          <w:szCs w:val="21"/>
        </w:rPr>
        <w:t>附件三</w:t>
      </w:r>
      <w:bookmarkEnd w:id="80"/>
    </w:p>
    <w:p>
      <w:pPr>
        <w:spacing w:line="360" w:lineRule="auto"/>
        <w:rPr>
          <w:rFonts w:ascii="宋体" w:hAnsi="宋体"/>
          <w:color w:val="auto"/>
          <w:szCs w:val="21"/>
        </w:rPr>
      </w:pPr>
    </w:p>
    <w:p>
      <w:pPr>
        <w:spacing w:line="360" w:lineRule="auto"/>
        <w:rPr>
          <w:rFonts w:ascii="宋体" w:hAnsi="宋体"/>
          <w:color w:val="auto"/>
          <w:szCs w:val="21"/>
        </w:rPr>
      </w:pPr>
    </w:p>
    <w:p>
      <w:pPr>
        <w:snapToGrid w:val="0"/>
        <w:jc w:val="center"/>
        <w:rPr>
          <w:rFonts w:ascii="宋体" w:hAnsi="宋体"/>
          <w:b/>
          <w:color w:val="auto"/>
          <w:szCs w:val="21"/>
        </w:rPr>
      </w:pPr>
      <w:r>
        <w:rPr>
          <w:rFonts w:hint="eastAsia" w:ascii="宋体" w:hAnsi="宋体"/>
          <w:b/>
          <w:color w:val="auto"/>
          <w:szCs w:val="21"/>
        </w:rPr>
        <w:t>法定代表人（或单位负责人）身份证明书</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210" w:firstLineChars="100"/>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pPr>
        <w:spacing w:line="360" w:lineRule="auto"/>
        <w:ind w:firstLine="210" w:firstLineChars="100"/>
        <w:rPr>
          <w:rFonts w:ascii="宋体" w:hAnsi="宋体"/>
          <w:color w:val="auto"/>
          <w:szCs w:val="21"/>
        </w:rPr>
      </w:pPr>
      <w:r>
        <w:rPr>
          <w:rFonts w:hint="eastAsia" w:ascii="宋体" w:hAnsi="宋体"/>
          <w:color w:val="auto"/>
          <w:szCs w:val="21"/>
        </w:rPr>
        <w:t>单位性质：</w:t>
      </w:r>
      <w:r>
        <w:rPr>
          <w:rFonts w:hint="eastAsia" w:ascii="宋体" w:hAnsi="宋体"/>
          <w:color w:val="auto"/>
          <w:szCs w:val="21"/>
          <w:u w:val="single"/>
        </w:rPr>
        <w:t xml:space="preserve">                                                    </w:t>
      </w:r>
    </w:p>
    <w:p>
      <w:pPr>
        <w:spacing w:line="360" w:lineRule="auto"/>
        <w:ind w:firstLine="210" w:firstLineChars="100"/>
        <w:rPr>
          <w:rFonts w:ascii="宋体" w:hAnsi="宋体"/>
          <w:color w:val="auto"/>
          <w:szCs w:val="21"/>
        </w:rPr>
      </w:pPr>
      <w:r>
        <w:rPr>
          <w:rFonts w:hint="eastAsia" w:ascii="宋体" w:hAnsi="宋体"/>
          <w:color w:val="auto"/>
          <w:szCs w:val="21"/>
        </w:rPr>
        <w:t>成立时间：</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p>
    <w:p>
      <w:pPr>
        <w:spacing w:line="360" w:lineRule="auto"/>
        <w:ind w:firstLine="210" w:firstLineChars="100"/>
        <w:rPr>
          <w:rFonts w:ascii="宋体" w:hAnsi="宋体"/>
          <w:color w:val="auto"/>
          <w:szCs w:val="21"/>
          <w:u w:val="single"/>
        </w:rPr>
      </w:pPr>
      <w:r>
        <w:rPr>
          <w:rFonts w:hint="eastAsia" w:ascii="宋体" w:hAnsi="宋体"/>
          <w:color w:val="auto"/>
          <w:szCs w:val="21"/>
        </w:rPr>
        <w:t>经营期限：</w:t>
      </w:r>
      <w:r>
        <w:rPr>
          <w:rFonts w:hint="eastAsia" w:ascii="宋体" w:hAnsi="宋体"/>
          <w:color w:val="auto"/>
          <w:szCs w:val="21"/>
          <w:u w:val="single"/>
        </w:rPr>
        <w:t xml:space="preserve">                                                    </w:t>
      </w:r>
    </w:p>
    <w:p>
      <w:pPr>
        <w:spacing w:line="360" w:lineRule="auto"/>
        <w:ind w:firstLine="210" w:firstLineChars="100"/>
        <w:rPr>
          <w:rFonts w:ascii="宋体" w:hAnsi="宋体"/>
          <w:color w:val="auto"/>
          <w:szCs w:val="21"/>
        </w:rPr>
      </w:pPr>
      <w:r>
        <w:rPr>
          <w:rFonts w:hint="eastAsia" w:ascii="宋体" w:hAnsi="宋体"/>
          <w:color w:val="auto"/>
          <w:szCs w:val="21"/>
        </w:rPr>
        <w:t>姓名：</w:t>
      </w:r>
      <w:r>
        <w:rPr>
          <w:rFonts w:ascii="宋体" w:hAnsi="宋体"/>
          <w:color w:val="auto"/>
          <w:szCs w:val="21"/>
          <w:u w:val="single"/>
        </w:rPr>
        <w:t xml:space="preserve">             </w:t>
      </w:r>
      <w:r>
        <w:rPr>
          <w:rFonts w:hint="eastAsia" w:ascii="宋体" w:hAnsi="宋体"/>
          <w:color w:val="auto"/>
          <w:szCs w:val="21"/>
        </w:rPr>
        <w:t>性别：</w:t>
      </w:r>
      <w:r>
        <w:rPr>
          <w:rFonts w:ascii="宋体" w:hAnsi="宋体"/>
          <w:color w:val="auto"/>
          <w:szCs w:val="21"/>
          <w:u w:val="single"/>
        </w:rPr>
        <w:t xml:space="preserve">      </w:t>
      </w:r>
      <w:r>
        <w:rPr>
          <w:rFonts w:hint="eastAsia" w:ascii="宋体" w:hAnsi="宋体"/>
          <w:color w:val="auto"/>
          <w:szCs w:val="21"/>
        </w:rPr>
        <w:t>年龄：</w:t>
      </w:r>
      <w:r>
        <w:rPr>
          <w:rFonts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pPr>
        <w:spacing w:line="360" w:lineRule="auto"/>
        <w:ind w:firstLine="210" w:firstLineChars="100"/>
        <w:rPr>
          <w:rFonts w:ascii="宋体" w:hAnsi="宋体"/>
          <w:color w:val="auto"/>
          <w:szCs w:val="21"/>
        </w:rPr>
      </w:pPr>
      <w:r>
        <w:rPr>
          <w:rFonts w:hint="eastAsia" w:ascii="宋体" w:hAnsi="宋体"/>
          <w:color w:val="auto"/>
          <w:szCs w:val="21"/>
        </w:rPr>
        <w:t>系</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投标人名称</w:t>
      </w:r>
      <w:r>
        <w:rPr>
          <w:rFonts w:ascii="宋体" w:hAnsi="宋体"/>
          <w:color w:val="auto"/>
          <w:szCs w:val="21"/>
        </w:rPr>
        <w:t>)</w:t>
      </w:r>
      <w:r>
        <w:rPr>
          <w:rFonts w:hint="eastAsia" w:ascii="宋体" w:hAnsi="宋体"/>
          <w:color w:val="auto"/>
          <w:szCs w:val="21"/>
        </w:rPr>
        <w:t>的法定代表人（或单位负责人）。</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749" w:firstLineChars="357"/>
        <w:rPr>
          <w:rFonts w:ascii="宋体" w:hAnsi="宋体"/>
          <w:color w:val="auto"/>
          <w:szCs w:val="21"/>
        </w:rPr>
      </w:pPr>
      <w:r>
        <w:rPr>
          <w:rFonts w:hint="eastAsia" w:ascii="宋体" w:hAnsi="宋体"/>
          <w:color w:val="auto"/>
          <w:szCs w:val="21"/>
        </w:rPr>
        <w:t>特此证明。</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right="120" w:firstLine="435"/>
        <w:jc w:val="right"/>
        <w:rPr>
          <w:rFonts w:ascii="宋体" w:hAnsi="宋体"/>
          <w:color w:val="auto"/>
          <w:szCs w:val="21"/>
        </w:rPr>
      </w:pPr>
      <w:r>
        <w:rPr>
          <w:rFonts w:ascii="宋体" w:hAnsi="宋体"/>
          <w:color w:val="auto"/>
          <w:szCs w:val="21"/>
        </w:rPr>
        <w:t xml:space="preserve"> </w:t>
      </w:r>
      <w:r>
        <w:rPr>
          <w:rFonts w:hint="eastAsia" w:ascii="宋体" w:hAnsi="宋体"/>
          <w:color w:val="auto"/>
          <w:szCs w:val="21"/>
        </w:rPr>
        <w:t>投标人：</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盖公章</w:t>
      </w:r>
      <w:r>
        <w:rPr>
          <w:rFonts w:ascii="宋体" w:hAnsi="宋体"/>
          <w:color w:val="auto"/>
          <w:szCs w:val="21"/>
        </w:rPr>
        <w:t>)</w:t>
      </w:r>
    </w:p>
    <w:p>
      <w:pPr>
        <w:spacing w:line="360" w:lineRule="auto"/>
        <w:ind w:right="480"/>
        <w:rPr>
          <w:rFonts w:ascii="宋体" w:hAnsi="宋体"/>
          <w:color w:val="auto"/>
          <w:szCs w:val="21"/>
        </w:rPr>
      </w:pPr>
    </w:p>
    <w:p>
      <w:pPr>
        <w:spacing w:line="360" w:lineRule="auto"/>
        <w:ind w:firstLine="6300" w:firstLineChars="3000"/>
        <w:rPr>
          <w:rFonts w:ascii="宋体" w:hAnsi="宋体"/>
          <w:color w:val="auto"/>
          <w:szCs w:val="21"/>
        </w:rPr>
      </w:pPr>
      <w:r>
        <w:rPr>
          <w:rFonts w:ascii="宋体" w:hAnsi="宋体"/>
          <w:color w:val="auto"/>
          <w:szCs w:val="21"/>
        </w:rPr>
        <w:t>日期：    年    月    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8" w:type="dxa"/>
          </w:tcPr>
          <w:p>
            <w:pPr>
              <w:spacing w:line="360" w:lineRule="auto"/>
              <w:rPr>
                <w:rFonts w:ascii="宋体" w:hAnsi="宋体"/>
                <w:b/>
                <w:color w:val="auto"/>
                <w:szCs w:val="21"/>
              </w:rPr>
            </w:pPr>
            <w:r>
              <w:rPr>
                <w:rFonts w:hint="eastAsia" w:ascii="宋体" w:hAnsi="宋体"/>
                <w:b/>
                <w:color w:val="auto"/>
                <w:szCs w:val="21"/>
              </w:rPr>
              <w:t>附：法定代表人（或单位负责人）身份证</w:t>
            </w:r>
            <w:r>
              <w:rPr>
                <w:rFonts w:ascii="宋体" w:hAnsi="宋体"/>
                <w:b/>
                <w:color w:val="auto"/>
                <w:szCs w:val="21"/>
              </w:rPr>
              <w:t>正反面：</w:t>
            </w: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hint="eastAsia" w:ascii="宋体" w:hAnsi="宋体"/>
                <w:color w:val="auto"/>
                <w:szCs w:val="21"/>
              </w:rPr>
            </w:pPr>
          </w:p>
        </w:tc>
      </w:tr>
    </w:tbl>
    <w:p>
      <w:pPr>
        <w:spacing w:line="360" w:lineRule="auto"/>
        <w:rPr>
          <w:rFonts w:hint="eastAsia" w:ascii="宋体" w:hAnsi="宋体"/>
          <w:color w:val="auto"/>
          <w:szCs w:val="21"/>
        </w:rPr>
      </w:pPr>
    </w:p>
    <w:p>
      <w:pPr>
        <w:tabs>
          <w:tab w:val="left" w:pos="0"/>
        </w:tabs>
        <w:spacing w:line="300" w:lineRule="exact"/>
        <w:outlineLvl w:val="1"/>
        <w:rPr>
          <w:rFonts w:ascii="宋体" w:hAnsi="宋体"/>
          <w:b/>
          <w:color w:val="auto"/>
          <w:szCs w:val="21"/>
        </w:rPr>
      </w:pPr>
      <w:r>
        <w:rPr>
          <w:rFonts w:ascii="宋体" w:hAnsi="宋体"/>
          <w:b/>
          <w:color w:val="auto"/>
          <w:szCs w:val="21"/>
        </w:rPr>
        <w:br w:type="page"/>
      </w:r>
      <w:bookmarkStart w:id="81" w:name="_Toc182932809"/>
      <w:r>
        <w:rPr>
          <w:rFonts w:hint="eastAsia" w:ascii="宋体" w:hAnsi="宋体"/>
          <w:color w:val="auto"/>
          <w:szCs w:val="21"/>
        </w:rPr>
        <w:t>附件四</w:t>
      </w:r>
      <w:bookmarkEnd w:id="81"/>
    </w:p>
    <w:p>
      <w:pPr>
        <w:spacing w:line="360" w:lineRule="auto"/>
        <w:rPr>
          <w:rFonts w:ascii="宋体" w:hAnsi="宋体"/>
          <w:b/>
          <w:color w:val="auto"/>
          <w:szCs w:val="21"/>
        </w:rPr>
      </w:pPr>
    </w:p>
    <w:p>
      <w:pPr>
        <w:spacing w:line="360" w:lineRule="auto"/>
        <w:jc w:val="center"/>
        <w:rPr>
          <w:rFonts w:ascii="宋体" w:hAnsi="宋体"/>
          <w:b/>
          <w:color w:val="auto"/>
          <w:szCs w:val="21"/>
        </w:rPr>
      </w:pPr>
      <w:r>
        <w:rPr>
          <w:rFonts w:hint="eastAsia" w:ascii="宋体" w:hAnsi="宋体"/>
          <w:b/>
          <w:color w:val="auto"/>
          <w:szCs w:val="21"/>
        </w:rPr>
        <w:t>法定代表人（或单位负责人）的授权委托书</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本授权书声明：我</w:t>
      </w:r>
      <w:r>
        <w:rPr>
          <w:rFonts w:hint="eastAsia" w:ascii="宋体" w:hAnsi="宋体"/>
          <w:color w:val="auto"/>
          <w:szCs w:val="21"/>
          <w:u w:val="single"/>
        </w:rPr>
        <w:t>（姓名）</w:t>
      </w:r>
      <w:r>
        <w:rPr>
          <w:rFonts w:hint="eastAsia" w:ascii="宋体" w:hAnsi="宋体"/>
          <w:color w:val="auto"/>
          <w:szCs w:val="21"/>
        </w:rPr>
        <w:t>系注册于</w:t>
      </w:r>
      <w:r>
        <w:rPr>
          <w:rFonts w:hint="eastAsia" w:ascii="宋体" w:hAnsi="宋体"/>
          <w:color w:val="auto"/>
          <w:szCs w:val="21"/>
          <w:u w:val="single"/>
        </w:rPr>
        <w:t>（单位地址）</w:t>
      </w:r>
      <w:r>
        <w:rPr>
          <w:rFonts w:hint="eastAsia" w:ascii="宋体" w:hAnsi="宋体"/>
          <w:color w:val="auto"/>
          <w:szCs w:val="21"/>
        </w:rPr>
        <w:t>的</w:t>
      </w:r>
      <w:r>
        <w:rPr>
          <w:rFonts w:hint="eastAsia" w:ascii="宋体" w:hAnsi="宋体"/>
          <w:color w:val="auto"/>
          <w:szCs w:val="21"/>
          <w:u w:val="single"/>
        </w:rPr>
        <w:t>（投标人名称）</w:t>
      </w:r>
      <w:r>
        <w:rPr>
          <w:rFonts w:hint="eastAsia" w:ascii="宋体" w:hAnsi="宋体"/>
          <w:color w:val="auto"/>
          <w:szCs w:val="21"/>
        </w:rPr>
        <w:t>的法定代表人（或单位负责人），现授权委托</w:t>
      </w:r>
      <w:r>
        <w:rPr>
          <w:rFonts w:hint="eastAsia" w:ascii="宋体" w:hAnsi="宋体"/>
          <w:color w:val="auto"/>
          <w:szCs w:val="21"/>
          <w:u w:val="single"/>
        </w:rPr>
        <w:t>（被授权人姓名、职务）</w:t>
      </w:r>
      <w:r>
        <w:rPr>
          <w:rFonts w:hint="eastAsia" w:ascii="宋体" w:hAnsi="宋体"/>
          <w:color w:val="auto"/>
          <w:szCs w:val="21"/>
        </w:rPr>
        <w:t>为我行的合法代理人，以本行的名义参加</w:t>
      </w:r>
      <w:r>
        <w:rPr>
          <w:rFonts w:hint="eastAsia" w:ascii="宋体" w:hAnsi="宋体"/>
          <w:color w:val="auto"/>
          <w:szCs w:val="21"/>
          <w:u w:val="single"/>
        </w:rPr>
        <w:t>（项目名称）</w:t>
      </w:r>
      <w:r>
        <w:rPr>
          <w:rFonts w:hint="eastAsia" w:ascii="宋体" w:hAnsi="宋体"/>
          <w:color w:val="auto"/>
          <w:szCs w:val="21"/>
        </w:rPr>
        <w:t>的投标活动。代理人在参与投标过程中所签署的一切文件和处理与之有关的一切事务，我行均予以承认。</w:t>
      </w:r>
    </w:p>
    <w:p>
      <w:pPr>
        <w:spacing w:line="360" w:lineRule="auto"/>
        <w:ind w:firstLine="420" w:firstLineChars="200"/>
        <w:rPr>
          <w:rFonts w:ascii="宋体" w:hAnsi="宋体"/>
          <w:color w:val="auto"/>
          <w:szCs w:val="21"/>
        </w:rPr>
      </w:pPr>
      <w:r>
        <w:rPr>
          <w:rFonts w:hint="eastAsia" w:ascii="宋体" w:hAnsi="宋体"/>
          <w:color w:val="auto"/>
          <w:szCs w:val="21"/>
        </w:rPr>
        <w:t>本授权书于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日签字生效。</w:t>
      </w:r>
    </w:p>
    <w:p>
      <w:pPr>
        <w:spacing w:line="360" w:lineRule="auto"/>
        <w:ind w:firstLine="420" w:firstLineChars="200"/>
        <w:rPr>
          <w:rFonts w:ascii="宋体" w:hAnsi="宋体"/>
          <w:color w:val="auto"/>
          <w:szCs w:val="21"/>
        </w:rPr>
      </w:pPr>
      <w:r>
        <w:rPr>
          <w:rFonts w:hint="eastAsia" w:ascii="宋体" w:hAnsi="宋体"/>
          <w:color w:val="auto"/>
          <w:szCs w:val="21"/>
        </w:rPr>
        <w:t>特此声明</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投标人（盖公章）：</w:t>
      </w:r>
      <w:r>
        <w:rPr>
          <w:rFonts w:hint="eastAsia" w:ascii="宋体" w:hAnsi="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法定代表人（或单位负责人）签字或盖章：</w:t>
      </w:r>
      <w:r>
        <w:rPr>
          <w:rFonts w:hint="eastAsia" w:ascii="宋体" w:hAnsi="宋体"/>
          <w:color w:val="auto"/>
          <w:szCs w:val="21"/>
          <w:u w:val="single"/>
        </w:rPr>
        <w:t xml:space="preserve">                       </w:t>
      </w:r>
    </w:p>
    <w:p>
      <w:pPr>
        <w:spacing w:line="360" w:lineRule="auto"/>
        <w:rPr>
          <w:rFonts w:ascii="宋体" w:hAnsi="宋体"/>
          <w:color w:val="auto"/>
          <w:szCs w:val="21"/>
          <w:u w:val="single"/>
        </w:rPr>
      </w:pPr>
      <w:r>
        <w:rPr>
          <w:rFonts w:hint="eastAsia" w:ascii="宋体" w:hAnsi="宋体"/>
          <w:color w:val="auto"/>
          <w:szCs w:val="21"/>
        </w:rPr>
        <w:t>授权代理人签字：</w:t>
      </w:r>
      <w:r>
        <w:rPr>
          <w:rFonts w:hint="eastAsia" w:ascii="宋体" w:hAnsi="宋体"/>
          <w:color w:val="auto"/>
          <w:szCs w:val="21"/>
          <w:u w:val="single"/>
        </w:rPr>
        <w:t xml:space="preserve">                                             </w:t>
      </w:r>
    </w:p>
    <w:p>
      <w:pPr>
        <w:spacing w:line="360" w:lineRule="auto"/>
        <w:rPr>
          <w:rFonts w:ascii="宋体" w:hAnsi="宋体"/>
          <w:color w:val="auto"/>
          <w:szCs w:val="21"/>
          <w:u w:val="single"/>
        </w:rPr>
      </w:pPr>
    </w:p>
    <w:p>
      <w:pPr>
        <w:spacing w:line="360" w:lineRule="auto"/>
        <w:rPr>
          <w:rFonts w:ascii="宋体" w:hAnsi="宋体"/>
          <w:color w:val="auto"/>
          <w:szCs w:val="21"/>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8" w:type="dxa"/>
          </w:tcPr>
          <w:p>
            <w:pPr>
              <w:spacing w:line="360" w:lineRule="auto"/>
              <w:rPr>
                <w:rFonts w:ascii="宋体" w:hAnsi="宋体"/>
                <w:b/>
                <w:color w:val="auto"/>
                <w:szCs w:val="21"/>
              </w:rPr>
            </w:pPr>
            <w:r>
              <w:rPr>
                <w:rFonts w:hint="eastAsia" w:ascii="宋体" w:hAnsi="宋体"/>
                <w:b/>
                <w:color w:val="auto"/>
                <w:szCs w:val="21"/>
              </w:rPr>
              <w:t>附：授权代理人身份证</w:t>
            </w:r>
            <w:r>
              <w:rPr>
                <w:rFonts w:ascii="宋体" w:hAnsi="宋体"/>
                <w:b/>
                <w:color w:val="auto"/>
                <w:szCs w:val="21"/>
              </w:rPr>
              <w:t>正反面：</w:t>
            </w: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outlineLvl w:val="1"/>
              <w:rPr>
                <w:rFonts w:ascii="宋体" w:hAnsi="宋体"/>
                <w:b/>
                <w:color w:val="auto"/>
                <w:szCs w:val="21"/>
              </w:rPr>
            </w:pPr>
          </w:p>
        </w:tc>
      </w:tr>
    </w:tbl>
    <w:p>
      <w:pPr>
        <w:spacing w:line="360" w:lineRule="auto"/>
        <w:outlineLvl w:val="1"/>
        <w:rPr>
          <w:rFonts w:ascii="宋体" w:hAnsi="宋体"/>
          <w:b/>
          <w:color w:val="auto"/>
          <w:szCs w:val="21"/>
        </w:rPr>
      </w:pPr>
    </w:p>
    <w:p>
      <w:pPr>
        <w:spacing w:line="360" w:lineRule="auto"/>
        <w:outlineLvl w:val="1"/>
        <w:rPr>
          <w:rFonts w:ascii="宋体" w:hAnsi="宋体"/>
          <w:b/>
          <w:color w:val="auto"/>
          <w:szCs w:val="21"/>
        </w:rPr>
      </w:pPr>
      <w:r>
        <w:rPr>
          <w:rFonts w:ascii="宋体" w:hAnsi="宋体"/>
          <w:b/>
          <w:color w:val="auto"/>
          <w:szCs w:val="21"/>
        </w:rPr>
        <w:br w:type="column"/>
      </w:r>
      <w:bookmarkStart w:id="82" w:name="_Toc182932810"/>
      <w:r>
        <w:rPr>
          <w:rFonts w:hint="eastAsia" w:ascii="宋体" w:hAnsi="宋体"/>
          <w:color w:val="auto"/>
          <w:szCs w:val="21"/>
        </w:rPr>
        <w:t>附件五</w:t>
      </w:r>
      <w:bookmarkEnd w:id="82"/>
    </w:p>
    <w:p>
      <w:pPr>
        <w:spacing w:line="360" w:lineRule="auto"/>
        <w:jc w:val="center"/>
        <w:rPr>
          <w:rFonts w:ascii="宋体" w:hAnsi="宋体"/>
          <w:b/>
          <w:color w:val="auto"/>
          <w:szCs w:val="21"/>
        </w:rPr>
      </w:pPr>
      <w:r>
        <w:rPr>
          <w:rFonts w:hint="eastAsia" w:ascii="宋体" w:hAnsi="宋体"/>
          <w:b/>
          <w:color w:val="auto"/>
          <w:szCs w:val="21"/>
        </w:rPr>
        <w:t>投标人基本情况声明</w:t>
      </w:r>
    </w:p>
    <w:p>
      <w:pPr>
        <w:spacing w:line="340" w:lineRule="exact"/>
        <w:rPr>
          <w:rFonts w:ascii="宋体" w:hAnsi="宋体"/>
          <w:b/>
          <w:bCs/>
          <w:color w:val="auto"/>
          <w:szCs w:val="21"/>
        </w:rPr>
      </w:pPr>
      <w:r>
        <w:rPr>
          <w:rFonts w:hint="eastAsia" w:ascii="宋体" w:hAnsi="宋体"/>
          <w:b/>
          <w:bCs/>
          <w:color w:val="auto"/>
          <w:szCs w:val="21"/>
        </w:rPr>
        <w:t>一、名称及其它资料：</w:t>
      </w:r>
    </w:p>
    <w:p>
      <w:pPr>
        <w:tabs>
          <w:tab w:val="left" w:pos="360"/>
        </w:tabs>
        <w:spacing w:line="340" w:lineRule="exact"/>
        <w:ind w:firstLine="210" w:firstLineChars="100"/>
        <w:rPr>
          <w:rFonts w:ascii="宋体" w:hAnsi="宋体"/>
          <w:color w:val="auto"/>
          <w:szCs w:val="21"/>
        </w:rPr>
      </w:pPr>
      <w:r>
        <w:rPr>
          <w:rFonts w:hint="eastAsia" w:ascii="宋体" w:hAnsi="宋体"/>
          <w:color w:val="auto"/>
          <w:szCs w:val="21"/>
        </w:rPr>
        <w:t>1、银行名称：</w:t>
      </w:r>
      <w:r>
        <w:rPr>
          <w:rFonts w:hint="eastAsia" w:ascii="宋体" w:hAnsi="宋体"/>
          <w:color w:val="auto"/>
          <w:szCs w:val="21"/>
          <w:u w:val="single"/>
        </w:rPr>
        <w:t xml:space="preserve">                                        </w:t>
      </w:r>
    </w:p>
    <w:p>
      <w:pPr>
        <w:tabs>
          <w:tab w:val="left" w:pos="360"/>
        </w:tabs>
        <w:spacing w:line="340" w:lineRule="exact"/>
        <w:ind w:firstLine="210" w:firstLineChars="100"/>
        <w:rPr>
          <w:rFonts w:ascii="宋体" w:hAnsi="宋体"/>
          <w:color w:val="auto"/>
          <w:szCs w:val="21"/>
        </w:rPr>
      </w:pPr>
      <w:r>
        <w:rPr>
          <w:rFonts w:hint="eastAsia" w:ascii="宋体" w:hAnsi="宋体"/>
          <w:color w:val="auto"/>
          <w:szCs w:val="21"/>
        </w:rPr>
        <w:t>2、地址：</w:t>
      </w:r>
      <w:r>
        <w:rPr>
          <w:rFonts w:hint="eastAsia" w:ascii="宋体" w:hAnsi="宋体"/>
          <w:color w:val="auto"/>
          <w:szCs w:val="21"/>
          <w:u w:val="single"/>
        </w:rPr>
        <w:t xml:space="preserve">                                            </w:t>
      </w:r>
    </w:p>
    <w:p>
      <w:pPr>
        <w:tabs>
          <w:tab w:val="left" w:pos="360"/>
        </w:tabs>
        <w:spacing w:line="340" w:lineRule="exact"/>
        <w:ind w:firstLine="210" w:firstLineChars="100"/>
        <w:rPr>
          <w:rFonts w:ascii="宋体" w:hAnsi="宋体"/>
          <w:color w:val="auto"/>
          <w:szCs w:val="21"/>
        </w:rPr>
      </w:pPr>
      <w:r>
        <w:rPr>
          <w:rFonts w:hint="eastAsia" w:ascii="宋体" w:hAnsi="宋体"/>
          <w:color w:val="auto"/>
          <w:szCs w:val="21"/>
        </w:rPr>
        <w:t>3、邮编：</w:t>
      </w:r>
      <w:r>
        <w:rPr>
          <w:rFonts w:hint="eastAsia" w:ascii="宋体" w:hAnsi="宋体"/>
          <w:color w:val="auto"/>
          <w:szCs w:val="21"/>
          <w:u w:val="single"/>
        </w:rPr>
        <w:t xml:space="preserve">                                            </w:t>
      </w:r>
    </w:p>
    <w:p>
      <w:pPr>
        <w:tabs>
          <w:tab w:val="left" w:pos="360"/>
        </w:tabs>
        <w:spacing w:line="340" w:lineRule="exact"/>
        <w:ind w:firstLine="210" w:firstLineChars="100"/>
        <w:rPr>
          <w:rFonts w:ascii="宋体" w:hAnsi="宋体"/>
          <w:color w:val="auto"/>
          <w:szCs w:val="21"/>
        </w:rPr>
      </w:pPr>
      <w:r>
        <w:rPr>
          <w:rFonts w:hint="eastAsia" w:ascii="宋体" w:hAnsi="宋体"/>
          <w:color w:val="auto"/>
          <w:szCs w:val="21"/>
        </w:rPr>
        <w:t>4、电话/传真：</w:t>
      </w:r>
      <w:r>
        <w:rPr>
          <w:rFonts w:hint="eastAsia" w:ascii="宋体" w:hAnsi="宋体"/>
          <w:color w:val="auto"/>
          <w:szCs w:val="21"/>
          <w:u w:val="single"/>
        </w:rPr>
        <w:t xml:space="preserve">                                       </w:t>
      </w:r>
    </w:p>
    <w:p>
      <w:pPr>
        <w:tabs>
          <w:tab w:val="left" w:pos="360"/>
        </w:tabs>
        <w:spacing w:line="340" w:lineRule="exact"/>
        <w:ind w:firstLine="210" w:firstLineChars="100"/>
        <w:rPr>
          <w:rFonts w:ascii="宋体" w:hAnsi="宋体"/>
          <w:color w:val="auto"/>
          <w:szCs w:val="21"/>
        </w:rPr>
      </w:pPr>
      <w:r>
        <w:rPr>
          <w:rFonts w:hint="eastAsia" w:ascii="宋体" w:hAnsi="宋体"/>
          <w:color w:val="auto"/>
          <w:szCs w:val="21"/>
        </w:rPr>
        <w:t>5、成立日期或注册日期：</w:t>
      </w:r>
      <w:r>
        <w:rPr>
          <w:rFonts w:hint="eastAsia" w:ascii="宋体" w:hAnsi="宋体"/>
          <w:color w:val="auto"/>
          <w:szCs w:val="21"/>
          <w:u w:val="single"/>
        </w:rPr>
        <w:t xml:space="preserve">                              </w:t>
      </w:r>
    </w:p>
    <w:p>
      <w:pPr>
        <w:tabs>
          <w:tab w:val="left" w:pos="360"/>
        </w:tabs>
        <w:spacing w:line="340" w:lineRule="exact"/>
        <w:ind w:firstLine="210" w:firstLineChars="100"/>
        <w:rPr>
          <w:rFonts w:ascii="宋体" w:hAnsi="宋体"/>
          <w:color w:val="auto"/>
          <w:szCs w:val="21"/>
        </w:rPr>
      </w:pPr>
      <w:r>
        <w:rPr>
          <w:rFonts w:hint="eastAsia" w:ascii="宋体" w:hAnsi="宋体"/>
          <w:color w:val="auto"/>
          <w:szCs w:val="21"/>
        </w:rPr>
        <w:t>6、2023年12月31日资产负债表</w:t>
      </w:r>
    </w:p>
    <w:p>
      <w:pPr>
        <w:tabs>
          <w:tab w:val="left" w:pos="360"/>
          <w:tab w:val="left" w:pos="720"/>
        </w:tabs>
        <w:spacing w:line="340" w:lineRule="exact"/>
        <w:ind w:firstLine="420" w:firstLineChars="200"/>
        <w:rPr>
          <w:rFonts w:ascii="宋体" w:hAnsi="宋体"/>
          <w:color w:val="auto"/>
          <w:szCs w:val="21"/>
        </w:rPr>
      </w:pPr>
      <w:r>
        <w:rPr>
          <w:rFonts w:hint="eastAsia" w:ascii="宋体" w:hAnsi="宋体"/>
          <w:color w:val="auto"/>
          <w:szCs w:val="21"/>
        </w:rPr>
        <w:t>(1)固定资产：</w:t>
      </w:r>
      <w:r>
        <w:rPr>
          <w:rFonts w:hint="eastAsia" w:ascii="宋体" w:hAnsi="宋体"/>
          <w:color w:val="auto"/>
          <w:szCs w:val="21"/>
          <w:u w:val="single"/>
        </w:rPr>
        <w:t xml:space="preserve">                                     </w:t>
      </w:r>
    </w:p>
    <w:p>
      <w:pPr>
        <w:tabs>
          <w:tab w:val="left" w:pos="360"/>
          <w:tab w:val="left" w:pos="720"/>
        </w:tabs>
        <w:spacing w:line="340" w:lineRule="exact"/>
        <w:ind w:firstLine="420" w:firstLineChars="200"/>
        <w:rPr>
          <w:rFonts w:ascii="宋体" w:hAnsi="宋体"/>
          <w:color w:val="auto"/>
          <w:szCs w:val="21"/>
        </w:rPr>
      </w:pPr>
      <w:r>
        <w:rPr>
          <w:rFonts w:hint="eastAsia" w:ascii="宋体" w:hAnsi="宋体"/>
          <w:color w:val="auto"/>
          <w:szCs w:val="21"/>
        </w:rPr>
        <w:t>(2)流动资产：</w:t>
      </w:r>
      <w:r>
        <w:rPr>
          <w:rFonts w:hint="eastAsia" w:ascii="宋体" w:hAnsi="宋体"/>
          <w:color w:val="auto"/>
          <w:szCs w:val="21"/>
          <w:u w:val="single"/>
        </w:rPr>
        <w:t xml:space="preserve">                                     </w:t>
      </w:r>
    </w:p>
    <w:p>
      <w:pPr>
        <w:tabs>
          <w:tab w:val="left" w:pos="360"/>
          <w:tab w:val="left" w:pos="720"/>
        </w:tabs>
        <w:spacing w:line="340" w:lineRule="exact"/>
        <w:ind w:firstLine="420" w:firstLineChars="200"/>
        <w:rPr>
          <w:rFonts w:ascii="宋体" w:hAnsi="宋体"/>
          <w:color w:val="auto"/>
          <w:szCs w:val="21"/>
        </w:rPr>
      </w:pPr>
      <w:r>
        <w:rPr>
          <w:rFonts w:hint="eastAsia" w:ascii="宋体" w:hAnsi="宋体"/>
          <w:color w:val="auto"/>
          <w:szCs w:val="21"/>
        </w:rPr>
        <w:t>(3)长期债务：</w:t>
      </w:r>
      <w:r>
        <w:rPr>
          <w:rFonts w:hint="eastAsia" w:ascii="宋体" w:hAnsi="宋体"/>
          <w:color w:val="auto"/>
          <w:szCs w:val="21"/>
          <w:u w:val="single"/>
        </w:rPr>
        <w:t xml:space="preserve">                                     </w:t>
      </w:r>
    </w:p>
    <w:p>
      <w:pPr>
        <w:tabs>
          <w:tab w:val="left" w:pos="360"/>
          <w:tab w:val="left" w:pos="720"/>
        </w:tabs>
        <w:spacing w:line="340" w:lineRule="exact"/>
        <w:ind w:firstLine="420" w:firstLineChars="200"/>
        <w:rPr>
          <w:rFonts w:ascii="宋体" w:hAnsi="宋体"/>
          <w:color w:val="auto"/>
          <w:szCs w:val="21"/>
        </w:rPr>
      </w:pPr>
      <w:r>
        <w:rPr>
          <w:rFonts w:hint="eastAsia" w:ascii="宋体" w:hAnsi="宋体"/>
          <w:color w:val="auto"/>
          <w:szCs w:val="21"/>
        </w:rPr>
        <w:t>(4)流动债务：</w:t>
      </w:r>
      <w:r>
        <w:rPr>
          <w:rFonts w:hint="eastAsia" w:ascii="宋体" w:hAnsi="宋体"/>
          <w:color w:val="auto"/>
          <w:szCs w:val="21"/>
          <w:u w:val="single"/>
        </w:rPr>
        <w:t xml:space="preserve">                                     </w:t>
      </w:r>
    </w:p>
    <w:p>
      <w:pPr>
        <w:tabs>
          <w:tab w:val="left" w:pos="360"/>
          <w:tab w:val="left" w:pos="720"/>
        </w:tabs>
        <w:spacing w:line="340" w:lineRule="exact"/>
        <w:ind w:firstLine="420" w:firstLineChars="200"/>
        <w:rPr>
          <w:rFonts w:ascii="宋体" w:hAnsi="宋体"/>
          <w:color w:val="auto"/>
          <w:szCs w:val="21"/>
        </w:rPr>
      </w:pPr>
      <w:r>
        <w:rPr>
          <w:rFonts w:hint="eastAsia" w:ascii="宋体" w:hAnsi="宋体"/>
          <w:color w:val="auto"/>
          <w:szCs w:val="21"/>
        </w:rPr>
        <w:t>(5)净    值：</w:t>
      </w:r>
      <w:r>
        <w:rPr>
          <w:rFonts w:hint="eastAsia" w:ascii="宋体" w:hAnsi="宋体"/>
          <w:color w:val="auto"/>
          <w:szCs w:val="21"/>
          <w:u w:val="single"/>
        </w:rPr>
        <w:t xml:space="preserve">                                     </w:t>
      </w:r>
    </w:p>
    <w:p>
      <w:pPr>
        <w:tabs>
          <w:tab w:val="left" w:pos="360"/>
        </w:tabs>
        <w:spacing w:line="340" w:lineRule="exact"/>
        <w:ind w:firstLine="210" w:firstLineChars="100"/>
        <w:rPr>
          <w:rFonts w:ascii="宋体" w:hAnsi="宋体"/>
          <w:color w:val="auto"/>
          <w:szCs w:val="21"/>
        </w:rPr>
      </w:pPr>
      <w:r>
        <w:rPr>
          <w:rFonts w:hint="eastAsia" w:ascii="宋体" w:hAnsi="宋体"/>
          <w:color w:val="auto"/>
          <w:szCs w:val="21"/>
        </w:rPr>
        <w:t>7、法定代表人或单位负责人姓名：</w:t>
      </w:r>
      <w:r>
        <w:rPr>
          <w:rFonts w:hint="eastAsia" w:ascii="宋体" w:hAnsi="宋体"/>
          <w:color w:val="auto"/>
          <w:szCs w:val="21"/>
          <w:u w:val="single"/>
        </w:rPr>
        <w:t xml:space="preserve">                      </w:t>
      </w:r>
    </w:p>
    <w:p>
      <w:pPr>
        <w:tabs>
          <w:tab w:val="left" w:pos="360"/>
        </w:tabs>
        <w:spacing w:line="340" w:lineRule="exact"/>
        <w:ind w:firstLine="210" w:firstLineChars="100"/>
        <w:rPr>
          <w:rFonts w:ascii="宋体" w:hAnsi="宋体"/>
          <w:color w:val="auto"/>
          <w:szCs w:val="21"/>
        </w:rPr>
      </w:pPr>
      <w:r>
        <w:rPr>
          <w:rFonts w:hint="eastAsia" w:ascii="宋体" w:hAnsi="宋体"/>
          <w:color w:val="auto"/>
          <w:szCs w:val="21"/>
        </w:rPr>
        <w:t>8、经营特色：</w:t>
      </w:r>
      <w:r>
        <w:rPr>
          <w:rFonts w:hint="eastAsia" w:ascii="宋体" w:hAnsi="宋体"/>
          <w:color w:val="auto"/>
          <w:szCs w:val="21"/>
          <w:u w:val="single"/>
        </w:rPr>
        <w:t xml:space="preserve">                                         </w:t>
      </w:r>
    </w:p>
    <w:p>
      <w:pPr>
        <w:spacing w:line="340" w:lineRule="exact"/>
        <w:rPr>
          <w:rFonts w:ascii="宋体" w:hAnsi="宋体"/>
          <w:b/>
          <w:bCs/>
          <w:color w:val="auto"/>
          <w:szCs w:val="21"/>
        </w:rPr>
      </w:pPr>
      <w:r>
        <w:rPr>
          <w:rFonts w:hint="eastAsia" w:ascii="宋体" w:hAnsi="宋体"/>
          <w:b/>
          <w:bCs/>
          <w:color w:val="auto"/>
          <w:szCs w:val="21"/>
        </w:rPr>
        <w:t>二、银行的信息化建设状况：</w:t>
      </w:r>
    </w:p>
    <w:p>
      <w:pPr>
        <w:spacing w:line="340" w:lineRule="exact"/>
        <w:ind w:firstLine="210" w:firstLineChars="100"/>
        <w:rPr>
          <w:rFonts w:ascii="宋体" w:hAnsi="宋体"/>
          <w:color w:val="auto"/>
          <w:szCs w:val="21"/>
        </w:rPr>
      </w:pPr>
      <w:r>
        <w:rPr>
          <w:rFonts w:hint="eastAsia" w:ascii="宋体" w:hAnsi="宋体"/>
          <w:color w:val="auto"/>
          <w:szCs w:val="21"/>
        </w:rPr>
        <w:t>1、已具备的功能；</w:t>
      </w:r>
    </w:p>
    <w:p>
      <w:pPr>
        <w:spacing w:line="340" w:lineRule="exact"/>
        <w:ind w:firstLine="210" w:firstLineChars="100"/>
        <w:rPr>
          <w:rFonts w:ascii="宋体" w:hAnsi="宋体"/>
          <w:color w:val="auto"/>
          <w:szCs w:val="21"/>
        </w:rPr>
      </w:pPr>
      <w:r>
        <w:rPr>
          <w:rFonts w:hint="eastAsia" w:ascii="宋体" w:hAnsi="宋体"/>
          <w:color w:val="auto"/>
          <w:szCs w:val="21"/>
        </w:rPr>
        <w:t>2、软件开发能力；</w:t>
      </w:r>
    </w:p>
    <w:p>
      <w:pPr>
        <w:spacing w:line="340" w:lineRule="exact"/>
        <w:ind w:firstLine="210" w:firstLineChars="100"/>
        <w:rPr>
          <w:rFonts w:ascii="宋体" w:hAnsi="宋体"/>
          <w:color w:val="auto"/>
          <w:szCs w:val="21"/>
        </w:rPr>
      </w:pPr>
      <w:r>
        <w:rPr>
          <w:rFonts w:hint="eastAsia" w:ascii="宋体" w:hAnsi="宋体"/>
          <w:color w:val="auto"/>
          <w:szCs w:val="21"/>
        </w:rPr>
        <w:t>3、已有硬件设施（包括小型机、PC服务器、计算机等）</w:t>
      </w:r>
    </w:p>
    <w:p>
      <w:pPr>
        <w:spacing w:line="340" w:lineRule="exact"/>
        <w:ind w:firstLine="420" w:firstLineChars="200"/>
        <w:rPr>
          <w:rFonts w:ascii="宋体" w:hAnsi="宋体"/>
          <w:color w:val="auto"/>
          <w:szCs w:val="21"/>
        </w:rPr>
      </w:pPr>
      <w:r>
        <w:rPr>
          <w:rFonts w:hint="eastAsia" w:ascii="宋体" w:hAnsi="宋体"/>
          <w:color w:val="auto"/>
          <w:szCs w:val="21"/>
        </w:rPr>
        <w:t>总数</w:t>
      </w:r>
      <w:r>
        <w:rPr>
          <w:rFonts w:hint="eastAsia" w:ascii="宋体" w:hAnsi="宋体"/>
          <w:color w:val="auto"/>
          <w:szCs w:val="21"/>
          <w:u w:val="single"/>
        </w:rPr>
        <w:t xml:space="preserve">             </w:t>
      </w:r>
      <w:r>
        <w:rPr>
          <w:rFonts w:hint="eastAsia" w:ascii="宋体" w:hAnsi="宋体"/>
          <w:color w:val="auto"/>
          <w:szCs w:val="21"/>
        </w:rPr>
        <w:t>台（套）</w:t>
      </w:r>
    </w:p>
    <w:p>
      <w:pPr>
        <w:spacing w:line="340" w:lineRule="exact"/>
        <w:ind w:firstLine="420" w:firstLineChars="200"/>
        <w:rPr>
          <w:rFonts w:ascii="宋体" w:hAnsi="宋体"/>
          <w:color w:val="auto"/>
          <w:szCs w:val="21"/>
        </w:rPr>
      </w:pPr>
      <w:r>
        <w:rPr>
          <w:rFonts w:hint="eastAsia" w:ascii="宋体" w:hAnsi="宋体"/>
          <w:color w:val="auto"/>
          <w:szCs w:val="21"/>
        </w:rPr>
        <w:t>综合性营业网点（平均）</w:t>
      </w:r>
      <w:r>
        <w:rPr>
          <w:rFonts w:hint="eastAsia" w:ascii="宋体" w:hAnsi="宋体"/>
          <w:color w:val="auto"/>
          <w:szCs w:val="21"/>
          <w:u w:val="single"/>
        </w:rPr>
        <w:t xml:space="preserve">           </w:t>
      </w:r>
      <w:r>
        <w:rPr>
          <w:rFonts w:hint="eastAsia" w:ascii="宋体" w:hAnsi="宋体"/>
          <w:color w:val="auto"/>
          <w:szCs w:val="21"/>
        </w:rPr>
        <w:t>台（套）</w:t>
      </w:r>
    </w:p>
    <w:p>
      <w:pPr>
        <w:spacing w:line="340" w:lineRule="exact"/>
        <w:ind w:firstLine="210" w:firstLineChars="100"/>
        <w:rPr>
          <w:rFonts w:ascii="宋体" w:hAnsi="宋体"/>
          <w:color w:val="auto"/>
          <w:szCs w:val="21"/>
        </w:rPr>
      </w:pPr>
      <w:r>
        <w:rPr>
          <w:rFonts w:hint="eastAsia" w:ascii="宋体" w:hAnsi="宋体"/>
          <w:color w:val="auto"/>
          <w:szCs w:val="21"/>
        </w:rPr>
        <w:t>4、从事信息化管理、开发、运行的人数量；</w:t>
      </w:r>
    </w:p>
    <w:p>
      <w:pPr>
        <w:spacing w:line="340" w:lineRule="exact"/>
        <w:ind w:firstLine="420" w:firstLineChars="200"/>
        <w:rPr>
          <w:rFonts w:ascii="宋体" w:hAnsi="宋体"/>
          <w:color w:val="auto"/>
          <w:szCs w:val="21"/>
        </w:rPr>
      </w:pPr>
      <w:r>
        <w:rPr>
          <w:rFonts w:hint="eastAsia" w:ascii="宋体" w:hAnsi="宋体"/>
          <w:color w:val="auto"/>
          <w:szCs w:val="21"/>
        </w:rPr>
        <w:t>总人数</w:t>
      </w:r>
      <w:r>
        <w:rPr>
          <w:rFonts w:hint="eastAsia" w:ascii="宋体" w:hAnsi="宋体"/>
          <w:color w:val="auto"/>
          <w:szCs w:val="21"/>
          <w:u w:val="single"/>
        </w:rPr>
        <w:t xml:space="preserve">                      </w:t>
      </w:r>
      <w:r>
        <w:rPr>
          <w:rFonts w:hint="eastAsia" w:ascii="宋体" w:hAnsi="宋体"/>
          <w:color w:val="auto"/>
          <w:szCs w:val="21"/>
        </w:rPr>
        <w:t>人</w:t>
      </w:r>
    </w:p>
    <w:p>
      <w:pPr>
        <w:spacing w:line="340" w:lineRule="exact"/>
        <w:ind w:firstLine="420" w:firstLineChars="200"/>
        <w:rPr>
          <w:rFonts w:ascii="宋体" w:hAnsi="宋体"/>
          <w:color w:val="auto"/>
          <w:szCs w:val="21"/>
        </w:rPr>
      </w:pPr>
      <w:r>
        <w:rPr>
          <w:rFonts w:hint="eastAsia" w:ascii="宋体" w:hAnsi="宋体"/>
          <w:color w:val="auto"/>
          <w:szCs w:val="21"/>
        </w:rPr>
        <w:t>其中：硬件</w:t>
      </w:r>
      <w:r>
        <w:rPr>
          <w:rFonts w:hint="eastAsia" w:ascii="宋体" w:hAnsi="宋体"/>
          <w:color w:val="auto"/>
          <w:szCs w:val="21"/>
          <w:u w:val="single"/>
        </w:rPr>
        <w:t xml:space="preserve">                  </w:t>
      </w:r>
      <w:r>
        <w:rPr>
          <w:rFonts w:hint="eastAsia" w:ascii="宋体" w:hAnsi="宋体"/>
          <w:color w:val="auto"/>
          <w:szCs w:val="21"/>
        </w:rPr>
        <w:t>人</w:t>
      </w:r>
    </w:p>
    <w:p>
      <w:pPr>
        <w:spacing w:line="340" w:lineRule="exact"/>
        <w:ind w:firstLine="1050" w:firstLineChars="500"/>
        <w:rPr>
          <w:rFonts w:ascii="宋体" w:hAnsi="宋体"/>
          <w:color w:val="auto"/>
          <w:szCs w:val="21"/>
        </w:rPr>
      </w:pPr>
      <w:r>
        <w:rPr>
          <w:rFonts w:hint="eastAsia" w:ascii="宋体" w:hAnsi="宋体"/>
          <w:color w:val="auto"/>
          <w:szCs w:val="21"/>
        </w:rPr>
        <w:t>软件</w:t>
      </w:r>
      <w:r>
        <w:rPr>
          <w:rFonts w:hint="eastAsia" w:ascii="宋体" w:hAnsi="宋体"/>
          <w:color w:val="auto"/>
          <w:szCs w:val="21"/>
          <w:u w:val="single"/>
        </w:rPr>
        <w:t xml:space="preserve">                  </w:t>
      </w:r>
      <w:r>
        <w:rPr>
          <w:rFonts w:hint="eastAsia" w:ascii="宋体" w:hAnsi="宋体"/>
          <w:color w:val="auto"/>
          <w:szCs w:val="21"/>
        </w:rPr>
        <w:t>人</w:t>
      </w:r>
    </w:p>
    <w:p>
      <w:pPr>
        <w:spacing w:line="340" w:lineRule="exact"/>
        <w:ind w:firstLine="1050" w:firstLineChars="500"/>
        <w:rPr>
          <w:rFonts w:ascii="宋体" w:hAnsi="宋体"/>
          <w:color w:val="auto"/>
          <w:szCs w:val="21"/>
        </w:rPr>
      </w:pPr>
      <w:r>
        <w:rPr>
          <w:rFonts w:hint="eastAsia" w:ascii="宋体" w:hAnsi="宋体"/>
          <w:color w:val="auto"/>
          <w:szCs w:val="21"/>
        </w:rPr>
        <w:t>高级工程师</w:t>
      </w:r>
      <w:r>
        <w:rPr>
          <w:rFonts w:hint="eastAsia" w:ascii="宋体" w:hAnsi="宋体"/>
          <w:color w:val="auto"/>
          <w:szCs w:val="21"/>
          <w:u w:val="single"/>
        </w:rPr>
        <w:t xml:space="preserve">            </w:t>
      </w:r>
      <w:r>
        <w:rPr>
          <w:rFonts w:hint="eastAsia" w:ascii="宋体" w:hAnsi="宋体"/>
          <w:color w:val="auto"/>
          <w:szCs w:val="21"/>
        </w:rPr>
        <w:t>人</w:t>
      </w:r>
    </w:p>
    <w:p>
      <w:pPr>
        <w:spacing w:line="340" w:lineRule="exact"/>
        <w:ind w:firstLine="210" w:firstLineChars="100"/>
        <w:rPr>
          <w:rFonts w:ascii="宋体" w:hAnsi="宋体"/>
          <w:color w:val="auto"/>
          <w:szCs w:val="21"/>
        </w:rPr>
      </w:pPr>
      <w:r>
        <w:rPr>
          <w:rFonts w:hint="eastAsia" w:ascii="宋体" w:hAnsi="宋体"/>
          <w:color w:val="auto"/>
          <w:szCs w:val="21"/>
        </w:rPr>
        <w:t>5、综合性营业网点所具备的能力；</w:t>
      </w:r>
    </w:p>
    <w:p>
      <w:pPr>
        <w:spacing w:line="340" w:lineRule="exact"/>
        <w:ind w:firstLine="210" w:firstLineChars="100"/>
        <w:rPr>
          <w:rFonts w:ascii="宋体" w:hAnsi="宋体"/>
          <w:color w:val="auto"/>
          <w:szCs w:val="21"/>
        </w:rPr>
      </w:pPr>
      <w:r>
        <w:rPr>
          <w:rFonts w:hint="eastAsia" w:ascii="宋体" w:hAnsi="宋体"/>
          <w:color w:val="auto"/>
          <w:szCs w:val="21"/>
        </w:rPr>
        <w:t>6、客户服务系统的工作情况。</w:t>
      </w:r>
    </w:p>
    <w:p>
      <w:pPr>
        <w:spacing w:line="340" w:lineRule="exact"/>
        <w:ind w:firstLine="315" w:firstLineChars="150"/>
        <w:rPr>
          <w:rFonts w:ascii="宋体" w:hAnsi="宋体"/>
          <w:color w:val="auto"/>
          <w:szCs w:val="21"/>
        </w:rPr>
      </w:pPr>
      <w:r>
        <w:rPr>
          <w:rFonts w:hint="eastAsia" w:ascii="宋体" w:hAnsi="宋体"/>
          <w:color w:val="auto"/>
          <w:szCs w:val="21"/>
        </w:rPr>
        <w:t>说明：软件系统、硬件设施需从系统的安全性、实用性、成熟性、先进性和可扩展性进行详细描述；综合性营业网点所具备的能力指营业网点最起码的服务能力；客户服务系统的工作情况需从系统的构成、工作程序等方面进行描述。</w:t>
      </w:r>
    </w:p>
    <w:p>
      <w:pPr>
        <w:spacing w:line="340" w:lineRule="exact"/>
        <w:rPr>
          <w:rFonts w:ascii="宋体" w:hAnsi="宋体"/>
          <w:color w:val="auto"/>
          <w:szCs w:val="21"/>
        </w:rPr>
      </w:pPr>
      <w:r>
        <w:rPr>
          <w:rFonts w:hint="eastAsia" w:ascii="宋体" w:hAnsi="宋体"/>
          <w:color w:val="auto"/>
          <w:szCs w:val="21"/>
        </w:rPr>
        <w:t>三、近三年银行代理的主要政府部门业务。</w:t>
      </w:r>
    </w:p>
    <w:p>
      <w:pPr>
        <w:spacing w:line="340" w:lineRule="exact"/>
        <w:rPr>
          <w:rFonts w:ascii="宋体" w:hAnsi="宋体"/>
          <w:color w:val="auto"/>
          <w:szCs w:val="21"/>
        </w:rPr>
      </w:pPr>
      <w:r>
        <w:rPr>
          <w:rFonts w:hint="eastAsia" w:ascii="宋体" w:hAnsi="宋体"/>
          <w:color w:val="auto"/>
          <w:szCs w:val="21"/>
        </w:rPr>
        <w:t>四、其他情况（年表、组织、机构等）。</w:t>
      </w:r>
    </w:p>
    <w:p>
      <w:pPr>
        <w:spacing w:line="340" w:lineRule="exact"/>
        <w:ind w:firstLine="420" w:firstLineChars="200"/>
        <w:rPr>
          <w:rFonts w:ascii="宋体" w:hAnsi="宋体"/>
          <w:color w:val="auto"/>
          <w:szCs w:val="21"/>
        </w:rPr>
      </w:pPr>
      <w:r>
        <w:rPr>
          <w:rFonts w:hint="eastAsia" w:ascii="宋体" w:hAnsi="宋体"/>
          <w:color w:val="auto"/>
          <w:szCs w:val="21"/>
        </w:rPr>
        <w:t>就我方全部所知，兹证明上述声明是真实、准确的，并已提供了全部现有资料和数据，我方同意根据招标人要求出示文件予以证实。</w:t>
      </w:r>
    </w:p>
    <w:p>
      <w:pPr>
        <w:spacing w:line="340" w:lineRule="exact"/>
        <w:rPr>
          <w:rFonts w:ascii="宋体" w:hAnsi="宋体"/>
          <w:color w:val="auto"/>
          <w:szCs w:val="21"/>
        </w:rPr>
      </w:pPr>
    </w:p>
    <w:p>
      <w:pPr>
        <w:spacing w:line="340" w:lineRule="exact"/>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w:t>
      </w:r>
      <w:r>
        <w:rPr>
          <w:rFonts w:ascii="宋体" w:hAnsi="宋体"/>
          <w:color w:val="auto"/>
          <w:szCs w:val="21"/>
        </w:rPr>
        <w:t>（盖</w:t>
      </w:r>
      <w:r>
        <w:rPr>
          <w:rFonts w:hint="eastAsia" w:ascii="宋体" w:hAnsi="宋体"/>
          <w:color w:val="auto"/>
          <w:szCs w:val="21"/>
        </w:rPr>
        <w:t>公</w:t>
      </w:r>
      <w:r>
        <w:rPr>
          <w:rFonts w:ascii="宋体" w:hAnsi="宋体"/>
          <w:color w:val="auto"/>
          <w:szCs w:val="21"/>
        </w:rPr>
        <w:t>章）</w:t>
      </w:r>
    </w:p>
    <w:p>
      <w:pPr>
        <w:spacing w:line="340" w:lineRule="exact"/>
        <w:rPr>
          <w:rFonts w:ascii="宋体" w:hAnsi="宋体"/>
          <w:color w:val="auto"/>
          <w:szCs w:val="21"/>
          <w:u w:val="single"/>
        </w:rPr>
      </w:pPr>
      <w:r>
        <w:rPr>
          <w:rFonts w:ascii="宋体" w:hAnsi="宋体"/>
          <w:color w:val="auto"/>
          <w:szCs w:val="21"/>
        </w:rPr>
        <w:t>法定代表人</w:t>
      </w:r>
      <w:r>
        <w:rPr>
          <w:rFonts w:hint="eastAsia" w:ascii="宋体" w:hAnsi="宋体"/>
          <w:color w:val="auto"/>
          <w:szCs w:val="21"/>
        </w:rPr>
        <w:t>（或单位负责人）</w:t>
      </w:r>
      <w:r>
        <w:rPr>
          <w:rFonts w:ascii="宋体" w:hAnsi="宋体"/>
          <w:color w:val="auto"/>
          <w:szCs w:val="21"/>
        </w:rPr>
        <w:t>或</w:t>
      </w:r>
      <w:r>
        <w:rPr>
          <w:rFonts w:hint="eastAsia" w:ascii="宋体" w:hAnsi="宋体"/>
          <w:color w:val="auto"/>
          <w:szCs w:val="21"/>
        </w:rPr>
        <w:t>其</w:t>
      </w:r>
      <w:r>
        <w:rPr>
          <w:rFonts w:ascii="宋体" w:hAnsi="宋体"/>
          <w:color w:val="auto"/>
          <w:szCs w:val="21"/>
        </w:rPr>
        <w:t>授权</w:t>
      </w:r>
      <w:r>
        <w:rPr>
          <w:rFonts w:hint="eastAsia" w:ascii="宋体" w:hAnsi="宋体"/>
          <w:color w:val="auto"/>
          <w:szCs w:val="21"/>
        </w:rPr>
        <w:t>代理</w:t>
      </w:r>
      <w:r>
        <w:rPr>
          <w:rFonts w:ascii="宋体" w:hAnsi="宋体"/>
          <w:color w:val="auto"/>
          <w:szCs w:val="21"/>
        </w:rPr>
        <w:t>人</w:t>
      </w:r>
      <w:r>
        <w:rPr>
          <w:rFonts w:ascii="宋体" w:hAnsi="宋体"/>
          <w:color w:val="auto"/>
          <w:szCs w:val="21"/>
          <w:u w:val="single"/>
        </w:rPr>
        <w:t xml:space="preserve">               </w:t>
      </w:r>
      <w:r>
        <w:rPr>
          <w:rFonts w:ascii="宋体" w:hAnsi="宋体"/>
          <w:color w:val="auto"/>
          <w:szCs w:val="21"/>
        </w:rPr>
        <w:t>（签字</w:t>
      </w:r>
      <w:r>
        <w:rPr>
          <w:rFonts w:hint="eastAsia" w:ascii="宋体" w:hAnsi="宋体"/>
          <w:color w:val="auto"/>
          <w:szCs w:val="21"/>
        </w:rPr>
        <w:t>或盖章</w:t>
      </w:r>
      <w:r>
        <w:rPr>
          <w:rFonts w:ascii="宋体" w:hAnsi="宋体"/>
          <w:color w:val="auto"/>
          <w:szCs w:val="21"/>
        </w:rPr>
        <w:t>）</w:t>
      </w:r>
    </w:p>
    <w:p>
      <w:pPr>
        <w:spacing w:line="340" w:lineRule="exact"/>
        <w:rPr>
          <w:rFonts w:ascii="宋体" w:hAnsi="宋体"/>
          <w:color w:val="auto"/>
          <w:szCs w:val="21"/>
        </w:rPr>
      </w:pPr>
      <w:r>
        <w:rPr>
          <w:rFonts w:ascii="宋体" w:hAnsi="宋体"/>
          <w:color w:val="auto"/>
          <w:szCs w:val="21"/>
        </w:rPr>
        <w:t>日</w:t>
      </w:r>
      <w:r>
        <w:rPr>
          <w:rFonts w:hint="eastAsia" w:ascii="宋体" w:hAnsi="宋体"/>
          <w:color w:val="auto"/>
          <w:szCs w:val="21"/>
        </w:rPr>
        <w:t xml:space="preserve">  </w:t>
      </w:r>
      <w:r>
        <w:rPr>
          <w:rFonts w:ascii="宋体" w:hAnsi="宋体"/>
          <w:color w:val="auto"/>
          <w:szCs w:val="21"/>
        </w:rPr>
        <w:t>期：    年    月    日</w:t>
      </w:r>
    </w:p>
    <w:p>
      <w:pPr>
        <w:spacing w:line="360" w:lineRule="auto"/>
        <w:outlineLvl w:val="1"/>
        <w:rPr>
          <w:rFonts w:ascii="宋体" w:hAnsi="宋体"/>
          <w:b/>
          <w:color w:val="auto"/>
          <w:szCs w:val="21"/>
        </w:rPr>
      </w:pPr>
      <w:r>
        <w:rPr>
          <w:rFonts w:ascii="宋体" w:hAnsi="宋体"/>
          <w:b/>
          <w:color w:val="auto"/>
          <w:szCs w:val="21"/>
        </w:rPr>
        <w:br w:type="column"/>
      </w:r>
      <w:bookmarkStart w:id="83" w:name="_Toc182932811"/>
      <w:r>
        <w:rPr>
          <w:rFonts w:hint="eastAsia" w:ascii="宋体" w:hAnsi="宋体"/>
          <w:color w:val="auto"/>
          <w:szCs w:val="21"/>
        </w:rPr>
        <w:t>附件六</w:t>
      </w:r>
      <w:bookmarkEnd w:id="83"/>
    </w:p>
    <w:p>
      <w:pPr>
        <w:spacing w:line="360" w:lineRule="auto"/>
        <w:jc w:val="center"/>
        <w:rPr>
          <w:rFonts w:ascii="宋体" w:hAnsi="宋体"/>
          <w:b/>
          <w:color w:val="auto"/>
          <w:szCs w:val="21"/>
        </w:rPr>
      </w:pPr>
      <w:r>
        <w:rPr>
          <w:rFonts w:hint="eastAsia" w:ascii="宋体" w:hAnsi="宋体"/>
          <w:b/>
          <w:color w:val="auto"/>
          <w:szCs w:val="21"/>
        </w:rPr>
        <w:t>投标人资格证明文件</w:t>
      </w:r>
    </w:p>
    <w:p>
      <w:pPr>
        <w:spacing w:line="360" w:lineRule="auto"/>
        <w:rPr>
          <w:rFonts w:ascii="宋体" w:hAnsi="宋体"/>
          <w:b/>
          <w:color w:val="auto"/>
          <w:szCs w:val="21"/>
        </w:rPr>
      </w:pPr>
    </w:p>
    <w:p>
      <w:pPr>
        <w:spacing w:line="360" w:lineRule="auto"/>
        <w:ind w:firstLine="422" w:firstLineChars="200"/>
        <w:rPr>
          <w:rFonts w:ascii="宋体" w:hAnsi="宋体"/>
          <w:b/>
          <w:color w:val="auto"/>
          <w:szCs w:val="21"/>
        </w:rPr>
      </w:pPr>
      <w:r>
        <w:rPr>
          <w:rFonts w:hint="eastAsia" w:ascii="宋体" w:hAnsi="宋体"/>
          <w:b/>
          <w:color w:val="auto"/>
          <w:szCs w:val="21"/>
        </w:rPr>
        <w:t>投标人应提供下列证书或资料的复印件并加盖投标人公章做入投标文件中：</w:t>
      </w:r>
    </w:p>
    <w:p>
      <w:pPr>
        <w:spacing w:line="360" w:lineRule="auto"/>
        <w:ind w:firstLine="420" w:firstLineChars="200"/>
        <w:rPr>
          <w:rFonts w:ascii="宋体" w:hAnsi="宋体"/>
          <w:color w:val="auto"/>
          <w:szCs w:val="21"/>
        </w:rPr>
      </w:pPr>
      <w:r>
        <w:rPr>
          <w:rFonts w:hint="eastAsia" w:ascii="宋体" w:hAnsi="宋体"/>
          <w:color w:val="auto"/>
          <w:szCs w:val="21"/>
        </w:rPr>
        <w:t>1.中国银行业监督管理委员会宁波监管局核发有效的《中华人民共和国金融许可证》</w:t>
      </w:r>
    </w:p>
    <w:p>
      <w:pPr>
        <w:spacing w:line="360" w:lineRule="auto"/>
        <w:ind w:firstLine="420" w:firstLineChars="200"/>
        <w:rPr>
          <w:rFonts w:ascii="宋体" w:hAnsi="宋体"/>
          <w:color w:val="auto"/>
          <w:szCs w:val="21"/>
        </w:rPr>
      </w:pPr>
      <w:r>
        <w:rPr>
          <w:rFonts w:hint="eastAsia" w:ascii="宋体" w:hAnsi="宋体"/>
          <w:color w:val="auto"/>
          <w:szCs w:val="21"/>
        </w:rPr>
        <w:t>2.市场监督管理部门核发有效的《营业执照》</w:t>
      </w:r>
    </w:p>
    <w:p>
      <w:pPr>
        <w:spacing w:line="360" w:lineRule="auto"/>
        <w:ind w:firstLine="420" w:firstLineChars="200"/>
        <w:rPr>
          <w:rFonts w:ascii="宋体" w:hAnsi="宋体"/>
          <w:color w:val="auto"/>
          <w:szCs w:val="21"/>
        </w:rPr>
      </w:pPr>
      <w:r>
        <w:rPr>
          <w:rFonts w:hint="eastAsia" w:ascii="宋体" w:hAnsi="宋体"/>
          <w:color w:val="auto"/>
          <w:szCs w:val="21"/>
        </w:rPr>
        <w:t>3.无行贿犯罪记录承诺书（格式见后附）</w:t>
      </w:r>
    </w:p>
    <w:p>
      <w:pPr>
        <w:spacing w:line="360" w:lineRule="auto"/>
        <w:ind w:firstLine="420" w:firstLineChars="200"/>
        <w:rPr>
          <w:rFonts w:ascii="宋体" w:hAnsi="宋体"/>
          <w:color w:val="auto"/>
          <w:szCs w:val="21"/>
        </w:rPr>
      </w:pPr>
      <w:r>
        <w:rPr>
          <w:rFonts w:hint="eastAsia" w:ascii="宋体" w:hAnsi="宋体"/>
          <w:color w:val="auto"/>
          <w:szCs w:val="21"/>
        </w:rPr>
        <w:t>4.无</w:t>
      </w:r>
      <w:r>
        <w:rPr>
          <w:rFonts w:ascii="宋体" w:hAnsi="宋体"/>
          <w:color w:val="auto"/>
          <w:szCs w:val="21"/>
        </w:rPr>
        <w:t>重大违</w:t>
      </w:r>
      <w:r>
        <w:rPr>
          <w:rFonts w:hint="eastAsia" w:ascii="宋体" w:hAnsi="宋体"/>
          <w:color w:val="auto"/>
          <w:szCs w:val="21"/>
        </w:rPr>
        <w:t>法违规记录及重大违约的承诺书（格式见后附）</w:t>
      </w:r>
    </w:p>
    <w:p>
      <w:pPr>
        <w:spacing w:line="360" w:lineRule="auto"/>
        <w:ind w:firstLine="420" w:firstLineChars="200"/>
        <w:rPr>
          <w:rFonts w:ascii="宋体" w:hAnsi="宋体"/>
          <w:color w:val="auto"/>
          <w:szCs w:val="21"/>
        </w:rPr>
      </w:pPr>
      <w:r>
        <w:rPr>
          <w:rFonts w:hint="eastAsia" w:ascii="宋体" w:hAnsi="宋体"/>
          <w:color w:val="auto"/>
          <w:szCs w:val="21"/>
        </w:rPr>
        <w:t>5.具有履行合同所必需的设备和专业技术能力,资信状况和经营业绩优良，具有较强的风险控制能力的承诺书（格式见后附）。</w:t>
      </w:r>
    </w:p>
    <w:p>
      <w:pPr>
        <w:pStyle w:val="14"/>
        <w:adjustRightInd w:val="0"/>
        <w:snapToGrid w:val="0"/>
        <w:spacing w:line="360" w:lineRule="auto"/>
        <w:jc w:val="center"/>
        <w:rPr>
          <w:rFonts w:hint="default" w:ascii="宋体" w:hAnsi="宋体" w:eastAsia="宋体"/>
          <w:b/>
          <w:color w:val="auto"/>
        </w:rPr>
      </w:pPr>
      <w:r>
        <w:rPr>
          <w:rFonts w:ascii="宋体" w:hAnsi="宋体" w:eastAsia="宋体"/>
          <w:b/>
          <w:color w:val="auto"/>
        </w:rPr>
        <w:br w:type="column"/>
      </w:r>
    </w:p>
    <w:p>
      <w:pPr>
        <w:pStyle w:val="14"/>
        <w:adjustRightInd w:val="0"/>
        <w:snapToGrid w:val="0"/>
        <w:spacing w:line="360" w:lineRule="auto"/>
        <w:jc w:val="center"/>
        <w:outlineLvl w:val="2"/>
        <w:rPr>
          <w:rStyle w:val="22"/>
          <w:rFonts w:hint="default" w:ascii="宋体" w:hAnsi="宋体" w:eastAsia="宋体"/>
          <w:color w:val="auto"/>
          <w:sz w:val="21"/>
          <w:szCs w:val="21"/>
        </w:rPr>
      </w:pPr>
      <w:bookmarkStart w:id="84" w:name="_Toc182932812"/>
      <w:r>
        <w:rPr>
          <w:rStyle w:val="22"/>
          <w:rFonts w:ascii="宋体" w:hAnsi="宋体" w:eastAsia="宋体"/>
          <w:color w:val="auto"/>
          <w:sz w:val="21"/>
          <w:szCs w:val="21"/>
        </w:rPr>
        <w:t>（1）金融许可证</w:t>
      </w:r>
      <w:bookmarkEnd w:id="84"/>
    </w:p>
    <w:p>
      <w:pPr>
        <w:rPr>
          <w:rFonts w:ascii="宋体" w:hAnsi="宋体"/>
          <w:b/>
          <w:color w:val="auto"/>
          <w:szCs w:val="21"/>
        </w:rPr>
      </w:pPr>
    </w:p>
    <w:p>
      <w:pPr>
        <w:ind w:firstLine="210" w:firstLineChars="100"/>
        <w:rPr>
          <w:rStyle w:val="22"/>
          <w:rFonts w:ascii="宋体" w:hAnsi="宋体"/>
          <w:b w:val="0"/>
          <w:bCs w:val="0"/>
          <w:color w:val="auto"/>
          <w:szCs w:val="21"/>
        </w:rPr>
      </w:pPr>
      <w:r>
        <w:rPr>
          <w:rFonts w:hint="eastAsia" w:ascii="宋体" w:hAnsi="宋体"/>
          <w:color w:val="auto"/>
          <w:szCs w:val="21"/>
        </w:rPr>
        <w:t>附：中国银行业监督管理委员会宁波监管局核发有效的《中华人民共和国金融许可证》复印件并加盖投标人公章。</w:t>
      </w:r>
    </w:p>
    <w:p>
      <w:pPr>
        <w:pStyle w:val="14"/>
        <w:adjustRightInd w:val="0"/>
        <w:snapToGrid w:val="0"/>
        <w:spacing w:line="360" w:lineRule="auto"/>
        <w:jc w:val="center"/>
        <w:rPr>
          <w:rStyle w:val="22"/>
          <w:rFonts w:hint="default" w:ascii="宋体" w:hAnsi="宋体" w:eastAsia="宋体"/>
          <w:color w:val="auto"/>
        </w:rPr>
      </w:pPr>
      <w:r>
        <w:rPr>
          <w:rStyle w:val="22"/>
          <w:rFonts w:ascii="宋体" w:hAnsi="宋体" w:eastAsia="宋体"/>
          <w:color w:val="auto"/>
        </w:rPr>
        <w:br w:type="page"/>
      </w:r>
    </w:p>
    <w:p>
      <w:pPr>
        <w:pStyle w:val="14"/>
        <w:adjustRightInd w:val="0"/>
        <w:snapToGrid w:val="0"/>
        <w:spacing w:line="360" w:lineRule="auto"/>
        <w:jc w:val="center"/>
        <w:rPr>
          <w:rStyle w:val="22"/>
          <w:rFonts w:hint="default" w:ascii="宋体" w:hAnsi="宋体" w:eastAsia="宋体"/>
          <w:color w:val="auto"/>
        </w:rPr>
      </w:pPr>
    </w:p>
    <w:p>
      <w:pPr>
        <w:pStyle w:val="14"/>
        <w:adjustRightInd w:val="0"/>
        <w:snapToGrid w:val="0"/>
        <w:spacing w:line="360" w:lineRule="auto"/>
        <w:jc w:val="center"/>
        <w:outlineLvl w:val="2"/>
        <w:rPr>
          <w:rStyle w:val="22"/>
          <w:rFonts w:hint="default" w:ascii="宋体" w:hAnsi="宋体" w:eastAsia="宋体"/>
          <w:color w:val="auto"/>
          <w:sz w:val="21"/>
          <w:szCs w:val="21"/>
        </w:rPr>
      </w:pPr>
      <w:bookmarkStart w:id="85" w:name="_Toc182932813"/>
      <w:r>
        <w:rPr>
          <w:rStyle w:val="22"/>
          <w:rFonts w:ascii="宋体" w:hAnsi="宋体" w:eastAsia="宋体"/>
          <w:color w:val="auto"/>
          <w:sz w:val="21"/>
          <w:szCs w:val="21"/>
        </w:rPr>
        <w:t>（2）营业执照</w:t>
      </w:r>
      <w:bookmarkEnd w:id="85"/>
    </w:p>
    <w:p>
      <w:pPr>
        <w:rPr>
          <w:rFonts w:ascii="宋体" w:hAnsi="宋体"/>
          <w:b/>
          <w:color w:val="auto"/>
          <w:szCs w:val="21"/>
        </w:rPr>
      </w:pPr>
    </w:p>
    <w:p>
      <w:pPr>
        <w:pStyle w:val="14"/>
        <w:adjustRightInd w:val="0"/>
        <w:snapToGrid w:val="0"/>
        <w:spacing w:line="360" w:lineRule="auto"/>
        <w:jc w:val="center"/>
        <w:rPr>
          <w:rFonts w:hint="default" w:ascii="宋体" w:hAnsi="宋体" w:eastAsia="宋体"/>
          <w:color w:val="auto"/>
          <w:kern w:val="2"/>
          <w:sz w:val="21"/>
          <w:szCs w:val="21"/>
        </w:rPr>
      </w:pPr>
      <w:r>
        <w:rPr>
          <w:rFonts w:ascii="宋体" w:hAnsi="宋体" w:eastAsia="宋体"/>
          <w:color w:val="auto"/>
          <w:kern w:val="2"/>
          <w:sz w:val="21"/>
          <w:szCs w:val="21"/>
        </w:rPr>
        <w:t>附：市场监督管理部门核发有效的《营业执照》复印件并加盖投标人公章。</w:t>
      </w:r>
    </w:p>
    <w:p>
      <w:pPr>
        <w:pStyle w:val="14"/>
        <w:adjustRightInd w:val="0"/>
        <w:snapToGrid w:val="0"/>
        <w:spacing w:line="360" w:lineRule="auto"/>
        <w:jc w:val="center"/>
        <w:rPr>
          <w:rStyle w:val="22"/>
          <w:rFonts w:hint="default" w:ascii="宋体" w:hAnsi="宋体" w:eastAsia="宋体"/>
          <w:b w:val="0"/>
          <w:color w:val="auto"/>
        </w:rPr>
      </w:pPr>
      <w:r>
        <w:rPr>
          <w:rStyle w:val="22"/>
          <w:rFonts w:ascii="宋体" w:hAnsi="宋体" w:eastAsia="宋体"/>
          <w:b w:val="0"/>
          <w:color w:val="auto"/>
        </w:rPr>
        <w:br w:type="page"/>
      </w:r>
    </w:p>
    <w:p>
      <w:pPr>
        <w:pStyle w:val="14"/>
        <w:adjustRightInd w:val="0"/>
        <w:snapToGrid w:val="0"/>
        <w:spacing w:line="360" w:lineRule="auto"/>
        <w:jc w:val="center"/>
        <w:rPr>
          <w:rStyle w:val="22"/>
          <w:rFonts w:hint="default" w:ascii="宋体" w:hAnsi="宋体" w:eastAsia="宋体"/>
          <w:b w:val="0"/>
          <w:color w:val="auto"/>
        </w:rPr>
      </w:pPr>
    </w:p>
    <w:p>
      <w:pPr>
        <w:pStyle w:val="14"/>
        <w:adjustRightInd w:val="0"/>
        <w:snapToGrid w:val="0"/>
        <w:spacing w:line="360" w:lineRule="auto"/>
        <w:jc w:val="center"/>
        <w:outlineLvl w:val="2"/>
        <w:rPr>
          <w:rStyle w:val="22"/>
          <w:rFonts w:hint="default" w:ascii="宋体" w:hAnsi="宋体" w:eastAsia="宋体"/>
          <w:color w:val="auto"/>
          <w:sz w:val="21"/>
          <w:szCs w:val="21"/>
        </w:rPr>
      </w:pPr>
      <w:bookmarkStart w:id="86" w:name="_Toc182932814"/>
      <w:r>
        <w:rPr>
          <w:rStyle w:val="22"/>
          <w:rFonts w:ascii="宋体" w:hAnsi="宋体" w:eastAsia="宋体"/>
          <w:color w:val="auto"/>
          <w:sz w:val="21"/>
          <w:szCs w:val="21"/>
        </w:rPr>
        <w:t>（3）无行贿犯罪记录承诺书</w:t>
      </w:r>
      <w:bookmarkEnd w:id="86"/>
    </w:p>
    <w:p>
      <w:pPr>
        <w:spacing w:line="360" w:lineRule="auto"/>
        <w:rPr>
          <w:rFonts w:ascii="宋体" w:hAnsi="宋体"/>
          <w:color w:val="auto"/>
          <w:szCs w:val="21"/>
        </w:rPr>
      </w:pPr>
    </w:p>
    <w:p>
      <w:pPr>
        <w:spacing w:line="360" w:lineRule="auto"/>
        <w:rPr>
          <w:rFonts w:ascii="宋体" w:hAnsi="宋体"/>
          <w:color w:val="auto"/>
          <w:szCs w:val="21"/>
          <w:u w:val="single"/>
        </w:rPr>
      </w:pPr>
      <w:r>
        <w:rPr>
          <w:rFonts w:hint="eastAsia" w:ascii="宋体" w:hAnsi="宋体"/>
          <w:color w:val="auto"/>
          <w:szCs w:val="21"/>
        </w:rPr>
        <w:t>致：</w:t>
      </w:r>
      <w:r>
        <w:rPr>
          <w:rFonts w:hint="eastAsia" w:ascii="宋体" w:hAnsi="宋体"/>
          <w:color w:val="auto"/>
          <w:szCs w:val="21"/>
          <w:u w:val="single"/>
        </w:rPr>
        <w:t xml:space="preserve">      （招标人）     </w:t>
      </w:r>
    </w:p>
    <w:p>
      <w:pPr>
        <w:spacing w:line="360" w:lineRule="auto"/>
        <w:ind w:firstLine="420" w:firstLineChars="200"/>
        <w:rPr>
          <w:rFonts w:ascii="宋体" w:hAnsi="宋体"/>
          <w:color w:val="auto"/>
          <w:szCs w:val="21"/>
        </w:rPr>
      </w:pPr>
      <w:r>
        <w:rPr>
          <w:rFonts w:hint="eastAsia" w:ascii="宋体" w:hAnsi="宋体"/>
          <w:color w:val="auto"/>
          <w:szCs w:val="21"/>
        </w:rPr>
        <w:t>我行已</w:t>
      </w:r>
      <w:r>
        <w:rPr>
          <w:rFonts w:hint="eastAsia" w:ascii="宋体" w:hAnsi="宋体"/>
          <w:bCs/>
          <w:color w:val="auto"/>
          <w:szCs w:val="21"/>
        </w:rPr>
        <w:t>参加</w:t>
      </w:r>
      <w:r>
        <w:rPr>
          <w:rFonts w:hint="eastAsia" w:ascii="宋体" w:hAnsi="宋体"/>
          <w:color w:val="auto"/>
          <w:kern w:val="0"/>
          <w:szCs w:val="21"/>
          <w:u w:val="single"/>
        </w:rPr>
        <w:t>北京大学宁波海洋药物研究院基本存款账户项目</w:t>
      </w:r>
      <w:r>
        <w:rPr>
          <w:rFonts w:hint="eastAsia" w:ascii="宋体" w:hAnsi="宋体"/>
          <w:bCs/>
          <w:color w:val="auto"/>
          <w:szCs w:val="21"/>
        </w:rPr>
        <w:t>的投标，在此承</w:t>
      </w:r>
      <w:r>
        <w:rPr>
          <w:rFonts w:hint="eastAsia" w:ascii="宋体" w:hAnsi="宋体"/>
          <w:color w:val="auto"/>
          <w:szCs w:val="21"/>
        </w:rPr>
        <w:t>诺：</w:t>
      </w:r>
    </w:p>
    <w:p>
      <w:pPr>
        <w:spacing w:line="360" w:lineRule="auto"/>
        <w:ind w:firstLine="420" w:firstLineChars="200"/>
        <w:rPr>
          <w:rFonts w:ascii="宋体" w:hAnsi="宋体"/>
          <w:bCs/>
          <w:color w:val="auto"/>
          <w:szCs w:val="21"/>
        </w:rPr>
      </w:pPr>
      <w:r>
        <w:rPr>
          <w:rFonts w:hint="eastAsia" w:ascii="宋体" w:hAnsi="宋体"/>
          <w:color w:val="auto"/>
          <w:szCs w:val="21"/>
        </w:rPr>
        <w:t>我行及法定代表人（或单位负责人）在近五年内(含五年，从开标日之前一日倒算，不含开标日)无行贿犯罪记录。</w:t>
      </w:r>
    </w:p>
    <w:p>
      <w:pPr>
        <w:spacing w:line="360" w:lineRule="auto"/>
        <w:rPr>
          <w:rFonts w:ascii="宋体" w:hAnsi="宋体"/>
          <w:bCs/>
          <w:color w:val="auto"/>
          <w:szCs w:val="21"/>
        </w:rPr>
      </w:pPr>
    </w:p>
    <w:p>
      <w:pPr>
        <w:spacing w:line="360" w:lineRule="auto"/>
        <w:ind w:firstLine="5040" w:firstLineChars="2400"/>
        <w:rPr>
          <w:rFonts w:ascii="宋体" w:hAnsi="宋体"/>
          <w:bCs/>
          <w:color w:val="auto"/>
          <w:szCs w:val="21"/>
        </w:rPr>
      </w:pPr>
      <w:r>
        <w:rPr>
          <w:rFonts w:hint="eastAsia" w:ascii="宋体" w:hAnsi="宋体"/>
          <w:bCs/>
          <w:color w:val="auto"/>
          <w:szCs w:val="21"/>
        </w:rPr>
        <w:t>投标人（盖公章）：</w:t>
      </w:r>
    </w:p>
    <w:p>
      <w:pPr>
        <w:spacing w:line="360" w:lineRule="auto"/>
        <w:ind w:firstLine="5040" w:firstLineChars="2400"/>
        <w:rPr>
          <w:rStyle w:val="22"/>
          <w:rFonts w:ascii="宋体" w:hAnsi="宋体"/>
          <w:b w:val="0"/>
          <w:bCs w:val="0"/>
          <w:color w:val="auto"/>
          <w:szCs w:val="21"/>
        </w:rPr>
      </w:pPr>
      <w:r>
        <w:rPr>
          <w:rFonts w:ascii="宋体" w:hAnsi="宋体"/>
          <w:color w:val="auto"/>
          <w:szCs w:val="21"/>
        </w:rPr>
        <w:t>日期：    年    月    日</w:t>
      </w:r>
    </w:p>
    <w:p>
      <w:pPr>
        <w:pStyle w:val="14"/>
        <w:adjustRightInd w:val="0"/>
        <w:snapToGrid w:val="0"/>
        <w:spacing w:line="360" w:lineRule="auto"/>
        <w:jc w:val="center"/>
        <w:rPr>
          <w:rStyle w:val="22"/>
          <w:rFonts w:hint="default" w:ascii="宋体" w:hAnsi="宋体" w:eastAsia="宋体"/>
          <w:b w:val="0"/>
          <w:color w:val="auto"/>
        </w:rPr>
      </w:pPr>
      <w:r>
        <w:rPr>
          <w:rStyle w:val="22"/>
          <w:rFonts w:ascii="宋体" w:hAnsi="宋体" w:eastAsia="宋体"/>
          <w:b w:val="0"/>
          <w:color w:val="auto"/>
        </w:rPr>
        <w:br w:type="page"/>
      </w:r>
    </w:p>
    <w:p>
      <w:pPr>
        <w:pStyle w:val="14"/>
        <w:adjustRightInd w:val="0"/>
        <w:snapToGrid w:val="0"/>
        <w:spacing w:line="360" w:lineRule="auto"/>
        <w:jc w:val="center"/>
        <w:rPr>
          <w:rStyle w:val="22"/>
          <w:rFonts w:hint="default" w:ascii="宋体" w:hAnsi="宋体" w:eastAsia="宋体"/>
          <w:b w:val="0"/>
          <w:color w:val="auto"/>
        </w:rPr>
      </w:pPr>
    </w:p>
    <w:p>
      <w:pPr>
        <w:pStyle w:val="14"/>
        <w:adjustRightInd w:val="0"/>
        <w:snapToGrid w:val="0"/>
        <w:spacing w:line="360" w:lineRule="auto"/>
        <w:jc w:val="center"/>
        <w:outlineLvl w:val="2"/>
        <w:rPr>
          <w:rStyle w:val="22"/>
          <w:rFonts w:hint="default" w:ascii="宋体" w:hAnsi="宋体" w:eastAsia="宋体"/>
          <w:color w:val="auto"/>
          <w:sz w:val="21"/>
          <w:szCs w:val="21"/>
        </w:rPr>
      </w:pPr>
      <w:bookmarkStart w:id="87" w:name="_Toc182932815"/>
      <w:r>
        <w:rPr>
          <w:rStyle w:val="22"/>
          <w:rFonts w:ascii="宋体" w:hAnsi="宋体" w:eastAsia="宋体"/>
          <w:color w:val="auto"/>
          <w:sz w:val="21"/>
          <w:szCs w:val="21"/>
        </w:rPr>
        <w:t>（4）无重大违法违规记录及重大违约的承诺书</w:t>
      </w:r>
      <w:bookmarkEnd w:id="87"/>
    </w:p>
    <w:p>
      <w:pPr>
        <w:pStyle w:val="14"/>
        <w:adjustRightInd w:val="0"/>
        <w:snapToGrid w:val="0"/>
        <w:spacing w:line="360" w:lineRule="auto"/>
        <w:rPr>
          <w:rFonts w:hint="default" w:ascii="宋体" w:hAnsi="宋体" w:eastAsia="宋体" w:cs="宋体"/>
          <w:color w:val="auto"/>
        </w:rPr>
      </w:pPr>
    </w:p>
    <w:p>
      <w:pPr>
        <w:spacing w:line="360" w:lineRule="auto"/>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（招标人）   </w:t>
      </w:r>
    </w:p>
    <w:p>
      <w:pPr>
        <w:pStyle w:val="14"/>
        <w:adjustRightInd w:val="0"/>
        <w:snapToGrid w:val="0"/>
        <w:spacing w:line="360" w:lineRule="auto"/>
        <w:ind w:firstLine="420" w:firstLineChars="200"/>
        <w:rPr>
          <w:rFonts w:hint="default" w:ascii="宋体" w:hAnsi="宋体" w:eastAsia="宋体"/>
          <w:color w:val="auto"/>
          <w:kern w:val="2"/>
          <w:sz w:val="21"/>
          <w:szCs w:val="21"/>
        </w:rPr>
      </w:pPr>
      <w:r>
        <w:rPr>
          <w:rFonts w:ascii="宋体" w:hAnsi="宋体" w:eastAsia="宋体"/>
          <w:color w:val="auto"/>
          <w:kern w:val="2"/>
          <w:sz w:val="21"/>
          <w:szCs w:val="21"/>
        </w:rPr>
        <w:t>我行近3年内在经营活动中无重大违法违规记录及重大违约。</w:t>
      </w:r>
    </w:p>
    <w:p>
      <w:pPr>
        <w:pStyle w:val="14"/>
        <w:adjustRightInd w:val="0"/>
        <w:snapToGrid w:val="0"/>
        <w:spacing w:line="360" w:lineRule="auto"/>
        <w:ind w:firstLine="420" w:firstLineChars="200"/>
        <w:rPr>
          <w:rFonts w:hint="default" w:ascii="宋体" w:hAnsi="宋体" w:eastAsia="宋体"/>
          <w:color w:val="auto"/>
          <w:kern w:val="2"/>
          <w:sz w:val="21"/>
          <w:szCs w:val="21"/>
        </w:rPr>
      </w:pPr>
      <w:r>
        <w:rPr>
          <w:rFonts w:ascii="宋体" w:hAnsi="宋体" w:eastAsia="宋体"/>
          <w:color w:val="auto"/>
          <w:kern w:val="2"/>
          <w:sz w:val="21"/>
          <w:szCs w:val="21"/>
        </w:rPr>
        <w:t>特此承诺</w:t>
      </w:r>
    </w:p>
    <w:p>
      <w:pPr>
        <w:pStyle w:val="14"/>
        <w:adjustRightInd w:val="0"/>
        <w:snapToGrid w:val="0"/>
        <w:spacing w:line="360" w:lineRule="auto"/>
        <w:rPr>
          <w:rFonts w:hint="default" w:ascii="宋体" w:hAnsi="宋体" w:eastAsia="宋体" w:cs="宋体"/>
          <w:color w:val="auto"/>
        </w:rPr>
      </w:pPr>
    </w:p>
    <w:p>
      <w:pPr>
        <w:pStyle w:val="14"/>
        <w:adjustRightInd w:val="0"/>
        <w:snapToGrid w:val="0"/>
        <w:spacing w:line="360" w:lineRule="auto"/>
        <w:rPr>
          <w:rFonts w:hint="default" w:ascii="宋体" w:hAnsi="宋体" w:eastAsia="宋体" w:cs="宋体"/>
          <w:color w:val="auto"/>
        </w:rPr>
      </w:pPr>
    </w:p>
    <w:p>
      <w:pPr>
        <w:spacing w:line="360" w:lineRule="auto"/>
        <w:rPr>
          <w:rFonts w:ascii="宋体" w:hAnsi="宋体"/>
          <w:bCs/>
          <w:color w:val="auto"/>
          <w:szCs w:val="21"/>
        </w:rPr>
      </w:pPr>
      <w:r>
        <w:rPr>
          <w:rFonts w:hint="eastAsia" w:ascii="宋体" w:hAnsi="宋体"/>
          <w:bCs/>
          <w:color w:val="auto"/>
          <w:szCs w:val="21"/>
        </w:rPr>
        <w:t>投标人（盖公章）：</w:t>
      </w:r>
    </w:p>
    <w:p>
      <w:pPr>
        <w:spacing w:line="360" w:lineRule="auto"/>
        <w:rPr>
          <w:rFonts w:ascii="宋体" w:hAnsi="宋体"/>
          <w:bCs/>
          <w:color w:val="auto"/>
          <w:szCs w:val="21"/>
        </w:rPr>
      </w:pPr>
    </w:p>
    <w:p>
      <w:pPr>
        <w:spacing w:line="360" w:lineRule="auto"/>
        <w:rPr>
          <w:rFonts w:ascii="宋体" w:hAnsi="宋体"/>
          <w:bCs/>
          <w:color w:val="auto"/>
          <w:szCs w:val="21"/>
        </w:rPr>
      </w:pPr>
      <w:r>
        <w:rPr>
          <w:rFonts w:ascii="宋体" w:hAnsi="宋体"/>
          <w:color w:val="auto"/>
          <w:szCs w:val="21"/>
        </w:rPr>
        <w:t>法定代表人</w:t>
      </w:r>
      <w:r>
        <w:rPr>
          <w:rFonts w:hint="eastAsia" w:ascii="宋体" w:hAnsi="宋体"/>
          <w:color w:val="auto"/>
          <w:szCs w:val="21"/>
        </w:rPr>
        <w:t>（或单位负责人）</w:t>
      </w:r>
      <w:r>
        <w:rPr>
          <w:rFonts w:ascii="宋体" w:hAnsi="宋体"/>
          <w:color w:val="auto"/>
          <w:szCs w:val="21"/>
        </w:rPr>
        <w:t>或</w:t>
      </w:r>
      <w:r>
        <w:rPr>
          <w:rFonts w:hint="eastAsia" w:ascii="宋体" w:hAnsi="宋体"/>
          <w:color w:val="auto"/>
          <w:szCs w:val="21"/>
        </w:rPr>
        <w:t>其</w:t>
      </w:r>
      <w:r>
        <w:rPr>
          <w:rFonts w:ascii="宋体" w:hAnsi="宋体"/>
          <w:color w:val="auto"/>
          <w:szCs w:val="21"/>
        </w:rPr>
        <w:t>授权</w:t>
      </w:r>
      <w:r>
        <w:rPr>
          <w:rFonts w:hint="eastAsia" w:ascii="宋体" w:hAnsi="宋体"/>
          <w:color w:val="auto"/>
          <w:szCs w:val="21"/>
        </w:rPr>
        <w:t>代理</w:t>
      </w:r>
      <w:r>
        <w:rPr>
          <w:rFonts w:ascii="宋体" w:hAnsi="宋体"/>
          <w:color w:val="auto"/>
          <w:szCs w:val="21"/>
        </w:rPr>
        <w:t>人</w:t>
      </w:r>
      <w:r>
        <w:rPr>
          <w:rFonts w:ascii="宋体" w:hAnsi="宋体"/>
          <w:color w:val="auto"/>
          <w:szCs w:val="21"/>
          <w:u w:val="single"/>
        </w:rPr>
        <w:t xml:space="preserve">       </w:t>
      </w:r>
      <w:r>
        <w:rPr>
          <w:rFonts w:ascii="宋体" w:hAnsi="宋体"/>
          <w:color w:val="auto"/>
          <w:szCs w:val="21"/>
        </w:rPr>
        <w:t>（签字</w:t>
      </w:r>
      <w:r>
        <w:rPr>
          <w:rFonts w:hint="eastAsia" w:ascii="宋体" w:hAnsi="宋体"/>
          <w:color w:val="auto"/>
          <w:szCs w:val="21"/>
        </w:rPr>
        <w:t>或盖章</w:t>
      </w:r>
      <w:r>
        <w:rPr>
          <w:rFonts w:ascii="宋体" w:hAnsi="宋体"/>
          <w:color w:val="auto"/>
          <w:szCs w:val="21"/>
        </w:rPr>
        <w:t>）</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3990" w:firstLineChars="1900"/>
        <w:rPr>
          <w:rFonts w:ascii="宋体" w:hAnsi="宋体"/>
          <w:color w:val="auto"/>
          <w:szCs w:val="21"/>
        </w:rPr>
      </w:pPr>
      <w:r>
        <w:rPr>
          <w:rFonts w:ascii="宋体" w:hAnsi="宋体"/>
          <w:color w:val="auto"/>
          <w:szCs w:val="21"/>
        </w:rPr>
        <w:t>日期：    年    月    日</w:t>
      </w:r>
    </w:p>
    <w:p>
      <w:pPr>
        <w:pStyle w:val="14"/>
        <w:adjustRightInd w:val="0"/>
        <w:snapToGrid w:val="0"/>
        <w:spacing w:line="360" w:lineRule="auto"/>
        <w:rPr>
          <w:rFonts w:hint="default" w:ascii="宋体" w:hAnsi="宋体" w:eastAsia="宋体" w:cs="宋体"/>
          <w:color w:val="auto"/>
        </w:rPr>
      </w:pPr>
      <w:r>
        <w:rPr>
          <w:rFonts w:ascii="宋体" w:hAnsi="宋体" w:eastAsia="宋体" w:cs="宋体"/>
          <w:color w:val="auto"/>
        </w:rPr>
        <w:br w:type="page"/>
      </w:r>
    </w:p>
    <w:p>
      <w:pPr>
        <w:pStyle w:val="14"/>
        <w:adjustRightInd w:val="0"/>
        <w:snapToGrid w:val="0"/>
        <w:spacing w:line="360" w:lineRule="auto"/>
        <w:jc w:val="center"/>
        <w:rPr>
          <w:rStyle w:val="22"/>
          <w:rFonts w:hint="default" w:ascii="宋体" w:hAnsi="宋体" w:eastAsia="宋体"/>
          <w:color w:val="auto"/>
          <w:sz w:val="21"/>
          <w:szCs w:val="21"/>
        </w:rPr>
      </w:pPr>
    </w:p>
    <w:p>
      <w:pPr>
        <w:pStyle w:val="14"/>
        <w:adjustRightInd w:val="0"/>
        <w:snapToGrid w:val="0"/>
        <w:spacing w:line="360" w:lineRule="auto"/>
        <w:jc w:val="center"/>
        <w:outlineLvl w:val="2"/>
        <w:rPr>
          <w:rStyle w:val="22"/>
          <w:rFonts w:hint="default" w:ascii="宋体" w:hAnsi="宋体" w:eastAsia="宋体"/>
          <w:color w:val="auto"/>
          <w:sz w:val="21"/>
          <w:szCs w:val="21"/>
        </w:rPr>
      </w:pPr>
      <w:bookmarkStart w:id="88" w:name="_Toc182932816"/>
      <w:r>
        <w:rPr>
          <w:rStyle w:val="22"/>
          <w:rFonts w:ascii="宋体" w:hAnsi="宋体" w:eastAsia="宋体"/>
          <w:color w:val="auto"/>
          <w:sz w:val="21"/>
          <w:szCs w:val="21"/>
        </w:rPr>
        <w:t>（5）具有履行合同所必需的设备和专业技术能力,资信状况和经营业绩优良，具有较强的风险控制能力的承诺书</w:t>
      </w:r>
      <w:bookmarkEnd w:id="88"/>
    </w:p>
    <w:p>
      <w:pPr>
        <w:pStyle w:val="14"/>
        <w:adjustRightInd w:val="0"/>
        <w:snapToGrid w:val="0"/>
        <w:spacing w:line="360" w:lineRule="auto"/>
        <w:rPr>
          <w:rFonts w:hint="default" w:ascii="宋体" w:hAnsi="宋体" w:eastAsia="宋体" w:cs="宋体"/>
          <w:color w:val="auto"/>
        </w:rPr>
      </w:pPr>
    </w:p>
    <w:p>
      <w:pPr>
        <w:spacing w:line="480" w:lineRule="auto"/>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（招标人）    </w:t>
      </w:r>
    </w:p>
    <w:p>
      <w:pPr>
        <w:pStyle w:val="14"/>
        <w:adjustRightInd w:val="0"/>
        <w:snapToGrid w:val="0"/>
        <w:spacing w:line="480" w:lineRule="auto"/>
        <w:ind w:firstLine="420" w:firstLineChars="200"/>
        <w:rPr>
          <w:rFonts w:hint="default" w:ascii="宋体" w:hAnsi="宋体" w:eastAsia="宋体" w:cs="宋体"/>
          <w:color w:val="auto"/>
          <w:sz w:val="21"/>
          <w:szCs w:val="21"/>
        </w:rPr>
      </w:pPr>
      <w:r>
        <w:rPr>
          <w:rFonts w:ascii="宋体" w:hAnsi="宋体" w:eastAsia="宋体" w:cs="宋体"/>
          <w:color w:val="auto"/>
          <w:sz w:val="21"/>
          <w:szCs w:val="21"/>
        </w:rPr>
        <w:t>我行具有履行合同所必需的设备和专业技术能力,资信状况和经营业绩优良，具有较强的风险控制能力。</w:t>
      </w:r>
    </w:p>
    <w:p>
      <w:pPr>
        <w:pStyle w:val="14"/>
        <w:adjustRightInd w:val="0"/>
        <w:snapToGrid w:val="0"/>
        <w:spacing w:line="480" w:lineRule="auto"/>
        <w:ind w:firstLine="420" w:firstLineChars="200"/>
        <w:rPr>
          <w:rFonts w:hint="default" w:ascii="宋体" w:hAnsi="宋体" w:eastAsia="宋体" w:cs="宋体"/>
          <w:color w:val="auto"/>
          <w:sz w:val="21"/>
          <w:szCs w:val="21"/>
        </w:rPr>
      </w:pPr>
      <w:r>
        <w:rPr>
          <w:rFonts w:ascii="宋体" w:hAnsi="宋体" w:eastAsia="宋体" w:cs="宋体"/>
          <w:color w:val="auto"/>
          <w:sz w:val="21"/>
          <w:szCs w:val="21"/>
        </w:rPr>
        <w:t>特此承诺</w:t>
      </w:r>
    </w:p>
    <w:p>
      <w:pPr>
        <w:pStyle w:val="14"/>
        <w:adjustRightInd w:val="0"/>
        <w:snapToGrid w:val="0"/>
        <w:spacing w:line="360" w:lineRule="auto"/>
        <w:rPr>
          <w:rFonts w:hint="default" w:ascii="宋体" w:hAnsi="宋体" w:eastAsia="宋体" w:cs="宋体"/>
          <w:color w:val="auto"/>
        </w:rPr>
      </w:pPr>
    </w:p>
    <w:p>
      <w:pPr>
        <w:pStyle w:val="14"/>
        <w:adjustRightInd w:val="0"/>
        <w:snapToGrid w:val="0"/>
        <w:spacing w:line="360" w:lineRule="auto"/>
        <w:rPr>
          <w:rFonts w:hint="default" w:ascii="宋体" w:hAnsi="宋体" w:eastAsia="宋体" w:cs="宋体"/>
          <w:color w:val="auto"/>
        </w:rPr>
      </w:pPr>
    </w:p>
    <w:p>
      <w:pPr>
        <w:pStyle w:val="14"/>
        <w:adjustRightInd w:val="0"/>
        <w:snapToGrid w:val="0"/>
        <w:spacing w:line="360" w:lineRule="auto"/>
        <w:rPr>
          <w:rFonts w:hint="default" w:ascii="宋体" w:hAnsi="宋体" w:eastAsia="宋体" w:cs="宋体"/>
          <w:color w:val="auto"/>
        </w:rPr>
      </w:pPr>
    </w:p>
    <w:p>
      <w:pPr>
        <w:pStyle w:val="14"/>
        <w:adjustRightInd w:val="0"/>
        <w:snapToGrid w:val="0"/>
        <w:spacing w:line="360" w:lineRule="auto"/>
        <w:rPr>
          <w:rFonts w:hint="default" w:ascii="宋体" w:hAnsi="宋体" w:eastAsia="宋体" w:cs="宋体"/>
          <w:color w:val="auto"/>
        </w:rPr>
      </w:pPr>
    </w:p>
    <w:p>
      <w:pPr>
        <w:spacing w:line="360" w:lineRule="auto"/>
        <w:rPr>
          <w:rFonts w:ascii="宋体" w:hAnsi="宋体"/>
          <w:bCs/>
          <w:color w:val="auto"/>
          <w:szCs w:val="21"/>
        </w:rPr>
      </w:pPr>
      <w:r>
        <w:rPr>
          <w:rFonts w:hint="eastAsia" w:ascii="宋体" w:hAnsi="宋体"/>
          <w:bCs/>
          <w:color w:val="auto"/>
          <w:szCs w:val="21"/>
        </w:rPr>
        <w:t>投标人（盖公章）：</w:t>
      </w:r>
    </w:p>
    <w:p>
      <w:pPr>
        <w:spacing w:line="360" w:lineRule="auto"/>
        <w:rPr>
          <w:rFonts w:ascii="宋体" w:hAnsi="宋体"/>
          <w:bCs/>
          <w:color w:val="auto"/>
          <w:szCs w:val="21"/>
        </w:rPr>
      </w:pPr>
    </w:p>
    <w:p>
      <w:pPr>
        <w:spacing w:line="360" w:lineRule="auto"/>
        <w:rPr>
          <w:rFonts w:ascii="宋体" w:hAnsi="宋体"/>
          <w:color w:val="auto"/>
          <w:szCs w:val="21"/>
          <w:u w:val="single"/>
        </w:rPr>
      </w:pPr>
      <w:r>
        <w:rPr>
          <w:rFonts w:ascii="宋体" w:hAnsi="宋体"/>
          <w:color w:val="auto"/>
          <w:szCs w:val="21"/>
        </w:rPr>
        <w:t>法定代表人</w:t>
      </w:r>
      <w:r>
        <w:rPr>
          <w:rFonts w:hint="eastAsia" w:ascii="宋体" w:hAnsi="宋体"/>
          <w:color w:val="auto"/>
          <w:szCs w:val="21"/>
        </w:rPr>
        <w:t>（或单位负责人）</w:t>
      </w:r>
      <w:r>
        <w:rPr>
          <w:rFonts w:ascii="宋体" w:hAnsi="宋体"/>
          <w:color w:val="auto"/>
          <w:szCs w:val="21"/>
        </w:rPr>
        <w:t>或</w:t>
      </w:r>
      <w:r>
        <w:rPr>
          <w:rFonts w:hint="eastAsia" w:ascii="宋体" w:hAnsi="宋体"/>
          <w:color w:val="auto"/>
          <w:szCs w:val="21"/>
        </w:rPr>
        <w:t>其</w:t>
      </w:r>
      <w:r>
        <w:rPr>
          <w:rFonts w:ascii="宋体" w:hAnsi="宋体"/>
          <w:color w:val="auto"/>
          <w:szCs w:val="21"/>
        </w:rPr>
        <w:t>授权</w:t>
      </w:r>
      <w:r>
        <w:rPr>
          <w:rFonts w:hint="eastAsia" w:ascii="宋体" w:hAnsi="宋体"/>
          <w:color w:val="auto"/>
          <w:szCs w:val="21"/>
        </w:rPr>
        <w:t>代理</w:t>
      </w:r>
      <w:r>
        <w:rPr>
          <w:rFonts w:ascii="宋体" w:hAnsi="宋体"/>
          <w:color w:val="auto"/>
          <w:szCs w:val="21"/>
        </w:rPr>
        <w:t>人</w:t>
      </w:r>
      <w:r>
        <w:rPr>
          <w:rFonts w:ascii="宋体" w:hAnsi="宋体"/>
          <w:color w:val="auto"/>
          <w:szCs w:val="21"/>
          <w:u w:val="single"/>
        </w:rPr>
        <w:t xml:space="preserve">       </w:t>
      </w:r>
      <w:r>
        <w:rPr>
          <w:rFonts w:ascii="宋体" w:hAnsi="宋体"/>
          <w:color w:val="auto"/>
          <w:szCs w:val="21"/>
        </w:rPr>
        <w:t>（签字</w:t>
      </w:r>
      <w:r>
        <w:rPr>
          <w:rFonts w:hint="eastAsia" w:ascii="宋体" w:hAnsi="宋体"/>
          <w:color w:val="auto"/>
          <w:szCs w:val="21"/>
        </w:rPr>
        <w:t>或盖章</w:t>
      </w:r>
      <w:r>
        <w:rPr>
          <w:rFonts w:ascii="宋体" w:hAnsi="宋体"/>
          <w:color w:val="auto"/>
          <w:szCs w:val="21"/>
        </w:rPr>
        <w:t>）</w:t>
      </w:r>
    </w:p>
    <w:p>
      <w:pPr>
        <w:spacing w:line="360" w:lineRule="auto"/>
        <w:rPr>
          <w:rFonts w:ascii="宋体" w:hAnsi="宋体"/>
          <w:color w:val="auto"/>
          <w:szCs w:val="21"/>
        </w:rPr>
      </w:pPr>
    </w:p>
    <w:p>
      <w:pPr>
        <w:spacing w:line="360" w:lineRule="auto"/>
        <w:jc w:val="left"/>
        <w:rPr>
          <w:rFonts w:ascii="宋体" w:hAnsi="宋体"/>
          <w:color w:val="auto"/>
          <w:szCs w:val="21"/>
        </w:rPr>
      </w:pPr>
      <w:r>
        <w:rPr>
          <w:rFonts w:ascii="宋体" w:hAnsi="宋体"/>
          <w:color w:val="auto"/>
          <w:szCs w:val="21"/>
        </w:rPr>
        <w:t>日期：    年    月    日</w:t>
      </w:r>
    </w:p>
    <w:p>
      <w:pPr>
        <w:spacing w:line="360" w:lineRule="auto"/>
        <w:outlineLvl w:val="1"/>
        <w:rPr>
          <w:rFonts w:ascii="宋体" w:hAnsi="宋体"/>
          <w:b/>
          <w:color w:val="auto"/>
          <w:szCs w:val="21"/>
        </w:rPr>
      </w:pPr>
      <w:r>
        <w:rPr>
          <w:rFonts w:hint="eastAsia" w:ascii="宋体" w:hAnsi="宋体"/>
          <w:b/>
          <w:color w:val="auto"/>
          <w:spacing w:val="-4"/>
          <w:szCs w:val="21"/>
        </w:rPr>
        <w:br w:type="page"/>
      </w:r>
      <w:bookmarkStart w:id="89" w:name="_Toc182932817"/>
      <w:r>
        <w:rPr>
          <w:rFonts w:hint="eastAsia" w:ascii="宋体" w:hAnsi="宋体"/>
          <w:color w:val="auto"/>
          <w:szCs w:val="21"/>
        </w:rPr>
        <w:t>附件七</w:t>
      </w:r>
      <w:bookmarkEnd w:id="89"/>
    </w:p>
    <w:p>
      <w:pPr>
        <w:spacing w:line="360" w:lineRule="auto"/>
        <w:rPr>
          <w:rFonts w:ascii="宋体" w:hAnsi="宋体"/>
          <w:b/>
          <w:color w:val="auto"/>
          <w:szCs w:val="21"/>
        </w:rPr>
      </w:pPr>
    </w:p>
    <w:p>
      <w:pPr>
        <w:spacing w:line="360" w:lineRule="auto"/>
        <w:jc w:val="center"/>
        <w:rPr>
          <w:rStyle w:val="22"/>
          <w:rFonts w:ascii="宋体" w:hAnsi="宋体" w:cs="Courier New"/>
          <w:color w:val="auto"/>
          <w:kern w:val="0"/>
          <w:szCs w:val="21"/>
        </w:rPr>
      </w:pPr>
      <w:r>
        <w:rPr>
          <w:rStyle w:val="22"/>
          <w:rFonts w:hint="eastAsia" w:ascii="宋体" w:hAnsi="宋体" w:cs="Courier New"/>
          <w:color w:val="auto"/>
          <w:kern w:val="0"/>
          <w:szCs w:val="21"/>
        </w:rPr>
        <w:t>2023年度资产负债表和损益表</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b/>
          <w:color w:val="auto"/>
          <w:szCs w:val="21"/>
        </w:rPr>
        <w:t>注：2023年度资产负债表和损益表均应加盖投标人公章。</w:t>
      </w:r>
    </w:p>
    <w:p>
      <w:pPr>
        <w:spacing w:line="360" w:lineRule="auto"/>
        <w:outlineLvl w:val="1"/>
        <w:rPr>
          <w:rFonts w:ascii="宋体" w:hAnsi="宋体"/>
          <w:b/>
          <w:color w:val="auto"/>
          <w:szCs w:val="21"/>
        </w:rPr>
      </w:pPr>
      <w:r>
        <w:rPr>
          <w:rFonts w:ascii="宋体" w:hAnsi="宋体"/>
          <w:b/>
          <w:color w:val="auto"/>
          <w:szCs w:val="21"/>
        </w:rPr>
        <w:br w:type="column"/>
      </w:r>
      <w:bookmarkStart w:id="90" w:name="_Toc182932818"/>
      <w:r>
        <w:rPr>
          <w:rFonts w:hint="eastAsia" w:ascii="宋体" w:hAnsi="宋体"/>
          <w:color w:val="auto"/>
          <w:szCs w:val="21"/>
        </w:rPr>
        <w:t>附件八</w:t>
      </w:r>
      <w:bookmarkEnd w:id="90"/>
    </w:p>
    <w:p>
      <w:pPr>
        <w:spacing w:line="440" w:lineRule="exact"/>
        <w:jc w:val="center"/>
        <w:rPr>
          <w:rFonts w:ascii="宋体" w:hAnsi="宋体" w:cs="Courier New"/>
          <w:b/>
          <w:bCs/>
          <w:color w:val="auto"/>
          <w:kern w:val="0"/>
          <w:szCs w:val="21"/>
        </w:rPr>
      </w:pPr>
      <w:r>
        <w:rPr>
          <w:rStyle w:val="22"/>
          <w:rFonts w:hint="eastAsia" w:ascii="宋体" w:hAnsi="宋体" w:cs="Courier New"/>
          <w:color w:val="auto"/>
          <w:kern w:val="0"/>
          <w:szCs w:val="21"/>
        </w:rPr>
        <w:t>指标数据响应表</w:t>
      </w:r>
    </w:p>
    <w:tbl>
      <w:tblPr>
        <w:tblStyle w:val="19"/>
        <w:tblW w:w="9498"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929"/>
        <w:gridCol w:w="24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2" w:type="dxa"/>
            <w:noWrap/>
            <w:vAlign w:val="center"/>
          </w:tcPr>
          <w:p>
            <w:pPr>
              <w:spacing w:line="276" w:lineRule="auto"/>
              <w:jc w:val="center"/>
              <w:rPr>
                <w:rFonts w:ascii="宋体" w:hAnsi="宋体" w:cs="宋体"/>
                <w:b/>
                <w:color w:val="auto"/>
                <w:szCs w:val="21"/>
              </w:rPr>
            </w:pPr>
            <w:r>
              <w:rPr>
                <w:rFonts w:hint="eastAsia" w:ascii="宋体" w:hAnsi="宋体" w:cs="宋体"/>
                <w:b/>
                <w:color w:val="auto"/>
                <w:szCs w:val="21"/>
              </w:rPr>
              <w:t>项目</w:t>
            </w:r>
          </w:p>
        </w:tc>
        <w:tc>
          <w:tcPr>
            <w:tcW w:w="5929" w:type="dxa"/>
            <w:noWrap/>
            <w:vAlign w:val="center"/>
          </w:tcPr>
          <w:p>
            <w:pPr>
              <w:spacing w:line="276" w:lineRule="auto"/>
              <w:jc w:val="center"/>
              <w:rPr>
                <w:rFonts w:ascii="宋体" w:hAnsi="宋体" w:cs="宋体"/>
                <w:b/>
                <w:color w:val="auto"/>
                <w:szCs w:val="21"/>
              </w:rPr>
            </w:pPr>
            <w:r>
              <w:rPr>
                <w:rFonts w:hint="eastAsia" w:ascii="宋体" w:hAnsi="宋体" w:cs="宋体"/>
                <w:b/>
                <w:color w:val="auto"/>
                <w:szCs w:val="21"/>
              </w:rPr>
              <w:t>指标内容</w:t>
            </w:r>
          </w:p>
        </w:tc>
        <w:tc>
          <w:tcPr>
            <w:tcW w:w="2437" w:type="dxa"/>
            <w:noWrap/>
            <w:vAlign w:val="center"/>
          </w:tcPr>
          <w:p>
            <w:pPr>
              <w:spacing w:line="276" w:lineRule="auto"/>
              <w:jc w:val="center"/>
              <w:rPr>
                <w:rFonts w:ascii="宋体" w:hAnsi="宋体" w:cs="宋体"/>
                <w:b/>
                <w:color w:val="auto"/>
                <w:szCs w:val="21"/>
              </w:rPr>
            </w:pPr>
            <w:r>
              <w:rPr>
                <w:rFonts w:hint="eastAsia" w:ascii="宋体" w:hAnsi="宋体" w:cs="宋体"/>
                <w:b/>
                <w:color w:val="auto"/>
                <w:szCs w:val="21"/>
              </w:rPr>
              <w:t>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2" w:type="dxa"/>
            <w:vMerge w:val="restart"/>
            <w:noWrap/>
            <w:vAlign w:val="center"/>
          </w:tcPr>
          <w:p>
            <w:pPr>
              <w:spacing w:line="276" w:lineRule="auto"/>
              <w:jc w:val="center"/>
              <w:rPr>
                <w:rFonts w:ascii="宋体" w:hAnsi="宋体"/>
                <w:b/>
                <w:bCs/>
                <w:color w:val="auto"/>
                <w:szCs w:val="21"/>
                <w:lang w:val="zh-CN"/>
              </w:rPr>
            </w:pPr>
            <w:r>
              <w:rPr>
                <w:rFonts w:hint="eastAsia" w:ascii="宋体" w:hAnsi="宋体"/>
                <w:b/>
                <w:bCs/>
                <w:color w:val="auto"/>
                <w:szCs w:val="21"/>
                <w:lang w:val="zh-CN"/>
              </w:rPr>
              <w:t>一、经营状况</w:t>
            </w:r>
          </w:p>
        </w:tc>
        <w:tc>
          <w:tcPr>
            <w:tcW w:w="5929" w:type="dxa"/>
            <w:noWrap/>
            <w:vAlign w:val="center"/>
          </w:tcPr>
          <w:p>
            <w:pPr>
              <w:spacing w:line="276" w:lineRule="auto"/>
              <w:rPr>
                <w:rFonts w:ascii="宋体" w:hAnsi="宋体" w:cs="宋体"/>
                <w:b/>
                <w:iCs/>
                <w:color w:val="auto"/>
                <w:kern w:val="0"/>
                <w:szCs w:val="21"/>
              </w:rPr>
            </w:pPr>
            <w:r>
              <w:rPr>
                <w:rFonts w:hint="eastAsia" w:ascii="宋体" w:hAnsi="宋体" w:cs="宋体"/>
                <w:b/>
                <w:iCs/>
                <w:color w:val="auto"/>
                <w:kern w:val="0"/>
                <w:szCs w:val="21"/>
              </w:rPr>
              <w:t>资本充足率：（要求详见《评标细则》）</w:t>
            </w:r>
          </w:p>
        </w:tc>
        <w:tc>
          <w:tcPr>
            <w:tcW w:w="2437" w:type="dxa"/>
            <w:noWrap/>
            <w:vAlign w:val="center"/>
          </w:tcPr>
          <w:p>
            <w:pPr>
              <w:spacing w:line="276" w:lineRule="auto"/>
              <w:ind w:firstLine="316" w:firstLineChars="150"/>
              <w:jc w:val="left"/>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2" w:type="dxa"/>
            <w:vMerge w:val="continue"/>
            <w:noWrap/>
            <w:vAlign w:val="center"/>
          </w:tcPr>
          <w:p>
            <w:pPr>
              <w:spacing w:line="276" w:lineRule="auto"/>
              <w:jc w:val="center"/>
              <w:rPr>
                <w:rFonts w:ascii="宋体" w:hAnsi="宋体" w:cs="宋体"/>
                <w:b/>
                <w:color w:val="auto"/>
                <w:szCs w:val="21"/>
              </w:rPr>
            </w:pPr>
          </w:p>
        </w:tc>
        <w:tc>
          <w:tcPr>
            <w:tcW w:w="5929" w:type="dxa"/>
            <w:noWrap/>
            <w:vAlign w:val="center"/>
          </w:tcPr>
          <w:p>
            <w:pPr>
              <w:spacing w:line="276" w:lineRule="auto"/>
              <w:rPr>
                <w:rFonts w:ascii="宋体" w:hAnsi="宋体" w:cs="宋体"/>
                <w:b/>
                <w:iCs/>
                <w:color w:val="auto"/>
                <w:kern w:val="0"/>
                <w:szCs w:val="21"/>
              </w:rPr>
            </w:pPr>
            <w:r>
              <w:rPr>
                <w:rFonts w:hint="eastAsia" w:ascii="宋体" w:hAnsi="宋体" w:cs="宋体"/>
                <w:b/>
                <w:iCs/>
                <w:color w:val="auto"/>
                <w:kern w:val="0"/>
                <w:szCs w:val="21"/>
              </w:rPr>
              <w:t>不良贷款率：（要求详见《评标细则》）</w:t>
            </w:r>
          </w:p>
        </w:tc>
        <w:tc>
          <w:tcPr>
            <w:tcW w:w="2437" w:type="dxa"/>
            <w:noWrap/>
            <w:vAlign w:val="center"/>
          </w:tcPr>
          <w:p>
            <w:pPr>
              <w:spacing w:line="276" w:lineRule="auto"/>
              <w:ind w:firstLine="316" w:firstLineChars="150"/>
              <w:jc w:val="left"/>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2" w:type="dxa"/>
            <w:vMerge w:val="continue"/>
            <w:noWrap/>
            <w:vAlign w:val="center"/>
          </w:tcPr>
          <w:p>
            <w:pPr>
              <w:spacing w:line="276" w:lineRule="auto"/>
              <w:jc w:val="center"/>
              <w:rPr>
                <w:rFonts w:ascii="宋体" w:hAnsi="宋体" w:cs="宋体"/>
                <w:b/>
                <w:color w:val="auto"/>
                <w:szCs w:val="21"/>
              </w:rPr>
            </w:pPr>
          </w:p>
        </w:tc>
        <w:tc>
          <w:tcPr>
            <w:tcW w:w="5929" w:type="dxa"/>
            <w:noWrap/>
            <w:vAlign w:val="center"/>
          </w:tcPr>
          <w:p>
            <w:pPr>
              <w:spacing w:line="276" w:lineRule="auto"/>
              <w:rPr>
                <w:rFonts w:ascii="宋体" w:hAnsi="宋体" w:cs="宋体"/>
                <w:b/>
                <w:iCs/>
                <w:color w:val="auto"/>
                <w:kern w:val="0"/>
                <w:szCs w:val="21"/>
              </w:rPr>
            </w:pPr>
            <w:r>
              <w:rPr>
                <w:rFonts w:hint="eastAsia" w:ascii="宋体" w:hAnsi="宋体" w:cs="宋体"/>
                <w:b/>
                <w:iCs/>
                <w:color w:val="auto"/>
                <w:kern w:val="0"/>
                <w:szCs w:val="21"/>
              </w:rPr>
              <w:t>拨备覆盖率：（要求详见《评标细则》）</w:t>
            </w:r>
          </w:p>
        </w:tc>
        <w:tc>
          <w:tcPr>
            <w:tcW w:w="2437" w:type="dxa"/>
            <w:noWrap/>
            <w:vAlign w:val="center"/>
          </w:tcPr>
          <w:p>
            <w:pPr>
              <w:spacing w:line="276" w:lineRule="auto"/>
              <w:ind w:firstLine="175" w:firstLineChars="83"/>
              <w:jc w:val="left"/>
              <w:rPr>
                <w:rFonts w:ascii="宋体" w:hAnsi="宋体" w:cs="宋体"/>
                <w:b/>
                <w:color w:val="auto"/>
                <w:szCs w:val="21"/>
              </w:rPr>
            </w:pPr>
            <w:r>
              <w:rPr>
                <w:rFonts w:hint="eastAsia" w:ascii="宋体" w:hAnsi="宋体" w:cs="宋体"/>
                <w:b/>
                <w:color w:val="auto"/>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2" w:type="dxa"/>
            <w:vMerge w:val="continue"/>
            <w:noWrap/>
            <w:vAlign w:val="center"/>
          </w:tcPr>
          <w:p>
            <w:pPr>
              <w:spacing w:line="276" w:lineRule="auto"/>
              <w:jc w:val="center"/>
              <w:rPr>
                <w:rFonts w:ascii="宋体" w:hAnsi="宋体" w:cs="宋体"/>
                <w:b/>
                <w:color w:val="auto"/>
                <w:szCs w:val="21"/>
              </w:rPr>
            </w:pPr>
          </w:p>
        </w:tc>
        <w:tc>
          <w:tcPr>
            <w:tcW w:w="5929" w:type="dxa"/>
            <w:noWrap/>
            <w:vAlign w:val="center"/>
          </w:tcPr>
          <w:p>
            <w:pPr>
              <w:spacing w:line="276" w:lineRule="auto"/>
              <w:rPr>
                <w:rFonts w:ascii="宋体" w:hAnsi="宋体" w:cs="宋体"/>
                <w:b/>
                <w:iCs/>
                <w:color w:val="auto"/>
                <w:kern w:val="0"/>
                <w:szCs w:val="21"/>
              </w:rPr>
            </w:pPr>
            <w:r>
              <w:rPr>
                <w:rFonts w:hint="eastAsia" w:ascii="宋体" w:hAnsi="宋体" w:cs="宋体"/>
                <w:b/>
                <w:iCs/>
                <w:color w:val="auto"/>
                <w:kern w:val="0"/>
                <w:szCs w:val="21"/>
              </w:rPr>
              <w:t>流动性比率：（要求详见《评标细则》）</w:t>
            </w:r>
          </w:p>
        </w:tc>
        <w:tc>
          <w:tcPr>
            <w:tcW w:w="2437" w:type="dxa"/>
            <w:noWrap/>
            <w:vAlign w:val="center"/>
          </w:tcPr>
          <w:p>
            <w:pPr>
              <w:spacing w:line="276" w:lineRule="auto"/>
              <w:ind w:firstLine="316" w:firstLineChars="150"/>
              <w:jc w:val="left"/>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2" w:type="dxa"/>
            <w:vMerge w:val="continue"/>
            <w:noWrap/>
            <w:vAlign w:val="center"/>
          </w:tcPr>
          <w:p>
            <w:pPr>
              <w:spacing w:line="276" w:lineRule="auto"/>
              <w:jc w:val="center"/>
              <w:rPr>
                <w:rFonts w:ascii="宋体" w:hAnsi="宋体" w:cs="宋体"/>
                <w:b/>
                <w:color w:val="auto"/>
                <w:szCs w:val="21"/>
              </w:rPr>
            </w:pPr>
          </w:p>
        </w:tc>
        <w:tc>
          <w:tcPr>
            <w:tcW w:w="5929" w:type="dxa"/>
            <w:noWrap/>
            <w:vAlign w:val="center"/>
          </w:tcPr>
          <w:p>
            <w:pPr>
              <w:spacing w:line="276" w:lineRule="auto"/>
              <w:rPr>
                <w:rFonts w:ascii="宋体" w:hAnsi="宋体" w:cs="宋体"/>
                <w:b/>
                <w:iCs/>
                <w:color w:val="auto"/>
                <w:kern w:val="0"/>
                <w:szCs w:val="21"/>
              </w:rPr>
            </w:pPr>
            <w:r>
              <w:rPr>
                <w:rFonts w:hint="eastAsia" w:ascii="宋体" w:hAnsi="宋体" w:cs="宋体"/>
                <w:b/>
                <w:iCs/>
                <w:color w:val="auto"/>
                <w:kern w:val="0"/>
                <w:szCs w:val="21"/>
              </w:rPr>
              <w:t>人行对金融机构考评情况：（要求详见《评标细则》）</w:t>
            </w:r>
          </w:p>
        </w:tc>
        <w:tc>
          <w:tcPr>
            <w:tcW w:w="2437" w:type="dxa"/>
            <w:noWrap/>
            <w:vAlign w:val="center"/>
          </w:tcPr>
          <w:p>
            <w:pPr>
              <w:spacing w:line="276" w:lineRule="auto"/>
              <w:ind w:firstLine="316" w:firstLineChars="150"/>
              <w:jc w:val="left"/>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2" w:type="dxa"/>
            <w:vMerge w:val="restart"/>
            <w:noWrap/>
            <w:vAlign w:val="center"/>
          </w:tcPr>
          <w:p>
            <w:pPr>
              <w:spacing w:line="276" w:lineRule="auto"/>
              <w:jc w:val="center"/>
              <w:rPr>
                <w:rFonts w:ascii="宋体" w:hAnsi="宋体" w:cs="宋体"/>
                <w:b/>
                <w:color w:val="auto"/>
                <w:szCs w:val="21"/>
              </w:rPr>
            </w:pPr>
            <w:r>
              <w:rPr>
                <w:rFonts w:hint="eastAsia" w:ascii="宋体" w:hAnsi="宋体"/>
                <w:b/>
                <w:bCs/>
                <w:color w:val="auto"/>
                <w:szCs w:val="21"/>
                <w:lang w:val="zh-CN"/>
              </w:rPr>
              <w:t>二、利率水平</w:t>
            </w:r>
          </w:p>
        </w:tc>
        <w:tc>
          <w:tcPr>
            <w:tcW w:w="5929" w:type="dxa"/>
            <w:noWrap/>
            <w:vAlign w:val="center"/>
          </w:tcPr>
          <w:p>
            <w:pPr>
              <w:widowControl/>
              <w:tabs>
                <w:tab w:val="left" w:pos="2670"/>
              </w:tabs>
              <w:spacing w:line="276" w:lineRule="auto"/>
              <w:jc w:val="left"/>
              <w:rPr>
                <w:rFonts w:ascii="宋体" w:hAnsi="宋体" w:cs="宋体"/>
                <w:b/>
                <w:iCs/>
                <w:color w:val="auto"/>
                <w:kern w:val="0"/>
                <w:szCs w:val="21"/>
              </w:rPr>
            </w:pPr>
            <w:r>
              <w:rPr>
                <w:rFonts w:hint="eastAsia" w:ascii="宋体" w:hAnsi="宋体" w:cs="宋体"/>
                <w:b/>
                <w:color w:val="auto"/>
                <w:kern w:val="0"/>
                <w:szCs w:val="21"/>
                <w:lang w:bidi="ar"/>
              </w:rPr>
              <w:t>活期存款利率</w:t>
            </w:r>
          </w:p>
        </w:tc>
        <w:tc>
          <w:tcPr>
            <w:tcW w:w="2437" w:type="dxa"/>
            <w:noWrap/>
            <w:vAlign w:val="center"/>
          </w:tcPr>
          <w:p>
            <w:pPr>
              <w:spacing w:line="276" w:lineRule="auto"/>
              <w:ind w:firstLine="316" w:firstLineChars="150"/>
              <w:jc w:val="left"/>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2" w:type="dxa"/>
            <w:vMerge w:val="continue"/>
            <w:noWrap/>
            <w:vAlign w:val="center"/>
          </w:tcPr>
          <w:p>
            <w:pPr>
              <w:spacing w:line="276" w:lineRule="auto"/>
              <w:jc w:val="center"/>
              <w:rPr>
                <w:rFonts w:ascii="宋体" w:hAnsi="宋体" w:cs="宋体"/>
                <w:b/>
                <w:color w:val="auto"/>
                <w:szCs w:val="21"/>
              </w:rPr>
            </w:pPr>
          </w:p>
        </w:tc>
        <w:tc>
          <w:tcPr>
            <w:tcW w:w="5929" w:type="dxa"/>
            <w:noWrap/>
            <w:vAlign w:val="center"/>
          </w:tcPr>
          <w:p>
            <w:pPr>
              <w:widowControl/>
              <w:tabs>
                <w:tab w:val="left" w:pos="2670"/>
              </w:tabs>
              <w:spacing w:line="276" w:lineRule="auto"/>
              <w:jc w:val="left"/>
              <w:rPr>
                <w:rFonts w:ascii="宋体" w:hAnsi="宋体" w:cs="宋体"/>
                <w:b/>
                <w:iCs/>
                <w:color w:val="auto"/>
                <w:kern w:val="0"/>
                <w:szCs w:val="21"/>
              </w:rPr>
            </w:pPr>
            <w:r>
              <w:rPr>
                <w:rFonts w:hint="eastAsia" w:ascii="宋体" w:hAnsi="宋体" w:cs="宋体"/>
                <w:b/>
                <w:color w:val="auto"/>
                <w:kern w:val="0"/>
                <w:szCs w:val="21"/>
                <w:lang w:bidi="ar"/>
              </w:rPr>
              <w:t>协定存款利率</w:t>
            </w:r>
            <w:r>
              <w:rPr>
                <w:rFonts w:ascii="宋体" w:hAnsi="宋体" w:cs="宋体"/>
                <w:b/>
                <w:iCs/>
                <w:color w:val="auto"/>
                <w:kern w:val="0"/>
                <w:szCs w:val="21"/>
              </w:rPr>
              <w:t xml:space="preserve"> </w:t>
            </w:r>
          </w:p>
        </w:tc>
        <w:tc>
          <w:tcPr>
            <w:tcW w:w="2437" w:type="dxa"/>
            <w:noWrap/>
            <w:vAlign w:val="center"/>
          </w:tcPr>
          <w:p>
            <w:pPr>
              <w:spacing w:line="276" w:lineRule="auto"/>
              <w:ind w:firstLine="316" w:firstLineChars="150"/>
              <w:jc w:val="left"/>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2" w:type="dxa"/>
            <w:vMerge w:val="continue"/>
            <w:noWrap/>
            <w:vAlign w:val="center"/>
          </w:tcPr>
          <w:p>
            <w:pPr>
              <w:spacing w:line="276" w:lineRule="auto"/>
              <w:jc w:val="center"/>
              <w:rPr>
                <w:rFonts w:ascii="宋体" w:hAnsi="宋体" w:cs="宋体"/>
                <w:b/>
                <w:color w:val="auto"/>
                <w:szCs w:val="21"/>
              </w:rPr>
            </w:pPr>
          </w:p>
        </w:tc>
        <w:tc>
          <w:tcPr>
            <w:tcW w:w="5929" w:type="dxa"/>
            <w:noWrap/>
            <w:vAlign w:val="center"/>
          </w:tcPr>
          <w:p>
            <w:pPr>
              <w:widowControl/>
              <w:tabs>
                <w:tab w:val="left" w:pos="2670"/>
              </w:tabs>
              <w:spacing w:line="276" w:lineRule="auto"/>
              <w:jc w:val="left"/>
              <w:rPr>
                <w:rFonts w:ascii="宋体" w:hAnsi="宋体" w:cs="宋体"/>
                <w:b/>
                <w:iCs/>
                <w:color w:val="auto"/>
                <w:kern w:val="0"/>
                <w:szCs w:val="21"/>
              </w:rPr>
            </w:pPr>
            <w:r>
              <w:rPr>
                <w:rFonts w:hint="eastAsia" w:ascii="宋体" w:hAnsi="宋体" w:cs="宋体"/>
                <w:b/>
                <w:color w:val="auto"/>
                <w:kern w:val="0"/>
                <w:szCs w:val="21"/>
                <w:lang w:bidi="ar"/>
              </w:rPr>
              <w:t>七天通知存款利率</w:t>
            </w:r>
          </w:p>
        </w:tc>
        <w:tc>
          <w:tcPr>
            <w:tcW w:w="2437" w:type="dxa"/>
            <w:noWrap/>
            <w:vAlign w:val="center"/>
          </w:tcPr>
          <w:p>
            <w:pPr>
              <w:spacing w:line="276" w:lineRule="auto"/>
              <w:ind w:firstLine="316" w:firstLineChars="150"/>
              <w:jc w:val="left"/>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2" w:type="dxa"/>
            <w:vMerge w:val="continue"/>
            <w:noWrap/>
            <w:vAlign w:val="center"/>
          </w:tcPr>
          <w:p>
            <w:pPr>
              <w:spacing w:line="276" w:lineRule="auto"/>
              <w:jc w:val="center"/>
              <w:rPr>
                <w:rFonts w:ascii="宋体" w:hAnsi="宋体" w:cs="宋体"/>
                <w:b/>
                <w:color w:val="auto"/>
                <w:szCs w:val="21"/>
              </w:rPr>
            </w:pPr>
          </w:p>
        </w:tc>
        <w:tc>
          <w:tcPr>
            <w:tcW w:w="5929" w:type="dxa"/>
            <w:noWrap/>
            <w:vAlign w:val="center"/>
          </w:tcPr>
          <w:p>
            <w:pPr>
              <w:widowControl/>
              <w:tabs>
                <w:tab w:val="left" w:pos="2670"/>
              </w:tabs>
              <w:spacing w:line="276" w:lineRule="auto"/>
              <w:jc w:val="left"/>
              <w:rPr>
                <w:rFonts w:ascii="宋体" w:hAnsi="宋体" w:cs="宋体"/>
                <w:b/>
                <w:iCs/>
                <w:color w:val="auto"/>
                <w:kern w:val="0"/>
                <w:szCs w:val="21"/>
              </w:rPr>
            </w:pPr>
            <w:r>
              <w:rPr>
                <w:rFonts w:hint="eastAsia" w:ascii="宋体" w:hAnsi="宋体" w:cs="宋体"/>
                <w:b/>
                <w:color w:val="auto"/>
                <w:kern w:val="0"/>
                <w:szCs w:val="21"/>
                <w:lang w:bidi="ar"/>
              </w:rPr>
              <w:t>半年以内(含半年)定期存款利率</w:t>
            </w:r>
          </w:p>
        </w:tc>
        <w:tc>
          <w:tcPr>
            <w:tcW w:w="2437" w:type="dxa"/>
            <w:noWrap/>
            <w:vAlign w:val="center"/>
          </w:tcPr>
          <w:p>
            <w:pPr>
              <w:spacing w:line="276" w:lineRule="auto"/>
              <w:ind w:firstLine="316" w:firstLineChars="150"/>
              <w:jc w:val="left"/>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2" w:type="dxa"/>
            <w:vMerge w:val="continue"/>
            <w:noWrap/>
            <w:vAlign w:val="center"/>
          </w:tcPr>
          <w:p>
            <w:pPr>
              <w:spacing w:line="276" w:lineRule="auto"/>
              <w:jc w:val="center"/>
              <w:rPr>
                <w:rFonts w:ascii="宋体" w:hAnsi="宋体" w:cs="宋体"/>
                <w:b/>
                <w:color w:val="auto"/>
                <w:szCs w:val="21"/>
              </w:rPr>
            </w:pPr>
          </w:p>
        </w:tc>
        <w:tc>
          <w:tcPr>
            <w:tcW w:w="5929" w:type="dxa"/>
            <w:noWrap/>
            <w:vAlign w:val="center"/>
          </w:tcPr>
          <w:p>
            <w:pPr>
              <w:widowControl/>
              <w:tabs>
                <w:tab w:val="left" w:pos="2670"/>
              </w:tabs>
              <w:spacing w:line="276" w:lineRule="auto"/>
              <w:jc w:val="left"/>
              <w:rPr>
                <w:rFonts w:ascii="宋体" w:hAnsi="宋体" w:cs="宋体"/>
                <w:b/>
                <w:iCs/>
                <w:color w:val="auto"/>
                <w:kern w:val="0"/>
                <w:szCs w:val="21"/>
              </w:rPr>
            </w:pPr>
            <w:r>
              <w:rPr>
                <w:rFonts w:hint="eastAsia" w:ascii="宋体" w:hAnsi="宋体" w:cs="宋体"/>
                <w:b/>
                <w:color w:val="auto"/>
                <w:kern w:val="0"/>
                <w:szCs w:val="21"/>
                <w:lang w:bidi="ar"/>
              </w:rPr>
              <w:t>一年以内(含一年)定期存款利率</w:t>
            </w:r>
          </w:p>
        </w:tc>
        <w:tc>
          <w:tcPr>
            <w:tcW w:w="2437" w:type="dxa"/>
            <w:noWrap/>
            <w:vAlign w:val="center"/>
          </w:tcPr>
          <w:p>
            <w:pPr>
              <w:spacing w:line="276" w:lineRule="auto"/>
              <w:ind w:firstLine="316" w:firstLineChars="150"/>
              <w:jc w:val="left"/>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restart"/>
            <w:noWrap/>
            <w:vAlign w:val="center"/>
          </w:tcPr>
          <w:p>
            <w:pPr>
              <w:spacing w:line="276" w:lineRule="auto"/>
              <w:jc w:val="left"/>
              <w:rPr>
                <w:rFonts w:ascii="宋体" w:hAnsi="宋体"/>
                <w:b/>
                <w:bCs/>
                <w:color w:val="auto"/>
                <w:szCs w:val="21"/>
                <w:lang w:val="zh-CN"/>
              </w:rPr>
            </w:pPr>
            <w:r>
              <w:rPr>
                <w:rFonts w:hint="eastAsia" w:ascii="宋体" w:hAnsi="宋体"/>
                <w:b/>
                <w:bCs/>
                <w:color w:val="auto"/>
                <w:szCs w:val="21"/>
                <w:lang w:val="zh-CN"/>
              </w:rPr>
              <w:t>三、经济贡献度</w:t>
            </w:r>
          </w:p>
        </w:tc>
        <w:tc>
          <w:tcPr>
            <w:tcW w:w="5929" w:type="dxa"/>
            <w:noWrap/>
            <w:vAlign w:val="center"/>
          </w:tcPr>
          <w:p>
            <w:pPr>
              <w:spacing w:line="276" w:lineRule="auto"/>
              <w:rPr>
                <w:rFonts w:ascii="宋体" w:hAnsi="宋体" w:cs="宋体"/>
                <w:b/>
                <w:iCs/>
                <w:color w:val="auto"/>
                <w:kern w:val="0"/>
                <w:szCs w:val="21"/>
              </w:rPr>
            </w:pPr>
            <w:r>
              <w:rPr>
                <w:rFonts w:hint="eastAsia" w:ascii="宋体" w:hAnsi="宋体"/>
                <w:b/>
                <w:color w:val="auto"/>
                <w:szCs w:val="21"/>
              </w:rPr>
              <w:t>纳税总额：</w:t>
            </w:r>
            <w:r>
              <w:rPr>
                <w:rFonts w:hint="eastAsia" w:ascii="宋体" w:hAnsi="宋体" w:cs="宋体"/>
                <w:b/>
                <w:iCs/>
                <w:color w:val="auto"/>
                <w:kern w:val="0"/>
                <w:szCs w:val="21"/>
              </w:rPr>
              <w:t>（要求详见《评标细则》）</w:t>
            </w:r>
          </w:p>
        </w:tc>
        <w:tc>
          <w:tcPr>
            <w:tcW w:w="2437" w:type="dxa"/>
            <w:noWrap/>
            <w:vAlign w:val="center"/>
          </w:tcPr>
          <w:p>
            <w:pPr>
              <w:spacing w:line="276" w:lineRule="auto"/>
              <w:ind w:firstLine="211" w:firstLineChars="100"/>
              <w:rPr>
                <w:rFonts w:ascii="宋体" w:hAnsi="宋体" w:cs="宋体"/>
                <w:b/>
                <w:color w:val="auto"/>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noWrap/>
            <w:vAlign w:val="center"/>
          </w:tcPr>
          <w:p>
            <w:pPr>
              <w:spacing w:line="276" w:lineRule="auto"/>
              <w:jc w:val="center"/>
              <w:rPr>
                <w:rFonts w:ascii="宋体" w:hAnsi="宋体"/>
                <w:b/>
                <w:bCs/>
                <w:color w:val="auto"/>
                <w:szCs w:val="21"/>
                <w:lang w:val="zh-CN"/>
              </w:rPr>
            </w:pPr>
          </w:p>
        </w:tc>
        <w:tc>
          <w:tcPr>
            <w:tcW w:w="5929" w:type="dxa"/>
            <w:noWrap/>
            <w:vAlign w:val="center"/>
          </w:tcPr>
          <w:p>
            <w:pPr>
              <w:spacing w:line="276" w:lineRule="auto"/>
              <w:rPr>
                <w:rFonts w:ascii="宋体" w:hAnsi="宋体" w:cs="宋体"/>
                <w:b/>
                <w:iCs/>
                <w:color w:val="auto"/>
                <w:kern w:val="0"/>
                <w:szCs w:val="21"/>
              </w:rPr>
            </w:pPr>
            <w:r>
              <w:rPr>
                <w:rFonts w:hint="eastAsia" w:ascii="宋体" w:hAnsi="宋体"/>
                <w:b/>
                <w:color w:val="auto"/>
                <w:szCs w:val="21"/>
              </w:rPr>
              <w:t>纳税增幅：</w:t>
            </w:r>
            <w:r>
              <w:rPr>
                <w:rFonts w:hint="eastAsia" w:ascii="宋体" w:hAnsi="宋体" w:cs="宋体"/>
                <w:b/>
                <w:iCs/>
                <w:color w:val="auto"/>
                <w:kern w:val="0"/>
                <w:szCs w:val="21"/>
              </w:rPr>
              <w:t>（要求详见《评标细则》）</w:t>
            </w:r>
          </w:p>
        </w:tc>
        <w:tc>
          <w:tcPr>
            <w:tcW w:w="2437" w:type="dxa"/>
            <w:noWrap/>
            <w:vAlign w:val="center"/>
          </w:tcPr>
          <w:p>
            <w:pPr>
              <w:spacing w:line="276" w:lineRule="auto"/>
              <w:ind w:firstLine="211" w:firstLineChars="100"/>
              <w:rPr>
                <w:rFonts w:ascii="宋体" w:hAnsi="宋体" w:cs="宋体"/>
                <w:b/>
                <w:color w:val="auto"/>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noWrap/>
            <w:vAlign w:val="center"/>
          </w:tcPr>
          <w:p>
            <w:pPr>
              <w:spacing w:line="276" w:lineRule="auto"/>
              <w:jc w:val="center"/>
              <w:rPr>
                <w:rFonts w:ascii="宋体" w:hAnsi="宋体"/>
                <w:b/>
                <w:bCs/>
                <w:color w:val="auto"/>
                <w:szCs w:val="21"/>
                <w:lang w:val="zh-CN"/>
              </w:rPr>
            </w:pPr>
          </w:p>
        </w:tc>
        <w:tc>
          <w:tcPr>
            <w:tcW w:w="5929" w:type="dxa"/>
            <w:noWrap/>
            <w:vAlign w:val="center"/>
          </w:tcPr>
          <w:p>
            <w:pPr>
              <w:spacing w:line="276" w:lineRule="auto"/>
              <w:rPr>
                <w:rFonts w:ascii="宋体" w:hAnsi="宋体" w:cs="宋体"/>
                <w:b/>
                <w:iCs/>
                <w:color w:val="auto"/>
                <w:kern w:val="0"/>
                <w:szCs w:val="21"/>
              </w:rPr>
            </w:pPr>
            <w:r>
              <w:rPr>
                <w:rFonts w:hint="eastAsia" w:ascii="宋体" w:hAnsi="宋体"/>
                <w:b/>
                <w:color w:val="auto"/>
                <w:szCs w:val="21"/>
              </w:rPr>
              <w:t>对本区域重点事业支持情况：</w:t>
            </w:r>
            <w:r>
              <w:rPr>
                <w:rFonts w:hint="eastAsia" w:ascii="宋体" w:hAnsi="宋体" w:cs="宋体"/>
                <w:b/>
                <w:iCs/>
                <w:color w:val="auto"/>
                <w:kern w:val="0"/>
                <w:szCs w:val="21"/>
              </w:rPr>
              <w:t>（要求详见《评标细则》）</w:t>
            </w:r>
          </w:p>
        </w:tc>
        <w:tc>
          <w:tcPr>
            <w:tcW w:w="2437" w:type="dxa"/>
            <w:noWrap/>
            <w:vAlign w:val="center"/>
          </w:tcPr>
          <w:p>
            <w:pPr>
              <w:spacing w:line="276" w:lineRule="auto"/>
              <w:ind w:firstLine="211" w:firstLineChars="100"/>
              <w:rPr>
                <w:rFonts w:ascii="宋体" w:hAnsi="宋体" w:cs="宋体"/>
                <w:b/>
                <w:color w:val="auto"/>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noWrap/>
            <w:vAlign w:val="center"/>
          </w:tcPr>
          <w:p>
            <w:pPr>
              <w:spacing w:line="276" w:lineRule="auto"/>
              <w:jc w:val="center"/>
              <w:rPr>
                <w:rFonts w:ascii="宋体" w:hAnsi="宋体"/>
                <w:b/>
                <w:bCs/>
                <w:color w:val="auto"/>
                <w:szCs w:val="21"/>
                <w:lang w:val="zh-CN"/>
              </w:rPr>
            </w:pPr>
          </w:p>
        </w:tc>
        <w:tc>
          <w:tcPr>
            <w:tcW w:w="5929" w:type="dxa"/>
            <w:noWrap/>
            <w:vAlign w:val="center"/>
          </w:tcPr>
          <w:p>
            <w:pPr>
              <w:spacing w:line="276" w:lineRule="auto"/>
              <w:rPr>
                <w:rFonts w:ascii="宋体" w:hAnsi="宋体" w:cs="宋体"/>
                <w:b/>
                <w:iCs/>
                <w:color w:val="auto"/>
                <w:kern w:val="0"/>
                <w:szCs w:val="21"/>
              </w:rPr>
            </w:pPr>
            <w:r>
              <w:rPr>
                <w:rFonts w:hint="eastAsia" w:ascii="宋体" w:hAnsi="宋体"/>
                <w:b/>
                <w:color w:val="auto"/>
                <w:szCs w:val="21"/>
              </w:rPr>
              <w:t>本外币贷款余额：</w:t>
            </w:r>
            <w:r>
              <w:rPr>
                <w:rFonts w:hint="eastAsia" w:ascii="宋体" w:hAnsi="宋体" w:cs="宋体"/>
                <w:b/>
                <w:iCs/>
                <w:color w:val="auto"/>
                <w:kern w:val="0"/>
                <w:szCs w:val="21"/>
              </w:rPr>
              <w:t>（要求详见《评标细则》）</w:t>
            </w:r>
          </w:p>
        </w:tc>
        <w:tc>
          <w:tcPr>
            <w:tcW w:w="2437" w:type="dxa"/>
            <w:noWrap/>
            <w:vAlign w:val="center"/>
          </w:tcPr>
          <w:p>
            <w:pPr>
              <w:spacing w:line="276" w:lineRule="auto"/>
              <w:ind w:firstLine="211" w:firstLineChars="100"/>
              <w:rPr>
                <w:rFonts w:ascii="宋体" w:hAnsi="宋体" w:cs="宋体"/>
                <w:b/>
                <w:color w:val="auto"/>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noWrap/>
            <w:vAlign w:val="center"/>
          </w:tcPr>
          <w:p>
            <w:pPr>
              <w:spacing w:line="276" w:lineRule="auto"/>
              <w:jc w:val="center"/>
              <w:rPr>
                <w:rFonts w:ascii="宋体" w:hAnsi="宋体"/>
                <w:b/>
                <w:bCs/>
                <w:color w:val="auto"/>
                <w:szCs w:val="21"/>
                <w:lang w:val="zh-CN"/>
              </w:rPr>
            </w:pPr>
          </w:p>
        </w:tc>
        <w:tc>
          <w:tcPr>
            <w:tcW w:w="5929" w:type="dxa"/>
            <w:noWrap/>
            <w:vAlign w:val="center"/>
          </w:tcPr>
          <w:p>
            <w:pPr>
              <w:spacing w:line="276" w:lineRule="auto"/>
              <w:rPr>
                <w:rFonts w:ascii="宋体" w:hAnsi="宋体" w:cs="宋体"/>
                <w:b/>
                <w:iCs/>
                <w:color w:val="auto"/>
                <w:kern w:val="0"/>
                <w:szCs w:val="21"/>
              </w:rPr>
            </w:pPr>
            <w:r>
              <w:rPr>
                <w:rFonts w:hint="eastAsia" w:ascii="宋体" w:hAnsi="宋体"/>
                <w:b/>
                <w:color w:val="auto"/>
                <w:szCs w:val="21"/>
              </w:rPr>
              <w:t>存贷率：</w:t>
            </w:r>
            <w:r>
              <w:rPr>
                <w:rFonts w:hint="eastAsia" w:ascii="宋体" w:hAnsi="宋体" w:cs="宋体"/>
                <w:b/>
                <w:iCs/>
                <w:color w:val="auto"/>
                <w:kern w:val="0"/>
                <w:szCs w:val="21"/>
              </w:rPr>
              <w:t>（要求详见《评标细则》）</w:t>
            </w:r>
          </w:p>
        </w:tc>
        <w:tc>
          <w:tcPr>
            <w:tcW w:w="2437" w:type="dxa"/>
            <w:noWrap/>
            <w:vAlign w:val="center"/>
          </w:tcPr>
          <w:p>
            <w:pPr>
              <w:spacing w:line="276" w:lineRule="auto"/>
              <w:ind w:firstLine="211" w:firstLineChars="100"/>
              <w:rPr>
                <w:rFonts w:ascii="宋体" w:hAnsi="宋体" w:cs="宋体"/>
                <w:b/>
                <w:color w:val="auto"/>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noWrap/>
            <w:vAlign w:val="center"/>
          </w:tcPr>
          <w:p>
            <w:pPr>
              <w:spacing w:line="276" w:lineRule="auto"/>
              <w:jc w:val="center"/>
              <w:rPr>
                <w:rFonts w:ascii="宋体" w:hAnsi="宋体"/>
                <w:b/>
                <w:bCs/>
                <w:color w:val="auto"/>
                <w:szCs w:val="21"/>
                <w:lang w:val="zh-CN"/>
              </w:rPr>
            </w:pPr>
          </w:p>
        </w:tc>
        <w:tc>
          <w:tcPr>
            <w:tcW w:w="5929" w:type="dxa"/>
            <w:noWrap/>
            <w:vAlign w:val="center"/>
          </w:tcPr>
          <w:p>
            <w:pPr>
              <w:spacing w:line="276" w:lineRule="auto"/>
              <w:rPr>
                <w:rFonts w:ascii="宋体" w:hAnsi="宋体" w:cs="宋体"/>
                <w:b/>
                <w:iCs/>
                <w:color w:val="auto"/>
                <w:kern w:val="0"/>
                <w:szCs w:val="21"/>
              </w:rPr>
            </w:pPr>
            <w:r>
              <w:rPr>
                <w:rFonts w:hint="eastAsia" w:ascii="宋体" w:hAnsi="宋体"/>
                <w:b/>
                <w:color w:val="auto"/>
                <w:szCs w:val="21"/>
              </w:rPr>
              <w:t>普惠口径小微企业贷款余额占本外币贷款余额比例：</w:t>
            </w:r>
            <w:r>
              <w:rPr>
                <w:rFonts w:hint="eastAsia" w:ascii="宋体" w:hAnsi="宋体" w:cs="宋体"/>
                <w:b/>
                <w:iCs/>
                <w:color w:val="auto"/>
                <w:kern w:val="0"/>
                <w:szCs w:val="21"/>
              </w:rPr>
              <w:t>（要求详见《评标细则》）</w:t>
            </w:r>
          </w:p>
        </w:tc>
        <w:tc>
          <w:tcPr>
            <w:tcW w:w="2437" w:type="dxa"/>
            <w:noWrap/>
            <w:vAlign w:val="center"/>
          </w:tcPr>
          <w:p>
            <w:pPr>
              <w:spacing w:line="276" w:lineRule="auto"/>
              <w:ind w:firstLine="211" w:firstLineChars="100"/>
              <w:rPr>
                <w:rFonts w:ascii="宋体" w:hAnsi="宋体" w:cs="宋体"/>
                <w:b/>
                <w:color w:val="auto"/>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noWrap/>
            <w:vAlign w:val="center"/>
          </w:tcPr>
          <w:p>
            <w:pPr>
              <w:spacing w:line="276" w:lineRule="auto"/>
              <w:jc w:val="center"/>
              <w:rPr>
                <w:rFonts w:ascii="宋体" w:hAnsi="宋体"/>
                <w:b/>
                <w:bCs/>
                <w:color w:val="auto"/>
                <w:szCs w:val="21"/>
                <w:lang w:val="zh-CN"/>
              </w:rPr>
            </w:pPr>
          </w:p>
        </w:tc>
        <w:tc>
          <w:tcPr>
            <w:tcW w:w="5929" w:type="dxa"/>
            <w:noWrap/>
            <w:vAlign w:val="center"/>
          </w:tcPr>
          <w:p>
            <w:pPr>
              <w:spacing w:line="276" w:lineRule="auto"/>
              <w:rPr>
                <w:rFonts w:ascii="宋体" w:hAnsi="宋体" w:cs="宋体"/>
                <w:b/>
                <w:iCs/>
                <w:color w:val="auto"/>
                <w:kern w:val="0"/>
                <w:szCs w:val="21"/>
              </w:rPr>
            </w:pPr>
            <w:r>
              <w:rPr>
                <w:rFonts w:hint="eastAsia" w:ascii="宋体" w:hAnsi="宋体"/>
                <w:b/>
                <w:color w:val="auto"/>
                <w:szCs w:val="21"/>
              </w:rPr>
              <w:t>制造业贷款余额：</w:t>
            </w:r>
            <w:r>
              <w:rPr>
                <w:rFonts w:hint="eastAsia" w:ascii="宋体" w:hAnsi="宋体" w:cs="宋体"/>
                <w:b/>
                <w:iCs/>
                <w:color w:val="auto"/>
                <w:kern w:val="0"/>
                <w:szCs w:val="21"/>
              </w:rPr>
              <w:t>（要求详见《评标细则》）</w:t>
            </w:r>
          </w:p>
        </w:tc>
        <w:tc>
          <w:tcPr>
            <w:tcW w:w="2437" w:type="dxa"/>
            <w:noWrap/>
            <w:vAlign w:val="center"/>
          </w:tcPr>
          <w:p>
            <w:pPr>
              <w:spacing w:line="276" w:lineRule="auto"/>
              <w:ind w:firstLine="211" w:firstLineChars="100"/>
              <w:rPr>
                <w:rFonts w:ascii="宋体" w:hAnsi="宋体" w:cs="宋体"/>
                <w:b/>
                <w:color w:val="auto"/>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noWrap/>
            <w:vAlign w:val="center"/>
          </w:tcPr>
          <w:p>
            <w:pPr>
              <w:spacing w:line="276" w:lineRule="auto"/>
              <w:jc w:val="center"/>
              <w:rPr>
                <w:rFonts w:ascii="宋体" w:hAnsi="宋体"/>
                <w:b/>
                <w:bCs/>
                <w:color w:val="auto"/>
                <w:szCs w:val="21"/>
                <w:lang w:val="zh-CN"/>
              </w:rPr>
            </w:pPr>
          </w:p>
        </w:tc>
        <w:tc>
          <w:tcPr>
            <w:tcW w:w="5929" w:type="dxa"/>
            <w:noWrap/>
            <w:vAlign w:val="center"/>
          </w:tcPr>
          <w:p>
            <w:pPr>
              <w:spacing w:line="276" w:lineRule="auto"/>
              <w:rPr>
                <w:rFonts w:ascii="宋体" w:hAnsi="宋体"/>
                <w:b/>
                <w:color w:val="auto"/>
                <w:szCs w:val="21"/>
              </w:rPr>
            </w:pPr>
            <w:r>
              <w:rPr>
                <w:rFonts w:hint="eastAsia" w:ascii="宋体" w:hAnsi="宋体"/>
                <w:b/>
                <w:color w:val="auto"/>
                <w:szCs w:val="21"/>
              </w:rPr>
              <w:t>制造业贷款余额占本外币贷款余额比例：</w:t>
            </w:r>
            <w:r>
              <w:rPr>
                <w:rFonts w:hint="eastAsia" w:ascii="宋体" w:hAnsi="宋体" w:cs="宋体"/>
                <w:b/>
                <w:iCs/>
                <w:color w:val="auto"/>
                <w:kern w:val="0"/>
                <w:szCs w:val="21"/>
              </w:rPr>
              <w:t>（要求详见《评标细则》）</w:t>
            </w:r>
          </w:p>
        </w:tc>
        <w:tc>
          <w:tcPr>
            <w:tcW w:w="2437" w:type="dxa"/>
            <w:noWrap/>
            <w:vAlign w:val="center"/>
          </w:tcPr>
          <w:p>
            <w:pPr>
              <w:spacing w:line="276" w:lineRule="auto"/>
              <w:ind w:firstLine="211" w:firstLineChars="100"/>
              <w:rPr>
                <w:rFonts w:ascii="宋体" w:hAnsi="宋体" w:cs="宋体"/>
                <w:b/>
                <w:color w:val="auto"/>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noWrap/>
            <w:vAlign w:val="center"/>
          </w:tcPr>
          <w:p>
            <w:pPr>
              <w:spacing w:line="276" w:lineRule="auto"/>
              <w:jc w:val="center"/>
              <w:rPr>
                <w:rFonts w:ascii="宋体" w:hAnsi="宋体"/>
                <w:b/>
                <w:bCs/>
                <w:color w:val="auto"/>
                <w:szCs w:val="21"/>
                <w:lang w:val="zh-CN"/>
              </w:rPr>
            </w:pPr>
          </w:p>
        </w:tc>
        <w:tc>
          <w:tcPr>
            <w:tcW w:w="5929" w:type="dxa"/>
            <w:noWrap/>
            <w:vAlign w:val="center"/>
          </w:tcPr>
          <w:p>
            <w:pPr>
              <w:spacing w:line="276" w:lineRule="auto"/>
              <w:rPr>
                <w:rFonts w:ascii="宋体" w:hAnsi="宋体"/>
                <w:b/>
                <w:color w:val="auto"/>
                <w:szCs w:val="21"/>
              </w:rPr>
            </w:pPr>
            <w:r>
              <w:rPr>
                <w:rFonts w:hint="eastAsia" w:ascii="宋体" w:hAnsi="宋体"/>
                <w:b/>
                <w:color w:val="auto"/>
                <w:szCs w:val="21"/>
              </w:rPr>
              <w:t>金融办对金融机构考评情况：</w:t>
            </w:r>
            <w:r>
              <w:rPr>
                <w:rFonts w:hint="eastAsia" w:ascii="宋体" w:hAnsi="宋体" w:cs="宋体"/>
                <w:b/>
                <w:iCs/>
                <w:color w:val="auto"/>
                <w:kern w:val="0"/>
                <w:szCs w:val="21"/>
              </w:rPr>
              <w:t>（要求详见《评标细则》）</w:t>
            </w:r>
          </w:p>
        </w:tc>
        <w:tc>
          <w:tcPr>
            <w:tcW w:w="2437" w:type="dxa"/>
            <w:noWrap/>
            <w:vAlign w:val="center"/>
          </w:tcPr>
          <w:p>
            <w:pPr>
              <w:spacing w:line="276" w:lineRule="auto"/>
              <w:ind w:firstLine="211" w:firstLineChars="100"/>
              <w:rPr>
                <w:rFonts w:ascii="宋体" w:hAnsi="宋体" w:cs="宋体"/>
                <w:b/>
                <w:color w:val="auto"/>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restart"/>
            <w:noWrap/>
            <w:vAlign w:val="center"/>
          </w:tcPr>
          <w:p>
            <w:pPr>
              <w:spacing w:line="276" w:lineRule="auto"/>
              <w:jc w:val="center"/>
              <w:rPr>
                <w:rFonts w:ascii="宋体" w:hAnsi="宋体"/>
                <w:b/>
                <w:bCs/>
                <w:color w:val="auto"/>
                <w:szCs w:val="21"/>
                <w:lang w:val="zh-CN"/>
              </w:rPr>
            </w:pPr>
            <w:r>
              <w:rPr>
                <w:rFonts w:hint="eastAsia" w:ascii="宋体" w:hAnsi="宋体"/>
                <w:b/>
                <w:bCs/>
                <w:color w:val="auto"/>
                <w:szCs w:val="21"/>
                <w:lang w:val="zh-CN"/>
              </w:rPr>
              <w:t>四、服务水平</w:t>
            </w:r>
          </w:p>
        </w:tc>
        <w:tc>
          <w:tcPr>
            <w:tcW w:w="5929" w:type="dxa"/>
            <w:noWrap/>
            <w:vAlign w:val="center"/>
          </w:tcPr>
          <w:p>
            <w:pPr>
              <w:spacing w:line="276" w:lineRule="auto"/>
              <w:rPr>
                <w:rFonts w:ascii="宋体" w:hAnsi="宋体"/>
                <w:b/>
                <w:color w:val="auto"/>
                <w:szCs w:val="21"/>
              </w:rPr>
            </w:pPr>
            <w:r>
              <w:rPr>
                <w:rFonts w:hint="eastAsia" w:ascii="宋体" w:hAnsi="宋体"/>
                <w:b/>
                <w:color w:val="auto"/>
                <w:szCs w:val="21"/>
              </w:rPr>
              <w:t>服务方案：</w:t>
            </w:r>
            <w:r>
              <w:rPr>
                <w:rFonts w:hint="eastAsia" w:ascii="宋体" w:hAnsi="宋体" w:cs="宋体"/>
                <w:b/>
                <w:iCs/>
                <w:color w:val="auto"/>
                <w:kern w:val="0"/>
                <w:szCs w:val="21"/>
              </w:rPr>
              <w:t>（要求详见《评标细则》）</w:t>
            </w:r>
          </w:p>
        </w:tc>
        <w:tc>
          <w:tcPr>
            <w:tcW w:w="2437" w:type="dxa"/>
            <w:noWrap/>
            <w:vAlign w:val="center"/>
          </w:tcPr>
          <w:p>
            <w:pPr>
              <w:spacing w:line="276" w:lineRule="auto"/>
              <w:ind w:firstLine="211" w:firstLineChars="100"/>
              <w:rPr>
                <w:rFonts w:ascii="宋体" w:hAnsi="宋体" w:cs="宋体"/>
                <w:b/>
                <w:color w:val="auto"/>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noWrap/>
            <w:vAlign w:val="center"/>
          </w:tcPr>
          <w:p>
            <w:pPr>
              <w:spacing w:line="276" w:lineRule="auto"/>
              <w:jc w:val="center"/>
              <w:rPr>
                <w:rFonts w:ascii="宋体" w:hAnsi="宋体"/>
                <w:b/>
                <w:bCs/>
                <w:color w:val="auto"/>
                <w:szCs w:val="21"/>
                <w:lang w:val="zh-CN"/>
              </w:rPr>
            </w:pPr>
          </w:p>
        </w:tc>
        <w:tc>
          <w:tcPr>
            <w:tcW w:w="5929" w:type="dxa"/>
            <w:noWrap/>
            <w:vAlign w:val="center"/>
          </w:tcPr>
          <w:p>
            <w:pPr>
              <w:spacing w:line="276" w:lineRule="auto"/>
              <w:rPr>
                <w:rFonts w:ascii="宋体" w:hAnsi="宋体"/>
                <w:b/>
                <w:color w:val="auto"/>
                <w:szCs w:val="21"/>
              </w:rPr>
            </w:pPr>
            <w:r>
              <w:rPr>
                <w:rFonts w:hint="eastAsia"/>
                <w:b/>
                <w:color w:val="auto"/>
                <w:spacing w:val="-13"/>
                <w:szCs w:val="21"/>
              </w:rPr>
              <w:t>分支机构与上门服务</w:t>
            </w:r>
            <w:r>
              <w:rPr>
                <w:rFonts w:hint="eastAsia" w:ascii="宋体" w:hAnsi="宋体"/>
                <w:b/>
                <w:color w:val="auto"/>
                <w:szCs w:val="21"/>
              </w:rPr>
              <w:t>：</w:t>
            </w:r>
            <w:r>
              <w:rPr>
                <w:rFonts w:hint="eastAsia" w:ascii="宋体" w:hAnsi="宋体" w:cs="宋体"/>
                <w:b/>
                <w:iCs/>
                <w:color w:val="auto"/>
                <w:kern w:val="0"/>
                <w:szCs w:val="21"/>
              </w:rPr>
              <w:t>（要求详见《评标细则》）</w:t>
            </w:r>
          </w:p>
        </w:tc>
        <w:tc>
          <w:tcPr>
            <w:tcW w:w="2437" w:type="dxa"/>
            <w:noWrap/>
            <w:vAlign w:val="center"/>
          </w:tcPr>
          <w:p>
            <w:pPr>
              <w:spacing w:line="276" w:lineRule="auto"/>
              <w:ind w:firstLine="211" w:firstLineChars="100"/>
              <w:rPr>
                <w:rFonts w:ascii="宋体" w:hAnsi="宋体" w:cs="宋体"/>
                <w:b/>
                <w:color w:val="auto"/>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noWrap/>
            <w:vAlign w:val="center"/>
          </w:tcPr>
          <w:p>
            <w:pPr>
              <w:spacing w:line="276" w:lineRule="auto"/>
              <w:jc w:val="center"/>
              <w:rPr>
                <w:rFonts w:ascii="宋体" w:hAnsi="宋体"/>
                <w:b/>
                <w:bCs/>
                <w:color w:val="auto"/>
                <w:szCs w:val="21"/>
              </w:rPr>
            </w:pPr>
          </w:p>
        </w:tc>
        <w:tc>
          <w:tcPr>
            <w:tcW w:w="5929" w:type="dxa"/>
            <w:noWrap/>
            <w:vAlign w:val="center"/>
          </w:tcPr>
          <w:p>
            <w:pPr>
              <w:spacing w:line="276" w:lineRule="auto"/>
              <w:jc w:val="left"/>
              <w:rPr>
                <w:rFonts w:ascii="宋体" w:hAnsi="宋体"/>
                <w:b/>
                <w:color w:val="auto"/>
                <w:szCs w:val="21"/>
              </w:rPr>
            </w:pPr>
            <w:r>
              <w:rPr>
                <w:rFonts w:hint="eastAsia" w:ascii="宋体" w:hAnsi="宋体"/>
                <w:b/>
                <w:color w:val="auto"/>
                <w:szCs w:val="21"/>
              </w:rPr>
              <w:t>费用减免及服务承诺：</w:t>
            </w:r>
            <w:r>
              <w:rPr>
                <w:rFonts w:hint="eastAsia" w:ascii="宋体" w:hAnsi="宋体" w:cs="宋体"/>
                <w:b/>
                <w:iCs/>
                <w:color w:val="auto"/>
                <w:kern w:val="0"/>
                <w:szCs w:val="21"/>
              </w:rPr>
              <w:t>（要求详见《评标细则》）</w:t>
            </w:r>
          </w:p>
        </w:tc>
        <w:tc>
          <w:tcPr>
            <w:tcW w:w="2437" w:type="dxa"/>
            <w:noWrap/>
            <w:vAlign w:val="center"/>
          </w:tcPr>
          <w:p>
            <w:pPr>
              <w:spacing w:line="276" w:lineRule="auto"/>
              <w:ind w:firstLine="211" w:firstLineChars="100"/>
              <w:rPr>
                <w:rFonts w:ascii="宋体" w:hAnsi="宋体" w:cs="宋体"/>
                <w:b/>
                <w:color w:val="auto"/>
                <w:szCs w:val="21"/>
                <w:u w:val="single"/>
              </w:rPr>
            </w:pPr>
          </w:p>
        </w:tc>
      </w:tr>
    </w:tbl>
    <w:p>
      <w:pPr>
        <w:spacing w:line="320" w:lineRule="exact"/>
        <w:rPr>
          <w:rFonts w:ascii="宋体" w:hAnsi="宋体"/>
          <w:color w:val="auto"/>
          <w:szCs w:val="21"/>
        </w:rPr>
      </w:pPr>
      <w:r>
        <w:rPr>
          <w:rFonts w:hint="eastAsia" w:ascii="宋体" w:hAnsi="宋体"/>
          <w:b/>
          <w:color w:val="auto"/>
          <w:szCs w:val="21"/>
        </w:rPr>
        <w:t>说明：除招标文件已明确不需要相关证明资料外，本表后需附以上相关评审的资料或文件供评标委员会评审。</w:t>
      </w:r>
    </w:p>
    <w:p>
      <w:pPr>
        <w:spacing w:line="320" w:lineRule="exact"/>
        <w:rPr>
          <w:rFonts w:ascii="宋体" w:hAnsi="宋体"/>
          <w:color w:val="auto"/>
          <w:szCs w:val="21"/>
        </w:rPr>
      </w:pPr>
    </w:p>
    <w:p>
      <w:pPr>
        <w:spacing w:line="320" w:lineRule="exact"/>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w:t>
      </w:r>
      <w:r>
        <w:rPr>
          <w:rFonts w:ascii="宋体" w:hAnsi="宋体"/>
          <w:color w:val="auto"/>
          <w:szCs w:val="21"/>
        </w:rPr>
        <w:t>（盖</w:t>
      </w:r>
      <w:r>
        <w:rPr>
          <w:rFonts w:hint="eastAsia" w:ascii="宋体" w:hAnsi="宋体"/>
          <w:color w:val="auto"/>
          <w:szCs w:val="21"/>
        </w:rPr>
        <w:t>公</w:t>
      </w:r>
      <w:r>
        <w:rPr>
          <w:rFonts w:ascii="宋体" w:hAnsi="宋体"/>
          <w:color w:val="auto"/>
          <w:szCs w:val="21"/>
        </w:rPr>
        <w:t>章）</w:t>
      </w:r>
    </w:p>
    <w:p>
      <w:pPr>
        <w:spacing w:line="320" w:lineRule="exact"/>
        <w:rPr>
          <w:rFonts w:ascii="宋体" w:hAnsi="宋体"/>
          <w:color w:val="auto"/>
          <w:szCs w:val="21"/>
          <w:u w:val="single"/>
        </w:rPr>
      </w:pPr>
      <w:r>
        <w:rPr>
          <w:rFonts w:ascii="宋体" w:hAnsi="宋体"/>
          <w:color w:val="auto"/>
          <w:szCs w:val="21"/>
        </w:rPr>
        <w:t>法定代表人</w:t>
      </w:r>
      <w:r>
        <w:rPr>
          <w:rFonts w:hint="eastAsia" w:ascii="宋体" w:hAnsi="宋体"/>
          <w:color w:val="auto"/>
          <w:szCs w:val="21"/>
        </w:rPr>
        <w:t>（或单位负责人）</w:t>
      </w:r>
      <w:r>
        <w:rPr>
          <w:rFonts w:ascii="宋体" w:hAnsi="宋体"/>
          <w:color w:val="auto"/>
          <w:szCs w:val="21"/>
        </w:rPr>
        <w:t>或</w:t>
      </w:r>
      <w:r>
        <w:rPr>
          <w:rFonts w:hint="eastAsia" w:ascii="宋体" w:hAnsi="宋体"/>
          <w:color w:val="auto"/>
          <w:szCs w:val="21"/>
        </w:rPr>
        <w:t>其</w:t>
      </w:r>
      <w:r>
        <w:rPr>
          <w:rFonts w:ascii="宋体" w:hAnsi="宋体"/>
          <w:color w:val="auto"/>
          <w:szCs w:val="21"/>
        </w:rPr>
        <w:t>授权代理人</w:t>
      </w:r>
      <w:r>
        <w:rPr>
          <w:rFonts w:ascii="宋体" w:hAnsi="宋体"/>
          <w:color w:val="auto"/>
          <w:szCs w:val="21"/>
          <w:u w:val="single"/>
        </w:rPr>
        <w:t xml:space="preserve">               </w:t>
      </w:r>
      <w:r>
        <w:rPr>
          <w:rFonts w:ascii="宋体" w:hAnsi="宋体"/>
          <w:color w:val="auto"/>
          <w:szCs w:val="21"/>
        </w:rPr>
        <w:t>（签字</w:t>
      </w:r>
      <w:r>
        <w:rPr>
          <w:rFonts w:hint="eastAsia" w:ascii="宋体" w:hAnsi="宋体"/>
          <w:color w:val="auto"/>
          <w:szCs w:val="21"/>
        </w:rPr>
        <w:t>或盖章</w:t>
      </w:r>
      <w:r>
        <w:rPr>
          <w:rFonts w:ascii="宋体" w:hAnsi="宋体"/>
          <w:color w:val="auto"/>
          <w:szCs w:val="21"/>
        </w:rPr>
        <w:t>）</w:t>
      </w:r>
    </w:p>
    <w:p>
      <w:pPr>
        <w:jc w:val="left"/>
        <w:rPr>
          <w:rFonts w:ascii="宋体" w:hAnsi="宋体"/>
          <w:color w:val="auto"/>
          <w:szCs w:val="21"/>
        </w:rPr>
      </w:pPr>
      <w:r>
        <w:rPr>
          <w:rFonts w:ascii="宋体" w:hAnsi="宋体"/>
          <w:color w:val="auto"/>
          <w:szCs w:val="21"/>
        </w:rPr>
        <w:t>日</w:t>
      </w:r>
      <w:r>
        <w:rPr>
          <w:rFonts w:hint="eastAsia" w:ascii="宋体" w:hAnsi="宋体"/>
          <w:color w:val="auto"/>
          <w:szCs w:val="21"/>
        </w:rPr>
        <w:t xml:space="preserve">  </w:t>
      </w:r>
      <w:r>
        <w:rPr>
          <w:rFonts w:ascii="宋体" w:hAnsi="宋体"/>
          <w:color w:val="auto"/>
          <w:szCs w:val="21"/>
        </w:rPr>
        <w:t>期：    年    月    日</w:t>
      </w:r>
    </w:p>
    <w:p>
      <w:pPr>
        <w:jc w:val="left"/>
        <w:rPr>
          <w:rFonts w:ascii="宋体" w:hAnsi="宋体"/>
          <w:color w:val="auto"/>
          <w:szCs w:val="21"/>
        </w:rPr>
      </w:pPr>
    </w:p>
    <w:p>
      <w:pPr>
        <w:pStyle w:val="12"/>
        <w:rPr>
          <w:rFonts w:ascii="宋体" w:hAnsi="宋体"/>
          <w:color w:val="auto"/>
          <w:szCs w:val="21"/>
        </w:rPr>
      </w:pPr>
    </w:p>
    <w:p>
      <w:pPr>
        <w:widowControl/>
        <w:jc w:val="left"/>
        <w:rPr>
          <w:rFonts w:ascii="宋体" w:hAnsi="宋体"/>
          <w:color w:val="auto"/>
          <w:szCs w:val="21"/>
        </w:rPr>
      </w:pPr>
      <w:r>
        <w:rPr>
          <w:rFonts w:ascii="宋体" w:hAnsi="宋体"/>
          <w:color w:val="auto"/>
        </w:rPr>
        <w:br w:type="page"/>
      </w:r>
    </w:p>
    <w:p>
      <w:pPr>
        <w:jc w:val="left"/>
        <w:rPr>
          <w:rFonts w:ascii="宋体" w:hAnsi="宋体"/>
          <w:color w:val="auto"/>
          <w:szCs w:val="21"/>
        </w:rPr>
      </w:pPr>
    </w:p>
    <w:p>
      <w:pPr>
        <w:jc w:val="left"/>
        <w:outlineLvl w:val="1"/>
        <w:rPr>
          <w:rFonts w:ascii="宋体" w:hAnsi="宋体"/>
          <w:b/>
          <w:color w:val="auto"/>
          <w:szCs w:val="21"/>
        </w:rPr>
      </w:pPr>
      <w:bookmarkStart w:id="91" w:name="_Toc182932819"/>
      <w:r>
        <w:rPr>
          <w:rFonts w:hint="eastAsia" w:ascii="宋体" w:hAnsi="宋体"/>
          <w:color w:val="auto"/>
          <w:szCs w:val="21"/>
        </w:rPr>
        <w:t>附件九</w:t>
      </w:r>
      <w:bookmarkEnd w:id="91"/>
    </w:p>
    <w:p>
      <w:pPr>
        <w:spacing w:line="480" w:lineRule="auto"/>
        <w:jc w:val="left"/>
        <w:rPr>
          <w:rFonts w:ascii="宋体" w:hAnsi="宋体"/>
          <w:b/>
          <w:color w:val="auto"/>
          <w:sz w:val="18"/>
          <w:szCs w:val="18"/>
        </w:rPr>
      </w:pPr>
    </w:p>
    <w:p>
      <w:pPr>
        <w:spacing w:line="480" w:lineRule="auto"/>
        <w:jc w:val="center"/>
        <w:rPr>
          <w:rFonts w:ascii="宋体" w:hAnsi="宋体"/>
          <w:b/>
          <w:color w:val="auto"/>
          <w:szCs w:val="21"/>
        </w:rPr>
      </w:pPr>
      <w:r>
        <w:rPr>
          <w:rFonts w:hint="eastAsia" w:ascii="宋体" w:hAnsi="宋体"/>
          <w:b/>
          <w:color w:val="auto"/>
          <w:szCs w:val="21"/>
        </w:rPr>
        <w:t>廉政承诺书</w:t>
      </w:r>
    </w:p>
    <w:p>
      <w:pPr>
        <w:jc w:val="center"/>
        <w:rPr>
          <w:rFonts w:ascii="宋体" w:hAnsi="宋体"/>
          <w:color w:val="auto"/>
          <w:szCs w:val="21"/>
        </w:rPr>
      </w:pPr>
    </w:p>
    <w:p>
      <w:pPr>
        <w:spacing w:line="360" w:lineRule="auto"/>
        <w:rPr>
          <w:rFonts w:ascii="宋体" w:hAnsi="宋体"/>
          <w:color w:val="auto"/>
          <w:szCs w:val="21"/>
        </w:rPr>
      </w:pPr>
      <w:r>
        <w:rPr>
          <w:rFonts w:hint="eastAsia" w:ascii="宋体" w:hAnsi="宋体"/>
          <w:b/>
          <w:bCs/>
          <w:color w:val="auto"/>
          <w:szCs w:val="21"/>
          <w:u w:val="single"/>
        </w:rPr>
        <w:t xml:space="preserve">       （招标人）  ：</w:t>
      </w:r>
    </w:p>
    <w:p>
      <w:pPr>
        <w:spacing w:line="360" w:lineRule="auto"/>
        <w:ind w:right="482" w:firstLine="420" w:firstLineChars="200"/>
        <w:jc w:val="left"/>
        <w:rPr>
          <w:rFonts w:ascii="宋体" w:hAnsi="宋体"/>
          <w:color w:val="auto"/>
          <w:szCs w:val="21"/>
        </w:rPr>
      </w:pPr>
    </w:p>
    <w:p>
      <w:pPr>
        <w:spacing w:line="360" w:lineRule="auto"/>
        <w:ind w:right="482" w:firstLine="420" w:firstLineChars="200"/>
        <w:jc w:val="left"/>
        <w:rPr>
          <w:rFonts w:ascii="宋体" w:hAnsi="宋体"/>
          <w:color w:val="auto"/>
          <w:szCs w:val="21"/>
        </w:rPr>
      </w:pPr>
      <w:r>
        <w:rPr>
          <w:rFonts w:hint="eastAsia" w:ascii="宋体" w:hAnsi="宋体"/>
          <w:color w:val="auto"/>
          <w:szCs w:val="21"/>
        </w:rPr>
        <w:t>根据仑政办【2019】90号《北仑区(开发区)区级预算单位银行账户和公款存放管理暂行办法的通知》规定等相关规定，现就本行参加贵单位</w:t>
      </w:r>
      <w:r>
        <w:rPr>
          <w:rFonts w:hint="eastAsia" w:ascii="宋体" w:hAnsi="宋体"/>
          <w:color w:val="auto"/>
          <w:szCs w:val="21"/>
          <w:u w:val="single"/>
        </w:rPr>
        <w:t>北京大学宁波海洋药物研究院基本存款账户项目</w:t>
      </w:r>
      <w:r>
        <w:rPr>
          <w:rFonts w:hint="eastAsia" w:ascii="宋体" w:hAnsi="宋体"/>
          <w:color w:val="auto"/>
          <w:szCs w:val="21"/>
        </w:rPr>
        <w:t>投标作出如下承诺：</w:t>
      </w:r>
    </w:p>
    <w:p>
      <w:pPr>
        <w:spacing w:line="360" w:lineRule="auto"/>
        <w:ind w:right="482" w:firstLine="420" w:firstLineChars="200"/>
        <w:jc w:val="left"/>
        <w:rPr>
          <w:rFonts w:ascii="宋体" w:hAnsi="宋体"/>
          <w:color w:val="auto"/>
          <w:szCs w:val="21"/>
        </w:rPr>
      </w:pPr>
      <w:r>
        <w:rPr>
          <w:rFonts w:hint="eastAsia" w:ascii="宋体" w:hAnsi="宋体"/>
          <w:color w:val="auto"/>
          <w:szCs w:val="21"/>
        </w:rPr>
        <w:t>1.不向贵单位负责资金存放管理的领导及相关人员进行利益输送；</w:t>
      </w:r>
    </w:p>
    <w:p>
      <w:pPr>
        <w:spacing w:line="360" w:lineRule="auto"/>
        <w:ind w:right="482" w:firstLine="420" w:firstLineChars="200"/>
        <w:jc w:val="left"/>
        <w:rPr>
          <w:rFonts w:ascii="宋体" w:hAnsi="宋体"/>
          <w:color w:val="auto"/>
          <w:szCs w:val="21"/>
        </w:rPr>
      </w:pPr>
      <w:r>
        <w:rPr>
          <w:rFonts w:hint="eastAsia" w:ascii="宋体" w:hAnsi="宋体"/>
          <w:color w:val="auto"/>
          <w:szCs w:val="21"/>
        </w:rPr>
        <w:t>2.不将公款存放与贵单位负责资金存放管理的领导及相关人员在本行的配偶、子女及其配偶和其他直接利益相关人员的业绩、收入、晋升等利益挂钩；</w:t>
      </w:r>
    </w:p>
    <w:p>
      <w:pPr>
        <w:spacing w:line="360" w:lineRule="auto"/>
        <w:ind w:right="482" w:firstLine="420" w:firstLineChars="200"/>
        <w:jc w:val="left"/>
        <w:rPr>
          <w:rFonts w:ascii="宋体" w:hAnsi="宋体"/>
          <w:color w:val="auto"/>
          <w:szCs w:val="21"/>
        </w:rPr>
      </w:pPr>
      <w:r>
        <w:rPr>
          <w:rFonts w:hint="eastAsia" w:ascii="宋体" w:hAnsi="宋体"/>
          <w:color w:val="auto"/>
          <w:szCs w:val="21"/>
        </w:rPr>
        <w:t>3. 严格执行利益回避制度，贵单位负责公款存放相关人员的配偶、子女及其配偶和其他直接利益相关人员为本行工作人员的，不参与公款存放招投标工作；</w:t>
      </w:r>
    </w:p>
    <w:p>
      <w:pPr>
        <w:spacing w:line="360" w:lineRule="auto"/>
        <w:ind w:right="482" w:firstLine="420" w:firstLineChars="200"/>
        <w:jc w:val="left"/>
        <w:rPr>
          <w:rFonts w:ascii="宋体" w:hAnsi="宋体"/>
          <w:color w:val="auto"/>
          <w:szCs w:val="21"/>
        </w:rPr>
      </w:pPr>
      <w:r>
        <w:rPr>
          <w:rFonts w:hint="eastAsia" w:ascii="宋体" w:hAnsi="宋体"/>
          <w:color w:val="auto"/>
          <w:szCs w:val="21"/>
        </w:rPr>
        <w:t>4.不发生除上述行为之外的其他任何利益输送行为。</w:t>
      </w:r>
    </w:p>
    <w:p>
      <w:pPr>
        <w:spacing w:line="360" w:lineRule="auto"/>
        <w:ind w:right="482" w:firstLine="420" w:firstLineChars="200"/>
        <w:jc w:val="left"/>
        <w:rPr>
          <w:rFonts w:ascii="宋体" w:hAnsi="宋体"/>
          <w:color w:val="auto"/>
          <w:szCs w:val="21"/>
        </w:rPr>
      </w:pPr>
      <w:r>
        <w:rPr>
          <w:rFonts w:hint="eastAsia" w:ascii="宋体" w:hAnsi="宋体"/>
          <w:color w:val="auto"/>
          <w:szCs w:val="21"/>
        </w:rPr>
        <w:t>未遵守以上承诺的，本行自愿接受相关部门通报和处理，承担相应的一切后果。</w:t>
      </w:r>
    </w:p>
    <w:p>
      <w:pPr>
        <w:spacing w:line="360" w:lineRule="auto"/>
        <w:ind w:right="482" w:firstLine="420" w:firstLineChars="200"/>
        <w:jc w:val="left"/>
        <w:rPr>
          <w:rFonts w:ascii="宋体" w:hAnsi="宋体"/>
          <w:color w:val="auto"/>
          <w:szCs w:val="21"/>
        </w:rPr>
      </w:pPr>
      <w:r>
        <w:rPr>
          <w:rFonts w:hint="eastAsia" w:ascii="宋体" w:hAnsi="宋体"/>
          <w:color w:val="auto"/>
          <w:szCs w:val="21"/>
        </w:rPr>
        <w:t>特此承诺</w:t>
      </w:r>
    </w:p>
    <w:p>
      <w:pPr>
        <w:spacing w:line="360" w:lineRule="auto"/>
        <w:rPr>
          <w:rFonts w:ascii="宋体" w:hAnsi="宋体"/>
          <w:color w:val="auto"/>
          <w:szCs w:val="21"/>
        </w:rPr>
      </w:pPr>
      <w:r>
        <w:rPr>
          <w:rFonts w:hint="eastAsia" w:ascii="宋体" w:hAnsi="宋体"/>
          <w:color w:val="auto"/>
          <w:szCs w:val="21"/>
        </w:rPr>
        <w:t xml:space="preserve">                                       </w:t>
      </w:r>
    </w:p>
    <w:p>
      <w:pPr>
        <w:spacing w:line="360" w:lineRule="auto"/>
        <w:rPr>
          <w:rFonts w:ascii="宋体" w:hAnsi="宋体"/>
          <w:color w:val="auto"/>
          <w:szCs w:val="21"/>
        </w:rPr>
      </w:pPr>
    </w:p>
    <w:p>
      <w:pPr>
        <w:spacing w:line="360" w:lineRule="auto"/>
        <w:ind w:firstLine="5460" w:firstLineChars="2600"/>
        <w:rPr>
          <w:rFonts w:ascii="宋体" w:hAnsi="宋体"/>
          <w:color w:val="auto"/>
          <w:szCs w:val="21"/>
        </w:rPr>
      </w:pPr>
      <w:r>
        <w:rPr>
          <w:rFonts w:hint="eastAsia" w:ascii="宋体" w:hAnsi="宋体"/>
          <w:color w:val="auto"/>
          <w:szCs w:val="21"/>
        </w:rPr>
        <w:t>投标人（公章）</w:t>
      </w:r>
    </w:p>
    <w:p>
      <w:pPr>
        <w:spacing w:line="360" w:lineRule="auto"/>
        <w:jc w:val="center"/>
        <w:rPr>
          <w:rFonts w:ascii="宋体" w:hAnsi="宋体"/>
          <w:color w:val="auto"/>
          <w:szCs w:val="21"/>
        </w:rPr>
      </w:pPr>
      <w:r>
        <w:rPr>
          <w:rFonts w:hint="eastAsia" w:ascii="宋体" w:hAnsi="宋体"/>
          <w:color w:val="auto"/>
          <w:szCs w:val="21"/>
        </w:rPr>
        <w:t xml:space="preserve">                         年   月   日</w:t>
      </w:r>
    </w:p>
    <w:p>
      <w:pPr>
        <w:spacing w:line="360" w:lineRule="auto"/>
        <w:rPr>
          <w:rFonts w:ascii="宋体" w:hAnsi="宋体"/>
          <w:color w:val="auto"/>
          <w:szCs w:val="21"/>
        </w:rPr>
      </w:pPr>
    </w:p>
    <w:p>
      <w:pPr>
        <w:spacing w:line="360" w:lineRule="auto"/>
        <w:jc w:val="center"/>
        <w:rPr>
          <w:rFonts w:ascii="宋体" w:hAnsi="宋体"/>
          <w:b/>
          <w:color w:val="auto"/>
          <w:szCs w:val="21"/>
        </w:rPr>
      </w:pPr>
    </w:p>
    <w:p>
      <w:pPr>
        <w:spacing w:line="360" w:lineRule="auto"/>
        <w:jc w:val="left"/>
        <w:outlineLvl w:val="1"/>
        <w:rPr>
          <w:rFonts w:ascii="宋体" w:hAnsi="宋体"/>
          <w:b/>
          <w:color w:val="auto"/>
          <w:szCs w:val="21"/>
        </w:rPr>
      </w:pPr>
      <w:r>
        <w:rPr>
          <w:rFonts w:ascii="宋体" w:hAnsi="宋体"/>
          <w:b/>
          <w:color w:val="auto"/>
          <w:szCs w:val="21"/>
        </w:rPr>
        <w:br w:type="page"/>
      </w:r>
      <w:bookmarkStart w:id="92" w:name="_Toc182932820"/>
      <w:r>
        <w:rPr>
          <w:rFonts w:hint="eastAsia" w:ascii="宋体" w:hAnsi="宋体"/>
          <w:color w:val="auto"/>
          <w:szCs w:val="21"/>
        </w:rPr>
        <w:t>附件十</w:t>
      </w:r>
      <w:bookmarkEnd w:id="92"/>
    </w:p>
    <w:p>
      <w:pPr>
        <w:jc w:val="left"/>
        <w:rPr>
          <w:rFonts w:ascii="宋体" w:hAnsi="宋体"/>
          <w:b/>
          <w:color w:val="auto"/>
          <w:szCs w:val="21"/>
        </w:rPr>
      </w:pPr>
    </w:p>
    <w:p>
      <w:pPr>
        <w:jc w:val="center"/>
        <w:rPr>
          <w:rFonts w:ascii="宋体" w:hAnsi="宋体"/>
          <w:b/>
          <w:color w:val="auto"/>
          <w:szCs w:val="21"/>
        </w:rPr>
      </w:pPr>
      <w:r>
        <w:rPr>
          <w:rFonts w:hint="eastAsia" w:ascii="宋体" w:hAnsi="宋体"/>
          <w:b/>
          <w:color w:val="auto"/>
          <w:szCs w:val="21"/>
        </w:rPr>
        <w:t>费用减免及服务承诺书</w:t>
      </w:r>
    </w:p>
    <w:p>
      <w:pPr>
        <w:spacing w:line="360" w:lineRule="auto"/>
        <w:ind w:right="480"/>
        <w:jc w:val="left"/>
        <w:rPr>
          <w:rFonts w:ascii="宋体" w:hAnsi="宋体"/>
          <w:color w:val="auto"/>
          <w:szCs w:val="21"/>
        </w:rPr>
      </w:pPr>
    </w:p>
    <w:p>
      <w:pPr>
        <w:spacing w:line="360" w:lineRule="auto"/>
        <w:rPr>
          <w:rFonts w:ascii="宋体" w:hAnsi="宋体"/>
          <w:color w:val="auto"/>
          <w:szCs w:val="21"/>
        </w:rPr>
      </w:pPr>
      <w:r>
        <w:rPr>
          <w:rFonts w:hint="eastAsia" w:ascii="宋体" w:hAnsi="宋体"/>
          <w:b/>
          <w:bCs/>
          <w:color w:val="auto"/>
          <w:szCs w:val="21"/>
          <w:u w:val="single"/>
        </w:rPr>
        <w:t xml:space="preserve">       （招标人）  ：</w:t>
      </w:r>
    </w:p>
    <w:p>
      <w:pPr>
        <w:spacing w:line="480" w:lineRule="auto"/>
        <w:ind w:right="482" w:firstLine="420" w:firstLineChars="200"/>
        <w:jc w:val="left"/>
        <w:rPr>
          <w:rFonts w:ascii="宋体" w:hAnsi="宋体"/>
          <w:color w:val="auto"/>
          <w:szCs w:val="21"/>
        </w:rPr>
      </w:pPr>
      <w:r>
        <w:rPr>
          <w:rFonts w:hint="eastAsia" w:ascii="宋体" w:hAnsi="宋体"/>
          <w:color w:val="auto"/>
          <w:szCs w:val="21"/>
        </w:rPr>
        <w:t>我行已参加</w:t>
      </w:r>
      <w:r>
        <w:rPr>
          <w:rFonts w:hint="eastAsia" w:ascii="宋体" w:hAnsi="宋体"/>
          <w:color w:val="auto"/>
          <w:kern w:val="0"/>
          <w:szCs w:val="21"/>
          <w:u w:val="single"/>
        </w:rPr>
        <w:t>北京大学宁波海洋药物研究院基本存款账户项目</w:t>
      </w:r>
      <w:r>
        <w:rPr>
          <w:rFonts w:hint="eastAsia" w:ascii="宋体" w:hAnsi="宋体"/>
          <w:color w:val="auto"/>
          <w:szCs w:val="21"/>
        </w:rPr>
        <w:t>的投标，在此承诺:</w:t>
      </w:r>
    </w:p>
    <w:p>
      <w:pPr>
        <w:spacing w:line="480" w:lineRule="auto"/>
        <w:ind w:right="482" w:firstLine="420" w:firstLineChars="200"/>
        <w:jc w:val="left"/>
        <w:rPr>
          <w:rFonts w:ascii="宋体" w:hAnsi="宋体"/>
          <w:color w:val="auto"/>
          <w:szCs w:val="21"/>
        </w:rPr>
      </w:pPr>
      <w:r>
        <w:rPr>
          <w:rFonts w:hint="eastAsia" w:ascii="宋体" w:hAnsi="宋体"/>
          <w:color w:val="auto"/>
          <w:szCs w:val="21"/>
        </w:rPr>
        <w:t>我行承诺本项目账户开户费、账户管理费、支票工本费、支票手续费、网银年费、送回单（对账单）和票据打印、对公跨行柜台转帐汇款手续费等所有服务费用全免，并根据招标人要求在工作日(法定节假日除外)免费提供上门服务。</w:t>
      </w:r>
    </w:p>
    <w:p>
      <w:pPr>
        <w:spacing w:line="480" w:lineRule="auto"/>
        <w:ind w:right="482" w:firstLine="420" w:firstLineChars="200"/>
        <w:jc w:val="left"/>
        <w:rPr>
          <w:rFonts w:ascii="宋体" w:hAnsi="宋体"/>
          <w:color w:val="auto"/>
          <w:szCs w:val="21"/>
        </w:rPr>
      </w:pPr>
      <w:r>
        <w:rPr>
          <w:rFonts w:hint="eastAsia" w:ascii="宋体" w:hAnsi="宋体"/>
          <w:color w:val="auto"/>
          <w:szCs w:val="21"/>
        </w:rPr>
        <w:t>特此承诺！</w:t>
      </w:r>
    </w:p>
    <w:p>
      <w:pPr>
        <w:spacing w:line="480" w:lineRule="auto"/>
        <w:ind w:right="482" w:firstLine="480" w:firstLineChars="200"/>
        <w:jc w:val="left"/>
        <w:rPr>
          <w:rFonts w:ascii="宋体" w:hAnsi="宋体"/>
          <w:color w:val="auto"/>
          <w:sz w:val="24"/>
        </w:rPr>
      </w:pPr>
    </w:p>
    <w:p>
      <w:pPr>
        <w:spacing w:line="480" w:lineRule="auto"/>
        <w:ind w:right="482" w:firstLine="420" w:firstLineChars="200"/>
        <w:jc w:val="left"/>
        <w:rPr>
          <w:rFonts w:ascii="宋体" w:hAnsi="宋体"/>
          <w:color w:val="auto"/>
          <w:szCs w:val="21"/>
        </w:rPr>
      </w:pPr>
    </w:p>
    <w:p>
      <w:pPr>
        <w:spacing w:line="480" w:lineRule="auto"/>
        <w:ind w:right="482" w:firstLine="420" w:firstLineChars="200"/>
        <w:jc w:val="center"/>
        <w:rPr>
          <w:rFonts w:ascii="宋体" w:hAnsi="宋体"/>
          <w:color w:val="auto"/>
          <w:szCs w:val="21"/>
        </w:rPr>
      </w:pPr>
      <w:r>
        <w:rPr>
          <w:rFonts w:hint="eastAsia" w:ascii="宋体" w:hAnsi="宋体"/>
          <w:color w:val="auto"/>
          <w:szCs w:val="21"/>
        </w:rPr>
        <w:t xml:space="preserve">                              投标人(盖公章) :</w:t>
      </w:r>
    </w:p>
    <w:p>
      <w:pPr>
        <w:spacing w:line="480" w:lineRule="auto"/>
        <w:ind w:right="482" w:firstLine="420" w:firstLineChars="200"/>
        <w:jc w:val="left"/>
        <w:rPr>
          <w:rFonts w:ascii="宋体" w:hAnsi="宋体"/>
          <w:color w:val="auto"/>
          <w:szCs w:val="21"/>
        </w:rPr>
      </w:pPr>
      <w:r>
        <w:rPr>
          <w:rFonts w:hint="eastAsia" w:ascii="宋体" w:hAnsi="宋体"/>
          <w:color w:val="auto"/>
          <w:szCs w:val="21"/>
        </w:rPr>
        <w:t xml:space="preserve">                                               日期:   年   月    日</w:t>
      </w:r>
    </w:p>
    <w:p>
      <w:pPr>
        <w:snapToGrid w:val="0"/>
        <w:spacing w:before="120" w:beforeLines="50" w:after="50"/>
        <w:rPr>
          <w:rFonts w:ascii="宋体" w:hAnsi="宋体"/>
          <w:color w:val="auto"/>
        </w:rPr>
      </w:pPr>
    </w:p>
    <w:sectPr>
      <w:footerReference r:id="rId6" w:type="default"/>
      <w:pgSz w:w="11906" w:h="16838"/>
      <w:pgMar w:top="1247" w:right="1287" w:bottom="1247" w:left="1287"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微软雅黑 Light">
    <w:altName w:val="黑体"/>
    <w:panose1 w:val="00000000000000000000"/>
    <w:charset w:val="86"/>
    <w:family w:val="swiss"/>
    <w:pitch w:val="default"/>
    <w:sig w:usb0="00000000" w:usb1="0000000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3"/>
      </w:rPr>
    </w:pPr>
    <w:r>
      <w:fldChar w:fldCharType="begin"/>
    </w:r>
    <w:r>
      <w:rPr>
        <w:rStyle w:val="23"/>
      </w:rPr>
      <w:instrText xml:space="preserve">PAGE  </w:instrText>
    </w:r>
    <w:r>
      <w:fldChar w:fldCharType="separate"/>
    </w:r>
    <w:r>
      <w:rPr>
        <w:rStyle w:val="23"/>
      </w:rPr>
      <w:t>29</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drawing>
        <wp:inline distT="0" distB="0" distL="114300" distR="114300">
          <wp:extent cx="1066800" cy="304800"/>
          <wp:effectExtent l="0" t="0" r="0" b="0"/>
          <wp:docPr id="1" name="图片 1" descr="fd8b1ef99032305b13bb4fdd11ebb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d8b1ef99032305b13bb4fdd11ebbd7"/>
                  <pic:cNvPicPr>
                    <a:picLocks noChangeAspect="1"/>
                  </pic:cNvPicPr>
                </pic:nvPicPr>
                <pic:blipFill>
                  <a:blip r:embed="rId1"/>
                  <a:stretch>
                    <a:fillRect/>
                  </a:stretch>
                </pic:blipFill>
                <pic:spPr>
                  <a:xfrm>
                    <a:off x="0" y="0"/>
                    <a:ext cx="1066800" cy="304800"/>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CF4C5"/>
    <w:multiLevelType w:val="singleLevel"/>
    <w:tmpl w:val="983CF4C5"/>
    <w:lvl w:ilvl="0" w:tentative="0">
      <w:start w:val="1"/>
      <w:numFmt w:val="decimal"/>
      <w:pStyle w:val="3"/>
      <w:lvlText w:val="%1."/>
      <w:lvlJc w:val="left"/>
      <w:pPr>
        <w:tabs>
          <w:tab w:val="left" w:pos="360"/>
        </w:tabs>
        <w:ind w:left="360" w:hanging="360"/>
      </w:pPr>
    </w:lvl>
  </w:abstractNum>
  <w:abstractNum w:abstractNumId="1">
    <w:nsid w:val="280DCB05"/>
    <w:multiLevelType w:val="singleLevel"/>
    <w:tmpl w:val="280DCB05"/>
    <w:lvl w:ilvl="0" w:tentative="0">
      <w:start w:val="1"/>
      <w:numFmt w:val="decimal"/>
      <w:suff w:val="nothing"/>
      <w:lvlText w:val="%1、"/>
      <w:lvlJc w:val="left"/>
    </w:lvl>
  </w:abstractNum>
  <w:abstractNum w:abstractNumId="2">
    <w:nsid w:val="5369D20B"/>
    <w:multiLevelType w:val="multilevel"/>
    <w:tmpl w:val="5369D20B"/>
    <w:lvl w:ilvl="0" w:tentative="0">
      <w:start w:val="1"/>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NDJmYTVmZWQ1YmZlMGZlMTdiNTk5OWVmYTMzMzgifQ=="/>
  </w:docVars>
  <w:rsids>
    <w:rsidRoot w:val="568B7C73"/>
    <w:rsid w:val="000A3169"/>
    <w:rsid w:val="000F50D8"/>
    <w:rsid w:val="001A0B5D"/>
    <w:rsid w:val="001B6F2A"/>
    <w:rsid w:val="001D2D47"/>
    <w:rsid w:val="00274073"/>
    <w:rsid w:val="002757E8"/>
    <w:rsid w:val="00283E5B"/>
    <w:rsid w:val="00284659"/>
    <w:rsid w:val="002A1F0C"/>
    <w:rsid w:val="002B4069"/>
    <w:rsid w:val="00347BA1"/>
    <w:rsid w:val="003C48B9"/>
    <w:rsid w:val="0043489F"/>
    <w:rsid w:val="004803D7"/>
    <w:rsid w:val="00494CC4"/>
    <w:rsid w:val="004A6DB0"/>
    <w:rsid w:val="00551746"/>
    <w:rsid w:val="00556A2C"/>
    <w:rsid w:val="005D27D3"/>
    <w:rsid w:val="005D62BC"/>
    <w:rsid w:val="00607E45"/>
    <w:rsid w:val="006857C8"/>
    <w:rsid w:val="006C6293"/>
    <w:rsid w:val="006D3C87"/>
    <w:rsid w:val="006E717C"/>
    <w:rsid w:val="006F7786"/>
    <w:rsid w:val="00780F3E"/>
    <w:rsid w:val="00781F44"/>
    <w:rsid w:val="007871A4"/>
    <w:rsid w:val="00844058"/>
    <w:rsid w:val="008B7739"/>
    <w:rsid w:val="00931565"/>
    <w:rsid w:val="009479F8"/>
    <w:rsid w:val="00965CB3"/>
    <w:rsid w:val="00994373"/>
    <w:rsid w:val="00A30BA9"/>
    <w:rsid w:val="00A924BB"/>
    <w:rsid w:val="00AF22BF"/>
    <w:rsid w:val="00B62C78"/>
    <w:rsid w:val="00BA0ABC"/>
    <w:rsid w:val="00BC3674"/>
    <w:rsid w:val="00BE11BE"/>
    <w:rsid w:val="00BE35D9"/>
    <w:rsid w:val="00CF2BED"/>
    <w:rsid w:val="00D039CB"/>
    <w:rsid w:val="00D20BB1"/>
    <w:rsid w:val="00D40727"/>
    <w:rsid w:val="00D70806"/>
    <w:rsid w:val="00DA3947"/>
    <w:rsid w:val="00DB2807"/>
    <w:rsid w:val="00DD239F"/>
    <w:rsid w:val="00E03FE6"/>
    <w:rsid w:val="00E14903"/>
    <w:rsid w:val="00E6092A"/>
    <w:rsid w:val="00E62359"/>
    <w:rsid w:val="00EB1340"/>
    <w:rsid w:val="00F23FC3"/>
    <w:rsid w:val="00F35FE1"/>
    <w:rsid w:val="00F767E5"/>
    <w:rsid w:val="00F76C77"/>
    <w:rsid w:val="00FB4AF1"/>
    <w:rsid w:val="00FB58FE"/>
    <w:rsid w:val="00FD6813"/>
    <w:rsid w:val="014409E2"/>
    <w:rsid w:val="01F56A42"/>
    <w:rsid w:val="02344A77"/>
    <w:rsid w:val="0366544C"/>
    <w:rsid w:val="04CF3E50"/>
    <w:rsid w:val="064159C9"/>
    <w:rsid w:val="06BE04D3"/>
    <w:rsid w:val="074402CA"/>
    <w:rsid w:val="07D17DB0"/>
    <w:rsid w:val="07F57DA3"/>
    <w:rsid w:val="08900C15"/>
    <w:rsid w:val="08B712D1"/>
    <w:rsid w:val="08F973D0"/>
    <w:rsid w:val="0998428D"/>
    <w:rsid w:val="0A0C2021"/>
    <w:rsid w:val="0AE11C6C"/>
    <w:rsid w:val="0B1251CC"/>
    <w:rsid w:val="0BF57AEF"/>
    <w:rsid w:val="0D6837D6"/>
    <w:rsid w:val="0E02167E"/>
    <w:rsid w:val="0F245D43"/>
    <w:rsid w:val="0F2E316F"/>
    <w:rsid w:val="0FC514C0"/>
    <w:rsid w:val="102675E2"/>
    <w:rsid w:val="114041F4"/>
    <w:rsid w:val="11CF2F93"/>
    <w:rsid w:val="14BE314E"/>
    <w:rsid w:val="14D2509A"/>
    <w:rsid w:val="156B7992"/>
    <w:rsid w:val="15D71B11"/>
    <w:rsid w:val="177A0430"/>
    <w:rsid w:val="19E51AE7"/>
    <w:rsid w:val="1B575361"/>
    <w:rsid w:val="1BB51F1A"/>
    <w:rsid w:val="1C143C64"/>
    <w:rsid w:val="1C2868C9"/>
    <w:rsid w:val="1DB51661"/>
    <w:rsid w:val="1DE85A82"/>
    <w:rsid w:val="1DF26FE9"/>
    <w:rsid w:val="1E3D4CD6"/>
    <w:rsid w:val="1EEF056D"/>
    <w:rsid w:val="1EF54758"/>
    <w:rsid w:val="1F0967D2"/>
    <w:rsid w:val="1FA860A3"/>
    <w:rsid w:val="200A7EAB"/>
    <w:rsid w:val="207B5AF8"/>
    <w:rsid w:val="20922C75"/>
    <w:rsid w:val="20B15D97"/>
    <w:rsid w:val="20DC474C"/>
    <w:rsid w:val="21183E6E"/>
    <w:rsid w:val="22E913A8"/>
    <w:rsid w:val="23613AB3"/>
    <w:rsid w:val="24350911"/>
    <w:rsid w:val="247D0A93"/>
    <w:rsid w:val="249D1DE6"/>
    <w:rsid w:val="24D549AA"/>
    <w:rsid w:val="25B21EE1"/>
    <w:rsid w:val="265A3CD2"/>
    <w:rsid w:val="266C12B6"/>
    <w:rsid w:val="26EF2CA9"/>
    <w:rsid w:val="274F0899"/>
    <w:rsid w:val="27B60E7F"/>
    <w:rsid w:val="281B73AE"/>
    <w:rsid w:val="281C55E9"/>
    <w:rsid w:val="28BA60A8"/>
    <w:rsid w:val="29750D0B"/>
    <w:rsid w:val="29763894"/>
    <w:rsid w:val="29B82BBF"/>
    <w:rsid w:val="29F83840"/>
    <w:rsid w:val="2A7A2976"/>
    <w:rsid w:val="2C605563"/>
    <w:rsid w:val="2D466849"/>
    <w:rsid w:val="2DF65EAF"/>
    <w:rsid w:val="2E69139F"/>
    <w:rsid w:val="2E9C2616"/>
    <w:rsid w:val="2FED0AA7"/>
    <w:rsid w:val="2FF56D91"/>
    <w:rsid w:val="307D0225"/>
    <w:rsid w:val="3228638A"/>
    <w:rsid w:val="333C7218"/>
    <w:rsid w:val="33FC3973"/>
    <w:rsid w:val="34140BA9"/>
    <w:rsid w:val="34FF3629"/>
    <w:rsid w:val="35AC4A8C"/>
    <w:rsid w:val="35BB44AD"/>
    <w:rsid w:val="3603547A"/>
    <w:rsid w:val="368A48FF"/>
    <w:rsid w:val="375B0C5C"/>
    <w:rsid w:val="377731CB"/>
    <w:rsid w:val="37927657"/>
    <w:rsid w:val="37C40EE8"/>
    <w:rsid w:val="37CE794F"/>
    <w:rsid w:val="38F70C4E"/>
    <w:rsid w:val="396571AC"/>
    <w:rsid w:val="39755017"/>
    <w:rsid w:val="39E0093D"/>
    <w:rsid w:val="3A29181D"/>
    <w:rsid w:val="3B3A2E66"/>
    <w:rsid w:val="3BAD3177"/>
    <w:rsid w:val="3C053695"/>
    <w:rsid w:val="3C721CE4"/>
    <w:rsid w:val="3E9F1C33"/>
    <w:rsid w:val="3F19281D"/>
    <w:rsid w:val="3F1F3BAE"/>
    <w:rsid w:val="40285B22"/>
    <w:rsid w:val="428C60A6"/>
    <w:rsid w:val="43100A85"/>
    <w:rsid w:val="431974D1"/>
    <w:rsid w:val="43673116"/>
    <w:rsid w:val="44246EDE"/>
    <w:rsid w:val="44C2651A"/>
    <w:rsid w:val="471060A7"/>
    <w:rsid w:val="471B301B"/>
    <w:rsid w:val="4757249F"/>
    <w:rsid w:val="490D44D3"/>
    <w:rsid w:val="49485F3D"/>
    <w:rsid w:val="495474DE"/>
    <w:rsid w:val="49CD147E"/>
    <w:rsid w:val="4A4379CB"/>
    <w:rsid w:val="4AF01C73"/>
    <w:rsid w:val="4B753473"/>
    <w:rsid w:val="4BEE392E"/>
    <w:rsid w:val="4C1E6799"/>
    <w:rsid w:val="4DCD4DD6"/>
    <w:rsid w:val="4E0F3932"/>
    <w:rsid w:val="4E2342E8"/>
    <w:rsid w:val="4E6727D6"/>
    <w:rsid w:val="4E7E5D18"/>
    <w:rsid w:val="4EE461F0"/>
    <w:rsid w:val="4F6D2AEE"/>
    <w:rsid w:val="512B6237"/>
    <w:rsid w:val="517B7B13"/>
    <w:rsid w:val="51D868D7"/>
    <w:rsid w:val="51EA5CD9"/>
    <w:rsid w:val="52876187"/>
    <w:rsid w:val="53414FD7"/>
    <w:rsid w:val="535E27AC"/>
    <w:rsid w:val="55325544"/>
    <w:rsid w:val="562F2C80"/>
    <w:rsid w:val="564027CB"/>
    <w:rsid w:val="568B7C73"/>
    <w:rsid w:val="56C70488"/>
    <w:rsid w:val="57611D6A"/>
    <w:rsid w:val="57C201CD"/>
    <w:rsid w:val="57E36D43"/>
    <w:rsid w:val="585C0455"/>
    <w:rsid w:val="58B352BF"/>
    <w:rsid w:val="58DF6089"/>
    <w:rsid w:val="5B664C00"/>
    <w:rsid w:val="5C1E0C09"/>
    <w:rsid w:val="5C335551"/>
    <w:rsid w:val="5DF27A14"/>
    <w:rsid w:val="5E2B20D9"/>
    <w:rsid w:val="5E397045"/>
    <w:rsid w:val="5EEB1782"/>
    <w:rsid w:val="5F8F5764"/>
    <w:rsid w:val="60A74EAC"/>
    <w:rsid w:val="60E2352D"/>
    <w:rsid w:val="614233ED"/>
    <w:rsid w:val="61EE3B4E"/>
    <w:rsid w:val="621F7BB1"/>
    <w:rsid w:val="62741176"/>
    <w:rsid w:val="63103D1A"/>
    <w:rsid w:val="63156AB2"/>
    <w:rsid w:val="6329002C"/>
    <w:rsid w:val="63716C8E"/>
    <w:rsid w:val="6410048D"/>
    <w:rsid w:val="642110E5"/>
    <w:rsid w:val="64302D2D"/>
    <w:rsid w:val="64A61F12"/>
    <w:rsid w:val="64F01AED"/>
    <w:rsid w:val="659F4206"/>
    <w:rsid w:val="6749721C"/>
    <w:rsid w:val="68622782"/>
    <w:rsid w:val="68CA776E"/>
    <w:rsid w:val="69065A01"/>
    <w:rsid w:val="69561437"/>
    <w:rsid w:val="69EB21FA"/>
    <w:rsid w:val="6A2A6322"/>
    <w:rsid w:val="6BE41159"/>
    <w:rsid w:val="6C2013D1"/>
    <w:rsid w:val="6C70234C"/>
    <w:rsid w:val="6C8829AE"/>
    <w:rsid w:val="6CEB16D2"/>
    <w:rsid w:val="6CFF1655"/>
    <w:rsid w:val="6E011F24"/>
    <w:rsid w:val="6EBC0352"/>
    <w:rsid w:val="6FAA3E8C"/>
    <w:rsid w:val="72CB421D"/>
    <w:rsid w:val="7327266F"/>
    <w:rsid w:val="73273B2E"/>
    <w:rsid w:val="74832D26"/>
    <w:rsid w:val="74A4312A"/>
    <w:rsid w:val="753056F5"/>
    <w:rsid w:val="774E08A7"/>
    <w:rsid w:val="78410003"/>
    <w:rsid w:val="78503E3B"/>
    <w:rsid w:val="78AB055A"/>
    <w:rsid w:val="79B53C37"/>
    <w:rsid w:val="79FF36E3"/>
    <w:rsid w:val="7A0F74C4"/>
    <w:rsid w:val="7ABD3043"/>
    <w:rsid w:val="7B1D6E53"/>
    <w:rsid w:val="7B293589"/>
    <w:rsid w:val="7B32667C"/>
    <w:rsid w:val="7B563BCB"/>
    <w:rsid w:val="7DF71F1B"/>
    <w:rsid w:val="7EA91AC4"/>
    <w:rsid w:val="7EB73ECF"/>
    <w:rsid w:val="7EED5E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annotation text"/>
    <w:basedOn w:val="1"/>
    <w:link w:val="38"/>
    <w:qFormat/>
    <w:uiPriority w:val="0"/>
    <w:pPr>
      <w:jc w:val="left"/>
    </w:pPr>
  </w:style>
  <w:style w:type="paragraph" w:styleId="5">
    <w:name w:val="Body Text"/>
    <w:basedOn w:val="1"/>
    <w:next w:val="1"/>
    <w:qFormat/>
    <w:uiPriority w:val="0"/>
    <w:pPr>
      <w:spacing w:after="120"/>
    </w:pPr>
    <w:rPr>
      <w:sz w:val="28"/>
    </w:rPr>
  </w:style>
  <w:style w:type="paragraph" w:styleId="6">
    <w:name w:val="Body Text Indent"/>
    <w:basedOn w:val="1"/>
    <w:qFormat/>
    <w:uiPriority w:val="0"/>
    <w:pPr>
      <w:spacing w:line="200" w:lineRule="exact"/>
      <w:ind w:firstLine="301"/>
    </w:pPr>
    <w:rPr>
      <w:rFonts w:ascii="宋体" w:hAnsi="Courier New"/>
      <w:spacing w:val="-4"/>
      <w:sz w:val="18"/>
    </w:rPr>
  </w:style>
  <w:style w:type="paragraph" w:styleId="7">
    <w:name w:val="toc 3"/>
    <w:basedOn w:val="1"/>
    <w:next w:val="1"/>
    <w:qFormat/>
    <w:uiPriority w:val="39"/>
    <w:pPr>
      <w:ind w:left="840" w:leftChars="400"/>
    </w:pPr>
  </w:style>
  <w:style w:type="paragraph" w:styleId="8">
    <w:name w:val="Plain Text"/>
    <w:basedOn w:val="1"/>
    <w:link w:val="40"/>
    <w:qFormat/>
    <w:uiPriority w:val="0"/>
    <w:pPr>
      <w:spacing w:beforeLines="50" w:afterLines="50" w:line="400" w:lineRule="exact"/>
    </w:pPr>
    <w:rPr>
      <w:rFonts w:ascii="宋体"/>
      <w:sz w:val="24"/>
    </w:rPr>
  </w:style>
  <w:style w:type="paragraph" w:styleId="9">
    <w:name w:val="Balloon Text"/>
    <w:basedOn w:val="1"/>
    <w:link w:val="37"/>
    <w:qFormat/>
    <w:uiPriority w:val="0"/>
    <w:rPr>
      <w:sz w:val="18"/>
      <w:szCs w:val="18"/>
    </w:rPr>
  </w:style>
  <w:style w:type="paragraph" w:styleId="10">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1">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annotation subject"/>
    <w:basedOn w:val="4"/>
    <w:next w:val="4"/>
    <w:link w:val="39"/>
    <w:qFormat/>
    <w:uiPriority w:val="0"/>
    <w:rPr>
      <w:b/>
      <w:bCs/>
    </w:rPr>
  </w:style>
  <w:style w:type="paragraph" w:styleId="18">
    <w:name w:val="Body Text First Indent 2"/>
    <w:basedOn w:val="6"/>
    <w:qFormat/>
    <w:uiPriority w:val="0"/>
    <w:pPr>
      <w:spacing w:line="240" w:lineRule="auto"/>
      <w:ind w:left="420" w:leftChars="200" w:firstLine="420" w:firstLineChars="200"/>
    </w:pPr>
    <w:rPr>
      <w:rFonts w:ascii="Times New Roman" w:hAnsi="Times New Roman"/>
      <w:spacing w:val="0"/>
      <w:sz w:val="21"/>
      <w:szCs w:val="24"/>
    </w:rPr>
  </w:style>
  <w:style w:type="table" w:styleId="20">
    <w:name w:val="Table Grid"/>
    <w:basedOn w:val="1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qFormat/>
    <w:uiPriority w:val="0"/>
    <w:rPr>
      <w:sz w:val="21"/>
      <w:szCs w:val="21"/>
    </w:rPr>
  </w:style>
  <w:style w:type="paragraph" w:customStyle="1" w:styleId="26">
    <w:name w:val="正文1"/>
    <w:basedOn w:val="1"/>
    <w:qFormat/>
    <w:uiPriority w:val="0"/>
    <w:pPr>
      <w:adjustRightInd w:val="0"/>
      <w:spacing w:line="318" w:lineRule="atLeast"/>
      <w:ind w:left="369" w:firstLine="369"/>
      <w:textAlignment w:val="baseline"/>
    </w:pPr>
    <w:rPr>
      <w:rFonts w:ascii="宋体"/>
    </w:rPr>
  </w:style>
  <w:style w:type="paragraph" w:customStyle="1" w:styleId="27">
    <w:name w:val="表格文字"/>
    <w:basedOn w:val="1"/>
    <w:next w:val="5"/>
    <w:qFormat/>
    <w:uiPriority w:val="0"/>
    <w:pPr>
      <w:adjustRightInd w:val="0"/>
      <w:spacing w:line="420" w:lineRule="atLeast"/>
      <w:textAlignment w:val="baseline"/>
    </w:pPr>
    <w:rPr>
      <w:szCs w:val="24"/>
    </w:rPr>
  </w:style>
  <w:style w:type="paragraph" w:customStyle="1" w:styleId="28">
    <w:name w:val="List Paragraph1"/>
    <w:basedOn w:val="1"/>
    <w:next w:val="29"/>
    <w:qFormat/>
    <w:uiPriority w:val="0"/>
    <w:pPr>
      <w:ind w:firstLine="200" w:firstLineChars="200"/>
    </w:pPr>
    <w:rPr>
      <w:rFonts w:ascii="Calibri" w:hAnsi="Calibri"/>
      <w:szCs w:val="22"/>
    </w:rPr>
  </w:style>
  <w:style w:type="paragraph" w:customStyle="1" w:styleId="29">
    <w:name w:val="xl8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rPr>
  </w:style>
  <w:style w:type="paragraph" w:customStyle="1" w:styleId="30">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31">
    <w:name w:val="正文2"/>
    <w:basedOn w:val="1"/>
    <w:qFormat/>
    <w:uiPriority w:val="0"/>
    <w:pPr>
      <w:ind w:firstLine="200" w:firstLineChars="200"/>
    </w:pPr>
    <w:rPr>
      <w:rFonts w:eastAsia="华文仿宋"/>
      <w:sz w:val="28"/>
    </w:rPr>
  </w:style>
  <w:style w:type="paragraph" w:customStyle="1" w:styleId="32">
    <w:name w:val="样式1"/>
    <w:basedOn w:val="2"/>
    <w:qFormat/>
    <w:uiPriority w:val="0"/>
  </w:style>
  <w:style w:type="character" w:customStyle="1" w:styleId="33">
    <w:name w:val="页眉 字符"/>
    <w:basedOn w:val="21"/>
    <w:link w:val="11"/>
    <w:qFormat/>
    <w:uiPriority w:val="0"/>
    <w:rPr>
      <w:rFonts w:ascii="Times New Roman" w:hAnsi="Times New Roman" w:eastAsia="宋体" w:cs="Times New Roman"/>
      <w:kern w:val="2"/>
      <w:sz w:val="18"/>
      <w:szCs w:val="18"/>
    </w:rPr>
  </w:style>
  <w:style w:type="paragraph" w:customStyle="1" w:styleId="34">
    <w:name w:val="样式3"/>
    <w:basedOn w:val="8"/>
    <w:qFormat/>
    <w:uiPriority w:val="0"/>
    <w:pPr>
      <w:spacing w:line="0" w:lineRule="atLeast"/>
      <w:outlineLvl w:val="0"/>
    </w:pPr>
    <w:rPr>
      <w:sz w:val="28"/>
    </w:rPr>
  </w:style>
  <w:style w:type="paragraph" w:customStyle="1" w:styleId="35">
    <w:name w:val="Body Text First Indent 21"/>
    <w:basedOn w:val="36"/>
    <w:qFormat/>
    <w:uiPriority w:val="0"/>
    <w:pPr>
      <w:ind w:firstLine="420"/>
    </w:pPr>
  </w:style>
  <w:style w:type="paragraph" w:customStyle="1" w:styleId="36">
    <w:name w:val="Body Text Indent1"/>
    <w:basedOn w:val="1"/>
    <w:qFormat/>
    <w:uiPriority w:val="0"/>
    <w:pPr>
      <w:ind w:left="420" w:leftChars="200"/>
    </w:pPr>
  </w:style>
  <w:style w:type="character" w:customStyle="1" w:styleId="37">
    <w:name w:val="批注框文本 字符"/>
    <w:basedOn w:val="21"/>
    <w:link w:val="9"/>
    <w:qFormat/>
    <w:uiPriority w:val="0"/>
    <w:rPr>
      <w:kern w:val="2"/>
      <w:sz w:val="18"/>
      <w:szCs w:val="18"/>
    </w:rPr>
  </w:style>
  <w:style w:type="character" w:customStyle="1" w:styleId="38">
    <w:name w:val="批注文字 字符"/>
    <w:basedOn w:val="21"/>
    <w:link w:val="4"/>
    <w:qFormat/>
    <w:uiPriority w:val="0"/>
    <w:rPr>
      <w:kern w:val="2"/>
      <w:sz w:val="21"/>
    </w:rPr>
  </w:style>
  <w:style w:type="character" w:customStyle="1" w:styleId="39">
    <w:name w:val="批注主题 字符"/>
    <w:basedOn w:val="38"/>
    <w:link w:val="17"/>
    <w:qFormat/>
    <w:uiPriority w:val="0"/>
    <w:rPr>
      <w:b/>
      <w:bCs/>
      <w:kern w:val="2"/>
      <w:sz w:val="21"/>
    </w:rPr>
  </w:style>
  <w:style w:type="character" w:customStyle="1" w:styleId="40">
    <w:name w:val="纯文本 字符"/>
    <w:basedOn w:val="21"/>
    <w:link w:val="8"/>
    <w:qFormat/>
    <w:uiPriority w:val="0"/>
    <w:rPr>
      <w:rFonts w:ascii="宋体"/>
      <w:kern w:val="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3693</Words>
  <Characters>21055</Characters>
  <Lines>175</Lines>
  <Paragraphs>49</Paragraphs>
  <TotalTime>0</TotalTime>
  <ScaleCrop>false</ScaleCrop>
  <LinksUpToDate>false</LinksUpToDate>
  <CharactersWithSpaces>24699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2022-11-15T07:18:00Z</dcterms:created>
  <dc:creator>梁丽萍</dc:creator>
  <cp:lastModifiedBy>苏小</cp:lastModifiedBy>
  <cp:lastPrinted>2024-05-29T02:50:00Z</cp:lastPrinted>
  <dcterms:modified xsi:type="dcterms:W3CDTF">2024-12-26T02:15:53Z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87A159DE3BE14E3CB3FF1339E2020242_13</vt:lpwstr>
  </property>
</Properties>
</file>