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2BC0D">
      <w:pPr>
        <w:widowControl/>
        <w:tabs>
          <w:tab w:val="left" w:pos="1680"/>
        </w:tabs>
        <w:spacing w:line="360" w:lineRule="auto"/>
        <w:jc w:val="left"/>
        <w:rPr>
          <w:rFonts w:ascii="宋体" w:hAnsi="宋体"/>
          <w:b/>
          <w:bCs/>
          <w:color w:val="auto"/>
          <w:sz w:val="30"/>
          <w:szCs w:val="30"/>
          <w:highlight w:val="none"/>
        </w:rPr>
      </w:pPr>
    </w:p>
    <w:p w14:paraId="75A71DA5">
      <w:pPr>
        <w:widowControl/>
        <w:tabs>
          <w:tab w:val="left" w:pos="1680"/>
        </w:tabs>
        <w:spacing w:line="360" w:lineRule="auto"/>
        <w:jc w:val="left"/>
        <w:rPr>
          <w:rFonts w:ascii="宋体" w:hAnsi="宋体"/>
          <w:b/>
          <w:bCs/>
          <w:color w:val="auto"/>
          <w:sz w:val="30"/>
          <w:szCs w:val="30"/>
          <w:highlight w:val="none"/>
        </w:rPr>
      </w:pPr>
    </w:p>
    <w:p w14:paraId="6DC941A3">
      <w:pPr>
        <w:tabs>
          <w:tab w:val="left" w:pos="1680"/>
        </w:tabs>
        <w:spacing w:line="360" w:lineRule="auto"/>
        <w:jc w:val="center"/>
        <w:rPr>
          <w:rFonts w:hint="eastAsia" w:ascii="宋体" w:hAnsi="宋体" w:cs="Arial"/>
          <w:b/>
          <w:bCs/>
          <w:color w:val="auto"/>
          <w:sz w:val="48"/>
          <w:szCs w:val="48"/>
          <w:highlight w:val="none"/>
        </w:rPr>
      </w:pPr>
      <w:r>
        <w:rPr>
          <w:rFonts w:hint="eastAsia" w:ascii="宋体" w:hAnsi="宋体" w:cs="Arial"/>
          <w:b/>
          <w:bCs/>
          <w:color w:val="auto"/>
          <w:sz w:val="48"/>
          <w:szCs w:val="48"/>
          <w:highlight w:val="none"/>
          <w:lang w:eastAsia="zh-CN"/>
        </w:rPr>
        <w:t>宁波高新区聚贤街道总工会2025年度基本存款账户竞争性存放服务项目</w:t>
      </w:r>
      <w:r>
        <w:rPr>
          <w:rFonts w:hint="eastAsia" w:ascii="宋体" w:hAnsi="宋体" w:cs="Arial"/>
          <w:b/>
          <w:bCs/>
          <w:color w:val="auto"/>
          <w:sz w:val="48"/>
          <w:szCs w:val="48"/>
          <w:highlight w:val="none"/>
        </w:rPr>
        <w:t>招标文件</w:t>
      </w:r>
    </w:p>
    <w:p w14:paraId="6FF05C7A">
      <w:pPr>
        <w:widowControl/>
        <w:tabs>
          <w:tab w:val="left" w:pos="1680"/>
        </w:tabs>
        <w:spacing w:line="360" w:lineRule="auto"/>
        <w:jc w:val="left"/>
        <w:rPr>
          <w:rFonts w:ascii="宋体" w:hAnsi="宋体" w:cs="Arial"/>
          <w:b/>
          <w:bCs/>
          <w:color w:val="auto"/>
          <w:sz w:val="36"/>
          <w:szCs w:val="36"/>
          <w:highlight w:val="none"/>
        </w:rPr>
      </w:pPr>
    </w:p>
    <w:p w14:paraId="26872470">
      <w:pPr>
        <w:widowControl/>
        <w:tabs>
          <w:tab w:val="left" w:pos="1680"/>
        </w:tabs>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招标项目编号：科信建代字[2025]101190号</w:t>
      </w:r>
    </w:p>
    <w:p w14:paraId="2800F5C4">
      <w:pPr>
        <w:widowControl/>
        <w:tabs>
          <w:tab w:val="left" w:pos="1680"/>
        </w:tabs>
        <w:spacing w:line="360" w:lineRule="auto"/>
        <w:jc w:val="left"/>
        <w:rPr>
          <w:rFonts w:ascii="宋体" w:hAnsi="宋体"/>
          <w:b/>
          <w:bCs/>
          <w:color w:val="auto"/>
          <w:sz w:val="30"/>
          <w:szCs w:val="30"/>
          <w:highlight w:val="none"/>
        </w:rPr>
      </w:pPr>
    </w:p>
    <w:p w14:paraId="6D7C2A48">
      <w:pPr>
        <w:widowControl/>
        <w:tabs>
          <w:tab w:val="left" w:pos="1680"/>
        </w:tabs>
        <w:spacing w:line="360" w:lineRule="auto"/>
        <w:jc w:val="left"/>
        <w:rPr>
          <w:rFonts w:ascii="宋体" w:hAnsi="宋体"/>
          <w:b/>
          <w:bCs/>
          <w:color w:val="auto"/>
          <w:sz w:val="30"/>
          <w:szCs w:val="30"/>
          <w:highlight w:val="none"/>
        </w:rPr>
      </w:pPr>
    </w:p>
    <w:p w14:paraId="408F7ED0">
      <w:pPr>
        <w:widowControl/>
        <w:tabs>
          <w:tab w:val="left" w:pos="1680"/>
        </w:tabs>
        <w:spacing w:line="360" w:lineRule="auto"/>
        <w:jc w:val="left"/>
        <w:rPr>
          <w:rFonts w:ascii="宋体" w:hAnsi="宋体"/>
          <w:b/>
          <w:bCs/>
          <w:color w:val="auto"/>
          <w:sz w:val="30"/>
          <w:szCs w:val="30"/>
          <w:highlight w:val="none"/>
        </w:rPr>
      </w:pPr>
    </w:p>
    <w:p w14:paraId="69F4255B">
      <w:pPr>
        <w:widowControl/>
        <w:tabs>
          <w:tab w:val="left" w:pos="1680"/>
        </w:tabs>
        <w:spacing w:line="360" w:lineRule="auto"/>
        <w:jc w:val="left"/>
        <w:rPr>
          <w:rFonts w:ascii="宋体" w:hAnsi="宋体"/>
          <w:b/>
          <w:bCs/>
          <w:color w:val="auto"/>
          <w:sz w:val="30"/>
          <w:szCs w:val="30"/>
          <w:highlight w:val="none"/>
        </w:rPr>
      </w:pPr>
    </w:p>
    <w:p w14:paraId="60AFBFF5">
      <w:pPr>
        <w:widowControl/>
        <w:tabs>
          <w:tab w:val="left" w:pos="1680"/>
        </w:tabs>
        <w:spacing w:line="360" w:lineRule="auto"/>
        <w:jc w:val="left"/>
        <w:rPr>
          <w:rFonts w:ascii="宋体" w:hAnsi="宋体"/>
          <w:b/>
          <w:bCs/>
          <w:color w:val="auto"/>
          <w:sz w:val="30"/>
          <w:szCs w:val="30"/>
          <w:highlight w:val="none"/>
        </w:rPr>
      </w:pPr>
    </w:p>
    <w:p w14:paraId="72E53A4B">
      <w:pPr>
        <w:widowControl/>
        <w:tabs>
          <w:tab w:val="left" w:pos="1680"/>
        </w:tabs>
        <w:spacing w:line="360" w:lineRule="auto"/>
        <w:jc w:val="left"/>
        <w:rPr>
          <w:rFonts w:ascii="宋体" w:hAnsi="宋体"/>
          <w:b/>
          <w:bCs/>
          <w:color w:val="auto"/>
          <w:sz w:val="30"/>
          <w:szCs w:val="30"/>
          <w:highlight w:val="none"/>
        </w:rPr>
      </w:pPr>
    </w:p>
    <w:p w14:paraId="14A5AC79">
      <w:pPr>
        <w:widowControl/>
        <w:tabs>
          <w:tab w:val="left" w:pos="1680"/>
        </w:tabs>
        <w:spacing w:line="360" w:lineRule="auto"/>
        <w:jc w:val="left"/>
        <w:rPr>
          <w:rFonts w:ascii="宋体" w:hAnsi="宋体"/>
          <w:b/>
          <w:bCs/>
          <w:color w:val="auto"/>
          <w:sz w:val="30"/>
          <w:szCs w:val="30"/>
          <w:highlight w:val="none"/>
        </w:rPr>
      </w:pPr>
    </w:p>
    <w:p w14:paraId="076B2424">
      <w:pPr>
        <w:widowControl/>
        <w:tabs>
          <w:tab w:val="left" w:pos="1680"/>
        </w:tabs>
        <w:spacing w:line="360" w:lineRule="auto"/>
        <w:jc w:val="left"/>
        <w:rPr>
          <w:rFonts w:ascii="宋体" w:hAnsi="宋体"/>
          <w:b/>
          <w:bCs/>
          <w:color w:val="auto"/>
          <w:sz w:val="30"/>
          <w:szCs w:val="30"/>
          <w:highlight w:val="none"/>
        </w:rPr>
      </w:pPr>
    </w:p>
    <w:p w14:paraId="61AFBA10">
      <w:pPr>
        <w:widowControl/>
        <w:tabs>
          <w:tab w:val="left" w:pos="1680"/>
        </w:tabs>
        <w:spacing w:line="360" w:lineRule="auto"/>
        <w:jc w:val="left"/>
        <w:rPr>
          <w:rFonts w:ascii="宋体" w:hAnsi="宋体"/>
          <w:b/>
          <w:bCs/>
          <w:color w:val="auto"/>
          <w:sz w:val="30"/>
          <w:szCs w:val="30"/>
          <w:highlight w:val="none"/>
        </w:rPr>
      </w:pPr>
    </w:p>
    <w:p w14:paraId="49C281D6">
      <w:pPr>
        <w:widowControl/>
        <w:tabs>
          <w:tab w:val="left" w:pos="1680"/>
        </w:tabs>
        <w:spacing w:line="360" w:lineRule="auto"/>
        <w:jc w:val="left"/>
        <w:rPr>
          <w:rFonts w:ascii="宋体" w:hAnsi="宋体"/>
          <w:b/>
          <w:bCs/>
          <w:color w:val="auto"/>
          <w:sz w:val="30"/>
          <w:szCs w:val="30"/>
          <w:highlight w:val="none"/>
        </w:rPr>
      </w:pPr>
    </w:p>
    <w:p w14:paraId="15BE4050">
      <w:pPr>
        <w:widowControl/>
        <w:tabs>
          <w:tab w:val="left" w:pos="1680"/>
        </w:tabs>
        <w:spacing w:line="360" w:lineRule="auto"/>
        <w:jc w:val="left"/>
        <w:rPr>
          <w:rFonts w:ascii="宋体" w:hAnsi="宋体"/>
          <w:b/>
          <w:bCs/>
          <w:color w:val="auto"/>
          <w:sz w:val="30"/>
          <w:szCs w:val="30"/>
          <w:highlight w:val="none"/>
        </w:rPr>
      </w:pPr>
    </w:p>
    <w:p w14:paraId="5D9D9B6C">
      <w:pPr>
        <w:widowControl/>
        <w:tabs>
          <w:tab w:val="left" w:pos="1680"/>
        </w:tabs>
        <w:spacing w:line="360" w:lineRule="auto"/>
        <w:jc w:val="left"/>
        <w:rPr>
          <w:rFonts w:ascii="宋体" w:hAnsi="宋体"/>
          <w:b/>
          <w:bCs/>
          <w:color w:val="auto"/>
          <w:sz w:val="30"/>
          <w:szCs w:val="30"/>
          <w:highlight w:val="none"/>
        </w:rPr>
      </w:pPr>
      <w:r>
        <w:rPr>
          <w:rFonts w:ascii="宋体" w:hAnsi="宋体"/>
          <w:b/>
          <w:bCs/>
          <w:color w:val="auto"/>
          <w:sz w:val="30"/>
          <w:szCs w:val="30"/>
          <w:highlight w:val="none"/>
        </w:rPr>
        <w:t>招标人：</w:t>
      </w:r>
      <w:r>
        <w:rPr>
          <w:rFonts w:hint="eastAsia" w:ascii="宋体" w:hAnsi="宋体"/>
          <w:b/>
          <w:bCs/>
          <w:color w:val="auto"/>
          <w:sz w:val="30"/>
          <w:szCs w:val="30"/>
          <w:highlight w:val="none"/>
          <w:lang w:eastAsia="zh-CN"/>
        </w:rPr>
        <w:t>宁波市鄞州区人民政府聚贤街道办事处</w:t>
      </w:r>
      <w:r>
        <w:rPr>
          <w:rFonts w:hint="eastAsia" w:ascii="宋体" w:hAnsi="宋体"/>
          <w:b/>
          <w:bCs/>
          <w:color w:val="auto"/>
          <w:sz w:val="30"/>
          <w:szCs w:val="30"/>
          <w:highlight w:val="none"/>
        </w:rPr>
        <w:t>（盖章）</w:t>
      </w:r>
    </w:p>
    <w:p w14:paraId="41F5D39E">
      <w:pPr>
        <w:widowControl/>
        <w:tabs>
          <w:tab w:val="left" w:pos="1680"/>
        </w:tabs>
        <w:spacing w:line="360" w:lineRule="auto"/>
        <w:jc w:val="left"/>
        <w:rPr>
          <w:rFonts w:ascii="宋体" w:hAnsi="宋体"/>
          <w:b/>
          <w:bCs/>
          <w:color w:val="auto"/>
          <w:sz w:val="30"/>
          <w:szCs w:val="30"/>
          <w:highlight w:val="none"/>
        </w:rPr>
      </w:pPr>
      <w:r>
        <w:rPr>
          <w:rFonts w:hint="eastAsia" w:ascii="宋体" w:hAnsi="宋体"/>
          <w:b/>
          <w:bCs/>
          <w:color w:val="auto"/>
          <w:sz w:val="30"/>
          <w:szCs w:val="30"/>
          <w:highlight w:val="none"/>
        </w:rPr>
        <w:t>招标代理人：</w:t>
      </w:r>
      <w:r>
        <w:rPr>
          <w:rFonts w:hint="eastAsia" w:ascii="宋体" w:hAnsi="宋体"/>
          <w:b/>
          <w:bCs/>
          <w:color w:val="auto"/>
          <w:sz w:val="30"/>
          <w:szCs w:val="30"/>
          <w:highlight w:val="none"/>
          <w:lang w:eastAsia="zh-CN"/>
        </w:rPr>
        <w:t>科信联合工程咨询有限公司</w:t>
      </w:r>
      <w:r>
        <w:rPr>
          <w:rFonts w:hint="eastAsia" w:ascii="宋体" w:hAnsi="宋体"/>
          <w:b/>
          <w:bCs/>
          <w:color w:val="auto"/>
          <w:sz w:val="30"/>
          <w:szCs w:val="30"/>
          <w:highlight w:val="none"/>
        </w:rPr>
        <w:t>（盖章）</w:t>
      </w:r>
    </w:p>
    <w:p w14:paraId="1C5C6FD6">
      <w:pPr>
        <w:widowControl/>
        <w:tabs>
          <w:tab w:val="left" w:pos="1680"/>
        </w:tabs>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202</w:t>
      </w:r>
      <w:r>
        <w:rPr>
          <w:rFonts w:hint="eastAsia" w:ascii="宋体" w:hAnsi="宋体"/>
          <w:b/>
          <w:bCs/>
          <w:color w:val="auto"/>
          <w:sz w:val="30"/>
          <w:szCs w:val="30"/>
          <w:highlight w:val="none"/>
          <w:lang w:val="en-US" w:eastAsia="zh-CN"/>
        </w:rPr>
        <w:t>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7</w:t>
      </w:r>
      <w:r>
        <w:rPr>
          <w:rFonts w:hint="eastAsia" w:ascii="宋体" w:hAnsi="宋体"/>
          <w:b/>
          <w:bCs/>
          <w:color w:val="auto"/>
          <w:sz w:val="30"/>
          <w:szCs w:val="30"/>
          <w:highlight w:val="none"/>
        </w:rPr>
        <w:t>月</w:t>
      </w:r>
    </w:p>
    <w:p w14:paraId="4870C4E1">
      <w:pPr>
        <w:tabs>
          <w:tab w:val="left" w:pos="1680"/>
        </w:tabs>
        <w:spacing w:line="360" w:lineRule="auto"/>
        <w:jc w:val="center"/>
        <w:rPr>
          <w:rFonts w:ascii="宋体" w:hAnsi="宋体"/>
          <w:b/>
          <w:bCs/>
          <w:color w:val="auto"/>
          <w:sz w:val="30"/>
          <w:szCs w:val="30"/>
          <w:highlight w:val="none"/>
        </w:rPr>
        <w:sectPr>
          <w:footerReference r:id="rId5" w:type="first"/>
          <w:headerReference r:id="rId3" w:type="default"/>
          <w:footerReference r:id="rId4" w:type="even"/>
          <w:pgSz w:w="11906" w:h="16838"/>
          <w:pgMar w:top="1247" w:right="1440" w:bottom="1304" w:left="1440" w:header="851" w:footer="992" w:gutter="0"/>
          <w:pgBorders>
            <w:top w:val="none" w:sz="0" w:space="0"/>
            <w:left w:val="none" w:sz="0" w:space="0"/>
            <w:bottom w:val="none" w:sz="0" w:space="0"/>
            <w:right w:val="none" w:sz="0" w:space="0"/>
          </w:pgBorders>
          <w:cols w:space="720" w:num="1"/>
          <w:docGrid w:linePitch="312" w:charSpace="0"/>
        </w:sectPr>
      </w:pPr>
    </w:p>
    <w:p w14:paraId="1C5D7FD1">
      <w:pPr>
        <w:pStyle w:val="16"/>
        <w:tabs>
          <w:tab w:val="left" w:pos="1680"/>
        </w:tabs>
        <w:spacing w:beforeLines="0" w:afterLines="0" w:line="240" w:lineRule="auto"/>
        <w:jc w:val="center"/>
        <w:rPr>
          <w:rFonts w:hAnsi="宋体"/>
          <w:b/>
          <w:color w:val="auto"/>
          <w:sz w:val="36"/>
          <w:szCs w:val="36"/>
          <w:highlight w:val="none"/>
        </w:rPr>
      </w:pPr>
    </w:p>
    <w:p w14:paraId="64419B05">
      <w:pPr>
        <w:pStyle w:val="16"/>
        <w:tabs>
          <w:tab w:val="left" w:pos="1680"/>
        </w:tabs>
        <w:spacing w:beforeLines="0" w:afterLines="0" w:line="240" w:lineRule="auto"/>
        <w:jc w:val="center"/>
        <w:rPr>
          <w:rFonts w:hAnsi="宋体"/>
          <w:b/>
          <w:color w:val="auto"/>
          <w:sz w:val="36"/>
          <w:szCs w:val="36"/>
          <w:highlight w:val="none"/>
        </w:rPr>
      </w:pPr>
    </w:p>
    <w:p w14:paraId="1446BCE6">
      <w:pPr>
        <w:pStyle w:val="16"/>
        <w:tabs>
          <w:tab w:val="left" w:pos="1680"/>
        </w:tabs>
        <w:spacing w:beforeLines="0" w:afterLines="0" w:line="240" w:lineRule="auto"/>
        <w:jc w:val="center"/>
        <w:rPr>
          <w:rFonts w:hAnsi="宋体"/>
          <w:b/>
          <w:color w:val="auto"/>
          <w:sz w:val="44"/>
          <w:szCs w:val="44"/>
          <w:highlight w:val="none"/>
        </w:rPr>
      </w:pPr>
      <w:r>
        <w:rPr>
          <w:rFonts w:hint="eastAsia" w:hAnsi="宋体"/>
          <w:b/>
          <w:color w:val="auto"/>
          <w:sz w:val="44"/>
          <w:szCs w:val="44"/>
          <w:highlight w:val="none"/>
        </w:rPr>
        <w:t>目 录</w:t>
      </w:r>
    </w:p>
    <w:p w14:paraId="53E417BE">
      <w:pPr>
        <w:pStyle w:val="16"/>
        <w:tabs>
          <w:tab w:val="left" w:pos="1680"/>
        </w:tabs>
        <w:spacing w:beforeLines="0" w:afterLines="0" w:line="240" w:lineRule="auto"/>
        <w:jc w:val="center"/>
        <w:rPr>
          <w:rFonts w:hAnsi="宋体"/>
          <w:color w:val="auto"/>
          <w:sz w:val="44"/>
          <w:szCs w:val="44"/>
          <w:highlight w:val="none"/>
        </w:rPr>
      </w:pPr>
    </w:p>
    <w:p w14:paraId="178D67F7">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TOC \o "1-3" \h \z \u </w:instrText>
      </w:r>
      <w:r>
        <w:rPr>
          <w:i/>
          <w:iCs/>
          <w:color w:val="auto"/>
          <w:sz w:val="28"/>
          <w:szCs w:val="28"/>
          <w:highlight w:val="none"/>
        </w:rPr>
        <w:fldChar w:fldCharType="separate"/>
      </w:r>
      <w:r>
        <w:rPr>
          <w:i/>
          <w:iCs/>
          <w:color w:val="auto"/>
          <w:sz w:val="28"/>
          <w:szCs w:val="28"/>
          <w:highlight w:val="none"/>
        </w:rPr>
        <w:fldChar w:fldCharType="begin"/>
      </w:r>
      <w:r>
        <w:rPr>
          <w:i/>
          <w:iCs/>
          <w:color w:val="auto"/>
          <w:sz w:val="28"/>
          <w:szCs w:val="28"/>
          <w:highlight w:val="none"/>
        </w:rPr>
        <w:instrText xml:space="preserve"> HYPERLINK \l _Toc27779 </w:instrText>
      </w:r>
      <w:r>
        <w:rPr>
          <w:i/>
          <w:iCs/>
          <w:color w:val="auto"/>
          <w:sz w:val="28"/>
          <w:szCs w:val="28"/>
          <w:highlight w:val="none"/>
        </w:rPr>
        <w:fldChar w:fldCharType="separate"/>
      </w:r>
      <w:r>
        <w:rPr>
          <w:rFonts w:hint="eastAsia" w:ascii="宋体" w:hAnsi="宋体"/>
          <w:bCs w:val="0"/>
          <w:i w:val="0"/>
          <w:iCs w:val="0"/>
          <w:color w:val="auto"/>
          <w:sz w:val="28"/>
          <w:szCs w:val="28"/>
          <w:highlight w:val="none"/>
        </w:rPr>
        <w:t>第一章</w:t>
      </w:r>
      <w:r>
        <w:rPr>
          <w:rFonts w:hint="eastAsia" w:ascii="宋体" w:hAnsi="宋体"/>
          <w:bCs w:val="0"/>
          <w:i w:val="0"/>
          <w:iCs w:val="0"/>
          <w:color w:val="auto"/>
          <w:sz w:val="28"/>
          <w:szCs w:val="28"/>
          <w:highlight w:val="none"/>
          <w:lang w:val="en-US" w:eastAsia="zh-CN"/>
        </w:rPr>
        <w:t xml:space="preserve"> </w:t>
      </w:r>
      <w:r>
        <w:rPr>
          <w:rFonts w:hint="eastAsia" w:ascii="宋体" w:hAnsi="宋体"/>
          <w:i w:val="0"/>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_Toc27779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i/>
          <w:iCs/>
          <w:color w:val="auto"/>
          <w:sz w:val="28"/>
          <w:szCs w:val="28"/>
          <w:highlight w:val="none"/>
        </w:rPr>
        <w:fldChar w:fldCharType="end"/>
      </w:r>
    </w:p>
    <w:p w14:paraId="3A43A06B">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HYPERLINK \l _Toc25442 </w:instrText>
      </w:r>
      <w:r>
        <w:rPr>
          <w:i/>
          <w:iCs/>
          <w:color w:val="auto"/>
          <w:sz w:val="28"/>
          <w:szCs w:val="28"/>
          <w:highlight w:val="none"/>
        </w:rPr>
        <w:fldChar w:fldCharType="separate"/>
      </w:r>
      <w:r>
        <w:rPr>
          <w:rFonts w:hint="eastAsia" w:ascii="宋体" w:hAnsi="宋体"/>
          <w:bCs w:val="0"/>
          <w:i w:val="0"/>
          <w:iCs w:val="0"/>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_Toc25442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i/>
          <w:iCs/>
          <w:color w:val="auto"/>
          <w:sz w:val="28"/>
          <w:szCs w:val="28"/>
          <w:highlight w:val="none"/>
        </w:rPr>
        <w:fldChar w:fldCharType="end"/>
      </w:r>
    </w:p>
    <w:p w14:paraId="43E9F123">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HYPERLINK \l _Toc16701 </w:instrText>
      </w:r>
      <w:r>
        <w:rPr>
          <w:i/>
          <w:iCs/>
          <w:color w:val="auto"/>
          <w:sz w:val="28"/>
          <w:szCs w:val="28"/>
          <w:highlight w:val="none"/>
        </w:rPr>
        <w:fldChar w:fldCharType="separate"/>
      </w:r>
      <w:r>
        <w:rPr>
          <w:rFonts w:hint="eastAsia" w:ascii="宋体" w:hAnsi="宋体"/>
          <w:bCs w:val="0"/>
          <w:i w:val="0"/>
          <w:iCs w:val="0"/>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_Toc16701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i/>
          <w:iCs/>
          <w:color w:val="auto"/>
          <w:sz w:val="28"/>
          <w:szCs w:val="28"/>
          <w:highlight w:val="none"/>
        </w:rPr>
        <w:fldChar w:fldCharType="end"/>
      </w:r>
    </w:p>
    <w:p w14:paraId="7CCCE793">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HYPERLINK \l _Toc11291 </w:instrText>
      </w:r>
      <w:r>
        <w:rPr>
          <w:i/>
          <w:iCs/>
          <w:color w:val="auto"/>
          <w:sz w:val="28"/>
          <w:szCs w:val="28"/>
          <w:highlight w:val="none"/>
        </w:rPr>
        <w:fldChar w:fldCharType="separate"/>
      </w:r>
      <w:r>
        <w:rPr>
          <w:rFonts w:hint="eastAsia" w:ascii="宋体" w:hAnsi="宋体"/>
          <w:bCs w:val="0"/>
          <w:i w:val="0"/>
          <w:iCs w:val="0"/>
          <w:color w:val="auto"/>
          <w:sz w:val="28"/>
          <w:szCs w:val="28"/>
          <w:highlight w:val="none"/>
        </w:rPr>
        <w:t>第四章 开标及评标办法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_Toc11291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i/>
          <w:iCs/>
          <w:color w:val="auto"/>
          <w:sz w:val="28"/>
          <w:szCs w:val="28"/>
          <w:highlight w:val="none"/>
        </w:rPr>
        <w:fldChar w:fldCharType="end"/>
      </w:r>
    </w:p>
    <w:p w14:paraId="7BC3A034">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HYPERLINK \l _Toc25392 </w:instrText>
      </w:r>
      <w:r>
        <w:rPr>
          <w:i/>
          <w:iCs/>
          <w:color w:val="auto"/>
          <w:sz w:val="28"/>
          <w:szCs w:val="28"/>
          <w:highlight w:val="none"/>
        </w:rPr>
        <w:fldChar w:fldCharType="separate"/>
      </w:r>
      <w:r>
        <w:rPr>
          <w:rFonts w:hint="eastAsia" w:ascii="宋体" w:hAnsi="宋体"/>
          <w:bCs w:val="0"/>
          <w:i w:val="0"/>
          <w:iCs w:val="0"/>
          <w:color w:val="auto"/>
          <w:sz w:val="28"/>
          <w:szCs w:val="28"/>
          <w:highlight w:val="none"/>
          <w:lang w:val="en-US" w:eastAsia="zh-CN"/>
        </w:rPr>
        <w:t>第五章 合同</w:t>
      </w:r>
      <w:r>
        <w:rPr>
          <w:color w:val="auto"/>
          <w:sz w:val="28"/>
          <w:szCs w:val="28"/>
          <w:highlight w:val="none"/>
        </w:rPr>
        <w:tab/>
      </w:r>
      <w:bookmarkStart w:id="132" w:name="_GoBack"/>
      <w:bookmarkEnd w:id="132"/>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_Toc25392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i/>
          <w:iCs/>
          <w:color w:val="auto"/>
          <w:sz w:val="28"/>
          <w:szCs w:val="28"/>
          <w:highlight w:val="none"/>
        </w:rPr>
        <w:fldChar w:fldCharType="end"/>
      </w:r>
    </w:p>
    <w:p w14:paraId="45DEAD8A">
      <w:pPr>
        <w:pStyle w:val="22"/>
        <w:tabs>
          <w:tab w:val="left" w:pos="1680"/>
          <w:tab w:val="right" w:leader="dot" w:pos="9026"/>
          <w:tab w:val="clear" w:pos="8630"/>
        </w:tabs>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HYPERLINK \l _Toc10847 </w:instrText>
      </w:r>
      <w:r>
        <w:rPr>
          <w:i/>
          <w:iCs/>
          <w:color w:val="auto"/>
          <w:sz w:val="28"/>
          <w:szCs w:val="28"/>
          <w:highlight w:val="none"/>
        </w:rPr>
        <w:fldChar w:fldCharType="separate"/>
      </w:r>
      <w:r>
        <w:rPr>
          <w:rFonts w:hint="eastAsia" w:ascii="宋体" w:hAnsi="宋体"/>
          <w:bCs w:val="0"/>
          <w:i w:val="0"/>
          <w:iCs w:val="0"/>
          <w:color w:val="auto"/>
          <w:sz w:val="28"/>
          <w:szCs w:val="28"/>
          <w:highlight w:val="none"/>
        </w:rPr>
        <w:t>第</w:t>
      </w:r>
      <w:r>
        <w:rPr>
          <w:rFonts w:hint="eastAsia" w:ascii="宋体" w:hAnsi="宋体"/>
          <w:bCs w:val="0"/>
          <w:i w:val="0"/>
          <w:iCs w:val="0"/>
          <w:color w:val="auto"/>
          <w:sz w:val="28"/>
          <w:szCs w:val="28"/>
          <w:highlight w:val="none"/>
          <w:lang w:val="en-US" w:eastAsia="zh-CN"/>
        </w:rPr>
        <w:t>六</w:t>
      </w:r>
      <w:r>
        <w:rPr>
          <w:rFonts w:hint="eastAsia" w:ascii="宋体" w:hAnsi="宋体"/>
          <w:bCs w:val="0"/>
          <w:i w:val="0"/>
          <w:iCs w:val="0"/>
          <w:color w:val="auto"/>
          <w:sz w:val="28"/>
          <w:szCs w:val="28"/>
          <w:highlight w:val="none"/>
        </w:rPr>
        <w:t>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_Toc10847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i/>
          <w:iCs/>
          <w:color w:val="auto"/>
          <w:sz w:val="28"/>
          <w:szCs w:val="28"/>
          <w:highlight w:val="none"/>
        </w:rPr>
        <w:fldChar w:fldCharType="end"/>
      </w:r>
    </w:p>
    <w:p w14:paraId="50CA4A1A">
      <w:pPr>
        <w:tabs>
          <w:tab w:val="left" w:pos="1680"/>
        </w:tabs>
        <w:spacing w:line="360" w:lineRule="auto"/>
        <w:rPr>
          <w:rFonts w:ascii="宋体" w:hAnsi="宋体" w:cs="Arial"/>
          <w:iCs/>
          <w:color w:val="auto"/>
          <w:sz w:val="28"/>
          <w:szCs w:val="28"/>
          <w:highlight w:val="none"/>
        </w:rPr>
      </w:pPr>
      <w:r>
        <w:rPr>
          <w:i/>
          <w:iCs/>
          <w:color w:val="auto"/>
          <w:sz w:val="28"/>
          <w:szCs w:val="28"/>
          <w:highlight w:val="none"/>
        </w:rPr>
        <w:fldChar w:fldCharType="end"/>
      </w:r>
    </w:p>
    <w:p w14:paraId="3D0DEDAE">
      <w:pPr>
        <w:pStyle w:val="3"/>
        <w:tabs>
          <w:tab w:val="left" w:pos="1680"/>
        </w:tabs>
        <w:ind w:firstLine="0"/>
        <w:jc w:val="center"/>
        <w:rPr>
          <w:rFonts w:ascii="宋体" w:hAnsi="宋体" w:cs="Arial"/>
          <w:b w:val="0"/>
          <w:i w:val="0"/>
          <w:iCs w:val="0"/>
          <w:color w:val="auto"/>
          <w:sz w:val="28"/>
          <w:szCs w:val="28"/>
          <w:highlight w:val="none"/>
        </w:rPr>
        <w:sectPr>
          <w:headerReference r:id="rId6" w:type="default"/>
          <w:footerReference r:id="rId7" w:type="default"/>
          <w:pgSz w:w="11906" w:h="16838"/>
          <w:pgMar w:top="1247" w:right="1440" w:bottom="1304" w:left="1440" w:header="851" w:footer="992" w:gutter="0"/>
          <w:pgBorders>
            <w:top w:val="none" w:sz="0" w:space="0"/>
            <w:left w:val="none" w:sz="0" w:space="0"/>
            <w:bottom w:val="none" w:sz="0" w:space="0"/>
            <w:right w:val="none" w:sz="0" w:space="0"/>
          </w:pgBorders>
          <w:pgNumType w:start="1"/>
          <w:cols w:space="720" w:num="1"/>
          <w:docGrid w:linePitch="312" w:charSpace="0"/>
        </w:sectPr>
      </w:pPr>
    </w:p>
    <w:p w14:paraId="1215EA76">
      <w:pPr>
        <w:pStyle w:val="3"/>
        <w:tabs>
          <w:tab w:val="left" w:pos="1680"/>
        </w:tabs>
        <w:spacing w:before="100" w:beforeAutospacing="1" w:after="100" w:afterAutospacing="1" w:line="360" w:lineRule="auto"/>
        <w:ind w:firstLine="0"/>
        <w:jc w:val="center"/>
        <w:rPr>
          <w:rFonts w:ascii="宋体" w:hAnsi="宋体"/>
          <w:i w:val="0"/>
          <w:color w:val="auto"/>
          <w:sz w:val="32"/>
          <w:szCs w:val="32"/>
          <w:highlight w:val="none"/>
        </w:rPr>
      </w:pPr>
      <w:bookmarkStart w:id="0" w:name="_Toc27779"/>
      <w:r>
        <w:rPr>
          <w:rFonts w:hint="eastAsia" w:ascii="宋体" w:hAnsi="宋体"/>
          <w:bCs w:val="0"/>
          <w:i w:val="0"/>
          <w:iCs w:val="0"/>
          <w:color w:val="auto"/>
          <w:sz w:val="32"/>
          <w:szCs w:val="32"/>
          <w:highlight w:val="none"/>
        </w:rPr>
        <w:t>第一章</w:t>
      </w:r>
      <w:r>
        <w:rPr>
          <w:rFonts w:hint="eastAsia" w:ascii="宋体" w:hAnsi="宋体"/>
          <w:i w:val="0"/>
          <w:color w:val="auto"/>
          <w:sz w:val="32"/>
          <w:szCs w:val="32"/>
          <w:highlight w:val="none"/>
        </w:rPr>
        <w:t>招标公告</w:t>
      </w:r>
      <w:bookmarkEnd w:id="0"/>
    </w:p>
    <w:p w14:paraId="2EC2E76E">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科信联合工程咨询有限公司</w:t>
      </w:r>
      <w:r>
        <w:rPr>
          <w:rFonts w:ascii="宋体" w:hAnsi="宋体"/>
          <w:color w:val="auto"/>
          <w:sz w:val="24"/>
          <w:highlight w:val="none"/>
        </w:rPr>
        <w:t>受</w:t>
      </w:r>
      <w:r>
        <w:rPr>
          <w:rFonts w:hint="eastAsia" w:ascii="宋体" w:hAnsi="宋体"/>
          <w:color w:val="auto"/>
          <w:sz w:val="24"/>
          <w:highlight w:val="none"/>
          <w:lang w:eastAsia="zh-CN"/>
        </w:rPr>
        <w:t>宁波市鄞州区人民政府聚贤街道办事处</w:t>
      </w:r>
      <w:r>
        <w:rPr>
          <w:rFonts w:ascii="宋体" w:hAnsi="宋体"/>
          <w:color w:val="auto"/>
          <w:sz w:val="24"/>
          <w:highlight w:val="none"/>
        </w:rPr>
        <w:t>的委托，对</w:t>
      </w:r>
      <w:r>
        <w:rPr>
          <w:rFonts w:hint="eastAsia" w:ascii="宋体" w:hAnsi="宋体"/>
          <w:color w:val="auto"/>
          <w:sz w:val="24"/>
          <w:highlight w:val="none"/>
          <w:lang w:eastAsia="zh-CN"/>
        </w:rPr>
        <w:t>宁波高新区聚贤街道总工会2025年度基本存款账户竞争性存放服务项目</w:t>
      </w:r>
      <w:r>
        <w:rPr>
          <w:rFonts w:hint="eastAsia" w:ascii="宋体" w:hAnsi="宋体"/>
          <w:color w:val="auto"/>
          <w:sz w:val="24"/>
          <w:highlight w:val="none"/>
        </w:rPr>
        <w:t>招标文件</w:t>
      </w:r>
      <w:r>
        <w:rPr>
          <w:rFonts w:ascii="宋体" w:hAnsi="宋体"/>
          <w:color w:val="auto"/>
          <w:sz w:val="24"/>
          <w:highlight w:val="none"/>
        </w:rPr>
        <w:t>进行公开招标。</w:t>
      </w:r>
    </w:p>
    <w:p w14:paraId="74F22A11">
      <w:pPr>
        <w:tabs>
          <w:tab w:val="left" w:pos="168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1、招标项目名称：</w:t>
      </w:r>
      <w:r>
        <w:rPr>
          <w:rFonts w:hint="eastAsia" w:ascii="宋体" w:hAnsi="宋体"/>
          <w:color w:val="auto"/>
          <w:sz w:val="24"/>
          <w:highlight w:val="none"/>
          <w:lang w:eastAsia="zh-CN"/>
        </w:rPr>
        <w:t>宁波高新区聚贤街道总工会2025年度基本存款账户竞争性存放服务项目</w:t>
      </w:r>
    </w:p>
    <w:p w14:paraId="37569C18">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、招标范围：</w:t>
      </w:r>
    </w:p>
    <w:tbl>
      <w:tblPr>
        <w:tblStyle w:val="3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455"/>
        <w:gridCol w:w="4580"/>
        <w:gridCol w:w="1582"/>
      </w:tblGrid>
      <w:tr w14:paraId="63D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A9B0265">
            <w:pPr>
              <w:keepNext w:val="0"/>
              <w:keepLines w:val="0"/>
              <w:suppressLineNumbers w:val="0"/>
              <w:tabs>
                <w:tab w:val="left" w:pos="1680"/>
              </w:tabs>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2455" w:type="dxa"/>
            <w:tcBorders>
              <w:top w:val="single" w:color="auto" w:sz="4" w:space="0"/>
              <w:left w:val="single" w:color="auto" w:sz="4" w:space="0"/>
              <w:bottom w:val="single" w:color="auto" w:sz="4" w:space="0"/>
              <w:right w:val="single" w:color="auto" w:sz="4" w:space="0"/>
            </w:tcBorders>
            <w:vAlign w:val="center"/>
          </w:tcPr>
          <w:p w14:paraId="3A5258B0">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招标内容</w:t>
            </w:r>
          </w:p>
        </w:tc>
        <w:tc>
          <w:tcPr>
            <w:tcW w:w="4580" w:type="dxa"/>
            <w:tcBorders>
              <w:top w:val="single" w:color="auto" w:sz="4" w:space="0"/>
              <w:left w:val="single" w:color="auto" w:sz="4" w:space="0"/>
              <w:bottom w:val="single" w:color="auto" w:sz="4" w:space="0"/>
              <w:right w:val="single" w:color="auto" w:sz="4" w:space="0"/>
            </w:tcBorders>
            <w:vAlign w:val="center"/>
          </w:tcPr>
          <w:p w14:paraId="3BBA4C0A">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582" w:type="dxa"/>
            <w:tcBorders>
              <w:top w:val="single" w:color="auto" w:sz="4" w:space="0"/>
              <w:left w:val="single" w:color="auto" w:sz="4" w:space="0"/>
              <w:bottom w:val="single" w:color="auto" w:sz="4" w:space="0"/>
              <w:right w:val="single" w:color="auto" w:sz="4" w:space="0"/>
            </w:tcBorders>
            <w:vAlign w:val="center"/>
          </w:tcPr>
          <w:p w14:paraId="179E97F3">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数量</w:t>
            </w:r>
          </w:p>
        </w:tc>
      </w:tr>
      <w:tr w14:paraId="7EAA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3C58264">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55" w:type="dxa"/>
            <w:tcBorders>
              <w:top w:val="single" w:color="auto" w:sz="4" w:space="0"/>
              <w:left w:val="single" w:color="auto" w:sz="4" w:space="0"/>
              <w:bottom w:val="single" w:color="auto" w:sz="4" w:space="0"/>
              <w:right w:val="single" w:color="auto" w:sz="4" w:space="0"/>
            </w:tcBorders>
            <w:vAlign w:val="center"/>
          </w:tcPr>
          <w:p w14:paraId="3D56E864">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bCs/>
                <w:color w:val="auto"/>
                <w:sz w:val="21"/>
                <w:szCs w:val="21"/>
                <w:highlight w:val="none"/>
                <w:lang w:eastAsia="zh-CN" w:bidi="ar"/>
              </w:rPr>
            </w:pPr>
            <w:r>
              <w:rPr>
                <w:rFonts w:hint="eastAsia" w:ascii="宋体" w:hAnsi="宋体" w:eastAsia="宋体" w:cs="宋体"/>
                <w:bCs/>
                <w:color w:val="auto"/>
                <w:sz w:val="21"/>
                <w:szCs w:val="21"/>
                <w:highlight w:val="none"/>
                <w:lang w:eastAsia="zh-CN" w:bidi="ar"/>
              </w:rPr>
              <w:t>基本存款账户</w:t>
            </w:r>
          </w:p>
        </w:tc>
        <w:tc>
          <w:tcPr>
            <w:tcW w:w="4580" w:type="dxa"/>
            <w:tcBorders>
              <w:top w:val="single" w:color="auto" w:sz="4" w:space="0"/>
              <w:left w:val="single" w:color="auto" w:sz="4" w:space="0"/>
              <w:right w:val="single" w:color="auto" w:sz="4" w:space="0"/>
            </w:tcBorders>
            <w:vAlign w:val="center"/>
          </w:tcPr>
          <w:p w14:paraId="58C55E3D">
            <w:pPr>
              <w:keepNext w:val="0"/>
              <w:keepLines w:val="0"/>
              <w:suppressLineNumbers w:val="0"/>
              <w:tabs>
                <w:tab w:val="left" w:pos="1680"/>
              </w:tabs>
              <w:spacing w:before="0" w:beforeAutospacing="0" w:after="0" w:afterAutospacing="0" w:line="400" w:lineRule="exact"/>
              <w:ind w:left="0" w:right="0"/>
              <w:jc w:val="left"/>
              <w:rPr>
                <w:rFonts w:hint="eastAsia" w:ascii="宋体" w:hAnsi="宋体" w:eastAsia="宋体" w:cs="宋体"/>
                <w:bCs/>
                <w:color w:val="auto"/>
                <w:sz w:val="21"/>
                <w:szCs w:val="21"/>
                <w:highlight w:val="none"/>
                <w:lang w:bidi="ar"/>
              </w:rPr>
            </w:pPr>
            <w:r>
              <w:rPr>
                <w:rFonts w:hint="eastAsia" w:ascii="宋体" w:hAnsi="宋体" w:cs="宋体"/>
                <w:bCs/>
                <w:color w:val="auto"/>
                <w:sz w:val="21"/>
                <w:szCs w:val="21"/>
                <w:highlight w:val="none"/>
                <w:lang w:val="en-US" w:eastAsia="zh-CN" w:bidi="ar"/>
              </w:rPr>
              <w:t>三</w:t>
            </w:r>
            <w:r>
              <w:rPr>
                <w:rFonts w:hint="eastAsia" w:ascii="宋体" w:hAnsi="宋体" w:eastAsia="宋体" w:cs="宋体"/>
                <w:bCs/>
                <w:color w:val="auto"/>
                <w:sz w:val="21"/>
                <w:szCs w:val="21"/>
                <w:highlight w:val="none"/>
                <w:lang w:eastAsia="zh-CN" w:bidi="ar"/>
              </w:rPr>
              <w:t>年；</w:t>
            </w:r>
            <w:r>
              <w:rPr>
                <w:rFonts w:hint="eastAsia" w:ascii="宋体" w:hAnsi="宋体" w:cs="宋体"/>
                <w:bCs/>
                <w:color w:val="auto"/>
                <w:sz w:val="21"/>
                <w:szCs w:val="21"/>
                <w:highlight w:val="none"/>
                <w:lang w:eastAsia="zh-CN" w:bidi="ar"/>
              </w:rPr>
              <w:t>合同</w:t>
            </w:r>
            <w:r>
              <w:rPr>
                <w:rFonts w:hint="eastAsia" w:ascii="宋体" w:hAnsi="宋体" w:cs="宋体"/>
                <w:bCs/>
                <w:color w:val="auto"/>
                <w:sz w:val="21"/>
                <w:szCs w:val="21"/>
                <w:highlight w:val="none"/>
                <w:lang w:val="en-US" w:eastAsia="zh-CN" w:bidi="ar"/>
              </w:rPr>
              <w:t>一</w:t>
            </w:r>
            <w:r>
              <w:rPr>
                <w:rFonts w:hint="eastAsia" w:ascii="宋体" w:hAnsi="宋体" w:cs="宋体"/>
                <w:bCs/>
                <w:color w:val="auto"/>
                <w:sz w:val="21"/>
                <w:szCs w:val="21"/>
                <w:highlight w:val="none"/>
                <w:lang w:eastAsia="zh-CN" w:bidi="ar"/>
              </w:rPr>
              <w:t>年</w:t>
            </w:r>
            <w:r>
              <w:rPr>
                <w:rFonts w:hint="eastAsia" w:ascii="宋体" w:hAnsi="宋体" w:eastAsia="宋体" w:cs="宋体"/>
                <w:bCs/>
                <w:color w:val="auto"/>
                <w:sz w:val="21"/>
                <w:szCs w:val="21"/>
                <w:highlight w:val="none"/>
                <w:lang w:eastAsia="zh-CN" w:bidi="ar"/>
              </w:rPr>
              <w:t>一签，</w:t>
            </w:r>
            <w:r>
              <w:rPr>
                <w:rFonts w:hint="eastAsia" w:ascii="宋体" w:hAnsi="宋体" w:eastAsia="宋体" w:cs="宋体"/>
                <w:bCs/>
                <w:color w:val="auto"/>
                <w:sz w:val="21"/>
                <w:szCs w:val="21"/>
                <w:highlight w:val="none"/>
                <w:lang w:bidi="ar"/>
              </w:rPr>
              <w:t>期间</w:t>
            </w:r>
            <w:r>
              <w:rPr>
                <w:rFonts w:hint="eastAsia" w:ascii="宋体" w:hAnsi="宋体" w:eastAsia="宋体" w:cs="宋体"/>
                <w:bCs/>
                <w:color w:val="auto"/>
                <w:sz w:val="21"/>
                <w:szCs w:val="21"/>
                <w:highlight w:val="none"/>
                <w:lang w:eastAsia="zh-CN" w:bidi="ar"/>
              </w:rPr>
              <w:t>招标人</w:t>
            </w:r>
            <w:r>
              <w:rPr>
                <w:rFonts w:hint="eastAsia" w:ascii="宋体" w:hAnsi="宋体" w:eastAsia="宋体" w:cs="宋体"/>
                <w:bCs/>
                <w:color w:val="auto"/>
                <w:sz w:val="21"/>
                <w:szCs w:val="21"/>
                <w:highlight w:val="none"/>
                <w:lang w:bidi="ar"/>
              </w:rPr>
              <w:t>根据中标人合同履约、考核情况等决定是否</w:t>
            </w:r>
            <w:r>
              <w:rPr>
                <w:rFonts w:hint="eastAsia" w:ascii="宋体" w:hAnsi="宋体" w:cs="宋体"/>
                <w:bCs/>
                <w:color w:val="auto"/>
                <w:sz w:val="21"/>
                <w:szCs w:val="21"/>
                <w:highlight w:val="none"/>
                <w:lang w:val="en-US" w:eastAsia="zh-CN" w:bidi="ar"/>
              </w:rPr>
              <w:t>续签</w:t>
            </w:r>
            <w:r>
              <w:rPr>
                <w:rFonts w:hint="eastAsia" w:ascii="宋体" w:hAnsi="宋体" w:eastAsia="宋体" w:cs="宋体"/>
                <w:bCs/>
                <w:color w:val="auto"/>
                <w:sz w:val="21"/>
                <w:szCs w:val="21"/>
                <w:highlight w:val="none"/>
                <w:lang w:bidi="ar"/>
              </w:rPr>
              <w:t>合同。</w:t>
            </w:r>
          </w:p>
        </w:tc>
        <w:tc>
          <w:tcPr>
            <w:tcW w:w="1582" w:type="dxa"/>
            <w:tcBorders>
              <w:top w:val="single" w:color="auto" w:sz="4" w:space="0"/>
              <w:left w:val="single" w:color="auto" w:sz="4" w:space="0"/>
              <w:bottom w:val="single" w:color="auto" w:sz="4" w:space="0"/>
              <w:right w:val="single" w:color="auto" w:sz="4" w:space="0"/>
            </w:tcBorders>
            <w:vAlign w:val="center"/>
          </w:tcPr>
          <w:p w14:paraId="28840FB5">
            <w:pPr>
              <w:keepNext w:val="0"/>
              <w:keepLines w:val="0"/>
              <w:suppressLineNumbers w:val="0"/>
              <w:tabs>
                <w:tab w:val="left" w:pos="1680"/>
              </w:tabs>
              <w:spacing w:before="0" w:beforeAutospacing="0" w:after="0" w:afterAutospacing="0" w:line="400" w:lineRule="exact"/>
              <w:ind w:left="0" w:right="0"/>
              <w:jc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1家</w:t>
            </w:r>
          </w:p>
        </w:tc>
      </w:tr>
    </w:tbl>
    <w:p w14:paraId="46A58EBD">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、投标人资格条件：</w:t>
      </w:r>
    </w:p>
    <w:p w14:paraId="08ECC577">
      <w:pPr>
        <w:tabs>
          <w:tab w:val="left" w:pos="1680"/>
        </w:tabs>
        <w:adjustRightInd w:val="0"/>
        <w:snapToGrid w:val="0"/>
        <w:spacing w:line="360" w:lineRule="auto"/>
        <w:ind w:left="15" w:leftChars="7" w:firstLine="480" w:firstLineChars="200"/>
        <w:rPr>
          <w:rFonts w:ascii="宋体" w:hAnsi="宋体"/>
          <w:color w:val="auto"/>
          <w:sz w:val="24"/>
          <w:highlight w:val="none"/>
        </w:rPr>
      </w:pPr>
      <w:r>
        <w:rPr>
          <w:rFonts w:ascii="宋体" w:hAnsi="宋体"/>
          <w:color w:val="auto"/>
          <w:sz w:val="24"/>
          <w:highlight w:val="none"/>
        </w:rPr>
        <w:t>参与投标的银行须为在我国境内依法设立的国有商业银行、股份制商业银行、邮政储蓄银行、城市商业银行、农村信用合作社、农村商业银行、农村合作银行以及政策性银行，并符合以下条件：</w:t>
      </w:r>
    </w:p>
    <w:p w14:paraId="54C18AC5">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（1）投标人须为在高新区</w:t>
      </w:r>
      <w:r>
        <w:rPr>
          <w:rFonts w:hint="eastAsia" w:ascii="宋体" w:hAnsi="宋体"/>
          <w:color w:val="auto"/>
          <w:sz w:val="24"/>
          <w:highlight w:val="none"/>
          <w:lang w:val="en-US" w:eastAsia="zh-CN"/>
        </w:rPr>
        <w:t>生产经营</w:t>
      </w:r>
      <w:r>
        <w:rPr>
          <w:rFonts w:hint="eastAsia" w:ascii="宋体" w:hAnsi="宋体"/>
          <w:color w:val="auto"/>
          <w:sz w:val="24"/>
          <w:highlight w:val="none"/>
        </w:rPr>
        <w:t>的</w:t>
      </w:r>
      <w:r>
        <w:rPr>
          <w:rFonts w:hint="eastAsia" w:ascii="宋体" w:hAnsi="宋体"/>
          <w:color w:val="auto"/>
          <w:sz w:val="24"/>
          <w:highlight w:val="none"/>
          <w:lang w:val="en-US" w:eastAsia="zh-CN"/>
        </w:rPr>
        <w:t>商业</w:t>
      </w:r>
      <w:r>
        <w:rPr>
          <w:rFonts w:hint="eastAsia" w:ascii="宋体" w:hAnsi="宋体"/>
          <w:color w:val="auto"/>
          <w:sz w:val="24"/>
          <w:highlight w:val="none"/>
        </w:rPr>
        <w:t>银行（每家银行只能由一家分支机构投标，如在高新区有两家及以上分支机构的，则由上级银行授权其中一家参与投标）；</w:t>
      </w:r>
    </w:p>
    <w:p w14:paraId="1C27D3B9">
      <w:pPr>
        <w:tabs>
          <w:tab w:val="left" w:pos="168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）投标人须持有金融监管部门核发的金融许可证和市场监管部门核发的营业执照；</w:t>
      </w:r>
    </w:p>
    <w:p w14:paraId="7565F2C0">
      <w:pPr>
        <w:tabs>
          <w:tab w:val="left" w:pos="168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202</w:t>
      </w:r>
      <w:r>
        <w:rPr>
          <w:rFonts w:hint="eastAsia" w:ascii="宋体" w:hAnsi="宋体"/>
          <w:sz w:val="24"/>
          <w:highlight w:val="none"/>
          <w:lang w:val="en-US" w:eastAsia="zh-CN"/>
        </w:rPr>
        <w:t>4</w:t>
      </w:r>
      <w:r>
        <w:rPr>
          <w:rFonts w:hint="eastAsia" w:ascii="宋体" w:hAnsi="宋体"/>
          <w:sz w:val="24"/>
          <w:highlight w:val="none"/>
          <w:lang w:eastAsia="zh-CN"/>
        </w:rPr>
        <w:t>年度</w:t>
      </w:r>
      <w:r>
        <w:rPr>
          <w:rFonts w:hint="eastAsia" w:ascii="宋体" w:hAnsi="宋体"/>
          <w:sz w:val="24"/>
          <w:highlight w:val="none"/>
        </w:rPr>
        <w:t>投标人在人民银行综合评价达到B级及以上；</w:t>
      </w:r>
    </w:p>
    <w:p w14:paraId="55B188F9">
      <w:pPr>
        <w:tabs>
          <w:tab w:val="left" w:pos="168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4</w:t>
      </w:r>
      <w:r>
        <w:rPr>
          <w:rFonts w:ascii="宋体" w:hAnsi="宋体"/>
          <w:color w:val="auto"/>
          <w:sz w:val="24"/>
          <w:highlight w:val="none"/>
        </w:rPr>
        <w:t>）投标人内部管理机制健全，具有较强的风险控制能力，近3年内未发生重大金融案件及重大违约事件；</w:t>
      </w:r>
    </w:p>
    <w:p w14:paraId="68B5E5F0">
      <w:pPr>
        <w:tabs>
          <w:tab w:val="left" w:pos="1680"/>
        </w:tabs>
        <w:adjustRightInd w:val="0"/>
        <w:snapToGrid w:val="0"/>
        <w:spacing w:line="360" w:lineRule="auto"/>
        <w:ind w:left="15" w:leftChars="7"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5</w:t>
      </w:r>
      <w:r>
        <w:rPr>
          <w:rFonts w:ascii="宋体" w:hAnsi="宋体"/>
          <w:color w:val="auto"/>
          <w:sz w:val="24"/>
          <w:highlight w:val="none"/>
        </w:rPr>
        <w:t>）投标人须具有履行合同所必需的场所、人员、专业技术能力和法律、行政法规规定的其他条件。</w:t>
      </w:r>
    </w:p>
    <w:p w14:paraId="0BD694A8">
      <w:pPr>
        <w:tabs>
          <w:tab w:val="left" w:pos="1680"/>
        </w:tabs>
        <w:adjustRightInd w:val="0"/>
        <w:snapToGrid w:val="0"/>
        <w:spacing w:line="360" w:lineRule="auto"/>
        <w:ind w:left="15" w:leftChars="7"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）必须为未被列入信用中国网站（www.creditchina.gov.cn）、中国政府采购网（www.ccgp.gov.cn）渠道信用记录失信被执行人、重大税收违法案件当事人名单、政府采购严重违法失信行为记录名单的供应商。</w:t>
      </w:r>
    </w:p>
    <w:p w14:paraId="1C5DD79C">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、招标文件的获取</w:t>
      </w:r>
    </w:p>
    <w:p w14:paraId="1206959D">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日至</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日，每天上午00:00至12:00，下午12:00至23:59（北京时间）</w:t>
      </w:r>
    </w:p>
    <w:p w14:paraId="4F60673B">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地点（网址）：政府采购云平台（http://www.zcygov.cn/）。</w:t>
      </w:r>
    </w:p>
    <w:p w14:paraId="78CD5B13">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 xml:space="preserve">（1）本项目招标文件实行“政府采购云平台”在线获取，不提供招标文件纸质版。投标人获取招标文件前应先完成“政府采购云平台”的账号注册； </w:t>
      </w:r>
    </w:p>
    <w:p w14:paraId="2AC81F4A">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潜在投标人登陆政采云平台，在线申请获取招标文件（进入“公款竞争性存放”应用，在竞标项目内按规定进行报名。第一步：选择本期招标项目，第二步：填写报名信息。报名成功后联系人会收到短信通知，逾期报名视为未报名。）</w:t>
      </w:r>
    </w:p>
    <w:p w14:paraId="40F68D07">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3）招标公告附件内的招标文件仅供阅览使用，投标人只有在“政府采购云平台”完成获取招标文件申请并下载了招标文件且通过审核后才视作依法获取招标文件（法律法规所指的投标人获取招标文件时间以投标人完成获取招标文件申请后下载招标文件且通过审核后的时间为准）。未按照招标文件规定程序依法获取招标文件的潜在投标人，对招标文件提起质疑的，按照无效质疑处理。采购代理机构拒绝接收未依法获取本项目招标文件的投标人提交的投标文件。</w:t>
      </w:r>
    </w:p>
    <w:p w14:paraId="1BE6B88A">
      <w:pPr>
        <w:tabs>
          <w:tab w:val="left" w:pos="1680"/>
        </w:tabs>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 xml:space="preserve">注：请投标人按上述要求获取招标文件，如未在“政采云”系统内完成相关流程，引起的投标无效责任自负。  </w:t>
      </w:r>
    </w:p>
    <w:p w14:paraId="7C96FBC6">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、投标保证金</w:t>
      </w:r>
    </w:p>
    <w:p w14:paraId="4BDCF874">
      <w:pPr>
        <w:widowControl/>
        <w:shd w:val="clear" w:color="auto" w:fill="FFFFFF"/>
        <w:tabs>
          <w:tab w:val="left" w:pos="1680"/>
        </w:tabs>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本项目无投标保证金要求</w:t>
      </w:r>
    </w:p>
    <w:p w14:paraId="7B29E7CB">
      <w:pPr>
        <w:numPr>
          <w:ilvl w:val="0"/>
          <w:numId w:val="0"/>
        </w:numPr>
        <w:tabs>
          <w:tab w:val="left" w:pos="168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提交投标文件截止时间、开标时间和地点</w:t>
      </w:r>
    </w:p>
    <w:p w14:paraId="4B00C1BC">
      <w:pPr>
        <w:numPr>
          <w:ilvl w:val="0"/>
          <w:numId w:val="0"/>
        </w:num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提交投标文件截止时间：</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日14点00分（北京时间）。</w:t>
      </w:r>
    </w:p>
    <w:p w14:paraId="1D97B9F3">
      <w:pPr>
        <w:numPr>
          <w:ilvl w:val="0"/>
          <w:numId w:val="0"/>
        </w:num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投标地点（网址）：政府采购云平台（www.zcygov.cn）（线上）</w:t>
      </w:r>
    </w:p>
    <w:p w14:paraId="36A8E7C3">
      <w:pPr>
        <w:numPr>
          <w:ilvl w:val="0"/>
          <w:numId w:val="0"/>
        </w:num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日14:00（北京时间）</w:t>
      </w:r>
    </w:p>
    <w:p w14:paraId="6E8213BB">
      <w:pPr>
        <w:numPr>
          <w:ilvl w:val="0"/>
          <w:numId w:val="0"/>
        </w:num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开标地点（网址）：</w:t>
      </w:r>
      <w:r>
        <w:rPr>
          <w:rFonts w:hint="eastAsia" w:ascii="宋体" w:hAnsi="宋体"/>
          <w:color w:val="auto"/>
          <w:sz w:val="24"/>
          <w:highlight w:val="none"/>
          <w:lang w:val="en-US" w:eastAsia="zh-CN"/>
        </w:rPr>
        <w:t>宁波市高新区公共资源交易中心</w:t>
      </w:r>
      <w:r>
        <w:rPr>
          <w:rFonts w:hint="eastAsia" w:ascii="宋体" w:hAnsi="宋体"/>
          <w:color w:val="auto"/>
          <w:sz w:val="24"/>
          <w:highlight w:val="none"/>
        </w:rPr>
        <w:t>，本项目通过“政府采购云平台”实行在线电子评标，投标人可在线参加开标。</w:t>
      </w:r>
    </w:p>
    <w:p w14:paraId="7E3592C7">
      <w:pPr>
        <w:tabs>
          <w:tab w:val="left" w:pos="168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、其他事项：</w:t>
      </w:r>
    </w:p>
    <w:p w14:paraId="5FF43C46">
      <w:p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单位负责人为同一人或者存在直接控股、管理关系的不同投标人，不得参加同一合同项下的投标；</w:t>
      </w:r>
    </w:p>
    <w:p w14:paraId="0B0861BC">
      <w:pPr>
        <w:tabs>
          <w:tab w:val="left" w:pos="1680"/>
        </w:tabs>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14:paraId="7CF86AB0">
      <w:pPr>
        <w:tabs>
          <w:tab w:val="left" w:pos="1680"/>
        </w:tabs>
        <w:adjustRightInd w:val="0"/>
        <w:snapToGrid w:val="0"/>
        <w:spacing w:line="360" w:lineRule="auto"/>
        <w:ind w:left="0" w:leftChars="0" w:firstLine="420" w:firstLineChars="175"/>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3）本次采购活动有关信息在“浙江政府采购网（http://zfcg.czt.zj.gov.cn/）”、“宁波市政府采购网（www.nbzfcg.cn）”网站上公布，公布信息视同送达所有潜在投标人。</w:t>
      </w:r>
    </w:p>
    <w:p w14:paraId="214AC38F">
      <w:pPr>
        <w:tabs>
          <w:tab w:val="left" w:pos="168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ascii="宋体" w:hAnsi="宋体"/>
          <w:color w:val="auto"/>
          <w:sz w:val="24"/>
          <w:highlight w:val="none"/>
        </w:rPr>
        <w:t>、联系方式</w:t>
      </w:r>
    </w:p>
    <w:p w14:paraId="08F94A0C">
      <w:pPr>
        <w:tabs>
          <w:tab w:val="left" w:pos="1680"/>
        </w:tabs>
        <w:adjustRightInd w:val="0"/>
        <w:snapToGrid w:val="0"/>
        <w:spacing w:line="360" w:lineRule="auto"/>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招标人：</w:t>
      </w:r>
      <w:r>
        <w:rPr>
          <w:rFonts w:hint="eastAsia" w:ascii="宋体" w:hAnsi="宋体"/>
          <w:color w:val="auto"/>
          <w:sz w:val="24"/>
          <w:highlight w:val="none"/>
          <w:lang w:eastAsia="zh-CN"/>
        </w:rPr>
        <w:t>宁波市鄞州区人民政府聚贤街道办事处</w:t>
      </w:r>
    </w:p>
    <w:p w14:paraId="1704C41F">
      <w:pPr>
        <w:tabs>
          <w:tab w:val="left" w:pos="1680"/>
        </w:tabs>
        <w:adjustRightInd w:val="0"/>
        <w:snapToGrid w:val="0"/>
        <w:spacing w:line="360" w:lineRule="auto"/>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招标代理单位：</w:t>
      </w:r>
      <w:r>
        <w:rPr>
          <w:rFonts w:hint="eastAsia" w:ascii="宋体" w:hAnsi="宋体"/>
          <w:color w:val="auto"/>
          <w:sz w:val="24"/>
          <w:highlight w:val="none"/>
          <w:lang w:eastAsia="zh-CN"/>
        </w:rPr>
        <w:t>科信联合工程咨询有限公司</w:t>
      </w:r>
    </w:p>
    <w:p w14:paraId="30DD9D96">
      <w:pPr>
        <w:tabs>
          <w:tab w:val="left" w:pos="1680"/>
        </w:tabs>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地  址：宁波市</w:t>
      </w:r>
      <w:r>
        <w:rPr>
          <w:rFonts w:hint="eastAsia" w:ascii="宋体" w:hAnsi="宋体"/>
          <w:color w:val="auto"/>
          <w:sz w:val="24"/>
          <w:highlight w:val="none"/>
        </w:rPr>
        <w:t>高新区</w:t>
      </w:r>
      <w:r>
        <w:rPr>
          <w:rFonts w:ascii="宋体" w:hAnsi="宋体"/>
          <w:color w:val="auto"/>
          <w:sz w:val="24"/>
          <w:highlight w:val="none"/>
        </w:rPr>
        <w:t>江南路598号九五国际大厦A座</w:t>
      </w:r>
      <w:r>
        <w:rPr>
          <w:rFonts w:hint="eastAsia" w:ascii="宋体" w:hAnsi="宋体"/>
          <w:color w:val="auto"/>
          <w:sz w:val="24"/>
          <w:highlight w:val="none"/>
          <w:lang w:val="en-US" w:eastAsia="zh-CN"/>
        </w:rPr>
        <w:t>11楼事业四部</w:t>
      </w:r>
    </w:p>
    <w:p w14:paraId="728A0DD3">
      <w:pPr>
        <w:tabs>
          <w:tab w:val="left" w:pos="1680"/>
        </w:tabs>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联系人：</w:t>
      </w:r>
      <w:r>
        <w:rPr>
          <w:rFonts w:hint="eastAsia" w:ascii="宋体" w:hAnsi="宋体"/>
          <w:color w:val="auto"/>
          <w:sz w:val="24"/>
          <w:highlight w:val="none"/>
        </w:rPr>
        <w:t>毛军华、</w:t>
      </w:r>
      <w:r>
        <w:rPr>
          <w:rFonts w:hint="eastAsia" w:ascii="宋体" w:hAnsi="宋体"/>
          <w:color w:val="auto"/>
          <w:sz w:val="24"/>
          <w:highlight w:val="none"/>
          <w:lang w:val="en-US" w:eastAsia="zh-CN"/>
        </w:rPr>
        <w:t>周丙海、汤幸杰</w:t>
      </w:r>
    </w:p>
    <w:p w14:paraId="71245578">
      <w:pPr>
        <w:tabs>
          <w:tab w:val="left" w:pos="1680"/>
        </w:tabs>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电话：0574-8</w:t>
      </w:r>
      <w:r>
        <w:rPr>
          <w:rFonts w:hint="eastAsia" w:ascii="宋体" w:hAnsi="宋体"/>
          <w:color w:val="auto"/>
          <w:sz w:val="24"/>
          <w:highlight w:val="none"/>
          <w:lang w:val="en-US" w:eastAsia="zh-CN"/>
        </w:rPr>
        <w:t>7360849</w:t>
      </w:r>
      <w:r>
        <w:rPr>
          <w:rFonts w:hint="eastAsia" w:ascii="宋体" w:hAnsi="宋体"/>
          <w:color w:val="auto"/>
          <w:sz w:val="24"/>
          <w:highlight w:val="none"/>
        </w:rPr>
        <w:t>、</w:t>
      </w:r>
      <w:r>
        <w:rPr>
          <w:rFonts w:hint="eastAsia" w:ascii="宋体" w:hAnsi="宋体"/>
          <w:color w:val="auto"/>
          <w:sz w:val="24"/>
          <w:highlight w:val="none"/>
          <w:lang w:val="en-US" w:eastAsia="zh-CN"/>
        </w:rPr>
        <w:t>13736007735</w:t>
      </w:r>
    </w:p>
    <w:p w14:paraId="14F04E8F">
      <w:pPr>
        <w:tabs>
          <w:tab w:val="left" w:pos="1680"/>
        </w:tabs>
        <w:adjustRightInd w:val="0"/>
        <w:snapToGrid w:val="0"/>
        <w:spacing w:line="360" w:lineRule="auto"/>
        <w:ind w:firstLine="480" w:firstLineChars="200"/>
        <w:rPr>
          <w:rFonts w:ascii="宋体" w:hAnsi="宋体"/>
          <w:color w:val="auto"/>
          <w:sz w:val="24"/>
          <w:highlight w:val="none"/>
        </w:rPr>
      </w:pPr>
    </w:p>
    <w:p w14:paraId="118406C2">
      <w:pPr>
        <w:pStyle w:val="3"/>
        <w:tabs>
          <w:tab w:val="left" w:pos="1680"/>
        </w:tabs>
        <w:spacing w:before="100" w:beforeAutospacing="1" w:after="100" w:afterAutospacing="1" w:line="360" w:lineRule="auto"/>
        <w:ind w:firstLine="0"/>
        <w:jc w:val="center"/>
        <w:rPr>
          <w:rFonts w:ascii="宋体" w:hAnsi="宋体"/>
          <w:bCs w:val="0"/>
          <w:i w:val="0"/>
          <w:iCs w:val="0"/>
          <w:color w:val="auto"/>
          <w:sz w:val="32"/>
          <w:szCs w:val="32"/>
          <w:highlight w:val="none"/>
        </w:rPr>
      </w:pPr>
      <w:bookmarkStart w:id="1" w:name="_Toc427442450"/>
      <w:r>
        <w:rPr>
          <w:rFonts w:ascii="宋体" w:hAnsi="宋体"/>
          <w:bCs w:val="0"/>
          <w:i w:val="0"/>
          <w:iCs w:val="0"/>
          <w:color w:val="auto"/>
          <w:sz w:val="32"/>
          <w:szCs w:val="32"/>
          <w:highlight w:val="none"/>
          <w:shd w:val="pct10" w:color="auto" w:fill="FFFFFF"/>
        </w:rPr>
        <w:br w:type="page"/>
      </w:r>
      <w:bookmarkStart w:id="2" w:name="_Toc25442"/>
      <w:r>
        <w:rPr>
          <w:rFonts w:hint="eastAsia" w:ascii="宋体" w:hAnsi="宋体"/>
          <w:bCs w:val="0"/>
          <w:i w:val="0"/>
          <w:iCs w:val="0"/>
          <w:color w:val="auto"/>
          <w:sz w:val="32"/>
          <w:szCs w:val="32"/>
          <w:highlight w:val="none"/>
        </w:rPr>
        <w:t>第二章 项目需求</w:t>
      </w:r>
      <w:bookmarkEnd w:id="1"/>
      <w:bookmarkEnd w:id="2"/>
    </w:p>
    <w:p w14:paraId="48BFE69D">
      <w:pPr>
        <w:tabs>
          <w:tab w:val="left" w:pos="1680"/>
        </w:tabs>
        <w:adjustRightInd w:val="0"/>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一、项目背景</w:t>
      </w:r>
    </w:p>
    <w:p w14:paraId="3A9EEB11">
      <w:pPr>
        <w:tabs>
          <w:tab w:val="left" w:pos="1680"/>
        </w:tabs>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为进一步规范</w:t>
      </w:r>
      <w:r>
        <w:rPr>
          <w:rFonts w:hint="eastAsia" w:asciiTheme="minorEastAsia" w:hAnsiTheme="minorEastAsia" w:eastAsiaTheme="minorEastAsia"/>
          <w:sz w:val="24"/>
          <w:highlight w:val="none"/>
          <w:lang w:eastAsia="zh-CN"/>
        </w:rPr>
        <w:t>宁波高新区聚贤街道总工会</w:t>
      </w:r>
      <w:r>
        <w:rPr>
          <w:rFonts w:hint="eastAsia" w:asciiTheme="minorEastAsia" w:hAnsiTheme="minorEastAsia" w:eastAsiaTheme="minorEastAsia"/>
          <w:sz w:val="24"/>
          <w:highlight w:val="none"/>
        </w:rPr>
        <w:t>银行账户和公款存放管理</w:t>
      </w:r>
      <w:r>
        <w:rPr>
          <w:rFonts w:asciiTheme="minorEastAsia" w:hAnsiTheme="minorEastAsia" w:eastAsiaTheme="minorEastAsia"/>
          <w:sz w:val="24"/>
          <w:highlight w:val="none"/>
        </w:rPr>
        <w:t>，强化资金监管，提高资金效率，构建从源头上预防和治理腐败的公款存放机制，防止利益冲突和利益输送，根据</w:t>
      </w:r>
      <w:r>
        <w:rPr>
          <w:rFonts w:hint="eastAsia" w:asciiTheme="minorEastAsia" w:hAnsiTheme="minorEastAsia" w:eastAsiaTheme="minorEastAsia"/>
          <w:color w:val="auto"/>
          <w:sz w:val="24"/>
          <w:highlight w:val="none"/>
        </w:rPr>
        <w:t>《宁波国家高新区关于进一步加强财政部门和预算单位资金存放管理的通知》（甬高新财[2018]81号）</w:t>
      </w:r>
      <w:r>
        <w:rPr>
          <w:rFonts w:asciiTheme="minorEastAsia" w:hAnsiTheme="minorEastAsia" w:eastAsiaTheme="minorEastAsia"/>
          <w:sz w:val="24"/>
          <w:highlight w:val="none"/>
        </w:rPr>
        <w:t>的规定，特对</w:t>
      </w:r>
      <w:r>
        <w:rPr>
          <w:rFonts w:hint="eastAsia" w:ascii="宋体" w:hAnsi="宋体" w:eastAsiaTheme="minorEastAsia"/>
          <w:sz w:val="24"/>
          <w:highlight w:val="none"/>
          <w:lang w:eastAsia="zh-CN"/>
        </w:rPr>
        <w:t>宁波高新区聚贤街道总工会</w:t>
      </w:r>
      <w:r>
        <w:rPr>
          <w:rFonts w:hint="eastAsia" w:ascii="宋体" w:hAnsi="宋体" w:eastAsiaTheme="minorEastAsia"/>
          <w:sz w:val="24"/>
          <w:highlight w:val="none"/>
          <w:lang w:val="en-US" w:eastAsia="zh-CN"/>
        </w:rPr>
        <w:t>2025年度</w:t>
      </w:r>
      <w:r>
        <w:rPr>
          <w:rFonts w:hint="eastAsia" w:ascii="宋体" w:hAnsi="宋体" w:eastAsiaTheme="minorEastAsia"/>
          <w:sz w:val="24"/>
          <w:highlight w:val="none"/>
          <w:lang w:eastAsia="zh-CN"/>
        </w:rPr>
        <w:t>银行基本账户竞争性存放项目</w:t>
      </w:r>
      <w:r>
        <w:rPr>
          <w:rFonts w:asciiTheme="minorEastAsia" w:hAnsiTheme="minorEastAsia" w:eastAsiaTheme="minorEastAsia"/>
          <w:sz w:val="24"/>
          <w:highlight w:val="none"/>
        </w:rPr>
        <w:t>进行公开招标。</w:t>
      </w:r>
    </w:p>
    <w:p w14:paraId="77DCF67D">
      <w:pPr>
        <w:tabs>
          <w:tab w:val="left" w:pos="1680"/>
        </w:tabs>
        <w:adjustRightInd w:val="0"/>
        <w:snapToGrid w:val="0"/>
        <w:spacing w:line="360" w:lineRule="auto"/>
        <w:ind w:firstLine="480" w:firstLineChars="200"/>
        <w:rPr>
          <w:rFonts w:asciiTheme="minorEastAsia" w:hAnsiTheme="minorEastAsia" w:eastAsiaTheme="minorEastAsia"/>
          <w:sz w:val="24"/>
          <w:highlight w:val="none"/>
        </w:rPr>
      </w:pPr>
      <w:r>
        <w:rPr>
          <w:rFonts w:hint="eastAsia" w:ascii="宋体" w:hAnsi="宋体"/>
          <w:sz w:val="24"/>
          <w:highlight w:val="none"/>
        </w:rPr>
        <w:t>招标内容包括：基本账户1家。</w:t>
      </w:r>
    </w:p>
    <w:p w14:paraId="0F819D80">
      <w:pPr>
        <w:tabs>
          <w:tab w:val="left" w:pos="1680"/>
        </w:tabs>
        <w:adjustRightInd w:val="0"/>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二、招标需求</w:t>
      </w:r>
    </w:p>
    <w:p w14:paraId="136E1702">
      <w:pPr>
        <w:tabs>
          <w:tab w:val="left" w:pos="1680"/>
        </w:tabs>
        <w:adjustRightInd w:val="0"/>
        <w:snapToGrid w:val="0"/>
        <w:spacing w:line="360" w:lineRule="auto"/>
        <w:rPr>
          <w:rFonts w:asciiTheme="minorEastAsia" w:hAnsiTheme="minorEastAsia" w:eastAsiaTheme="minorEastAsia"/>
          <w:b/>
          <w:sz w:val="24"/>
          <w:highlight w:val="none"/>
        </w:rPr>
      </w:pPr>
      <w:r>
        <w:rPr>
          <w:rFonts w:hint="eastAsia" w:ascii="宋体" w:hAnsi="宋体"/>
          <w:sz w:val="24"/>
          <w:highlight w:val="none"/>
        </w:rPr>
        <w:t xml:space="preserve">    服务要求：</w:t>
      </w:r>
    </w:p>
    <w:p w14:paraId="245B6ED6">
      <w:pPr>
        <w:tabs>
          <w:tab w:val="left" w:pos="1680"/>
        </w:tabs>
        <w:adjustRightInd w:val="0"/>
        <w:snapToGrid w:val="0"/>
        <w:spacing w:line="360" w:lineRule="auto"/>
        <w:rPr>
          <w:rFonts w:asciiTheme="minorEastAsia" w:hAnsiTheme="minorEastAsia" w:eastAsiaTheme="minorEastAsia"/>
          <w:b/>
          <w:sz w:val="24"/>
          <w:highlight w:val="none"/>
        </w:rPr>
      </w:pPr>
      <w:r>
        <w:rPr>
          <w:rFonts w:hint="eastAsia" w:ascii="宋体" w:hAnsi="宋体"/>
          <w:sz w:val="24"/>
          <w:highlight w:val="none"/>
        </w:rPr>
        <w:t xml:space="preserve">    （一）招标人单位账户开户及日常资金收付结算服务、账户对账服务、年检服务、网银操作、安全性、流动性保障等在内的一切配套基本服务。</w:t>
      </w:r>
    </w:p>
    <w:p w14:paraId="690F5EE4">
      <w:pPr>
        <w:tabs>
          <w:tab w:val="left" w:pos="1680"/>
        </w:tabs>
        <w:adjustRightInd w:val="0"/>
        <w:snapToGrid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w:t>
      </w:r>
      <w:r>
        <w:rPr>
          <w:rFonts w:hint="eastAsia" w:ascii="宋体" w:hAnsi="宋体"/>
          <w:sz w:val="24"/>
          <w:highlight w:val="none"/>
        </w:rPr>
        <w:t>（二）安全、便捷、高效、便民</w:t>
      </w:r>
      <w:r>
        <w:rPr>
          <w:rFonts w:hint="eastAsia" w:ascii="宋体" w:hAnsi="宋体"/>
          <w:b/>
          <w:sz w:val="24"/>
          <w:highlight w:val="none"/>
        </w:rPr>
        <w:t>。</w:t>
      </w:r>
    </w:p>
    <w:p w14:paraId="6117BF2E">
      <w:pPr>
        <w:tabs>
          <w:tab w:val="left" w:pos="1680"/>
        </w:tabs>
        <w:adjustRightInd w:val="0"/>
        <w:snapToGrid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w:t>
      </w:r>
      <w:r>
        <w:rPr>
          <w:rFonts w:hint="eastAsia" w:ascii="宋体" w:hAnsi="宋体"/>
          <w:sz w:val="24"/>
          <w:highlight w:val="none"/>
        </w:rPr>
        <w:t>（三）服务期间招标人提出的一切有关账户管理的服务。</w:t>
      </w:r>
    </w:p>
    <w:p w14:paraId="68DF964E">
      <w:pPr>
        <w:tabs>
          <w:tab w:val="left" w:pos="1680"/>
        </w:tabs>
        <w:adjustRightInd w:val="0"/>
        <w:snapToGrid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w:t>
      </w:r>
      <w:r>
        <w:rPr>
          <w:rFonts w:hint="eastAsia" w:ascii="宋体" w:hAnsi="宋体"/>
          <w:sz w:val="24"/>
          <w:highlight w:val="none"/>
        </w:rPr>
        <w:t>（四）其他服务要求：</w:t>
      </w:r>
    </w:p>
    <w:p w14:paraId="303235B2">
      <w:pPr>
        <w:widowControl/>
        <w:tabs>
          <w:tab w:val="left" w:pos="1680"/>
        </w:tabs>
        <w:spacing w:line="360" w:lineRule="auto"/>
        <w:ind w:left="61" w:leftChars="29" w:right="-21" w:rightChars="-10" w:firstLine="480" w:firstLineChars="200"/>
        <w:jc w:val="left"/>
        <w:rPr>
          <w:rFonts w:ascii="宋体" w:hAnsi="宋体"/>
          <w:sz w:val="24"/>
          <w:highlight w:val="none"/>
        </w:rPr>
      </w:pPr>
      <w:r>
        <w:rPr>
          <w:rFonts w:hint="eastAsia" w:ascii="宋体" w:hAnsi="宋体"/>
          <w:sz w:val="24"/>
          <w:highlight w:val="none"/>
        </w:rPr>
        <w:t>1、投标人依法为招标人的账户信息保密；</w:t>
      </w:r>
    </w:p>
    <w:p w14:paraId="0AB489A1">
      <w:pPr>
        <w:widowControl/>
        <w:tabs>
          <w:tab w:val="left" w:pos="1680"/>
        </w:tabs>
        <w:spacing w:line="360" w:lineRule="auto"/>
        <w:ind w:left="61" w:leftChars="29" w:right="-21" w:rightChars="-10" w:firstLine="480" w:firstLineChars="200"/>
        <w:jc w:val="left"/>
        <w:rPr>
          <w:rFonts w:ascii="宋体" w:hAnsi="宋体"/>
          <w:sz w:val="24"/>
          <w:highlight w:val="none"/>
        </w:rPr>
      </w:pPr>
      <w:r>
        <w:rPr>
          <w:rFonts w:hint="eastAsia" w:ascii="宋体" w:hAnsi="宋体"/>
          <w:sz w:val="24"/>
          <w:highlight w:val="none"/>
        </w:rPr>
        <w:t>2、银行故障或招标人工作遇到疑问时，投标人应该能够2小时内及时响应招标人疑问或维修要求，并在4小时内提出解决方案，48小时内解决问题；</w:t>
      </w:r>
    </w:p>
    <w:p w14:paraId="7FD84AFA">
      <w:pPr>
        <w:widowControl/>
        <w:tabs>
          <w:tab w:val="left" w:pos="1680"/>
        </w:tabs>
        <w:adjustRightInd w:val="0"/>
        <w:snapToGrid w:val="0"/>
        <w:spacing w:line="360" w:lineRule="auto"/>
        <w:ind w:firstLine="480" w:firstLineChars="200"/>
        <w:rPr>
          <w:rFonts w:asciiTheme="minorEastAsia" w:hAnsiTheme="minorEastAsia" w:eastAsiaTheme="minorEastAsia"/>
          <w:sz w:val="24"/>
          <w:highlight w:val="none"/>
        </w:rPr>
      </w:pPr>
      <w:r>
        <w:rPr>
          <w:rFonts w:hint="eastAsia" w:ascii="宋体" w:hAnsi="宋体"/>
          <w:sz w:val="24"/>
          <w:highlight w:val="none"/>
        </w:rPr>
        <w:t>3、其他招标人提出的合理的服务要求。</w:t>
      </w:r>
    </w:p>
    <w:p w14:paraId="14C95997">
      <w:pPr>
        <w:tabs>
          <w:tab w:val="left" w:pos="1680"/>
        </w:tabs>
        <w:adjustRightInd w:val="0"/>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三、服务期限：</w:t>
      </w:r>
    </w:p>
    <w:p w14:paraId="2679E15B">
      <w:pPr>
        <w:widowControl/>
        <w:tabs>
          <w:tab w:val="left" w:pos="1680"/>
        </w:tabs>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▲本项目最高服务期</w:t>
      </w:r>
      <w:r>
        <w:rPr>
          <w:rFonts w:hint="eastAsia" w:asciiTheme="minorEastAsia" w:hAnsiTheme="minorEastAsia" w:eastAsiaTheme="minorEastAsia"/>
          <w:sz w:val="24"/>
          <w:highlight w:val="none"/>
        </w:rPr>
        <w:t>限</w:t>
      </w:r>
      <w:r>
        <w:rPr>
          <w:rFonts w:hint="eastAsia" w:asciiTheme="minorEastAsia" w:hAnsiTheme="minorEastAsia" w:eastAsiaTheme="minorEastAsia"/>
          <w:sz w:val="24"/>
          <w:highlight w:val="none"/>
          <w:lang w:val="en-US" w:eastAsia="zh-CN"/>
        </w:rPr>
        <w:t>三</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rPr>
        <w:t>合同</w:t>
      </w:r>
      <w:r>
        <w:rPr>
          <w:rFonts w:hint="eastAsia" w:asciiTheme="minorEastAsia" w:hAnsiTheme="minorEastAsia" w:eastAsiaTheme="minorEastAsia"/>
          <w:sz w:val="24"/>
          <w:highlight w:val="none"/>
          <w:lang w:val="en-US" w:eastAsia="zh-CN"/>
        </w:rPr>
        <w:t>一</w:t>
      </w:r>
      <w:r>
        <w:rPr>
          <w:rFonts w:hint="eastAsia" w:asciiTheme="minorEastAsia" w:hAnsiTheme="minorEastAsia" w:eastAsiaTheme="minorEastAsia"/>
          <w:sz w:val="24"/>
          <w:highlight w:val="none"/>
        </w:rPr>
        <w:t>年一签。</w:t>
      </w:r>
    </w:p>
    <w:p w14:paraId="72D386BB">
      <w:pPr>
        <w:widowControl/>
        <w:tabs>
          <w:tab w:val="left" w:pos="1680"/>
        </w:tabs>
        <w:adjustRightInd w:val="0"/>
        <w:snapToGrid w:val="0"/>
        <w:spacing w:line="360" w:lineRule="auto"/>
        <w:ind w:firstLine="480" w:firstLineChars="200"/>
        <w:rPr>
          <w:rFonts w:hint="eastAsia" w:ascii="宋体" w:hAnsi="宋体"/>
          <w:color w:val="auto"/>
          <w:sz w:val="24"/>
          <w:highlight w:val="none"/>
        </w:rPr>
      </w:pPr>
    </w:p>
    <w:p w14:paraId="10FCE70B">
      <w:pPr>
        <w:pStyle w:val="3"/>
        <w:tabs>
          <w:tab w:val="left" w:pos="1680"/>
        </w:tabs>
        <w:adjustRightInd w:val="0"/>
        <w:snapToGrid w:val="0"/>
        <w:spacing w:line="440" w:lineRule="exact"/>
        <w:ind w:firstLine="0"/>
        <w:jc w:val="center"/>
        <w:rPr>
          <w:rFonts w:ascii="宋体" w:hAnsi="宋体"/>
          <w:bCs w:val="0"/>
          <w:i w:val="0"/>
          <w:iCs w:val="0"/>
          <w:color w:val="auto"/>
          <w:sz w:val="32"/>
          <w:szCs w:val="32"/>
          <w:highlight w:val="none"/>
        </w:rPr>
      </w:pPr>
      <w:bookmarkStart w:id="3" w:name="_Toc429406698"/>
      <w:r>
        <w:rPr>
          <w:rFonts w:asciiTheme="minorEastAsia" w:hAnsiTheme="minorEastAsia" w:eastAsiaTheme="minorEastAsia"/>
          <w:i w:val="0"/>
          <w:color w:val="auto"/>
          <w:sz w:val="32"/>
          <w:szCs w:val="32"/>
          <w:highlight w:val="none"/>
        </w:rPr>
        <w:br w:type="page"/>
      </w:r>
      <w:bookmarkStart w:id="4" w:name="_Toc16701"/>
      <w:r>
        <w:rPr>
          <w:rFonts w:hint="eastAsia" w:ascii="宋体" w:hAnsi="宋体"/>
          <w:bCs w:val="0"/>
          <w:i w:val="0"/>
          <w:iCs w:val="0"/>
          <w:color w:val="auto"/>
          <w:sz w:val="32"/>
          <w:szCs w:val="32"/>
          <w:highlight w:val="none"/>
        </w:rPr>
        <w:t>第三章 投标人</w:t>
      </w:r>
      <w:bookmarkEnd w:id="3"/>
      <w:r>
        <w:rPr>
          <w:rFonts w:hint="eastAsia" w:ascii="宋体" w:hAnsi="宋体"/>
          <w:bCs w:val="0"/>
          <w:i w:val="0"/>
          <w:iCs w:val="0"/>
          <w:color w:val="auto"/>
          <w:sz w:val="32"/>
          <w:szCs w:val="32"/>
          <w:highlight w:val="none"/>
        </w:rPr>
        <w:t>须知</w:t>
      </w:r>
      <w:bookmarkEnd w:id="4"/>
    </w:p>
    <w:p w14:paraId="1C08D2BE">
      <w:pPr>
        <w:pStyle w:val="3"/>
        <w:tabs>
          <w:tab w:val="left" w:pos="1680"/>
        </w:tabs>
        <w:adjustRightInd w:val="0"/>
        <w:snapToGrid w:val="0"/>
        <w:spacing w:line="440" w:lineRule="exact"/>
        <w:ind w:firstLine="0"/>
        <w:jc w:val="center"/>
        <w:rPr>
          <w:rFonts w:ascii="宋体" w:hAnsi="宋体"/>
          <w:i w:val="0"/>
          <w:color w:val="auto"/>
          <w:sz w:val="28"/>
          <w:szCs w:val="28"/>
          <w:highlight w:val="none"/>
        </w:rPr>
      </w:pPr>
      <w:bookmarkStart w:id="5" w:name="_Toc429406700"/>
      <w:bookmarkStart w:id="6" w:name="_Toc11766"/>
      <w:bookmarkStart w:id="7" w:name="_Toc427442449"/>
      <w:bookmarkStart w:id="8" w:name="_Toc436314537"/>
      <w:r>
        <w:rPr>
          <w:rFonts w:hint="eastAsia" w:ascii="宋体" w:hAnsi="宋体"/>
          <w:i w:val="0"/>
          <w:color w:val="auto"/>
          <w:sz w:val="28"/>
          <w:szCs w:val="28"/>
          <w:highlight w:val="none"/>
        </w:rPr>
        <w:t>第一部分</w:t>
      </w:r>
      <w:bookmarkStart w:id="9" w:name="_Toc259108308"/>
      <w:bookmarkStart w:id="10" w:name="_Toc249866750"/>
      <w:bookmarkStart w:id="11" w:name="_Toc355117095"/>
      <w:r>
        <w:rPr>
          <w:rFonts w:hint="eastAsia" w:ascii="宋体" w:hAnsi="宋体"/>
          <w:i w:val="0"/>
          <w:color w:val="auto"/>
          <w:sz w:val="28"/>
          <w:szCs w:val="28"/>
          <w:highlight w:val="none"/>
        </w:rPr>
        <w:t xml:space="preserve">  前附表</w:t>
      </w:r>
      <w:bookmarkEnd w:id="5"/>
      <w:bookmarkEnd w:id="6"/>
      <w:bookmarkEnd w:id="7"/>
      <w:bookmarkEnd w:id="8"/>
      <w:bookmarkEnd w:id="9"/>
      <w:bookmarkEnd w:id="10"/>
      <w:bookmarkEnd w:id="11"/>
    </w:p>
    <w:tbl>
      <w:tblPr>
        <w:tblStyle w:val="31"/>
        <w:tblW w:w="9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8320"/>
      </w:tblGrid>
      <w:tr w14:paraId="52D2C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BD1AB8D">
            <w:pPr>
              <w:tabs>
                <w:tab w:val="left" w:pos="1680"/>
              </w:tabs>
              <w:adjustRightInd w:val="0"/>
              <w:snapToGrid w:val="0"/>
              <w:jc w:val="center"/>
              <w:rPr>
                <w:b/>
                <w:color w:val="auto"/>
                <w:sz w:val="24"/>
                <w:highlight w:val="none"/>
              </w:rPr>
            </w:pPr>
            <w:r>
              <w:rPr>
                <w:rFonts w:hAnsi="宋体"/>
                <w:b/>
                <w:color w:val="auto"/>
                <w:sz w:val="24"/>
                <w:highlight w:val="none"/>
              </w:rPr>
              <w:t>序号</w:t>
            </w:r>
          </w:p>
        </w:tc>
        <w:tc>
          <w:tcPr>
            <w:tcW w:w="8320" w:type="dxa"/>
            <w:tcBorders>
              <w:top w:val="single" w:color="auto" w:sz="4" w:space="0"/>
              <w:left w:val="single" w:color="auto" w:sz="4" w:space="0"/>
              <w:bottom w:val="single" w:color="auto" w:sz="4" w:space="0"/>
              <w:right w:val="single" w:color="auto" w:sz="4" w:space="0"/>
            </w:tcBorders>
            <w:vAlign w:val="center"/>
          </w:tcPr>
          <w:p w14:paraId="3879BD78">
            <w:pPr>
              <w:tabs>
                <w:tab w:val="left" w:pos="1680"/>
              </w:tabs>
              <w:adjustRightInd w:val="0"/>
              <w:snapToGrid w:val="0"/>
              <w:jc w:val="center"/>
              <w:rPr>
                <w:b/>
                <w:color w:val="auto"/>
                <w:sz w:val="24"/>
                <w:highlight w:val="none"/>
              </w:rPr>
            </w:pPr>
            <w:r>
              <w:rPr>
                <w:rFonts w:hAnsi="宋体"/>
                <w:b/>
                <w:color w:val="auto"/>
                <w:sz w:val="24"/>
                <w:highlight w:val="none"/>
              </w:rPr>
              <w:t>内容、要求</w:t>
            </w:r>
          </w:p>
        </w:tc>
      </w:tr>
      <w:tr w14:paraId="7E84B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9F27448">
            <w:pPr>
              <w:tabs>
                <w:tab w:val="left" w:pos="1680"/>
              </w:tabs>
              <w:adjustRightInd w:val="0"/>
              <w:snapToGrid w:val="0"/>
              <w:jc w:val="center"/>
              <w:rPr>
                <w:color w:val="auto"/>
                <w:sz w:val="24"/>
                <w:highlight w:val="none"/>
              </w:rPr>
            </w:pPr>
            <w:r>
              <w:rPr>
                <w:color w:val="auto"/>
                <w:sz w:val="24"/>
                <w:highlight w:val="none"/>
              </w:rPr>
              <w:t>1</w:t>
            </w:r>
          </w:p>
        </w:tc>
        <w:tc>
          <w:tcPr>
            <w:tcW w:w="8320" w:type="dxa"/>
            <w:tcBorders>
              <w:top w:val="single" w:color="auto" w:sz="4" w:space="0"/>
              <w:left w:val="single" w:color="auto" w:sz="4" w:space="0"/>
              <w:bottom w:val="single" w:color="auto" w:sz="4" w:space="0"/>
              <w:right w:val="single" w:color="auto" w:sz="4" w:space="0"/>
            </w:tcBorders>
            <w:vAlign w:val="center"/>
          </w:tcPr>
          <w:p w14:paraId="5AFBE4A1">
            <w:pPr>
              <w:widowControl/>
              <w:tabs>
                <w:tab w:val="left" w:pos="1680"/>
              </w:tabs>
              <w:adjustRightInd w:val="0"/>
              <w:snapToGrid w:val="0"/>
              <w:ind w:right="62"/>
              <w:jc w:val="left"/>
              <w:rPr>
                <w:rFonts w:hint="eastAsia" w:hAnsi="宋体" w:eastAsia="宋体"/>
                <w:color w:val="auto"/>
                <w:sz w:val="24"/>
                <w:highlight w:val="none"/>
                <w:lang w:eastAsia="zh-CN"/>
              </w:rPr>
            </w:pPr>
            <w:r>
              <w:rPr>
                <w:rFonts w:hAnsi="宋体"/>
                <w:color w:val="auto"/>
                <w:sz w:val="24"/>
                <w:highlight w:val="none"/>
              </w:rPr>
              <w:t>项目名称：</w:t>
            </w:r>
            <w:r>
              <w:rPr>
                <w:rFonts w:hint="eastAsia" w:ascii="宋体" w:hAnsi="宋体"/>
                <w:color w:val="auto"/>
                <w:sz w:val="24"/>
                <w:highlight w:val="none"/>
                <w:lang w:eastAsia="zh-CN"/>
              </w:rPr>
              <w:t>宁波高新区聚贤街道总工会2025年度基本存款账户竞争性存放服务项目</w:t>
            </w:r>
          </w:p>
        </w:tc>
      </w:tr>
      <w:tr w14:paraId="69A2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EBD95AE">
            <w:pPr>
              <w:tabs>
                <w:tab w:val="left" w:pos="1680"/>
              </w:tabs>
              <w:adjustRightInd w:val="0"/>
              <w:snapToGrid w:val="0"/>
              <w:jc w:val="center"/>
              <w:rPr>
                <w:color w:val="auto"/>
                <w:sz w:val="24"/>
                <w:highlight w:val="none"/>
              </w:rPr>
            </w:pPr>
            <w:r>
              <w:rPr>
                <w:color w:val="auto"/>
                <w:sz w:val="24"/>
                <w:highlight w:val="none"/>
              </w:rPr>
              <w:t>2</w:t>
            </w:r>
          </w:p>
        </w:tc>
        <w:tc>
          <w:tcPr>
            <w:tcW w:w="8320" w:type="dxa"/>
            <w:tcBorders>
              <w:top w:val="single" w:color="auto" w:sz="4" w:space="0"/>
              <w:left w:val="single" w:color="auto" w:sz="4" w:space="0"/>
              <w:bottom w:val="single" w:color="auto" w:sz="4" w:space="0"/>
              <w:right w:val="single" w:color="auto" w:sz="4" w:space="0"/>
            </w:tcBorders>
            <w:vAlign w:val="center"/>
          </w:tcPr>
          <w:p w14:paraId="6DF1052D">
            <w:pPr>
              <w:tabs>
                <w:tab w:val="left" w:pos="1680"/>
              </w:tabs>
              <w:adjustRightInd w:val="0"/>
              <w:snapToGrid w:val="0"/>
              <w:rPr>
                <w:rFonts w:hAnsi="宋体"/>
                <w:color w:val="auto"/>
                <w:sz w:val="24"/>
                <w:highlight w:val="none"/>
              </w:rPr>
            </w:pPr>
            <w:r>
              <w:rPr>
                <w:rFonts w:hAnsi="宋体"/>
                <w:color w:val="auto"/>
                <w:sz w:val="24"/>
                <w:highlight w:val="none"/>
              </w:rPr>
              <w:t>招标内容：详见第二章</w:t>
            </w:r>
          </w:p>
        </w:tc>
      </w:tr>
      <w:tr w14:paraId="09CA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C5D6A79">
            <w:pPr>
              <w:tabs>
                <w:tab w:val="left" w:pos="1680"/>
              </w:tabs>
              <w:adjustRightInd w:val="0"/>
              <w:snapToGrid w:val="0"/>
              <w:jc w:val="center"/>
              <w:rPr>
                <w:color w:val="auto"/>
                <w:sz w:val="24"/>
                <w:highlight w:val="none"/>
              </w:rPr>
            </w:pPr>
            <w:r>
              <w:rPr>
                <w:color w:val="auto"/>
                <w:sz w:val="24"/>
                <w:highlight w:val="none"/>
              </w:rPr>
              <w:t>3</w:t>
            </w:r>
          </w:p>
        </w:tc>
        <w:tc>
          <w:tcPr>
            <w:tcW w:w="8320" w:type="dxa"/>
            <w:tcBorders>
              <w:top w:val="single" w:color="auto" w:sz="4" w:space="0"/>
              <w:left w:val="single" w:color="auto" w:sz="4" w:space="0"/>
              <w:bottom w:val="single" w:color="auto" w:sz="4" w:space="0"/>
              <w:right w:val="single" w:color="auto" w:sz="4" w:space="0"/>
            </w:tcBorders>
            <w:vAlign w:val="center"/>
          </w:tcPr>
          <w:p w14:paraId="6FC82E84">
            <w:pPr>
              <w:tabs>
                <w:tab w:val="left" w:pos="1680"/>
              </w:tabs>
              <w:adjustRightInd w:val="0"/>
              <w:snapToGrid w:val="0"/>
              <w:rPr>
                <w:rFonts w:ascii="宋体" w:hAnsi="宋体"/>
                <w:color w:val="auto"/>
                <w:sz w:val="24"/>
                <w:highlight w:val="none"/>
              </w:rPr>
            </w:pPr>
            <w:r>
              <w:rPr>
                <w:rFonts w:hint="eastAsia" w:ascii="宋体" w:hAnsi="宋体"/>
                <w:color w:val="auto"/>
                <w:sz w:val="24"/>
                <w:highlight w:val="none"/>
              </w:rPr>
              <w:t>中标银行数量</w:t>
            </w:r>
            <w:r>
              <w:rPr>
                <w:rFonts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家</w:t>
            </w:r>
          </w:p>
        </w:tc>
      </w:tr>
      <w:tr w14:paraId="4499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05BDBDC">
            <w:pPr>
              <w:tabs>
                <w:tab w:val="left" w:pos="1680"/>
              </w:tabs>
              <w:adjustRightInd w:val="0"/>
              <w:snapToGrid w:val="0"/>
              <w:jc w:val="center"/>
              <w:rPr>
                <w:color w:val="auto"/>
                <w:sz w:val="24"/>
                <w:highlight w:val="none"/>
              </w:rPr>
            </w:pPr>
            <w:r>
              <w:rPr>
                <w:color w:val="auto"/>
                <w:sz w:val="24"/>
                <w:highlight w:val="none"/>
              </w:rPr>
              <w:t>4</w:t>
            </w:r>
          </w:p>
        </w:tc>
        <w:tc>
          <w:tcPr>
            <w:tcW w:w="8320" w:type="dxa"/>
            <w:tcBorders>
              <w:top w:val="single" w:color="auto" w:sz="4" w:space="0"/>
              <w:left w:val="single" w:color="auto" w:sz="4" w:space="0"/>
              <w:bottom w:val="single" w:color="auto" w:sz="4" w:space="0"/>
              <w:right w:val="single" w:color="auto" w:sz="4" w:space="0"/>
            </w:tcBorders>
            <w:vAlign w:val="center"/>
          </w:tcPr>
          <w:p w14:paraId="40804039">
            <w:pPr>
              <w:tabs>
                <w:tab w:val="left" w:pos="1680"/>
              </w:tabs>
              <w:adjustRightInd w:val="0"/>
              <w:snapToGrid w:val="0"/>
              <w:rPr>
                <w:rFonts w:ascii="宋体" w:hAnsi="宋体"/>
                <w:color w:val="auto"/>
                <w:sz w:val="24"/>
                <w:highlight w:val="none"/>
              </w:rPr>
            </w:pPr>
            <w:r>
              <w:rPr>
                <w:rFonts w:ascii="宋体" w:hAnsi="宋体"/>
                <w:color w:val="auto"/>
                <w:sz w:val="24"/>
                <w:highlight w:val="none"/>
              </w:rPr>
              <w:t>答疑与澄清：</w:t>
            </w:r>
            <w:r>
              <w:rPr>
                <w:rFonts w:hint="eastAsia" w:ascii="宋体" w:hAnsi="宋体"/>
                <w:color w:val="auto"/>
                <w:sz w:val="24"/>
                <w:highlight w:val="none"/>
              </w:rPr>
              <w:t>投标人如认为招标文件表述不清晰、存在歧视性或者其他违法内容的，应当在投标截止时间10日前，以书面形式要求招标单位做出书面解释、澄清或者向招标单位提出书面质疑。招标单位将不专门组织答疑；如有答疑，答疑内容是招标文件的组成部分，并将以书面形式通知所有已报名的投标人；如有澄清，澄清内容是招标文件的组成部分，并将以书面形式或在规定的信息发布网站上通知所有已报名的投标人；因其他紧急情况影响本项目正常招标活动的，招标单位将于投标截止日期3天前书面通知所有已报名的投标人。</w:t>
            </w:r>
          </w:p>
        </w:tc>
      </w:tr>
      <w:tr w14:paraId="74B3F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4DE811F9">
            <w:pPr>
              <w:tabs>
                <w:tab w:val="left" w:pos="1680"/>
              </w:tabs>
              <w:adjustRightInd w:val="0"/>
              <w:snapToGrid w:val="0"/>
              <w:jc w:val="center"/>
              <w:rPr>
                <w:color w:val="auto"/>
                <w:sz w:val="24"/>
                <w:highlight w:val="none"/>
              </w:rPr>
            </w:pPr>
            <w:r>
              <w:rPr>
                <w:color w:val="auto"/>
                <w:sz w:val="24"/>
                <w:highlight w:val="none"/>
              </w:rPr>
              <w:t>▲5</w:t>
            </w:r>
          </w:p>
        </w:tc>
        <w:tc>
          <w:tcPr>
            <w:tcW w:w="8320" w:type="dxa"/>
            <w:tcBorders>
              <w:top w:val="single" w:color="auto" w:sz="4" w:space="0"/>
              <w:left w:val="single" w:color="auto" w:sz="4" w:space="0"/>
              <w:bottom w:val="single" w:color="auto" w:sz="4" w:space="0"/>
              <w:right w:val="single" w:color="auto" w:sz="4" w:space="0"/>
            </w:tcBorders>
            <w:vAlign w:val="center"/>
          </w:tcPr>
          <w:p w14:paraId="712F27F9">
            <w:pPr>
              <w:tabs>
                <w:tab w:val="left" w:pos="1680"/>
              </w:tabs>
              <w:autoSpaceDE w:val="0"/>
              <w:autoSpaceDN w:val="0"/>
              <w:snapToGrid w:val="0"/>
              <w:spacing w:line="360" w:lineRule="auto"/>
              <w:textAlignment w:val="bottom"/>
              <w:rPr>
                <w:rFonts w:ascii="宋体" w:hAnsi="宋体" w:cs="宋体"/>
                <w:color w:val="auto"/>
                <w:sz w:val="24"/>
                <w:highlight w:val="none"/>
              </w:rPr>
            </w:pPr>
            <w:r>
              <w:rPr>
                <w:rFonts w:ascii="宋体" w:hAnsi="宋体"/>
                <w:color w:val="auto"/>
                <w:sz w:val="24"/>
                <w:highlight w:val="none"/>
              </w:rPr>
              <w:t>投标文件组成：</w:t>
            </w:r>
            <w:r>
              <w:rPr>
                <w:rFonts w:hint="eastAsia" w:ascii="宋体" w:hAnsi="宋体" w:cs="宋体"/>
                <w:color w:val="auto"/>
                <w:sz w:val="24"/>
                <w:highlight w:val="none"/>
              </w:rPr>
              <w:t>本项目实行网上投标，投标人应准备以下投标文件：</w:t>
            </w:r>
          </w:p>
          <w:p w14:paraId="65B0D8C5">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（1）投标声明书；</w:t>
            </w:r>
          </w:p>
          <w:p w14:paraId="26EEA493">
            <w:pPr>
              <w:tabs>
                <w:tab w:val="left" w:pos="1680"/>
              </w:tabs>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（2）廉政承诺书</w:t>
            </w:r>
            <w:r>
              <w:rPr>
                <w:rFonts w:hint="eastAsia" w:ascii="宋体" w:hAnsi="宋体" w:cs="宋体"/>
                <w:color w:val="auto"/>
                <w:sz w:val="24"/>
                <w:highlight w:val="none"/>
                <w:lang w:eastAsia="zh-CN"/>
              </w:rPr>
              <w:t>；</w:t>
            </w:r>
          </w:p>
          <w:p w14:paraId="589323EF">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投标报价一览表；</w:t>
            </w:r>
          </w:p>
          <w:p w14:paraId="489E7B50">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eastAsia="宋体" w:cs="宋体"/>
                <w:color w:val="auto"/>
                <w:sz w:val="24"/>
                <w:highlight w:val="none"/>
              </w:rPr>
              <w:t>法定代表人（或分行负责人/支行负责人）身份证明书或法定代表人（或分行负责人/支行负责人）授权委托书；</w:t>
            </w:r>
          </w:p>
          <w:p w14:paraId="14F134B1">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（5）投标人资格证明文件；</w:t>
            </w:r>
          </w:p>
          <w:p w14:paraId="1E380F97">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（6）202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年度资产负债表和损益表；</w:t>
            </w:r>
          </w:p>
          <w:p w14:paraId="52EDB2F6">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（7）根据第四章评分标准中的内容提供相应的资料；</w:t>
            </w:r>
          </w:p>
          <w:p w14:paraId="5AF31469">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（8）投标人认为需提供的其他资料。</w:t>
            </w:r>
          </w:p>
          <w:p w14:paraId="42989B32">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注意事项 </w:t>
            </w:r>
          </w:p>
          <w:p w14:paraId="643FD947">
            <w:pPr>
              <w:tabs>
                <w:tab w:val="left" w:pos="1680"/>
              </w:tabs>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（1）电子投标文件中所须加盖公章部分均采用 CA 签章。 </w:t>
            </w:r>
          </w:p>
          <w:p w14:paraId="31BA6CCB">
            <w:pPr>
              <w:tabs>
                <w:tab w:val="left" w:pos="1680"/>
              </w:tabs>
              <w:autoSpaceDE w:val="0"/>
              <w:autoSpaceDN w:val="0"/>
              <w:adjustRightInd w:val="0"/>
              <w:snapToGrid w:val="0"/>
              <w:textAlignment w:val="bottom"/>
              <w:rPr>
                <w:color w:val="auto"/>
                <w:sz w:val="24"/>
                <w:highlight w:val="none"/>
              </w:rPr>
            </w:pPr>
            <w:r>
              <w:rPr>
                <w:rFonts w:hint="eastAsia" w:ascii="宋体" w:hAnsi="宋体" w:cs="宋体"/>
                <w:color w:val="auto"/>
                <w:sz w:val="24"/>
                <w:highlight w:val="none"/>
              </w:rPr>
              <w:t>（2）上述组成投标文件的各项资料中本招标文件的有规定格式的，应统一按本招标文件的规定格式填写。未有规定格式的资料，投标人应自行编制，但至少要包含以上要求的内容。</w:t>
            </w:r>
          </w:p>
        </w:tc>
      </w:tr>
      <w:tr w14:paraId="7008E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60844B5">
            <w:pPr>
              <w:tabs>
                <w:tab w:val="left" w:pos="1680"/>
              </w:tabs>
              <w:adjustRightInd w:val="0"/>
              <w:snapToGrid w:val="0"/>
              <w:jc w:val="center"/>
              <w:rPr>
                <w:color w:val="auto"/>
                <w:sz w:val="24"/>
                <w:highlight w:val="none"/>
              </w:rPr>
            </w:pPr>
            <w:r>
              <w:rPr>
                <w:color w:val="auto"/>
                <w:sz w:val="24"/>
                <w:highlight w:val="none"/>
              </w:rPr>
              <w:t>6</w:t>
            </w:r>
          </w:p>
        </w:tc>
        <w:tc>
          <w:tcPr>
            <w:tcW w:w="8320" w:type="dxa"/>
            <w:tcBorders>
              <w:top w:val="single" w:color="auto" w:sz="4" w:space="0"/>
              <w:left w:val="single" w:color="auto" w:sz="4" w:space="0"/>
              <w:bottom w:val="single" w:color="auto" w:sz="4" w:space="0"/>
              <w:right w:val="single" w:color="auto" w:sz="4" w:space="0"/>
            </w:tcBorders>
            <w:vAlign w:val="center"/>
          </w:tcPr>
          <w:p w14:paraId="5722F490">
            <w:pPr>
              <w:tabs>
                <w:tab w:val="left" w:pos="1680"/>
              </w:tabs>
              <w:adjustRightInd w:val="0"/>
              <w:snapToGrid w:val="0"/>
              <w:rPr>
                <w:color w:val="auto"/>
                <w:sz w:val="24"/>
                <w:highlight w:val="none"/>
              </w:rPr>
            </w:pPr>
            <w:r>
              <w:rPr>
                <w:rFonts w:hAnsi="宋体"/>
                <w:color w:val="auto"/>
                <w:sz w:val="24"/>
                <w:highlight w:val="none"/>
              </w:rPr>
              <w:t>投标截止时间及地点：</w:t>
            </w:r>
            <w:r>
              <w:rPr>
                <w:rFonts w:hAnsi="宋体"/>
                <w:color w:val="auto"/>
                <w:sz w:val="24"/>
                <w:highlight w:val="none"/>
                <w:u w:val="single"/>
              </w:rPr>
              <w:t>见招标公告</w:t>
            </w:r>
          </w:p>
        </w:tc>
      </w:tr>
      <w:tr w14:paraId="503ED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CF6648E">
            <w:pPr>
              <w:tabs>
                <w:tab w:val="left" w:pos="1680"/>
              </w:tabs>
              <w:adjustRightInd w:val="0"/>
              <w:snapToGrid w:val="0"/>
              <w:jc w:val="center"/>
              <w:rPr>
                <w:color w:val="auto"/>
                <w:sz w:val="24"/>
                <w:highlight w:val="none"/>
              </w:rPr>
            </w:pPr>
            <w:r>
              <w:rPr>
                <w:color w:val="auto"/>
                <w:sz w:val="24"/>
                <w:highlight w:val="none"/>
              </w:rPr>
              <w:t>7</w:t>
            </w:r>
          </w:p>
        </w:tc>
        <w:tc>
          <w:tcPr>
            <w:tcW w:w="8320" w:type="dxa"/>
            <w:tcBorders>
              <w:top w:val="single" w:color="auto" w:sz="4" w:space="0"/>
              <w:left w:val="single" w:color="auto" w:sz="4" w:space="0"/>
              <w:bottom w:val="single" w:color="auto" w:sz="4" w:space="0"/>
              <w:right w:val="single" w:color="auto" w:sz="4" w:space="0"/>
            </w:tcBorders>
            <w:vAlign w:val="center"/>
          </w:tcPr>
          <w:p w14:paraId="7015F573">
            <w:pPr>
              <w:tabs>
                <w:tab w:val="left" w:pos="1680"/>
              </w:tabs>
              <w:adjustRightInd w:val="0"/>
              <w:snapToGrid w:val="0"/>
              <w:rPr>
                <w:color w:val="auto"/>
                <w:sz w:val="24"/>
                <w:highlight w:val="none"/>
              </w:rPr>
            </w:pPr>
            <w:r>
              <w:rPr>
                <w:rFonts w:hAnsi="宋体"/>
                <w:color w:val="auto"/>
                <w:sz w:val="24"/>
                <w:highlight w:val="none"/>
              </w:rPr>
              <w:t>开标时间及地点：</w:t>
            </w:r>
            <w:r>
              <w:rPr>
                <w:rFonts w:hAnsi="宋体"/>
                <w:color w:val="auto"/>
                <w:sz w:val="24"/>
                <w:highlight w:val="none"/>
                <w:u w:val="single"/>
              </w:rPr>
              <w:t>见招标公告</w:t>
            </w:r>
          </w:p>
        </w:tc>
      </w:tr>
      <w:tr w14:paraId="42FC0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04452EB">
            <w:pPr>
              <w:tabs>
                <w:tab w:val="left" w:pos="1680"/>
              </w:tabs>
              <w:adjustRightInd w:val="0"/>
              <w:snapToGrid w:val="0"/>
              <w:jc w:val="center"/>
              <w:rPr>
                <w:color w:val="auto"/>
                <w:sz w:val="24"/>
                <w:highlight w:val="none"/>
              </w:rPr>
            </w:pPr>
            <w:r>
              <w:rPr>
                <w:color w:val="auto"/>
                <w:sz w:val="24"/>
                <w:highlight w:val="none"/>
              </w:rPr>
              <w:t>8</w:t>
            </w:r>
          </w:p>
        </w:tc>
        <w:tc>
          <w:tcPr>
            <w:tcW w:w="8320" w:type="dxa"/>
            <w:tcBorders>
              <w:top w:val="single" w:color="auto" w:sz="4" w:space="0"/>
              <w:left w:val="single" w:color="auto" w:sz="4" w:space="0"/>
              <w:bottom w:val="single" w:color="auto" w:sz="4" w:space="0"/>
              <w:right w:val="single" w:color="auto" w:sz="4" w:space="0"/>
            </w:tcBorders>
            <w:vAlign w:val="center"/>
          </w:tcPr>
          <w:p w14:paraId="6C2F5F67">
            <w:pPr>
              <w:tabs>
                <w:tab w:val="left" w:pos="1680"/>
              </w:tabs>
              <w:autoSpaceDE w:val="0"/>
              <w:autoSpaceDN w:val="0"/>
              <w:adjustRightInd w:val="0"/>
              <w:snapToGrid w:val="0"/>
              <w:textAlignment w:val="bottom"/>
              <w:rPr>
                <w:color w:val="auto"/>
                <w:sz w:val="24"/>
                <w:highlight w:val="none"/>
              </w:rPr>
            </w:pPr>
            <w:r>
              <w:rPr>
                <w:rFonts w:hAnsi="宋体"/>
                <w:color w:val="auto"/>
                <w:sz w:val="24"/>
                <w:highlight w:val="none"/>
              </w:rPr>
              <w:t>评标办法：</w:t>
            </w:r>
            <w:r>
              <w:rPr>
                <w:rFonts w:hAnsi="宋体"/>
                <w:color w:val="auto"/>
                <w:sz w:val="24"/>
                <w:highlight w:val="none"/>
                <w:u w:val="single"/>
              </w:rPr>
              <w:t>综合评分法</w:t>
            </w:r>
          </w:p>
        </w:tc>
      </w:tr>
      <w:tr w14:paraId="5A488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63DF1144">
            <w:pPr>
              <w:tabs>
                <w:tab w:val="left" w:pos="1680"/>
              </w:tabs>
              <w:adjustRightInd w:val="0"/>
              <w:snapToGrid w:val="0"/>
              <w:jc w:val="center"/>
              <w:rPr>
                <w:color w:val="auto"/>
                <w:sz w:val="24"/>
                <w:highlight w:val="none"/>
              </w:rPr>
            </w:pPr>
            <w:r>
              <w:rPr>
                <w:color w:val="auto"/>
                <w:sz w:val="24"/>
                <w:highlight w:val="none"/>
              </w:rPr>
              <w:t>9</w:t>
            </w:r>
          </w:p>
        </w:tc>
        <w:tc>
          <w:tcPr>
            <w:tcW w:w="8320" w:type="dxa"/>
            <w:tcBorders>
              <w:top w:val="single" w:color="auto" w:sz="4" w:space="0"/>
              <w:left w:val="single" w:color="auto" w:sz="4" w:space="0"/>
              <w:bottom w:val="single" w:color="auto" w:sz="4" w:space="0"/>
              <w:right w:val="single" w:color="auto" w:sz="4" w:space="0"/>
            </w:tcBorders>
            <w:vAlign w:val="center"/>
          </w:tcPr>
          <w:p w14:paraId="3007B0BD">
            <w:pPr>
              <w:tabs>
                <w:tab w:val="left" w:pos="1680"/>
              </w:tabs>
              <w:autoSpaceDE w:val="0"/>
              <w:autoSpaceDN w:val="0"/>
              <w:adjustRightInd w:val="0"/>
              <w:snapToGrid w:val="0"/>
              <w:textAlignment w:val="bottom"/>
              <w:rPr>
                <w:color w:val="auto"/>
                <w:sz w:val="24"/>
                <w:highlight w:val="none"/>
              </w:rPr>
            </w:pPr>
            <w:r>
              <w:rPr>
                <w:rFonts w:hint="eastAsia" w:ascii="宋体" w:hAnsi="宋体" w:cs="宋体"/>
                <w:b/>
                <w:bCs/>
                <w:color w:val="auto"/>
                <w:sz w:val="24"/>
                <w:highlight w:val="none"/>
              </w:rPr>
              <w:t>信息公示：</w:t>
            </w:r>
            <w:r>
              <w:rPr>
                <w:rFonts w:hint="eastAsia" w:ascii="宋体" w:hAnsi="宋体" w:cs="宋体"/>
                <w:color w:val="auto"/>
                <w:sz w:val="24"/>
                <w:highlight w:val="none"/>
              </w:rPr>
              <w:t>招标公告和中标结果将在浙江政府采购网、宁波政府采购网上予以公示。</w:t>
            </w:r>
          </w:p>
        </w:tc>
      </w:tr>
      <w:tr w14:paraId="40C4C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FBDA372">
            <w:pPr>
              <w:tabs>
                <w:tab w:val="left" w:pos="1680"/>
              </w:tabs>
              <w:adjustRightInd w:val="0"/>
              <w:snapToGrid w:val="0"/>
              <w:jc w:val="center"/>
              <w:rPr>
                <w:color w:val="auto"/>
                <w:sz w:val="24"/>
                <w:highlight w:val="none"/>
              </w:rPr>
            </w:pPr>
            <w:r>
              <w:rPr>
                <w:rFonts w:hint="eastAsia" w:ascii="宋体" w:hAnsi="宋体"/>
                <w:color w:val="auto"/>
                <w:sz w:val="24"/>
                <w:highlight w:val="none"/>
                <w:lang w:val="en-US" w:eastAsia="zh-CN"/>
              </w:rPr>
              <w:t>10</w:t>
            </w:r>
          </w:p>
        </w:tc>
        <w:tc>
          <w:tcPr>
            <w:tcW w:w="8320" w:type="dxa"/>
            <w:tcBorders>
              <w:top w:val="single" w:color="auto" w:sz="4" w:space="0"/>
              <w:left w:val="single" w:color="auto" w:sz="4" w:space="0"/>
              <w:bottom w:val="single" w:color="auto" w:sz="4" w:space="0"/>
              <w:right w:val="single" w:color="auto" w:sz="4" w:space="0"/>
            </w:tcBorders>
            <w:vAlign w:val="center"/>
          </w:tcPr>
          <w:p w14:paraId="3C4E0CF5">
            <w:pPr>
              <w:tabs>
                <w:tab w:val="left" w:pos="1680"/>
              </w:tabs>
              <w:autoSpaceDE w:val="0"/>
              <w:autoSpaceDN w:val="0"/>
              <w:snapToGrid w:val="0"/>
              <w:spacing w:line="360" w:lineRule="auto"/>
              <w:textAlignment w:val="bottom"/>
              <w:rPr>
                <w:rFonts w:ascii="宋体" w:hAnsi="宋体" w:cs="宋体"/>
                <w:b/>
                <w:bCs/>
                <w:color w:val="auto"/>
                <w:sz w:val="24"/>
                <w:highlight w:val="none"/>
              </w:rPr>
            </w:pPr>
            <w:r>
              <w:rPr>
                <w:rFonts w:hint="eastAsia" w:ascii="宋体" w:hAnsi="宋体" w:cs="宋体"/>
                <w:b/>
                <w:bCs/>
                <w:color w:val="auto"/>
                <w:sz w:val="24"/>
                <w:highlight w:val="none"/>
              </w:rPr>
              <w:t>投标文件数量要求：</w:t>
            </w:r>
          </w:p>
          <w:p w14:paraId="607A4495">
            <w:pPr>
              <w:tabs>
                <w:tab w:val="left" w:pos="1680"/>
              </w:tabs>
              <w:autoSpaceDE w:val="0"/>
              <w:autoSpaceDN w:val="0"/>
              <w:snapToGrid w:val="0"/>
              <w:spacing w:line="360" w:lineRule="auto"/>
              <w:textAlignment w:val="bottom"/>
              <w:rPr>
                <w:rFonts w:ascii="宋体"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bCs/>
                <w:color w:val="auto"/>
                <w:sz w:val="24"/>
                <w:highlight w:val="none"/>
              </w:rPr>
              <w:t>1、上传到政府采购云平台的电子投标文件。</w:t>
            </w:r>
          </w:p>
          <w:p w14:paraId="5543C016">
            <w:pPr>
              <w:tabs>
                <w:tab w:val="left" w:pos="1680"/>
              </w:tabs>
              <w:autoSpaceDE w:val="0"/>
              <w:autoSpaceDN w:val="0"/>
              <w:snapToGrid w:val="0"/>
              <w:spacing w:line="360" w:lineRule="auto"/>
              <w:textAlignment w:val="bottom"/>
              <w:rPr>
                <w:rFonts w:ascii="宋体" w:hAnsi="宋体" w:cs="宋体"/>
                <w:bCs/>
                <w:color w:val="auto"/>
                <w:sz w:val="24"/>
                <w:highlight w:val="none"/>
              </w:rPr>
            </w:pPr>
            <w:r>
              <w:rPr>
                <w:rFonts w:hint="eastAsia" w:ascii="宋体" w:hAnsi="宋体" w:cs="宋体"/>
                <w:bCs/>
                <w:color w:val="auto"/>
                <w:sz w:val="24"/>
                <w:highlight w:val="none"/>
              </w:rPr>
              <w:t>2、以 U 盘形式存储的电子备份投标文件。</w:t>
            </w:r>
          </w:p>
          <w:p w14:paraId="653A7AEB">
            <w:pPr>
              <w:tabs>
                <w:tab w:val="left" w:pos="1680"/>
              </w:tabs>
              <w:autoSpaceDE w:val="0"/>
              <w:autoSpaceDN w:val="0"/>
              <w:snapToGrid w:val="0"/>
              <w:spacing w:line="360" w:lineRule="auto"/>
              <w:textAlignment w:val="bottom"/>
              <w:rPr>
                <w:rFonts w:ascii="宋体" w:hAnsi="宋体" w:cs="宋体"/>
                <w:bCs/>
                <w:color w:val="auto"/>
                <w:sz w:val="24"/>
                <w:highlight w:val="none"/>
              </w:rPr>
            </w:pPr>
            <w:r>
              <w:rPr>
                <w:rFonts w:hint="eastAsia" w:ascii="宋体" w:hAnsi="宋体" w:cs="宋体"/>
                <w:bCs/>
                <w:color w:val="auto"/>
                <w:sz w:val="24"/>
                <w:highlight w:val="none"/>
              </w:rPr>
              <w:t>注：（1）电子备份投标文件不作实质性要求，是否提交由投标人自行决定。</w:t>
            </w:r>
          </w:p>
          <w:p w14:paraId="5BDEDF8E">
            <w:pPr>
              <w:tabs>
                <w:tab w:val="left" w:pos="1680"/>
              </w:tabs>
              <w:autoSpaceDE w:val="0"/>
              <w:autoSpaceDN w:val="0"/>
              <w:adjustRightInd w:val="0"/>
              <w:snapToGrid w:val="0"/>
              <w:textAlignment w:val="bottom"/>
              <w:rPr>
                <w:rFonts w:hint="eastAsia" w:ascii="宋体" w:hAnsi="宋体" w:cs="宋体"/>
                <w:b/>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入围投标人</w:t>
            </w:r>
            <w:r>
              <w:rPr>
                <w:rFonts w:hint="eastAsia" w:ascii="宋体" w:hAnsi="宋体" w:cs="宋体"/>
                <w:bCs/>
                <w:color w:val="auto"/>
                <w:sz w:val="24"/>
                <w:highlight w:val="none"/>
              </w:rPr>
              <w:t>需在</w:t>
            </w:r>
            <w:r>
              <w:rPr>
                <w:rFonts w:hint="eastAsia" w:ascii="宋体" w:hAnsi="宋体" w:cs="宋体"/>
                <w:bCs/>
                <w:color w:val="auto"/>
                <w:sz w:val="24"/>
                <w:highlight w:val="none"/>
                <w:lang w:eastAsia="zh-CN"/>
              </w:rPr>
              <w:t>2025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日17:00前向采购代理机构提供上传的电子投标文件全套彩色打印装订成册的纸质投标文件2份。</w:t>
            </w:r>
          </w:p>
        </w:tc>
      </w:tr>
      <w:tr w14:paraId="6232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C0905B8">
            <w:pPr>
              <w:tabs>
                <w:tab w:val="left" w:pos="1680"/>
              </w:tabs>
              <w:adjustRightInd w:val="0"/>
              <w:snapToGrid w:val="0"/>
              <w:jc w:val="center"/>
              <w:rPr>
                <w:rFonts w:hint="eastAsia" w:eastAsia="宋体"/>
                <w:color w:val="auto"/>
                <w:sz w:val="24"/>
                <w:highlight w:val="none"/>
                <w:lang w:eastAsia="zh-CN"/>
              </w:rPr>
            </w:pPr>
            <w:r>
              <w:rPr>
                <w:rFonts w:hint="eastAsia"/>
                <w:color w:val="auto"/>
                <w:sz w:val="24"/>
                <w:highlight w:val="none"/>
                <w:lang w:val="en-US" w:eastAsia="zh-CN"/>
              </w:rPr>
              <w:t>11</w:t>
            </w:r>
          </w:p>
        </w:tc>
        <w:tc>
          <w:tcPr>
            <w:tcW w:w="8320" w:type="dxa"/>
            <w:tcBorders>
              <w:top w:val="single" w:color="auto" w:sz="4" w:space="0"/>
              <w:left w:val="single" w:color="auto" w:sz="4" w:space="0"/>
              <w:bottom w:val="single" w:color="auto" w:sz="4" w:space="0"/>
              <w:right w:val="single" w:color="auto" w:sz="4" w:space="0"/>
            </w:tcBorders>
            <w:vAlign w:val="center"/>
          </w:tcPr>
          <w:p w14:paraId="1946CFDC">
            <w:pPr>
              <w:tabs>
                <w:tab w:val="left" w:pos="1680"/>
              </w:tabs>
              <w:autoSpaceDE w:val="0"/>
              <w:autoSpaceDN w:val="0"/>
              <w:adjustRightInd w:val="0"/>
              <w:snapToGrid w:val="0"/>
              <w:textAlignment w:val="bottom"/>
              <w:rPr>
                <w:color w:val="auto"/>
                <w:sz w:val="24"/>
                <w:highlight w:val="none"/>
              </w:rPr>
            </w:pPr>
            <w:r>
              <w:rPr>
                <w:rFonts w:hAnsi="宋体"/>
                <w:color w:val="auto"/>
                <w:sz w:val="24"/>
                <w:highlight w:val="none"/>
              </w:rPr>
              <w:t>签订合同时间：</w:t>
            </w:r>
            <w:r>
              <w:rPr>
                <w:rFonts w:hAnsi="宋体"/>
                <w:color w:val="auto"/>
                <w:sz w:val="24"/>
                <w:highlight w:val="none"/>
                <w:u w:val="single"/>
              </w:rPr>
              <w:t>中标通知书发出后</w:t>
            </w:r>
            <w:r>
              <w:rPr>
                <w:color w:val="auto"/>
                <w:sz w:val="24"/>
                <w:highlight w:val="none"/>
                <w:u w:val="single"/>
              </w:rPr>
              <w:t>30</w:t>
            </w:r>
            <w:r>
              <w:rPr>
                <w:rFonts w:hAnsi="宋体"/>
                <w:color w:val="auto"/>
                <w:sz w:val="24"/>
                <w:highlight w:val="none"/>
                <w:u w:val="single"/>
              </w:rPr>
              <w:t>日内</w:t>
            </w:r>
          </w:p>
        </w:tc>
      </w:tr>
      <w:tr w14:paraId="7DC8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E1A57AA">
            <w:pPr>
              <w:tabs>
                <w:tab w:val="left" w:pos="1680"/>
              </w:tabs>
              <w:adjustRightInd w:val="0"/>
              <w:snapToGrid w:val="0"/>
              <w:jc w:val="center"/>
              <w:rPr>
                <w:rFonts w:hint="default"/>
                <w:color w:val="auto"/>
                <w:sz w:val="24"/>
                <w:highlight w:val="none"/>
                <w:lang w:val="en-US"/>
              </w:rPr>
            </w:pPr>
            <w:r>
              <w:rPr>
                <w:color w:val="auto"/>
                <w:sz w:val="24"/>
                <w:highlight w:val="none"/>
              </w:rPr>
              <w:t>▲</w:t>
            </w:r>
            <w:r>
              <w:rPr>
                <w:rFonts w:hint="eastAsia"/>
                <w:color w:val="auto"/>
                <w:sz w:val="24"/>
                <w:highlight w:val="none"/>
                <w:lang w:val="en-US" w:eastAsia="zh-CN"/>
              </w:rPr>
              <w:t>12</w:t>
            </w:r>
          </w:p>
        </w:tc>
        <w:tc>
          <w:tcPr>
            <w:tcW w:w="8320" w:type="dxa"/>
            <w:tcBorders>
              <w:top w:val="single" w:color="auto" w:sz="4" w:space="0"/>
              <w:left w:val="single" w:color="auto" w:sz="4" w:space="0"/>
              <w:bottom w:val="single" w:color="auto" w:sz="4" w:space="0"/>
              <w:right w:val="single" w:color="auto" w:sz="4" w:space="0"/>
            </w:tcBorders>
            <w:vAlign w:val="center"/>
          </w:tcPr>
          <w:p w14:paraId="5A6D7A5A">
            <w:pPr>
              <w:tabs>
                <w:tab w:val="left" w:pos="1680"/>
              </w:tabs>
              <w:autoSpaceDE w:val="0"/>
              <w:autoSpaceDN w:val="0"/>
              <w:adjustRightInd w:val="0"/>
              <w:snapToGrid w:val="0"/>
              <w:textAlignment w:val="bottom"/>
              <w:rPr>
                <w:color w:val="auto"/>
                <w:sz w:val="24"/>
                <w:highlight w:val="none"/>
              </w:rPr>
            </w:pPr>
            <w:r>
              <w:rPr>
                <w:rFonts w:hAnsi="宋体"/>
                <w:color w:val="auto"/>
                <w:sz w:val="24"/>
                <w:highlight w:val="none"/>
              </w:rPr>
              <w:t>服务期限：</w:t>
            </w:r>
            <w:r>
              <w:rPr>
                <w:rFonts w:hint="eastAsia" w:asciiTheme="minorEastAsia" w:hAnsiTheme="minorEastAsia" w:eastAsiaTheme="minorEastAsia"/>
                <w:color w:val="auto"/>
                <w:sz w:val="24"/>
                <w:highlight w:val="none"/>
              </w:rPr>
              <w:t>三年；合同一年一签，期间招标人根据中标人合同履约、考核情况等决定是否续签合同。</w:t>
            </w:r>
          </w:p>
        </w:tc>
      </w:tr>
      <w:tr w14:paraId="1006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846495C">
            <w:pPr>
              <w:tabs>
                <w:tab w:val="left" w:pos="1680"/>
              </w:tabs>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3</w:t>
            </w:r>
          </w:p>
        </w:tc>
        <w:tc>
          <w:tcPr>
            <w:tcW w:w="8320" w:type="dxa"/>
            <w:tcBorders>
              <w:top w:val="single" w:color="auto" w:sz="4" w:space="0"/>
              <w:left w:val="single" w:color="auto" w:sz="4" w:space="0"/>
              <w:bottom w:val="single" w:color="auto" w:sz="4" w:space="0"/>
              <w:right w:val="single" w:color="auto" w:sz="4" w:space="0"/>
            </w:tcBorders>
            <w:vAlign w:val="center"/>
          </w:tcPr>
          <w:p w14:paraId="59D35C18">
            <w:pPr>
              <w:tabs>
                <w:tab w:val="left" w:pos="1680"/>
              </w:tabs>
              <w:autoSpaceDE w:val="0"/>
              <w:autoSpaceDN w:val="0"/>
              <w:adjustRightInd w:val="0"/>
              <w:snapToGrid w:val="0"/>
              <w:textAlignment w:val="bottom"/>
              <w:rPr>
                <w:color w:val="auto"/>
                <w:sz w:val="24"/>
                <w:highlight w:val="none"/>
              </w:rPr>
            </w:pPr>
            <w:r>
              <w:rPr>
                <w:rFonts w:hAnsi="宋体"/>
                <w:color w:val="auto"/>
                <w:sz w:val="24"/>
                <w:highlight w:val="none"/>
              </w:rPr>
              <w:t>投标保证金：</w:t>
            </w:r>
            <w:r>
              <w:rPr>
                <w:rFonts w:hint="eastAsia" w:hAnsi="宋体"/>
                <w:color w:val="auto"/>
                <w:sz w:val="24"/>
                <w:highlight w:val="none"/>
              </w:rPr>
              <w:t>无</w:t>
            </w:r>
          </w:p>
        </w:tc>
      </w:tr>
      <w:tr w14:paraId="032ED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25666E6">
            <w:pPr>
              <w:tabs>
                <w:tab w:val="left" w:pos="1680"/>
              </w:tabs>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4</w:t>
            </w:r>
          </w:p>
        </w:tc>
        <w:tc>
          <w:tcPr>
            <w:tcW w:w="8320" w:type="dxa"/>
            <w:tcBorders>
              <w:top w:val="single" w:color="auto" w:sz="4" w:space="0"/>
              <w:left w:val="single" w:color="auto" w:sz="4" w:space="0"/>
              <w:bottom w:val="single" w:color="auto" w:sz="4" w:space="0"/>
              <w:right w:val="single" w:color="auto" w:sz="4" w:space="0"/>
            </w:tcBorders>
            <w:vAlign w:val="center"/>
          </w:tcPr>
          <w:p w14:paraId="15C01CF6">
            <w:pPr>
              <w:tabs>
                <w:tab w:val="left" w:pos="1680"/>
              </w:tabs>
              <w:adjustRightInd w:val="0"/>
              <w:snapToGrid w:val="0"/>
              <w:rPr>
                <w:color w:val="auto"/>
                <w:sz w:val="24"/>
                <w:highlight w:val="none"/>
              </w:rPr>
            </w:pPr>
            <w:r>
              <w:rPr>
                <w:rFonts w:hAnsi="宋体"/>
                <w:color w:val="auto"/>
                <w:sz w:val="24"/>
                <w:highlight w:val="none"/>
              </w:rPr>
              <w:t>合同终止：中标人在合同有效期内，不得以任何理由终止合同，确有特殊情况的，须提前两个月向招标人提出书面申请，经招标人同意后，方可终止合同。因中标人出现资金安全事故和重大违法违规情况或财务恶化；监管评级降低，监管部门认为存在较大运营风险；进行严重不正当投标；没有按照中标协议承诺履行相应的责任和义务；不能及时将到期存款本息足额缴入单位账户；出现银行挤兑、存款被盗或其他妨害资金安全的行为等上述情况，招标人有权终止协议，中标人承担全部责任。</w:t>
            </w:r>
          </w:p>
        </w:tc>
      </w:tr>
      <w:tr w14:paraId="082F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7FF512E">
            <w:pPr>
              <w:tabs>
                <w:tab w:val="left" w:pos="1680"/>
              </w:tabs>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5</w:t>
            </w:r>
          </w:p>
        </w:tc>
        <w:tc>
          <w:tcPr>
            <w:tcW w:w="8320" w:type="dxa"/>
            <w:tcBorders>
              <w:top w:val="single" w:color="auto" w:sz="4" w:space="0"/>
              <w:left w:val="single" w:color="auto" w:sz="4" w:space="0"/>
              <w:bottom w:val="single" w:color="auto" w:sz="4" w:space="0"/>
              <w:right w:val="single" w:color="auto" w:sz="4" w:space="0"/>
            </w:tcBorders>
            <w:vAlign w:val="center"/>
          </w:tcPr>
          <w:p w14:paraId="1C6B1A58">
            <w:pPr>
              <w:tabs>
                <w:tab w:val="left" w:pos="1680"/>
              </w:tabs>
              <w:adjustRightInd w:val="0"/>
              <w:snapToGrid w:val="0"/>
              <w:rPr>
                <w:color w:val="auto"/>
                <w:sz w:val="24"/>
                <w:highlight w:val="none"/>
              </w:rPr>
            </w:pPr>
            <w:r>
              <w:rPr>
                <w:rFonts w:hAnsi="宋体"/>
                <w:color w:val="auto"/>
                <w:sz w:val="24"/>
                <w:highlight w:val="none"/>
              </w:rPr>
              <w:t>投标有效期：自开标之日起</w:t>
            </w:r>
            <w:r>
              <w:rPr>
                <w:color w:val="auto"/>
                <w:sz w:val="24"/>
                <w:highlight w:val="none"/>
                <w:u w:val="single"/>
              </w:rPr>
              <w:t xml:space="preserve"> 90 </w:t>
            </w:r>
            <w:r>
              <w:rPr>
                <w:rFonts w:hAnsi="宋体"/>
                <w:color w:val="auto"/>
                <w:sz w:val="24"/>
                <w:highlight w:val="none"/>
              </w:rPr>
              <w:t>天</w:t>
            </w:r>
          </w:p>
        </w:tc>
      </w:tr>
      <w:tr w14:paraId="7950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08CBE008">
            <w:pPr>
              <w:tabs>
                <w:tab w:val="left" w:pos="1680"/>
              </w:tabs>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6</w:t>
            </w:r>
          </w:p>
        </w:tc>
        <w:tc>
          <w:tcPr>
            <w:tcW w:w="8320" w:type="dxa"/>
            <w:tcBorders>
              <w:top w:val="single" w:color="auto" w:sz="4" w:space="0"/>
              <w:left w:val="single" w:color="auto" w:sz="4" w:space="0"/>
              <w:bottom w:val="single" w:color="auto" w:sz="4" w:space="0"/>
              <w:right w:val="single" w:color="auto" w:sz="4" w:space="0"/>
            </w:tcBorders>
            <w:vAlign w:val="center"/>
          </w:tcPr>
          <w:p w14:paraId="7D1F5BCF">
            <w:pPr>
              <w:tabs>
                <w:tab w:val="left" w:pos="1680"/>
              </w:tabs>
              <w:adjustRightInd w:val="0"/>
              <w:snapToGrid w:val="0"/>
              <w:rPr>
                <w:rFonts w:ascii="宋体" w:hAnsi="宋体"/>
                <w:color w:val="auto"/>
                <w:sz w:val="24"/>
                <w:highlight w:val="none"/>
              </w:rPr>
            </w:pPr>
            <w:r>
              <w:rPr>
                <w:rFonts w:hint="eastAsia" w:ascii="宋体" w:hAnsi="宋体"/>
                <w:color w:val="auto"/>
                <w:sz w:val="24"/>
                <w:highlight w:val="none"/>
              </w:rPr>
              <w:t>中标服务费：招标代理人向中标银行收取人民币</w:t>
            </w:r>
            <w:r>
              <w:rPr>
                <w:rFonts w:hint="eastAsia" w:ascii="宋体" w:hAnsi="宋体"/>
                <w:color w:val="auto"/>
                <w:sz w:val="24"/>
                <w:highlight w:val="none"/>
                <w:lang w:val="en-US" w:eastAsia="zh-CN"/>
              </w:rPr>
              <w:t>8</w:t>
            </w:r>
            <w:r>
              <w:rPr>
                <w:rFonts w:hint="eastAsia" w:ascii="宋体" w:hAnsi="宋体"/>
                <w:color w:val="auto"/>
                <w:sz w:val="24"/>
                <w:highlight w:val="none"/>
              </w:rPr>
              <w:t>000</w:t>
            </w:r>
            <w:r>
              <w:rPr>
                <w:rFonts w:hint="eastAsia" w:ascii="宋体" w:hAnsi="宋体"/>
                <w:color w:val="auto"/>
                <w:sz w:val="24"/>
                <w:highlight w:val="none"/>
                <w:lang w:val="en-US" w:eastAsia="zh-CN"/>
              </w:rPr>
              <w:t>元</w:t>
            </w:r>
            <w:r>
              <w:rPr>
                <w:rFonts w:hint="eastAsia" w:ascii="宋体" w:hAnsi="宋体"/>
                <w:color w:val="auto"/>
                <w:sz w:val="24"/>
                <w:highlight w:val="none"/>
              </w:rPr>
              <w:t>的中标服务费，由中标银行在收到中标通知书之前支付给招标代理人。</w:t>
            </w:r>
          </w:p>
        </w:tc>
      </w:tr>
    </w:tbl>
    <w:p w14:paraId="13C98309">
      <w:pPr>
        <w:tabs>
          <w:tab w:val="left" w:pos="1680"/>
        </w:tabs>
        <w:rPr>
          <w:rFonts w:hint="eastAsia" w:ascii="宋体" w:hAnsi="宋体"/>
          <w:i w:val="0"/>
          <w:color w:val="auto"/>
          <w:sz w:val="28"/>
          <w:szCs w:val="28"/>
          <w:highlight w:val="none"/>
        </w:rPr>
      </w:pPr>
      <w:bookmarkStart w:id="12" w:name="_Toc436314538"/>
      <w:bookmarkStart w:id="13" w:name="_Toc355117096"/>
      <w:bookmarkStart w:id="14" w:name="_Toc429406701"/>
      <w:r>
        <w:rPr>
          <w:rFonts w:hint="eastAsia" w:ascii="宋体" w:hAnsi="宋体"/>
          <w:i w:val="0"/>
          <w:color w:val="auto"/>
          <w:sz w:val="28"/>
          <w:szCs w:val="28"/>
          <w:highlight w:val="none"/>
        </w:rPr>
        <w:br w:type="page"/>
      </w:r>
    </w:p>
    <w:bookmarkEnd w:id="12"/>
    <w:bookmarkEnd w:id="13"/>
    <w:bookmarkEnd w:id="14"/>
    <w:p w14:paraId="0376E344">
      <w:pPr>
        <w:pStyle w:val="3"/>
        <w:tabs>
          <w:tab w:val="left" w:pos="1680"/>
        </w:tabs>
        <w:adjustRightInd w:val="0"/>
        <w:snapToGrid w:val="0"/>
        <w:spacing w:before="100" w:beforeAutospacing="1" w:after="100" w:afterAutospacing="1"/>
        <w:ind w:firstLine="0"/>
        <w:jc w:val="center"/>
        <w:rPr>
          <w:rFonts w:ascii="宋体" w:hAnsi="宋体"/>
          <w:i w:val="0"/>
          <w:color w:val="auto"/>
          <w:sz w:val="28"/>
          <w:szCs w:val="28"/>
          <w:highlight w:val="none"/>
        </w:rPr>
      </w:pPr>
      <w:bookmarkStart w:id="15" w:name="_Toc14591"/>
      <w:bookmarkStart w:id="16" w:name="_Toc11232"/>
      <w:r>
        <w:rPr>
          <w:rFonts w:hint="eastAsia" w:ascii="宋体" w:hAnsi="宋体"/>
          <w:i w:val="0"/>
          <w:color w:val="auto"/>
          <w:sz w:val="28"/>
          <w:szCs w:val="28"/>
          <w:highlight w:val="none"/>
        </w:rPr>
        <w:t>第二部分 投标人须知</w:t>
      </w:r>
      <w:bookmarkEnd w:id="15"/>
      <w:bookmarkEnd w:id="16"/>
    </w:p>
    <w:p w14:paraId="79C34FFE">
      <w:pPr>
        <w:pStyle w:val="16"/>
        <w:tabs>
          <w:tab w:val="left" w:pos="1680"/>
        </w:tabs>
        <w:snapToGrid w:val="0"/>
        <w:spacing w:before="0" w:beforeLines="0" w:after="0" w:afterLines="0" w:line="360" w:lineRule="auto"/>
        <w:rPr>
          <w:rFonts w:hint="eastAsia" w:hAnsi="宋体"/>
          <w:b/>
          <w:color w:val="auto"/>
          <w:highlight w:val="none"/>
        </w:rPr>
      </w:pPr>
      <w:r>
        <w:rPr>
          <w:rFonts w:hint="eastAsia" w:hAnsi="宋体"/>
          <w:b/>
          <w:color w:val="auto"/>
          <w:highlight w:val="none"/>
        </w:rPr>
        <w:t>一、总  则</w:t>
      </w:r>
    </w:p>
    <w:p w14:paraId="4A80E2AC">
      <w:pPr>
        <w:tabs>
          <w:tab w:val="left" w:pos="1680"/>
        </w:tabs>
        <w:snapToGrid w:val="0"/>
        <w:spacing w:line="360" w:lineRule="auto"/>
        <w:jc w:val="left"/>
        <w:outlineLvl w:val="1"/>
        <w:rPr>
          <w:rFonts w:ascii="宋体" w:hAnsi="宋体"/>
          <w:b/>
          <w:color w:val="auto"/>
          <w:sz w:val="24"/>
          <w:highlight w:val="none"/>
        </w:rPr>
      </w:pPr>
      <w:bookmarkStart w:id="17" w:name="_Toc8467"/>
      <w:bookmarkStart w:id="18" w:name="_Toc259108309"/>
      <w:bookmarkStart w:id="19" w:name="_Toc249866751"/>
      <w:bookmarkStart w:id="20" w:name="_Toc429406702"/>
      <w:bookmarkStart w:id="21" w:name="_Toc355117097"/>
      <w:bookmarkStart w:id="22" w:name="_Toc427442452"/>
      <w:bookmarkStart w:id="23" w:name="_Toc436314539"/>
      <w:r>
        <w:rPr>
          <w:rFonts w:hint="eastAsia" w:ascii="宋体" w:hAnsi="宋体"/>
          <w:b/>
          <w:color w:val="auto"/>
          <w:sz w:val="24"/>
          <w:highlight w:val="none"/>
        </w:rPr>
        <w:t>（一）</w:t>
      </w:r>
      <w:r>
        <w:rPr>
          <w:rFonts w:ascii="宋体" w:hAnsi="宋体"/>
          <w:b/>
          <w:color w:val="auto"/>
          <w:sz w:val="24"/>
          <w:highlight w:val="none"/>
        </w:rPr>
        <w:t xml:space="preserve"> 适用范围</w:t>
      </w:r>
      <w:bookmarkEnd w:id="17"/>
      <w:bookmarkEnd w:id="18"/>
      <w:bookmarkEnd w:id="19"/>
      <w:bookmarkEnd w:id="20"/>
      <w:bookmarkEnd w:id="21"/>
      <w:bookmarkEnd w:id="22"/>
      <w:bookmarkEnd w:id="23"/>
    </w:p>
    <w:p w14:paraId="5A34B75C">
      <w:pPr>
        <w:widowControl/>
        <w:tabs>
          <w:tab w:val="left" w:pos="1680"/>
        </w:tabs>
        <w:spacing w:line="360" w:lineRule="auto"/>
        <w:ind w:left="60" w:firstLine="540"/>
        <w:jc w:val="left"/>
        <w:rPr>
          <w:rFonts w:ascii="宋体" w:hAnsi="宋体" w:cs="宋体"/>
          <w:color w:val="auto"/>
          <w:kern w:val="0"/>
          <w:sz w:val="24"/>
          <w:highlight w:val="none"/>
        </w:rPr>
      </w:pPr>
      <w:r>
        <w:rPr>
          <w:rFonts w:hint="eastAsia" w:ascii="宋体" w:hAnsi="宋体"/>
          <w:color w:val="auto"/>
          <w:sz w:val="24"/>
          <w:highlight w:val="none"/>
        </w:rPr>
        <w:t>本招标文件适用于本项目的招标、投标、评标、定标、合同履约、付款等行为（法律、法规另有规定的，从其规定）。</w:t>
      </w:r>
    </w:p>
    <w:p w14:paraId="73C7FD51">
      <w:pPr>
        <w:tabs>
          <w:tab w:val="left" w:pos="1680"/>
        </w:tabs>
        <w:snapToGrid w:val="0"/>
        <w:spacing w:line="360" w:lineRule="auto"/>
        <w:jc w:val="left"/>
        <w:outlineLvl w:val="1"/>
        <w:rPr>
          <w:rFonts w:ascii="宋体" w:hAnsi="宋体"/>
          <w:b/>
          <w:color w:val="auto"/>
          <w:sz w:val="24"/>
          <w:highlight w:val="none"/>
        </w:rPr>
      </w:pPr>
      <w:bookmarkStart w:id="24" w:name="_Toc259108310"/>
      <w:bookmarkStart w:id="25" w:name="_Toc791"/>
      <w:bookmarkStart w:id="26" w:name="_Toc429406703"/>
      <w:bookmarkStart w:id="27" w:name="_Toc427442453"/>
      <w:bookmarkStart w:id="28" w:name="_Toc355117098"/>
      <w:bookmarkStart w:id="29" w:name="_Toc436314540"/>
      <w:bookmarkStart w:id="30" w:name="_Toc249866752"/>
      <w:r>
        <w:rPr>
          <w:rFonts w:hint="eastAsia" w:ascii="宋体" w:hAnsi="宋体"/>
          <w:b/>
          <w:color w:val="auto"/>
          <w:sz w:val="24"/>
          <w:highlight w:val="none"/>
        </w:rPr>
        <w:t>（二）定义</w:t>
      </w:r>
      <w:bookmarkEnd w:id="24"/>
      <w:bookmarkEnd w:id="25"/>
      <w:bookmarkEnd w:id="26"/>
      <w:bookmarkEnd w:id="27"/>
      <w:bookmarkEnd w:id="28"/>
      <w:bookmarkEnd w:id="29"/>
      <w:bookmarkEnd w:id="30"/>
    </w:p>
    <w:p w14:paraId="35CABCF9">
      <w:pPr>
        <w:widowControl/>
        <w:tabs>
          <w:tab w:val="left" w:pos="1680"/>
        </w:tabs>
        <w:spacing w:line="360" w:lineRule="auto"/>
        <w:ind w:left="60" w:firstLine="54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.“招标人”</w:t>
      </w:r>
      <w:r>
        <w:rPr>
          <w:rFonts w:ascii="宋体" w:hAnsi="宋体"/>
          <w:color w:val="auto"/>
          <w:sz w:val="24"/>
          <w:highlight w:val="none"/>
        </w:rPr>
        <w:t>系指组织本次招标的</w:t>
      </w:r>
      <w:r>
        <w:rPr>
          <w:rFonts w:hint="eastAsia" w:ascii="宋体" w:hAnsi="宋体"/>
          <w:color w:val="auto"/>
          <w:sz w:val="24"/>
          <w:highlight w:val="none"/>
        </w:rPr>
        <w:t>单位</w:t>
      </w:r>
      <w:r>
        <w:rPr>
          <w:rFonts w:ascii="宋体" w:hAnsi="宋体"/>
          <w:color w:val="auto"/>
          <w:sz w:val="24"/>
          <w:highlight w:val="none"/>
        </w:rPr>
        <w:t>。</w:t>
      </w:r>
    </w:p>
    <w:p w14:paraId="4F792625">
      <w:pPr>
        <w:widowControl/>
        <w:tabs>
          <w:tab w:val="left" w:pos="1680"/>
        </w:tabs>
        <w:spacing w:line="360" w:lineRule="auto"/>
        <w:ind w:left="60" w:firstLine="54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w:t>
      </w:r>
      <w:r>
        <w:rPr>
          <w:rFonts w:hint="eastAsia" w:ascii="宋体" w:hAnsi="宋体"/>
          <w:color w:val="auto"/>
          <w:sz w:val="24"/>
          <w:highlight w:val="none"/>
        </w:rPr>
        <w:t>招标人</w:t>
      </w:r>
      <w:r>
        <w:rPr>
          <w:rFonts w:ascii="宋体" w:hAnsi="宋体"/>
          <w:color w:val="auto"/>
          <w:sz w:val="24"/>
          <w:highlight w:val="none"/>
        </w:rPr>
        <w:t>提交投标文件的单位。</w:t>
      </w:r>
    </w:p>
    <w:p w14:paraId="02847FC2">
      <w:pPr>
        <w:widowControl/>
        <w:tabs>
          <w:tab w:val="left" w:pos="1680"/>
        </w:tabs>
        <w:spacing w:line="360" w:lineRule="auto"/>
        <w:ind w:left="60" w:firstLine="54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“服务”系指招标文件规定投标人须承担</w:t>
      </w:r>
      <w:r>
        <w:rPr>
          <w:rFonts w:hint="eastAsia" w:ascii="宋体" w:hAnsi="宋体"/>
          <w:color w:val="auto"/>
          <w:sz w:val="24"/>
          <w:highlight w:val="none"/>
        </w:rPr>
        <w:t>本项目的银行账户和公款存放定点服务。</w:t>
      </w:r>
    </w:p>
    <w:p w14:paraId="059D683D">
      <w:pPr>
        <w:widowControl/>
        <w:tabs>
          <w:tab w:val="left" w:pos="1680"/>
        </w:tabs>
        <w:spacing w:line="360" w:lineRule="auto"/>
        <w:ind w:left="60" w:firstLine="54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“项目”系指投标人按招标文件规定向招标</w:t>
      </w:r>
      <w:r>
        <w:rPr>
          <w:rFonts w:hint="eastAsia" w:ascii="宋体" w:hAnsi="宋体"/>
          <w:color w:val="auto"/>
          <w:sz w:val="24"/>
          <w:highlight w:val="none"/>
        </w:rPr>
        <w:t>人</w:t>
      </w:r>
      <w:r>
        <w:rPr>
          <w:rFonts w:ascii="宋体" w:hAnsi="宋体"/>
          <w:color w:val="auto"/>
          <w:sz w:val="24"/>
          <w:highlight w:val="none"/>
        </w:rPr>
        <w:t>提供的服务。</w:t>
      </w:r>
    </w:p>
    <w:p w14:paraId="131B86D7">
      <w:pPr>
        <w:widowControl/>
        <w:tabs>
          <w:tab w:val="left" w:pos="1680"/>
        </w:tabs>
        <w:spacing w:line="360" w:lineRule="auto"/>
        <w:ind w:left="60" w:firstLine="54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“书面形式”包括信函、传真、电报等。</w:t>
      </w:r>
    </w:p>
    <w:p w14:paraId="360B5EC6">
      <w:pPr>
        <w:widowControl/>
        <w:tabs>
          <w:tab w:val="left" w:pos="1680"/>
        </w:tabs>
        <w:spacing w:line="360" w:lineRule="auto"/>
        <w:ind w:left="60" w:firstLine="54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“▲”系指实质性要求条款</w:t>
      </w:r>
      <w:r>
        <w:rPr>
          <w:rFonts w:hint="eastAsia" w:ascii="宋体" w:hAnsi="宋体"/>
          <w:color w:val="auto"/>
          <w:sz w:val="24"/>
          <w:highlight w:val="none"/>
        </w:rPr>
        <w:t>(对</w:t>
      </w:r>
      <w:r>
        <w:rPr>
          <w:rFonts w:ascii="宋体" w:hAnsi="宋体"/>
          <w:color w:val="auto"/>
          <w:sz w:val="24"/>
          <w:highlight w:val="none"/>
        </w:rPr>
        <w:t>“▲”</w:t>
      </w:r>
      <w:r>
        <w:rPr>
          <w:rFonts w:hint="eastAsia" w:ascii="宋体" w:hAnsi="宋体"/>
          <w:color w:val="auto"/>
          <w:sz w:val="24"/>
          <w:highlight w:val="none"/>
        </w:rPr>
        <w:t>条款的偏离将导致投标无效)</w:t>
      </w:r>
      <w:r>
        <w:rPr>
          <w:rFonts w:ascii="宋体" w:hAnsi="宋体"/>
          <w:color w:val="auto"/>
          <w:sz w:val="24"/>
          <w:highlight w:val="none"/>
        </w:rPr>
        <w:t>。</w:t>
      </w:r>
    </w:p>
    <w:p w14:paraId="41F20EEC">
      <w:pPr>
        <w:tabs>
          <w:tab w:val="left" w:pos="1680"/>
        </w:tabs>
        <w:snapToGrid w:val="0"/>
        <w:spacing w:line="360" w:lineRule="auto"/>
        <w:jc w:val="left"/>
        <w:outlineLvl w:val="1"/>
        <w:rPr>
          <w:rFonts w:ascii="宋体" w:hAnsi="宋体"/>
          <w:b/>
          <w:color w:val="auto"/>
          <w:sz w:val="24"/>
          <w:highlight w:val="none"/>
        </w:rPr>
      </w:pPr>
      <w:bookmarkStart w:id="31" w:name="_Toc249866753"/>
      <w:bookmarkStart w:id="32" w:name="_Toc11490"/>
      <w:bookmarkStart w:id="33" w:name="_Toc429406704"/>
      <w:bookmarkStart w:id="34" w:name="_Toc436314541"/>
      <w:bookmarkStart w:id="35" w:name="_Toc259108311"/>
      <w:bookmarkStart w:id="36" w:name="_Toc427442454"/>
      <w:bookmarkStart w:id="37" w:name="_Toc355117099"/>
      <w:r>
        <w:rPr>
          <w:rFonts w:hint="eastAsia" w:ascii="宋体" w:hAnsi="宋体"/>
          <w:b/>
          <w:color w:val="auto"/>
          <w:sz w:val="24"/>
          <w:highlight w:val="none"/>
        </w:rPr>
        <w:t>（三）招标方式</w:t>
      </w:r>
      <w:bookmarkEnd w:id="31"/>
      <w:bookmarkEnd w:id="32"/>
      <w:bookmarkEnd w:id="33"/>
      <w:bookmarkEnd w:id="34"/>
      <w:bookmarkEnd w:id="35"/>
      <w:bookmarkEnd w:id="36"/>
      <w:bookmarkEnd w:id="37"/>
    </w:p>
    <w:p w14:paraId="4D26AD99">
      <w:pPr>
        <w:tabs>
          <w:tab w:val="left" w:pos="1680"/>
        </w:tabs>
        <w:snapToGrid w:val="0"/>
        <w:spacing w:line="360" w:lineRule="auto"/>
        <w:ind w:firstLine="468" w:firstLineChars="195"/>
        <w:jc w:val="left"/>
        <w:rPr>
          <w:rFonts w:ascii="宋体" w:hAnsi="宋体"/>
          <w:color w:val="auto"/>
          <w:sz w:val="24"/>
          <w:highlight w:val="none"/>
        </w:rPr>
      </w:pPr>
      <w:r>
        <w:rPr>
          <w:rFonts w:ascii="宋体" w:hAnsi="宋体"/>
          <w:color w:val="auto"/>
          <w:sz w:val="24"/>
          <w:highlight w:val="none"/>
        </w:rPr>
        <w:t>采用</w:t>
      </w:r>
      <w:r>
        <w:rPr>
          <w:rFonts w:hint="eastAsia" w:ascii="宋体" w:hAnsi="宋体"/>
          <w:color w:val="auto"/>
          <w:sz w:val="24"/>
          <w:highlight w:val="none"/>
        </w:rPr>
        <w:t>公开</w:t>
      </w:r>
      <w:r>
        <w:rPr>
          <w:rFonts w:ascii="宋体" w:hAnsi="宋体"/>
          <w:color w:val="auto"/>
          <w:sz w:val="24"/>
          <w:highlight w:val="none"/>
        </w:rPr>
        <w:t>招标方式进行。</w:t>
      </w:r>
    </w:p>
    <w:p w14:paraId="3DCD199C">
      <w:pPr>
        <w:tabs>
          <w:tab w:val="left" w:pos="1680"/>
        </w:tabs>
        <w:snapToGrid w:val="0"/>
        <w:spacing w:line="360" w:lineRule="auto"/>
        <w:jc w:val="left"/>
        <w:outlineLvl w:val="1"/>
        <w:rPr>
          <w:rFonts w:ascii="宋体" w:hAnsi="宋体"/>
          <w:b/>
          <w:color w:val="auto"/>
          <w:sz w:val="24"/>
          <w:highlight w:val="none"/>
        </w:rPr>
      </w:pPr>
      <w:bookmarkStart w:id="38" w:name="_Toc259108312"/>
      <w:bookmarkStart w:id="39" w:name="_Toc16874"/>
      <w:bookmarkStart w:id="40" w:name="_Toc355117100"/>
      <w:bookmarkStart w:id="41" w:name="_Toc427442455"/>
      <w:bookmarkStart w:id="42" w:name="_Toc429406705"/>
      <w:bookmarkStart w:id="43" w:name="_Toc249866754"/>
      <w:bookmarkStart w:id="44" w:name="_Toc436314542"/>
      <w:r>
        <w:rPr>
          <w:rFonts w:hint="eastAsia" w:ascii="宋体" w:hAnsi="宋体"/>
          <w:b/>
          <w:color w:val="auto"/>
          <w:sz w:val="24"/>
          <w:highlight w:val="none"/>
        </w:rPr>
        <w:t>（四）投标委托</w:t>
      </w:r>
      <w:bookmarkEnd w:id="38"/>
      <w:bookmarkEnd w:id="39"/>
      <w:bookmarkEnd w:id="40"/>
      <w:bookmarkEnd w:id="41"/>
      <w:bookmarkEnd w:id="42"/>
      <w:bookmarkEnd w:id="43"/>
      <w:bookmarkEnd w:id="44"/>
    </w:p>
    <w:p w14:paraId="39D758CD">
      <w:pPr>
        <w:pStyle w:val="12"/>
        <w:tabs>
          <w:tab w:val="left" w:pos="1680"/>
        </w:tabs>
        <w:snapToGrid w:val="0"/>
        <w:ind w:firstLine="468" w:firstLineChars="195"/>
        <w:jc w:val="left"/>
        <w:rPr>
          <w:rFonts w:ascii="宋体" w:hAnsi="宋体"/>
          <w:color w:val="auto"/>
          <w:highlight w:val="none"/>
        </w:rPr>
      </w:pPr>
      <w:r>
        <w:rPr>
          <w:rFonts w:ascii="宋体" w:hAnsi="宋体"/>
          <w:color w:val="auto"/>
          <w:highlight w:val="none"/>
        </w:rPr>
        <w:t>如投标人代表不是法定代表人</w:t>
      </w:r>
      <w:r>
        <w:rPr>
          <w:rFonts w:hint="eastAsia" w:ascii="宋体" w:hAnsi="宋体"/>
          <w:color w:val="auto"/>
          <w:highlight w:val="none"/>
        </w:rPr>
        <w:t>（或分行负责人）</w:t>
      </w:r>
      <w:r>
        <w:rPr>
          <w:rFonts w:ascii="宋体" w:hAnsi="宋体"/>
          <w:color w:val="auto"/>
          <w:highlight w:val="none"/>
        </w:rPr>
        <w:t>，</w:t>
      </w:r>
      <w:r>
        <w:rPr>
          <w:rFonts w:hint="eastAsia" w:ascii="宋体" w:hAnsi="宋体"/>
          <w:color w:val="auto"/>
          <w:highlight w:val="none"/>
          <w:lang w:eastAsia="zh-CN"/>
        </w:rPr>
        <w:t>需</w:t>
      </w:r>
      <w:r>
        <w:rPr>
          <w:rFonts w:ascii="宋体" w:hAnsi="宋体"/>
          <w:color w:val="auto"/>
          <w:highlight w:val="none"/>
        </w:rPr>
        <w:t>有法定代表人</w:t>
      </w:r>
      <w:r>
        <w:rPr>
          <w:rFonts w:hint="eastAsia" w:ascii="宋体" w:hAnsi="宋体"/>
          <w:color w:val="auto"/>
          <w:highlight w:val="none"/>
        </w:rPr>
        <w:t>（或分行负责人）</w:t>
      </w:r>
      <w:r>
        <w:rPr>
          <w:rFonts w:ascii="宋体" w:hAnsi="宋体"/>
          <w:color w:val="auto"/>
          <w:highlight w:val="none"/>
        </w:rPr>
        <w:t>出具的授权委托书（格式见第</w:t>
      </w:r>
      <w:r>
        <w:rPr>
          <w:rFonts w:hint="eastAsia" w:ascii="宋体" w:hAnsi="宋体"/>
          <w:color w:val="auto"/>
          <w:highlight w:val="none"/>
        </w:rPr>
        <w:t>五章</w:t>
      </w:r>
      <w:r>
        <w:rPr>
          <w:rFonts w:ascii="宋体" w:hAnsi="宋体"/>
          <w:color w:val="auto"/>
          <w:highlight w:val="none"/>
        </w:rPr>
        <w:t>）。</w:t>
      </w:r>
    </w:p>
    <w:p w14:paraId="19D377D6">
      <w:pPr>
        <w:tabs>
          <w:tab w:val="left" w:pos="1680"/>
        </w:tabs>
        <w:snapToGrid w:val="0"/>
        <w:spacing w:line="360" w:lineRule="auto"/>
        <w:jc w:val="left"/>
        <w:outlineLvl w:val="1"/>
        <w:rPr>
          <w:rFonts w:ascii="宋体" w:hAnsi="宋体"/>
          <w:b/>
          <w:color w:val="auto"/>
          <w:sz w:val="24"/>
          <w:highlight w:val="none"/>
        </w:rPr>
      </w:pPr>
      <w:bookmarkStart w:id="45" w:name="_Toc429406706"/>
      <w:bookmarkStart w:id="46" w:name="_Toc355117101"/>
      <w:bookmarkStart w:id="47" w:name="_Toc427442456"/>
      <w:bookmarkStart w:id="48" w:name="_Toc1480"/>
      <w:bookmarkStart w:id="49" w:name="_Toc249866755"/>
      <w:bookmarkStart w:id="50" w:name="_Toc259108313"/>
      <w:bookmarkStart w:id="51" w:name="_Toc436314543"/>
      <w:r>
        <w:rPr>
          <w:rFonts w:hint="eastAsia" w:ascii="宋体" w:hAnsi="宋体"/>
          <w:b/>
          <w:color w:val="auto"/>
          <w:sz w:val="24"/>
          <w:highlight w:val="none"/>
        </w:rPr>
        <w:t>（五）投标费用</w:t>
      </w:r>
      <w:bookmarkEnd w:id="45"/>
      <w:bookmarkEnd w:id="46"/>
      <w:bookmarkEnd w:id="47"/>
      <w:bookmarkEnd w:id="48"/>
      <w:bookmarkEnd w:id="49"/>
      <w:bookmarkEnd w:id="50"/>
      <w:bookmarkEnd w:id="51"/>
    </w:p>
    <w:p w14:paraId="2EA8C483">
      <w:pPr>
        <w:tabs>
          <w:tab w:val="left" w:pos="1680"/>
        </w:tabs>
        <w:snapToGrid w:val="0"/>
        <w:spacing w:line="360" w:lineRule="auto"/>
        <w:ind w:firstLine="468" w:firstLineChars="195"/>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5B07E55E">
      <w:pPr>
        <w:tabs>
          <w:tab w:val="left" w:pos="1680"/>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（六）联合体投标</w:t>
      </w:r>
    </w:p>
    <w:p w14:paraId="61070AE6">
      <w:pPr>
        <w:tabs>
          <w:tab w:val="left" w:pos="1680"/>
        </w:tabs>
        <w:snapToGrid w:val="0"/>
        <w:spacing w:line="360" w:lineRule="auto"/>
        <w:ind w:firstLine="468" w:firstLineChars="195"/>
        <w:jc w:val="left"/>
        <w:rPr>
          <w:rFonts w:hint="eastAsia" w:ascii="宋体" w:hAnsi="宋体" w:cs="Arial"/>
          <w:color w:val="auto"/>
          <w:sz w:val="24"/>
          <w:highlight w:val="none"/>
        </w:rPr>
      </w:pPr>
      <w:r>
        <w:rPr>
          <w:rFonts w:hint="eastAsia" w:ascii="宋体" w:hAnsi="宋体" w:cs="Arial"/>
          <w:color w:val="auto"/>
          <w:sz w:val="24"/>
          <w:highlight w:val="none"/>
        </w:rPr>
        <w:t>本项目不接受联合体投标。</w:t>
      </w:r>
    </w:p>
    <w:p w14:paraId="0D36CCC7">
      <w:pPr>
        <w:tabs>
          <w:tab w:val="left" w:pos="1680"/>
        </w:tabs>
        <w:snapToGrid w:val="0"/>
        <w:spacing w:line="360" w:lineRule="auto"/>
        <w:jc w:val="left"/>
        <w:outlineLvl w:val="1"/>
        <w:rPr>
          <w:rFonts w:ascii="宋体" w:hAnsi="宋体"/>
          <w:b/>
          <w:color w:val="auto"/>
          <w:sz w:val="24"/>
          <w:highlight w:val="none"/>
        </w:rPr>
      </w:pPr>
      <w:bookmarkStart w:id="52" w:name="_Toc249866756"/>
      <w:bookmarkStart w:id="53" w:name="_Toc427442457"/>
      <w:bookmarkStart w:id="54" w:name="_Toc17084"/>
      <w:bookmarkStart w:id="55" w:name="_Toc259108314"/>
      <w:bookmarkStart w:id="56" w:name="_Toc429406707"/>
      <w:bookmarkStart w:id="57" w:name="_Toc355117102"/>
      <w:bookmarkStart w:id="58" w:name="_Toc436314544"/>
      <w:r>
        <w:rPr>
          <w:rFonts w:ascii="宋体" w:hAnsi="宋体"/>
          <w:b/>
          <w:color w:val="auto"/>
          <w:sz w:val="24"/>
          <w:highlight w:val="none"/>
        </w:rPr>
        <w:t>（</w:t>
      </w:r>
      <w:r>
        <w:rPr>
          <w:rFonts w:hint="eastAsia" w:ascii="宋体" w:hAnsi="宋体"/>
          <w:b/>
          <w:color w:val="auto"/>
          <w:sz w:val="24"/>
          <w:highlight w:val="none"/>
        </w:rPr>
        <w:t>七</w:t>
      </w:r>
      <w:r>
        <w:rPr>
          <w:rFonts w:ascii="宋体" w:hAnsi="宋体"/>
          <w:b/>
          <w:color w:val="auto"/>
          <w:sz w:val="24"/>
          <w:highlight w:val="none"/>
        </w:rPr>
        <w:t>）特别说明：</w:t>
      </w:r>
      <w:bookmarkEnd w:id="52"/>
      <w:bookmarkEnd w:id="53"/>
      <w:bookmarkEnd w:id="54"/>
      <w:bookmarkEnd w:id="55"/>
      <w:bookmarkEnd w:id="56"/>
      <w:bookmarkEnd w:id="57"/>
      <w:bookmarkEnd w:id="58"/>
    </w:p>
    <w:p w14:paraId="1492B4F0">
      <w:pPr>
        <w:pStyle w:val="16"/>
        <w:tabs>
          <w:tab w:val="left" w:pos="1680"/>
        </w:tabs>
        <w:snapToGrid w:val="0"/>
        <w:spacing w:before="0" w:beforeLines="0" w:after="0" w:afterLines="0" w:line="360" w:lineRule="auto"/>
        <w:ind w:left="2" w:leftChars="1" w:firstLine="480" w:firstLineChars="200"/>
        <w:rPr>
          <w:rFonts w:hint="eastAsia" w:hAnsi="宋体"/>
          <w:color w:val="auto"/>
          <w:highlight w:val="none"/>
        </w:rPr>
      </w:pPr>
      <w:bookmarkStart w:id="59" w:name="_Toc259108315"/>
      <w:bookmarkStart w:id="60" w:name="_Toc249866757"/>
      <w:r>
        <w:rPr>
          <w:rFonts w:hAnsi="宋体"/>
          <w:color w:val="auto"/>
          <w:highlight w:val="none"/>
        </w:rPr>
        <w:t>1.投标人投标所使用的资格、信誉</w:t>
      </w:r>
      <w:r>
        <w:rPr>
          <w:rFonts w:hint="eastAsia" w:hAnsi="宋体"/>
          <w:color w:val="auto"/>
          <w:highlight w:val="none"/>
        </w:rPr>
        <w:t>等</w:t>
      </w:r>
      <w:r>
        <w:rPr>
          <w:rFonts w:hAnsi="宋体"/>
          <w:color w:val="auto"/>
          <w:highlight w:val="none"/>
        </w:rPr>
        <w:t>必须为本法人所拥有。</w:t>
      </w:r>
    </w:p>
    <w:p w14:paraId="073A241C">
      <w:pPr>
        <w:pStyle w:val="16"/>
        <w:tabs>
          <w:tab w:val="left" w:pos="1680"/>
        </w:tabs>
        <w:snapToGrid w:val="0"/>
        <w:spacing w:before="0" w:beforeLines="0" w:after="0" w:afterLines="0" w:line="360" w:lineRule="auto"/>
        <w:ind w:left="2" w:leftChars="1" w:firstLine="480" w:firstLineChars="200"/>
        <w:rPr>
          <w:rFonts w:hint="eastAsia" w:hAnsi="宋体"/>
          <w:color w:val="auto"/>
          <w:highlight w:val="none"/>
        </w:rPr>
      </w:pPr>
      <w:r>
        <w:rPr>
          <w:rFonts w:hAnsi="宋体"/>
          <w:color w:val="auto"/>
          <w:highlight w:val="none"/>
        </w:rPr>
        <w:t>2.投标人应仔细阅读招标文件的所有内容，按照招标文件的要求提交投标文件，并对所提供的全部资料的真实性承担法律责任。</w:t>
      </w:r>
    </w:p>
    <w:p w14:paraId="3A114B2E">
      <w:pPr>
        <w:pStyle w:val="16"/>
        <w:tabs>
          <w:tab w:val="left" w:pos="1680"/>
        </w:tabs>
        <w:snapToGrid w:val="0"/>
        <w:spacing w:before="0" w:beforeLines="0" w:after="0" w:afterLines="0" w:line="360" w:lineRule="auto"/>
        <w:ind w:firstLine="470" w:firstLineChars="195"/>
        <w:rPr>
          <w:rFonts w:hint="eastAsia" w:hAnsi="宋体"/>
          <w:bCs/>
          <w:color w:val="auto"/>
          <w:highlight w:val="none"/>
        </w:rPr>
      </w:pPr>
      <w:r>
        <w:rPr>
          <w:rFonts w:hint="eastAsia" w:hAnsi="宋体"/>
          <w:b/>
          <w:color w:val="auto"/>
          <w:szCs w:val="21"/>
          <w:highlight w:val="none"/>
        </w:rPr>
        <w:t xml:space="preserve">如认为招标文件存在含糊不清、相互矛盾、多种含义、歧视性不公正条款或违法违规等内容时，请最迟在投标截止日10日前向招标代理人书面反映，逾期不得再对招标文件的条款或内容提出质疑。对招标文件的异议应盖投标人公章和注明日期。没有提出异议且又参与了该项目投标的投标人将被视为完全认同招标文件。 </w:t>
      </w:r>
    </w:p>
    <w:p w14:paraId="64662172">
      <w:pPr>
        <w:pStyle w:val="16"/>
        <w:tabs>
          <w:tab w:val="left" w:pos="1680"/>
        </w:tabs>
        <w:snapToGrid w:val="0"/>
        <w:spacing w:before="0" w:beforeLines="0" w:after="0" w:afterLines="0" w:line="360" w:lineRule="auto"/>
        <w:outlineLvl w:val="1"/>
        <w:rPr>
          <w:rFonts w:hAnsi="宋体"/>
          <w:b/>
          <w:bCs/>
          <w:color w:val="auto"/>
          <w:highlight w:val="none"/>
        </w:rPr>
      </w:pPr>
      <w:bookmarkStart w:id="61" w:name="_Toc429406708"/>
      <w:bookmarkStart w:id="62" w:name="_Toc355117103"/>
      <w:bookmarkStart w:id="63" w:name="_Toc427442458"/>
      <w:bookmarkStart w:id="64" w:name="_Toc436314545"/>
      <w:bookmarkStart w:id="65" w:name="_Toc32228"/>
      <w:r>
        <w:rPr>
          <w:rFonts w:hAnsi="宋体"/>
          <w:b/>
          <w:bCs/>
          <w:color w:val="auto"/>
          <w:highlight w:val="none"/>
        </w:rPr>
        <w:t>（</w:t>
      </w:r>
      <w:r>
        <w:rPr>
          <w:rFonts w:hint="eastAsia" w:hAnsi="宋体"/>
          <w:b/>
          <w:bCs/>
          <w:color w:val="auto"/>
          <w:highlight w:val="none"/>
        </w:rPr>
        <w:t>八</w:t>
      </w:r>
      <w:r>
        <w:rPr>
          <w:rFonts w:hAnsi="宋体"/>
          <w:b/>
          <w:bCs/>
          <w:color w:val="auto"/>
          <w:highlight w:val="none"/>
        </w:rPr>
        <w:t>）质疑和投诉</w:t>
      </w:r>
      <w:bookmarkEnd w:id="59"/>
      <w:bookmarkEnd w:id="60"/>
      <w:bookmarkEnd w:id="61"/>
      <w:bookmarkEnd w:id="62"/>
      <w:bookmarkEnd w:id="63"/>
      <w:bookmarkEnd w:id="64"/>
      <w:bookmarkEnd w:id="65"/>
    </w:p>
    <w:p w14:paraId="02B941FD">
      <w:pPr>
        <w:pStyle w:val="16"/>
        <w:tabs>
          <w:tab w:val="left" w:pos="1680"/>
        </w:tabs>
        <w:snapToGrid w:val="0"/>
        <w:spacing w:before="0" w:beforeLines="0" w:after="0" w:afterLines="0" w:line="360" w:lineRule="auto"/>
        <w:ind w:firstLine="468" w:firstLineChars="195"/>
        <w:rPr>
          <w:rFonts w:hint="eastAsia" w:hAnsi="宋体"/>
          <w:bCs/>
          <w:color w:val="auto"/>
          <w:highlight w:val="none"/>
        </w:rPr>
      </w:pPr>
      <w:r>
        <w:rPr>
          <w:rFonts w:hAnsi="宋体"/>
          <w:bCs/>
          <w:color w:val="auto"/>
          <w:highlight w:val="none"/>
        </w:rPr>
        <w:t>1.投标人认为招标文件、招标过程或中标结果使自己的合法权益受到损害的，应当在知道或者应知其权益受到损害之日起</w:t>
      </w:r>
      <w:r>
        <w:rPr>
          <w:rFonts w:hint="eastAsia" w:hAnsi="宋体"/>
          <w:bCs/>
          <w:color w:val="auto"/>
          <w:highlight w:val="none"/>
        </w:rPr>
        <w:t>3</w:t>
      </w:r>
      <w:r>
        <w:rPr>
          <w:rFonts w:hAnsi="宋体"/>
          <w:bCs/>
          <w:color w:val="auto"/>
          <w:highlight w:val="none"/>
        </w:rPr>
        <w:t>个工作日内，以书面形式向招标人、招标代理人提出质疑。</w:t>
      </w:r>
      <w:r>
        <w:rPr>
          <w:rFonts w:hint="eastAsia" w:hAnsi="宋体"/>
          <w:bCs/>
          <w:color w:val="auto"/>
          <w:highlight w:val="none"/>
        </w:rPr>
        <w:t>投标人对招标人的质疑答复不满意或者招标人未在规定时间内做出答复的，可以在答复期满后十五个工作日内向同级招标监管部门投诉。</w:t>
      </w:r>
    </w:p>
    <w:p w14:paraId="4FC305D5">
      <w:pPr>
        <w:pStyle w:val="16"/>
        <w:tabs>
          <w:tab w:val="left" w:pos="1680"/>
        </w:tabs>
        <w:snapToGrid w:val="0"/>
        <w:spacing w:before="0" w:beforeLines="0" w:after="0" w:afterLines="0" w:line="360" w:lineRule="auto"/>
        <w:ind w:firstLine="468" w:firstLineChars="195"/>
        <w:rPr>
          <w:rFonts w:hint="eastAsia" w:hAnsi="宋体"/>
          <w:bCs/>
          <w:color w:val="auto"/>
          <w:highlight w:val="none"/>
        </w:rPr>
      </w:pPr>
      <w:r>
        <w:rPr>
          <w:rFonts w:hAnsi="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66" w:name="_Toc249866758"/>
    </w:p>
    <w:p w14:paraId="20C18AD3">
      <w:pPr>
        <w:pStyle w:val="16"/>
        <w:tabs>
          <w:tab w:val="left" w:pos="1680"/>
        </w:tabs>
        <w:snapToGrid w:val="0"/>
        <w:spacing w:before="0" w:beforeLines="0" w:after="0" w:afterLines="0" w:line="360" w:lineRule="auto"/>
        <w:rPr>
          <w:rFonts w:hAnsi="宋体"/>
          <w:b/>
          <w:color w:val="auto"/>
          <w:highlight w:val="none"/>
        </w:rPr>
      </w:pPr>
      <w:r>
        <w:rPr>
          <w:rFonts w:hAnsi="宋体"/>
          <w:b/>
          <w:color w:val="auto"/>
          <w:highlight w:val="none"/>
        </w:rPr>
        <w:t>二</w:t>
      </w:r>
      <w:r>
        <w:rPr>
          <w:rFonts w:hint="eastAsia" w:hAnsi="宋体"/>
          <w:b/>
          <w:color w:val="auto"/>
          <w:highlight w:val="none"/>
        </w:rPr>
        <w:t>、招标</w:t>
      </w:r>
      <w:r>
        <w:rPr>
          <w:rFonts w:hAnsi="宋体"/>
          <w:b/>
          <w:color w:val="auto"/>
          <w:highlight w:val="none"/>
        </w:rPr>
        <w:t>文件</w:t>
      </w:r>
      <w:bookmarkEnd w:id="66"/>
    </w:p>
    <w:p w14:paraId="4423EE02">
      <w:pPr>
        <w:tabs>
          <w:tab w:val="left" w:pos="1680"/>
        </w:tabs>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（一）招标文件的构成。本招标文件由以下部份组成：</w:t>
      </w:r>
    </w:p>
    <w:p w14:paraId="5A4AFDFC">
      <w:pPr>
        <w:tabs>
          <w:tab w:val="left" w:pos="1680"/>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招标公告</w:t>
      </w:r>
    </w:p>
    <w:p w14:paraId="3E3B06C2">
      <w:pPr>
        <w:tabs>
          <w:tab w:val="left" w:pos="1680"/>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项目需求</w:t>
      </w:r>
    </w:p>
    <w:p w14:paraId="1DC6226F">
      <w:pPr>
        <w:tabs>
          <w:tab w:val="left" w:pos="1680"/>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0B90C4A6">
      <w:pPr>
        <w:tabs>
          <w:tab w:val="left" w:pos="1680"/>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第四章 </w:t>
      </w:r>
      <w:r>
        <w:rPr>
          <w:rFonts w:ascii="宋体" w:hAnsi="宋体"/>
          <w:color w:val="auto"/>
          <w:sz w:val="24"/>
          <w:highlight w:val="none"/>
        </w:rPr>
        <w:t>开标及评标办法</w:t>
      </w:r>
    </w:p>
    <w:p w14:paraId="38F90E5E">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第五章 </w:t>
      </w:r>
      <w:r>
        <w:rPr>
          <w:rFonts w:ascii="宋体" w:hAnsi="宋体"/>
          <w:color w:val="auto"/>
          <w:sz w:val="24"/>
          <w:highlight w:val="none"/>
        </w:rPr>
        <w:t>投标文件格式</w:t>
      </w:r>
    </w:p>
    <w:p w14:paraId="524727DA">
      <w:pPr>
        <w:tabs>
          <w:tab w:val="left" w:pos="1680"/>
        </w:tabs>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4A3AEC96">
      <w:pPr>
        <w:pStyle w:val="16"/>
        <w:tabs>
          <w:tab w:val="left" w:pos="1680"/>
        </w:tabs>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投标人没有按照招标文件要求提供全部资料，或者投标人没有对招标文件在各方面做出实质性响应是投标人的风险，并可能导致其投标被拒绝。</w:t>
      </w:r>
    </w:p>
    <w:p w14:paraId="229F4A5E">
      <w:pPr>
        <w:tabs>
          <w:tab w:val="left" w:pos="1680"/>
        </w:tabs>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 xml:space="preserve">（三）招标文件的澄清与修改 </w:t>
      </w:r>
    </w:p>
    <w:p w14:paraId="39995846">
      <w:pPr>
        <w:pStyle w:val="16"/>
        <w:tabs>
          <w:tab w:val="left" w:pos="1680"/>
        </w:tabs>
        <w:snapToGrid w:val="0"/>
        <w:spacing w:before="0" w:beforeLines="0" w:after="0" w:afterLines="0" w:line="360" w:lineRule="auto"/>
        <w:ind w:firstLine="468" w:firstLineChars="195"/>
        <w:rPr>
          <w:rFonts w:hAnsi="宋体"/>
          <w:bCs/>
          <w:color w:val="auto"/>
          <w:highlight w:val="none"/>
        </w:rPr>
      </w:pPr>
      <w:r>
        <w:rPr>
          <w:rFonts w:hAnsi="宋体"/>
          <w:bCs/>
          <w:color w:val="auto"/>
          <w:highlight w:val="none"/>
        </w:rPr>
        <w:t>1.投标人应认真阅读本招标文件，发现</w:t>
      </w:r>
      <w:r>
        <w:rPr>
          <w:rFonts w:hint="eastAsia" w:hAnsi="宋体"/>
          <w:color w:val="auto"/>
          <w:highlight w:val="none"/>
        </w:rPr>
        <w:t>招标文件表述不清晰、存在歧视性或者其他违法内容</w:t>
      </w:r>
      <w:r>
        <w:rPr>
          <w:rFonts w:hAnsi="宋体"/>
          <w:bCs/>
          <w:color w:val="auto"/>
          <w:highlight w:val="none"/>
        </w:rPr>
        <w:t>的，投标人</w:t>
      </w:r>
      <w:r>
        <w:rPr>
          <w:rFonts w:hint="eastAsia" w:hAnsi="宋体"/>
          <w:bCs/>
          <w:color w:val="auto"/>
          <w:highlight w:val="none"/>
        </w:rPr>
        <w:t>应在投标截止时间10日前</w:t>
      </w:r>
      <w:r>
        <w:rPr>
          <w:rFonts w:hAnsi="宋体"/>
          <w:bCs/>
          <w:color w:val="auto"/>
          <w:highlight w:val="none"/>
        </w:rPr>
        <w:t>以书面形式要求招标人澄清。招标代理</w:t>
      </w:r>
      <w:r>
        <w:rPr>
          <w:rFonts w:hint="eastAsia" w:hAnsi="宋体"/>
          <w:bCs/>
          <w:color w:val="auto"/>
          <w:highlight w:val="none"/>
        </w:rPr>
        <w:t>人</w:t>
      </w:r>
      <w:r>
        <w:rPr>
          <w:rFonts w:hAnsi="宋体"/>
          <w:bCs/>
          <w:color w:val="auto"/>
          <w:highlight w:val="none"/>
        </w:rPr>
        <w:t>对已发出的招标文件进行必要澄清、答复、修改或补充的，应当在招标文件要求提交投标文件截止时间</w:t>
      </w:r>
      <w:r>
        <w:rPr>
          <w:rFonts w:hint="eastAsia" w:hAnsi="宋体"/>
          <w:bCs/>
          <w:color w:val="auto"/>
          <w:highlight w:val="none"/>
        </w:rPr>
        <w:t>15</w:t>
      </w:r>
      <w:r>
        <w:rPr>
          <w:rFonts w:hAnsi="宋体"/>
          <w:bCs/>
          <w:color w:val="auto"/>
          <w:highlight w:val="none"/>
        </w:rPr>
        <w:t>日前，以书面形式通知所有招标文件收受人。</w:t>
      </w:r>
    </w:p>
    <w:p w14:paraId="08AF68ED">
      <w:pPr>
        <w:pStyle w:val="16"/>
        <w:tabs>
          <w:tab w:val="left" w:pos="1680"/>
        </w:tabs>
        <w:snapToGrid w:val="0"/>
        <w:spacing w:before="0" w:beforeLines="0" w:after="0" w:afterLines="0" w:line="360" w:lineRule="auto"/>
        <w:ind w:firstLine="468" w:firstLineChars="195"/>
        <w:rPr>
          <w:rFonts w:hAnsi="宋体"/>
          <w:bCs/>
          <w:color w:val="auto"/>
          <w:highlight w:val="none"/>
        </w:rPr>
      </w:pPr>
      <w:r>
        <w:rPr>
          <w:rFonts w:hAnsi="宋体"/>
          <w:bCs/>
          <w:color w:val="auto"/>
          <w:highlight w:val="none"/>
        </w:rPr>
        <w:t>2.招标文件澄清、答复、修改、补充的内容为招标文件的组成部分。当招标文件与招标文件的答复、澄清、修改、补充通知就同一内容的表述不一致时，以最后发出的书面文件为准。</w:t>
      </w:r>
    </w:p>
    <w:p w14:paraId="4BEB99F5">
      <w:pPr>
        <w:pStyle w:val="16"/>
        <w:tabs>
          <w:tab w:val="left" w:pos="1680"/>
        </w:tabs>
        <w:snapToGrid w:val="0"/>
        <w:spacing w:before="0" w:beforeLines="0" w:after="0" w:afterLines="0" w:line="360" w:lineRule="auto"/>
        <w:rPr>
          <w:rFonts w:hAnsi="宋体"/>
          <w:b/>
          <w:color w:val="auto"/>
          <w:highlight w:val="none"/>
        </w:rPr>
      </w:pPr>
      <w:bookmarkStart w:id="67" w:name="_Toc249866759"/>
      <w:r>
        <w:rPr>
          <w:rFonts w:hAnsi="宋体"/>
          <w:b/>
          <w:color w:val="auto"/>
          <w:highlight w:val="none"/>
        </w:rPr>
        <w:t>三</w:t>
      </w:r>
      <w:r>
        <w:rPr>
          <w:rFonts w:hint="eastAsia" w:hAnsi="宋体"/>
          <w:b/>
          <w:color w:val="auto"/>
          <w:highlight w:val="none"/>
        </w:rPr>
        <w:t>、</w:t>
      </w:r>
      <w:r>
        <w:rPr>
          <w:rFonts w:hAnsi="宋体"/>
          <w:b/>
          <w:color w:val="auto"/>
          <w:highlight w:val="none"/>
        </w:rPr>
        <w:t>投标文件的编制</w:t>
      </w:r>
      <w:bookmarkEnd w:id="67"/>
    </w:p>
    <w:p w14:paraId="20AFD5F1">
      <w:pPr>
        <w:tabs>
          <w:tab w:val="left" w:pos="1680"/>
        </w:tabs>
        <w:snapToGrid w:val="0"/>
        <w:spacing w:line="360" w:lineRule="auto"/>
        <w:ind w:firstLine="472" w:firstLineChars="196"/>
        <w:jc w:val="left"/>
        <w:outlineLvl w:val="0"/>
        <w:rPr>
          <w:rFonts w:hint="eastAsia" w:ascii="宋体" w:hAnsi="宋体"/>
          <w:b/>
          <w:color w:val="auto"/>
          <w:sz w:val="24"/>
          <w:highlight w:val="none"/>
        </w:rPr>
      </w:pPr>
      <w:bookmarkStart w:id="68" w:name="_Toc259108316"/>
      <w:bookmarkStart w:id="69" w:name="_Toc427442459"/>
      <w:bookmarkStart w:id="70" w:name="_Toc436314546"/>
      <w:bookmarkStart w:id="71" w:name="_Toc429406709"/>
      <w:bookmarkStart w:id="72" w:name="_Toc355117104"/>
      <w:bookmarkStart w:id="73" w:name="_Toc249866760"/>
      <w:bookmarkStart w:id="74" w:name="_Toc4947"/>
      <w:r>
        <w:rPr>
          <w:rFonts w:ascii="宋体" w:hAnsi="宋体"/>
          <w:b/>
          <w:color w:val="auto"/>
          <w:sz w:val="24"/>
          <w:highlight w:val="none"/>
        </w:rPr>
        <w:t>（一）投标文件的组成</w:t>
      </w:r>
      <w:bookmarkEnd w:id="68"/>
      <w:bookmarkEnd w:id="69"/>
      <w:bookmarkEnd w:id="70"/>
      <w:bookmarkEnd w:id="71"/>
      <w:bookmarkEnd w:id="72"/>
      <w:bookmarkEnd w:id="73"/>
      <w:bookmarkEnd w:id="74"/>
    </w:p>
    <w:p w14:paraId="59428B4D">
      <w:pPr>
        <w:tabs>
          <w:tab w:val="left" w:pos="1680"/>
        </w:tabs>
        <w:snapToGrid w:val="0"/>
        <w:spacing w:line="360" w:lineRule="auto"/>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 xml:space="preserve"> </w:t>
      </w:r>
      <w:bookmarkStart w:id="75" w:name="_Toc429406710"/>
      <w:bookmarkStart w:id="76" w:name="_Toc26494"/>
      <w:bookmarkStart w:id="77" w:name="_Toc436314547"/>
      <w:bookmarkStart w:id="78" w:name="_Toc427442460"/>
      <w:r>
        <w:rPr>
          <w:rFonts w:hint="eastAsia" w:ascii="宋体" w:hAnsi="宋体"/>
          <w:b/>
          <w:color w:val="auto"/>
          <w:sz w:val="24"/>
          <w:highlight w:val="none"/>
        </w:rPr>
        <w:t>1、投标文件包括以下内容：</w:t>
      </w:r>
      <w:bookmarkEnd w:id="75"/>
      <w:bookmarkEnd w:id="76"/>
      <w:bookmarkEnd w:id="77"/>
      <w:bookmarkEnd w:id="78"/>
    </w:p>
    <w:p w14:paraId="6F536A8F">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rPr>
        <w:t>（1）投标声明书；</w:t>
      </w:r>
    </w:p>
    <w:p w14:paraId="60FB086C">
      <w:pPr>
        <w:tabs>
          <w:tab w:val="left" w:pos="1680"/>
        </w:tabs>
        <w:autoSpaceDE w:val="0"/>
        <w:autoSpaceDN w:val="0"/>
        <w:snapToGrid w:val="0"/>
        <w:spacing w:line="360" w:lineRule="auto"/>
        <w:ind w:left="0" w:leftChars="0" w:firstLine="420" w:firstLineChars="17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（2）廉政承诺书</w:t>
      </w:r>
      <w:r>
        <w:rPr>
          <w:rFonts w:hint="eastAsia" w:ascii="宋体" w:hAnsi="宋体" w:cs="宋体"/>
          <w:color w:val="auto"/>
          <w:sz w:val="24"/>
          <w:highlight w:val="none"/>
          <w:lang w:eastAsia="zh-CN"/>
        </w:rPr>
        <w:t>；</w:t>
      </w:r>
    </w:p>
    <w:p w14:paraId="43401760">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投标报价一览表；</w:t>
      </w:r>
    </w:p>
    <w:p w14:paraId="7FA068F6">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eastAsia="宋体" w:cs="宋体"/>
          <w:color w:val="auto"/>
          <w:sz w:val="24"/>
          <w:highlight w:val="none"/>
        </w:rPr>
        <w:t>法定代表人（或分行负责人/支行负责人）身份证明书或法定代表人（或分行负责人/支行负责人）授权委托书；</w:t>
      </w:r>
    </w:p>
    <w:p w14:paraId="35A41500">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rPr>
        <w:t>（5）投标人资格证明文件；</w:t>
      </w:r>
    </w:p>
    <w:p w14:paraId="7BFA6457">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2024</w:t>
      </w:r>
      <w:r>
        <w:rPr>
          <w:rFonts w:hint="eastAsia" w:ascii="宋体" w:hAnsi="宋体" w:cs="宋体"/>
          <w:color w:val="auto"/>
          <w:sz w:val="24"/>
          <w:highlight w:val="none"/>
        </w:rPr>
        <w:t>年度资产负债表和损益表；</w:t>
      </w:r>
    </w:p>
    <w:p w14:paraId="177F859F">
      <w:pPr>
        <w:tabs>
          <w:tab w:val="left" w:pos="1680"/>
        </w:tabs>
        <w:autoSpaceDE w:val="0"/>
        <w:autoSpaceDN w:val="0"/>
        <w:snapToGrid w:val="0"/>
        <w:spacing w:line="360" w:lineRule="auto"/>
        <w:ind w:left="0" w:leftChars="0" w:firstLine="420" w:firstLineChars="175"/>
        <w:textAlignment w:val="bottom"/>
        <w:rPr>
          <w:rFonts w:ascii="宋体" w:hAnsi="宋体" w:cs="宋体"/>
          <w:color w:val="auto"/>
          <w:sz w:val="24"/>
          <w:highlight w:val="none"/>
        </w:rPr>
      </w:pPr>
      <w:r>
        <w:rPr>
          <w:rFonts w:hint="eastAsia" w:ascii="宋体" w:hAnsi="宋体" w:cs="宋体"/>
          <w:color w:val="auto"/>
          <w:sz w:val="24"/>
          <w:highlight w:val="none"/>
        </w:rPr>
        <w:t>（7）根据第四章评分标准中的内容提供相应的资料；</w:t>
      </w:r>
    </w:p>
    <w:p w14:paraId="5A9952F2">
      <w:pPr>
        <w:pStyle w:val="16"/>
        <w:tabs>
          <w:tab w:val="left" w:pos="1680"/>
        </w:tabs>
        <w:snapToGrid w:val="0"/>
        <w:spacing w:before="0" w:beforeLines="0" w:after="0" w:afterLines="0" w:line="360" w:lineRule="auto"/>
        <w:ind w:firstLine="468" w:firstLineChars="195"/>
        <w:rPr>
          <w:rFonts w:hAnsi="宋体"/>
          <w:bCs/>
          <w:color w:val="auto"/>
          <w:highlight w:val="none"/>
        </w:rPr>
      </w:pPr>
      <w:r>
        <w:rPr>
          <w:rFonts w:hint="eastAsia" w:ascii="宋体" w:hAnsi="宋体" w:cs="宋体"/>
          <w:color w:val="auto"/>
          <w:sz w:val="24"/>
          <w:highlight w:val="none"/>
        </w:rPr>
        <w:t>（8）投标人认为需提供的其他资料。</w:t>
      </w:r>
    </w:p>
    <w:p w14:paraId="6E86F0CF">
      <w:pPr>
        <w:tabs>
          <w:tab w:val="left" w:pos="1680"/>
        </w:tabs>
        <w:adjustRightInd w:val="0"/>
        <w:snapToGrid w:val="0"/>
        <w:spacing w:line="360" w:lineRule="auto"/>
        <w:ind w:firstLine="600" w:firstLineChars="249"/>
        <w:rPr>
          <w:rFonts w:ascii="宋体" w:hAnsi="宋体"/>
          <w:b/>
          <w:bCs/>
          <w:color w:val="auto"/>
          <w:sz w:val="24"/>
          <w:highlight w:val="none"/>
        </w:rPr>
      </w:pPr>
      <w:bookmarkStart w:id="79" w:name="_Toc436314548"/>
      <w:bookmarkStart w:id="80" w:name="_Toc249866761"/>
      <w:bookmarkStart w:id="81" w:name="_Toc429406711"/>
      <w:bookmarkStart w:id="82" w:name="_Toc355117105"/>
      <w:bookmarkStart w:id="83" w:name="_Toc427442461"/>
      <w:bookmarkStart w:id="84" w:name="_Toc259108317"/>
      <w:r>
        <w:rPr>
          <w:rFonts w:ascii="宋体" w:hAnsi="宋体"/>
          <w:b/>
          <w:bCs/>
          <w:color w:val="auto"/>
          <w:sz w:val="24"/>
          <w:highlight w:val="none"/>
        </w:rPr>
        <w:t>2</w:t>
      </w:r>
      <w:r>
        <w:rPr>
          <w:rFonts w:hint="eastAsia" w:ascii="宋体" w:hAnsi="宋体"/>
          <w:b/>
          <w:bCs/>
          <w:color w:val="auto"/>
          <w:sz w:val="24"/>
          <w:highlight w:val="none"/>
        </w:rPr>
        <w:t>、投标文件的形式和效力</w:t>
      </w:r>
    </w:p>
    <w:p w14:paraId="47D47032">
      <w:pPr>
        <w:tabs>
          <w:tab w:val="left" w:pos="1680"/>
        </w:tabs>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（1）投标文件分为电子投标文件以及备份投标文件，备份投标文件为以 U 盘存储的电子备份投标文件。</w:t>
      </w:r>
    </w:p>
    <w:p w14:paraId="5778108E">
      <w:pPr>
        <w:tabs>
          <w:tab w:val="left" w:pos="1680"/>
        </w:tabs>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 xml:space="preserve">（2）电子投标文件，按“政采云供应商项目采购-电子招投标操作指南”及本招标文件要求制作并递交。 </w:t>
      </w:r>
    </w:p>
    <w:p w14:paraId="134823F7">
      <w:pPr>
        <w:tabs>
          <w:tab w:val="left" w:pos="1680"/>
        </w:tabs>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（3）以 U 盘存储的电子备份投标文件，须按“政采云供应商项目采购-电子招投标操作指南”制作的备份文件。因 U 盘损坏无法正常获取电子备份文件或 U 盘存储的电子备份投标文件格式原因未能成功上传政采云系统的均作无效标处理，一切责任由投标人自行负责。</w:t>
      </w:r>
    </w:p>
    <w:p w14:paraId="5D201247">
      <w:pPr>
        <w:tabs>
          <w:tab w:val="left" w:pos="1680"/>
        </w:tabs>
        <w:adjustRightInd w:val="0"/>
        <w:snapToGrid w:val="0"/>
        <w:spacing w:line="360" w:lineRule="auto"/>
        <w:ind w:firstLine="597" w:firstLineChars="249"/>
        <w:rPr>
          <w:rFonts w:ascii="宋体" w:hAnsi="宋体"/>
          <w:b/>
          <w:bCs/>
          <w:color w:val="auto"/>
          <w:sz w:val="24"/>
          <w:highlight w:val="none"/>
        </w:rPr>
      </w:pPr>
      <w:r>
        <w:rPr>
          <w:rFonts w:hint="eastAsia" w:ascii="宋体" w:hAnsi="宋体"/>
          <w:bCs/>
          <w:color w:val="auto"/>
          <w:sz w:val="24"/>
          <w:highlight w:val="none"/>
        </w:rPr>
        <w:t>（4）投标文件的效力：投标文件的启用，按先后顺位分别为电子投标文件、以 U 盘存储的电子备份投标文件。在下一顺位的投标文件启用时，前一顺位的投标文件自动失效。电子投标文件未能按时开启，供应商提供了电子备份投标文件，以电子备份投标文件作为依据，否则视为投标文件撤回。电子投标文件已按时开启的，电子备份投标文件自动失效。</w:t>
      </w:r>
    </w:p>
    <w:p w14:paraId="67099A97">
      <w:pPr>
        <w:pStyle w:val="11"/>
        <w:tabs>
          <w:tab w:val="left" w:pos="1680"/>
        </w:tabs>
        <w:ind w:firstLine="480" w:firstLineChars="200"/>
        <w:rPr>
          <w:rFonts w:hint="eastAsia"/>
          <w:color w:val="auto"/>
          <w:highlight w:val="none"/>
        </w:rPr>
      </w:pPr>
      <w:r>
        <w:rPr>
          <w:rFonts w:ascii="宋体" w:hAnsi="宋体"/>
          <w:color w:val="auto"/>
          <w:sz w:val="24"/>
          <w:highlight w:val="none"/>
        </w:rPr>
        <w:t>▲</w:t>
      </w:r>
      <w:r>
        <w:rPr>
          <w:rFonts w:ascii="宋体" w:hAnsi="宋体"/>
          <w:b/>
          <w:bCs/>
          <w:color w:val="auto"/>
          <w:sz w:val="24"/>
          <w:highlight w:val="none"/>
        </w:rPr>
        <w:t>注：</w:t>
      </w:r>
      <w:r>
        <w:rPr>
          <w:rFonts w:hint="eastAsia" w:ascii="宋体" w:hAnsi="宋体"/>
          <w:b/>
          <w:bCs/>
          <w:color w:val="auto"/>
          <w:sz w:val="24"/>
          <w:highlight w:val="none"/>
        </w:rPr>
        <w:t>电子投标文件中所须加盖公章部分均采用 CA 签章。</w:t>
      </w:r>
    </w:p>
    <w:p w14:paraId="0DF0118E">
      <w:pPr>
        <w:pStyle w:val="11"/>
        <w:tabs>
          <w:tab w:val="left" w:pos="1680"/>
        </w:tabs>
        <w:rPr>
          <w:rFonts w:hint="eastAsia"/>
          <w:color w:val="auto"/>
          <w:highlight w:val="none"/>
        </w:rPr>
      </w:pPr>
    </w:p>
    <w:p w14:paraId="6B85D228">
      <w:pPr>
        <w:tabs>
          <w:tab w:val="left" w:pos="1680"/>
        </w:tabs>
        <w:snapToGrid w:val="0"/>
        <w:spacing w:line="360" w:lineRule="auto"/>
        <w:ind w:firstLine="472" w:firstLineChars="196"/>
        <w:jc w:val="left"/>
        <w:outlineLvl w:val="0"/>
        <w:rPr>
          <w:rFonts w:ascii="宋体" w:hAnsi="宋体"/>
          <w:b/>
          <w:color w:val="auto"/>
          <w:sz w:val="24"/>
          <w:highlight w:val="none"/>
        </w:rPr>
      </w:pPr>
      <w:bookmarkStart w:id="85" w:name="_Toc12811"/>
      <w:r>
        <w:rPr>
          <w:rFonts w:hint="eastAsia" w:ascii="宋体" w:hAnsi="宋体"/>
          <w:b/>
          <w:color w:val="auto"/>
          <w:sz w:val="24"/>
          <w:highlight w:val="none"/>
        </w:rPr>
        <w:t>（二）投标文件的语言及计量</w:t>
      </w:r>
      <w:bookmarkEnd w:id="79"/>
      <w:bookmarkEnd w:id="80"/>
      <w:bookmarkEnd w:id="81"/>
      <w:bookmarkEnd w:id="82"/>
      <w:bookmarkEnd w:id="83"/>
      <w:bookmarkEnd w:id="84"/>
      <w:bookmarkEnd w:id="85"/>
    </w:p>
    <w:p w14:paraId="5517990E">
      <w:pPr>
        <w:tabs>
          <w:tab w:val="left" w:pos="1680"/>
        </w:tabs>
        <w:adjustRightInd w:val="0"/>
        <w:snapToGrid w:val="0"/>
        <w:spacing w:line="360" w:lineRule="auto"/>
        <w:ind w:firstLine="240" w:firstLineChars="100"/>
        <w:rPr>
          <w:rFonts w:ascii="宋体" w:hAnsi="宋体"/>
          <w:color w:val="auto"/>
          <w:sz w:val="24"/>
          <w:highlight w:val="none"/>
          <w:lang w:val="zh-CN"/>
        </w:rPr>
      </w:pPr>
      <w:r>
        <w:rPr>
          <w:rFonts w:ascii="宋体" w:hAnsi="宋体"/>
          <w:color w:val="auto"/>
          <w:sz w:val="24"/>
          <w:highlight w:val="none"/>
        </w:rPr>
        <w:t>▲1.</w:t>
      </w:r>
      <w:r>
        <w:rPr>
          <w:rFonts w:hint="eastAsia" w:ascii="宋体" w:hAnsi="宋体"/>
          <w:color w:val="auto"/>
          <w:sz w:val="24"/>
          <w:highlight w:val="none"/>
        </w:rPr>
        <w:t xml:space="preserve"> 投标文件及投标人与投标有关的来往通知、函件和文件均应使用中文。</w:t>
      </w:r>
    </w:p>
    <w:p w14:paraId="18245B66">
      <w:pPr>
        <w:tabs>
          <w:tab w:val="left" w:pos="1680"/>
        </w:tabs>
        <w:snapToGrid w:val="0"/>
        <w:spacing w:line="360" w:lineRule="auto"/>
        <w:ind w:firstLine="240" w:firstLineChars="100"/>
        <w:jc w:val="left"/>
        <w:rPr>
          <w:rFonts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62D4FBB">
      <w:pPr>
        <w:tabs>
          <w:tab w:val="left" w:pos="1680"/>
        </w:tabs>
        <w:snapToGrid w:val="0"/>
        <w:spacing w:line="360" w:lineRule="auto"/>
        <w:ind w:firstLine="472" w:firstLineChars="196"/>
        <w:jc w:val="left"/>
        <w:outlineLvl w:val="0"/>
        <w:rPr>
          <w:rFonts w:ascii="宋体" w:hAnsi="宋体"/>
          <w:b/>
          <w:color w:val="auto"/>
          <w:sz w:val="24"/>
          <w:highlight w:val="none"/>
        </w:rPr>
      </w:pPr>
      <w:bookmarkStart w:id="86" w:name="_Toc355117107"/>
      <w:bookmarkStart w:id="87" w:name="_Toc427442462"/>
      <w:bookmarkStart w:id="88" w:name="_Toc259108322"/>
      <w:bookmarkStart w:id="89" w:name="_Toc12269"/>
      <w:bookmarkStart w:id="90" w:name="_Toc429406712"/>
      <w:bookmarkStart w:id="91" w:name="_Toc249866766"/>
      <w:bookmarkStart w:id="92" w:name="_Toc436314549"/>
      <w:r>
        <w:rPr>
          <w:rFonts w:hint="eastAsia" w:ascii="宋体" w:hAnsi="宋体"/>
          <w:b/>
          <w:color w:val="auto"/>
          <w:sz w:val="24"/>
          <w:highlight w:val="none"/>
        </w:rPr>
        <w:t>（三）投标文件的签署和份数</w:t>
      </w:r>
      <w:bookmarkEnd w:id="86"/>
      <w:bookmarkEnd w:id="87"/>
      <w:bookmarkEnd w:id="88"/>
      <w:bookmarkEnd w:id="89"/>
      <w:bookmarkEnd w:id="90"/>
      <w:bookmarkEnd w:id="91"/>
      <w:bookmarkEnd w:id="92"/>
    </w:p>
    <w:p w14:paraId="4F9E9E84">
      <w:pPr>
        <w:tabs>
          <w:tab w:val="left" w:pos="1680"/>
        </w:tabs>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1.投标人应按本招标文件规定的格式和顺序编制、装订投标文件并标注页码，投标文件内容不完整、编排混乱导致投标文件被误读、漏读或者查找不到相关内容的，是投标人的责任。</w:t>
      </w:r>
    </w:p>
    <w:p w14:paraId="610F40F9">
      <w:pPr>
        <w:tabs>
          <w:tab w:val="left" w:pos="1680"/>
        </w:tabs>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投标文件的形式</w:t>
      </w:r>
    </w:p>
    <w:p w14:paraId="38A8D7CA">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（1）上传到政府采购云平台的电子投标文件。</w:t>
      </w:r>
    </w:p>
    <w:p w14:paraId="5065EFBE">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（2）以 U 盘形式存储的电子备份投标文件。</w:t>
      </w:r>
    </w:p>
    <w:p w14:paraId="43263391">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注：（1）电子备份投标文件不作实质性要求，是否提交由投标人自行决定。</w:t>
      </w:r>
    </w:p>
    <w:p w14:paraId="5ADB927A">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s="宋体"/>
          <w:bCs/>
          <w:color w:val="auto"/>
          <w:sz w:val="24"/>
          <w:highlight w:val="none"/>
        </w:rPr>
        <w:t>（2）</w:t>
      </w:r>
      <w:r>
        <w:rPr>
          <w:rFonts w:hint="eastAsia" w:ascii="宋体" w:hAnsi="宋体"/>
          <w:color w:val="auto"/>
          <w:sz w:val="24"/>
          <w:highlight w:val="none"/>
        </w:rPr>
        <w:t>电子投标文件部分：投标人应根据“政采云供应商项目采购-电子招投标操作指南”及本招标文件规定的格式和顺序编制电子投标文件并进行关联定位；电子投标文件中须加盖供应商公章部分均采用 CA 签章，签字部分可用 CA 锁</w:t>
      </w:r>
      <w:r>
        <w:rPr>
          <w:rFonts w:hint="eastAsia" w:ascii="宋体" w:hAnsi="宋体"/>
          <w:color w:val="auto"/>
          <w:sz w:val="24"/>
          <w:highlight w:val="none"/>
          <w:lang w:val="en-US" w:eastAsia="zh-CN"/>
        </w:rPr>
        <w:t>法定代表人</w:t>
      </w:r>
      <w:r>
        <w:rPr>
          <w:rFonts w:hint="eastAsia" w:ascii="宋体" w:hAnsi="宋体"/>
          <w:color w:val="auto"/>
          <w:sz w:val="24"/>
          <w:highlight w:val="none"/>
        </w:rPr>
        <w:t>章（如有），未申请</w:t>
      </w:r>
      <w:r>
        <w:rPr>
          <w:rFonts w:hint="eastAsia" w:ascii="宋体" w:hAnsi="宋体"/>
          <w:color w:val="auto"/>
          <w:sz w:val="24"/>
          <w:highlight w:val="none"/>
          <w:lang w:val="en-US" w:eastAsia="zh-CN"/>
        </w:rPr>
        <w:t>法定代表人</w:t>
      </w:r>
      <w:r>
        <w:rPr>
          <w:rFonts w:hint="eastAsia" w:ascii="宋体" w:hAnsi="宋体"/>
          <w:color w:val="auto"/>
          <w:sz w:val="24"/>
          <w:highlight w:val="none"/>
        </w:rPr>
        <w:t xml:space="preserve">章的将签名部分签好后以扫描件形式上传至投标文件（具体操作请咨询政采云 400-8817190）。 </w:t>
      </w:r>
    </w:p>
    <w:p w14:paraId="057905D3">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）以 U 盘存储的备份投标文件，单独密封递交。</w:t>
      </w:r>
    </w:p>
    <w:p w14:paraId="3212155E">
      <w:pPr>
        <w:tabs>
          <w:tab w:val="left" w:pos="168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color w:val="auto"/>
          <w:sz w:val="24"/>
          <w:highlight w:val="none"/>
        </w:rPr>
        <w:t xml:space="preserve"> </w:t>
      </w:r>
      <w:r>
        <w:rPr>
          <w:rFonts w:hint="eastAsia" w:ascii="宋体" w:hAnsi="宋体"/>
          <w:color w:val="auto"/>
          <w:sz w:val="24"/>
          <w:highlight w:val="none"/>
        </w:rPr>
        <w:t>投标文件须按“投标文件格式”提供的统一格式填写、签署和加盖公章</w:t>
      </w:r>
      <w:r>
        <w:rPr>
          <w:rFonts w:ascii="宋体" w:hAnsi="宋体"/>
          <w:color w:val="auto"/>
          <w:sz w:val="24"/>
          <w:highlight w:val="none"/>
        </w:rPr>
        <w:t>。</w:t>
      </w:r>
    </w:p>
    <w:p w14:paraId="39095537">
      <w:pPr>
        <w:tabs>
          <w:tab w:val="left" w:pos="1680"/>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1ABEF24A">
      <w:pPr>
        <w:tabs>
          <w:tab w:val="left" w:pos="1680"/>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四、投标文件的包装、递交、修改和撤回</w:t>
      </w:r>
    </w:p>
    <w:p w14:paraId="01DE7076">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投标文件的装订、密封、标记和递送</w:t>
      </w:r>
    </w:p>
    <w:p w14:paraId="1CFF5649">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（1）电子投标文件：投标人应根据“项目采购-电子招投标操作指南”及本招标文件规定的格式和顺序编制电子投标文件并进行关联定位。 </w:t>
      </w:r>
    </w:p>
    <w:p w14:paraId="28242DE9">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（2）电子备份投标文件：单独包封，外包装封面上应注明投标人名称、投标人地址、投标文件名称（电子投标文件的备份文件）、投标项目名称、项目编号及“开标时启封”字样，并加盖投标人公章。 </w:t>
      </w:r>
    </w:p>
    <w:p w14:paraId="29F1676F">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（3）未按规定密封或标记的投标文件，采购人有权拒绝接受其投标。 </w:t>
      </w:r>
    </w:p>
    <w:p w14:paraId="78AD26B3">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（4）如果投标人未按上述要求密封或标记而造成投标文件被误投或提前拆封的风险由投标人承担。</w:t>
      </w:r>
    </w:p>
    <w:p w14:paraId="2F48552F">
      <w:pPr>
        <w:tabs>
          <w:tab w:val="left" w:pos="1680"/>
        </w:tabs>
        <w:snapToGrid w:val="0"/>
        <w:spacing w:line="360" w:lineRule="auto"/>
        <w:ind w:firstLine="420"/>
        <w:jc w:val="left"/>
        <w:rPr>
          <w:rFonts w:ascii="宋体" w:hAnsi="宋体"/>
          <w:color w:val="auto"/>
          <w:sz w:val="24"/>
          <w:highlight w:val="none"/>
        </w:rPr>
      </w:pPr>
    </w:p>
    <w:p w14:paraId="61266E5C">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2.投标截止时间</w:t>
      </w:r>
    </w:p>
    <w:p w14:paraId="08A892A7">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（1）投标人应在招标文件要求提交（上传）投标文件的截止时间前，将投标文件上传至政府采购云平台。采购代理机构拒绝接收在投标截止时间以后提交（上传）的投标文件。</w:t>
      </w:r>
    </w:p>
    <w:p w14:paraId="6FFF3816">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60620383">
      <w:pPr>
        <w:tabs>
          <w:tab w:val="left" w:pos="1680"/>
        </w:tabs>
        <w:snapToGrid w:val="0"/>
        <w:spacing w:line="360" w:lineRule="auto"/>
        <w:ind w:firstLine="420"/>
        <w:jc w:val="left"/>
        <w:rPr>
          <w:rFonts w:ascii="宋体" w:hAnsi="宋体"/>
          <w:color w:val="auto"/>
          <w:sz w:val="24"/>
          <w:highlight w:val="none"/>
        </w:rPr>
      </w:pPr>
    </w:p>
    <w:p w14:paraId="7637A237">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3.投标文件的修改和撤回</w:t>
      </w:r>
    </w:p>
    <w:p w14:paraId="304CE3B1">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（1）投标人在投标截止时间前，可以对已经提交的投标文件进行补充、修改或者撤回。</w:t>
      </w:r>
    </w:p>
    <w:p w14:paraId="110F7225">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对已经完成传输递交的电子投标文件进行补充或者修改的，应当先行撤回原文件，补充、修改后重新传输递交。投标人在投标截止时间前未重新完成传输递交的，视为撤回投标文件。投标截止时间后递交的电子加标文件，电子交易平台将拒收。</w:t>
      </w:r>
    </w:p>
    <w:p w14:paraId="6A08CBE8">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投标人在投标截止时间前递交了需要补充或修改的电子投标文件的备份投标文件，可以重新提交补充或修改后的备份投标文件。</w:t>
      </w:r>
    </w:p>
    <w:p w14:paraId="5DF73E1F">
      <w:pPr>
        <w:tabs>
          <w:tab w:val="left" w:pos="1680"/>
        </w:tabs>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（2）投标截止时间后，投标人不得对其投标文件进行补充、修改。</w:t>
      </w:r>
    </w:p>
    <w:p w14:paraId="1336F4A6">
      <w:pPr>
        <w:pStyle w:val="5"/>
        <w:widowControl w:val="0"/>
        <w:tabs>
          <w:tab w:val="left" w:pos="1680"/>
          <w:tab w:val="clear" w:pos="454"/>
        </w:tabs>
        <w:snapToGrid w:val="0"/>
        <w:spacing w:after="0" w:afterLines="0" w:line="360" w:lineRule="auto"/>
        <w:ind w:left="282" w:hanging="282" w:hangingChars="117"/>
        <w:rPr>
          <w:rFonts w:ascii="宋体" w:hAnsi="宋体"/>
          <w:b/>
          <w:color w:val="auto"/>
          <w:szCs w:val="24"/>
          <w:highlight w:val="none"/>
        </w:rPr>
      </w:pPr>
      <w:r>
        <w:rPr>
          <w:rFonts w:hint="eastAsia" w:ascii="宋体" w:hAnsi="宋体"/>
          <w:b/>
          <w:color w:val="auto"/>
          <w:szCs w:val="24"/>
          <w:highlight w:val="none"/>
        </w:rPr>
        <w:t>五、投标文件的有效期</w:t>
      </w:r>
    </w:p>
    <w:p w14:paraId="4FDA6EE1">
      <w:pPr>
        <w:pStyle w:val="5"/>
        <w:widowControl w:val="0"/>
        <w:tabs>
          <w:tab w:val="left" w:pos="1680"/>
          <w:tab w:val="clear" w:pos="454"/>
        </w:tabs>
        <w:snapToGrid w:val="0"/>
        <w:spacing w:after="0" w:afterLines="0" w:line="360" w:lineRule="auto"/>
        <w:ind w:left="0" w:firstLine="240" w:firstLineChars="100"/>
        <w:rPr>
          <w:rFonts w:ascii="宋体" w:hAnsi="宋体"/>
          <w:color w:val="auto"/>
          <w:szCs w:val="24"/>
          <w:highlight w:val="none"/>
        </w:rPr>
      </w:pPr>
      <w:r>
        <w:rPr>
          <w:rFonts w:ascii="宋体" w:hAnsi="宋体"/>
          <w:color w:val="auto"/>
          <w:szCs w:val="24"/>
          <w:highlight w:val="none"/>
        </w:rPr>
        <w:t>▲1.自投标截止日起</w:t>
      </w:r>
      <w:r>
        <w:rPr>
          <w:rFonts w:ascii="宋体" w:hAnsi="宋体"/>
          <w:b/>
          <w:color w:val="auto"/>
          <w:szCs w:val="24"/>
          <w:highlight w:val="none"/>
          <w:u w:val="single"/>
        </w:rPr>
        <w:t xml:space="preserve"> 90</w:t>
      </w:r>
      <w:r>
        <w:rPr>
          <w:rFonts w:ascii="宋体" w:hAnsi="宋体"/>
          <w:color w:val="auto"/>
          <w:szCs w:val="24"/>
          <w:highlight w:val="none"/>
        </w:rPr>
        <w:t>天</w:t>
      </w:r>
      <w:r>
        <w:rPr>
          <w:rFonts w:hint="eastAsia" w:ascii="宋体" w:hAnsi="宋体"/>
          <w:color w:val="auto"/>
          <w:szCs w:val="24"/>
          <w:highlight w:val="none"/>
        </w:rPr>
        <w:t>内</w:t>
      </w:r>
      <w:r>
        <w:rPr>
          <w:rFonts w:ascii="宋体" w:hAnsi="宋体"/>
          <w:color w:val="auto"/>
          <w:szCs w:val="24"/>
          <w:highlight w:val="none"/>
        </w:rPr>
        <w:t>投标文件应保持有效。有效期不足的投标文件将被拒绝。</w:t>
      </w:r>
    </w:p>
    <w:p w14:paraId="1AAF3FFD">
      <w:pPr>
        <w:pStyle w:val="5"/>
        <w:widowControl w:val="0"/>
        <w:tabs>
          <w:tab w:val="left" w:pos="1680"/>
          <w:tab w:val="clear" w:pos="454"/>
        </w:tabs>
        <w:snapToGrid w:val="0"/>
        <w:spacing w:after="0" w:afterLines="0" w:line="360" w:lineRule="auto"/>
        <w:ind w:left="0" w:firstLine="480" w:firstLineChars="200"/>
        <w:rPr>
          <w:rFonts w:ascii="宋体" w:hAnsi="宋体"/>
          <w:color w:val="auto"/>
          <w:szCs w:val="24"/>
          <w:highlight w:val="none"/>
        </w:rPr>
      </w:pPr>
      <w:r>
        <w:rPr>
          <w:rFonts w:ascii="宋体" w:hAnsi="宋体"/>
          <w:color w:val="auto"/>
          <w:szCs w:val="24"/>
          <w:highlight w:val="none"/>
        </w:rPr>
        <w:t>2.在特殊情况下，招标人可与投标人协商延长投标书的有效期，这种要求和答复均以书面形式进行。</w:t>
      </w:r>
    </w:p>
    <w:p w14:paraId="51C463AD">
      <w:pPr>
        <w:tabs>
          <w:tab w:val="left" w:pos="1680"/>
        </w:tabs>
        <w:snapToGrid w:val="0"/>
        <w:spacing w:line="360" w:lineRule="auto"/>
        <w:ind w:firstLine="480" w:firstLineChars="200"/>
        <w:jc w:val="left"/>
        <w:outlineLvl w:val="0"/>
        <w:rPr>
          <w:rFonts w:hint="eastAsia" w:ascii="宋体" w:hAnsi="宋体"/>
          <w:color w:val="auto"/>
          <w:sz w:val="24"/>
          <w:highlight w:val="none"/>
        </w:rPr>
      </w:pPr>
      <w:bookmarkStart w:id="93" w:name="_Toc355117109"/>
      <w:bookmarkStart w:id="94" w:name="_Toc427442464"/>
      <w:bookmarkStart w:id="95" w:name="_Toc259108320"/>
      <w:bookmarkStart w:id="96" w:name="_Toc429406713"/>
      <w:bookmarkStart w:id="97" w:name="_Toc436314550"/>
      <w:bookmarkStart w:id="98" w:name="_Toc17818"/>
      <w:bookmarkStart w:id="99" w:name="_Toc249866764"/>
      <w:r>
        <w:rPr>
          <w:rFonts w:hint="eastAsia" w:ascii="宋体" w:hAnsi="宋体"/>
          <w:color w:val="auto"/>
          <w:sz w:val="24"/>
          <w:highlight w:val="none"/>
        </w:rPr>
        <w:t>3</w:t>
      </w:r>
      <w:r>
        <w:rPr>
          <w:rFonts w:ascii="宋体" w:hAnsi="宋体"/>
          <w:color w:val="auto"/>
          <w:sz w:val="24"/>
          <w:highlight w:val="none"/>
        </w:rPr>
        <w:t>.中标人的投标文件自开标之日起至合同履行完毕止均应保持有效。</w:t>
      </w:r>
      <w:bookmarkEnd w:id="93"/>
      <w:bookmarkEnd w:id="94"/>
      <w:bookmarkEnd w:id="95"/>
      <w:bookmarkEnd w:id="96"/>
      <w:bookmarkEnd w:id="97"/>
      <w:bookmarkEnd w:id="98"/>
      <w:bookmarkEnd w:id="99"/>
    </w:p>
    <w:p w14:paraId="1FECD0ED">
      <w:pPr>
        <w:pStyle w:val="5"/>
        <w:widowControl w:val="0"/>
        <w:tabs>
          <w:tab w:val="left" w:pos="1680"/>
          <w:tab w:val="clear" w:pos="454"/>
        </w:tabs>
        <w:snapToGrid w:val="0"/>
        <w:spacing w:after="0" w:afterLines="0" w:line="360" w:lineRule="auto"/>
        <w:ind w:left="282" w:hanging="282" w:hangingChars="117"/>
        <w:rPr>
          <w:rFonts w:ascii="宋体" w:hAnsi="宋体"/>
          <w:b/>
          <w:color w:val="auto"/>
          <w:szCs w:val="24"/>
          <w:highlight w:val="none"/>
        </w:rPr>
      </w:pPr>
      <w:r>
        <w:rPr>
          <w:rFonts w:hint="eastAsia" w:ascii="宋体" w:hAnsi="宋体"/>
          <w:b/>
          <w:color w:val="auto"/>
          <w:szCs w:val="24"/>
          <w:highlight w:val="none"/>
        </w:rPr>
        <w:t>六、</w:t>
      </w:r>
      <w:r>
        <w:rPr>
          <w:rFonts w:ascii="宋体" w:hAnsi="宋体"/>
          <w:b/>
          <w:color w:val="auto"/>
          <w:szCs w:val="24"/>
          <w:highlight w:val="none"/>
        </w:rPr>
        <w:t>开标</w:t>
      </w:r>
    </w:p>
    <w:p w14:paraId="0BDB67C6">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1.采购代理机构按招标文件规定的时间、地点主持公开开标。</w:t>
      </w:r>
    </w:p>
    <w:p w14:paraId="32AED1BC">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2.投标文件开启步骤：同时开启所有文件。</w:t>
      </w:r>
    </w:p>
    <w:p w14:paraId="73FC9EDD">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3.电子投标开标及评审程序</w:t>
      </w:r>
    </w:p>
    <w:p w14:paraId="2A37B9C7">
      <w:pPr>
        <w:pStyle w:val="5"/>
        <w:tabs>
          <w:tab w:val="left" w:pos="1680"/>
        </w:tabs>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（1）投标截止时间后，投标人登录政采云平台，用“公款竞争性错放-开标评标”功能对电子投标文件进行在线开启。在线开启电子投标文件时间为开标时间起30分钟内。</w:t>
      </w:r>
    </w:p>
    <w:p w14:paraId="436E3C3E">
      <w:pPr>
        <w:pStyle w:val="5"/>
        <w:tabs>
          <w:tab w:val="left" w:pos="1680"/>
        </w:tabs>
        <w:snapToGrid w:val="0"/>
        <w:spacing w:after="120" w:line="360" w:lineRule="auto"/>
        <w:ind w:left="279" w:leftChars="133" w:firstLine="120" w:firstLineChars="5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2</w:t>
      </w:r>
      <w:r>
        <w:rPr>
          <w:rFonts w:hint="eastAsia" w:ascii="宋体" w:hAnsi="宋体"/>
          <w:color w:val="auto"/>
          <w:szCs w:val="24"/>
          <w:highlight w:val="none"/>
        </w:rPr>
        <w:t xml:space="preserve">）在系统上公开开标情况。 </w:t>
      </w:r>
    </w:p>
    <w:p w14:paraId="4BBCC69A">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3</w:t>
      </w:r>
      <w:r>
        <w:rPr>
          <w:rFonts w:hint="eastAsia" w:ascii="宋体" w:hAnsi="宋体"/>
          <w:color w:val="auto"/>
          <w:szCs w:val="24"/>
          <w:highlight w:val="none"/>
        </w:rPr>
        <w:t xml:space="preserve">）评标委员会对投标人的资格进行审查。 </w:t>
      </w:r>
    </w:p>
    <w:p w14:paraId="3C415F1D">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（4）评标委员会对投标文件进行评审。 </w:t>
      </w:r>
    </w:p>
    <w:p w14:paraId="3A692160">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（5）在系统上公布评审结果。 </w:t>
      </w:r>
    </w:p>
    <w:p w14:paraId="7647C887">
      <w:pPr>
        <w:pStyle w:val="5"/>
        <w:tabs>
          <w:tab w:val="left" w:pos="1680"/>
        </w:tabs>
        <w:snapToGrid w:val="0"/>
        <w:spacing w:after="12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注：政采云公司如对电子化开标及评审程序有调整的，按调整后的程序操作。</w:t>
      </w:r>
    </w:p>
    <w:p w14:paraId="5A3E16D5">
      <w:pPr>
        <w:pStyle w:val="5"/>
        <w:tabs>
          <w:tab w:val="left" w:pos="1680"/>
        </w:tabs>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4.特别说明 </w:t>
      </w:r>
    </w:p>
    <w:p w14:paraId="4C00A661">
      <w:pPr>
        <w:pStyle w:val="5"/>
        <w:tabs>
          <w:tab w:val="left" w:pos="1680"/>
        </w:tabs>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 xml:space="preserve">本项目采用政采云电子投标开标及评审程序，但有下情形之一的，按以下情况处理： </w:t>
      </w:r>
    </w:p>
    <w:p w14:paraId="3F04BB86">
      <w:pPr>
        <w:pStyle w:val="5"/>
        <w:tabs>
          <w:tab w:val="left" w:pos="1680"/>
        </w:tabs>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 xml:space="preserve">（1）若投标人在规定时间内无法开启或开启失败，代理机构将开启所有投标人递交的以U 盘存储的电子备份投标文件，上传至政采云平台公款竞争性存放模块，以完成开标，电子投标文件自动失效。 </w:t>
      </w:r>
    </w:p>
    <w:p w14:paraId="34DC1F0E">
      <w:pPr>
        <w:pStyle w:val="5"/>
        <w:tabs>
          <w:tab w:val="left" w:pos="1680"/>
        </w:tabs>
        <w:snapToGrid w:val="0"/>
        <w:spacing w:after="120" w:line="360" w:lineRule="auto"/>
        <w:ind w:left="0" w:firstLine="360" w:firstLineChars="150"/>
        <w:rPr>
          <w:rFonts w:ascii="宋体" w:hAnsi="宋体"/>
          <w:color w:val="auto"/>
          <w:szCs w:val="24"/>
          <w:highlight w:val="none"/>
        </w:rPr>
      </w:pPr>
      <w:r>
        <w:rPr>
          <w:rFonts w:hint="eastAsia" w:ascii="宋体" w:hAnsi="宋体"/>
          <w:color w:val="auto"/>
          <w:szCs w:val="24"/>
          <w:highlight w:val="none"/>
        </w:rPr>
        <w:t xml:space="preserve">（2）采购过程中出现以下情形，导致电子交易平台无法正常运行，或者无法保证电子交易的公平、公正和安全时，采购人（或代理机构）可中止电子交易活动： </w:t>
      </w:r>
    </w:p>
    <w:p w14:paraId="246AB499">
      <w:pPr>
        <w:pStyle w:val="5"/>
        <w:tabs>
          <w:tab w:val="left" w:pos="1680"/>
        </w:tabs>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1）电子交易平台发生故障而无法登录访问的； </w:t>
      </w:r>
    </w:p>
    <w:p w14:paraId="58521396">
      <w:pPr>
        <w:pStyle w:val="5"/>
        <w:tabs>
          <w:tab w:val="left" w:pos="1680"/>
        </w:tabs>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2）电子交易平台应用或数据库出现错误，不能进行正常操作的； </w:t>
      </w:r>
    </w:p>
    <w:p w14:paraId="56F6512D">
      <w:pPr>
        <w:pStyle w:val="5"/>
        <w:tabs>
          <w:tab w:val="left" w:pos="1680"/>
        </w:tabs>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3）电子交易平台发现严重安全漏洞，有潜在泄密危险的； </w:t>
      </w:r>
    </w:p>
    <w:p w14:paraId="64F4D7DD">
      <w:pPr>
        <w:pStyle w:val="5"/>
        <w:tabs>
          <w:tab w:val="left" w:pos="1680"/>
        </w:tabs>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4）病毒发作导致不能进行正常操作的； </w:t>
      </w:r>
    </w:p>
    <w:p w14:paraId="0A2605BA">
      <w:pPr>
        <w:pStyle w:val="5"/>
        <w:tabs>
          <w:tab w:val="left" w:pos="1680"/>
        </w:tabs>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5）其他无法保证电子交易的公平、公正和安全的情况。 </w:t>
      </w:r>
    </w:p>
    <w:p w14:paraId="50AD12E4">
      <w:pPr>
        <w:pStyle w:val="5"/>
        <w:tabs>
          <w:tab w:val="left" w:pos="1680"/>
        </w:tabs>
        <w:snapToGrid w:val="0"/>
        <w:spacing w:after="120" w:line="360" w:lineRule="auto"/>
        <w:ind w:left="0" w:firstLine="120" w:firstLineChars="50"/>
        <w:rPr>
          <w:rFonts w:ascii="宋体" w:hAnsi="宋体"/>
          <w:color w:val="auto"/>
          <w:szCs w:val="24"/>
          <w:highlight w:val="none"/>
        </w:rPr>
      </w:pPr>
      <w:r>
        <w:rPr>
          <w:rFonts w:hint="eastAsia" w:ascii="宋体" w:hAnsi="宋体"/>
          <w:color w:val="auto"/>
          <w:szCs w:val="24"/>
          <w:highlight w:val="none"/>
        </w:rPr>
        <w:t xml:space="preserve">出现前款规定情形，不影响采购公平、公正性的，采购人（或代理机构）可以待上述情形消除后继续组织电子交易活动。 </w:t>
      </w:r>
    </w:p>
    <w:p w14:paraId="0179B9FE">
      <w:pPr>
        <w:pStyle w:val="5"/>
        <w:widowControl w:val="0"/>
        <w:tabs>
          <w:tab w:val="left" w:pos="1680"/>
          <w:tab w:val="clear" w:pos="454"/>
        </w:tabs>
        <w:snapToGrid w:val="0"/>
        <w:spacing w:after="0" w:afterLines="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5.投标截止时间止，投标人不足3家的，不得开标。</w:t>
      </w:r>
    </w:p>
    <w:p w14:paraId="6739A68E">
      <w:pPr>
        <w:tabs>
          <w:tab w:val="left" w:pos="1680"/>
        </w:tabs>
        <w:snapToGrid w:val="0"/>
        <w:spacing w:line="360" w:lineRule="auto"/>
        <w:outlineLvl w:val="2"/>
        <w:rPr>
          <w:rFonts w:ascii="宋体" w:hAnsi="宋体"/>
          <w:b/>
          <w:color w:val="auto"/>
          <w:sz w:val="24"/>
          <w:highlight w:val="none"/>
        </w:rPr>
      </w:pPr>
      <w:bookmarkStart w:id="100" w:name="_Toc355117111"/>
      <w:bookmarkStart w:id="101" w:name="_Toc427442466"/>
      <w:bookmarkStart w:id="102" w:name="_Toc249866767"/>
      <w:bookmarkStart w:id="103" w:name="_Toc429406714"/>
      <w:bookmarkStart w:id="104" w:name="_Toc259108323"/>
      <w:bookmarkStart w:id="105" w:name="_Toc7877"/>
      <w:bookmarkStart w:id="106" w:name="_Toc436314551"/>
      <w:r>
        <w:rPr>
          <w:rFonts w:hint="eastAsia" w:ascii="宋体" w:hAnsi="宋体"/>
          <w:b/>
          <w:color w:val="auto"/>
          <w:sz w:val="24"/>
          <w:highlight w:val="none"/>
        </w:rPr>
        <w:t>七、投标无效的情形</w:t>
      </w:r>
      <w:bookmarkEnd w:id="100"/>
      <w:bookmarkEnd w:id="101"/>
      <w:bookmarkEnd w:id="102"/>
      <w:bookmarkEnd w:id="103"/>
      <w:bookmarkEnd w:id="104"/>
      <w:bookmarkEnd w:id="105"/>
      <w:bookmarkEnd w:id="106"/>
    </w:p>
    <w:p w14:paraId="27B74236">
      <w:pPr>
        <w:tabs>
          <w:tab w:val="left" w:pos="1680"/>
        </w:tabs>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w:t>
      </w:r>
      <w:r>
        <w:rPr>
          <w:rFonts w:ascii="宋体" w:hAnsi="宋体"/>
          <w:bCs/>
          <w:color w:val="auto"/>
          <w:sz w:val="24"/>
          <w:highlight w:val="none"/>
        </w:rPr>
        <w:t>对其投标文件所作的评价和评分结果。</w:t>
      </w:r>
    </w:p>
    <w:p w14:paraId="46E7138B">
      <w:pPr>
        <w:tabs>
          <w:tab w:val="left" w:pos="1680"/>
        </w:tabs>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1.下列情形之一的，投标文件将被视为无效：</w:t>
      </w:r>
    </w:p>
    <w:p w14:paraId="23058563">
      <w:pPr>
        <w:tabs>
          <w:tab w:val="left" w:pos="1680"/>
        </w:tabs>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（1）超出经营范围投标的；</w:t>
      </w:r>
    </w:p>
    <w:p w14:paraId="5D299955">
      <w:pPr>
        <w:tabs>
          <w:tab w:val="left" w:pos="1680"/>
        </w:tabs>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（2）资格证明文件不全的，或者不符合招标文件标明的资格要求的；</w:t>
      </w:r>
    </w:p>
    <w:p w14:paraId="71C6AB7E">
      <w:pPr>
        <w:tabs>
          <w:tab w:val="left" w:pos="1680"/>
        </w:tabs>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（3）投标文件无法定代表人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w:t>
      </w:r>
      <w:r>
        <w:rPr>
          <w:rFonts w:ascii="宋体" w:hAnsi="宋体"/>
          <w:color w:val="auto"/>
          <w:sz w:val="24"/>
          <w:highlight w:val="none"/>
        </w:rPr>
        <w:t>或未提供法定代表人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授权委托书</w:t>
      </w:r>
      <w:r>
        <w:rPr>
          <w:rFonts w:hint="eastAsia" w:ascii="宋体" w:hAnsi="宋体"/>
          <w:color w:val="auto"/>
          <w:sz w:val="24"/>
          <w:highlight w:val="none"/>
        </w:rPr>
        <w:t>、</w:t>
      </w:r>
      <w:r>
        <w:rPr>
          <w:rFonts w:ascii="宋体" w:hAnsi="宋体"/>
          <w:color w:val="auto"/>
          <w:sz w:val="24"/>
          <w:highlight w:val="none"/>
        </w:rPr>
        <w:t>投标</w:t>
      </w:r>
      <w:r>
        <w:rPr>
          <w:rFonts w:hint="eastAsia" w:ascii="宋体" w:hAnsi="宋体"/>
          <w:color w:val="auto"/>
          <w:sz w:val="24"/>
          <w:highlight w:val="none"/>
        </w:rPr>
        <w:t>函</w:t>
      </w:r>
      <w:r>
        <w:rPr>
          <w:rFonts w:ascii="宋体" w:hAnsi="宋体"/>
          <w:color w:val="auto"/>
          <w:sz w:val="24"/>
          <w:highlight w:val="none"/>
        </w:rPr>
        <w:t>填写项目不齐全的；</w:t>
      </w:r>
    </w:p>
    <w:p w14:paraId="0A476C1C">
      <w:pPr>
        <w:tabs>
          <w:tab w:val="left" w:pos="1680"/>
        </w:tabs>
        <w:snapToGrid w:val="0"/>
        <w:spacing w:line="360" w:lineRule="auto"/>
        <w:ind w:firstLine="470" w:firstLineChars="196"/>
        <w:rPr>
          <w:rFonts w:hint="eastAsia" w:ascii="宋体" w:hAnsi="宋体"/>
          <w:color w:val="auto"/>
          <w:sz w:val="24"/>
          <w:highlight w:val="none"/>
        </w:rPr>
      </w:pPr>
      <w:r>
        <w:rPr>
          <w:rFonts w:ascii="宋体" w:hAnsi="宋体"/>
          <w:color w:val="auto"/>
          <w:sz w:val="24"/>
          <w:highlight w:val="none"/>
        </w:rPr>
        <w:t>（4）投标代表人未能出具身份证明或与法定代表人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授权委托人身份不符的；</w:t>
      </w:r>
    </w:p>
    <w:p w14:paraId="5808AB4B">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（5）投标文件格式不规范、项目不齐全或者内容虚假的；</w:t>
      </w:r>
    </w:p>
    <w:p w14:paraId="6D44613D">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（6）投标文件的实质性内容未使用中文表述、意思表述不明确、前后矛盾或者使用计量单位不符合招标文件要求的（经评标委员会认定并允许其当场更正的笔误除外）；</w:t>
      </w:r>
    </w:p>
    <w:p w14:paraId="0F948D0E">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（7）投标有效期、付款方式等商务条款不能满足招标文件要求的；</w:t>
      </w:r>
    </w:p>
    <w:p w14:paraId="0851B391">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（8）未实质性响应招标文件要求</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”的</w:t>
      </w:r>
      <w:r>
        <w:rPr>
          <w:rFonts w:hint="eastAsia" w:ascii="宋体" w:hAnsi="宋体"/>
          <w:color w:val="auto"/>
          <w:highlight w:val="none"/>
        </w:rPr>
        <w:t>条款有任何偏离的）</w:t>
      </w:r>
      <w:r>
        <w:rPr>
          <w:rFonts w:ascii="宋体" w:hAnsi="宋体"/>
          <w:color w:val="auto"/>
          <w:highlight w:val="none"/>
        </w:rPr>
        <w:t>或者投标文件有招标</w:t>
      </w:r>
      <w:r>
        <w:rPr>
          <w:rFonts w:hint="eastAsia" w:ascii="宋体" w:hAnsi="宋体"/>
          <w:color w:val="auto"/>
          <w:highlight w:val="none"/>
          <w:lang w:eastAsia="zh-CN"/>
        </w:rPr>
        <w:t>人</w:t>
      </w:r>
      <w:r>
        <w:rPr>
          <w:rFonts w:ascii="宋体" w:hAnsi="宋体"/>
          <w:color w:val="auto"/>
          <w:highlight w:val="none"/>
        </w:rPr>
        <w:t>不能接受的附加条件的。</w:t>
      </w:r>
    </w:p>
    <w:p w14:paraId="76C2DF97">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（9）未提供或未如实提供投标</w:t>
      </w:r>
      <w:r>
        <w:rPr>
          <w:rFonts w:hint="eastAsia" w:ascii="宋体" w:hAnsi="宋体"/>
          <w:color w:val="auto"/>
          <w:highlight w:val="none"/>
        </w:rPr>
        <w:t>项目</w:t>
      </w:r>
      <w:r>
        <w:rPr>
          <w:rFonts w:ascii="宋体" w:hAnsi="宋体"/>
          <w:color w:val="auto"/>
          <w:highlight w:val="none"/>
        </w:rPr>
        <w:t>的相关</w:t>
      </w:r>
      <w:r>
        <w:rPr>
          <w:rFonts w:hint="eastAsia" w:ascii="宋体" w:hAnsi="宋体"/>
          <w:color w:val="auto"/>
          <w:highlight w:val="none"/>
        </w:rPr>
        <w:t>要求</w:t>
      </w:r>
      <w:r>
        <w:rPr>
          <w:rFonts w:ascii="宋体" w:hAnsi="宋体"/>
          <w:color w:val="auto"/>
          <w:highlight w:val="none"/>
        </w:rPr>
        <w:t>，或者投标文件标明的响应或偏离与事实不符或虚假投标的；</w:t>
      </w:r>
    </w:p>
    <w:p w14:paraId="0431E427">
      <w:pPr>
        <w:pStyle w:val="12"/>
        <w:tabs>
          <w:tab w:val="left" w:pos="1680"/>
        </w:tabs>
        <w:snapToGrid w:val="0"/>
        <w:ind w:firstLine="470" w:firstLineChars="196"/>
        <w:rPr>
          <w:rFonts w:ascii="宋体" w:hAnsi="宋体"/>
          <w:color w:val="auto"/>
          <w:highlight w:val="none"/>
        </w:rPr>
      </w:pPr>
      <w:r>
        <w:rPr>
          <w:rFonts w:ascii="宋体" w:hAnsi="宋体"/>
          <w:color w:val="auto"/>
          <w:highlight w:val="none"/>
        </w:rPr>
        <w:t>（10）明显不符合招标</w:t>
      </w:r>
      <w:r>
        <w:rPr>
          <w:rFonts w:hint="eastAsia" w:ascii="宋体" w:hAnsi="宋体"/>
          <w:color w:val="auto"/>
          <w:highlight w:val="none"/>
          <w:lang w:eastAsia="zh-CN"/>
        </w:rPr>
        <w:t>项目</w:t>
      </w:r>
      <w:r>
        <w:rPr>
          <w:rFonts w:hint="eastAsia" w:ascii="宋体" w:hAnsi="宋体"/>
          <w:color w:val="auto"/>
          <w:highlight w:val="none"/>
        </w:rPr>
        <w:t>要求</w:t>
      </w:r>
      <w:r>
        <w:rPr>
          <w:rFonts w:ascii="宋体" w:hAnsi="宋体"/>
          <w:color w:val="auto"/>
          <w:highlight w:val="none"/>
        </w:rPr>
        <w:t>，或者</w:t>
      </w:r>
      <w:r>
        <w:rPr>
          <w:rFonts w:hint="eastAsia" w:ascii="宋体" w:hAnsi="宋体"/>
          <w:color w:val="auto"/>
          <w:highlight w:val="none"/>
        </w:rPr>
        <w:t>与</w:t>
      </w:r>
      <w:r>
        <w:rPr>
          <w:rFonts w:ascii="宋体" w:hAnsi="宋体"/>
          <w:color w:val="auto"/>
          <w:highlight w:val="none"/>
        </w:rPr>
        <w:t>招标文件中主要功能项目发生实质性偏离的；</w:t>
      </w:r>
    </w:p>
    <w:p w14:paraId="5FF00B5F">
      <w:pPr>
        <w:pStyle w:val="12"/>
        <w:tabs>
          <w:tab w:val="left" w:pos="1680"/>
        </w:tabs>
        <w:snapToGrid w:val="0"/>
        <w:ind w:firstLine="470" w:firstLineChars="196"/>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eastAsia="zh-CN"/>
        </w:rPr>
        <w:t>11</w:t>
      </w:r>
      <w:r>
        <w:rPr>
          <w:rFonts w:ascii="宋体" w:hAnsi="宋体"/>
          <w:color w:val="auto"/>
          <w:highlight w:val="none"/>
        </w:rPr>
        <w:t>）投标方案不明确，存在一个或一个以上备选（替代）投标方案的</w:t>
      </w:r>
      <w:r>
        <w:rPr>
          <w:rFonts w:hint="eastAsia" w:ascii="宋体" w:hAnsi="宋体"/>
          <w:color w:val="auto"/>
          <w:highlight w:val="none"/>
        </w:rPr>
        <w:t>，且未注明哪个是主投方案的；</w:t>
      </w:r>
    </w:p>
    <w:p w14:paraId="4BE3C8EE">
      <w:pPr>
        <w:pStyle w:val="12"/>
        <w:tabs>
          <w:tab w:val="left" w:pos="1680"/>
        </w:tabs>
        <w:snapToGrid w:val="0"/>
        <w:ind w:firstLine="470" w:firstLineChars="196"/>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12</w:t>
      </w:r>
      <w:r>
        <w:rPr>
          <w:rFonts w:hint="eastAsia" w:ascii="宋体" w:hAnsi="宋体"/>
          <w:color w:val="auto"/>
          <w:highlight w:val="none"/>
        </w:rPr>
        <w:t>）与其他投标文件存在3处（含）以上相同差错的。</w:t>
      </w:r>
    </w:p>
    <w:p w14:paraId="690F7586">
      <w:pPr>
        <w:pStyle w:val="12"/>
        <w:tabs>
          <w:tab w:val="left" w:pos="1680"/>
        </w:tabs>
        <w:snapToGrid w:val="0"/>
        <w:ind w:firstLine="470" w:firstLineChars="196"/>
        <w:rPr>
          <w:rFonts w:hint="eastAsia" w:ascii="宋体" w:hAnsi="宋体"/>
          <w:color w:val="auto"/>
          <w:highlight w:val="none"/>
          <w:lang w:eastAsia="zh-CN"/>
        </w:rPr>
      </w:pPr>
      <w:r>
        <w:rPr>
          <w:rFonts w:ascii="宋体" w:hAnsi="宋体"/>
          <w:color w:val="auto"/>
          <w:highlight w:val="none"/>
        </w:rPr>
        <w:t>（</w:t>
      </w:r>
      <w:r>
        <w:rPr>
          <w:rFonts w:hint="eastAsia" w:ascii="宋体" w:hAnsi="宋体"/>
          <w:color w:val="auto"/>
          <w:highlight w:val="none"/>
          <w:lang w:eastAsia="zh-CN"/>
        </w:rPr>
        <w:t>1</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经招标人确认，不能满足招标人要求的。</w:t>
      </w:r>
    </w:p>
    <w:p w14:paraId="11C8F80C">
      <w:pPr>
        <w:pStyle w:val="12"/>
        <w:tabs>
          <w:tab w:val="left" w:pos="1680"/>
        </w:tabs>
        <w:snapToGrid w:val="0"/>
        <w:ind w:firstLine="470" w:firstLineChars="196"/>
        <w:rPr>
          <w:rFonts w:hint="eastAsia" w:ascii="宋体" w:hAnsi="宋体"/>
          <w:color w:val="auto"/>
          <w:highlight w:val="none"/>
          <w:lang w:eastAsia="zh-CN"/>
        </w:rPr>
      </w:pPr>
      <w:r>
        <w:rPr>
          <w:rFonts w:hint="eastAsia" w:ascii="宋体" w:hAnsi="宋体"/>
          <w:color w:val="auto"/>
          <w:highlight w:val="none"/>
          <w:lang w:eastAsia="zh-CN"/>
        </w:rPr>
        <w:t>（1</w:t>
      </w:r>
      <w:r>
        <w:rPr>
          <w:rFonts w:hint="eastAsia" w:ascii="宋体" w:hAnsi="宋体"/>
          <w:color w:val="auto"/>
          <w:highlight w:val="none"/>
          <w:lang w:val="en-US" w:eastAsia="zh-CN"/>
        </w:rPr>
        <w:t>4</w:t>
      </w:r>
      <w:r>
        <w:rPr>
          <w:rFonts w:hint="eastAsia" w:ascii="宋体" w:hAnsi="宋体"/>
          <w:color w:val="auto"/>
          <w:highlight w:val="none"/>
          <w:lang w:eastAsia="zh-CN"/>
        </w:rPr>
        <w:t>）投标人之间隶属于同一法人，或具有同一单位负责人的，其投标文件视为无效。</w:t>
      </w:r>
    </w:p>
    <w:p w14:paraId="267035CB">
      <w:pPr>
        <w:pStyle w:val="12"/>
        <w:tabs>
          <w:tab w:val="left" w:pos="1680"/>
        </w:tabs>
        <w:snapToGrid w:val="0"/>
        <w:ind w:firstLine="419" w:firstLineChars="174"/>
        <w:rPr>
          <w:rFonts w:hint="eastAsia" w:ascii="宋体" w:hAnsi="宋体"/>
          <w:b/>
          <w:color w:val="auto"/>
          <w:highlight w:val="none"/>
        </w:rPr>
      </w:pPr>
      <w:r>
        <w:rPr>
          <w:rFonts w:hint="eastAsia" w:ascii="宋体" w:hAnsi="宋体"/>
          <w:b/>
          <w:color w:val="auto"/>
          <w:highlight w:val="none"/>
          <w:lang w:eastAsia="zh-CN"/>
        </w:rPr>
        <w:t>2</w:t>
      </w:r>
      <w:r>
        <w:rPr>
          <w:rFonts w:hint="eastAsia" w:ascii="宋体" w:hAnsi="宋体"/>
          <w:b/>
          <w:color w:val="auto"/>
          <w:highlight w:val="none"/>
        </w:rPr>
        <w:t>.</w:t>
      </w:r>
      <w:r>
        <w:rPr>
          <w:rFonts w:ascii="宋体" w:hAnsi="宋体"/>
          <w:b/>
          <w:color w:val="auto"/>
          <w:highlight w:val="none"/>
        </w:rPr>
        <w:t>被拒绝的投标文件为无效。</w:t>
      </w:r>
    </w:p>
    <w:p w14:paraId="39054150">
      <w:pPr>
        <w:pStyle w:val="12"/>
        <w:tabs>
          <w:tab w:val="left" w:pos="1680"/>
        </w:tabs>
        <w:snapToGrid w:val="0"/>
        <w:ind w:left="0" w:leftChars="0" w:firstLine="422" w:firstLineChars="175"/>
        <w:rPr>
          <w:rFonts w:asciiTheme="minorEastAsia" w:hAnsiTheme="minorEastAsia"/>
          <w:b/>
          <w:color w:val="auto"/>
          <w:highlight w:val="none"/>
        </w:rPr>
      </w:pPr>
      <w:r>
        <w:rPr>
          <w:rFonts w:hint="eastAsia" w:ascii="宋体" w:hAnsi="宋体"/>
          <w:b/>
          <w:color w:val="auto"/>
          <w:highlight w:val="none"/>
        </w:rPr>
        <w:t>3.当合格投标人＜3家时，招标人将重新组织招标</w:t>
      </w:r>
      <w:r>
        <w:rPr>
          <w:rFonts w:hint="eastAsia" w:ascii="宋体" w:hAnsi="宋体"/>
          <w:b/>
          <w:color w:val="auto"/>
          <w:highlight w:val="none"/>
          <w:lang w:eastAsia="zh-CN"/>
        </w:rPr>
        <w:t>。</w:t>
      </w:r>
    </w:p>
    <w:p w14:paraId="73D56884">
      <w:pPr>
        <w:pStyle w:val="3"/>
        <w:tabs>
          <w:tab w:val="left" w:pos="1680"/>
        </w:tabs>
        <w:spacing w:line="360" w:lineRule="auto"/>
        <w:ind w:firstLine="0"/>
        <w:jc w:val="center"/>
        <w:rPr>
          <w:rFonts w:ascii="宋体" w:hAnsi="宋体"/>
          <w:bCs w:val="0"/>
          <w:i w:val="0"/>
          <w:iCs w:val="0"/>
          <w:color w:val="auto"/>
          <w:sz w:val="32"/>
          <w:szCs w:val="32"/>
          <w:highlight w:val="none"/>
        </w:rPr>
      </w:pPr>
      <w:r>
        <w:rPr>
          <w:rFonts w:asciiTheme="minorEastAsia" w:hAnsiTheme="minorEastAsia" w:eastAsiaTheme="minorEastAsia"/>
          <w:color w:val="auto"/>
          <w:sz w:val="24"/>
          <w:highlight w:val="none"/>
        </w:rPr>
        <w:br w:type="page"/>
      </w:r>
      <w:bookmarkStart w:id="107" w:name="_Toc11291"/>
      <w:r>
        <w:rPr>
          <w:rFonts w:hint="eastAsia" w:ascii="宋体" w:hAnsi="宋体"/>
          <w:bCs w:val="0"/>
          <w:i w:val="0"/>
          <w:iCs w:val="0"/>
          <w:color w:val="auto"/>
          <w:sz w:val="32"/>
          <w:szCs w:val="32"/>
          <w:highlight w:val="none"/>
        </w:rPr>
        <w:t>第四章 开标及评标办法</w:t>
      </w:r>
      <w:bookmarkEnd w:id="107"/>
    </w:p>
    <w:p w14:paraId="4B9B12CF">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textAlignment w:val="auto"/>
        <w:rPr>
          <w:rFonts w:hAnsi="宋体"/>
          <w:b/>
          <w:color w:val="auto"/>
          <w:highlight w:val="none"/>
        </w:rPr>
      </w:pPr>
      <w:r>
        <w:rPr>
          <w:rFonts w:hint="eastAsia" w:hAnsi="宋体"/>
          <w:b/>
          <w:color w:val="auto"/>
          <w:highlight w:val="none"/>
        </w:rPr>
        <w:t>一、</w:t>
      </w:r>
      <w:r>
        <w:rPr>
          <w:rFonts w:hAnsi="宋体"/>
          <w:b/>
          <w:color w:val="auto"/>
          <w:highlight w:val="none"/>
        </w:rPr>
        <w:t>开标准备</w:t>
      </w:r>
    </w:p>
    <w:p w14:paraId="1DEB6170">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b/>
          <w:color w:val="auto"/>
          <w:highlight w:val="none"/>
        </w:rPr>
      </w:pPr>
      <w:r>
        <w:rPr>
          <w:rFonts w:hint="eastAsia" w:hAnsi="宋体"/>
          <w:bCs/>
          <w:color w:val="auto"/>
          <w:highlight w:val="none"/>
        </w:rPr>
        <w:t>本招标项目</w:t>
      </w:r>
      <w:r>
        <w:rPr>
          <w:rFonts w:hAnsi="宋体"/>
          <w:bCs/>
          <w:color w:val="auto"/>
          <w:highlight w:val="none"/>
        </w:rPr>
        <w:t>将在规定的时间和地点进行开标，</w:t>
      </w:r>
      <w:r>
        <w:rPr>
          <w:rFonts w:hint="eastAsia" w:hAnsi="宋体"/>
          <w:bCs/>
          <w:color w:val="auto"/>
          <w:highlight w:val="none"/>
        </w:rPr>
        <w:t>本项目评标采用综合评分法。</w:t>
      </w:r>
    </w:p>
    <w:p w14:paraId="54549692">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textAlignment w:val="auto"/>
        <w:outlineLvl w:val="1"/>
        <w:rPr>
          <w:rFonts w:hint="eastAsia" w:hAnsi="宋体"/>
          <w:b/>
          <w:color w:val="auto"/>
          <w:highlight w:val="none"/>
        </w:rPr>
      </w:pPr>
      <w:bookmarkStart w:id="108" w:name="_Toc259108326"/>
      <w:bookmarkStart w:id="109" w:name="_Toc249866769"/>
      <w:bookmarkStart w:id="110" w:name="_Toc429406716"/>
      <w:bookmarkStart w:id="111" w:name="_Toc355117129"/>
      <w:bookmarkStart w:id="112" w:name="_Toc427442468"/>
      <w:bookmarkStart w:id="113" w:name="_Toc436314553"/>
      <w:r>
        <w:rPr>
          <w:rFonts w:hint="eastAsia" w:hAnsi="宋体"/>
          <w:b/>
          <w:color w:val="auto"/>
          <w:highlight w:val="none"/>
          <w:lang w:val="en-US" w:eastAsia="zh-CN"/>
        </w:rPr>
        <w:t>二</w:t>
      </w:r>
      <w:r>
        <w:rPr>
          <w:rFonts w:hint="eastAsia" w:hAnsi="宋体"/>
          <w:b/>
          <w:color w:val="auto"/>
          <w:highlight w:val="none"/>
        </w:rPr>
        <w:t>、评标</w:t>
      </w:r>
      <w:bookmarkEnd w:id="108"/>
      <w:bookmarkEnd w:id="109"/>
      <w:bookmarkEnd w:id="110"/>
      <w:bookmarkEnd w:id="111"/>
      <w:bookmarkEnd w:id="112"/>
      <w:bookmarkEnd w:id="113"/>
    </w:p>
    <w:p w14:paraId="6215F4E3">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（一）组建评标委员会</w:t>
      </w:r>
    </w:p>
    <w:p w14:paraId="1CF4C899">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auto"/>
          <w:highlight w:val="none"/>
        </w:rPr>
      </w:pPr>
      <w:r>
        <w:rPr>
          <w:rFonts w:hAnsi="宋体"/>
          <w:color w:val="auto"/>
          <w:highlight w:val="none"/>
        </w:rPr>
        <w:t>本项目评标委员会由</w:t>
      </w:r>
      <w:r>
        <w:rPr>
          <w:rFonts w:hint="eastAsia" w:hAnsi="宋体"/>
          <w:color w:val="auto"/>
          <w:highlight w:val="none"/>
        </w:rPr>
        <w:t>相关专业的</w:t>
      </w:r>
      <w:r>
        <w:rPr>
          <w:rFonts w:hAnsi="宋体"/>
          <w:color w:val="auto"/>
          <w:highlight w:val="none"/>
        </w:rPr>
        <w:t>评审专家</w:t>
      </w:r>
      <w:r>
        <w:rPr>
          <w:rFonts w:hint="eastAsia" w:hAnsi="宋体"/>
          <w:color w:val="auto"/>
          <w:highlight w:val="none"/>
        </w:rPr>
        <w:t>和招标单位代表按相关要求奇数组成</w:t>
      </w:r>
      <w:r>
        <w:rPr>
          <w:rFonts w:hAnsi="宋体"/>
          <w:color w:val="auto"/>
          <w:highlight w:val="none"/>
        </w:rPr>
        <w:t>。</w:t>
      </w:r>
    </w:p>
    <w:p w14:paraId="1674F122">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（二）评标</w:t>
      </w:r>
      <w:r>
        <w:rPr>
          <w:rFonts w:hint="eastAsia" w:hAnsi="宋体"/>
          <w:b/>
          <w:color w:val="auto"/>
          <w:highlight w:val="none"/>
        </w:rPr>
        <w:t>依据</w:t>
      </w:r>
    </w:p>
    <w:p w14:paraId="38305C7A">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19" w:leftChars="228" w:hanging="240" w:hangingChars="100"/>
        <w:textAlignment w:val="auto"/>
        <w:rPr>
          <w:rFonts w:hAnsi="宋体"/>
          <w:color w:val="auto"/>
          <w:highlight w:val="none"/>
        </w:rPr>
      </w:pPr>
      <w:r>
        <w:rPr>
          <w:rFonts w:hAnsi="宋体"/>
          <w:color w:val="auto"/>
          <w:highlight w:val="none"/>
        </w:rPr>
        <w:t>本项目评标的依据为招标文件和投标文件。</w:t>
      </w:r>
    </w:p>
    <w:p w14:paraId="7EDFD4E8">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（三）评标程序</w:t>
      </w:r>
    </w:p>
    <w:p w14:paraId="337642C8">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72" w:firstLineChars="196"/>
        <w:textAlignment w:val="auto"/>
        <w:rPr>
          <w:rFonts w:ascii="宋体" w:hAnsi="宋体"/>
          <w:b/>
          <w:bCs/>
          <w:color w:val="auto"/>
          <w:sz w:val="24"/>
          <w:highlight w:val="none"/>
        </w:rPr>
      </w:pPr>
      <w:r>
        <w:rPr>
          <w:rFonts w:ascii="宋体" w:hAnsi="宋体"/>
          <w:b/>
          <w:bCs/>
          <w:color w:val="auto"/>
          <w:sz w:val="24"/>
          <w:highlight w:val="none"/>
        </w:rPr>
        <w:t>1.形式审查</w:t>
      </w:r>
    </w:p>
    <w:p w14:paraId="40BEEF1D">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评标委员会对投标人的资格和投标文件的完整性、合法性等进行审查。</w:t>
      </w:r>
    </w:p>
    <w:p w14:paraId="400D031F">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72" w:firstLineChars="196"/>
        <w:textAlignment w:val="auto"/>
        <w:rPr>
          <w:rFonts w:ascii="宋体" w:hAnsi="宋体"/>
          <w:b/>
          <w:bCs/>
          <w:color w:val="auto"/>
          <w:sz w:val="24"/>
          <w:highlight w:val="none"/>
        </w:rPr>
      </w:pPr>
      <w:r>
        <w:rPr>
          <w:rFonts w:ascii="宋体" w:hAnsi="宋体"/>
          <w:b/>
          <w:bCs/>
          <w:color w:val="auto"/>
          <w:sz w:val="24"/>
          <w:highlight w:val="none"/>
        </w:rPr>
        <w:t>2.实质审查与比较</w:t>
      </w:r>
    </w:p>
    <w:p w14:paraId="7833FB9F">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（1）评标委员会审查投标文件的实质性内容是否符合招标文件的实质性要求。</w:t>
      </w:r>
    </w:p>
    <w:p w14:paraId="1B90868F">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（2）评标委员会将根据投标人的投标文件进行审查、核对</w:t>
      </w:r>
      <w:r>
        <w:rPr>
          <w:rFonts w:hint="eastAsia" w:ascii="宋体" w:hAnsi="宋体"/>
          <w:color w:val="auto"/>
          <w:sz w:val="24"/>
          <w:highlight w:val="none"/>
        </w:rPr>
        <w:t>，</w:t>
      </w:r>
      <w:r>
        <w:rPr>
          <w:rFonts w:ascii="宋体" w:hAnsi="宋体"/>
          <w:color w:val="auto"/>
          <w:sz w:val="24"/>
          <w:highlight w:val="none"/>
        </w:rPr>
        <w:t>如有疑问</w:t>
      </w:r>
      <w:r>
        <w:rPr>
          <w:rFonts w:hint="eastAsia" w:ascii="宋体" w:hAnsi="宋体"/>
          <w:color w:val="auto"/>
          <w:sz w:val="24"/>
          <w:highlight w:val="none"/>
        </w:rPr>
        <w:t>，</w:t>
      </w:r>
      <w:r>
        <w:rPr>
          <w:rFonts w:ascii="宋体" w:hAnsi="宋体"/>
          <w:color w:val="auto"/>
          <w:sz w:val="24"/>
          <w:highlight w:val="none"/>
        </w:rPr>
        <w:t>将对投标人进行询标</w:t>
      </w:r>
      <w:r>
        <w:rPr>
          <w:rFonts w:hint="eastAsia" w:ascii="宋体" w:hAnsi="宋体"/>
          <w:color w:val="auto"/>
          <w:sz w:val="24"/>
          <w:highlight w:val="none"/>
        </w:rPr>
        <w:t>，</w:t>
      </w:r>
      <w:r>
        <w:rPr>
          <w:rFonts w:ascii="宋体" w:hAnsi="宋体"/>
          <w:color w:val="auto"/>
          <w:sz w:val="24"/>
          <w:highlight w:val="none"/>
        </w:rPr>
        <w:t>投标人要向评标委员会澄清有关问题</w:t>
      </w:r>
      <w:r>
        <w:rPr>
          <w:rFonts w:hint="eastAsia" w:ascii="宋体" w:hAnsi="宋体"/>
          <w:color w:val="auto"/>
          <w:sz w:val="24"/>
          <w:highlight w:val="none"/>
        </w:rPr>
        <w:t>，</w:t>
      </w:r>
      <w:r>
        <w:rPr>
          <w:rFonts w:ascii="宋体" w:hAnsi="宋体"/>
          <w:color w:val="auto"/>
          <w:sz w:val="24"/>
          <w:highlight w:val="none"/>
        </w:rPr>
        <w:t>并最终以书面形式进行答复。</w:t>
      </w:r>
    </w:p>
    <w:p w14:paraId="060A75CE">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投标人拒绝澄清或者澄清的内容改变了投标文件的实质性内容的，评标委员会有权对该投标文件</w:t>
      </w:r>
      <w:r>
        <w:rPr>
          <w:rFonts w:hint="eastAsia" w:ascii="宋体" w:hAnsi="宋体"/>
          <w:color w:val="auto"/>
          <w:sz w:val="24"/>
          <w:highlight w:val="none"/>
        </w:rPr>
        <w:t>做出</w:t>
      </w:r>
      <w:r>
        <w:rPr>
          <w:rFonts w:ascii="宋体" w:hAnsi="宋体"/>
          <w:color w:val="auto"/>
          <w:sz w:val="24"/>
          <w:highlight w:val="none"/>
        </w:rPr>
        <w:t>不利于投标人的评判。</w:t>
      </w:r>
    </w:p>
    <w:p w14:paraId="74E422AC">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（3）各</w:t>
      </w:r>
      <w:r>
        <w:rPr>
          <w:rFonts w:hint="eastAsia" w:ascii="宋体" w:hAnsi="宋体"/>
          <w:color w:val="auto"/>
          <w:sz w:val="24"/>
          <w:highlight w:val="none"/>
        </w:rPr>
        <w:t>评委独立打分，</w:t>
      </w:r>
      <w:r>
        <w:rPr>
          <w:rFonts w:ascii="宋体" w:hAnsi="宋体"/>
          <w:color w:val="auto"/>
          <w:sz w:val="24"/>
          <w:highlight w:val="none"/>
        </w:rPr>
        <w:t>投标人的</w:t>
      </w:r>
      <w:r>
        <w:rPr>
          <w:rFonts w:hint="eastAsia" w:ascii="宋体" w:hAnsi="宋体"/>
          <w:color w:val="auto"/>
          <w:sz w:val="24"/>
          <w:highlight w:val="none"/>
        </w:rPr>
        <w:t>评标得分</w:t>
      </w:r>
      <w:r>
        <w:rPr>
          <w:rFonts w:ascii="宋体" w:hAnsi="宋体"/>
          <w:color w:val="auto"/>
          <w:sz w:val="24"/>
          <w:highlight w:val="none"/>
        </w:rPr>
        <w:t>为所有评委的有效评分的算术平均数，</w:t>
      </w:r>
      <w:r>
        <w:rPr>
          <w:rFonts w:hint="eastAsia" w:ascii="宋体" w:hAnsi="宋体"/>
          <w:color w:val="auto"/>
          <w:sz w:val="24"/>
          <w:highlight w:val="none"/>
        </w:rPr>
        <w:t>采用四舍五入法，并保留小数2位，</w:t>
      </w:r>
      <w:r>
        <w:rPr>
          <w:rFonts w:ascii="宋体" w:hAnsi="宋体"/>
          <w:color w:val="auto"/>
          <w:sz w:val="24"/>
          <w:highlight w:val="none"/>
        </w:rPr>
        <w:t>由指定专人进行计算复核。</w:t>
      </w:r>
    </w:p>
    <w:p w14:paraId="2CE59215">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int="eastAsia" w:hAnsi="宋体"/>
          <w:b/>
          <w:color w:val="auto"/>
          <w:highlight w:val="none"/>
        </w:rPr>
        <w:t>（四）澄清问题的形式</w:t>
      </w:r>
    </w:p>
    <w:p w14:paraId="62944336">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委托人签字或盖章确认，并不得超出投标文件的范围或者改变投标文件的实质性内容。</w:t>
      </w:r>
    </w:p>
    <w:p w14:paraId="1EFE7947">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（五）错误修正</w:t>
      </w:r>
    </w:p>
    <w:p w14:paraId="5702D48B">
      <w:pPr>
        <w:pStyle w:val="16"/>
        <w:keepNext w:val="0"/>
        <w:keepLines w:val="0"/>
        <w:pageBreakBefore w:val="0"/>
        <w:widowControl w:val="0"/>
        <w:tabs>
          <w:tab w:val="left" w:pos="1680"/>
        </w:tabs>
        <w:kinsoku/>
        <w:wordWrap/>
        <w:overflowPunct/>
        <w:topLinePunct w:val="0"/>
        <w:autoSpaceDE/>
        <w:autoSpaceDN/>
        <w:bidi w:val="0"/>
        <w:adjustRightInd/>
        <w:snapToGrid w:val="0"/>
        <w:spacing w:beforeLines="0" w:afterLines="0" w:line="360" w:lineRule="auto"/>
        <w:ind w:left="719" w:leftChars="228" w:hanging="240" w:hangingChars="100"/>
        <w:textAlignment w:val="auto"/>
        <w:rPr>
          <w:rFonts w:hAnsi="宋体"/>
          <w:color w:val="auto"/>
          <w:highlight w:val="none"/>
        </w:rPr>
      </w:pPr>
      <w:r>
        <w:rPr>
          <w:rFonts w:hAnsi="宋体"/>
          <w:color w:val="auto"/>
          <w:highlight w:val="none"/>
        </w:rPr>
        <w:t>投标文件如果出现计算或表达上的错误，修正错误的原则如下：</w:t>
      </w:r>
    </w:p>
    <w:p w14:paraId="3A4FDD8A">
      <w:pPr>
        <w:pStyle w:val="16"/>
        <w:keepNext w:val="0"/>
        <w:keepLines w:val="0"/>
        <w:pageBreakBefore w:val="0"/>
        <w:widowControl w:val="0"/>
        <w:numPr>
          <w:ilvl w:val="0"/>
          <w:numId w:val="1"/>
        </w:numPr>
        <w:tabs>
          <w:tab w:val="left" w:pos="1680"/>
        </w:tabs>
        <w:kinsoku/>
        <w:wordWrap/>
        <w:overflowPunct/>
        <w:topLinePunct w:val="0"/>
        <w:autoSpaceDE/>
        <w:autoSpaceDN/>
        <w:bidi w:val="0"/>
        <w:adjustRightInd/>
        <w:snapToGrid w:val="0"/>
        <w:spacing w:beforeLines="0" w:afterLines="0" w:line="360" w:lineRule="auto"/>
        <w:textAlignment w:val="auto"/>
        <w:rPr>
          <w:rFonts w:hint="eastAsia" w:hAnsi="宋体"/>
          <w:color w:val="auto"/>
          <w:highlight w:val="none"/>
        </w:rPr>
      </w:pPr>
      <w:r>
        <w:rPr>
          <w:rFonts w:hAnsi="宋体"/>
          <w:color w:val="auto"/>
          <w:highlight w:val="none"/>
        </w:rPr>
        <w:t>对不同文字文本投标文件的解释发生异议的，以中文文本为准。</w:t>
      </w:r>
    </w:p>
    <w:p w14:paraId="42FE3C8E">
      <w:pPr>
        <w:pStyle w:val="16"/>
        <w:keepNext w:val="0"/>
        <w:keepLines w:val="0"/>
        <w:pageBreakBefore w:val="0"/>
        <w:widowControl w:val="0"/>
        <w:numPr>
          <w:ilvl w:val="0"/>
          <w:numId w:val="1"/>
        </w:numPr>
        <w:tabs>
          <w:tab w:val="left" w:pos="1680"/>
        </w:tabs>
        <w:kinsoku/>
        <w:wordWrap/>
        <w:overflowPunct/>
        <w:topLinePunct w:val="0"/>
        <w:autoSpaceDE/>
        <w:autoSpaceDN/>
        <w:bidi w:val="0"/>
        <w:adjustRightInd/>
        <w:snapToGrid w:val="0"/>
        <w:spacing w:beforeLines="0" w:afterLines="0" w:line="360" w:lineRule="auto"/>
        <w:textAlignment w:val="auto"/>
        <w:rPr>
          <w:rFonts w:hint="eastAsia" w:hAnsi="宋体"/>
          <w:color w:val="auto"/>
          <w:highlight w:val="none"/>
        </w:rPr>
      </w:pPr>
      <w:r>
        <w:rPr>
          <w:rFonts w:hint="eastAsia" w:hAnsi="宋体"/>
          <w:color w:val="auto"/>
          <w:highlight w:val="none"/>
        </w:rPr>
        <w:t>对于实质性的内容，不能修正。</w:t>
      </w:r>
    </w:p>
    <w:p w14:paraId="1B3FE2FA">
      <w:pPr>
        <w:pStyle w:val="16"/>
        <w:tabs>
          <w:tab w:val="left" w:pos="630"/>
          <w:tab w:val="left" w:pos="1680"/>
        </w:tabs>
        <w:snapToGrid w:val="0"/>
        <w:spacing w:beforeLines="0" w:afterLines="0" w:line="360" w:lineRule="auto"/>
        <w:rPr>
          <w:rFonts w:ascii="Times New Roman" w:hAnsi="Times New Roman"/>
          <w:b/>
          <w:color w:val="auto"/>
          <w:highlight w:val="none"/>
        </w:rPr>
      </w:pPr>
      <w:r>
        <w:rPr>
          <w:rFonts w:hint="eastAsia" w:ascii="Times New Roman" w:hAnsi="宋体"/>
          <w:b/>
          <w:color w:val="auto"/>
          <w:highlight w:val="none"/>
          <w:lang w:val="en-US" w:eastAsia="zh-CN"/>
        </w:rPr>
        <w:t>三</w:t>
      </w:r>
      <w:r>
        <w:rPr>
          <w:rFonts w:ascii="Times New Roman" w:hAnsi="宋体"/>
          <w:b/>
          <w:color w:val="auto"/>
          <w:highlight w:val="none"/>
        </w:rPr>
        <w:t>、评标原则和评标办法</w:t>
      </w:r>
    </w:p>
    <w:p w14:paraId="56A2755A">
      <w:pPr>
        <w:pStyle w:val="16"/>
        <w:tabs>
          <w:tab w:val="left" w:pos="1680"/>
        </w:tabs>
        <w:snapToGrid w:val="0"/>
        <w:spacing w:beforeLines="0" w:afterLines="0" w:line="360" w:lineRule="auto"/>
        <w:ind w:firstLine="482" w:firstLineChars="200"/>
        <w:rPr>
          <w:rFonts w:ascii="Times New Roman" w:hAnsi="Times New Roman"/>
          <w:b/>
          <w:color w:val="auto"/>
          <w:highlight w:val="none"/>
        </w:rPr>
      </w:pPr>
      <w:r>
        <w:rPr>
          <w:rFonts w:ascii="Times New Roman" w:hAnsi="宋体"/>
          <w:b/>
          <w:color w:val="auto"/>
          <w:highlight w:val="none"/>
        </w:rPr>
        <w:t>（一）评标原则</w:t>
      </w:r>
    </w:p>
    <w:p w14:paraId="10E807FF">
      <w:pPr>
        <w:pStyle w:val="16"/>
        <w:tabs>
          <w:tab w:val="left" w:pos="1680"/>
        </w:tabs>
        <w:snapToGrid w:val="0"/>
        <w:spacing w:beforeLines="0" w:afterLines="0" w:line="360" w:lineRule="auto"/>
        <w:ind w:firstLine="480" w:firstLineChars="200"/>
        <w:rPr>
          <w:rFonts w:ascii="Times New Roman" w:hAnsi="宋体"/>
          <w:color w:val="auto"/>
          <w:highlight w:val="none"/>
        </w:rPr>
      </w:pPr>
      <w:r>
        <w:rPr>
          <w:rFonts w:ascii="Times New Roman" w:hAnsi="宋体"/>
          <w:color w:val="auto"/>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4B80E82">
      <w:pPr>
        <w:pStyle w:val="16"/>
        <w:tabs>
          <w:tab w:val="left" w:pos="1680"/>
        </w:tabs>
        <w:snapToGrid w:val="0"/>
        <w:spacing w:beforeLines="0" w:afterLines="0" w:line="360" w:lineRule="auto"/>
        <w:ind w:firstLine="482" w:firstLineChars="200"/>
        <w:rPr>
          <w:rFonts w:ascii="Times New Roman" w:hAnsi="Times New Roman"/>
          <w:b/>
          <w:color w:val="auto"/>
          <w:highlight w:val="none"/>
        </w:rPr>
      </w:pPr>
      <w:r>
        <w:rPr>
          <w:rFonts w:ascii="Times New Roman" w:hAnsi="Times New Roman"/>
          <w:b/>
          <w:color w:val="auto"/>
          <w:highlight w:val="none"/>
        </w:rPr>
        <w:t>（二）评标办法</w:t>
      </w:r>
    </w:p>
    <w:p w14:paraId="1FE04D00">
      <w:pPr>
        <w:tabs>
          <w:tab w:val="left" w:pos="1680"/>
        </w:tabs>
        <w:spacing w:line="360" w:lineRule="auto"/>
        <w:ind w:firstLine="480" w:firstLineChars="200"/>
        <w:rPr>
          <w:color w:val="auto"/>
          <w:sz w:val="24"/>
          <w:highlight w:val="none"/>
        </w:rPr>
      </w:pPr>
      <w:r>
        <w:rPr>
          <w:rFonts w:hAnsi="宋体"/>
          <w:color w:val="auto"/>
          <w:sz w:val="24"/>
          <w:highlight w:val="none"/>
        </w:rPr>
        <w:t>本项目评标办法为</w:t>
      </w:r>
      <w:r>
        <w:rPr>
          <w:rFonts w:hAnsi="宋体"/>
          <w:b/>
          <w:color w:val="auto"/>
          <w:sz w:val="24"/>
          <w:highlight w:val="none"/>
          <w:u w:val="single"/>
        </w:rPr>
        <w:t>综合评分法</w:t>
      </w:r>
      <w:r>
        <w:rPr>
          <w:rFonts w:hAnsi="宋体"/>
          <w:color w:val="auto"/>
          <w:sz w:val="24"/>
          <w:highlight w:val="none"/>
        </w:rPr>
        <w:t>：总分为</w:t>
      </w:r>
      <w:r>
        <w:rPr>
          <w:color w:val="auto"/>
          <w:sz w:val="24"/>
          <w:highlight w:val="none"/>
        </w:rPr>
        <w:t>100</w:t>
      </w:r>
      <w:r>
        <w:rPr>
          <w:rFonts w:hAnsi="宋体"/>
          <w:color w:val="auto"/>
          <w:sz w:val="24"/>
          <w:highlight w:val="none"/>
        </w:rPr>
        <w:t>分。投标人的评标得分为所有评委的有效评分的算术平均数，按评标得分由高到低顺序排列，评标得分相同的，则抽签决定排名顺序。评分过程中采用四舍五入法，并保留小数</w:t>
      </w:r>
      <w:r>
        <w:rPr>
          <w:color w:val="auto"/>
          <w:sz w:val="24"/>
          <w:highlight w:val="none"/>
        </w:rPr>
        <w:t>2</w:t>
      </w:r>
      <w:r>
        <w:rPr>
          <w:rFonts w:hAnsi="宋体"/>
          <w:color w:val="auto"/>
          <w:sz w:val="24"/>
          <w:highlight w:val="none"/>
        </w:rPr>
        <w:t>位。</w:t>
      </w:r>
    </w:p>
    <w:p w14:paraId="7E69FE3C">
      <w:pPr>
        <w:pStyle w:val="16"/>
        <w:tabs>
          <w:tab w:val="left" w:pos="1680"/>
        </w:tabs>
        <w:snapToGrid w:val="0"/>
        <w:spacing w:beforeLines="0" w:afterLines="0" w:line="360" w:lineRule="auto"/>
        <w:outlineLvl w:val="1"/>
        <w:rPr>
          <w:rFonts w:hAnsi="宋体"/>
          <w:b/>
          <w:color w:val="auto"/>
          <w:highlight w:val="none"/>
        </w:rPr>
      </w:pPr>
      <w:bookmarkStart w:id="114" w:name="_Toc17222"/>
      <w:bookmarkStart w:id="115" w:name="_Toc429406717"/>
      <w:bookmarkStart w:id="116" w:name="_Toc259108327"/>
      <w:bookmarkStart w:id="117" w:name="_Toc249866770"/>
      <w:bookmarkStart w:id="118" w:name="_Toc355117130"/>
      <w:bookmarkStart w:id="119" w:name="_Toc436314554"/>
      <w:bookmarkStart w:id="120" w:name="_Toc427442469"/>
      <w:r>
        <w:rPr>
          <w:rFonts w:hint="eastAsia" w:hAnsi="宋体"/>
          <w:b/>
          <w:color w:val="auto"/>
          <w:highlight w:val="none"/>
          <w:lang w:val="en-US" w:eastAsia="zh-CN"/>
        </w:rPr>
        <w:t>四</w:t>
      </w:r>
      <w:r>
        <w:rPr>
          <w:rFonts w:hint="eastAsia" w:hAnsi="宋体"/>
          <w:b/>
          <w:color w:val="auto"/>
          <w:highlight w:val="none"/>
        </w:rPr>
        <w:t>、定标</w:t>
      </w:r>
      <w:bookmarkEnd w:id="114"/>
      <w:bookmarkEnd w:id="115"/>
      <w:bookmarkEnd w:id="116"/>
      <w:bookmarkEnd w:id="117"/>
      <w:bookmarkEnd w:id="118"/>
      <w:bookmarkEnd w:id="119"/>
      <w:bookmarkEnd w:id="120"/>
    </w:p>
    <w:p w14:paraId="05931296">
      <w:pPr>
        <w:tabs>
          <w:tab w:val="left" w:pos="1680"/>
        </w:tabs>
        <w:snapToGrid w:val="0"/>
        <w:spacing w:line="360" w:lineRule="auto"/>
        <w:ind w:firstLine="361" w:firstLineChars="150"/>
        <w:rPr>
          <w:rFonts w:hint="eastAsia" w:hAnsi="宋体" w:eastAsia="宋体" w:cstheme="minorBidi"/>
          <w:b/>
          <w:color w:val="auto"/>
          <w:sz w:val="24"/>
          <w:highlight w:val="none"/>
          <w:lang w:eastAsia="zh-CN"/>
        </w:rPr>
      </w:pPr>
      <w:bookmarkStart w:id="121" w:name="_Toc249866771"/>
      <w:bookmarkStart w:id="122" w:name="_Toc259108328"/>
      <w:r>
        <w:rPr>
          <w:rFonts w:hint="eastAsia" w:hAnsi="宋体" w:eastAsia="宋体" w:cstheme="minorBidi"/>
          <w:b/>
          <w:color w:val="auto"/>
          <w:sz w:val="24"/>
          <w:highlight w:val="none"/>
        </w:rPr>
        <w:t>（一）确定中标</w:t>
      </w:r>
      <w:r>
        <w:rPr>
          <w:rFonts w:hint="eastAsia" w:hAnsi="宋体" w:cstheme="minorBidi"/>
          <w:b/>
          <w:color w:val="auto"/>
          <w:sz w:val="24"/>
          <w:highlight w:val="none"/>
          <w:lang w:val="en-US" w:eastAsia="zh-CN"/>
        </w:rPr>
        <w:t>候选人</w:t>
      </w:r>
    </w:p>
    <w:p w14:paraId="17D3F5C1">
      <w:pPr>
        <w:tabs>
          <w:tab w:val="left" w:pos="1680"/>
        </w:tabs>
        <w:snapToGrid w:val="0"/>
        <w:spacing w:line="360" w:lineRule="auto"/>
        <w:ind w:firstLine="361" w:firstLineChars="150"/>
        <w:rPr>
          <w:rFonts w:hint="eastAsia" w:hAnsi="宋体" w:eastAsia="宋体" w:cstheme="minorBidi"/>
          <w:b/>
          <w:color w:val="auto"/>
          <w:sz w:val="24"/>
          <w:highlight w:val="none"/>
        </w:rPr>
      </w:pPr>
      <w:r>
        <w:rPr>
          <w:rFonts w:hint="eastAsia" w:hAnsi="宋体" w:eastAsia="宋体" w:cstheme="minorBidi"/>
          <w:b/>
          <w:color w:val="auto"/>
          <w:sz w:val="24"/>
          <w:highlight w:val="none"/>
        </w:rPr>
        <w:t>当合格投标人＜3家时，招标人将重新组织招标。当合格投标人≥3家时，则由评标委员会推荐评标结果排序第一的投标人为中标</w:t>
      </w:r>
      <w:r>
        <w:rPr>
          <w:rFonts w:hint="eastAsia" w:hAnsi="宋体" w:cstheme="minorBidi"/>
          <w:b/>
          <w:color w:val="auto"/>
          <w:sz w:val="24"/>
          <w:highlight w:val="none"/>
          <w:lang w:val="en-US" w:eastAsia="zh-CN"/>
        </w:rPr>
        <w:t>候选人</w:t>
      </w:r>
      <w:r>
        <w:rPr>
          <w:rFonts w:hint="eastAsia" w:hAnsi="宋体" w:eastAsia="宋体" w:cstheme="minorBidi"/>
          <w:b/>
          <w:color w:val="auto"/>
          <w:sz w:val="24"/>
          <w:highlight w:val="none"/>
        </w:rPr>
        <w:t>。</w:t>
      </w:r>
    </w:p>
    <w:p w14:paraId="15DB8692">
      <w:pPr>
        <w:keepNext w:val="0"/>
        <w:keepLines w:val="0"/>
        <w:pageBreakBefore w:val="0"/>
        <w:widowControl w:val="0"/>
        <w:numPr>
          <w:ilvl w:val="0"/>
          <w:numId w:val="2"/>
        </w:numPr>
        <w:tabs>
          <w:tab w:val="left" w:pos="1680"/>
        </w:tabs>
        <w:kinsoku/>
        <w:wordWrap/>
        <w:overflowPunct/>
        <w:topLinePunct w:val="0"/>
        <w:autoSpaceDE/>
        <w:autoSpaceDN/>
        <w:bidi w:val="0"/>
        <w:adjustRightInd/>
        <w:snapToGrid w:val="0"/>
        <w:spacing w:line="360" w:lineRule="auto"/>
        <w:ind w:firstLine="361" w:firstLineChars="150"/>
        <w:textAlignment w:val="auto"/>
        <w:rPr>
          <w:rFonts w:hint="eastAsia" w:ascii="宋体" w:hAnsi="宋体"/>
          <w:b/>
          <w:bCs/>
          <w:color w:val="auto"/>
          <w:sz w:val="24"/>
          <w:highlight w:val="none"/>
          <w:lang w:val="en-US" w:eastAsia="zh-CN"/>
        </w:rPr>
      </w:pPr>
      <w:r>
        <w:rPr>
          <w:rFonts w:hint="eastAsia" w:hAnsi="宋体" w:cstheme="minorBidi"/>
          <w:b/>
          <w:color w:val="auto"/>
          <w:sz w:val="24"/>
          <w:highlight w:val="none"/>
        </w:rPr>
        <w:t>在公示期内，投标人对评标结果无异议的，中标候选单位即被确认为中标单位。如有投标人对评标结果提出质疑的，招标单位可在质疑处理完毕后确定中标单位。招标人在评标报告推荐的中标候选人中按顺序确定中标人</w:t>
      </w:r>
      <w:r>
        <w:rPr>
          <w:rFonts w:hint="eastAsia" w:ascii="宋体" w:hAnsi="宋体"/>
          <w:b/>
          <w:bCs/>
          <w:color w:val="auto"/>
          <w:sz w:val="24"/>
          <w:highlight w:val="none"/>
          <w:lang w:val="en-US" w:eastAsia="zh-CN"/>
        </w:rPr>
        <w:t>。</w:t>
      </w:r>
    </w:p>
    <w:p w14:paraId="180BC016">
      <w:pPr>
        <w:keepNext w:val="0"/>
        <w:keepLines w:val="0"/>
        <w:pageBreakBefore w:val="0"/>
        <w:widowControl w:val="0"/>
        <w:numPr>
          <w:ilvl w:val="0"/>
          <w:numId w:val="2"/>
        </w:numPr>
        <w:tabs>
          <w:tab w:val="left" w:pos="1680"/>
        </w:tabs>
        <w:kinsoku/>
        <w:wordWrap/>
        <w:overflowPunct/>
        <w:topLinePunct w:val="0"/>
        <w:autoSpaceDE/>
        <w:autoSpaceDN/>
        <w:bidi w:val="0"/>
        <w:adjustRightInd/>
        <w:snapToGrid w:val="0"/>
        <w:spacing w:line="360" w:lineRule="auto"/>
        <w:ind w:firstLine="361" w:firstLineChars="150"/>
        <w:textAlignment w:val="auto"/>
        <w:rPr>
          <w:rFonts w:hAnsi="宋体" w:cstheme="minorBidi"/>
          <w:b/>
          <w:color w:val="auto"/>
          <w:sz w:val="24"/>
          <w:highlight w:val="none"/>
        </w:rPr>
      </w:pPr>
      <w:r>
        <w:rPr>
          <w:rFonts w:hint="eastAsia" w:hAnsi="宋体" w:cstheme="minorBidi"/>
          <w:b/>
          <w:color w:val="auto"/>
          <w:sz w:val="24"/>
          <w:highlight w:val="none"/>
        </w:rPr>
        <w:t>向中标人发出中标通知书。</w:t>
      </w:r>
    </w:p>
    <w:p w14:paraId="019221D5">
      <w:pPr>
        <w:tabs>
          <w:tab w:val="left" w:pos="1680"/>
        </w:tabs>
        <w:spacing w:line="360" w:lineRule="auto"/>
        <w:rPr>
          <w:rFonts w:ascii="宋体" w:hAnsi="宋体" w:cs="Arial"/>
          <w:color w:val="auto"/>
          <w:sz w:val="24"/>
          <w:highlight w:val="none"/>
        </w:rPr>
      </w:pPr>
      <w:r>
        <w:rPr>
          <w:rFonts w:hint="eastAsia" w:ascii="宋体" w:hAnsi="宋体"/>
          <w:b/>
          <w:color w:val="auto"/>
          <w:sz w:val="24"/>
          <w:highlight w:val="none"/>
          <w:lang w:val="en-US" w:eastAsia="zh-CN"/>
        </w:rPr>
        <w:t>五</w:t>
      </w:r>
      <w:r>
        <w:rPr>
          <w:rFonts w:hint="eastAsia" w:ascii="宋体" w:hAnsi="宋体"/>
          <w:b/>
          <w:color w:val="auto"/>
          <w:sz w:val="24"/>
          <w:highlight w:val="none"/>
        </w:rPr>
        <w:t>、合同授予</w:t>
      </w:r>
      <w:bookmarkEnd w:id="121"/>
      <w:bookmarkEnd w:id="122"/>
    </w:p>
    <w:p w14:paraId="5D34BFF2">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bookmarkStart w:id="123" w:name="_Toc436314555"/>
      <w:bookmarkStart w:id="124" w:name="_Toc427442470"/>
      <w:bookmarkStart w:id="125" w:name="_Toc429406718"/>
      <w:bookmarkStart w:id="126" w:name="_Toc355117131"/>
      <w:bookmarkStart w:id="127" w:name="_Toc427442472"/>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招标人与中标人应当在《中标通知书》发出之日起30日内签订合同。</w:t>
      </w:r>
    </w:p>
    <w:p w14:paraId="3274537F">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2、中标人拖延、拒签合同的，将取消中标资格。</w:t>
      </w:r>
    </w:p>
    <w:p w14:paraId="3DA31363">
      <w:pPr>
        <w:tabs>
          <w:tab w:val="left" w:pos="1680"/>
        </w:tabs>
        <w:spacing w:line="360" w:lineRule="auto"/>
        <w:rPr>
          <w:rFonts w:hAnsi="宋体"/>
          <w:b/>
          <w:color w:val="auto"/>
          <w:sz w:val="24"/>
          <w:highlight w:val="none"/>
        </w:rPr>
      </w:pPr>
      <w:r>
        <w:rPr>
          <w:rFonts w:hint="eastAsia" w:hAnsi="宋体"/>
          <w:b/>
          <w:color w:val="auto"/>
          <w:sz w:val="24"/>
          <w:highlight w:val="none"/>
          <w:lang w:val="en-US" w:eastAsia="zh-CN"/>
        </w:rPr>
        <w:t>六</w:t>
      </w:r>
      <w:r>
        <w:rPr>
          <w:rFonts w:hAnsi="宋体"/>
          <w:b/>
          <w:color w:val="auto"/>
          <w:sz w:val="24"/>
          <w:highlight w:val="none"/>
        </w:rPr>
        <w:t>、评分细则</w:t>
      </w:r>
    </w:p>
    <w:bookmarkEnd w:id="123"/>
    <w:bookmarkEnd w:id="124"/>
    <w:bookmarkEnd w:id="125"/>
    <w:bookmarkEnd w:id="126"/>
    <w:bookmarkEnd w:id="127"/>
    <w:tbl>
      <w:tblPr>
        <w:tblStyle w:val="82"/>
        <w:tblW w:w="8685" w:type="dxa"/>
        <w:jc w:val="center"/>
        <w:tblLayout w:type="fixed"/>
        <w:tblCellMar>
          <w:top w:w="36" w:type="dxa"/>
          <w:left w:w="107" w:type="dxa"/>
          <w:bottom w:w="0" w:type="dxa"/>
          <w:right w:w="2" w:type="dxa"/>
        </w:tblCellMar>
      </w:tblPr>
      <w:tblGrid>
        <w:gridCol w:w="965"/>
        <w:gridCol w:w="1408"/>
        <w:gridCol w:w="5272"/>
        <w:gridCol w:w="1040"/>
      </w:tblGrid>
      <w:tr w14:paraId="3EE80D51">
        <w:tblPrEx>
          <w:tblCellMar>
            <w:top w:w="36" w:type="dxa"/>
            <w:left w:w="107" w:type="dxa"/>
            <w:bottom w:w="0" w:type="dxa"/>
            <w:right w:w="2" w:type="dxa"/>
          </w:tblCellMar>
        </w:tblPrEx>
        <w:trPr>
          <w:trHeight w:val="537" w:hRule="atLeast"/>
          <w:jc w:val="center"/>
        </w:trPr>
        <w:tc>
          <w:tcPr>
            <w:tcW w:w="2373" w:type="dxa"/>
            <w:gridSpan w:val="2"/>
            <w:tcBorders>
              <w:top w:val="single" w:color="000000" w:sz="4" w:space="0"/>
              <w:left w:val="single" w:color="000000" w:sz="4" w:space="0"/>
              <w:bottom w:val="single" w:color="000000" w:sz="4" w:space="0"/>
              <w:right w:val="single" w:color="000000" w:sz="4" w:space="0"/>
            </w:tcBorders>
            <w:vAlign w:val="center"/>
          </w:tcPr>
          <w:p w14:paraId="36002DB2">
            <w:pPr>
              <w:tabs>
                <w:tab w:val="left" w:pos="1680"/>
              </w:tabs>
              <w:spacing w:after="0" w:line="259" w:lineRule="auto"/>
              <w:ind w:left="0" w:right="110" w:firstLine="0"/>
              <w:jc w:val="center"/>
              <w:rPr>
                <w:color w:val="auto"/>
                <w:highlight w:val="none"/>
              </w:rPr>
            </w:pPr>
            <w:r>
              <w:rPr>
                <w:color w:val="auto"/>
                <w:sz w:val="21"/>
                <w:highlight w:val="none"/>
              </w:rPr>
              <w:t>评分项目</w:t>
            </w:r>
          </w:p>
        </w:tc>
        <w:tc>
          <w:tcPr>
            <w:tcW w:w="5272" w:type="dxa"/>
            <w:tcBorders>
              <w:top w:val="single" w:color="000000" w:sz="4" w:space="0"/>
              <w:left w:val="single" w:color="000000" w:sz="4" w:space="0"/>
              <w:bottom w:val="single" w:color="000000" w:sz="4" w:space="0"/>
              <w:right w:val="single" w:color="000000" w:sz="4" w:space="0"/>
            </w:tcBorders>
            <w:vAlign w:val="center"/>
          </w:tcPr>
          <w:p w14:paraId="07DA2D23">
            <w:pPr>
              <w:tabs>
                <w:tab w:val="left" w:pos="1680"/>
              </w:tabs>
              <w:spacing w:after="0" w:line="259" w:lineRule="auto"/>
              <w:ind w:left="0" w:right="106" w:firstLine="0"/>
              <w:jc w:val="center"/>
              <w:rPr>
                <w:color w:val="auto"/>
                <w:highlight w:val="none"/>
              </w:rPr>
            </w:pPr>
            <w:r>
              <w:rPr>
                <w:color w:val="auto"/>
                <w:sz w:val="21"/>
                <w:highlight w:val="none"/>
              </w:rPr>
              <w:t>评标要点及说明</w:t>
            </w:r>
          </w:p>
        </w:tc>
        <w:tc>
          <w:tcPr>
            <w:tcW w:w="1040" w:type="dxa"/>
            <w:tcBorders>
              <w:top w:val="single" w:color="000000" w:sz="4" w:space="0"/>
              <w:left w:val="single" w:color="000000" w:sz="4" w:space="0"/>
              <w:bottom w:val="single" w:color="000000" w:sz="4" w:space="0"/>
              <w:right w:val="single" w:color="000000" w:sz="4" w:space="0"/>
            </w:tcBorders>
            <w:vAlign w:val="center"/>
          </w:tcPr>
          <w:p w14:paraId="1C3D9255">
            <w:pPr>
              <w:tabs>
                <w:tab w:val="left" w:pos="1680"/>
              </w:tabs>
              <w:spacing w:after="0" w:line="259" w:lineRule="auto"/>
              <w:ind w:left="178" w:firstLine="0"/>
              <w:rPr>
                <w:color w:val="auto"/>
                <w:highlight w:val="none"/>
              </w:rPr>
            </w:pPr>
            <w:r>
              <w:rPr>
                <w:color w:val="auto"/>
                <w:sz w:val="21"/>
                <w:highlight w:val="none"/>
              </w:rPr>
              <w:t>分值</w:t>
            </w:r>
          </w:p>
        </w:tc>
      </w:tr>
      <w:tr w14:paraId="7D959946">
        <w:tblPrEx>
          <w:tblCellMar>
            <w:top w:w="36" w:type="dxa"/>
            <w:left w:w="107" w:type="dxa"/>
            <w:bottom w:w="0" w:type="dxa"/>
            <w:right w:w="2" w:type="dxa"/>
          </w:tblCellMar>
        </w:tblPrEx>
        <w:trPr>
          <w:trHeight w:val="827" w:hRule="atLeast"/>
          <w:jc w:val="center"/>
        </w:trPr>
        <w:tc>
          <w:tcPr>
            <w:tcW w:w="237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B3440D">
            <w:pPr>
              <w:tabs>
                <w:tab w:val="left" w:pos="1680"/>
              </w:tabs>
              <w:spacing w:after="0" w:line="259" w:lineRule="auto"/>
              <w:ind w:left="0" w:right="110" w:firstLine="0"/>
              <w:jc w:val="center"/>
              <w:rPr>
                <w:color w:val="auto"/>
                <w:highlight w:val="none"/>
              </w:rPr>
            </w:pPr>
            <w:r>
              <w:rPr>
                <w:color w:val="auto"/>
                <w:sz w:val="21"/>
                <w:highlight w:val="none"/>
              </w:rPr>
              <w:t>利率水平（</w:t>
            </w:r>
            <w:r>
              <w:rPr>
                <w:rFonts w:hint="eastAsia"/>
                <w:color w:val="auto"/>
                <w:sz w:val="21"/>
                <w:highlight w:val="none"/>
                <w:lang w:val="en-US" w:eastAsia="zh-CN"/>
              </w:rPr>
              <w:t>6</w:t>
            </w:r>
            <w:r>
              <w:rPr>
                <w:color w:val="auto"/>
                <w:sz w:val="21"/>
                <w:highlight w:val="none"/>
              </w:rPr>
              <w:t>分）</w:t>
            </w:r>
          </w:p>
        </w:tc>
        <w:tc>
          <w:tcPr>
            <w:tcW w:w="5272" w:type="dxa"/>
            <w:tcBorders>
              <w:top w:val="single" w:color="000000" w:sz="4" w:space="0"/>
              <w:left w:val="single" w:color="000000" w:sz="4" w:space="0"/>
              <w:bottom w:val="single" w:color="000000" w:sz="4" w:space="0"/>
              <w:right w:val="single" w:color="000000" w:sz="4" w:space="0"/>
            </w:tcBorders>
            <w:vAlign w:val="center"/>
          </w:tcPr>
          <w:p w14:paraId="33994D83">
            <w:pPr>
              <w:widowControl/>
              <w:tabs>
                <w:tab w:val="left" w:pos="1680"/>
              </w:tabs>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存款利率达到自律上限情况：</w:t>
            </w:r>
          </w:p>
          <w:p w14:paraId="72F42AA0">
            <w:pPr>
              <w:tabs>
                <w:tab w:val="left" w:pos="1680"/>
              </w:tabs>
              <w:spacing w:after="0" w:line="259" w:lineRule="auto"/>
              <w:ind w:left="0" w:leftChars="0" w:firstLine="0" w:firstLineChars="0"/>
              <w:jc w:val="both"/>
              <w:rPr>
                <w:color w:val="auto"/>
                <w:highlight w:val="none"/>
              </w:rPr>
            </w:pPr>
            <w:r>
              <w:rPr>
                <w:rFonts w:hint="eastAsia" w:ascii="宋体" w:hAnsi="宋体" w:cs="宋体"/>
                <w:color w:val="auto"/>
                <w:kern w:val="0"/>
                <w:szCs w:val="21"/>
                <w:highlight w:val="none"/>
              </w:rPr>
              <w:t>①投标人承诺</w:t>
            </w:r>
            <w:r>
              <w:rPr>
                <w:rFonts w:hint="eastAsia" w:ascii="宋体" w:hAnsi="宋体" w:cs="宋体"/>
                <w:color w:val="auto"/>
                <w:kern w:val="0"/>
                <w:szCs w:val="21"/>
                <w:highlight w:val="none"/>
                <w:lang w:val="en-US" w:eastAsia="zh-CN"/>
              </w:rPr>
              <w:t>所有</w:t>
            </w:r>
            <w:r>
              <w:rPr>
                <w:rFonts w:hint="eastAsia" w:ascii="宋体" w:hAnsi="宋体" w:cs="宋体"/>
                <w:color w:val="auto"/>
                <w:kern w:val="0"/>
                <w:szCs w:val="21"/>
                <w:highlight w:val="none"/>
              </w:rPr>
              <w:t>存款产品利率报价在服务期内始终达到市场自律机制本行上限的，得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②投标人承诺部分存款产品利率报价在服务期内始终达到市场自律机制本行上限的，得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③其他情形得0分。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（协议期内，存款利率按市场自律机制要求执行。对承诺始终达到市场自律机制本行上限的产品，利率按自律机制上限最新要求执行）</w:t>
            </w:r>
          </w:p>
        </w:tc>
        <w:tc>
          <w:tcPr>
            <w:tcW w:w="1040" w:type="dxa"/>
            <w:tcBorders>
              <w:top w:val="single" w:color="000000" w:sz="4" w:space="0"/>
              <w:left w:val="single" w:color="000000" w:sz="4" w:space="0"/>
              <w:bottom w:val="single" w:color="000000" w:sz="4" w:space="0"/>
              <w:right w:val="single" w:color="000000" w:sz="4" w:space="0"/>
            </w:tcBorders>
            <w:vAlign w:val="center"/>
          </w:tcPr>
          <w:p w14:paraId="4338C972">
            <w:pPr>
              <w:tabs>
                <w:tab w:val="left" w:pos="1680"/>
              </w:tabs>
              <w:spacing w:after="0" w:line="259" w:lineRule="auto"/>
              <w:ind w:left="0" w:right="104" w:firstLine="0"/>
              <w:jc w:val="center"/>
              <w:rPr>
                <w:rFonts w:hint="eastAsia" w:eastAsia="宋体"/>
                <w:color w:val="auto"/>
                <w:highlight w:val="none"/>
                <w:lang w:eastAsia="zh-CN"/>
              </w:rPr>
            </w:pPr>
          </w:p>
        </w:tc>
      </w:tr>
      <w:tr w14:paraId="0351BBC0">
        <w:tblPrEx>
          <w:tblCellMar>
            <w:top w:w="36" w:type="dxa"/>
            <w:left w:w="107" w:type="dxa"/>
            <w:bottom w:w="0" w:type="dxa"/>
            <w:right w:w="2" w:type="dxa"/>
          </w:tblCellMar>
        </w:tblPrEx>
        <w:trPr>
          <w:trHeight w:val="827" w:hRule="atLeast"/>
          <w:jc w:val="center"/>
        </w:trPr>
        <w:tc>
          <w:tcPr>
            <w:tcW w:w="2373" w:type="dxa"/>
            <w:gridSpan w:val="2"/>
            <w:vMerge w:val="continue"/>
            <w:tcBorders>
              <w:left w:val="single" w:color="000000" w:sz="4" w:space="0"/>
              <w:right w:val="single" w:color="000000" w:sz="4" w:space="0"/>
            </w:tcBorders>
            <w:vAlign w:val="center"/>
          </w:tcPr>
          <w:p w14:paraId="6F183E0F">
            <w:pPr>
              <w:tabs>
                <w:tab w:val="left" w:pos="1680"/>
              </w:tabs>
              <w:spacing w:after="0" w:line="259" w:lineRule="auto"/>
              <w:ind w:left="0" w:right="110" w:firstLine="0"/>
              <w:jc w:val="center"/>
              <w:rPr>
                <w:color w:val="auto"/>
                <w:sz w:val="21"/>
                <w:highlight w:val="none"/>
              </w:rPr>
            </w:pPr>
          </w:p>
        </w:tc>
        <w:tc>
          <w:tcPr>
            <w:tcW w:w="5272" w:type="dxa"/>
            <w:tcBorders>
              <w:top w:val="single" w:color="000000" w:sz="4" w:space="0"/>
              <w:left w:val="single" w:color="000000" w:sz="4" w:space="0"/>
              <w:bottom w:val="single" w:color="000000" w:sz="4" w:space="0"/>
              <w:right w:val="single" w:color="000000" w:sz="4" w:space="0"/>
            </w:tcBorders>
            <w:vAlign w:val="center"/>
          </w:tcPr>
          <w:p w14:paraId="68168C54">
            <w:pPr>
              <w:tabs>
                <w:tab w:val="left" w:pos="1680"/>
              </w:tabs>
              <w:spacing w:after="0" w:line="259" w:lineRule="auto"/>
              <w:ind w:left="0" w:leftChars="0" w:firstLine="0" w:firstLineChars="0"/>
              <w:jc w:val="both"/>
              <w:rPr>
                <w:rFonts w:hint="eastAsia"/>
                <w:color w:val="auto"/>
                <w:highlight w:val="none"/>
              </w:rPr>
            </w:pPr>
            <w:r>
              <w:rPr>
                <w:rFonts w:hint="eastAsia"/>
                <w:color w:val="auto"/>
                <w:highlight w:val="none"/>
                <w:lang w:val="en-US" w:eastAsia="zh-CN"/>
              </w:rPr>
              <w:t>2</w:t>
            </w:r>
            <w:r>
              <w:rPr>
                <w:rFonts w:hint="eastAsia"/>
                <w:color w:val="auto"/>
                <w:highlight w:val="none"/>
              </w:rPr>
              <w:t>）存款利率：</w:t>
            </w:r>
            <w:r>
              <w:rPr>
                <w:rFonts w:hint="eastAsia"/>
                <w:color w:val="auto"/>
                <w:highlight w:val="none"/>
                <w:lang w:val="en-US" w:eastAsia="zh-CN"/>
              </w:rPr>
              <w:t>按利率报价（所有存款方式报价BP值的合计值）</w:t>
            </w:r>
            <w:r>
              <w:rPr>
                <w:rFonts w:hint="eastAsia" w:ascii="宋体" w:hAnsi="宋体" w:cs="宋体"/>
                <w:color w:val="auto"/>
                <w:kern w:val="0"/>
                <w:szCs w:val="21"/>
                <w:highlight w:val="none"/>
                <w:lang w:bidi="ar"/>
              </w:rPr>
              <w:t>进行横向比较</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报价</w:t>
            </w:r>
            <w:r>
              <w:rPr>
                <w:rFonts w:hint="eastAsia"/>
                <w:color w:val="auto"/>
                <w:highlight w:val="none"/>
                <w:lang w:val="en-US" w:eastAsia="zh-CN"/>
              </w:rPr>
              <w:t>最高的得2分，下降一档（相同报价的为一档，下同）扣0.2分</w:t>
            </w:r>
            <w:r>
              <w:rPr>
                <w:rFonts w:hint="eastAsia"/>
                <w:color w:val="auto"/>
                <w:highlight w:val="none"/>
              </w:rPr>
              <w:t>，</w:t>
            </w:r>
            <w:r>
              <w:rPr>
                <w:rFonts w:hint="eastAsia" w:ascii="宋体" w:hAnsi="宋体" w:cs="宋体"/>
                <w:color w:val="auto"/>
                <w:kern w:val="0"/>
                <w:szCs w:val="21"/>
                <w:highlight w:val="none"/>
                <w:lang w:val="en-US" w:eastAsia="zh-CN" w:bidi="ar"/>
              </w:rPr>
              <w:t>扣完为止</w:t>
            </w:r>
            <w:r>
              <w:rPr>
                <w:rFonts w:hint="eastAsia"/>
                <w:color w:val="auto"/>
                <w:highlight w:val="none"/>
              </w:rPr>
              <w:t>；</w:t>
            </w:r>
          </w:p>
        </w:tc>
        <w:tc>
          <w:tcPr>
            <w:tcW w:w="1040" w:type="dxa"/>
            <w:tcBorders>
              <w:top w:val="single" w:color="000000" w:sz="4" w:space="0"/>
              <w:left w:val="single" w:color="000000" w:sz="4" w:space="0"/>
              <w:bottom w:val="single" w:color="000000" w:sz="4" w:space="0"/>
              <w:right w:val="single" w:color="000000" w:sz="4" w:space="0"/>
            </w:tcBorders>
            <w:vAlign w:val="center"/>
          </w:tcPr>
          <w:p w14:paraId="3E84656A">
            <w:pPr>
              <w:tabs>
                <w:tab w:val="left" w:pos="1680"/>
              </w:tabs>
              <w:spacing w:after="0" w:line="259" w:lineRule="auto"/>
              <w:ind w:left="0" w:right="104" w:firstLine="0"/>
              <w:jc w:val="center"/>
              <w:rPr>
                <w:rFonts w:hint="eastAsia" w:eastAsia="宋体"/>
                <w:color w:val="auto"/>
                <w:highlight w:val="none"/>
                <w:lang w:eastAsia="zh-CN"/>
              </w:rPr>
            </w:pPr>
          </w:p>
        </w:tc>
      </w:tr>
      <w:tr w14:paraId="4CBD3DB9">
        <w:tblPrEx>
          <w:tblCellMar>
            <w:top w:w="36" w:type="dxa"/>
            <w:left w:w="107" w:type="dxa"/>
            <w:bottom w:w="0" w:type="dxa"/>
            <w:right w:w="2" w:type="dxa"/>
          </w:tblCellMar>
        </w:tblPrEx>
        <w:trPr>
          <w:trHeight w:val="953" w:hRule="atLeast"/>
          <w:jc w:val="center"/>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6AF608EB">
            <w:pPr>
              <w:tabs>
                <w:tab w:val="left" w:pos="1680"/>
              </w:tabs>
              <w:spacing w:after="0" w:line="259" w:lineRule="auto"/>
              <w:ind w:left="1" w:firstLine="12"/>
              <w:rPr>
                <w:color w:val="auto"/>
                <w:highlight w:val="none"/>
              </w:rPr>
            </w:pPr>
            <w:r>
              <w:rPr>
                <w:color w:val="auto"/>
                <w:sz w:val="21"/>
                <w:highlight w:val="none"/>
              </w:rPr>
              <w:t>经营状况（</w:t>
            </w:r>
            <w:r>
              <w:rPr>
                <w:rFonts w:hint="eastAsia"/>
                <w:color w:val="auto"/>
                <w:sz w:val="21"/>
                <w:highlight w:val="none"/>
                <w:lang w:val="en-US" w:eastAsia="zh-CN"/>
              </w:rPr>
              <w:t>26</w:t>
            </w:r>
            <w:r>
              <w:rPr>
                <w:color w:val="auto"/>
                <w:sz w:val="21"/>
                <w:highlight w:val="none"/>
              </w:rPr>
              <w:t>分）</w:t>
            </w:r>
          </w:p>
        </w:tc>
        <w:tc>
          <w:tcPr>
            <w:tcW w:w="1408" w:type="dxa"/>
            <w:tcBorders>
              <w:top w:val="single" w:color="auto" w:sz="4" w:space="0"/>
              <w:left w:val="single" w:color="auto" w:sz="4" w:space="0"/>
              <w:bottom w:val="single" w:color="auto" w:sz="4" w:space="0"/>
              <w:right w:val="single" w:color="auto" w:sz="4" w:space="0"/>
            </w:tcBorders>
            <w:vAlign w:val="center"/>
          </w:tcPr>
          <w:p w14:paraId="6E844DBD">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资本充足率</w:t>
            </w:r>
          </w:p>
          <w:p w14:paraId="1E4C5637">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（8分）</w:t>
            </w:r>
          </w:p>
        </w:tc>
        <w:tc>
          <w:tcPr>
            <w:tcW w:w="5272" w:type="dxa"/>
            <w:tcBorders>
              <w:top w:val="single" w:color="auto" w:sz="4" w:space="0"/>
              <w:left w:val="single" w:color="auto" w:sz="4" w:space="0"/>
              <w:bottom w:val="single" w:color="auto" w:sz="4" w:space="0"/>
              <w:right w:val="single" w:color="auto" w:sz="4" w:space="0"/>
            </w:tcBorders>
            <w:vAlign w:val="center"/>
          </w:tcPr>
          <w:p w14:paraId="2741CB74">
            <w:pPr>
              <w:tabs>
                <w:tab w:val="left" w:pos="1680"/>
              </w:tabs>
              <w:spacing w:after="0" w:line="259" w:lineRule="auto"/>
              <w:ind w:left="10" w:leftChars="0" w:right="124" w:rightChars="59" w:hanging="10" w:hangingChars="5"/>
              <w:jc w:val="left"/>
              <w:rPr>
                <w:rFonts w:hint="eastAsia"/>
                <w:color w:val="auto"/>
                <w:sz w:val="21"/>
                <w:highlight w:val="none"/>
                <w:lang w:val="en-US" w:eastAsia="zh-CN"/>
              </w:rPr>
            </w:pPr>
            <w:r>
              <w:rPr>
                <w:rFonts w:hint="eastAsia"/>
                <w:color w:val="auto"/>
                <w:sz w:val="21"/>
                <w:highlight w:val="none"/>
                <w:lang w:val="en-US" w:eastAsia="zh-CN"/>
              </w:rPr>
              <w:t>总行资本充足率</w:t>
            </w:r>
            <w:r>
              <w:rPr>
                <w:rFonts w:hint="eastAsia"/>
                <w:color w:val="auto"/>
                <w:sz w:val="21"/>
                <w:highlight w:val="none"/>
              </w:rPr>
              <w:t>≥</w:t>
            </w:r>
            <w:r>
              <w:rPr>
                <w:rFonts w:hint="eastAsia"/>
                <w:color w:val="auto"/>
                <w:sz w:val="21"/>
                <w:highlight w:val="none"/>
                <w:lang w:val="en-US" w:eastAsia="zh-CN"/>
              </w:rPr>
              <w:t>18%的得8分，每减少0.5%</w:t>
            </w:r>
            <w:r>
              <w:rPr>
                <w:rFonts w:hint="eastAsia"/>
                <w:color w:val="auto"/>
                <w:sz w:val="21"/>
                <w:highlight w:val="none"/>
              </w:rPr>
              <w:t>扣</w:t>
            </w:r>
            <w:r>
              <w:rPr>
                <w:rFonts w:hint="eastAsia"/>
                <w:color w:val="auto"/>
                <w:sz w:val="21"/>
                <w:highlight w:val="none"/>
                <w:lang w:val="en-US" w:eastAsia="zh-CN"/>
              </w:rPr>
              <w:t>1分（</w:t>
            </w:r>
            <w:r>
              <w:rPr>
                <w:rFonts w:hint="eastAsia"/>
                <w:color w:val="auto"/>
                <w:sz w:val="21"/>
                <w:highlight w:val="none"/>
              </w:rPr>
              <w:t>不足</w:t>
            </w:r>
            <w:r>
              <w:rPr>
                <w:rFonts w:hint="eastAsia"/>
                <w:color w:val="auto"/>
                <w:sz w:val="21"/>
                <w:highlight w:val="none"/>
                <w:lang w:val="en-US" w:eastAsia="zh-CN"/>
              </w:rPr>
              <w:t>0.5</w:t>
            </w:r>
            <w:r>
              <w:rPr>
                <w:rFonts w:hint="eastAsia"/>
                <w:color w:val="auto"/>
                <w:sz w:val="21"/>
                <w:highlight w:val="none"/>
              </w:rPr>
              <w:t>%部分按</w:t>
            </w:r>
            <w:r>
              <w:rPr>
                <w:rFonts w:hint="eastAsia"/>
                <w:color w:val="auto"/>
                <w:sz w:val="21"/>
                <w:highlight w:val="none"/>
                <w:lang w:val="en-US" w:eastAsia="zh-CN"/>
              </w:rPr>
              <w:t>0.5</w:t>
            </w:r>
            <w:r>
              <w:rPr>
                <w:rFonts w:hint="eastAsia"/>
                <w:color w:val="auto"/>
                <w:sz w:val="21"/>
                <w:highlight w:val="none"/>
              </w:rPr>
              <w:t>%计算</w:t>
            </w:r>
            <w:r>
              <w:rPr>
                <w:rFonts w:hint="eastAsia"/>
                <w:color w:val="auto"/>
                <w:sz w:val="21"/>
                <w:highlight w:val="none"/>
                <w:lang w:val="en-US" w:eastAsia="zh-CN"/>
              </w:rPr>
              <w:t>），扣完为止。</w:t>
            </w:r>
          </w:p>
          <w:p w14:paraId="76008E48">
            <w:pPr>
              <w:tabs>
                <w:tab w:val="left" w:pos="1680"/>
              </w:tabs>
              <w:spacing w:after="0" w:line="259" w:lineRule="auto"/>
              <w:ind w:left="10" w:leftChars="0" w:right="124" w:rightChars="59" w:hanging="10" w:hangingChars="5"/>
              <w:jc w:val="left"/>
              <w:rPr>
                <w:rFonts w:hint="default"/>
                <w:color w:val="auto"/>
                <w:sz w:val="21"/>
                <w:highlight w:val="none"/>
                <w:lang w:val="en-US"/>
              </w:rPr>
            </w:pPr>
            <w:r>
              <w:rPr>
                <w:color w:val="auto"/>
                <w:sz w:val="21"/>
                <w:highlight w:val="none"/>
              </w:rPr>
              <w:t>投标文件中提供</w:t>
            </w:r>
            <w:r>
              <w:rPr>
                <w:rFonts w:hint="eastAsia"/>
                <w:color w:val="auto"/>
                <w:sz w:val="21"/>
                <w:highlight w:val="none"/>
                <w:lang w:eastAsia="zh-CN"/>
              </w:rPr>
              <w:t>202</w:t>
            </w:r>
            <w:r>
              <w:rPr>
                <w:rFonts w:hint="eastAsia"/>
                <w:color w:val="auto"/>
                <w:sz w:val="21"/>
                <w:highlight w:val="none"/>
                <w:lang w:val="en-US" w:eastAsia="zh-CN"/>
              </w:rPr>
              <w:t>4</w:t>
            </w:r>
            <w:r>
              <w:rPr>
                <w:rFonts w:hint="eastAsia"/>
                <w:color w:val="auto"/>
                <w:sz w:val="21"/>
                <w:highlight w:val="none"/>
                <w:lang w:eastAsia="zh-CN"/>
              </w:rPr>
              <w:t>年</w:t>
            </w:r>
            <w:r>
              <w:rPr>
                <w:color w:val="auto"/>
                <w:sz w:val="21"/>
                <w:highlight w:val="none"/>
              </w:rPr>
              <w:t>年报数据证明材料。</w:t>
            </w:r>
          </w:p>
        </w:tc>
        <w:tc>
          <w:tcPr>
            <w:tcW w:w="1040" w:type="dxa"/>
            <w:tcBorders>
              <w:top w:val="single" w:color="auto" w:sz="4" w:space="0"/>
              <w:left w:val="single" w:color="auto" w:sz="4" w:space="0"/>
              <w:bottom w:val="single" w:color="auto" w:sz="4" w:space="0"/>
              <w:right w:val="single" w:color="auto" w:sz="4" w:space="0"/>
            </w:tcBorders>
            <w:vAlign w:val="center"/>
          </w:tcPr>
          <w:p w14:paraId="0D8E1C50">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4684DF29">
        <w:tblPrEx>
          <w:tblCellMar>
            <w:top w:w="36" w:type="dxa"/>
            <w:left w:w="107" w:type="dxa"/>
            <w:bottom w:w="0" w:type="dxa"/>
            <w:right w:w="2" w:type="dxa"/>
          </w:tblCellMar>
        </w:tblPrEx>
        <w:trPr>
          <w:trHeight w:val="865" w:hRule="atLeast"/>
          <w:jc w:val="center"/>
        </w:trPr>
        <w:tc>
          <w:tcPr>
            <w:tcW w:w="965" w:type="dxa"/>
            <w:vMerge w:val="continue"/>
            <w:tcBorders>
              <w:top w:val="single" w:color="auto" w:sz="4" w:space="0"/>
              <w:left w:val="single" w:color="auto" w:sz="4" w:space="0"/>
              <w:bottom w:val="single" w:color="auto" w:sz="4" w:space="0"/>
              <w:right w:val="single" w:color="auto" w:sz="4" w:space="0"/>
            </w:tcBorders>
          </w:tcPr>
          <w:p w14:paraId="6F77AD10">
            <w:pPr>
              <w:tabs>
                <w:tab w:val="left" w:pos="1680"/>
              </w:tabs>
              <w:spacing w:after="160" w:line="259" w:lineRule="auto"/>
              <w:ind w:left="0" w:firstLine="0"/>
              <w:rPr>
                <w:color w:val="auto"/>
                <w:highlight w:val="none"/>
              </w:rPr>
            </w:pPr>
          </w:p>
        </w:tc>
        <w:tc>
          <w:tcPr>
            <w:tcW w:w="1408" w:type="dxa"/>
            <w:tcBorders>
              <w:top w:val="single" w:color="auto" w:sz="4" w:space="0"/>
              <w:left w:val="single" w:color="auto" w:sz="4" w:space="0"/>
              <w:bottom w:val="single" w:color="000000" w:sz="4" w:space="0"/>
              <w:right w:val="single" w:color="000000" w:sz="4" w:space="0"/>
            </w:tcBorders>
            <w:vAlign w:val="center"/>
          </w:tcPr>
          <w:p w14:paraId="1EDCB246">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不良贷款率</w:t>
            </w:r>
          </w:p>
          <w:p w14:paraId="6B2C5F9F">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（8分）</w:t>
            </w:r>
          </w:p>
        </w:tc>
        <w:tc>
          <w:tcPr>
            <w:tcW w:w="5272" w:type="dxa"/>
            <w:tcBorders>
              <w:top w:val="single" w:color="auto" w:sz="4" w:space="0"/>
              <w:left w:val="single" w:color="000000" w:sz="4" w:space="0"/>
              <w:bottom w:val="single" w:color="000000" w:sz="4" w:space="0"/>
              <w:right w:val="single" w:color="000000" w:sz="4" w:space="0"/>
            </w:tcBorders>
            <w:vAlign w:val="center"/>
          </w:tcPr>
          <w:p w14:paraId="3D8748FB">
            <w:pPr>
              <w:tabs>
                <w:tab w:val="left" w:pos="1680"/>
              </w:tabs>
              <w:spacing w:after="0" w:line="259" w:lineRule="auto"/>
              <w:ind w:left="10" w:leftChars="0" w:right="124" w:rightChars="59" w:hanging="10" w:hangingChars="5"/>
              <w:jc w:val="left"/>
              <w:rPr>
                <w:rFonts w:hint="eastAsia"/>
                <w:color w:val="auto"/>
                <w:sz w:val="21"/>
                <w:highlight w:val="none"/>
              </w:rPr>
            </w:pPr>
            <w:r>
              <w:rPr>
                <w:rFonts w:hint="eastAsia"/>
                <w:color w:val="auto"/>
                <w:sz w:val="21"/>
                <w:highlight w:val="none"/>
              </w:rPr>
              <w:t>总行不良贷款率≤1</w:t>
            </w:r>
            <w:r>
              <w:rPr>
                <w:rFonts w:hint="eastAsia"/>
                <w:color w:val="auto"/>
                <w:sz w:val="21"/>
                <w:highlight w:val="none"/>
                <w:lang w:val="en-US" w:eastAsia="zh-CN"/>
              </w:rPr>
              <w:t>.4</w:t>
            </w:r>
            <w:r>
              <w:rPr>
                <w:rFonts w:hint="eastAsia"/>
                <w:color w:val="auto"/>
                <w:sz w:val="21"/>
                <w:highlight w:val="none"/>
              </w:rPr>
              <w:t>%的得</w:t>
            </w:r>
            <w:r>
              <w:rPr>
                <w:rFonts w:hint="eastAsia"/>
                <w:color w:val="auto"/>
                <w:sz w:val="21"/>
                <w:highlight w:val="none"/>
                <w:lang w:val="en-US" w:eastAsia="zh-CN"/>
              </w:rPr>
              <w:t>8</w:t>
            </w:r>
            <w:r>
              <w:rPr>
                <w:rFonts w:hint="eastAsia"/>
                <w:color w:val="auto"/>
                <w:sz w:val="21"/>
                <w:highlight w:val="none"/>
              </w:rPr>
              <w:t>分，每增加0.</w:t>
            </w:r>
            <w:r>
              <w:rPr>
                <w:rFonts w:hint="eastAsia"/>
                <w:color w:val="auto"/>
                <w:sz w:val="21"/>
                <w:highlight w:val="none"/>
                <w:lang w:val="en-US" w:eastAsia="zh-CN"/>
              </w:rPr>
              <w:t>05</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分（不足0.</w:t>
            </w:r>
            <w:r>
              <w:rPr>
                <w:rFonts w:hint="eastAsia"/>
                <w:color w:val="auto"/>
                <w:sz w:val="21"/>
                <w:highlight w:val="none"/>
                <w:lang w:val="en-US" w:eastAsia="zh-CN"/>
              </w:rPr>
              <w:t>05</w:t>
            </w:r>
            <w:r>
              <w:rPr>
                <w:rFonts w:hint="eastAsia"/>
                <w:color w:val="auto"/>
                <w:sz w:val="21"/>
                <w:highlight w:val="none"/>
              </w:rPr>
              <w:t>%部分按0.</w:t>
            </w:r>
            <w:r>
              <w:rPr>
                <w:rFonts w:hint="eastAsia"/>
                <w:color w:val="auto"/>
                <w:sz w:val="21"/>
                <w:highlight w:val="none"/>
                <w:lang w:val="en-US" w:eastAsia="zh-CN"/>
              </w:rPr>
              <w:t>05</w:t>
            </w:r>
            <w:r>
              <w:rPr>
                <w:rFonts w:hint="eastAsia"/>
                <w:color w:val="auto"/>
                <w:sz w:val="21"/>
                <w:highlight w:val="none"/>
              </w:rPr>
              <w:t>%计算），扣完为止。</w:t>
            </w:r>
          </w:p>
          <w:p w14:paraId="0341C20F">
            <w:pPr>
              <w:tabs>
                <w:tab w:val="left" w:pos="1680"/>
              </w:tabs>
              <w:spacing w:after="0" w:line="259" w:lineRule="auto"/>
              <w:ind w:left="10" w:leftChars="0" w:right="124" w:rightChars="59" w:hanging="10" w:hangingChars="5"/>
              <w:jc w:val="left"/>
              <w:rPr>
                <w:rFonts w:hint="eastAsia"/>
                <w:color w:val="auto"/>
                <w:sz w:val="21"/>
                <w:highlight w:val="none"/>
              </w:rPr>
            </w:pPr>
            <w:r>
              <w:rPr>
                <w:color w:val="auto"/>
                <w:sz w:val="21"/>
                <w:highlight w:val="none"/>
              </w:rPr>
              <w:t>投标文件中提供</w:t>
            </w:r>
            <w:r>
              <w:rPr>
                <w:rFonts w:hint="eastAsia"/>
                <w:color w:val="auto"/>
                <w:sz w:val="21"/>
                <w:highlight w:val="none"/>
                <w:lang w:eastAsia="zh-CN"/>
              </w:rPr>
              <w:t>202</w:t>
            </w:r>
            <w:r>
              <w:rPr>
                <w:rFonts w:hint="eastAsia"/>
                <w:color w:val="auto"/>
                <w:sz w:val="21"/>
                <w:highlight w:val="none"/>
                <w:lang w:val="en-US" w:eastAsia="zh-CN"/>
              </w:rPr>
              <w:t>4</w:t>
            </w:r>
            <w:r>
              <w:rPr>
                <w:rFonts w:hint="eastAsia"/>
                <w:color w:val="auto"/>
                <w:sz w:val="21"/>
                <w:highlight w:val="none"/>
                <w:lang w:eastAsia="zh-CN"/>
              </w:rPr>
              <w:t>年</w:t>
            </w:r>
            <w:r>
              <w:rPr>
                <w:color w:val="auto"/>
                <w:sz w:val="21"/>
                <w:highlight w:val="none"/>
              </w:rPr>
              <w:t>年报数据证明材料。</w:t>
            </w:r>
          </w:p>
        </w:tc>
        <w:tc>
          <w:tcPr>
            <w:tcW w:w="1040" w:type="dxa"/>
            <w:tcBorders>
              <w:top w:val="single" w:color="auto" w:sz="4" w:space="0"/>
              <w:left w:val="single" w:color="000000" w:sz="4" w:space="0"/>
              <w:bottom w:val="single" w:color="000000" w:sz="4" w:space="0"/>
              <w:right w:val="single" w:color="000000" w:sz="4" w:space="0"/>
            </w:tcBorders>
            <w:vAlign w:val="center"/>
          </w:tcPr>
          <w:p w14:paraId="54784294">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3A6C006A">
        <w:tblPrEx>
          <w:tblCellMar>
            <w:top w:w="36" w:type="dxa"/>
            <w:left w:w="107" w:type="dxa"/>
            <w:bottom w:w="0" w:type="dxa"/>
            <w:right w:w="2" w:type="dxa"/>
          </w:tblCellMar>
        </w:tblPrEx>
        <w:trPr>
          <w:trHeight w:val="865" w:hRule="atLeast"/>
          <w:jc w:val="center"/>
        </w:trPr>
        <w:tc>
          <w:tcPr>
            <w:tcW w:w="965" w:type="dxa"/>
            <w:vMerge w:val="continue"/>
            <w:tcBorders>
              <w:top w:val="single" w:color="auto" w:sz="4" w:space="0"/>
              <w:left w:val="single" w:color="auto" w:sz="4" w:space="0"/>
              <w:bottom w:val="single" w:color="auto" w:sz="4" w:space="0"/>
              <w:right w:val="single" w:color="auto" w:sz="4" w:space="0"/>
            </w:tcBorders>
          </w:tcPr>
          <w:p w14:paraId="3CA74E7D">
            <w:pPr>
              <w:tabs>
                <w:tab w:val="left" w:pos="1680"/>
              </w:tabs>
              <w:spacing w:after="160" w:line="259" w:lineRule="auto"/>
              <w:ind w:left="0" w:firstLine="0"/>
              <w:rPr>
                <w:color w:val="auto"/>
                <w:highlight w:val="none"/>
              </w:rPr>
            </w:pPr>
          </w:p>
        </w:tc>
        <w:tc>
          <w:tcPr>
            <w:tcW w:w="1408" w:type="dxa"/>
            <w:tcBorders>
              <w:top w:val="single" w:color="auto" w:sz="4" w:space="0"/>
              <w:left w:val="single" w:color="auto" w:sz="4" w:space="0"/>
              <w:bottom w:val="single" w:color="000000" w:sz="4" w:space="0"/>
              <w:right w:val="single" w:color="000000" w:sz="4" w:space="0"/>
            </w:tcBorders>
            <w:vAlign w:val="center"/>
          </w:tcPr>
          <w:p w14:paraId="2D10BA62">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拨备覆盖率</w:t>
            </w:r>
          </w:p>
          <w:p w14:paraId="460BDC58">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c>
          <w:tcPr>
            <w:tcW w:w="5272" w:type="dxa"/>
            <w:tcBorders>
              <w:top w:val="single" w:color="auto" w:sz="4" w:space="0"/>
              <w:left w:val="single" w:color="000000" w:sz="4" w:space="0"/>
              <w:bottom w:val="single" w:color="000000" w:sz="4" w:space="0"/>
              <w:right w:val="single" w:color="000000" w:sz="4" w:space="0"/>
            </w:tcBorders>
            <w:vAlign w:val="center"/>
          </w:tcPr>
          <w:p w14:paraId="224B150D">
            <w:pPr>
              <w:tabs>
                <w:tab w:val="left" w:pos="1680"/>
              </w:tabs>
              <w:spacing w:after="0" w:line="259" w:lineRule="auto"/>
              <w:ind w:left="10" w:leftChars="0" w:right="124" w:rightChars="59" w:hanging="10" w:hangingChars="5"/>
              <w:jc w:val="left"/>
              <w:rPr>
                <w:color w:val="auto"/>
                <w:sz w:val="21"/>
                <w:highlight w:val="none"/>
              </w:rPr>
            </w:pPr>
            <w:r>
              <w:rPr>
                <w:rFonts w:hint="eastAsia"/>
                <w:color w:val="auto"/>
                <w:sz w:val="21"/>
                <w:highlight w:val="none"/>
              </w:rPr>
              <w:t>总行拨备覆盖率≥</w:t>
            </w:r>
            <w:r>
              <w:rPr>
                <w:rFonts w:hint="eastAsia"/>
                <w:color w:val="auto"/>
                <w:sz w:val="21"/>
                <w:highlight w:val="none"/>
                <w:lang w:val="en-US" w:eastAsia="zh-CN"/>
              </w:rPr>
              <w:t>22</w:t>
            </w:r>
            <w:r>
              <w:rPr>
                <w:rFonts w:hint="eastAsia"/>
                <w:color w:val="auto"/>
                <w:sz w:val="21"/>
                <w:highlight w:val="none"/>
              </w:rPr>
              <w:t>0%的得</w:t>
            </w:r>
            <w:r>
              <w:rPr>
                <w:rFonts w:hint="eastAsia"/>
                <w:color w:val="auto"/>
                <w:sz w:val="21"/>
                <w:highlight w:val="none"/>
                <w:lang w:val="en-US" w:eastAsia="zh-CN"/>
              </w:rPr>
              <w:t>5</w:t>
            </w:r>
            <w:r>
              <w:rPr>
                <w:rFonts w:hint="eastAsia"/>
                <w:color w:val="auto"/>
                <w:sz w:val="21"/>
                <w:highlight w:val="none"/>
              </w:rPr>
              <w:t>分，每减少</w:t>
            </w:r>
            <w:r>
              <w:rPr>
                <w:rFonts w:hint="eastAsia"/>
                <w:color w:val="auto"/>
                <w:sz w:val="21"/>
                <w:highlight w:val="none"/>
                <w:lang w:val="en-US" w:eastAsia="zh-CN"/>
              </w:rPr>
              <w:t>50</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w:t>
            </w:r>
            <w:r>
              <w:rPr>
                <w:rFonts w:hint="eastAsia"/>
                <w:color w:val="auto"/>
                <w:sz w:val="21"/>
                <w:highlight w:val="none"/>
                <w:lang w:val="en-US" w:eastAsia="zh-CN"/>
              </w:rPr>
              <w:t>50</w:t>
            </w:r>
            <w:r>
              <w:rPr>
                <w:rFonts w:hint="eastAsia"/>
                <w:color w:val="auto"/>
                <w:sz w:val="21"/>
                <w:highlight w:val="none"/>
              </w:rPr>
              <w:t>%部分按</w:t>
            </w:r>
            <w:r>
              <w:rPr>
                <w:rFonts w:hint="eastAsia"/>
                <w:color w:val="auto"/>
                <w:sz w:val="21"/>
                <w:highlight w:val="none"/>
                <w:lang w:val="en-US" w:eastAsia="zh-CN"/>
              </w:rPr>
              <w:t>50</w:t>
            </w:r>
            <w:r>
              <w:rPr>
                <w:rFonts w:hint="eastAsia"/>
                <w:color w:val="auto"/>
                <w:sz w:val="21"/>
                <w:highlight w:val="none"/>
              </w:rPr>
              <w:t>%计算），扣完为止。</w:t>
            </w:r>
          </w:p>
          <w:p w14:paraId="05C7B728">
            <w:pPr>
              <w:tabs>
                <w:tab w:val="left" w:pos="1680"/>
              </w:tabs>
              <w:spacing w:after="0" w:line="259" w:lineRule="auto"/>
              <w:ind w:left="10" w:leftChars="0" w:right="124" w:rightChars="59" w:hanging="10" w:hangingChars="5"/>
              <w:jc w:val="left"/>
              <w:rPr>
                <w:rFonts w:hint="eastAsia"/>
                <w:color w:val="auto"/>
                <w:sz w:val="21"/>
                <w:highlight w:val="none"/>
                <w:lang w:val="en-US" w:eastAsia="zh-CN"/>
              </w:rPr>
            </w:pPr>
            <w:r>
              <w:rPr>
                <w:color w:val="auto"/>
                <w:sz w:val="21"/>
                <w:highlight w:val="none"/>
              </w:rPr>
              <w:t>投标文件中提供</w:t>
            </w:r>
            <w:r>
              <w:rPr>
                <w:rFonts w:hint="eastAsia"/>
                <w:color w:val="auto"/>
                <w:sz w:val="21"/>
                <w:highlight w:val="none"/>
                <w:lang w:eastAsia="zh-CN"/>
              </w:rPr>
              <w:t>202</w:t>
            </w:r>
            <w:r>
              <w:rPr>
                <w:rFonts w:hint="eastAsia"/>
                <w:color w:val="auto"/>
                <w:sz w:val="21"/>
                <w:highlight w:val="none"/>
                <w:lang w:val="en-US" w:eastAsia="zh-CN"/>
              </w:rPr>
              <w:t>4</w:t>
            </w:r>
            <w:r>
              <w:rPr>
                <w:rFonts w:hint="eastAsia"/>
                <w:color w:val="auto"/>
                <w:sz w:val="21"/>
                <w:highlight w:val="none"/>
                <w:lang w:eastAsia="zh-CN"/>
              </w:rPr>
              <w:t>年</w:t>
            </w:r>
            <w:r>
              <w:rPr>
                <w:color w:val="auto"/>
                <w:sz w:val="21"/>
                <w:highlight w:val="none"/>
              </w:rPr>
              <w:t>年报数据证明材料。</w:t>
            </w:r>
          </w:p>
        </w:tc>
        <w:tc>
          <w:tcPr>
            <w:tcW w:w="1040" w:type="dxa"/>
            <w:tcBorders>
              <w:top w:val="single" w:color="auto" w:sz="4" w:space="0"/>
              <w:left w:val="single" w:color="000000" w:sz="4" w:space="0"/>
              <w:bottom w:val="single" w:color="000000" w:sz="4" w:space="0"/>
              <w:right w:val="single" w:color="000000" w:sz="4" w:space="0"/>
            </w:tcBorders>
            <w:vAlign w:val="center"/>
          </w:tcPr>
          <w:p w14:paraId="70EAE171">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4F35FEFD">
        <w:tblPrEx>
          <w:tblCellMar>
            <w:top w:w="36" w:type="dxa"/>
            <w:left w:w="107" w:type="dxa"/>
            <w:bottom w:w="0" w:type="dxa"/>
            <w:right w:w="2" w:type="dxa"/>
          </w:tblCellMar>
        </w:tblPrEx>
        <w:trPr>
          <w:trHeight w:val="865" w:hRule="atLeast"/>
          <w:jc w:val="center"/>
        </w:trPr>
        <w:tc>
          <w:tcPr>
            <w:tcW w:w="965" w:type="dxa"/>
            <w:vMerge w:val="continue"/>
            <w:tcBorders>
              <w:top w:val="single" w:color="auto" w:sz="4" w:space="0"/>
              <w:left w:val="single" w:color="auto" w:sz="4" w:space="0"/>
              <w:bottom w:val="single" w:color="auto" w:sz="4" w:space="0"/>
              <w:right w:val="single" w:color="auto" w:sz="4" w:space="0"/>
            </w:tcBorders>
          </w:tcPr>
          <w:p w14:paraId="418EF8A2">
            <w:pPr>
              <w:tabs>
                <w:tab w:val="left" w:pos="1680"/>
              </w:tabs>
              <w:spacing w:after="160" w:line="259" w:lineRule="auto"/>
              <w:ind w:left="0" w:firstLine="0"/>
              <w:rPr>
                <w:color w:val="auto"/>
                <w:highlight w:val="none"/>
              </w:rPr>
            </w:pPr>
          </w:p>
        </w:tc>
        <w:tc>
          <w:tcPr>
            <w:tcW w:w="1408" w:type="dxa"/>
            <w:tcBorders>
              <w:top w:val="single" w:color="auto" w:sz="4" w:space="0"/>
              <w:left w:val="single" w:color="auto" w:sz="4" w:space="0"/>
              <w:bottom w:val="single" w:color="000000" w:sz="4" w:space="0"/>
              <w:right w:val="single" w:color="000000" w:sz="4" w:space="0"/>
            </w:tcBorders>
            <w:vAlign w:val="center"/>
          </w:tcPr>
          <w:p w14:paraId="03D91AD6">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流动性比率（本外币）</w:t>
            </w:r>
          </w:p>
          <w:p w14:paraId="75FEDE85">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c>
          <w:tcPr>
            <w:tcW w:w="5272" w:type="dxa"/>
            <w:tcBorders>
              <w:top w:val="single" w:color="auto" w:sz="4" w:space="0"/>
              <w:left w:val="single" w:color="000000" w:sz="4" w:space="0"/>
              <w:bottom w:val="single" w:color="000000" w:sz="4" w:space="0"/>
              <w:right w:val="single" w:color="000000" w:sz="4" w:space="0"/>
            </w:tcBorders>
            <w:vAlign w:val="center"/>
          </w:tcPr>
          <w:p w14:paraId="583C2567">
            <w:pPr>
              <w:tabs>
                <w:tab w:val="left" w:pos="1680"/>
              </w:tabs>
              <w:spacing w:after="0" w:line="259" w:lineRule="auto"/>
              <w:ind w:left="10" w:leftChars="0" w:right="124" w:rightChars="59" w:hanging="10" w:hangingChars="5"/>
              <w:jc w:val="left"/>
              <w:rPr>
                <w:color w:val="auto"/>
                <w:sz w:val="21"/>
                <w:highlight w:val="none"/>
              </w:rPr>
            </w:pPr>
            <w:r>
              <w:rPr>
                <w:rFonts w:hint="eastAsia"/>
                <w:color w:val="auto"/>
                <w:sz w:val="21"/>
                <w:highlight w:val="none"/>
              </w:rPr>
              <w:t>总行流动性比</w:t>
            </w:r>
            <w:r>
              <w:rPr>
                <w:rFonts w:hint="eastAsia"/>
                <w:color w:val="auto"/>
                <w:sz w:val="21"/>
                <w:highlight w:val="none"/>
                <w:lang w:eastAsia="zh-CN"/>
              </w:rPr>
              <w:t>率（</w:t>
            </w:r>
            <w:r>
              <w:rPr>
                <w:rFonts w:hint="eastAsia"/>
                <w:color w:val="auto"/>
                <w:sz w:val="21"/>
                <w:highlight w:val="none"/>
                <w:lang w:val="en-US" w:eastAsia="zh-CN"/>
              </w:rPr>
              <w:t>本外币</w:t>
            </w:r>
            <w:r>
              <w:rPr>
                <w:rFonts w:hint="eastAsia"/>
                <w:color w:val="auto"/>
                <w:sz w:val="21"/>
                <w:highlight w:val="none"/>
                <w:lang w:eastAsia="zh-CN"/>
              </w:rPr>
              <w:t>）</w:t>
            </w:r>
            <w:r>
              <w:rPr>
                <w:rFonts w:hint="eastAsia"/>
                <w:color w:val="auto"/>
                <w:sz w:val="21"/>
                <w:highlight w:val="none"/>
              </w:rPr>
              <w:t>≥</w:t>
            </w:r>
            <w:r>
              <w:rPr>
                <w:rFonts w:hint="eastAsia"/>
                <w:color w:val="auto"/>
                <w:sz w:val="21"/>
                <w:highlight w:val="none"/>
                <w:lang w:val="en-US" w:eastAsia="zh-CN"/>
              </w:rPr>
              <w:t>60</w:t>
            </w:r>
            <w:r>
              <w:rPr>
                <w:rFonts w:hint="eastAsia"/>
                <w:color w:val="auto"/>
                <w:sz w:val="21"/>
                <w:highlight w:val="none"/>
              </w:rPr>
              <w:t>%得</w:t>
            </w:r>
            <w:r>
              <w:rPr>
                <w:rFonts w:hint="eastAsia"/>
                <w:color w:val="auto"/>
                <w:sz w:val="21"/>
                <w:highlight w:val="none"/>
                <w:lang w:val="en-US" w:eastAsia="zh-CN"/>
              </w:rPr>
              <w:t>5</w:t>
            </w:r>
            <w:r>
              <w:rPr>
                <w:rFonts w:hint="eastAsia"/>
                <w:color w:val="auto"/>
                <w:sz w:val="21"/>
                <w:highlight w:val="none"/>
              </w:rPr>
              <w:t>分，每减少</w:t>
            </w:r>
            <w:r>
              <w:rPr>
                <w:rFonts w:hint="eastAsia"/>
                <w:color w:val="auto"/>
                <w:sz w:val="21"/>
                <w:highlight w:val="none"/>
                <w:lang w:val="en-US" w:eastAsia="zh-CN"/>
              </w:rPr>
              <w:t>5</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w:t>
            </w:r>
            <w:r>
              <w:rPr>
                <w:rFonts w:hint="eastAsia"/>
                <w:color w:val="auto"/>
                <w:sz w:val="21"/>
                <w:highlight w:val="none"/>
                <w:lang w:val="en-US" w:eastAsia="zh-CN"/>
              </w:rPr>
              <w:t>5</w:t>
            </w:r>
            <w:r>
              <w:rPr>
                <w:rFonts w:hint="eastAsia"/>
                <w:color w:val="auto"/>
                <w:sz w:val="21"/>
                <w:highlight w:val="none"/>
              </w:rPr>
              <w:t>%部分按</w:t>
            </w:r>
            <w:r>
              <w:rPr>
                <w:rFonts w:hint="eastAsia"/>
                <w:color w:val="auto"/>
                <w:sz w:val="21"/>
                <w:highlight w:val="none"/>
                <w:lang w:val="en-US" w:eastAsia="zh-CN"/>
              </w:rPr>
              <w:t>5</w:t>
            </w:r>
            <w:r>
              <w:rPr>
                <w:rFonts w:hint="eastAsia"/>
                <w:color w:val="auto"/>
                <w:sz w:val="21"/>
                <w:highlight w:val="none"/>
              </w:rPr>
              <w:t>%计算），扣完为止</w:t>
            </w:r>
            <w:r>
              <w:rPr>
                <w:color w:val="auto"/>
                <w:sz w:val="21"/>
                <w:highlight w:val="none"/>
              </w:rPr>
              <w:t>。</w:t>
            </w:r>
          </w:p>
          <w:p w14:paraId="628D5BB4">
            <w:pPr>
              <w:tabs>
                <w:tab w:val="left" w:pos="1680"/>
              </w:tabs>
              <w:spacing w:after="0" w:line="259" w:lineRule="auto"/>
              <w:ind w:left="10" w:leftChars="0" w:right="124" w:rightChars="59" w:hanging="10" w:hangingChars="5"/>
              <w:jc w:val="left"/>
              <w:rPr>
                <w:rFonts w:hint="eastAsia"/>
                <w:color w:val="auto"/>
                <w:sz w:val="21"/>
                <w:highlight w:val="none"/>
                <w:lang w:val="en-US" w:eastAsia="zh-CN"/>
              </w:rPr>
            </w:pPr>
            <w:r>
              <w:rPr>
                <w:color w:val="auto"/>
                <w:sz w:val="21"/>
                <w:highlight w:val="none"/>
              </w:rPr>
              <w:t>投标文件中提供</w:t>
            </w:r>
            <w:r>
              <w:rPr>
                <w:rFonts w:hint="eastAsia"/>
                <w:color w:val="auto"/>
                <w:sz w:val="21"/>
                <w:highlight w:val="none"/>
                <w:lang w:eastAsia="zh-CN"/>
              </w:rPr>
              <w:t>202</w:t>
            </w:r>
            <w:r>
              <w:rPr>
                <w:rFonts w:hint="eastAsia"/>
                <w:color w:val="auto"/>
                <w:sz w:val="21"/>
                <w:highlight w:val="none"/>
                <w:lang w:val="en-US" w:eastAsia="zh-CN"/>
              </w:rPr>
              <w:t>4</w:t>
            </w:r>
            <w:r>
              <w:rPr>
                <w:rFonts w:hint="eastAsia"/>
                <w:color w:val="auto"/>
                <w:sz w:val="21"/>
                <w:highlight w:val="none"/>
                <w:lang w:eastAsia="zh-CN"/>
              </w:rPr>
              <w:t>年</w:t>
            </w:r>
            <w:r>
              <w:rPr>
                <w:color w:val="auto"/>
                <w:sz w:val="21"/>
                <w:highlight w:val="none"/>
              </w:rPr>
              <w:t>年报数据证明材料。</w:t>
            </w:r>
          </w:p>
        </w:tc>
        <w:tc>
          <w:tcPr>
            <w:tcW w:w="1040" w:type="dxa"/>
            <w:tcBorders>
              <w:top w:val="single" w:color="auto" w:sz="4" w:space="0"/>
              <w:left w:val="single" w:color="000000" w:sz="4" w:space="0"/>
              <w:bottom w:val="single" w:color="000000" w:sz="4" w:space="0"/>
              <w:right w:val="single" w:color="000000" w:sz="4" w:space="0"/>
            </w:tcBorders>
            <w:vAlign w:val="center"/>
          </w:tcPr>
          <w:p w14:paraId="59DA3E18">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0A2B526E">
        <w:tblPrEx>
          <w:tblCellMar>
            <w:top w:w="36" w:type="dxa"/>
            <w:left w:w="107" w:type="dxa"/>
            <w:bottom w:w="0" w:type="dxa"/>
            <w:right w:w="2" w:type="dxa"/>
          </w:tblCellMar>
        </w:tblPrEx>
        <w:trPr>
          <w:trHeight w:val="1258" w:hRule="atLeast"/>
          <w:jc w:val="center"/>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2A2C7D8E">
            <w:pPr>
              <w:tabs>
                <w:tab w:val="left" w:pos="1680"/>
              </w:tabs>
              <w:spacing w:after="2" w:line="239" w:lineRule="auto"/>
              <w:ind w:left="0" w:right="16" w:firstLine="0"/>
              <w:jc w:val="center"/>
              <w:rPr>
                <w:color w:val="auto"/>
                <w:highlight w:val="none"/>
              </w:rPr>
            </w:pPr>
            <w:r>
              <w:rPr>
                <w:color w:val="auto"/>
                <w:sz w:val="21"/>
                <w:highlight w:val="none"/>
              </w:rPr>
              <w:t>经济贡献度</w:t>
            </w:r>
          </w:p>
          <w:p w14:paraId="12D0D46A">
            <w:pPr>
              <w:tabs>
                <w:tab w:val="left" w:pos="1680"/>
              </w:tabs>
              <w:spacing w:after="0" w:line="259" w:lineRule="auto"/>
              <w:ind w:left="1" w:firstLine="0"/>
              <w:jc w:val="center"/>
              <w:rPr>
                <w:color w:val="auto"/>
                <w:highlight w:val="none"/>
              </w:rPr>
            </w:pPr>
            <w:r>
              <w:rPr>
                <w:color w:val="auto"/>
                <w:sz w:val="21"/>
                <w:highlight w:val="none"/>
              </w:rPr>
              <w:t>（</w:t>
            </w:r>
            <w:r>
              <w:rPr>
                <w:rFonts w:hint="eastAsia"/>
                <w:color w:val="auto"/>
                <w:sz w:val="21"/>
                <w:highlight w:val="none"/>
                <w:lang w:val="en-US" w:eastAsia="zh-CN"/>
              </w:rPr>
              <w:t>50</w:t>
            </w:r>
            <w:r>
              <w:rPr>
                <w:color w:val="auto"/>
                <w:sz w:val="21"/>
                <w:highlight w:val="none"/>
              </w:rPr>
              <w:t>分）</w:t>
            </w:r>
          </w:p>
        </w:tc>
        <w:tc>
          <w:tcPr>
            <w:tcW w:w="1408" w:type="dxa"/>
            <w:tcBorders>
              <w:top w:val="single" w:color="000000" w:sz="4" w:space="0"/>
              <w:left w:val="single" w:color="auto" w:sz="4" w:space="0"/>
              <w:right w:val="single" w:color="auto" w:sz="4" w:space="0"/>
            </w:tcBorders>
            <w:vAlign w:val="center"/>
          </w:tcPr>
          <w:p w14:paraId="49120C3E">
            <w:pPr>
              <w:widowControl/>
              <w:tabs>
                <w:tab w:val="left" w:pos="1680"/>
              </w:tabs>
              <w:jc w:val="center"/>
              <w:textAlignment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纳税总额</w:t>
            </w:r>
          </w:p>
          <w:p w14:paraId="346DFE48">
            <w:pPr>
              <w:widowControl/>
              <w:tabs>
                <w:tab w:val="left" w:pos="1680"/>
              </w:tabs>
              <w:jc w:val="center"/>
              <w:textAlignment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（10）</w:t>
            </w:r>
          </w:p>
        </w:tc>
        <w:tc>
          <w:tcPr>
            <w:tcW w:w="5272" w:type="dxa"/>
            <w:tcBorders>
              <w:top w:val="single" w:color="auto" w:sz="4" w:space="0"/>
              <w:left w:val="single" w:color="auto" w:sz="4" w:space="0"/>
              <w:right w:val="single" w:color="auto" w:sz="4" w:space="0"/>
            </w:tcBorders>
            <w:vAlign w:val="center"/>
          </w:tcPr>
          <w:p w14:paraId="526754B2">
            <w:pPr>
              <w:tabs>
                <w:tab w:val="left" w:pos="1680"/>
              </w:tabs>
              <w:spacing w:after="0" w:line="259" w:lineRule="auto"/>
              <w:ind w:left="0" w:leftChars="0" w:firstLine="0" w:firstLineChars="0"/>
              <w:jc w:val="both"/>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bidi="ar"/>
              </w:rPr>
              <w:t>根据投标人</w:t>
            </w:r>
            <w:r>
              <w:rPr>
                <w:rFonts w:hint="eastAsia" w:ascii="宋体" w:hAnsi="宋体" w:cs="宋体"/>
                <w:color w:val="auto"/>
                <w:kern w:val="0"/>
                <w:szCs w:val="21"/>
                <w:highlight w:val="none"/>
                <w:lang w:eastAsia="zh-CN" w:bidi="ar"/>
              </w:rPr>
              <w:t>202</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eastAsia="zh-CN" w:bidi="ar"/>
              </w:rPr>
              <w:t>年</w:t>
            </w:r>
            <w:r>
              <w:rPr>
                <w:rFonts w:hint="eastAsia" w:ascii="宋体" w:hAnsi="宋体" w:cs="宋体"/>
                <w:color w:val="auto"/>
                <w:kern w:val="0"/>
                <w:szCs w:val="21"/>
                <w:highlight w:val="none"/>
                <w:lang w:bidi="ar"/>
              </w:rPr>
              <w:t>在高新区范围内入库的纳税总额进行横向比较，总额第</w:t>
            </w:r>
            <w:r>
              <w:rPr>
                <w:rFonts w:hint="eastAsia" w:ascii="宋体" w:hAnsi="宋体" w:cs="宋体"/>
                <w:color w:val="auto"/>
                <w:kern w:val="0"/>
                <w:szCs w:val="21"/>
                <w:highlight w:val="none"/>
                <w:lang w:val="en-US" w:eastAsia="zh-CN" w:bidi="ar"/>
              </w:rPr>
              <w:t>1-3</w:t>
            </w:r>
            <w:r>
              <w:rPr>
                <w:rFonts w:hint="eastAsia" w:ascii="宋体" w:hAnsi="宋体" w:cs="宋体"/>
                <w:color w:val="auto"/>
                <w:kern w:val="0"/>
                <w:szCs w:val="21"/>
                <w:highlight w:val="none"/>
                <w:lang w:bidi="ar"/>
              </w:rPr>
              <w:t>名得</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分，第</w:t>
            </w:r>
            <w:r>
              <w:rPr>
                <w:rFonts w:hint="eastAsia" w:ascii="宋体" w:hAnsi="宋体" w:cs="宋体"/>
                <w:color w:val="auto"/>
                <w:kern w:val="0"/>
                <w:szCs w:val="21"/>
                <w:highlight w:val="none"/>
                <w:lang w:val="en-US" w:eastAsia="zh-CN" w:bidi="ar"/>
              </w:rPr>
              <w:t>4-6</w:t>
            </w:r>
            <w:r>
              <w:rPr>
                <w:rFonts w:hint="eastAsia" w:ascii="宋体" w:hAnsi="宋体" w:cs="宋体"/>
                <w:color w:val="auto"/>
                <w:kern w:val="0"/>
                <w:szCs w:val="21"/>
                <w:highlight w:val="none"/>
                <w:lang w:bidi="ar"/>
              </w:rPr>
              <w:t>名</w:t>
            </w:r>
            <w:r>
              <w:rPr>
                <w:rFonts w:hint="eastAsia" w:ascii="宋体" w:hAnsi="宋体" w:cs="宋体"/>
                <w:color w:val="auto"/>
                <w:kern w:val="0"/>
                <w:szCs w:val="21"/>
                <w:highlight w:val="none"/>
                <w:lang w:val="en-US" w:eastAsia="zh-CN" w:bidi="ar"/>
              </w:rPr>
              <w:t>9.5</w:t>
            </w:r>
            <w:r>
              <w:rPr>
                <w:rFonts w:hint="eastAsia" w:ascii="宋体" w:hAnsi="宋体" w:cs="宋体"/>
                <w:color w:val="auto"/>
                <w:kern w:val="0"/>
                <w:szCs w:val="21"/>
                <w:highlight w:val="none"/>
                <w:lang w:bidi="ar"/>
              </w:rPr>
              <w:t>分，第</w:t>
            </w:r>
            <w:r>
              <w:rPr>
                <w:rFonts w:hint="eastAsia" w:ascii="宋体" w:hAnsi="宋体" w:cs="宋体"/>
                <w:color w:val="auto"/>
                <w:kern w:val="0"/>
                <w:szCs w:val="21"/>
                <w:highlight w:val="none"/>
                <w:lang w:val="en-US" w:eastAsia="zh-CN" w:bidi="ar"/>
              </w:rPr>
              <w:t>7-9</w:t>
            </w:r>
            <w:r>
              <w:rPr>
                <w:rFonts w:hint="eastAsia" w:ascii="宋体" w:hAnsi="宋体" w:cs="宋体"/>
                <w:color w:val="auto"/>
                <w:kern w:val="0"/>
                <w:szCs w:val="21"/>
                <w:highlight w:val="none"/>
                <w:lang w:bidi="ar"/>
              </w:rPr>
              <w:t>名得</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cs="宋体"/>
                <w:color w:val="auto"/>
                <w:kern w:val="0"/>
                <w:szCs w:val="21"/>
                <w:highlight w:val="none"/>
                <w:lang w:bidi="ar"/>
              </w:rPr>
              <w:t>。</w:t>
            </w:r>
            <w:r>
              <w:rPr>
                <w:rFonts w:hint="eastAsia" w:ascii="宋体" w:hAnsi="宋体" w:eastAsia="宋体" w:cs="宋体"/>
                <w:color w:val="auto"/>
                <w:kern w:val="0"/>
                <w:szCs w:val="21"/>
                <w:highlight w:val="none"/>
              </w:rPr>
              <w:t>提供</w:t>
            </w:r>
            <w:r>
              <w:rPr>
                <w:rFonts w:hint="eastAsia" w:ascii="宋体" w:hAnsi="宋体" w:cs="宋体"/>
                <w:color w:val="auto"/>
                <w:kern w:val="0"/>
                <w:szCs w:val="21"/>
                <w:highlight w:val="none"/>
                <w:lang w:eastAsia="zh-CN" w:bidi="ar"/>
              </w:rPr>
              <w:t>202</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eastAsia="zh-CN" w:bidi="ar"/>
              </w:rPr>
              <w:t>年</w:t>
            </w:r>
            <w:r>
              <w:rPr>
                <w:rFonts w:hint="eastAsia" w:ascii="宋体" w:hAnsi="宋体" w:eastAsia="宋体" w:cs="宋体"/>
                <w:color w:val="auto"/>
                <w:kern w:val="0"/>
                <w:szCs w:val="21"/>
                <w:highlight w:val="none"/>
              </w:rPr>
              <w:t>税务部门出具的完（纳）税证明。</w:t>
            </w:r>
          </w:p>
        </w:tc>
        <w:tc>
          <w:tcPr>
            <w:tcW w:w="1040" w:type="dxa"/>
            <w:tcBorders>
              <w:top w:val="single" w:color="auto" w:sz="4" w:space="0"/>
              <w:left w:val="single" w:color="auto" w:sz="4" w:space="0"/>
              <w:bottom w:val="single" w:color="auto" w:sz="4" w:space="0"/>
              <w:right w:val="single" w:color="auto" w:sz="4" w:space="0"/>
            </w:tcBorders>
            <w:vAlign w:val="center"/>
          </w:tcPr>
          <w:p w14:paraId="26C90867">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32CA828A">
        <w:tblPrEx>
          <w:tblCellMar>
            <w:top w:w="36" w:type="dxa"/>
            <w:left w:w="107" w:type="dxa"/>
            <w:bottom w:w="0" w:type="dxa"/>
            <w:right w:w="2" w:type="dxa"/>
          </w:tblCellMar>
        </w:tblPrEx>
        <w:trPr>
          <w:trHeight w:val="758" w:hRule="atLeast"/>
          <w:jc w:val="center"/>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6EFB171B">
            <w:pPr>
              <w:tabs>
                <w:tab w:val="left" w:pos="1680"/>
              </w:tabs>
              <w:spacing w:after="0" w:line="259" w:lineRule="auto"/>
              <w:ind w:left="1" w:firstLine="0"/>
              <w:jc w:val="both"/>
              <w:rPr>
                <w:color w:val="auto"/>
                <w:highlight w:val="none"/>
              </w:rPr>
            </w:pPr>
          </w:p>
        </w:tc>
        <w:tc>
          <w:tcPr>
            <w:tcW w:w="1408" w:type="dxa"/>
            <w:tcBorders>
              <w:top w:val="single" w:color="000000" w:sz="4" w:space="0"/>
              <w:left w:val="single" w:color="auto" w:sz="4" w:space="0"/>
              <w:bottom w:val="single" w:color="000000" w:sz="4" w:space="0"/>
              <w:right w:val="single" w:color="000000" w:sz="4" w:space="0"/>
            </w:tcBorders>
            <w:vAlign w:val="center"/>
          </w:tcPr>
          <w:p w14:paraId="040CFEF4">
            <w:pPr>
              <w:widowControl/>
              <w:tabs>
                <w:tab w:val="left" w:pos="1680"/>
              </w:tabs>
              <w:ind w:left="104" w:leftChars="0" w:hanging="10" w:firstLineChars="0"/>
              <w:jc w:val="center"/>
              <w:rPr>
                <w:color w:val="auto"/>
                <w:highlight w:val="none"/>
              </w:rPr>
            </w:pPr>
            <w:r>
              <w:rPr>
                <w:rFonts w:hint="eastAsia" w:cs="宋体" w:asciiTheme="minorEastAsia" w:hAnsiTheme="minorEastAsia" w:eastAsiaTheme="minorEastAsia"/>
                <w:color w:val="auto"/>
                <w:kern w:val="0"/>
                <w:szCs w:val="21"/>
                <w:highlight w:val="none"/>
              </w:rPr>
              <w:t>支持高新区企业贷款总额（10分）</w:t>
            </w:r>
          </w:p>
        </w:tc>
        <w:tc>
          <w:tcPr>
            <w:tcW w:w="5272" w:type="dxa"/>
            <w:tcBorders>
              <w:top w:val="single" w:color="auto" w:sz="4" w:space="0"/>
              <w:left w:val="single" w:color="000000" w:sz="4" w:space="0"/>
              <w:bottom w:val="single" w:color="000000" w:sz="4" w:space="0"/>
              <w:right w:val="single" w:color="000000" w:sz="4" w:space="0"/>
            </w:tcBorders>
            <w:vAlign w:val="center"/>
          </w:tcPr>
          <w:p w14:paraId="376827D3">
            <w:pPr>
              <w:tabs>
                <w:tab w:val="left" w:pos="1680"/>
              </w:tabs>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根据申报并经审核后</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年</w:t>
            </w:r>
            <w:r>
              <w:rPr>
                <w:rFonts w:hint="eastAsia" w:ascii="宋体" w:hAnsi="宋体" w:eastAsia="宋体" w:cs="宋体"/>
                <w:color w:val="auto"/>
                <w:kern w:val="0"/>
                <w:szCs w:val="21"/>
                <w:highlight w:val="none"/>
              </w:rPr>
              <w:t>底区内企业贷款余额规模情况进行横向比较，总额第</w:t>
            </w:r>
            <w:r>
              <w:rPr>
                <w:rFonts w:hint="eastAsia" w:ascii="宋体" w:hAnsi="宋体" w:cs="宋体"/>
                <w:color w:val="auto"/>
                <w:kern w:val="0"/>
                <w:szCs w:val="21"/>
                <w:highlight w:val="none"/>
                <w:lang w:val="en-US" w:eastAsia="zh-CN"/>
              </w:rPr>
              <w:t>1-3</w:t>
            </w:r>
            <w:r>
              <w:rPr>
                <w:rFonts w:hint="eastAsia" w:ascii="宋体" w:hAnsi="宋体" w:eastAsia="宋体" w:cs="宋体"/>
                <w:color w:val="auto"/>
                <w:kern w:val="0"/>
                <w:szCs w:val="21"/>
                <w:highlight w:val="none"/>
              </w:rPr>
              <w:t>名得10分，第</w:t>
            </w:r>
            <w:r>
              <w:rPr>
                <w:rFonts w:hint="eastAsia" w:ascii="宋体" w:hAnsi="宋体" w:cs="宋体"/>
                <w:color w:val="auto"/>
                <w:kern w:val="0"/>
                <w:szCs w:val="21"/>
                <w:highlight w:val="none"/>
                <w:lang w:val="en-US" w:eastAsia="zh-CN"/>
              </w:rPr>
              <w:t>4-6</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9.5</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7-9</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eastAsia="宋体" w:cs="宋体"/>
                <w:color w:val="auto"/>
                <w:kern w:val="0"/>
                <w:szCs w:val="21"/>
                <w:highlight w:val="none"/>
              </w:rPr>
              <w:t>。</w:t>
            </w:r>
          </w:p>
        </w:tc>
        <w:tc>
          <w:tcPr>
            <w:tcW w:w="1040" w:type="dxa"/>
            <w:tcBorders>
              <w:top w:val="single" w:color="auto" w:sz="4" w:space="0"/>
              <w:left w:val="single" w:color="000000" w:sz="4" w:space="0"/>
              <w:bottom w:val="single" w:color="000000" w:sz="4" w:space="0"/>
              <w:right w:val="single" w:color="000000" w:sz="4" w:space="0"/>
            </w:tcBorders>
            <w:vAlign w:val="center"/>
          </w:tcPr>
          <w:p w14:paraId="6CD0A7D2">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4ACC368D">
        <w:tblPrEx>
          <w:tblCellMar>
            <w:top w:w="36" w:type="dxa"/>
            <w:left w:w="107" w:type="dxa"/>
            <w:bottom w:w="0" w:type="dxa"/>
            <w:right w:w="2" w:type="dxa"/>
          </w:tblCellMar>
        </w:tblPrEx>
        <w:trPr>
          <w:trHeight w:val="90" w:hRule="atLeast"/>
          <w:jc w:val="center"/>
        </w:trPr>
        <w:tc>
          <w:tcPr>
            <w:tcW w:w="965" w:type="dxa"/>
            <w:vMerge w:val="continue"/>
            <w:tcBorders>
              <w:top w:val="single" w:color="auto" w:sz="4" w:space="0"/>
              <w:left w:val="single" w:color="auto" w:sz="4" w:space="0"/>
              <w:bottom w:val="single" w:color="auto" w:sz="4" w:space="0"/>
              <w:right w:val="single" w:color="auto" w:sz="4" w:space="0"/>
            </w:tcBorders>
          </w:tcPr>
          <w:p w14:paraId="7BF7ED48">
            <w:pPr>
              <w:tabs>
                <w:tab w:val="left" w:pos="1680"/>
              </w:tabs>
              <w:spacing w:after="160" w:line="259" w:lineRule="auto"/>
              <w:ind w:left="0" w:firstLine="0"/>
              <w:rPr>
                <w:color w:val="auto"/>
                <w:highlight w:val="none"/>
              </w:rPr>
            </w:pPr>
          </w:p>
        </w:tc>
        <w:tc>
          <w:tcPr>
            <w:tcW w:w="1408" w:type="dxa"/>
            <w:tcBorders>
              <w:top w:val="single" w:color="000000" w:sz="4" w:space="0"/>
              <w:left w:val="single" w:color="auto" w:sz="4" w:space="0"/>
              <w:bottom w:val="single" w:color="000000" w:sz="4" w:space="0"/>
              <w:right w:val="single" w:color="000000" w:sz="4" w:space="0"/>
            </w:tcBorders>
            <w:vAlign w:val="center"/>
          </w:tcPr>
          <w:p w14:paraId="1ED91234">
            <w:pPr>
              <w:widowControl/>
              <w:tabs>
                <w:tab w:val="left" w:pos="1680"/>
              </w:tabs>
              <w:ind w:left="0" w:leftChars="0" w:firstLine="0" w:firstLineChars="0"/>
              <w:jc w:val="both"/>
              <w:rPr>
                <w:color w:val="auto"/>
                <w:highlight w:val="none"/>
              </w:rPr>
            </w:pPr>
            <w:r>
              <w:rPr>
                <w:rFonts w:hint="eastAsia" w:cs="宋体" w:asciiTheme="minorEastAsia" w:hAnsiTheme="minorEastAsia" w:eastAsiaTheme="minorEastAsia"/>
                <w:color w:val="auto"/>
                <w:kern w:val="0"/>
                <w:szCs w:val="21"/>
                <w:highlight w:val="none"/>
              </w:rPr>
              <w:t>宁波市政府债券承销情况（</w:t>
            </w:r>
            <w:r>
              <w:rPr>
                <w:rFonts w:hint="eastAsia" w:cs="宋体" w:asciiTheme="minorEastAsia" w:hAnsiTheme="minorEastAsia" w:eastAsiaTheme="minorEastAsia"/>
                <w:color w:val="auto"/>
                <w:kern w:val="0"/>
                <w:szCs w:val="21"/>
                <w:highlight w:val="none"/>
                <w:lang w:val="en-US" w:eastAsia="zh-CN"/>
              </w:rPr>
              <w:t>30</w:t>
            </w:r>
            <w:r>
              <w:rPr>
                <w:rFonts w:hint="eastAsia" w:cs="宋体" w:asciiTheme="minorEastAsia" w:hAnsiTheme="minorEastAsia" w:eastAsiaTheme="minorEastAsia"/>
                <w:color w:val="auto"/>
                <w:kern w:val="0"/>
                <w:szCs w:val="21"/>
                <w:highlight w:val="none"/>
              </w:rPr>
              <w:t>分）</w:t>
            </w:r>
          </w:p>
        </w:tc>
        <w:tc>
          <w:tcPr>
            <w:tcW w:w="5272" w:type="dxa"/>
            <w:tcBorders>
              <w:top w:val="single" w:color="000000" w:sz="4" w:space="0"/>
              <w:left w:val="single" w:color="000000" w:sz="4" w:space="0"/>
              <w:bottom w:val="single" w:color="000000" w:sz="4" w:space="0"/>
              <w:right w:val="single" w:color="000000" w:sz="4" w:space="0"/>
            </w:tcBorders>
            <w:vAlign w:val="center"/>
          </w:tcPr>
          <w:p w14:paraId="11C32DD2">
            <w:pPr>
              <w:widowControl/>
              <w:tabs>
                <w:tab w:val="left" w:pos="1680"/>
              </w:tabs>
              <w:rPr>
                <w:rFonts w:hint="eastAsia"/>
                <w:color w:val="auto"/>
                <w:highlight w:val="none"/>
                <w:lang w:val="en-US" w:eastAsia="zh-CN"/>
              </w:rPr>
            </w:pPr>
            <w:r>
              <w:rPr>
                <w:rFonts w:hint="eastAsia" w:ascii="宋体" w:hAnsi="宋体" w:eastAsia="宋体" w:cs="宋体"/>
                <w:color w:val="auto"/>
                <w:kern w:val="0"/>
                <w:szCs w:val="21"/>
                <w:highlight w:val="none"/>
              </w:rPr>
              <w:t>根据投标人总行或宁波市分行</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年</w:t>
            </w:r>
            <w:r>
              <w:rPr>
                <w:rFonts w:hint="eastAsia" w:ascii="宋体" w:hAnsi="宋体" w:eastAsia="宋体" w:cs="宋体"/>
                <w:color w:val="auto"/>
                <w:kern w:val="0"/>
                <w:szCs w:val="21"/>
                <w:highlight w:val="none"/>
              </w:rPr>
              <w:t>底宁波市政府债券承销余额进行横向比较，总额第</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eastAsia="宋体" w:cs="宋体"/>
                <w:color w:val="auto"/>
                <w:kern w:val="0"/>
                <w:szCs w:val="21"/>
                <w:highlight w:val="none"/>
              </w:rPr>
              <w:t>。以宁波市财政局国库局梳理的各银行机构截止</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年</w:t>
            </w:r>
            <w:r>
              <w:rPr>
                <w:rFonts w:hint="eastAsia" w:ascii="宋体" w:hAnsi="宋体" w:eastAsia="宋体" w:cs="宋体"/>
                <w:color w:val="auto"/>
                <w:kern w:val="0"/>
                <w:szCs w:val="21"/>
                <w:highlight w:val="none"/>
              </w:rPr>
              <w:t>末宁波</w:t>
            </w:r>
            <w:r>
              <w:rPr>
                <w:rFonts w:hint="eastAsia" w:ascii="宋体" w:hAnsi="宋体" w:cs="宋体"/>
                <w:color w:val="auto"/>
                <w:kern w:val="0"/>
                <w:szCs w:val="21"/>
                <w:highlight w:val="none"/>
                <w:lang w:val="en-US" w:eastAsia="zh-CN"/>
              </w:rPr>
              <w:t>公益事业发展债务融资</w:t>
            </w:r>
            <w:r>
              <w:rPr>
                <w:rFonts w:hint="eastAsia" w:ascii="宋体" w:hAnsi="宋体" w:eastAsia="宋体" w:cs="宋体"/>
                <w:color w:val="auto"/>
                <w:kern w:val="0"/>
                <w:szCs w:val="21"/>
                <w:highlight w:val="none"/>
              </w:rPr>
              <w:t>承销余额排名情况为准。</w:t>
            </w:r>
          </w:p>
        </w:tc>
        <w:tc>
          <w:tcPr>
            <w:tcW w:w="1040" w:type="dxa"/>
            <w:tcBorders>
              <w:top w:val="single" w:color="000000" w:sz="4" w:space="0"/>
              <w:left w:val="single" w:color="000000" w:sz="4" w:space="0"/>
              <w:bottom w:val="single" w:color="000000" w:sz="4" w:space="0"/>
              <w:right w:val="single" w:color="000000" w:sz="4" w:space="0"/>
            </w:tcBorders>
            <w:vAlign w:val="center"/>
          </w:tcPr>
          <w:p w14:paraId="1462C96F">
            <w:pPr>
              <w:tabs>
                <w:tab w:val="left" w:pos="1680"/>
              </w:tabs>
              <w:spacing w:after="0" w:line="259" w:lineRule="auto"/>
              <w:ind w:left="0" w:right="104" w:firstLine="0"/>
              <w:jc w:val="center"/>
              <w:rPr>
                <w:rFonts w:hint="default" w:eastAsia="宋体"/>
                <w:color w:val="auto"/>
                <w:sz w:val="21"/>
                <w:highlight w:val="none"/>
                <w:lang w:val="en-US" w:eastAsia="zh-CN"/>
              </w:rPr>
            </w:pPr>
          </w:p>
        </w:tc>
      </w:tr>
      <w:tr w14:paraId="45DCF330">
        <w:tblPrEx>
          <w:tblCellMar>
            <w:top w:w="36" w:type="dxa"/>
            <w:left w:w="107" w:type="dxa"/>
            <w:bottom w:w="0" w:type="dxa"/>
            <w:right w:w="2" w:type="dxa"/>
          </w:tblCellMar>
        </w:tblPrEx>
        <w:trPr>
          <w:trHeight w:val="652" w:hRule="atLeast"/>
          <w:jc w:val="center"/>
        </w:trPr>
        <w:tc>
          <w:tcPr>
            <w:tcW w:w="965" w:type="dxa"/>
            <w:vMerge w:val="restart"/>
            <w:tcBorders>
              <w:top w:val="single" w:color="auto" w:sz="4" w:space="0"/>
              <w:left w:val="single" w:color="000000" w:sz="4" w:space="0"/>
              <w:bottom w:val="single" w:color="auto" w:sz="4" w:space="0"/>
              <w:right w:val="single" w:color="000000" w:sz="4" w:space="0"/>
            </w:tcBorders>
            <w:vAlign w:val="center"/>
          </w:tcPr>
          <w:p w14:paraId="15C11D81">
            <w:pPr>
              <w:tabs>
                <w:tab w:val="left" w:pos="1680"/>
              </w:tabs>
              <w:spacing w:after="2" w:line="239" w:lineRule="auto"/>
              <w:ind w:left="0" w:right="16" w:firstLine="0"/>
              <w:jc w:val="center"/>
              <w:rPr>
                <w:color w:val="auto"/>
                <w:highlight w:val="none"/>
              </w:rPr>
            </w:pPr>
            <w:r>
              <w:rPr>
                <w:color w:val="auto"/>
                <w:sz w:val="21"/>
                <w:highlight w:val="none"/>
              </w:rPr>
              <w:t>管理与服务</w:t>
            </w:r>
          </w:p>
          <w:p w14:paraId="75AF894F">
            <w:pPr>
              <w:tabs>
                <w:tab w:val="left" w:pos="1680"/>
              </w:tabs>
              <w:spacing w:after="0" w:line="259" w:lineRule="auto"/>
              <w:ind w:left="1" w:firstLine="0"/>
              <w:jc w:val="both"/>
              <w:rPr>
                <w:color w:val="auto"/>
                <w:highlight w:val="none"/>
              </w:rPr>
            </w:pPr>
            <w:r>
              <w:rPr>
                <w:color w:val="auto"/>
                <w:sz w:val="21"/>
                <w:highlight w:val="none"/>
              </w:rPr>
              <w:t>（</w:t>
            </w:r>
            <w:r>
              <w:rPr>
                <w:rFonts w:hint="eastAsia"/>
                <w:color w:val="auto"/>
                <w:sz w:val="21"/>
                <w:highlight w:val="none"/>
                <w:lang w:val="en-US" w:eastAsia="zh-CN"/>
              </w:rPr>
              <w:t>18</w:t>
            </w:r>
            <w:r>
              <w:rPr>
                <w:color w:val="auto"/>
                <w:sz w:val="21"/>
                <w:highlight w:val="none"/>
              </w:rPr>
              <w:t>分）</w:t>
            </w:r>
          </w:p>
        </w:tc>
        <w:tc>
          <w:tcPr>
            <w:tcW w:w="1408" w:type="dxa"/>
            <w:tcBorders>
              <w:top w:val="single" w:color="000000" w:sz="4" w:space="0"/>
              <w:left w:val="single" w:color="000000" w:sz="4" w:space="0"/>
              <w:bottom w:val="single" w:color="000000" w:sz="4" w:space="0"/>
              <w:right w:val="single" w:color="000000" w:sz="4" w:space="0"/>
            </w:tcBorders>
            <w:vAlign w:val="center"/>
          </w:tcPr>
          <w:p w14:paraId="33296EC6">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免服务费承诺（5分）</w:t>
            </w:r>
          </w:p>
        </w:tc>
        <w:tc>
          <w:tcPr>
            <w:tcW w:w="5272" w:type="dxa"/>
            <w:tcBorders>
              <w:top w:val="single" w:color="000000" w:sz="4" w:space="0"/>
              <w:left w:val="single" w:color="000000" w:sz="4" w:space="0"/>
              <w:bottom w:val="single" w:color="000000" w:sz="4" w:space="0"/>
              <w:right w:val="single" w:color="000000" w:sz="4" w:space="0"/>
            </w:tcBorders>
            <w:vAlign w:val="center"/>
          </w:tcPr>
          <w:p w14:paraId="2A020ACD">
            <w:pPr>
              <w:tabs>
                <w:tab w:val="left" w:pos="1680"/>
              </w:tabs>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服务费全免得满分5分，未承诺全免的不得分。</w:t>
            </w:r>
          </w:p>
        </w:tc>
        <w:tc>
          <w:tcPr>
            <w:tcW w:w="1040" w:type="dxa"/>
            <w:tcBorders>
              <w:top w:val="single" w:color="000000" w:sz="4" w:space="0"/>
              <w:left w:val="single" w:color="000000" w:sz="4" w:space="0"/>
              <w:bottom w:val="single" w:color="000000" w:sz="4" w:space="0"/>
              <w:right w:val="single" w:color="000000" w:sz="4" w:space="0"/>
            </w:tcBorders>
            <w:vAlign w:val="center"/>
          </w:tcPr>
          <w:p w14:paraId="5D51D604">
            <w:pPr>
              <w:tabs>
                <w:tab w:val="left" w:pos="1680"/>
              </w:tabs>
              <w:spacing w:after="0" w:line="259" w:lineRule="auto"/>
              <w:ind w:left="0" w:right="104" w:firstLine="0"/>
              <w:jc w:val="center"/>
              <w:rPr>
                <w:rFonts w:hint="eastAsia" w:eastAsia="宋体"/>
                <w:color w:val="auto"/>
                <w:sz w:val="21"/>
                <w:highlight w:val="none"/>
                <w:lang w:val="en-US" w:eastAsia="zh-CN"/>
              </w:rPr>
            </w:pPr>
          </w:p>
        </w:tc>
      </w:tr>
      <w:tr w14:paraId="2DFE0D47">
        <w:tblPrEx>
          <w:tblCellMar>
            <w:top w:w="36" w:type="dxa"/>
            <w:left w:w="107" w:type="dxa"/>
            <w:bottom w:w="0" w:type="dxa"/>
            <w:right w:w="2" w:type="dxa"/>
          </w:tblCellMar>
        </w:tblPrEx>
        <w:trPr>
          <w:trHeight w:val="652" w:hRule="atLeast"/>
          <w:jc w:val="center"/>
        </w:trPr>
        <w:tc>
          <w:tcPr>
            <w:tcW w:w="965" w:type="dxa"/>
            <w:vMerge w:val="continue"/>
            <w:tcBorders>
              <w:left w:val="single" w:color="000000" w:sz="4" w:space="0"/>
              <w:right w:val="single" w:color="000000" w:sz="4" w:space="0"/>
            </w:tcBorders>
            <w:vAlign w:val="center"/>
          </w:tcPr>
          <w:p w14:paraId="7BB1656E">
            <w:pPr>
              <w:tabs>
                <w:tab w:val="left" w:pos="1680"/>
              </w:tabs>
              <w:spacing w:after="0" w:line="259" w:lineRule="auto"/>
              <w:ind w:left="1" w:firstLine="0"/>
              <w:jc w:val="both"/>
              <w:rPr>
                <w:color w:val="auto"/>
                <w:sz w:val="21"/>
                <w:highlight w:val="none"/>
              </w:rPr>
            </w:pPr>
          </w:p>
        </w:tc>
        <w:tc>
          <w:tcPr>
            <w:tcW w:w="1408" w:type="dxa"/>
            <w:tcBorders>
              <w:top w:val="single" w:color="000000" w:sz="4" w:space="0"/>
              <w:left w:val="single" w:color="000000" w:sz="4" w:space="0"/>
              <w:right w:val="single" w:color="000000" w:sz="4" w:space="0"/>
            </w:tcBorders>
            <w:vAlign w:val="center"/>
          </w:tcPr>
          <w:p w14:paraId="39B15B9C">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服务方案（8分）</w:t>
            </w:r>
          </w:p>
        </w:tc>
        <w:tc>
          <w:tcPr>
            <w:tcW w:w="5272" w:type="dxa"/>
            <w:tcBorders>
              <w:top w:val="single" w:color="000000" w:sz="4" w:space="0"/>
              <w:left w:val="single" w:color="000000" w:sz="4" w:space="0"/>
              <w:bottom w:val="single" w:color="000000" w:sz="4" w:space="0"/>
              <w:right w:val="single" w:color="000000" w:sz="4" w:space="0"/>
            </w:tcBorders>
            <w:vAlign w:val="center"/>
          </w:tcPr>
          <w:p w14:paraId="13FB3118">
            <w:pPr>
              <w:tabs>
                <w:tab w:val="left" w:pos="1680"/>
              </w:tabs>
              <w:spacing w:after="0" w:line="259" w:lineRule="auto"/>
              <w:ind w:left="0" w:leftChars="0" w:firstLine="0" w:firstLineChars="0"/>
              <w:rPr>
                <w:rFonts w:hint="eastAsia" w:cs="宋体" w:asciiTheme="minorEastAsia" w:hAnsiTheme="minorEastAsia" w:eastAsiaTheme="minorEastAsia"/>
                <w:color w:val="auto"/>
                <w:kern w:val="0"/>
                <w:sz w:val="21"/>
                <w:szCs w:val="21"/>
                <w:highlight w:val="none"/>
                <w:lang w:val="en-US" w:eastAsia="zh-CN" w:bidi="ar-SA"/>
              </w:rPr>
            </w:pPr>
            <w:r>
              <w:rPr>
                <w:color w:val="auto"/>
                <w:sz w:val="21"/>
                <w:highlight w:val="none"/>
              </w:rPr>
              <w:t>根据投标人提供的服务团队，团队人员从业经验、资历配备情况，应急处理方案、安全保障、财务稳健保障与风险控制方案等内容横向比较，酌情打分。（0～</w:t>
            </w:r>
            <w:r>
              <w:rPr>
                <w:rFonts w:hint="eastAsia"/>
                <w:color w:val="auto"/>
                <w:sz w:val="21"/>
                <w:highlight w:val="none"/>
                <w:lang w:val="en-US" w:eastAsia="zh-CN"/>
              </w:rPr>
              <w:t>8</w:t>
            </w:r>
            <w:r>
              <w:rPr>
                <w:color w:val="auto"/>
                <w:sz w:val="21"/>
                <w:highlight w:val="none"/>
              </w:rPr>
              <w:t>分）</w:t>
            </w:r>
          </w:p>
        </w:tc>
        <w:tc>
          <w:tcPr>
            <w:tcW w:w="1040" w:type="dxa"/>
            <w:tcBorders>
              <w:top w:val="single" w:color="000000" w:sz="4" w:space="0"/>
              <w:left w:val="single" w:color="000000" w:sz="4" w:space="0"/>
              <w:bottom w:val="single" w:color="000000" w:sz="4" w:space="0"/>
              <w:right w:val="single" w:color="000000" w:sz="4" w:space="0"/>
            </w:tcBorders>
            <w:vAlign w:val="center"/>
          </w:tcPr>
          <w:p w14:paraId="2EE00279">
            <w:pPr>
              <w:tabs>
                <w:tab w:val="left" w:pos="1680"/>
              </w:tabs>
              <w:spacing w:after="0" w:line="259" w:lineRule="auto"/>
              <w:ind w:left="0" w:right="104" w:firstLine="0"/>
              <w:jc w:val="center"/>
              <w:rPr>
                <w:rFonts w:hint="eastAsia" w:eastAsia="宋体"/>
                <w:color w:val="auto"/>
                <w:sz w:val="21"/>
                <w:highlight w:val="none"/>
                <w:lang w:val="en-US" w:eastAsia="zh-CN"/>
              </w:rPr>
            </w:pPr>
          </w:p>
        </w:tc>
      </w:tr>
      <w:tr w14:paraId="63BB2526">
        <w:tblPrEx>
          <w:tblCellMar>
            <w:top w:w="36" w:type="dxa"/>
            <w:left w:w="107" w:type="dxa"/>
            <w:bottom w:w="0" w:type="dxa"/>
            <w:right w:w="2" w:type="dxa"/>
          </w:tblCellMar>
        </w:tblPrEx>
        <w:trPr>
          <w:trHeight w:val="652" w:hRule="atLeast"/>
          <w:jc w:val="center"/>
        </w:trPr>
        <w:tc>
          <w:tcPr>
            <w:tcW w:w="965" w:type="dxa"/>
            <w:vMerge w:val="continue"/>
            <w:tcBorders>
              <w:top w:val="single" w:color="auto" w:sz="4" w:space="0"/>
              <w:left w:val="single" w:color="000000" w:sz="4" w:space="0"/>
              <w:bottom w:val="single" w:color="auto" w:sz="4" w:space="0"/>
              <w:right w:val="single" w:color="000000" w:sz="4" w:space="0"/>
            </w:tcBorders>
            <w:vAlign w:val="center"/>
          </w:tcPr>
          <w:p w14:paraId="4652BEBF">
            <w:pPr>
              <w:tabs>
                <w:tab w:val="left" w:pos="1680"/>
              </w:tabs>
              <w:spacing w:after="0" w:line="259" w:lineRule="auto"/>
              <w:ind w:left="1" w:firstLine="0"/>
              <w:jc w:val="both"/>
              <w:rPr>
                <w:color w:val="auto"/>
                <w:sz w:val="21"/>
                <w:highlight w:val="none"/>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5B8247B">
            <w:pPr>
              <w:widowControl/>
              <w:tabs>
                <w:tab w:val="left" w:pos="1680"/>
              </w:tabs>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特色金融服务方案（5分）</w:t>
            </w:r>
          </w:p>
        </w:tc>
        <w:tc>
          <w:tcPr>
            <w:tcW w:w="5272" w:type="dxa"/>
            <w:tcBorders>
              <w:top w:val="single" w:color="000000" w:sz="4" w:space="0"/>
              <w:left w:val="single" w:color="000000" w:sz="4" w:space="0"/>
              <w:bottom w:val="single" w:color="000000" w:sz="4" w:space="0"/>
              <w:right w:val="single" w:color="000000" w:sz="4" w:space="0"/>
            </w:tcBorders>
            <w:vAlign w:val="center"/>
          </w:tcPr>
          <w:p w14:paraId="6C06388B">
            <w:pPr>
              <w:tabs>
                <w:tab w:val="left" w:pos="1680"/>
              </w:tabs>
              <w:spacing w:after="0" w:line="259" w:lineRule="auto"/>
              <w:ind w:left="0" w:leftChars="0" w:firstLine="0" w:firstLineChars="0"/>
              <w:rPr>
                <w:rFonts w:hint="eastAsia" w:cs="宋体" w:asciiTheme="minorEastAsia" w:hAnsiTheme="minorEastAsia" w:eastAsiaTheme="minorEastAsia"/>
                <w:color w:val="auto"/>
                <w:kern w:val="0"/>
                <w:szCs w:val="21"/>
                <w:highlight w:val="none"/>
              </w:rPr>
            </w:pPr>
            <w:r>
              <w:rPr>
                <w:rFonts w:hint="eastAsia" w:ascii="宋体" w:hAnsi="宋体" w:eastAsia="宋体" w:cs="宋体"/>
                <w:color w:val="auto"/>
                <w:kern w:val="0"/>
                <w:szCs w:val="21"/>
                <w:highlight w:val="none"/>
              </w:rPr>
              <w:t>对投标人存放资金保值增值能力和对招标人的特色金融服务方案进行横向比较，方案全面、针对性强，具体由评委酌情打分。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0</w:t>
            </w:r>
            <w:r>
              <w:rPr>
                <w:color w:val="auto"/>
                <w:sz w:val="21"/>
                <w:highlight w:val="none"/>
              </w:rPr>
              <w:t>～</w:t>
            </w:r>
            <w:r>
              <w:rPr>
                <w:rFonts w:hint="eastAsia" w:ascii="宋体" w:hAnsi="宋体" w:cs="宋体"/>
                <w:color w:val="auto"/>
                <w:kern w:val="0"/>
                <w:szCs w:val="21"/>
                <w:highlight w:val="none"/>
                <w:lang w:val="en-US" w:eastAsia="zh-CN"/>
              </w:rPr>
              <w:t>5分</w:t>
            </w:r>
            <w:r>
              <w:rPr>
                <w:rFonts w:hint="eastAsia" w:ascii="宋体" w:hAnsi="宋体" w:cs="宋体"/>
                <w:color w:val="auto"/>
                <w:kern w:val="0"/>
                <w:szCs w:val="21"/>
                <w:highlight w:val="none"/>
                <w:lang w:eastAsia="zh-CN"/>
              </w:rPr>
              <w:t>）</w:t>
            </w:r>
          </w:p>
        </w:tc>
        <w:tc>
          <w:tcPr>
            <w:tcW w:w="1040" w:type="dxa"/>
            <w:tcBorders>
              <w:top w:val="single" w:color="000000" w:sz="4" w:space="0"/>
              <w:left w:val="single" w:color="000000" w:sz="4" w:space="0"/>
              <w:bottom w:val="single" w:color="000000" w:sz="4" w:space="0"/>
              <w:right w:val="single" w:color="000000" w:sz="4" w:space="0"/>
            </w:tcBorders>
            <w:vAlign w:val="center"/>
          </w:tcPr>
          <w:p w14:paraId="4095F5F2">
            <w:pPr>
              <w:tabs>
                <w:tab w:val="left" w:pos="1680"/>
              </w:tabs>
              <w:spacing w:after="0" w:line="259" w:lineRule="auto"/>
              <w:ind w:left="0" w:right="104" w:firstLine="0"/>
              <w:jc w:val="center"/>
              <w:rPr>
                <w:rFonts w:hint="eastAsia" w:eastAsia="宋体"/>
                <w:color w:val="auto"/>
                <w:sz w:val="21"/>
                <w:highlight w:val="none"/>
                <w:lang w:val="en-US" w:eastAsia="zh-CN"/>
              </w:rPr>
            </w:pPr>
          </w:p>
        </w:tc>
      </w:tr>
    </w:tbl>
    <w:p w14:paraId="5EF03DD4">
      <w:pPr>
        <w:tabs>
          <w:tab w:val="left" w:pos="1680"/>
        </w:tabs>
        <w:adjustRightInd w:val="0"/>
        <w:snapToGrid w:val="0"/>
        <w:spacing w:line="360" w:lineRule="auto"/>
        <w:ind w:right="-330" w:rightChars="-157"/>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备注：评委根据评标情况逐栏打分，每栏分值不得超出本栏规定的分值范围。各评分因素分值最多精确到小数点后</w:t>
      </w:r>
      <w:r>
        <w:rPr>
          <w:rFonts w:hint="eastAsia" w:asciiTheme="minorEastAsia" w:hAnsiTheme="minorEastAsia" w:eastAsiaTheme="minorEastAsia"/>
          <w:color w:val="auto"/>
          <w:kern w:val="0"/>
          <w:szCs w:val="21"/>
          <w:highlight w:val="none"/>
        </w:rPr>
        <w:t>一</w:t>
      </w:r>
      <w:r>
        <w:rPr>
          <w:rFonts w:asciiTheme="minorEastAsia" w:hAnsiTheme="minorEastAsia" w:eastAsiaTheme="minorEastAsia"/>
          <w:color w:val="auto"/>
          <w:kern w:val="0"/>
          <w:szCs w:val="21"/>
          <w:highlight w:val="none"/>
        </w:rPr>
        <w:t>位。</w:t>
      </w:r>
    </w:p>
    <w:p w14:paraId="5939D603">
      <w:pPr>
        <w:tabs>
          <w:tab w:val="left" w:pos="1680"/>
        </w:tabs>
        <w:rPr>
          <w:color w:val="auto"/>
          <w:highlight w:val="none"/>
        </w:rPr>
      </w:pPr>
      <w:r>
        <w:rPr>
          <w:rFonts w:asciiTheme="minorEastAsia" w:hAnsiTheme="minorEastAsia" w:eastAsiaTheme="minorEastAsia"/>
          <w:color w:val="auto"/>
          <w:kern w:val="0"/>
          <w:szCs w:val="21"/>
          <w:highlight w:val="none"/>
        </w:rPr>
        <w:br w:type="page"/>
      </w:r>
    </w:p>
    <w:p w14:paraId="2D9BCBC3">
      <w:pPr>
        <w:tabs>
          <w:tab w:val="left" w:pos="1680"/>
        </w:tabs>
        <w:rPr>
          <w:color w:val="auto"/>
          <w:highlight w:val="none"/>
        </w:rPr>
      </w:pPr>
    </w:p>
    <w:p w14:paraId="03BE68DE">
      <w:pPr>
        <w:pStyle w:val="3"/>
        <w:tabs>
          <w:tab w:val="left" w:pos="1680"/>
        </w:tabs>
        <w:spacing w:before="100" w:beforeAutospacing="1" w:after="100" w:afterAutospacing="1" w:line="360" w:lineRule="auto"/>
        <w:ind w:firstLine="0"/>
        <w:jc w:val="center"/>
        <w:rPr>
          <w:rFonts w:hint="eastAsia" w:ascii="宋体" w:hAnsi="宋体"/>
          <w:bCs w:val="0"/>
          <w:i w:val="0"/>
          <w:iCs w:val="0"/>
          <w:color w:val="auto"/>
          <w:sz w:val="32"/>
          <w:szCs w:val="32"/>
          <w:highlight w:val="none"/>
          <w:lang w:val="en-US" w:eastAsia="zh-CN"/>
        </w:rPr>
      </w:pPr>
      <w:bookmarkStart w:id="128" w:name="_Toc25392"/>
      <w:bookmarkStart w:id="129" w:name="_Toc435267378"/>
      <w:r>
        <w:rPr>
          <w:rFonts w:hint="eastAsia" w:ascii="宋体" w:hAnsi="宋体"/>
          <w:bCs w:val="0"/>
          <w:i w:val="0"/>
          <w:iCs w:val="0"/>
          <w:color w:val="auto"/>
          <w:sz w:val="32"/>
          <w:szCs w:val="32"/>
          <w:highlight w:val="none"/>
          <w:lang w:val="en-US" w:eastAsia="zh-CN"/>
        </w:rPr>
        <w:t>第五章  合同</w:t>
      </w:r>
      <w:bookmarkEnd w:id="128"/>
      <w:bookmarkEnd w:id="129"/>
    </w:p>
    <w:p w14:paraId="6FB1E4D8">
      <w:pPr>
        <w:tabs>
          <w:tab w:val="left" w:pos="1680"/>
        </w:tabs>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b/>
          <w:bCs/>
          <w:iCs/>
          <w:color w:val="000000" w:themeColor="text1"/>
          <w:sz w:val="32"/>
          <w:szCs w:val="32"/>
          <w:highlight w:val="none"/>
          <w14:textFill>
            <w14:solidFill>
              <w14:schemeClr w14:val="tx1"/>
            </w14:solidFill>
          </w14:textFill>
        </w:rPr>
        <w:t>资金存放账户管理协议</w:t>
      </w:r>
    </w:p>
    <w:p w14:paraId="405F4EB8">
      <w:pPr>
        <w:pStyle w:val="16"/>
        <w:tabs>
          <w:tab w:val="left" w:pos="1680"/>
        </w:tabs>
        <w:snapToGrid w:val="0"/>
        <w:spacing w:line="400" w:lineRule="exact"/>
        <w:jc w:val="center"/>
        <w:rPr>
          <w:rFonts w:hint="eastAsia"/>
          <w:b/>
          <w:color w:val="auto"/>
          <w:sz w:val="21"/>
          <w:szCs w:val="21"/>
          <w:highlight w:val="none"/>
        </w:rPr>
      </w:pPr>
      <w:r>
        <w:rPr>
          <w:rFonts w:hint="eastAsia"/>
          <w:b/>
          <w:color w:val="auto"/>
          <w:sz w:val="21"/>
          <w:szCs w:val="21"/>
          <w:highlight w:val="none"/>
        </w:rPr>
        <w:t>（本合同为合同样稿，最终稿由甲乙双方协商后确定）</w:t>
      </w:r>
    </w:p>
    <w:p w14:paraId="3E9A25A9">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委托方（甲方）：</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41EF0E34">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代理方（乙方）：</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0571C909">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p>
    <w:p w14:paraId="16AB111E">
      <w:pPr>
        <w:keepNext w:val="0"/>
        <w:keepLines w:val="0"/>
        <w:pageBreakBefore w:val="0"/>
        <w:widowControl w:val="0"/>
        <w:tabs>
          <w:tab w:val="left" w:pos="1680"/>
        </w:tabs>
        <w:kinsoku/>
        <w:wordWrap/>
        <w:overflowPunct/>
        <w:topLinePunct w:val="0"/>
        <w:autoSpaceDE/>
        <w:autoSpaceDN/>
        <w:bidi w:val="0"/>
        <w:adjustRightInd w:val="0"/>
        <w:snapToGrid w:val="0"/>
        <w:spacing w:line="400" w:lineRule="exact"/>
        <w:ind w:firstLine="420"/>
        <w:textAlignment w:val="auto"/>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根据</w:t>
      </w:r>
      <w:r>
        <w:rPr>
          <w:rFonts w:hint="eastAsia" w:asciiTheme="minorEastAsia" w:hAnsiTheme="minorEastAsia" w:eastAsiaTheme="minorEastAsia"/>
          <w:color w:val="auto"/>
          <w:sz w:val="24"/>
          <w:highlight w:val="none"/>
        </w:rPr>
        <w:t>《宁波国家高新区关于进一步加强财政部门和预算单位资金存放管理的通知》（甬高新财[2018]81号）</w:t>
      </w:r>
      <w:r>
        <w:rPr>
          <w:rFonts w:hint="eastAsia" w:ascii="宋体" w:hAnsi="宋体" w:cs="宋体"/>
          <w:color w:val="000000" w:themeColor="text1"/>
          <w:kern w:val="0"/>
          <w:sz w:val="24"/>
          <w:highlight w:val="none"/>
          <w:lang w:val="en-US" w:eastAsia="zh-CN"/>
          <w14:textFill>
            <w14:solidFill>
              <w14:schemeClr w14:val="tx1"/>
            </w14:solidFill>
          </w14:textFill>
        </w:rPr>
        <w:t>规定，甲方按法定程序对宁波高新区聚贤街道总工会账户进行了公开招标，确定乙方为该资金存放账户开设招标项目的入围银行，甲乙双方按照招标文件要求，签订如下协议：</w:t>
      </w:r>
    </w:p>
    <w:p w14:paraId="7D6503EF">
      <w:pPr>
        <w:keepNext w:val="0"/>
        <w:keepLines w:val="0"/>
        <w:pageBreakBefore w:val="0"/>
        <w:widowControl w:val="0"/>
        <w:tabs>
          <w:tab w:val="left" w:pos="1680"/>
        </w:tabs>
        <w:kinsoku/>
        <w:wordWrap/>
        <w:overflowPunct/>
        <w:topLinePunct w:val="0"/>
        <w:autoSpaceDE/>
        <w:autoSpaceDN/>
        <w:bidi w:val="0"/>
        <w:adjustRightInd w:val="0"/>
        <w:snapToGrid w:val="0"/>
        <w:spacing w:line="400" w:lineRule="exact"/>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p>
    <w:p w14:paraId="38E5C6A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第一条  委托代理事项</w:t>
      </w:r>
    </w:p>
    <w:p w14:paraId="273CB904">
      <w:pPr>
        <w:keepNext w:val="0"/>
        <w:keepLines w:val="0"/>
        <w:pageBreakBefore w:val="0"/>
        <w:widowControl w:val="0"/>
        <w:numPr>
          <w:ilvl w:val="0"/>
          <w:numId w:val="3"/>
        </w:numPr>
        <w:tabs>
          <w:tab w:val="left" w:pos="1680"/>
        </w:tabs>
        <w:kinsoku/>
        <w:wordWrap/>
        <w:overflowPunct/>
        <w:topLinePunct w:val="0"/>
        <w:autoSpaceDE/>
        <w:autoSpaceDN/>
        <w:bidi w:val="0"/>
        <w:spacing w:line="400" w:lineRule="exact"/>
        <w:ind w:left="0" w:firstLine="426"/>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甲方委托乙方为甲方开立银行</w:t>
      </w:r>
      <w:r>
        <w:rPr>
          <w:rFonts w:hint="eastAsia" w:ascii="宋体" w:hAnsi="宋体" w:cs="宋体"/>
          <w:color w:val="000000" w:themeColor="text1"/>
          <w:sz w:val="24"/>
          <w:highlight w:val="none"/>
          <w14:textFill>
            <w14:solidFill>
              <w14:schemeClr w14:val="tx1"/>
            </w14:solidFill>
          </w14:textFill>
        </w:rPr>
        <w:t>账户。</w:t>
      </w:r>
    </w:p>
    <w:p w14:paraId="184EFB13">
      <w:pPr>
        <w:keepNext w:val="0"/>
        <w:keepLines w:val="0"/>
        <w:pageBreakBefore w:val="0"/>
        <w:widowControl w:val="0"/>
        <w:numPr>
          <w:ilvl w:val="0"/>
          <w:numId w:val="3"/>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乙方向甲方反馈账户收付信息，并提供实时查询、回单送达服务。</w:t>
      </w:r>
    </w:p>
    <w:p w14:paraId="34AF5506">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第二条  甲方的职责和义务</w:t>
      </w:r>
    </w:p>
    <w:p w14:paraId="16C9FE80">
      <w:pPr>
        <w:keepNext w:val="0"/>
        <w:keepLines w:val="0"/>
        <w:pageBreakBefore w:val="0"/>
        <w:widowControl w:val="0"/>
        <w:numPr>
          <w:ilvl w:val="0"/>
          <w:numId w:val="4"/>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依法</w:t>
      </w:r>
      <w:r>
        <w:rPr>
          <w:rFonts w:hint="eastAsia" w:ascii="宋体" w:hAnsi="宋体" w:cs="宋体"/>
          <w:color w:val="000000" w:themeColor="text1"/>
          <w:kern w:val="0"/>
          <w:sz w:val="24"/>
          <w:highlight w:val="none"/>
          <w14:textFill>
            <w14:solidFill>
              <w14:schemeClr w14:val="tx1"/>
            </w14:solidFill>
          </w14:textFill>
        </w:rPr>
        <w:t>开立、使用和撤销账户。</w:t>
      </w:r>
    </w:p>
    <w:p w14:paraId="71EB3855">
      <w:pPr>
        <w:keepNext w:val="0"/>
        <w:keepLines w:val="0"/>
        <w:pageBreakBefore w:val="0"/>
        <w:widowControl w:val="0"/>
        <w:numPr>
          <w:ilvl w:val="0"/>
          <w:numId w:val="4"/>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有权对乙方代理的账户的收付业务进行检查、指导，提出改进意见。</w:t>
      </w:r>
    </w:p>
    <w:p w14:paraId="7A76AD18">
      <w:pPr>
        <w:keepNext w:val="0"/>
        <w:keepLines w:val="0"/>
        <w:pageBreakBefore w:val="0"/>
        <w:widowControl w:val="0"/>
        <w:numPr>
          <w:ilvl w:val="0"/>
          <w:numId w:val="4"/>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妥善保管乙方提供的支付清单及相关文件。</w:t>
      </w:r>
    </w:p>
    <w:p w14:paraId="275BAE8D">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第三条  乙方的职责和义务</w:t>
      </w:r>
    </w:p>
    <w:p w14:paraId="7AD8C239">
      <w:pPr>
        <w:keepNext w:val="0"/>
        <w:keepLines w:val="0"/>
        <w:pageBreakBefore w:val="0"/>
        <w:widowControl w:val="0"/>
        <w:numPr>
          <w:ilvl w:val="0"/>
          <w:numId w:val="5"/>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根据甲方要求及时办理账户的开立、变更和撤销事宜。</w:t>
      </w:r>
    </w:p>
    <w:p w14:paraId="3F431B98">
      <w:pPr>
        <w:keepNext w:val="0"/>
        <w:keepLines w:val="0"/>
        <w:pageBreakBefore w:val="0"/>
        <w:widowControl w:val="0"/>
        <w:numPr>
          <w:ilvl w:val="0"/>
          <w:numId w:val="5"/>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严格按照甲方的支付要求，及时、安全、准确地办理支付结算业务，不压票。</w:t>
      </w:r>
    </w:p>
    <w:p w14:paraId="312269A2">
      <w:pPr>
        <w:keepNext w:val="0"/>
        <w:keepLines w:val="0"/>
        <w:pageBreakBefore w:val="0"/>
        <w:widowControl w:val="0"/>
        <w:numPr>
          <w:ilvl w:val="0"/>
          <w:numId w:val="5"/>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乙方向甲方支付的合同存款利率按以下标准执行：</w:t>
      </w:r>
    </w:p>
    <w:p w14:paraId="1B33BA25">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1、活期存款计息利率为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608DB036">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2、协定存款计息利率为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2216DCFF">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val="zh-CN"/>
          <w14:textFill>
            <w14:solidFill>
              <w14:schemeClr w14:val="tx1"/>
            </w14:solidFill>
          </w14:textFill>
        </w:rPr>
        <w:t>、七天通知存款利率为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56AB3EA2">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4、三个月</w:t>
      </w:r>
      <w:r>
        <w:rPr>
          <w:rFonts w:hint="eastAsia" w:ascii="宋体" w:hAnsi="宋体" w:cs="宋体"/>
          <w:bCs/>
          <w:color w:val="000000" w:themeColor="text1"/>
          <w:sz w:val="24"/>
          <w:highlight w:val="none"/>
          <w:lang w:val="zh-CN"/>
          <w14:textFill>
            <w14:solidFill>
              <w14:schemeClr w14:val="tx1"/>
            </w14:solidFill>
          </w14:textFill>
        </w:rPr>
        <w:t>定期存款利率</w:t>
      </w:r>
      <w:r>
        <w:rPr>
          <w:rFonts w:hint="eastAsia" w:ascii="宋体" w:hAnsi="宋体" w:cs="宋体"/>
          <w:bCs/>
          <w:color w:val="000000" w:themeColor="text1"/>
          <w:sz w:val="24"/>
          <w:highlight w:val="none"/>
          <w:u w:val="none"/>
          <w:lang w:val="zh-CN"/>
          <w14:textFill>
            <w14:solidFill>
              <w14:schemeClr w14:val="tx1"/>
            </w14:solidFill>
          </w14:textFill>
        </w:rPr>
        <w:t>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32D83635">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5、六个月</w:t>
      </w:r>
      <w:r>
        <w:rPr>
          <w:rFonts w:hint="eastAsia" w:ascii="宋体" w:hAnsi="宋体" w:cs="宋体"/>
          <w:bCs/>
          <w:color w:val="000000" w:themeColor="text1"/>
          <w:sz w:val="24"/>
          <w:highlight w:val="none"/>
          <w:lang w:val="zh-CN"/>
          <w14:textFill>
            <w14:solidFill>
              <w14:schemeClr w14:val="tx1"/>
            </w14:solidFill>
          </w14:textFill>
        </w:rPr>
        <w:t>定期存款利率</w:t>
      </w:r>
      <w:r>
        <w:rPr>
          <w:rFonts w:hint="eastAsia" w:ascii="宋体" w:hAnsi="宋体" w:cs="宋体"/>
          <w:bCs/>
          <w:color w:val="000000" w:themeColor="text1"/>
          <w:sz w:val="24"/>
          <w:highlight w:val="none"/>
          <w:u w:val="none"/>
          <w:lang w:val="zh-CN"/>
          <w14:textFill>
            <w14:solidFill>
              <w14:schemeClr w14:val="tx1"/>
            </w14:solidFill>
          </w14:textFill>
        </w:rPr>
        <w:t>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37715254">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val="zh-CN"/>
          <w14:textFill>
            <w14:solidFill>
              <w14:schemeClr w14:val="tx1"/>
            </w14:solidFill>
          </w14:textFill>
        </w:rPr>
        <w:t>、一年期定期存款利率</w:t>
      </w:r>
      <w:r>
        <w:rPr>
          <w:rFonts w:hint="eastAsia" w:ascii="宋体" w:hAnsi="宋体" w:cs="宋体"/>
          <w:bCs/>
          <w:color w:val="000000" w:themeColor="text1"/>
          <w:sz w:val="24"/>
          <w:highlight w:val="none"/>
          <w:u w:val="none"/>
          <w:lang w:val="zh-CN"/>
          <w14:textFill>
            <w14:solidFill>
              <w14:schemeClr w14:val="tx1"/>
            </w14:solidFill>
          </w14:textFill>
        </w:rPr>
        <w:t>为</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p>
    <w:p w14:paraId="4781F740">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本协议有效期内，若利率相关的法律法规、规章政策调整，或中国人民银行存款基准利率、存款自律约定、乙方总行存款利率内部授权上限等发生调整，导致协议约定的利率水平超出允许范围，乙方应在按本协议约定存款业务开办前及时通知甲方存款利率调整情况。</w:t>
      </w:r>
    </w:p>
    <w:p w14:paraId="12E67472">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银行存款利率内部授权上限调整，是指银行为满足国家宏观调控目标要求或落实存款利率市场化调整机制要求等，对本行可执行的内部授权上限进行的具有主动性、自律性、普遍性的调整。</w:t>
      </w:r>
    </w:p>
    <w:p w14:paraId="5658A18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甲方有权提前终止本协议，并以书面形式告知。若甲方选择继续执行本协议，则自相应调整生效当日起，新办理存款业务执行利率按不超过最新允许范围上限的利率执行。</w:t>
      </w:r>
    </w:p>
    <w:p w14:paraId="6A1A95F3">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若本协议涉及的存款品种为单位活期存款的，计息期间遇利率调整应分段计息，自相应调整生效当日起，按不超过最新允许范围上限的利率分段计息。</w:t>
      </w:r>
    </w:p>
    <w:p w14:paraId="3310499E">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（四）委托服务收费：按照招（投）标文件执行。</w:t>
      </w:r>
    </w:p>
    <w:p w14:paraId="534EE195">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（五）具有先进资金汇划清算系统，适应宁波市银行系统实时清算要求。</w:t>
      </w:r>
    </w:p>
    <w:p w14:paraId="0FDE39C6">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（六）在中国人民银行有充足的备付金头寸，具有较强的风险控制能力，能够保证账户资金的支付。</w:t>
      </w:r>
    </w:p>
    <w:p w14:paraId="1BC04868">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（七）为甲方及相关预算单位提供优质代理服务。</w:t>
      </w:r>
    </w:p>
    <w:p w14:paraId="5BFBEA53">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（八）妥善保管甲方支付凭证及相关会计凭证，按时向甲方报送报表及对账，对甲方提供的各种信息、凭证等承担保密责任。</w:t>
      </w:r>
    </w:p>
    <w:p w14:paraId="743CB085">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（九）甲、乙双方其他约定。</w:t>
      </w:r>
    </w:p>
    <w:p w14:paraId="32D462F0">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第四条 其他约定</w:t>
      </w:r>
    </w:p>
    <w:p w14:paraId="6DD07F10">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乙方出现以下情形之一的，甲方有权终止（或解除）本协议，并提前收回全部定期存款。</w:t>
      </w:r>
    </w:p>
    <w:p w14:paraId="41DB5D45">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（一）出现资金安全事故和重大违法违规情况或财务恶化；</w:t>
      </w:r>
    </w:p>
    <w:p w14:paraId="7F3371ED">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（二）监管评级降低，甲方或监管部门认为存在较大运营风险；</w:t>
      </w:r>
    </w:p>
    <w:p w14:paraId="310412CB">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（三）乙方通过不正当投标行为取得入围资格；</w:t>
      </w:r>
    </w:p>
    <w:p w14:paraId="1F1353C8">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（四）没有按照本协议及招标文件承诺履行相应的责任和义务；</w:t>
      </w:r>
    </w:p>
    <w:p w14:paraId="6C9FA765">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（五）不能及时将到期存款本息足额缴入甲方账户；</w:t>
      </w:r>
    </w:p>
    <w:p w14:paraId="1A858677">
      <w:pPr>
        <w:keepNext w:val="0"/>
        <w:keepLines w:val="0"/>
        <w:pageBreakBefore w:val="0"/>
        <w:widowControl w:val="0"/>
        <w:tabs>
          <w:tab w:val="left" w:pos="1680"/>
        </w:tabs>
        <w:kinsoku/>
        <w:wordWrap/>
        <w:overflowPunct/>
        <w:topLinePunct w:val="0"/>
        <w:autoSpaceDE/>
        <w:autoSpaceDN/>
        <w:bidi w:val="0"/>
        <w:spacing w:line="400" w:lineRule="exact"/>
        <w:ind w:left="0" w:leftChars="0" w:firstLine="420" w:firstLineChars="17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（六）其他妨害甲方资金安全的行为。</w:t>
      </w:r>
    </w:p>
    <w:p w14:paraId="156072A4">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第五条 合同期限</w:t>
      </w:r>
    </w:p>
    <w:p w14:paraId="39FDA4E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本协议有效期为自合同签订并生效后</w:t>
      </w:r>
      <w:r>
        <w:rPr>
          <w:rFonts w:hint="eastAsia" w:ascii="宋体" w:hAnsi="宋体" w:cs="宋体"/>
          <w:color w:val="000000" w:themeColor="text1"/>
          <w:kern w:val="0"/>
          <w:sz w:val="24"/>
          <w:highlight w:val="none"/>
          <w:u w:val="single"/>
          <w14:textFill>
            <w14:solidFill>
              <w14:schemeClr w14:val="tx1"/>
            </w14:solidFill>
          </w14:textFill>
        </w:rPr>
        <w:t xml:space="preserve"> 壹 </w:t>
      </w:r>
      <w:r>
        <w:rPr>
          <w:rFonts w:hint="eastAsia" w:ascii="宋体" w:hAnsi="宋体" w:cs="宋体"/>
          <w:color w:val="000000" w:themeColor="text1"/>
          <w:kern w:val="0"/>
          <w:sz w:val="24"/>
          <w:highlight w:val="none"/>
          <w14:textFill>
            <w14:solidFill>
              <w14:schemeClr w14:val="tx1"/>
            </w14:solidFill>
          </w14:textFill>
        </w:rPr>
        <w:t>年。如果乙方服务不能达到招标要求和投标承诺的，甲方施行国库集中支付制的或国家另有规定的，以及甲方因机构、场所变动等原因导致乙方不适宜再为甲方提供服务的，甲方有权终止本协议。</w:t>
      </w:r>
    </w:p>
    <w:p w14:paraId="6C080E1C">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第六条  违约责任</w:t>
      </w:r>
    </w:p>
    <w:p w14:paraId="11937A3E">
      <w:pPr>
        <w:keepNext w:val="0"/>
        <w:keepLines w:val="0"/>
        <w:pageBreakBefore w:val="0"/>
        <w:widowControl w:val="0"/>
        <w:numPr>
          <w:ilvl w:val="0"/>
          <w:numId w:val="6"/>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因甲方过错给乙方造成损失的，由甲方承担相应的</w:t>
      </w:r>
      <w:r>
        <w:rPr>
          <w:rFonts w:hint="eastAsia" w:ascii="宋体" w:hAnsi="宋体" w:cs="宋体"/>
          <w:color w:val="000000" w:themeColor="text1"/>
          <w:kern w:val="0"/>
          <w:sz w:val="24"/>
          <w:highlight w:val="none"/>
          <w:lang w:val="en-US" w:eastAsia="zh-CN"/>
          <w14:textFill>
            <w14:solidFill>
              <w14:schemeClr w14:val="tx1"/>
            </w14:solidFill>
          </w14:textFill>
        </w:rPr>
        <w:t>赔偿</w:t>
      </w:r>
      <w:r>
        <w:rPr>
          <w:rFonts w:hint="eastAsia" w:ascii="宋体" w:hAnsi="宋体" w:cs="宋体"/>
          <w:color w:val="000000" w:themeColor="text1"/>
          <w:kern w:val="0"/>
          <w:sz w:val="24"/>
          <w:highlight w:val="none"/>
          <w14:textFill>
            <w14:solidFill>
              <w14:schemeClr w14:val="tx1"/>
            </w14:solidFill>
          </w14:textFill>
        </w:rPr>
        <w:t>责任。甲方工作人员如违反国家有关规定，由有关机关依法进行处理。</w:t>
      </w:r>
    </w:p>
    <w:p w14:paraId="5EBB6FDE">
      <w:pPr>
        <w:keepNext w:val="0"/>
        <w:keepLines w:val="0"/>
        <w:pageBreakBefore w:val="0"/>
        <w:widowControl w:val="0"/>
        <w:numPr>
          <w:ilvl w:val="0"/>
          <w:numId w:val="6"/>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因乙方过错导致资金错划、漏划、误划、或故意不执行、迟延执行甲方委托事项，给甲方造成损失的，由乙方承担相应的</w:t>
      </w:r>
      <w:r>
        <w:rPr>
          <w:rFonts w:hint="eastAsia" w:ascii="宋体" w:hAnsi="宋体" w:cs="宋体"/>
          <w:color w:val="000000" w:themeColor="text1"/>
          <w:kern w:val="0"/>
          <w:sz w:val="24"/>
          <w:highlight w:val="none"/>
          <w:lang w:val="en-US" w:eastAsia="zh-CN"/>
          <w14:textFill>
            <w14:solidFill>
              <w14:schemeClr w14:val="tx1"/>
            </w14:solidFill>
          </w14:textFill>
        </w:rPr>
        <w:t>赔偿</w:t>
      </w:r>
      <w:r>
        <w:rPr>
          <w:rFonts w:hint="eastAsia" w:ascii="宋体" w:hAnsi="宋体" w:cs="宋体"/>
          <w:color w:val="000000" w:themeColor="text1"/>
          <w:kern w:val="0"/>
          <w:sz w:val="24"/>
          <w:highlight w:val="none"/>
          <w14:textFill>
            <w14:solidFill>
              <w14:schemeClr w14:val="tx1"/>
            </w14:solidFill>
          </w14:textFill>
        </w:rPr>
        <w:t>责任。乙方工作人员如违反国家有关规定，由有关机关依法进行处理。</w:t>
      </w:r>
    </w:p>
    <w:p w14:paraId="65E44724">
      <w:pPr>
        <w:keepNext w:val="0"/>
        <w:keepLines w:val="0"/>
        <w:pageBreakBefore w:val="0"/>
        <w:widowControl w:val="0"/>
        <w:numPr>
          <w:ilvl w:val="0"/>
          <w:numId w:val="6"/>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执行期间当乙方没有按照投标及协议承诺履行相应的责任和义务的，另一方有权终止协议。</w:t>
      </w:r>
    </w:p>
    <w:p w14:paraId="3CEC79E0">
      <w:pPr>
        <w:keepNext w:val="0"/>
        <w:keepLines w:val="0"/>
        <w:pageBreakBefore w:val="0"/>
        <w:widowControl w:val="0"/>
        <w:numPr>
          <w:ilvl w:val="0"/>
          <w:numId w:val="6"/>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甲、乙双方因不可抗力无法履行协议的，根据不可抗力的影响，部分或者全部免除责任，但法律另有规定的除外，当事一方迟延履行协议后发生不可抗力的，不能免除责任。</w:t>
      </w:r>
    </w:p>
    <w:p w14:paraId="0C3155C1">
      <w:pPr>
        <w:keepNext w:val="0"/>
        <w:keepLines w:val="0"/>
        <w:pageBreakBefore w:val="0"/>
        <w:widowControl w:val="0"/>
        <w:numPr>
          <w:ilvl w:val="0"/>
          <w:numId w:val="6"/>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本协议所称不可抗力，是指不能预见、不能避免并不能克服的客观事件或行为。</w:t>
      </w:r>
    </w:p>
    <w:p w14:paraId="26F48F1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第七条  协议生效与终止</w:t>
      </w:r>
    </w:p>
    <w:p w14:paraId="796D9CBB">
      <w:pPr>
        <w:keepNext w:val="0"/>
        <w:keepLines w:val="0"/>
        <w:pageBreakBefore w:val="0"/>
        <w:widowControl w:val="0"/>
        <w:numPr>
          <w:ilvl w:val="0"/>
          <w:numId w:val="7"/>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本协议自甲乙双方法定代表人（负责人）或授权代表人签章之日起生效，服务期限</w:t>
      </w:r>
      <w:r>
        <w:rPr>
          <w:rFonts w:hint="eastAsia" w:ascii="宋体" w:hAnsi="宋体" w:cs="宋体"/>
          <w:color w:val="000000" w:themeColor="text1"/>
          <w:kern w:val="0"/>
          <w:sz w:val="24"/>
          <w:highlight w:val="none"/>
          <w:lang w:val="en-US" w:eastAsia="zh-CN"/>
          <w14:textFill>
            <w14:solidFill>
              <w14:schemeClr w14:val="tx1"/>
            </w14:solidFill>
          </w14:textFill>
        </w:rPr>
        <w:t>三年</w:t>
      </w:r>
      <w:r>
        <w:rPr>
          <w:rFonts w:hint="eastAsia" w:ascii="宋体" w:hAnsi="宋体" w:cs="宋体"/>
          <w:color w:val="000000" w:themeColor="text1"/>
          <w:kern w:val="0"/>
          <w:sz w:val="24"/>
          <w:highlight w:val="none"/>
          <w14:textFill>
            <w14:solidFill>
              <w14:schemeClr w14:val="tx1"/>
            </w14:solidFill>
          </w14:textFill>
        </w:rPr>
        <w:t>，合同一年一签。</w:t>
      </w:r>
    </w:p>
    <w:p w14:paraId="6FFF3A1A">
      <w:pPr>
        <w:keepNext w:val="0"/>
        <w:keepLines w:val="0"/>
        <w:pageBreakBefore w:val="0"/>
        <w:widowControl w:val="0"/>
        <w:numPr>
          <w:ilvl w:val="0"/>
          <w:numId w:val="7"/>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协议履行期间，如出现协议与颁布的有关法律、法规、政策规定不符的情况，甲乙双方应按新的法律、法规、政策规定执行。</w:t>
      </w:r>
    </w:p>
    <w:p w14:paraId="6C892BDE">
      <w:pPr>
        <w:keepNext w:val="0"/>
        <w:keepLines w:val="0"/>
        <w:pageBreakBefore w:val="0"/>
        <w:widowControl w:val="0"/>
        <w:numPr>
          <w:ilvl w:val="0"/>
          <w:numId w:val="7"/>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本协议终止后，甲乙双方应对委托代理期间发生的应尽未尽委托代理事项负责结清，有关承担保密义务的条款对双方仍然继续有效。</w:t>
      </w:r>
    </w:p>
    <w:p w14:paraId="0D36C6CC">
      <w:pPr>
        <w:keepNext w:val="0"/>
        <w:keepLines w:val="0"/>
        <w:pageBreakBefore w:val="0"/>
        <w:widowControl w:val="0"/>
        <w:numPr>
          <w:ilvl w:val="0"/>
          <w:numId w:val="7"/>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甲乙双方如遇纠纷，应本着互相信任与合作的原则，共同协商解决。</w:t>
      </w:r>
    </w:p>
    <w:p w14:paraId="2409284D">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第八条  下列文件属于本协议的依据和附件，具有同等法律效力：</w:t>
      </w:r>
    </w:p>
    <w:p w14:paraId="08A17604">
      <w:pPr>
        <w:keepNext w:val="0"/>
        <w:keepLines w:val="0"/>
        <w:pageBreakBefore w:val="0"/>
        <w:widowControl w:val="0"/>
        <w:numPr>
          <w:ilvl w:val="0"/>
          <w:numId w:val="8"/>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甲方的招标文件；</w:t>
      </w:r>
    </w:p>
    <w:p w14:paraId="5107395A">
      <w:pPr>
        <w:keepNext w:val="0"/>
        <w:keepLines w:val="0"/>
        <w:pageBreakBefore w:val="0"/>
        <w:widowControl w:val="0"/>
        <w:numPr>
          <w:ilvl w:val="0"/>
          <w:numId w:val="8"/>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乙方的投标文件；</w:t>
      </w:r>
    </w:p>
    <w:p w14:paraId="3012B447">
      <w:pPr>
        <w:keepNext w:val="0"/>
        <w:keepLines w:val="0"/>
        <w:pageBreakBefore w:val="0"/>
        <w:widowControl w:val="0"/>
        <w:numPr>
          <w:ilvl w:val="0"/>
          <w:numId w:val="8"/>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入围/中标通知书；</w:t>
      </w:r>
    </w:p>
    <w:p w14:paraId="348A783E">
      <w:pPr>
        <w:keepNext w:val="0"/>
        <w:keepLines w:val="0"/>
        <w:pageBreakBefore w:val="0"/>
        <w:widowControl w:val="0"/>
        <w:numPr>
          <w:ilvl w:val="0"/>
          <w:numId w:val="8"/>
        </w:numPr>
        <w:tabs>
          <w:tab w:val="left" w:pos="1680"/>
        </w:tabs>
        <w:kinsoku/>
        <w:wordWrap/>
        <w:overflowPunct/>
        <w:topLinePunct w:val="0"/>
        <w:autoSpaceDE/>
        <w:autoSpaceDN/>
        <w:bidi w:val="0"/>
        <w:spacing w:line="400" w:lineRule="exact"/>
        <w:ind w:left="0"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甲乙双方授权代表签字并指明的其他书面文件。</w:t>
      </w:r>
    </w:p>
    <w:p w14:paraId="7AFD07FB">
      <w:pPr>
        <w:keepNext w:val="0"/>
        <w:keepLines w:val="0"/>
        <w:pageBreakBefore w:val="0"/>
        <w:widowControl w:val="0"/>
        <w:tabs>
          <w:tab w:val="left" w:pos="1680"/>
        </w:tabs>
        <w:kinsoku/>
        <w:wordWrap/>
        <w:overflowPunct/>
        <w:topLinePunct w:val="0"/>
        <w:autoSpaceDE/>
        <w:autoSpaceDN/>
        <w:bidi w:val="0"/>
        <w:spacing w:line="400" w:lineRule="exact"/>
        <w:ind w:left="420" w:leftChars="200"/>
        <w:textAlignment w:val="auto"/>
        <w:rPr>
          <w:rFonts w:hint="eastAsia" w:ascii="宋体" w:hAnsi="宋体" w:cs="宋体"/>
          <w:color w:val="000000" w:themeColor="text1"/>
          <w:kern w:val="0"/>
          <w:sz w:val="24"/>
          <w:highlight w:val="none"/>
          <w14:textFill>
            <w14:solidFill>
              <w14:schemeClr w14:val="tx1"/>
            </w14:solidFill>
          </w14:textFill>
        </w:rPr>
      </w:pPr>
    </w:p>
    <w:p w14:paraId="7395CAE8">
      <w:pPr>
        <w:keepNext w:val="0"/>
        <w:keepLines w:val="0"/>
        <w:pageBreakBefore w:val="0"/>
        <w:widowControl w:val="0"/>
        <w:numPr>
          <w:ilvl w:val="0"/>
          <w:numId w:val="9"/>
        </w:numPr>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本协议一式贰份，其中甲方、乙方各执壹份。</w:t>
      </w:r>
    </w:p>
    <w:p w14:paraId="539AC532">
      <w:pPr>
        <w:keepNext w:val="0"/>
        <w:keepLines w:val="0"/>
        <w:pageBreakBefore w:val="0"/>
        <w:widowControl w:val="0"/>
        <w:tabs>
          <w:tab w:val="left" w:pos="1680"/>
        </w:tabs>
        <w:kinsoku/>
        <w:wordWrap/>
        <w:overflowPunct/>
        <w:topLinePunct w:val="0"/>
        <w:autoSpaceDE/>
        <w:autoSpaceDN/>
        <w:bidi w:val="0"/>
        <w:spacing w:line="400" w:lineRule="exact"/>
        <w:textAlignment w:val="auto"/>
        <w:rPr>
          <w:rFonts w:hint="eastAsia" w:ascii="宋体" w:hAnsi="宋体" w:cs="宋体"/>
          <w:color w:val="000000" w:themeColor="text1"/>
          <w:kern w:val="0"/>
          <w:sz w:val="24"/>
          <w:highlight w:val="none"/>
          <w14:textFill>
            <w14:solidFill>
              <w14:schemeClr w14:val="tx1"/>
            </w14:solidFill>
          </w14:textFill>
        </w:rPr>
      </w:pPr>
    </w:p>
    <w:p w14:paraId="54CB497B">
      <w:pPr>
        <w:keepNext w:val="0"/>
        <w:keepLines w:val="0"/>
        <w:pageBreakBefore w:val="0"/>
        <w:widowControl w:val="0"/>
        <w:tabs>
          <w:tab w:val="left" w:pos="1680"/>
        </w:tabs>
        <w:kinsoku/>
        <w:wordWrap/>
        <w:overflowPunct/>
        <w:topLinePunct w:val="0"/>
        <w:autoSpaceDE/>
        <w:autoSpaceDN/>
        <w:bidi w:val="0"/>
        <w:spacing w:line="400" w:lineRule="exact"/>
        <w:ind w:firstLine="420"/>
        <w:textAlignment w:val="auto"/>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甲方（公章）：</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6673BB11">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法定代表人或负责人或授权代表人签章：</w:t>
      </w:r>
    </w:p>
    <w:p w14:paraId="246815A1">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月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w:t>
      </w:r>
    </w:p>
    <w:p w14:paraId="1B8E2E7A">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p>
    <w:p w14:paraId="69A86F3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乙方（公章）：</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47CD79E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法定代表人或负责人或授权代表人签章：</w:t>
      </w:r>
    </w:p>
    <w:p w14:paraId="0A866747">
      <w:pPr>
        <w:keepNext w:val="0"/>
        <w:keepLines w:val="0"/>
        <w:pageBreakBefore w:val="0"/>
        <w:widowControl w:val="0"/>
        <w:tabs>
          <w:tab w:val="left" w:pos="1680"/>
        </w:tabs>
        <w:kinsoku/>
        <w:wordWrap/>
        <w:overflowPunct/>
        <w:topLinePunct w:val="0"/>
        <w:autoSpaceDE/>
        <w:autoSpaceDN/>
        <w:bidi w:val="0"/>
        <w:spacing w:line="4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2025</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月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14:paraId="674192DE">
      <w:pPr>
        <w:keepNext w:val="0"/>
        <w:keepLines w:val="0"/>
        <w:pageBreakBefore w:val="0"/>
        <w:widowControl w:val="0"/>
        <w:tabs>
          <w:tab w:val="left" w:pos="1680"/>
        </w:tabs>
        <w:kinsoku/>
        <w:wordWrap/>
        <w:overflowPunct/>
        <w:topLinePunct w:val="0"/>
        <w:autoSpaceDE/>
        <w:autoSpaceDN/>
        <w:bidi w:val="0"/>
        <w:spacing w:line="400" w:lineRule="exact"/>
        <w:textAlignment w:val="auto"/>
        <w:rPr>
          <w:rFonts w:ascii="Arial" w:hAnsi="Arial" w:eastAsia="宋体"/>
          <w:color w:val="auto"/>
          <w:sz w:val="21"/>
          <w:szCs w:val="21"/>
          <w:highlight w:val="none"/>
        </w:rPr>
      </w:pPr>
      <w:r>
        <w:rPr>
          <w:rFonts w:ascii="Arial" w:hAnsi="Arial" w:eastAsia="宋体"/>
          <w:color w:val="auto"/>
          <w:sz w:val="21"/>
          <w:szCs w:val="21"/>
          <w:highlight w:val="none"/>
        </w:rPr>
        <w:br w:type="page"/>
      </w:r>
    </w:p>
    <w:p w14:paraId="3D3D4C4F">
      <w:pPr>
        <w:pStyle w:val="16"/>
        <w:tabs>
          <w:tab w:val="left" w:pos="1680"/>
        </w:tabs>
        <w:snapToGrid w:val="0"/>
        <w:spacing w:before="0" w:beforeLines="0" w:after="0" w:afterLines="0"/>
        <w:ind w:firstLine="105" w:firstLineChars="50"/>
        <w:rPr>
          <w:rFonts w:ascii="Arial" w:hAnsi="Arial" w:eastAsia="宋体"/>
          <w:color w:val="auto"/>
          <w:sz w:val="21"/>
          <w:szCs w:val="21"/>
          <w:highlight w:val="none"/>
        </w:rPr>
      </w:pPr>
    </w:p>
    <w:p w14:paraId="7A94F6A9">
      <w:pPr>
        <w:pStyle w:val="11"/>
        <w:tabs>
          <w:tab w:val="left" w:pos="1680"/>
        </w:tabs>
        <w:rPr>
          <w:color w:val="auto"/>
          <w:highlight w:val="none"/>
        </w:rPr>
      </w:pPr>
    </w:p>
    <w:p w14:paraId="06115290">
      <w:pPr>
        <w:pStyle w:val="3"/>
        <w:tabs>
          <w:tab w:val="left" w:pos="1680"/>
        </w:tabs>
        <w:spacing w:before="100" w:beforeAutospacing="1" w:after="100" w:afterAutospacing="1" w:line="360" w:lineRule="auto"/>
        <w:ind w:firstLine="0"/>
        <w:jc w:val="center"/>
        <w:rPr>
          <w:rFonts w:ascii="宋体" w:hAnsi="宋体"/>
          <w:bCs w:val="0"/>
          <w:i w:val="0"/>
          <w:iCs w:val="0"/>
          <w:color w:val="auto"/>
          <w:sz w:val="32"/>
          <w:szCs w:val="32"/>
          <w:highlight w:val="none"/>
        </w:rPr>
      </w:pPr>
      <w:bookmarkStart w:id="130" w:name="_Toc10847"/>
      <w:r>
        <w:rPr>
          <w:rFonts w:hint="eastAsia" w:ascii="宋体" w:hAnsi="宋体"/>
          <w:bCs w:val="0"/>
          <w:i w:val="0"/>
          <w:iCs w:val="0"/>
          <w:color w:val="auto"/>
          <w:sz w:val="32"/>
          <w:szCs w:val="32"/>
          <w:highlight w:val="none"/>
        </w:rPr>
        <w:t>第</w:t>
      </w:r>
      <w:r>
        <w:rPr>
          <w:rFonts w:hint="eastAsia" w:ascii="宋体" w:hAnsi="宋体"/>
          <w:bCs w:val="0"/>
          <w:i w:val="0"/>
          <w:iCs w:val="0"/>
          <w:color w:val="auto"/>
          <w:sz w:val="32"/>
          <w:szCs w:val="32"/>
          <w:highlight w:val="none"/>
          <w:lang w:val="en-US" w:eastAsia="zh-CN"/>
        </w:rPr>
        <w:t>六</w:t>
      </w:r>
      <w:r>
        <w:rPr>
          <w:rFonts w:hint="eastAsia" w:ascii="宋体" w:hAnsi="宋体"/>
          <w:bCs w:val="0"/>
          <w:i w:val="0"/>
          <w:iCs w:val="0"/>
          <w:color w:val="auto"/>
          <w:sz w:val="32"/>
          <w:szCs w:val="32"/>
          <w:highlight w:val="none"/>
        </w:rPr>
        <w:t>章  投标文件格式</w:t>
      </w:r>
      <w:bookmarkEnd w:id="130"/>
    </w:p>
    <w:p w14:paraId="3566F052">
      <w:pPr>
        <w:tabs>
          <w:tab w:val="left" w:pos="1680"/>
        </w:tabs>
        <w:snapToGrid w:val="0"/>
        <w:spacing w:line="280" w:lineRule="exact"/>
        <w:outlineLvl w:val="1"/>
        <w:rPr>
          <w:rFonts w:ascii="宋体" w:hAnsi="宋体"/>
          <w:color w:val="auto"/>
          <w:sz w:val="32"/>
          <w:szCs w:val="20"/>
          <w:highlight w:val="none"/>
        </w:rPr>
      </w:pPr>
    </w:p>
    <w:p w14:paraId="53EFB8F1">
      <w:pPr>
        <w:tabs>
          <w:tab w:val="left" w:pos="1680"/>
        </w:tabs>
        <w:snapToGrid w:val="0"/>
        <w:rPr>
          <w:rFonts w:ascii="宋体" w:hAnsi="宋体"/>
          <w:color w:val="auto"/>
          <w:sz w:val="28"/>
          <w:szCs w:val="28"/>
          <w:highlight w:val="none"/>
        </w:rPr>
      </w:pP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、投标文件封面格式：</w:t>
      </w:r>
    </w:p>
    <w:p w14:paraId="715A92E7">
      <w:pPr>
        <w:tabs>
          <w:tab w:val="left" w:pos="1680"/>
        </w:tabs>
        <w:snapToGrid w:val="0"/>
        <w:rPr>
          <w:rFonts w:ascii="宋体" w:hAnsi="宋体"/>
          <w:color w:val="auto"/>
          <w:sz w:val="28"/>
          <w:szCs w:val="28"/>
          <w:highlight w:val="none"/>
        </w:rPr>
      </w:pPr>
    </w:p>
    <w:p w14:paraId="3675A133">
      <w:pPr>
        <w:tabs>
          <w:tab w:val="left" w:pos="1680"/>
        </w:tabs>
        <w:snapToGrid w:val="0"/>
        <w:rPr>
          <w:rFonts w:ascii="宋体" w:hAnsi="宋体"/>
          <w:color w:val="auto"/>
          <w:sz w:val="28"/>
          <w:szCs w:val="28"/>
          <w:highlight w:val="none"/>
        </w:rPr>
      </w:pPr>
    </w:p>
    <w:p w14:paraId="5A00A94F">
      <w:pPr>
        <w:tabs>
          <w:tab w:val="left" w:pos="1680"/>
        </w:tabs>
        <w:snapToGrid w:val="0"/>
        <w:rPr>
          <w:rFonts w:ascii="宋体" w:hAnsi="宋体"/>
          <w:b/>
          <w:bCs/>
          <w:color w:val="auto"/>
          <w:sz w:val="24"/>
          <w:highlight w:val="none"/>
        </w:rPr>
      </w:pPr>
    </w:p>
    <w:p w14:paraId="53D2FD08">
      <w:pPr>
        <w:pStyle w:val="11"/>
        <w:tabs>
          <w:tab w:val="left" w:pos="1680"/>
        </w:tabs>
        <w:rPr>
          <w:color w:val="auto"/>
          <w:highlight w:val="none"/>
        </w:rPr>
      </w:pPr>
    </w:p>
    <w:p w14:paraId="37964C7B">
      <w:pPr>
        <w:pStyle w:val="11"/>
        <w:tabs>
          <w:tab w:val="left" w:pos="1680"/>
        </w:tabs>
        <w:rPr>
          <w:color w:val="auto"/>
          <w:highlight w:val="none"/>
        </w:rPr>
      </w:pPr>
    </w:p>
    <w:p w14:paraId="4A2DD36F">
      <w:pPr>
        <w:tabs>
          <w:tab w:val="left" w:pos="1680"/>
        </w:tabs>
        <w:snapToGrid w:val="0"/>
        <w:spacing w:line="240" w:lineRule="exact"/>
        <w:jc w:val="center"/>
        <w:rPr>
          <w:rFonts w:ascii="宋体" w:hAnsi="宋体"/>
          <w:bCs/>
          <w:color w:val="auto"/>
          <w:sz w:val="24"/>
          <w:szCs w:val="20"/>
          <w:highlight w:val="none"/>
        </w:rPr>
      </w:pPr>
    </w:p>
    <w:p w14:paraId="4B18E974">
      <w:pPr>
        <w:tabs>
          <w:tab w:val="left" w:pos="1680"/>
        </w:tabs>
        <w:snapToGrid w:val="0"/>
        <w:spacing w:line="240" w:lineRule="exact"/>
        <w:jc w:val="center"/>
        <w:rPr>
          <w:rFonts w:ascii="宋体" w:hAnsi="宋体"/>
          <w:bCs/>
          <w:color w:val="auto"/>
          <w:sz w:val="24"/>
          <w:szCs w:val="20"/>
          <w:highlight w:val="none"/>
        </w:rPr>
      </w:pPr>
    </w:p>
    <w:p w14:paraId="3E06EF45">
      <w:pPr>
        <w:tabs>
          <w:tab w:val="left" w:pos="1680"/>
        </w:tabs>
        <w:snapToGrid w:val="0"/>
        <w:spacing w:line="240" w:lineRule="exact"/>
        <w:jc w:val="center"/>
        <w:rPr>
          <w:rFonts w:ascii="宋体" w:hAnsi="宋体"/>
          <w:bCs/>
          <w:color w:val="auto"/>
          <w:sz w:val="24"/>
          <w:szCs w:val="20"/>
          <w:highlight w:val="none"/>
        </w:rPr>
      </w:pPr>
    </w:p>
    <w:p w14:paraId="481532ED">
      <w:pPr>
        <w:tabs>
          <w:tab w:val="left" w:pos="1680"/>
        </w:tabs>
        <w:snapToGrid w:val="0"/>
        <w:spacing w:line="240" w:lineRule="exact"/>
        <w:jc w:val="center"/>
        <w:rPr>
          <w:rFonts w:ascii="宋体" w:hAnsi="宋体"/>
          <w:bCs/>
          <w:color w:val="auto"/>
          <w:sz w:val="24"/>
          <w:szCs w:val="20"/>
          <w:highlight w:val="none"/>
        </w:rPr>
      </w:pPr>
    </w:p>
    <w:p w14:paraId="5E3874C1">
      <w:pPr>
        <w:tabs>
          <w:tab w:val="left" w:pos="1680"/>
        </w:tabs>
        <w:snapToGrid w:val="0"/>
        <w:jc w:val="center"/>
        <w:rPr>
          <w:rFonts w:ascii="宋体" w:hAnsi="宋体"/>
          <w:bCs/>
          <w:color w:val="auto"/>
          <w:sz w:val="32"/>
          <w:szCs w:val="32"/>
          <w:highlight w:val="none"/>
        </w:rPr>
      </w:pPr>
      <w:r>
        <w:rPr>
          <w:rFonts w:hint="eastAsia" w:ascii="宋体" w:hAnsi="宋体"/>
          <w:bCs/>
          <w:color w:val="auto"/>
          <w:sz w:val="32"/>
          <w:szCs w:val="32"/>
          <w:highlight w:val="none"/>
        </w:rPr>
        <w:t>投标文件</w:t>
      </w:r>
    </w:p>
    <w:p w14:paraId="6B40E486">
      <w:pPr>
        <w:tabs>
          <w:tab w:val="left" w:pos="1680"/>
        </w:tabs>
        <w:snapToGrid w:val="0"/>
        <w:rPr>
          <w:rFonts w:ascii="宋体" w:hAnsi="宋体"/>
          <w:bCs/>
          <w:color w:val="auto"/>
          <w:sz w:val="24"/>
          <w:szCs w:val="20"/>
          <w:highlight w:val="none"/>
        </w:rPr>
      </w:pPr>
    </w:p>
    <w:p w14:paraId="514F0B05">
      <w:pPr>
        <w:tabs>
          <w:tab w:val="left" w:pos="1680"/>
        </w:tabs>
        <w:snapToGrid w:val="0"/>
        <w:rPr>
          <w:rFonts w:ascii="宋体" w:hAnsi="宋体"/>
          <w:bCs/>
          <w:color w:val="auto"/>
          <w:sz w:val="24"/>
          <w:szCs w:val="20"/>
          <w:highlight w:val="none"/>
        </w:rPr>
      </w:pPr>
    </w:p>
    <w:p w14:paraId="2023BB0A">
      <w:pPr>
        <w:tabs>
          <w:tab w:val="left" w:pos="1680"/>
        </w:tabs>
        <w:snapToGrid w:val="0"/>
        <w:rPr>
          <w:rFonts w:ascii="宋体" w:hAnsi="宋体"/>
          <w:bCs/>
          <w:color w:val="auto"/>
          <w:sz w:val="24"/>
          <w:szCs w:val="20"/>
          <w:highlight w:val="none"/>
        </w:rPr>
      </w:pPr>
    </w:p>
    <w:p w14:paraId="0E082AD0">
      <w:pPr>
        <w:tabs>
          <w:tab w:val="left" w:pos="1680"/>
        </w:tabs>
        <w:snapToGrid w:val="0"/>
        <w:rPr>
          <w:rFonts w:ascii="宋体" w:hAnsi="宋体"/>
          <w:bCs/>
          <w:color w:val="auto"/>
          <w:sz w:val="24"/>
          <w:szCs w:val="20"/>
          <w:highlight w:val="none"/>
        </w:rPr>
      </w:pPr>
    </w:p>
    <w:p w14:paraId="45E81058">
      <w:pPr>
        <w:tabs>
          <w:tab w:val="left" w:pos="1680"/>
        </w:tabs>
        <w:snapToGrid w:val="0"/>
        <w:rPr>
          <w:rFonts w:ascii="宋体" w:hAnsi="宋体"/>
          <w:bCs/>
          <w:color w:val="auto"/>
          <w:sz w:val="24"/>
          <w:szCs w:val="20"/>
          <w:highlight w:val="none"/>
        </w:rPr>
      </w:pPr>
    </w:p>
    <w:p w14:paraId="3231FF01">
      <w:pPr>
        <w:tabs>
          <w:tab w:val="left" w:pos="1680"/>
        </w:tabs>
        <w:snapToGrid w:val="0"/>
        <w:spacing w:line="360" w:lineRule="auto"/>
        <w:rPr>
          <w:rFonts w:ascii="宋体" w:hAnsi="宋体"/>
          <w:bCs/>
          <w:color w:val="auto"/>
          <w:sz w:val="24"/>
          <w:highlight w:val="none"/>
        </w:rPr>
      </w:pPr>
      <w:r>
        <w:rPr>
          <w:rFonts w:hint="eastAsia" w:ascii="宋体" w:hAnsi="宋体"/>
          <w:bCs/>
          <w:color w:val="auto"/>
          <w:sz w:val="24"/>
          <w:highlight w:val="none"/>
        </w:rPr>
        <w:t>项目名称：</w:t>
      </w:r>
    </w:p>
    <w:p w14:paraId="18B97E73">
      <w:pPr>
        <w:tabs>
          <w:tab w:val="left" w:pos="1680"/>
        </w:tabs>
        <w:snapToGrid w:val="0"/>
        <w:spacing w:line="360" w:lineRule="auto"/>
        <w:rPr>
          <w:rFonts w:ascii="宋体" w:hAnsi="宋体"/>
          <w:bCs/>
          <w:color w:val="auto"/>
          <w:sz w:val="24"/>
          <w:highlight w:val="none"/>
        </w:rPr>
      </w:pPr>
      <w:r>
        <w:rPr>
          <w:rFonts w:hint="eastAsia" w:ascii="宋体" w:hAnsi="宋体"/>
          <w:bCs/>
          <w:color w:val="auto"/>
          <w:sz w:val="24"/>
          <w:highlight w:val="none"/>
        </w:rPr>
        <w:t>投标人名称：</w:t>
      </w:r>
    </w:p>
    <w:p w14:paraId="664EB0F6">
      <w:pPr>
        <w:tabs>
          <w:tab w:val="left" w:pos="1680"/>
        </w:tabs>
        <w:snapToGrid w:val="0"/>
        <w:spacing w:line="360" w:lineRule="auto"/>
        <w:rPr>
          <w:rFonts w:ascii="宋体" w:hAnsi="宋体"/>
          <w:bCs/>
          <w:color w:val="auto"/>
          <w:sz w:val="24"/>
          <w:highlight w:val="none"/>
        </w:rPr>
      </w:pPr>
      <w:r>
        <w:rPr>
          <w:rFonts w:hint="eastAsia" w:ascii="宋体" w:hAnsi="宋体"/>
          <w:bCs/>
          <w:color w:val="auto"/>
          <w:sz w:val="24"/>
          <w:highlight w:val="none"/>
        </w:rPr>
        <w:t>投标人地址：</w:t>
      </w:r>
    </w:p>
    <w:p w14:paraId="43580D56">
      <w:pPr>
        <w:pStyle w:val="6"/>
        <w:tabs>
          <w:tab w:val="left" w:pos="1680"/>
        </w:tabs>
        <w:snapToGrid w:val="0"/>
        <w:ind w:firstLine="1497" w:firstLineChars="416"/>
        <w:rPr>
          <w:rFonts w:ascii="宋体" w:hAnsi="宋体"/>
          <w:color w:val="auto"/>
          <w:sz w:val="36"/>
          <w:highlight w:val="none"/>
        </w:rPr>
      </w:pPr>
    </w:p>
    <w:p w14:paraId="024C4A02">
      <w:pPr>
        <w:pStyle w:val="6"/>
        <w:tabs>
          <w:tab w:val="left" w:pos="1680"/>
        </w:tabs>
        <w:snapToGrid w:val="0"/>
        <w:ind w:firstLine="1497" w:firstLineChars="416"/>
        <w:rPr>
          <w:rFonts w:ascii="宋体" w:hAnsi="宋体"/>
          <w:color w:val="auto"/>
          <w:sz w:val="36"/>
          <w:highlight w:val="none"/>
        </w:rPr>
      </w:pPr>
    </w:p>
    <w:p w14:paraId="572178B8">
      <w:pPr>
        <w:tabs>
          <w:tab w:val="left" w:pos="1680"/>
        </w:tabs>
        <w:snapToGrid w:val="0"/>
        <w:ind w:firstLine="4920" w:firstLineChars="2050"/>
        <w:rPr>
          <w:rFonts w:ascii="宋体" w:hAnsi="宋体"/>
          <w:bCs/>
          <w:color w:val="auto"/>
          <w:sz w:val="24"/>
          <w:szCs w:val="20"/>
          <w:highlight w:val="none"/>
        </w:rPr>
      </w:pPr>
      <w:r>
        <w:rPr>
          <w:rFonts w:hint="eastAsia" w:ascii="宋体" w:hAnsi="宋体"/>
          <w:bCs/>
          <w:color w:val="auto"/>
          <w:sz w:val="24"/>
          <w:szCs w:val="20"/>
          <w:highlight w:val="none"/>
        </w:rPr>
        <w:t>投标人名称（加盖投标人公章）</w:t>
      </w:r>
    </w:p>
    <w:p w14:paraId="4C097EF6">
      <w:pPr>
        <w:tabs>
          <w:tab w:val="left" w:pos="1680"/>
        </w:tabs>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7E4ECD30">
      <w:pPr>
        <w:widowControl/>
        <w:tabs>
          <w:tab w:val="left" w:pos="1680"/>
        </w:tabs>
        <w:jc w:val="left"/>
        <w:rPr>
          <w:rFonts w:ascii="宋体" w:hAnsi="宋体"/>
          <w:color w:val="auto"/>
          <w:sz w:val="24"/>
          <w:highlight w:val="none"/>
        </w:rPr>
      </w:pPr>
      <w:r>
        <w:rPr>
          <w:rFonts w:ascii="宋体" w:hAnsi="宋体"/>
          <w:color w:val="auto"/>
          <w:sz w:val="24"/>
          <w:highlight w:val="none"/>
        </w:rPr>
        <w:br w:type="page"/>
      </w:r>
    </w:p>
    <w:p w14:paraId="2CBEE334">
      <w:pPr>
        <w:pStyle w:val="4"/>
        <w:pageBreakBefore/>
        <w:tabs>
          <w:tab w:val="left" w:pos="1680"/>
          <w:tab w:val="left" w:pos="5580"/>
        </w:tabs>
        <w:spacing w:beforeLines="50" w:line="22" w:lineRule="atLeast"/>
        <w:jc w:val="left"/>
        <w:rPr>
          <w:rFonts w:asciiTheme="minorEastAsia" w:hAnsiTheme="minorEastAsia" w:eastAsiaTheme="minorEastAsia"/>
          <w:color w:val="auto"/>
          <w:sz w:val="28"/>
          <w:szCs w:val="28"/>
          <w:highlight w:val="none"/>
        </w:rPr>
      </w:pPr>
      <w:bookmarkStart w:id="131" w:name="_Toc6783"/>
      <w:r>
        <w:rPr>
          <w:rFonts w:hint="eastAsia" w:asciiTheme="minorEastAsia" w:hAnsiTheme="minorEastAsia" w:eastAsiaTheme="minorEastAsia"/>
          <w:b w:val="0"/>
          <w:color w:val="auto"/>
          <w:sz w:val="24"/>
          <w:highlight w:val="none"/>
        </w:rPr>
        <w:t xml:space="preserve">附件一                       </w:t>
      </w:r>
      <w:r>
        <w:rPr>
          <w:rFonts w:hint="eastAsia" w:asciiTheme="minorEastAsia" w:hAnsiTheme="minorEastAsia" w:eastAsiaTheme="minorEastAsia"/>
          <w:b w:val="0"/>
          <w:color w:val="auto"/>
          <w:sz w:val="28"/>
          <w:szCs w:val="28"/>
          <w:highlight w:val="none"/>
        </w:rPr>
        <w:t xml:space="preserve">  </w:t>
      </w:r>
      <w:r>
        <w:rPr>
          <w:rFonts w:hint="eastAsia" w:asciiTheme="minorEastAsia" w:hAnsiTheme="minorEastAsia" w:eastAsiaTheme="minorEastAsia"/>
          <w:color w:val="auto"/>
          <w:sz w:val="28"/>
          <w:szCs w:val="28"/>
          <w:highlight w:val="none"/>
        </w:rPr>
        <w:t>评分索引表</w:t>
      </w:r>
      <w:bookmarkEnd w:id="131"/>
    </w:p>
    <w:tbl>
      <w:tblPr>
        <w:tblStyle w:val="31"/>
        <w:tblW w:w="5369" w:type="pct"/>
        <w:tblInd w:w="-318" w:type="dxa"/>
        <w:tblLayout w:type="fixed"/>
        <w:tblCellMar>
          <w:top w:w="0" w:type="dxa"/>
          <w:left w:w="108" w:type="dxa"/>
          <w:bottom w:w="0" w:type="dxa"/>
          <w:right w:w="108" w:type="dxa"/>
        </w:tblCellMar>
      </w:tblPr>
      <w:tblGrid>
        <w:gridCol w:w="721"/>
        <w:gridCol w:w="1134"/>
        <w:gridCol w:w="1262"/>
        <w:gridCol w:w="3992"/>
        <w:gridCol w:w="993"/>
        <w:gridCol w:w="718"/>
        <w:gridCol w:w="1130"/>
      </w:tblGrid>
      <w:tr w14:paraId="7E10543D">
        <w:tblPrEx>
          <w:tblCellMar>
            <w:top w:w="0" w:type="dxa"/>
            <w:left w:w="108" w:type="dxa"/>
            <w:bottom w:w="0" w:type="dxa"/>
            <w:right w:w="108" w:type="dxa"/>
          </w:tblCellMar>
        </w:tblPrEx>
        <w:trPr>
          <w:trHeight w:val="579" w:hRule="atLeast"/>
        </w:trPr>
        <w:tc>
          <w:tcPr>
            <w:tcW w:w="36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697694">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204" w:type="pct"/>
            <w:gridSpan w:val="2"/>
            <w:tcBorders>
              <w:top w:val="single" w:color="auto" w:sz="4" w:space="0"/>
              <w:left w:val="nil"/>
              <w:bottom w:val="single" w:color="auto" w:sz="4" w:space="0"/>
              <w:right w:val="single" w:color="000000" w:sz="4" w:space="0"/>
            </w:tcBorders>
            <w:shd w:val="clear" w:color="auto" w:fill="auto"/>
            <w:noWrap/>
            <w:vAlign w:val="center"/>
          </w:tcPr>
          <w:p w14:paraId="0D2CCA85">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考评内容</w:t>
            </w:r>
          </w:p>
        </w:tc>
        <w:tc>
          <w:tcPr>
            <w:tcW w:w="20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AB9DFC">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指标信息</w:t>
            </w:r>
          </w:p>
        </w:tc>
        <w:tc>
          <w:tcPr>
            <w:tcW w:w="498" w:type="pct"/>
            <w:vMerge w:val="restart"/>
            <w:tcBorders>
              <w:top w:val="single" w:color="auto" w:sz="4" w:space="0"/>
              <w:left w:val="single" w:color="auto" w:sz="4" w:space="0"/>
              <w:right w:val="single" w:color="auto" w:sz="4" w:space="0"/>
            </w:tcBorders>
            <w:vAlign w:val="center"/>
          </w:tcPr>
          <w:p w14:paraId="2D77840E">
            <w:pPr>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投标人响应值</w:t>
            </w:r>
          </w:p>
        </w:tc>
        <w:tc>
          <w:tcPr>
            <w:tcW w:w="360" w:type="pct"/>
            <w:vMerge w:val="restart"/>
            <w:tcBorders>
              <w:top w:val="single" w:color="auto" w:sz="4" w:space="0"/>
              <w:left w:val="single" w:color="auto" w:sz="4" w:space="0"/>
              <w:right w:val="single" w:color="auto" w:sz="4" w:space="0"/>
            </w:tcBorders>
            <w:vAlign w:val="center"/>
          </w:tcPr>
          <w:p w14:paraId="12F9062A">
            <w:pPr>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自评分</w:t>
            </w:r>
          </w:p>
        </w:tc>
        <w:tc>
          <w:tcPr>
            <w:tcW w:w="567" w:type="pct"/>
            <w:vMerge w:val="restart"/>
            <w:tcBorders>
              <w:top w:val="single" w:color="auto" w:sz="4" w:space="0"/>
              <w:left w:val="single" w:color="auto" w:sz="4" w:space="0"/>
              <w:bottom w:val="single" w:color="auto" w:sz="4" w:space="0"/>
              <w:right w:val="single" w:color="auto" w:sz="4" w:space="0"/>
            </w:tcBorders>
            <w:vAlign w:val="center"/>
          </w:tcPr>
          <w:p w14:paraId="1A7F1C24">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证明材料索引页码</w:t>
            </w:r>
          </w:p>
        </w:tc>
      </w:tr>
      <w:tr w14:paraId="59A954EC">
        <w:tblPrEx>
          <w:tblCellMar>
            <w:top w:w="0" w:type="dxa"/>
            <w:left w:w="108" w:type="dxa"/>
            <w:bottom w:w="0" w:type="dxa"/>
            <w:right w:w="108" w:type="dxa"/>
          </w:tblCellMar>
        </w:tblPrEx>
        <w:trPr>
          <w:trHeight w:val="527" w:hRule="atLeast"/>
        </w:trPr>
        <w:tc>
          <w:tcPr>
            <w:tcW w:w="362" w:type="pct"/>
            <w:vMerge w:val="continue"/>
            <w:tcBorders>
              <w:top w:val="single" w:color="auto" w:sz="4" w:space="0"/>
              <w:left w:val="single" w:color="auto" w:sz="4" w:space="0"/>
              <w:bottom w:val="single" w:color="auto" w:sz="4" w:space="0"/>
              <w:right w:val="single" w:color="auto" w:sz="4" w:space="0"/>
            </w:tcBorders>
            <w:vAlign w:val="center"/>
          </w:tcPr>
          <w:p w14:paraId="2533CD68">
            <w:pPr>
              <w:widowControl/>
              <w:tabs>
                <w:tab w:val="left" w:pos="1680"/>
              </w:tabs>
              <w:jc w:val="left"/>
              <w:rPr>
                <w:rFonts w:ascii="宋体" w:hAnsi="宋体" w:eastAsia="宋体" w:cs="宋体"/>
                <w:bCs/>
                <w:color w:val="auto"/>
                <w:kern w:val="0"/>
                <w:szCs w:val="21"/>
                <w:highlight w:val="none"/>
              </w:rPr>
            </w:pPr>
          </w:p>
        </w:tc>
        <w:tc>
          <w:tcPr>
            <w:tcW w:w="569" w:type="pct"/>
            <w:tcBorders>
              <w:top w:val="nil"/>
              <w:left w:val="nil"/>
              <w:bottom w:val="single" w:color="auto" w:sz="4" w:space="0"/>
              <w:right w:val="single" w:color="auto" w:sz="4" w:space="0"/>
            </w:tcBorders>
            <w:shd w:val="clear" w:color="auto" w:fill="auto"/>
            <w:vAlign w:val="center"/>
          </w:tcPr>
          <w:p w14:paraId="64DA1511">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一级指标</w:t>
            </w:r>
          </w:p>
        </w:tc>
        <w:tc>
          <w:tcPr>
            <w:tcW w:w="634" w:type="pct"/>
            <w:tcBorders>
              <w:top w:val="nil"/>
              <w:left w:val="nil"/>
              <w:bottom w:val="single" w:color="auto" w:sz="4" w:space="0"/>
              <w:right w:val="single" w:color="auto" w:sz="4" w:space="0"/>
            </w:tcBorders>
            <w:shd w:val="clear" w:color="auto" w:fill="auto"/>
            <w:vAlign w:val="center"/>
          </w:tcPr>
          <w:p w14:paraId="18EBBB38">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二级指标</w:t>
            </w:r>
          </w:p>
        </w:tc>
        <w:tc>
          <w:tcPr>
            <w:tcW w:w="2006" w:type="pct"/>
            <w:vMerge w:val="continue"/>
            <w:tcBorders>
              <w:top w:val="single" w:color="auto" w:sz="4" w:space="0"/>
              <w:left w:val="single" w:color="auto" w:sz="4" w:space="0"/>
              <w:bottom w:val="single" w:color="auto" w:sz="4" w:space="0"/>
              <w:right w:val="single" w:color="auto" w:sz="4" w:space="0"/>
            </w:tcBorders>
            <w:vAlign w:val="center"/>
          </w:tcPr>
          <w:p w14:paraId="6E8F5FE2">
            <w:pPr>
              <w:widowControl/>
              <w:tabs>
                <w:tab w:val="left" w:pos="1680"/>
              </w:tabs>
              <w:jc w:val="left"/>
              <w:rPr>
                <w:rFonts w:ascii="宋体" w:hAnsi="宋体" w:eastAsia="宋体" w:cs="宋体"/>
                <w:bCs/>
                <w:color w:val="auto"/>
                <w:kern w:val="0"/>
                <w:szCs w:val="21"/>
                <w:highlight w:val="none"/>
              </w:rPr>
            </w:pPr>
          </w:p>
        </w:tc>
        <w:tc>
          <w:tcPr>
            <w:tcW w:w="498" w:type="pct"/>
            <w:vMerge w:val="continue"/>
            <w:tcBorders>
              <w:left w:val="single" w:color="auto" w:sz="4" w:space="0"/>
              <w:bottom w:val="single" w:color="auto" w:sz="4" w:space="0"/>
              <w:right w:val="single" w:color="auto" w:sz="4" w:space="0"/>
            </w:tcBorders>
          </w:tcPr>
          <w:p w14:paraId="5268592F">
            <w:pPr>
              <w:widowControl/>
              <w:tabs>
                <w:tab w:val="left" w:pos="1680"/>
              </w:tabs>
              <w:jc w:val="left"/>
              <w:rPr>
                <w:rFonts w:ascii="宋体" w:hAnsi="宋体" w:eastAsia="宋体" w:cs="宋体"/>
                <w:bCs/>
                <w:color w:val="auto"/>
                <w:kern w:val="0"/>
                <w:szCs w:val="21"/>
                <w:highlight w:val="none"/>
              </w:rPr>
            </w:pPr>
          </w:p>
        </w:tc>
        <w:tc>
          <w:tcPr>
            <w:tcW w:w="360" w:type="pct"/>
            <w:vMerge w:val="continue"/>
            <w:tcBorders>
              <w:left w:val="single" w:color="auto" w:sz="4" w:space="0"/>
              <w:bottom w:val="single" w:color="auto" w:sz="4" w:space="0"/>
              <w:right w:val="single" w:color="auto" w:sz="4" w:space="0"/>
            </w:tcBorders>
          </w:tcPr>
          <w:p w14:paraId="1F00A109">
            <w:pPr>
              <w:widowControl/>
              <w:tabs>
                <w:tab w:val="left" w:pos="1680"/>
              </w:tabs>
              <w:jc w:val="left"/>
              <w:rPr>
                <w:rFonts w:ascii="宋体" w:hAnsi="宋体" w:eastAsia="宋体" w:cs="宋体"/>
                <w:bCs/>
                <w:color w:val="auto"/>
                <w:kern w:val="0"/>
                <w:szCs w:val="21"/>
                <w:highlight w:val="none"/>
              </w:rPr>
            </w:pPr>
          </w:p>
        </w:tc>
        <w:tc>
          <w:tcPr>
            <w:tcW w:w="567" w:type="pct"/>
            <w:vMerge w:val="continue"/>
            <w:tcBorders>
              <w:top w:val="single" w:color="auto" w:sz="4" w:space="0"/>
              <w:left w:val="single" w:color="auto" w:sz="4" w:space="0"/>
              <w:bottom w:val="single" w:color="auto" w:sz="4" w:space="0"/>
              <w:right w:val="single" w:color="auto" w:sz="4" w:space="0"/>
            </w:tcBorders>
          </w:tcPr>
          <w:p w14:paraId="1E8D98FD">
            <w:pPr>
              <w:widowControl/>
              <w:tabs>
                <w:tab w:val="left" w:pos="1680"/>
              </w:tabs>
              <w:jc w:val="left"/>
              <w:rPr>
                <w:rFonts w:ascii="宋体" w:hAnsi="宋体" w:eastAsia="宋体" w:cs="宋体"/>
                <w:bCs/>
                <w:color w:val="auto"/>
                <w:kern w:val="0"/>
                <w:szCs w:val="21"/>
                <w:highlight w:val="none"/>
              </w:rPr>
            </w:pPr>
          </w:p>
        </w:tc>
      </w:tr>
      <w:tr w14:paraId="3616A38F">
        <w:tblPrEx>
          <w:tblCellMar>
            <w:top w:w="0" w:type="dxa"/>
            <w:left w:w="108" w:type="dxa"/>
            <w:bottom w:w="0" w:type="dxa"/>
            <w:right w:w="108" w:type="dxa"/>
          </w:tblCellMar>
        </w:tblPrEx>
        <w:trPr>
          <w:trHeight w:val="546" w:hRule="atLeast"/>
        </w:trPr>
        <w:tc>
          <w:tcPr>
            <w:tcW w:w="362" w:type="pct"/>
            <w:vMerge w:val="restart"/>
            <w:tcBorders>
              <w:top w:val="single" w:color="auto" w:sz="4" w:space="0"/>
              <w:left w:val="single" w:color="auto" w:sz="4" w:space="0"/>
              <w:right w:val="single" w:color="auto" w:sz="4" w:space="0"/>
            </w:tcBorders>
            <w:vAlign w:val="center"/>
          </w:tcPr>
          <w:p w14:paraId="704F8FFF">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569" w:type="pct"/>
            <w:vMerge w:val="restart"/>
            <w:tcBorders>
              <w:top w:val="single" w:color="auto" w:sz="4" w:space="0"/>
              <w:left w:val="nil"/>
              <w:right w:val="single" w:color="auto" w:sz="4" w:space="0"/>
            </w:tcBorders>
            <w:shd w:val="clear" w:color="auto" w:fill="auto"/>
            <w:vAlign w:val="center"/>
          </w:tcPr>
          <w:p w14:paraId="1FFF9411">
            <w:pPr>
              <w:tabs>
                <w:tab w:val="left" w:pos="1680"/>
              </w:tabs>
              <w:spacing w:after="0" w:line="259" w:lineRule="auto"/>
              <w:ind w:left="0" w:leftChars="0" w:right="110" w:rightChars="0" w:firstLine="0" w:firstLineChars="0"/>
              <w:jc w:val="center"/>
              <w:rPr>
                <w:rFonts w:ascii="宋体" w:hAnsi="宋体" w:eastAsia="宋体" w:cs="宋体"/>
                <w:bCs/>
                <w:color w:val="auto"/>
                <w:kern w:val="0"/>
                <w:szCs w:val="21"/>
                <w:highlight w:val="none"/>
              </w:rPr>
            </w:pPr>
            <w:r>
              <w:rPr>
                <w:color w:val="auto"/>
                <w:sz w:val="21"/>
                <w:highlight w:val="none"/>
              </w:rPr>
              <w:t>利率水平（</w:t>
            </w:r>
            <w:r>
              <w:rPr>
                <w:rFonts w:hint="eastAsia"/>
                <w:color w:val="auto"/>
                <w:sz w:val="21"/>
                <w:highlight w:val="none"/>
                <w:lang w:val="en-US" w:eastAsia="zh-CN"/>
              </w:rPr>
              <w:t>6</w:t>
            </w:r>
            <w:r>
              <w:rPr>
                <w:color w:val="auto"/>
                <w:sz w:val="21"/>
                <w:highlight w:val="none"/>
              </w:rPr>
              <w:t>分）</w:t>
            </w:r>
          </w:p>
        </w:tc>
        <w:tc>
          <w:tcPr>
            <w:tcW w:w="634" w:type="pct"/>
            <w:tcBorders>
              <w:top w:val="single" w:color="auto" w:sz="4" w:space="0"/>
              <w:left w:val="nil"/>
              <w:bottom w:val="single" w:color="auto" w:sz="4" w:space="0"/>
              <w:right w:val="single" w:color="auto" w:sz="4" w:space="0"/>
            </w:tcBorders>
            <w:shd w:val="clear" w:color="auto" w:fill="auto"/>
            <w:vAlign w:val="center"/>
          </w:tcPr>
          <w:p w14:paraId="7764F174">
            <w:pPr>
              <w:tabs>
                <w:tab w:val="left" w:pos="1680"/>
              </w:tabs>
              <w:spacing w:after="0" w:line="259" w:lineRule="auto"/>
              <w:ind w:left="0" w:leftChars="0" w:firstLine="0" w:firstLineChars="0"/>
              <w:jc w:val="both"/>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w:t>
            </w:r>
          </w:p>
        </w:tc>
        <w:tc>
          <w:tcPr>
            <w:tcW w:w="2006" w:type="pct"/>
            <w:tcBorders>
              <w:top w:val="single" w:color="auto" w:sz="4" w:space="0"/>
              <w:left w:val="single" w:color="auto" w:sz="4" w:space="0"/>
              <w:bottom w:val="single" w:color="auto" w:sz="4" w:space="0"/>
              <w:right w:val="single" w:color="auto" w:sz="4" w:space="0"/>
            </w:tcBorders>
            <w:vAlign w:val="center"/>
          </w:tcPr>
          <w:p w14:paraId="167E7C56">
            <w:pPr>
              <w:tabs>
                <w:tab w:val="left" w:pos="1680"/>
              </w:tabs>
              <w:spacing w:after="0" w:line="259" w:lineRule="auto"/>
              <w:ind w:left="0" w:leftChars="0" w:firstLine="0" w:firstLineChars="0"/>
              <w:jc w:val="both"/>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存款利率达到自律上限情况</w:t>
            </w:r>
          </w:p>
        </w:tc>
        <w:tc>
          <w:tcPr>
            <w:tcW w:w="498" w:type="pct"/>
            <w:tcBorders>
              <w:top w:val="single" w:color="auto" w:sz="4" w:space="0"/>
              <w:left w:val="single" w:color="auto" w:sz="4" w:space="0"/>
              <w:bottom w:val="single" w:color="auto" w:sz="4" w:space="0"/>
              <w:right w:val="single" w:color="auto" w:sz="4" w:space="0"/>
            </w:tcBorders>
            <w:vAlign w:val="center"/>
          </w:tcPr>
          <w:p w14:paraId="1A23340F">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54A53F6">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4BB68933">
            <w:pPr>
              <w:widowControl/>
              <w:tabs>
                <w:tab w:val="left" w:pos="1680"/>
              </w:tabs>
              <w:jc w:val="center"/>
              <w:rPr>
                <w:rFonts w:ascii="宋体" w:hAnsi="宋体" w:eastAsia="宋体" w:cs="宋体"/>
                <w:bCs/>
                <w:color w:val="auto"/>
                <w:kern w:val="0"/>
                <w:szCs w:val="21"/>
                <w:highlight w:val="none"/>
              </w:rPr>
            </w:pPr>
          </w:p>
        </w:tc>
      </w:tr>
      <w:tr w14:paraId="313ED8FE">
        <w:tblPrEx>
          <w:tblCellMar>
            <w:top w:w="0" w:type="dxa"/>
            <w:left w:w="108" w:type="dxa"/>
            <w:bottom w:w="0" w:type="dxa"/>
            <w:right w:w="108" w:type="dxa"/>
          </w:tblCellMar>
        </w:tblPrEx>
        <w:trPr>
          <w:trHeight w:val="546" w:hRule="atLeast"/>
        </w:trPr>
        <w:tc>
          <w:tcPr>
            <w:tcW w:w="362" w:type="pct"/>
            <w:vMerge w:val="continue"/>
            <w:tcBorders>
              <w:left w:val="single" w:color="auto" w:sz="4" w:space="0"/>
              <w:right w:val="single" w:color="auto" w:sz="4" w:space="0"/>
            </w:tcBorders>
            <w:vAlign w:val="center"/>
          </w:tcPr>
          <w:p w14:paraId="6F43CE96">
            <w:pPr>
              <w:widowControl/>
              <w:tabs>
                <w:tab w:val="left" w:pos="1680"/>
              </w:tabs>
              <w:jc w:val="center"/>
              <w:rPr>
                <w:rFonts w:hint="eastAsia"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3AE4DEF6">
            <w:pPr>
              <w:tabs>
                <w:tab w:val="left" w:pos="1680"/>
              </w:tabs>
              <w:spacing w:after="0" w:line="259" w:lineRule="auto"/>
              <w:ind w:left="0" w:leftChars="0" w:right="110" w:rightChars="0" w:firstLine="0" w:firstLineChars="0"/>
              <w:jc w:val="center"/>
              <w:rPr>
                <w:rFonts w:hint="eastAsia" w:ascii="宋体" w:hAnsi="宋体" w:eastAsia="宋体" w:cs="宋体"/>
                <w:bCs/>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139EDC20">
            <w:pPr>
              <w:tabs>
                <w:tab w:val="left" w:pos="1680"/>
              </w:tabs>
              <w:spacing w:after="0" w:line="259" w:lineRule="auto"/>
              <w:ind w:left="0" w:leftChars="0" w:firstLine="0" w:firstLineChars="0"/>
              <w:jc w:val="both"/>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w:t>
            </w:r>
          </w:p>
        </w:tc>
        <w:tc>
          <w:tcPr>
            <w:tcW w:w="2006" w:type="pct"/>
            <w:tcBorders>
              <w:top w:val="single" w:color="auto" w:sz="4" w:space="0"/>
              <w:left w:val="single" w:color="auto" w:sz="4" w:space="0"/>
              <w:bottom w:val="single" w:color="auto" w:sz="4" w:space="0"/>
              <w:right w:val="single" w:color="auto" w:sz="4" w:space="0"/>
            </w:tcBorders>
            <w:vAlign w:val="center"/>
          </w:tcPr>
          <w:p w14:paraId="0345015F">
            <w:pPr>
              <w:tabs>
                <w:tab w:val="left" w:pos="1680"/>
              </w:tabs>
              <w:spacing w:after="0" w:line="259" w:lineRule="auto"/>
              <w:ind w:left="0" w:leftChars="0" w:firstLine="0" w:firstLineChars="0"/>
              <w:jc w:val="both"/>
              <w:rPr>
                <w:rFonts w:hint="eastAsia"/>
                <w:color w:val="auto"/>
                <w:highlight w:val="none"/>
              </w:rPr>
            </w:pPr>
            <w:r>
              <w:rPr>
                <w:rFonts w:hint="eastAsia"/>
                <w:color w:val="auto"/>
                <w:highlight w:val="none"/>
                <w:lang w:val="en-US" w:eastAsia="zh-CN"/>
              </w:rPr>
              <w:t>2</w:t>
            </w:r>
            <w:r>
              <w:rPr>
                <w:rFonts w:hint="eastAsia"/>
                <w:color w:val="auto"/>
                <w:highlight w:val="none"/>
              </w:rPr>
              <w:t>）存款利率</w:t>
            </w:r>
          </w:p>
        </w:tc>
        <w:tc>
          <w:tcPr>
            <w:tcW w:w="498" w:type="pct"/>
            <w:tcBorders>
              <w:top w:val="single" w:color="auto" w:sz="4" w:space="0"/>
              <w:left w:val="single" w:color="auto" w:sz="4" w:space="0"/>
              <w:bottom w:val="single" w:color="auto" w:sz="4" w:space="0"/>
              <w:right w:val="single" w:color="auto" w:sz="4" w:space="0"/>
            </w:tcBorders>
            <w:vAlign w:val="center"/>
          </w:tcPr>
          <w:p w14:paraId="6A443128">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4532D84">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0682D187">
            <w:pPr>
              <w:widowControl/>
              <w:tabs>
                <w:tab w:val="left" w:pos="1680"/>
              </w:tabs>
              <w:jc w:val="center"/>
              <w:rPr>
                <w:rFonts w:ascii="宋体" w:hAnsi="宋体" w:eastAsia="宋体" w:cs="宋体"/>
                <w:bCs/>
                <w:color w:val="auto"/>
                <w:kern w:val="0"/>
                <w:szCs w:val="21"/>
                <w:highlight w:val="none"/>
              </w:rPr>
            </w:pPr>
          </w:p>
        </w:tc>
      </w:tr>
      <w:tr w14:paraId="3083419E">
        <w:tblPrEx>
          <w:tblCellMar>
            <w:top w:w="0" w:type="dxa"/>
            <w:left w:w="108" w:type="dxa"/>
            <w:bottom w:w="0" w:type="dxa"/>
            <w:right w:w="108" w:type="dxa"/>
          </w:tblCellMar>
        </w:tblPrEx>
        <w:trPr>
          <w:trHeight w:val="702" w:hRule="atLeast"/>
        </w:trPr>
        <w:tc>
          <w:tcPr>
            <w:tcW w:w="362" w:type="pct"/>
            <w:vMerge w:val="restart"/>
            <w:tcBorders>
              <w:top w:val="single" w:color="auto" w:sz="4" w:space="0"/>
              <w:left w:val="single" w:color="auto" w:sz="4" w:space="0"/>
              <w:right w:val="single" w:color="auto" w:sz="4" w:space="0"/>
            </w:tcBorders>
            <w:vAlign w:val="center"/>
          </w:tcPr>
          <w:p w14:paraId="58A9807A">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569" w:type="pct"/>
            <w:vMerge w:val="restart"/>
            <w:tcBorders>
              <w:top w:val="single" w:color="auto" w:sz="4" w:space="0"/>
              <w:left w:val="nil"/>
              <w:right w:val="single" w:color="auto" w:sz="4" w:space="0"/>
            </w:tcBorders>
            <w:shd w:val="clear" w:color="auto" w:fill="auto"/>
            <w:vAlign w:val="center"/>
          </w:tcPr>
          <w:p w14:paraId="53235A95">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经营状况（</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rPr>
              <w:t>分）</w:t>
            </w:r>
          </w:p>
        </w:tc>
        <w:tc>
          <w:tcPr>
            <w:tcW w:w="634" w:type="pct"/>
            <w:tcBorders>
              <w:top w:val="single" w:color="auto" w:sz="4" w:space="0"/>
              <w:left w:val="nil"/>
              <w:bottom w:val="single" w:color="auto" w:sz="4" w:space="0"/>
              <w:right w:val="single" w:color="auto" w:sz="4" w:space="0"/>
            </w:tcBorders>
            <w:shd w:val="clear" w:color="auto" w:fill="auto"/>
            <w:vAlign w:val="center"/>
          </w:tcPr>
          <w:p w14:paraId="10F8EBE5">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资本充足率（8分）</w:t>
            </w:r>
          </w:p>
        </w:tc>
        <w:tc>
          <w:tcPr>
            <w:tcW w:w="2006" w:type="pct"/>
            <w:tcBorders>
              <w:top w:val="single" w:color="auto" w:sz="4" w:space="0"/>
              <w:left w:val="single" w:color="auto" w:sz="4" w:space="0"/>
              <w:bottom w:val="single" w:color="auto" w:sz="4" w:space="0"/>
              <w:right w:val="single" w:color="auto" w:sz="4" w:space="0"/>
            </w:tcBorders>
            <w:vAlign w:val="center"/>
          </w:tcPr>
          <w:p w14:paraId="1707034E">
            <w:pPr>
              <w:tabs>
                <w:tab w:val="left" w:pos="1680"/>
              </w:tabs>
              <w:spacing w:after="0" w:line="259" w:lineRule="auto"/>
              <w:ind w:left="10" w:leftChars="0" w:right="124" w:rightChars="59" w:hanging="10" w:hangingChars="5"/>
              <w:jc w:val="left"/>
              <w:rPr>
                <w:rFonts w:ascii="宋体" w:hAnsi="宋体" w:eastAsia="宋体" w:cs="宋体"/>
                <w:color w:val="auto"/>
                <w:kern w:val="0"/>
                <w:szCs w:val="21"/>
                <w:highlight w:val="none"/>
              </w:rPr>
            </w:pPr>
            <w:r>
              <w:rPr>
                <w:rFonts w:hint="eastAsia"/>
                <w:color w:val="auto"/>
                <w:sz w:val="21"/>
                <w:highlight w:val="none"/>
                <w:lang w:val="en-US" w:eastAsia="zh-CN"/>
              </w:rPr>
              <w:t>总行资本充足率</w:t>
            </w:r>
            <w:r>
              <w:rPr>
                <w:rFonts w:hint="eastAsia"/>
                <w:color w:val="auto"/>
                <w:sz w:val="21"/>
                <w:highlight w:val="none"/>
              </w:rPr>
              <w:t>≥</w:t>
            </w:r>
            <w:r>
              <w:rPr>
                <w:rFonts w:hint="eastAsia"/>
                <w:color w:val="auto"/>
                <w:sz w:val="21"/>
                <w:highlight w:val="none"/>
                <w:lang w:val="en-US" w:eastAsia="zh-CN"/>
              </w:rPr>
              <w:t>18%的得8分，每减少0.5%</w:t>
            </w:r>
            <w:r>
              <w:rPr>
                <w:rFonts w:hint="eastAsia"/>
                <w:color w:val="auto"/>
                <w:sz w:val="21"/>
                <w:highlight w:val="none"/>
              </w:rPr>
              <w:t>扣</w:t>
            </w:r>
            <w:r>
              <w:rPr>
                <w:rFonts w:hint="eastAsia"/>
                <w:color w:val="auto"/>
                <w:sz w:val="21"/>
                <w:highlight w:val="none"/>
                <w:lang w:val="en-US" w:eastAsia="zh-CN"/>
              </w:rPr>
              <w:t>1分（</w:t>
            </w:r>
            <w:r>
              <w:rPr>
                <w:rFonts w:hint="eastAsia"/>
                <w:color w:val="auto"/>
                <w:sz w:val="21"/>
                <w:highlight w:val="none"/>
              </w:rPr>
              <w:t>不足</w:t>
            </w:r>
            <w:r>
              <w:rPr>
                <w:rFonts w:hint="eastAsia"/>
                <w:color w:val="auto"/>
                <w:sz w:val="21"/>
                <w:highlight w:val="none"/>
                <w:lang w:val="en-US" w:eastAsia="zh-CN"/>
              </w:rPr>
              <w:t>0.5</w:t>
            </w:r>
            <w:r>
              <w:rPr>
                <w:rFonts w:hint="eastAsia"/>
                <w:color w:val="auto"/>
                <w:sz w:val="21"/>
                <w:highlight w:val="none"/>
              </w:rPr>
              <w:t>%部分按</w:t>
            </w:r>
            <w:r>
              <w:rPr>
                <w:rFonts w:hint="eastAsia"/>
                <w:color w:val="auto"/>
                <w:sz w:val="21"/>
                <w:highlight w:val="none"/>
                <w:lang w:val="en-US" w:eastAsia="zh-CN"/>
              </w:rPr>
              <w:t>0.5</w:t>
            </w:r>
            <w:r>
              <w:rPr>
                <w:rFonts w:hint="eastAsia"/>
                <w:color w:val="auto"/>
                <w:sz w:val="21"/>
                <w:highlight w:val="none"/>
              </w:rPr>
              <w:t>%计算</w:t>
            </w:r>
            <w:r>
              <w:rPr>
                <w:rFonts w:hint="eastAsia"/>
                <w:color w:val="auto"/>
                <w:sz w:val="21"/>
                <w:highlight w:val="none"/>
                <w:lang w:val="en-US" w:eastAsia="zh-CN"/>
              </w:rPr>
              <w:t>），扣完为止。</w:t>
            </w:r>
          </w:p>
        </w:tc>
        <w:tc>
          <w:tcPr>
            <w:tcW w:w="498" w:type="pct"/>
            <w:tcBorders>
              <w:top w:val="single" w:color="auto" w:sz="4" w:space="0"/>
              <w:left w:val="single" w:color="auto" w:sz="4" w:space="0"/>
              <w:bottom w:val="single" w:color="auto" w:sz="4" w:space="0"/>
              <w:right w:val="single" w:color="auto" w:sz="4" w:space="0"/>
            </w:tcBorders>
            <w:vAlign w:val="center"/>
          </w:tcPr>
          <w:p w14:paraId="0989D5C2">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2CBF0F60">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7C7FF748">
            <w:pPr>
              <w:widowControl/>
              <w:tabs>
                <w:tab w:val="left" w:pos="1680"/>
              </w:tabs>
              <w:jc w:val="center"/>
              <w:rPr>
                <w:rFonts w:ascii="宋体" w:hAnsi="宋体" w:eastAsia="宋体" w:cs="宋体"/>
                <w:bCs/>
                <w:color w:val="auto"/>
                <w:kern w:val="0"/>
                <w:szCs w:val="21"/>
                <w:highlight w:val="none"/>
              </w:rPr>
            </w:pPr>
          </w:p>
        </w:tc>
      </w:tr>
      <w:tr w14:paraId="5B0BC2AB">
        <w:tblPrEx>
          <w:tblCellMar>
            <w:top w:w="0" w:type="dxa"/>
            <w:left w:w="108" w:type="dxa"/>
            <w:bottom w:w="0" w:type="dxa"/>
            <w:right w:w="108" w:type="dxa"/>
          </w:tblCellMar>
        </w:tblPrEx>
        <w:trPr>
          <w:trHeight w:val="810" w:hRule="atLeast"/>
        </w:trPr>
        <w:tc>
          <w:tcPr>
            <w:tcW w:w="362" w:type="pct"/>
            <w:vMerge w:val="continue"/>
            <w:tcBorders>
              <w:left w:val="single" w:color="auto" w:sz="4" w:space="0"/>
              <w:right w:val="single" w:color="auto" w:sz="4" w:space="0"/>
            </w:tcBorders>
            <w:vAlign w:val="center"/>
          </w:tcPr>
          <w:p w14:paraId="62872708">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5E644F57">
            <w:pPr>
              <w:widowControl/>
              <w:tabs>
                <w:tab w:val="left" w:pos="1680"/>
              </w:tabs>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01F7CFFF">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不良贷款率（8分）</w:t>
            </w:r>
          </w:p>
        </w:tc>
        <w:tc>
          <w:tcPr>
            <w:tcW w:w="2006" w:type="pct"/>
            <w:tcBorders>
              <w:top w:val="single" w:color="auto" w:sz="4" w:space="0"/>
              <w:left w:val="single" w:color="auto" w:sz="4" w:space="0"/>
              <w:bottom w:val="single" w:color="auto" w:sz="4" w:space="0"/>
              <w:right w:val="single" w:color="auto" w:sz="4" w:space="0"/>
            </w:tcBorders>
            <w:vAlign w:val="center"/>
          </w:tcPr>
          <w:p w14:paraId="317A1310">
            <w:pPr>
              <w:tabs>
                <w:tab w:val="left" w:pos="1680"/>
              </w:tabs>
              <w:spacing w:after="0" w:line="259" w:lineRule="auto"/>
              <w:ind w:left="10" w:leftChars="0" w:right="124" w:rightChars="59" w:hanging="10" w:hangingChars="5"/>
              <w:jc w:val="left"/>
              <w:rPr>
                <w:rFonts w:ascii="宋体" w:hAnsi="宋体" w:eastAsia="宋体" w:cs="宋体"/>
                <w:color w:val="auto"/>
                <w:kern w:val="0"/>
                <w:szCs w:val="21"/>
                <w:highlight w:val="none"/>
              </w:rPr>
            </w:pPr>
            <w:r>
              <w:rPr>
                <w:rFonts w:hint="eastAsia"/>
                <w:color w:val="auto"/>
                <w:sz w:val="21"/>
                <w:highlight w:val="none"/>
              </w:rPr>
              <w:t>总行不良贷款率≤1</w:t>
            </w:r>
            <w:r>
              <w:rPr>
                <w:rFonts w:hint="eastAsia"/>
                <w:color w:val="auto"/>
                <w:sz w:val="21"/>
                <w:highlight w:val="none"/>
                <w:lang w:val="en-US" w:eastAsia="zh-CN"/>
              </w:rPr>
              <w:t>.4</w:t>
            </w:r>
            <w:r>
              <w:rPr>
                <w:rFonts w:hint="eastAsia"/>
                <w:color w:val="auto"/>
                <w:sz w:val="21"/>
                <w:highlight w:val="none"/>
              </w:rPr>
              <w:t>%的得</w:t>
            </w:r>
            <w:r>
              <w:rPr>
                <w:rFonts w:hint="eastAsia"/>
                <w:color w:val="auto"/>
                <w:sz w:val="21"/>
                <w:highlight w:val="none"/>
                <w:lang w:val="en-US" w:eastAsia="zh-CN"/>
              </w:rPr>
              <w:t>8</w:t>
            </w:r>
            <w:r>
              <w:rPr>
                <w:rFonts w:hint="eastAsia"/>
                <w:color w:val="auto"/>
                <w:sz w:val="21"/>
                <w:highlight w:val="none"/>
              </w:rPr>
              <w:t>分，每增加0.</w:t>
            </w:r>
            <w:r>
              <w:rPr>
                <w:rFonts w:hint="eastAsia"/>
                <w:color w:val="auto"/>
                <w:sz w:val="21"/>
                <w:highlight w:val="none"/>
                <w:lang w:val="en-US" w:eastAsia="zh-CN"/>
              </w:rPr>
              <w:t>05</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分（不足0.</w:t>
            </w:r>
            <w:r>
              <w:rPr>
                <w:rFonts w:hint="eastAsia"/>
                <w:color w:val="auto"/>
                <w:sz w:val="21"/>
                <w:highlight w:val="none"/>
                <w:lang w:val="en-US" w:eastAsia="zh-CN"/>
              </w:rPr>
              <w:t>05</w:t>
            </w:r>
            <w:r>
              <w:rPr>
                <w:rFonts w:hint="eastAsia"/>
                <w:color w:val="auto"/>
                <w:sz w:val="21"/>
                <w:highlight w:val="none"/>
              </w:rPr>
              <w:t>%部分按0.</w:t>
            </w:r>
            <w:r>
              <w:rPr>
                <w:rFonts w:hint="eastAsia"/>
                <w:color w:val="auto"/>
                <w:sz w:val="21"/>
                <w:highlight w:val="none"/>
                <w:lang w:val="en-US" w:eastAsia="zh-CN"/>
              </w:rPr>
              <w:t>05</w:t>
            </w:r>
            <w:r>
              <w:rPr>
                <w:rFonts w:hint="eastAsia"/>
                <w:color w:val="auto"/>
                <w:sz w:val="21"/>
                <w:highlight w:val="none"/>
              </w:rPr>
              <w:t>%计算），扣完为止。</w:t>
            </w:r>
          </w:p>
        </w:tc>
        <w:tc>
          <w:tcPr>
            <w:tcW w:w="498" w:type="pct"/>
            <w:tcBorders>
              <w:top w:val="single" w:color="auto" w:sz="4" w:space="0"/>
              <w:left w:val="single" w:color="auto" w:sz="4" w:space="0"/>
              <w:bottom w:val="single" w:color="auto" w:sz="4" w:space="0"/>
              <w:right w:val="single" w:color="auto" w:sz="4" w:space="0"/>
            </w:tcBorders>
            <w:vAlign w:val="center"/>
          </w:tcPr>
          <w:p w14:paraId="073041AF">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3BFF8820">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3B87CDF8">
            <w:pPr>
              <w:widowControl/>
              <w:tabs>
                <w:tab w:val="left" w:pos="1680"/>
              </w:tabs>
              <w:jc w:val="center"/>
              <w:rPr>
                <w:rFonts w:ascii="宋体" w:hAnsi="宋体" w:eastAsia="宋体" w:cs="宋体"/>
                <w:bCs/>
                <w:color w:val="auto"/>
                <w:kern w:val="0"/>
                <w:szCs w:val="21"/>
                <w:highlight w:val="none"/>
              </w:rPr>
            </w:pPr>
          </w:p>
        </w:tc>
      </w:tr>
      <w:tr w14:paraId="34051477">
        <w:tblPrEx>
          <w:tblCellMar>
            <w:top w:w="0" w:type="dxa"/>
            <w:left w:w="108" w:type="dxa"/>
            <w:bottom w:w="0" w:type="dxa"/>
            <w:right w:w="108" w:type="dxa"/>
          </w:tblCellMar>
        </w:tblPrEx>
        <w:trPr>
          <w:trHeight w:val="776" w:hRule="atLeast"/>
        </w:trPr>
        <w:tc>
          <w:tcPr>
            <w:tcW w:w="362" w:type="pct"/>
            <w:vMerge w:val="continue"/>
            <w:tcBorders>
              <w:left w:val="single" w:color="auto" w:sz="4" w:space="0"/>
              <w:right w:val="single" w:color="auto" w:sz="4" w:space="0"/>
            </w:tcBorders>
            <w:vAlign w:val="center"/>
          </w:tcPr>
          <w:p w14:paraId="42A52513">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229BCB51">
            <w:pPr>
              <w:widowControl/>
              <w:tabs>
                <w:tab w:val="left" w:pos="1680"/>
              </w:tabs>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6DA9A69C">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拨备覆盖率（5分）</w:t>
            </w:r>
          </w:p>
        </w:tc>
        <w:tc>
          <w:tcPr>
            <w:tcW w:w="2006" w:type="pct"/>
            <w:tcBorders>
              <w:top w:val="single" w:color="auto" w:sz="4" w:space="0"/>
              <w:left w:val="single" w:color="auto" w:sz="4" w:space="0"/>
              <w:bottom w:val="single" w:color="auto" w:sz="4" w:space="0"/>
              <w:right w:val="single" w:color="auto" w:sz="4" w:space="0"/>
            </w:tcBorders>
            <w:vAlign w:val="center"/>
          </w:tcPr>
          <w:p w14:paraId="02BACB93">
            <w:pPr>
              <w:tabs>
                <w:tab w:val="left" w:pos="1680"/>
              </w:tabs>
              <w:spacing w:after="0" w:line="259" w:lineRule="auto"/>
              <w:ind w:left="10" w:leftChars="0" w:right="124" w:rightChars="59" w:hanging="10" w:hangingChars="5"/>
              <w:jc w:val="left"/>
              <w:rPr>
                <w:rFonts w:ascii="宋体" w:hAnsi="宋体" w:eastAsia="宋体" w:cs="宋体"/>
                <w:color w:val="auto"/>
                <w:kern w:val="0"/>
                <w:szCs w:val="21"/>
                <w:highlight w:val="none"/>
              </w:rPr>
            </w:pPr>
            <w:r>
              <w:rPr>
                <w:rFonts w:hint="eastAsia"/>
                <w:color w:val="auto"/>
                <w:sz w:val="21"/>
                <w:highlight w:val="none"/>
              </w:rPr>
              <w:t>总行拨备覆盖率≥</w:t>
            </w:r>
            <w:r>
              <w:rPr>
                <w:rFonts w:hint="eastAsia"/>
                <w:color w:val="auto"/>
                <w:sz w:val="21"/>
                <w:highlight w:val="none"/>
                <w:lang w:val="en-US" w:eastAsia="zh-CN"/>
              </w:rPr>
              <w:t>22</w:t>
            </w:r>
            <w:r>
              <w:rPr>
                <w:rFonts w:hint="eastAsia"/>
                <w:color w:val="auto"/>
                <w:sz w:val="21"/>
                <w:highlight w:val="none"/>
              </w:rPr>
              <w:t>0%的得</w:t>
            </w:r>
            <w:r>
              <w:rPr>
                <w:rFonts w:hint="eastAsia"/>
                <w:color w:val="auto"/>
                <w:sz w:val="21"/>
                <w:highlight w:val="none"/>
                <w:lang w:val="en-US" w:eastAsia="zh-CN"/>
              </w:rPr>
              <w:t>5</w:t>
            </w:r>
            <w:r>
              <w:rPr>
                <w:rFonts w:hint="eastAsia"/>
                <w:color w:val="auto"/>
                <w:sz w:val="21"/>
                <w:highlight w:val="none"/>
              </w:rPr>
              <w:t>分，每减少</w:t>
            </w:r>
            <w:r>
              <w:rPr>
                <w:rFonts w:hint="eastAsia"/>
                <w:color w:val="auto"/>
                <w:sz w:val="21"/>
                <w:highlight w:val="none"/>
                <w:lang w:val="en-US" w:eastAsia="zh-CN"/>
              </w:rPr>
              <w:t>50</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w:t>
            </w:r>
            <w:r>
              <w:rPr>
                <w:rFonts w:hint="eastAsia"/>
                <w:color w:val="auto"/>
                <w:sz w:val="21"/>
                <w:highlight w:val="none"/>
                <w:lang w:val="en-US" w:eastAsia="zh-CN"/>
              </w:rPr>
              <w:t>50</w:t>
            </w:r>
            <w:r>
              <w:rPr>
                <w:rFonts w:hint="eastAsia"/>
                <w:color w:val="auto"/>
                <w:sz w:val="21"/>
                <w:highlight w:val="none"/>
              </w:rPr>
              <w:t>%部分按</w:t>
            </w:r>
            <w:r>
              <w:rPr>
                <w:rFonts w:hint="eastAsia"/>
                <w:color w:val="auto"/>
                <w:sz w:val="21"/>
                <w:highlight w:val="none"/>
                <w:lang w:val="en-US" w:eastAsia="zh-CN"/>
              </w:rPr>
              <w:t>50</w:t>
            </w:r>
            <w:r>
              <w:rPr>
                <w:rFonts w:hint="eastAsia"/>
                <w:color w:val="auto"/>
                <w:sz w:val="21"/>
                <w:highlight w:val="none"/>
              </w:rPr>
              <w:t>%计算），扣完为止。</w:t>
            </w:r>
          </w:p>
        </w:tc>
        <w:tc>
          <w:tcPr>
            <w:tcW w:w="498" w:type="pct"/>
            <w:tcBorders>
              <w:top w:val="single" w:color="auto" w:sz="4" w:space="0"/>
              <w:left w:val="single" w:color="auto" w:sz="4" w:space="0"/>
              <w:bottom w:val="single" w:color="auto" w:sz="4" w:space="0"/>
              <w:right w:val="single" w:color="auto" w:sz="4" w:space="0"/>
            </w:tcBorders>
            <w:vAlign w:val="center"/>
          </w:tcPr>
          <w:p w14:paraId="3077A3BB">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C7AA3E3">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433D3969">
            <w:pPr>
              <w:widowControl/>
              <w:tabs>
                <w:tab w:val="left" w:pos="1680"/>
              </w:tabs>
              <w:jc w:val="center"/>
              <w:rPr>
                <w:rFonts w:ascii="宋体" w:hAnsi="宋体" w:eastAsia="宋体" w:cs="宋体"/>
                <w:bCs/>
                <w:color w:val="auto"/>
                <w:kern w:val="0"/>
                <w:szCs w:val="21"/>
                <w:highlight w:val="none"/>
              </w:rPr>
            </w:pPr>
          </w:p>
        </w:tc>
      </w:tr>
      <w:tr w14:paraId="6126F717">
        <w:tblPrEx>
          <w:tblCellMar>
            <w:top w:w="0" w:type="dxa"/>
            <w:left w:w="108" w:type="dxa"/>
            <w:bottom w:w="0" w:type="dxa"/>
            <w:right w:w="108" w:type="dxa"/>
          </w:tblCellMar>
        </w:tblPrEx>
        <w:trPr>
          <w:trHeight w:val="728" w:hRule="atLeast"/>
        </w:trPr>
        <w:tc>
          <w:tcPr>
            <w:tcW w:w="362" w:type="pct"/>
            <w:vMerge w:val="continue"/>
            <w:tcBorders>
              <w:left w:val="single" w:color="auto" w:sz="4" w:space="0"/>
              <w:right w:val="single" w:color="auto" w:sz="4" w:space="0"/>
            </w:tcBorders>
            <w:vAlign w:val="center"/>
          </w:tcPr>
          <w:p w14:paraId="68E5CDEC">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1BE0170F">
            <w:pPr>
              <w:widowControl/>
              <w:tabs>
                <w:tab w:val="left" w:pos="1680"/>
              </w:tabs>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3B51C61B">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流动性比率（本外币）（5分）</w:t>
            </w:r>
          </w:p>
        </w:tc>
        <w:tc>
          <w:tcPr>
            <w:tcW w:w="2006" w:type="pct"/>
            <w:tcBorders>
              <w:top w:val="single" w:color="auto" w:sz="4" w:space="0"/>
              <w:left w:val="single" w:color="auto" w:sz="4" w:space="0"/>
              <w:bottom w:val="single" w:color="auto" w:sz="4" w:space="0"/>
              <w:right w:val="single" w:color="auto" w:sz="4" w:space="0"/>
            </w:tcBorders>
            <w:vAlign w:val="center"/>
          </w:tcPr>
          <w:p w14:paraId="2EFE4590">
            <w:pPr>
              <w:tabs>
                <w:tab w:val="left" w:pos="1680"/>
              </w:tabs>
              <w:spacing w:after="0" w:line="259" w:lineRule="auto"/>
              <w:ind w:left="10" w:leftChars="0" w:right="124" w:rightChars="59" w:hanging="10" w:hangingChars="5"/>
              <w:jc w:val="left"/>
              <w:rPr>
                <w:rFonts w:ascii="宋体" w:hAnsi="宋体" w:eastAsia="宋体" w:cs="宋体"/>
                <w:color w:val="auto"/>
                <w:kern w:val="0"/>
                <w:szCs w:val="21"/>
                <w:highlight w:val="none"/>
              </w:rPr>
            </w:pPr>
            <w:r>
              <w:rPr>
                <w:rFonts w:hint="eastAsia"/>
                <w:color w:val="auto"/>
                <w:sz w:val="21"/>
                <w:highlight w:val="none"/>
              </w:rPr>
              <w:t>总行流动性比</w:t>
            </w:r>
            <w:r>
              <w:rPr>
                <w:rFonts w:hint="eastAsia"/>
                <w:color w:val="auto"/>
                <w:sz w:val="21"/>
                <w:highlight w:val="none"/>
                <w:lang w:eastAsia="zh-CN"/>
              </w:rPr>
              <w:t>率（</w:t>
            </w:r>
            <w:r>
              <w:rPr>
                <w:rFonts w:hint="eastAsia"/>
                <w:color w:val="auto"/>
                <w:sz w:val="21"/>
                <w:highlight w:val="none"/>
                <w:lang w:val="en-US" w:eastAsia="zh-CN"/>
              </w:rPr>
              <w:t>本外币</w:t>
            </w:r>
            <w:r>
              <w:rPr>
                <w:rFonts w:hint="eastAsia"/>
                <w:color w:val="auto"/>
                <w:sz w:val="21"/>
                <w:highlight w:val="none"/>
                <w:lang w:eastAsia="zh-CN"/>
              </w:rPr>
              <w:t>）</w:t>
            </w:r>
            <w:r>
              <w:rPr>
                <w:rFonts w:hint="eastAsia"/>
                <w:color w:val="auto"/>
                <w:sz w:val="21"/>
                <w:highlight w:val="none"/>
              </w:rPr>
              <w:t>≥</w:t>
            </w:r>
            <w:r>
              <w:rPr>
                <w:rFonts w:hint="eastAsia"/>
                <w:color w:val="auto"/>
                <w:sz w:val="21"/>
                <w:highlight w:val="none"/>
                <w:lang w:val="en-US" w:eastAsia="zh-CN"/>
              </w:rPr>
              <w:t>60</w:t>
            </w:r>
            <w:r>
              <w:rPr>
                <w:rFonts w:hint="eastAsia"/>
                <w:color w:val="auto"/>
                <w:sz w:val="21"/>
                <w:highlight w:val="none"/>
              </w:rPr>
              <w:t>%得</w:t>
            </w:r>
            <w:r>
              <w:rPr>
                <w:rFonts w:hint="eastAsia"/>
                <w:color w:val="auto"/>
                <w:sz w:val="21"/>
                <w:highlight w:val="none"/>
                <w:lang w:val="en-US" w:eastAsia="zh-CN"/>
              </w:rPr>
              <w:t>5</w:t>
            </w:r>
            <w:r>
              <w:rPr>
                <w:rFonts w:hint="eastAsia"/>
                <w:color w:val="auto"/>
                <w:sz w:val="21"/>
                <w:highlight w:val="none"/>
              </w:rPr>
              <w:t>分，每减少</w:t>
            </w:r>
            <w:r>
              <w:rPr>
                <w:rFonts w:hint="eastAsia"/>
                <w:color w:val="auto"/>
                <w:sz w:val="21"/>
                <w:highlight w:val="none"/>
                <w:lang w:val="en-US" w:eastAsia="zh-CN"/>
              </w:rPr>
              <w:t>5</w:t>
            </w:r>
            <w:r>
              <w:rPr>
                <w:rFonts w:hint="eastAsia"/>
                <w:color w:val="auto"/>
                <w:sz w:val="21"/>
                <w:highlight w:val="none"/>
              </w:rPr>
              <w:t>%扣</w:t>
            </w:r>
            <w:r>
              <w:rPr>
                <w:rFonts w:hint="eastAsia"/>
                <w:color w:val="auto"/>
                <w:sz w:val="21"/>
                <w:highlight w:val="none"/>
                <w:lang w:val="en-US" w:eastAsia="zh-CN"/>
              </w:rPr>
              <w:t>1</w:t>
            </w:r>
            <w:r>
              <w:rPr>
                <w:rFonts w:hint="eastAsia"/>
                <w:color w:val="auto"/>
                <w:sz w:val="21"/>
                <w:highlight w:val="none"/>
              </w:rPr>
              <w:t>分（不足</w:t>
            </w:r>
            <w:r>
              <w:rPr>
                <w:rFonts w:hint="eastAsia"/>
                <w:color w:val="auto"/>
                <w:sz w:val="21"/>
                <w:highlight w:val="none"/>
                <w:lang w:val="en-US" w:eastAsia="zh-CN"/>
              </w:rPr>
              <w:t>5</w:t>
            </w:r>
            <w:r>
              <w:rPr>
                <w:rFonts w:hint="eastAsia"/>
                <w:color w:val="auto"/>
                <w:sz w:val="21"/>
                <w:highlight w:val="none"/>
              </w:rPr>
              <w:t>%部分按</w:t>
            </w:r>
            <w:r>
              <w:rPr>
                <w:rFonts w:hint="eastAsia"/>
                <w:color w:val="auto"/>
                <w:sz w:val="21"/>
                <w:highlight w:val="none"/>
                <w:lang w:val="en-US" w:eastAsia="zh-CN"/>
              </w:rPr>
              <w:t>5</w:t>
            </w:r>
            <w:r>
              <w:rPr>
                <w:rFonts w:hint="eastAsia"/>
                <w:color w:val="auto"/>
                <w:sz w:val="21"/>
                <w:highlight w:val="none"/>
              </w:rPr>
              <w:t>%计算），扣完为止</w:t>
            </w:r>
            <w:r>
              <w:rPr>
                <w:color w:val="auto"/>
                <w:sz w:val="21"/>
                <w:highlight w:val="none"/>
              </w:rPr>
              <w:t>。</w:t>
            </w:r>
          </w:p>
        </w:tc>
        <w:tc>
          <w:tcPr>
            <w:tcW w:w="498" w:type="pct"/>
            <w:tcBorders>
              <w:top w:val="single" w:color="auto" w:sz="4" w:space="0"/>
              <w:left w:val="single" w:color="auto" w:sz="4" w:space="0"/>
              <w:bottom w:val="single" w:color="auto" w:sz="4" w:space="0"/>
              <w:right w:val="single" w:color="auto" w:sz="4" w:space="0"/>
            </w:tcBorders>
            <w:vAlign w:val="center"/>
          </w:tcPr>
          <w:p w14:paraId="1D0E1A84">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C97655D">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0FB0657A">
            <w:pPr>
              <w:widowControl/>
              <w:tabs>
                <w:tab w:val="left" w:pos="1680"/>
              </w:tabs>
              <w:jc w:val="center"/>
              <w:rPr>
                <w:rFonts w:ascii="宋体" w:hAnsi="宋体" w:eastAsia="宋体" w:cs="宋体"/>
                <w:bCs/>
                <w:color w:val="auto"/>
                <w:kern w:val="0"/>
                <w:szCs w:val="21"/>
                <w:highlight w:val="none"/>
              </w:rPr>
            </w:pPr>
          </w:p>
        </w:tc>
      </w:tr>
      <w:tr w14:paraId="5EB219F6">
        <w:tblPrEx>
          <w:tblCellMar>
            <w:top w:w="0" w:type="dxa"/>
            <w:left w:w="108" w:type="dxa"/>
            <w:bottom w:w="0" w:type="dxa"/>
            <w:right w:w="108" w:type="dxa"/>
          </w:tblCellMar>
        </w:tblPrEx>
        <w:trPr>
          <w:trHeight w:val="406" w:hRule="atLeast"/>
        </w:trPr>
        <w:tc>
          <w:tcPr>
            <w:tcW w:w="362" w:type="pct"/>
            <w:vMerge w:val="restart"/>
            <w:tcBorders>
              <w:top w:val="single" w:color="auto" w:sz="4" w:space="0"/>
              <w:left w:val="single" w:color="auto" w:sz="4" w:space="0"/>
              <w:right w:val="single" w:color="auto" w:sz="4" w:space="0"/>
            </w:tcBorders>
            <w:vAlign w:val="center"/>
          </w:tcPr>
          <w:p w14:paraId="2DD0ED56">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569" w:type="pct"/>
            <w:vMerge w:val="restart"/>
            <w:tcBorders>
              <w:top w:val="single" w:color="auto" w:sz="4" w:space="0"/>
              <w:left w:val="nil"/>
              <w:right w:val="single" w:color="auto" w:sz="4" w:space="0"/>
            </w:tcBorders>
            <w:shd w:val="clear" w:color="auto" w:fill="auto"/>
            <w:vAlign w:val="center"/>
          </w:tcPr>
          <w:p w14:paraId="19C16325">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经济贡</w:t>
            </w:r>
          </w:p>
          <w:p w14:paraId="685170B8">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献度</w:t>
            </w:r>
          </w:p>
          <w:p w14:paraId="2EC9CF59">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50</w:t>
            </w:r>
            <w:r>
              <w:rPr>
                <w:rFonts w:hint="eastAsia" w:ascii="宋体" w:hAnsi="宋体" w:eastAsia="宋体" w:cs="宋体"/>
                <w:color w:val="auto"/>
                <w:kern w:val="0"/>
                <w:szCs w:val="21"/>
                <w:highlight w:val="none"/>
              </w:rPr>
              <w:t>分）</w:t>
            </w:r>
          </w:p>
        </w:tc>
        <w:tc>
          <w:tcPr>
            <w:tcW w:w="634" w:type="pct"/>
            <w:tcBorders>
              <w:top w:val="single" w:color="auto" w:sz="4" w:space="0"/>
              <w:left w:val="nil"/>
              <w:right w:val="single" w:color="auto" w:sz="4" w:space="0"/>
            </w:tcBorders>
            <w:shd w:val="clear" w:color="auto" w:fill="auto"/>
            <w:vAlign w:val="center"/>
          </w:tcPr>
          <w:p w14:paraId="2FAD0D04">
            <w:pPr>
              <w:widowControl/>
              <w:tabs>
                <w:tab w:val="left" w:pos="1680"/>
              </w:tabs>
              <w:jc w:val="center"/>
              <w:textAlignment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纳税总额</w:t>
            </w:r>
          </w:p>
          <w:p w14:paraId="1DCC0E88">
            <w:pPr>
              <w:widowControl/>
              <w:tabs>
                <w:tab w:val="left" w:pos="1680"/>
              </w:tabs>
              <w:jc w:val="center"/>
              <w:textAlignment w:val="center"/>
              <w:rPr>
                <w:rFonts w:ascii="宋体" w:hAnsi="宋体" w:eastAsia="宋体" w:cs="宋体"/>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（10）</w:t>
            </w:r>
          </w:p>
        </w:tc>
        <w:tc>
          <w:tcPr>
            <w:tcW w:w="2006" w:type="pct"/>
            <w:tcBorders>
              <w:top w:val="single" w:color="auto" w:sz="4" w:space="0"/>
              <w:left w:val="single" w:color="auto" w:sz="4" w:space="0"/>
              <w:bottom w:val="single" w:color="auto" w:sz="4" w:space="0"/>
              <w:right w:val="single" w:color="auto" w:sz="4" w:space="0"/>
            </w:tcBorders>
            <w:vAlign w:val="center"/>
          </w:tcPr>
          <w:p w14:paraId="65D5ECB0">
            <w:pPr>
              <w:tabs>
                <w:tab w:val="left" w:pos="1680"/>
              </w:tabs>
              <w:spacing w:after="0" w:line="259" w:lineRule="auto"/>
              <w:ind w:left="0" w:leftChars="0" w:firstLine="0" w:firstLineChars="0"/>
              <w:jc w:val="both"/>
              <w:rPr>
                <w:rFonts w:ascii="宋体" w:hAnsi="宋体" w:eastAsia="宋体" w:cs="宋体"/>
                <w:color w:val="auto"/>
                <w:kern w:val="0"/>
                <w:szCs w:val="21"/>
                <w:highlight w:val="none"/>
              </w:rPr>
            </w:pPr>
            <w:r>
              <w:rPr>
                <w:rFonts w:hint="eastAsia" w:ascii="宋体" w:hAnsi="宋体" w:cs="宋体"/>
                <w:color w:val="auto"/>
                <w:kern w:val="0"/>
                <w:szCs w:val="21"/>
                <w:highlight w:val="none"/>
                <w:lang w:bidi="ar"/>
              </w:rPr>
              <w:t>根据投标人</w:t>
            </w:r>
            <w:r>
              <w:rPr>
                <w:rFonts w:hint="eastAsia" w:ascii="宋体" w:hAnsi="宋体" w:cs="宋体"/>
                <w:color w:val="auto"/>
                <w:kern w:val="0"/>
                <w:szCs w:val="21"/>
                <w:highlight w:val="none"/>
                <w:lang w:eastAsia="zh-CN" w:bidi="ar"/>
              </w:rPr>
              <w:t>202</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eastAsia="zh-CN" w:bidi="ar"/>
              </w:rPr>
              <w:t>年</w:t>
            </w:r>
            <w:r>
              <w:rPr>
                <w:rFonts w:hint="eastAsia" w:ascii="宋体" w:hAnsi="宋体" w:cs="宋体"/>
                <w:color w:val="auto"/>
                <w:kern w:val="0"/>
                <w:szCs w:val="21"/>
                <w:highlight w:val="none"/>
                <w:lang w:bidi="ar"/>
              </w:rPr>
              <w:t>在高新区范围内入库的纳税总额进行横向比较，总额第</w:t>
            </w:r>
            <w:r>
              <w:rPr>
                <w:rFonts w:hint="eastAsia" w:ascii="宋体" w:hAnsi="宋体" w:cs="宋体"/>
                <w:color w:val="auto"/>
                <w:kern w:val="0"/>
                <w:szCs w:val="21"/>
                <w:highlight w:val="none"/>
                <w:lang w:val="en-US" w:eastAsia="zh-CN" w:bidi="ar"/>
              </w:rPr>
              <w:t>1-3</w:t>
            </w:r>
            <w:r>
              <w:rPr>
                <w:rFonts w:hint="eastAsia" w:ascii="宋体" w:hAnsi="宋体" w:cs="宋体"/>
                <w:color w:val="auto"/>
                <w:kern w:val="0"/>
                <w:szCs w:val="21"/>
                <w:highlight w:val="none"/>
                <w:lang w:bidi="ar"/>
              </w:rPr>
              <w:t>名得</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分，第</w:t>
            </w:r>
            <w:r>
              <w:rPr>
                <w:rFonts w:hint="eastAsia" w:ascii="宋体" w:hAnsi="宋体" w:cs="宋体"/>
                <w:color w:val="auto"/>
                <w:kern w:val="0"/>
                <w:szCs w:val="21"/>
                <w:highlight w:val="none"/>
                <w:lang w:val="en-US" w:eastAsia="zh-CN" w:bidi="ar"/>
              </w:rPr>
              <w:t>4-6</w:t>
            </w:r>
            <w:r>
              <w:rPr>
                <w:rFonts w:hint="eastAsia" w:ascii="宋体" w:hAnsi="宋体" w:cs="宋体"/>
                <w:color w:val="auto"/>
                <w:kern w:val="0"/>
                <w:szCs w:val="21"/>
                <w:highlight w:val="none"/>
                <w:lang w:bidi="ar"/>
              </w:rPr>
              <w:t>名</w:t>
            </w:r>
            <w:r>
              <w:rPr>
                <w:rFonts w:hint="eastAsia" w:ascii="宋体" w:hAnsi="宋体" w:cs="宋体"/>
                <w:color w:val="auto"/>
                <w:kern w:val="0"/>
                <w:szCs w:val="21"/>
                <w:highlight w:val="none"/>
                <w:lang w:val="en-US" w:eastAsia="zh-CN" w:bidi="ar"/>
              </w:rPr>
              <w:t>9.5</w:t>
            </w:r>
            <w:r>
              <w:rPr>
                <w:rFonts w:hint="eastAsia" w:ascii="宋体" w:hAnsi="宋体" w:cs="宋体"/>
                <w:color w:val="auto"/>
                <w:kern w:val="0"/>
                <w:szCs w:val="21"/>
                <w:highlight w:val="none"/>
                <w:lang w:bidi="ar"/>
              </w:rPr>
              <w:t>分，第</w:t>
            </w:r>
            <w:r>
              <w:rPr>
                <w:rFonts w:hint="eastAsia" w:ascii="宋体" w:hAnsi="宋体" w:cs="宋体"/>
                <w:color w:val="auto"/>
                <w:kern w:val="0"/>
                <w:szCs w:val="21"/>
                <w:highlight w:val="none"/>
                <w:lang w:val="en-US" w:eastAsia="zh-CN" w:bidi="ar"/>
              </w:rPr>
              <w:t>7-9</w:t>
            </w:r>
            <w:r>
              <w:rPr>
                <w:rFonts w:hint="eastAsia" w:ascii="宋体" w:hAnsi="宋体" w:cs="宋体"/>
                <w:color w:val="auto"/>
                <w:kern w:val="0"/>
                <w:szCs w:val="21"/>
                <w:highlight w:val="none"/>
                <w:lang w:bidi="ar"/>
              </w:rPr>
              <w:t>名得</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cs="宋体"/>
                <w:color w:val="auto"/>
                <w:kern w:val="0"/>
                <w:szCs w:val="21"/>
                <w:highlight w:val="none"/>
                <w:lang w:bidi="ar"/>
              </w:rPr>
              <w:t>。</w:t>
            </w:r>
          </w:p>
        </w:tc>
        <w:tc>
          <w:tcPr>
            <w:tcW w:w="498" w:type="pct"/>
            <w:tcBorders>
              <w:top w:val="single" w:color="auto" w:sz="4" w:space="0"/>
              <w:left w:val="single" w:color="auto" w:sz="4" w:space="0"/>
              <w:bottom w:val="single" w:color="auto" w:sz="4" w:space="0"/>
              <w:right w:val="single" w:color="auto" w:sz="4" w:space="0"/>
            </w:tcBorders>
            <w:vAlign w:val="center"/>
          </w:tcPr>
          <w:p w14:paraId="06D2E653">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8CA6ED1">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19FAE2AD">
            <w:pPr>
              <w:widowControl/>
              <w:tabs>
                <w:tab w:val="left" w:pos="1680"/>
              </w:tabs>
              <w:jc w:val="center"/>
              <w:rPr>
                <w:rFonts w:ascii="宋体" w:hAnsi="宋体" w:eastAsia="宋体" w:cs="宋体"/>
                <w:bCs/>
                <w:color w:val="auto"/>
                <w:kern w:val="0"/>
                <w:szCs w:val="21"/>
                <w:highlight w:val="none"/>
              </w:rPr>
            </w:pPr>
          </w:p>
        </w:tc>
      </w:tr>
      <w:tr w14:paraId="564D3368">
        <w:tblPrEx>
          <w:tblCellMar>
            <w:top w:w="0" w:type="dxa"/>
            <w:left w:w="108" w:type="dxa"/>
            <w:bottom w:w="0" w:type="dxa"/>
            <w:right w:w="108" w:type="dxa"/>
          </w:tblCellMar>
        </w:tblPrEx>
        <w:trPr>
          <w:trHeight w:val="1015" w:hRule="atLeast"/>
        </w:trPr>
        <w:tc>
          <w:tcPr>
            <w:tcW w:w="362" w:type="pct"/>
            <w:vMerge w:val="continue"/>
            <w:tcBorders>
              <w:left w:val="single" w:color="auto" w:sz="4" w:space="0"/>
              <w:right w:val="single" w:color="auto" w:sz="4" w:space="0"/>
            </w:tcBorders>
            <w:vAlign w:val="center"/>
          </w:tcPr>
          <w:p w14:paraId="5BF6F3FA">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0F66CBD9">
            <w:pPr>
              <w:widowControl/>
              <w:tabs>
                <w:tab w:val="left" w:pos="1680"/>
              </w:tabs>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2985AB82">
            <w:pPr>
              <w:widowControl/>
              <w:tabs>
                <w:tab w:val="left" w:pos="1680"/>
              </w:tabs>
              <w:ind w:left="104" w:leftChars="0" w:hanging="10" w:firstLineChars="0"/>
              <w:jc w:val="center"/>
              <w:rPr>
                <w:rFonts w:ascii="宋体" w:hAnsi="宋体" w:eastAsia="宋体" w:cs="宋体"/>
                <w:color w:val="auto"/>
                <w:kern w:val="0"/>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支持高新区企业贷款总额（10分）</w:t>
            </w:r>
          </w:p>
        </w:tc>
        <w:tc>
          <w:tcPr>
            <w:tcW w:w="2006" w:type="pct"/>
            <w:tcBorders>
              <w:top w:val="single" w:color="auto" w:sz="4" w:space="0"/>
              <w:left w:val="single" w:color="auto" w:sz="4" w:space="0"/>
              <w:bottom w:val="single" w:color="auto" w:sz="4" w:space="0"/>
              <w:right w:val="single" w:color="auto" w:sz="4" w:space="0"/>
            </w:tcBorders>
            <w:vAlign w:val="center"/>
          </w:tcPr>
          <w:p w14:paraId="62917925">
            <w:pPr>
              <w:tabs>
                <w:tab w:val="left" w:pos="1680"/>
              </w:tabs>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根据申报并经审核后</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年</w:t>
            </w:r>
            <w:r>
              <w:rPr>
                <w:rFonts w:hint="eastAsia" w:ascii="宋体" w:hAnsi="宋体" w:eastAsia="宋体" w:cs="宋体"/>
                <w:color w:val="auto"/>
                <w:kern w:val="0"/>
                <w:szCs w:val="21"/>
                <w:highlight w:val="none"/>
              </w:rPr>
              <w:t>底区内企业贷款余额规模情况进行横向比较，总额第</w:t>
            </w:r>
            <w:r>
              <w:rPr>
                <w:rFonts w:hint="eastAsia" w:ascii="宋体" w:hAnsi="宋体" w:cs="宋体"/>
                <w:color w:val="auto"/>
                <w:kern w:val="0"/>
                <w:szCs w:val="21"/>
                <w:highlight w:val="none"/>
                <w:lang w:val="en-US" w:eastAsia="zh-CN"/>
              </w:rPr>
              <w:t>1-3</w:t>
            </w:r>
            <w:r>
              <w:rPr>
                <w:rFonts w:hint="eastAsia" w:ascii="宋体" w:hAnsi="宋体" w:eastAsia="宋体" w:cs="宋体"/>
                <w:color w:val="auto"/>
                <w:kern w:val="0"/>
                <w:szCs w:val="21"/>
                <w:highlight w:val="none"/>
              </w:rPr>
              <w:t>名得10分，第</w:t>
            </w:r>
            <w:r>
              <w:rPr>
                <w:rFonts w:hint="eastAsia" w:ascii="宋体" w:hAnsi="宋体" w:cs="宋体"/>
                <w:color w:val="auto"/>
                <w:kern w:val="0"/>
                <w:szCs w:val="21"/>
                <w:highlight w:val="none"/>
                <w:lang w:val="en-US" w:eastAsia="zh-CN"/>
              </w:rPr>
              <w:t>4-6</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9.5</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7-9</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eastAsia="宋体" w:cs="宋体"/>
                <w:color w:val="auto"/>
                <w:kern w:val="0"/>
                <w:szCs w:val="21"/>
                <w:highlight w:val="none"/>
              </w:rPr>
              <w:t>。</w:t>
            </w:r>
          </w:p>
        </w:tc>
        <w:tc>
          <w:tcPr>
            <w:tcW w:w="498" w:type="pct"/>
            <w:tcBorders>
              <w:top w:val="single" w:color="auto" w:sz="4" w:space="0"/>
              <w:left w:val="single" w:color="auto" w:sz="4" w:space="0"/>
              <w:bottom w:val="single" w:color="auto" w:sz="4" w:space="0"/>
              <w:right w:val="single" w:color="auto" w:sz="4" w:space="0"/>
            </w:tcBorders>
            <w:vAlign w:val="center"/>
          </w:tcPr>
          <w:p w14:paraId="79BCF7FF">
            <w:pPr>
              <w:widowControl/>
              <w:tabs>
                <w:tab w:val="left" w:pos="1680"/>
              </w:tabs>
              <w:jc w:val="center"/>
              <w:rPr>
                <w:rFonts w:ascii="宋体" w:hAnsi="宋体" w:eastAsia="宋体" w:cs="宋体"/>
                <w:color w:val="auto"/>
                <w:kern w:val="0"/>
                <w:sz w:val="21"/>
                <w:szCs w:val="21"/>
                <w:highlight w:val="none"/>
                <w:lang w:val="en-US" w:eastAsia="zh-CN" w:bidi="ar-SA"/>
              </w:rPr>
            </w:pPr>
          </w:p>
        </w:tc>
        <w:tc>
          <w:tcPr>
            <w:tcW w:w="360" w:type="pct"/>
            <w:tcBorders>
              <w:top w:val="single" w:color="auto" w:sz="4" w:space="0"/>
              <w:left w:val="single" w:color="auto" w:sz="4" w:space="0"/>
              <w:bottom w:val="single" w:color="auto" w:sz="4" w:space="0"/>
              <w:right w:val="single" w:color="auto" w:sz="4" w:space="0"/>
            </w:tcBorders>
            <w:vAlign w:val="center"/>
          </w:tcPr>
          <w:p w14:paraId="0E74DCBF">
            <w:pPr>
              <w:tabs>
                <w:tab w:val="left" w:pos="1680"/>
              </w:tabs>
              <w:spacing w:after="0" w:line="259" w:lineRule="auto"/>
              <w:ind w:left="0" w:leftChars="0" w:firstLine="0" w:firstLineChars="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0631D775">
            <w:pPr>
              <w:widowControl/>
              <w:tabs>
                <w:tab w:val="left" w:pos="1680"/>
              </w:tabs>
              <w:jc w:val="center"/>
              <w:rPr>
                <w:rFonts w:ascii="宋体" w:hAnsi="宋体" w:eastAsia="宋体" w:cs="宋体"/>
                <w:bCs/>
                <w:color w:val="auto"/>
                <w:kern w:val="0"/>
                <w:szCs w:val="21"/>
                <w:highlight w:val="none"/>
              </w:rPr>
            </w:pPr>
          </w:p>
        </w:tc>
      </w:tr>
      <w:tr w14:paraId="773B8024">
        <w:tblPrEx>
          <w:tblCellMar>
            <w:top w:w="0" w:type="dxa"/>
            <w:left w:w="108" w:type="dxa"/>
            <w:bottom w:w="0" w:type="dxa"/>
            <w:right w:w="108" w:type="dxa"/>
          </w:tblCellMar>
        </w:tblPrEx>
        <w:trPr>
          <w:trHeight w:val="1249" w:hRule="atLeast"/>
        </w:trPr>
        <w:tc>
          <w:tcPr>
            <w:tcW w:w="362" w:type="pct"/>
            <w:vMerge w:val="continue"/>
            <w:tcBorders>
              <w:left w:val="single" w:color="auto" w:sz="4" w:space="0"/>
              <w:right w:val="single" w:color="auto" w:sz="4" w:space="0"/>
            </w:tcBorders>
            <w:vAlign w:val="center"/>
          </w:tcPr>
          <w:p w14:paraId="6E1AA831">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7A2AE6C1">
            <w:pPr>
              <w:widowControl/>
              <w:tabs>
                <w:tab w:val="left" w:pos="1680"/>
              </w:tabs>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6B7EF5D2">
            <w:pPr>
              <w:widowControl/>
              <w:tabs>
                <w:tab w:val="left" w:pos="1680"/>
              </w:tabs>
              <w:ind w:left="0" w:leftChars="0" w:firstLine="0" w:firstLineChars="0"/>
              <w:jc w:val="both"/>
              <w:rPr>
                <w:rFonts w:ascii="宋体" w:hAnsi="宋体" w:eastAsia="宋体" w:cs="宋体"/>
                <w:color w:val="auto"/>
                <w:kern w:val="0"/>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宁波市政府债券承销情况（</w:t>
            </w:r>
            <w:r>
              <w:rPr>
                <w:rFonts w:hint="eastAsia" w:cs="宋体" w:asciiTheme="minorEastAsia" w:hAnsiTheme="minorEastAsia" w:eastAsiaTheme="minorEastAsia"/>
                <w:color w:val="auto"/>
                <w:kern w:val="0"/>
                <w:szCs w:val="21"/>
                <w:highlight w:val="none"/>
                <w:lang w:val="en-US" w:eastAsia="zh-CN"/>
              </w:rPr>
              <w:t>30</w:t>
            </w:r>
            <w:r>
              <w:rPr>
                <w:rFonts w:hint="eastAsia" w:cs="宋体" w:asciiTheme="minorEastAsia" w:hAnsiTheme="minorEastAsia" w:eastAsiaTheme="minorEastAsia"/>
                <w:color w:val="auto"/>
                <w:kern w:val="0"/>
                <w:szCs w:val="21"/>
                <w:highlight w:val="none"/>
              </w:rPr>
              <w:t>分）</w:t>
            </w:r>
          </w:p>
        </w:tc>
        <w:tc>
          <w:tcPr>
            <w:tcW w:w="2006" w:type="pct"/>
            <w:tcBorders>
              <w:top w:val="single" w:color="auto" w:sz="4" w:space="0"/>
              <w:left w:val="single" w:color="auto" w:sz="4" w:space="0"/>
              <w:bottom w:val="single" w:color="auto" w:sz="4" w:space="0"/>
              <w:right w:val="single" w:color="auto" w:sz="4" w:space="0"/>
            </w:tcBorders>
            <w:vAlign w:val="center"/>
          </w:tcPr>
          <w:p w14:paraId="12701952">
            <w:pPr>
              <w:widowControl/>
              <w:tabs>
                <w:tab w:val="left" w:pos="1680"/>
              </w:tabs>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根据投标人总行或宁波市分行</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年</w:t>
            </w:r>
            <w:r>
              <w:rPr>
                <w:rFonts w:hint="eastAsia" w:ascii="宋体" w:hAnsi="宋体" w:eastAsia="宋体" w:cs="宋体"/>
                <w:color w:val="auto"/>
                <w:kern w:val="0"/>
                <w:szCs w:val="21"/>
                <w:highlight w:val="none"/>
              </w:rPr>
              <w:t>底宁波市政府债券承销余额进行横向比较，总额第</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rPr>
              <w:t>分，第</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名得</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以此类推，最低得1分</w:t>
            </w:r>
            <w:r>
              <w:rPr>
                <w:rFonts w:hint="eastAsia" w:ascii="宋体" w:hAnsi="宋体" w:eastAsia="宋体" w:cs="宋体"/>
                <w:color w:val="auto"/>
                <w:kern w:val="0"/>
                <w:szCs w:val="21"/>
                <w:highlight w:val="none"/>
              </w:rPr>
              <w:t>。</w:t>
            </w:r>
          </w:p>
        </w:tc>
        <w:tc>
          <w:tcPr>
            <w:tcW w:w="498" w:type="pct"/>
            <w:tcBorders>
              <w:top w:val="single" w:color="auto" w:sz="4" w:space="0"/>
              <w:left w:val="single" w:color="auto" w:sz="4" w:space="0"/>
              <w:bottom w:val="single" w:color="auto" w:sz="4" w:space="0"/>
              <w:right w:val="single" w:color="auto" w:sz="4" w:space="0"/>
            </w:tcBorders>
            <w:vAlign w:val="center"/>
          </w:tcPr>
          <w:p w14:paraId="52421EF0">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0FBE0E9B">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47F8501C">
            <w:pPr>
              <w:widowControl/>
              <w:tabs>
                <w:tab w:val="left" w:pos="1680"/>
              </w:tabs>
              <w:jc w:val="center"/>
              <w:rPr>
                <w:rFonts w:ascii="宋体" w:hAnsi="宋体" w:eastAsia="宋体" w:cs="宋体"/>
                <w:bCs/>
                <w:color w:val="auto"/>
                <w:kern w:val="0"/>
                <w:szCs w:val="21"/>
                <w:highlight w:val="none"/>
              </w:rPr>
            </w:pPr>
          </w:p>
        </w:tc>
      </w:tr>
      <w:tr w14:paraId="15A8B128">
        <w:tblPrEx>
          <w:tblCellMar>
            <w:top w:w="0" w:type="dxa"/>
            <w:left w:w="108" w:type="dxa"/>
            <w:bottom w:w="0" w:type="dxa"/>
            <w:right w:w="108" w:type="dxa"/>
          </w:tblCellMar>
        </w:tblPrEx>
        <w:trPr>
          <w:trHeight w:val="773" w:hRule="atLeast"/>
        </w:trPr>
        <w:tc>
          <w:tcPr>
            <w:tcW w:w="362" w:type="pct"/>
            <w:vMerge w:val="restart"/>
            <w:tcBorders>
              <w:top w:val="single" w:color="auto" w:sz="4" w:space="0"/>
              <w:left w:val="single" w:color="auto" w:sz="4" w:space="0"/>
              <w:right w:val="single" w:color="auto" w:sz="4" w:space="0"/>
            </w:tcBorders>
            <w:vAlign w:val="center"/>
          </w:tcPr>
          <w:p w14:paraId="033E0DD4">
            <w:pPr>
              <w:widowControl/>
              <w:tabs>
                <w:tab w:val="left" w:pos="1680"/>
              </w:tabs>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569" w:type="pct"/>
            <w:vMerge w:val="restart"/>
            <w:tcBorders>
              <w:top w:val="single" w:color="auto" w:sz="4" w:space="0"/>
              <w:left w:val="nil"/>
              <w:right w:val="single" w:color="auto" w:sz="4" w:space="0"/>
            </w:tcBorders>
            <w:shd w:val="clear" w:color="auto" w:fill="auto"/>
            <w:vAlign w:val="center"/>
          </w:tcPr>
          <w:p w14:paraId="57A6FC56">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管理与</w:t>
            </w:r>
          </w:p>
          <w:p w14:paraId="160BC4BC">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w:t>
            </w:r>
          </w:p>
          <w:p w14:paraId="44F3B19C">
            <w:pPr>
              <w:widowControl/>
              <w:tabs>
                <w:tab w:val="left" w:pos="1680"/>
              </w:tabs>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18</w:t>
            </w:r>
            <w:r>
              <w:rPr>
                <w:rFonts w:hint="eastAsia" w:ascii="宋体" w:hAnsi="宋体" w:eastAsia="宋体" w:cs="宋体"/>
                <w:color w:val="auto"/>
                <w:kern w:val="0"/>
                <w:szCs w:val="21"/>
                <w:highlight w:val="none"/>
              </w:rPr>
              <w:t>分）</w:t>
            </w:r>
          </w:p>
        </w:tc>
        <w:tc>
          <w:tcPr>
            <w:tcW w:w="1262" w:type="dxa"/>
            <w:tcBorders>
              <w:top w:val="single" w:color="auto" w:sz="4" w:space="0"/>
              <w:left w:val="nil"/>
              <w:bottom w:val="single" w:color="auto" w:sz="4" w:space="0"/>
              <w:right w:val="single" w:color="auto" w:sz="4" w:space="0"/>
            </w:tcBorders>
            <w:shd w:val="clear" w:color="auto" w:fill="auto"/>
            <w:vAlign w:val="center"/>
          </w:tcPr>
          <w:p w14:paraId="1AEA6D34">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免服务费承诺（5分）</w:t>
            </w:r>
          </w:p>
        </w:tc>
        <w:tc>
          <w:tcPr>
            <w:tcW w:w="3992" w:type="dxa"/>
            <w:tcBorders>
              <w:top w:val="single" w:color="auto" w:sz="4" w:space="0"/>
              <w:left w:val="single" w:color="auto" w:sz="4" w:space="0"/>
              <w:bottom w:val="single" w:color="auto" w:sz="4" w:space="0"/>
              <w:right w:val="single" w:color="auto" w:sz="4" w:space="0"/>
            </w:tcBorders>
            <w:vAlign w:val="center"/>
          </w:tcPr>
          <w:p w14:paraId="40A06C18">
            <w:pPr>
              <w:tabs>
                <w:tab w:val="left" w:pos="1680"/>
              </w:tabs>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服务费全免得满分5分，未承诺全免的不得分。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0FF3EDCB">
            <w:pPr>
              <w:widowControl/>
              <w:tabs>
                <w:tab w:val="left" w:pos="1680"/>
              </w:tabs>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26219B18">
            <w:pPr>
              <w:widowControl/>
              <w:tabs>
                <w:tab w:val="left" w:pos="1680"/>
              </w:tabs>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750E15A4">
            <w:pPr>
              <w:widowControl/>
              <w:tabs>
                <w:tab w:val="left" w:pos="1680"/>
              </w:tabs>
              <w:jc w:val="center"/>
              <w:rPr>
                <w:rFonts w:ascii="宋体" w:hAnsi="宋体" w:eastAsia="宋体" w:cs="宋体"/>
                <w:bCs/>
                <w:color w:val="auto"/>
                <w:kern w:val="0"/>
                <w:szCs w:val="21"/>
                <w:highlight w:val="none"/>
              </w:rPr>
            </w:pPr>
          </w:p>
          <w:p w14:paraId="0B6FD877">
            <w:pPr>
              <w:widowControl/>
              <w:tabs>
                <w:tab w:val="left" w:pos="1680"/>
              </w:tabs>
              <w:jc w:val="both"/>
              <w:rPr>
                <w:rFonts w:ascii="宋体" w:hAnsi="宋体" w:eastAsia="宋体" w:cs="宋体"/>
                <w:bCs/>
                <w:color w:val="auto"/>
                <w:kern w:val="0"/>
                <w:szCs w:val="21"/>
                <w:highlight w:val="none"/>
              </w:rPr>
            </w:pPr>
          </w:p>
        </w:tc>
      </w:tr>
      <w:tr w14:paraId="32DA5C2B">
        <w:tblPrEx>
          <w:tblCellMar>
            <w:top w:w="0" w:type="dxa"/>
            <w:left w:w="108" w:type="dxa"/>
            <w:bottom w:w="0" w:type="dxa"/>
            <w:right w:w="108" w:type="dxa"/>
          </w:tblCellMar>
        </w:tblPrEx>
        <w:trPr>
          <w:trHeight w:val="90" w:hRule="atLeast"/>
        </w:trPr>
        <w:tc>
          <w:tcPr>
            <w:tcW w:w="362" w:type="pct"/>
            <w:vMerge w:val="continue"/>
            <w:tcBorders>
              <w:left w:val="single" w:color="auto" w:sz="4" w:space="0"/>
              <w:right w:val="single" w:color="auto" w:sz="4" w:space="0"/>
            </w:tcBorders>
            <w:vAlign w:val="center"/>
          </w:tcPr>
          <w:p w14:paraId="0A437720">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77930F7C">
            <w:pPr>
              <w:widowControl/>
              <w:tabs>
                <w:tab w:val="left" w:pos="1680"/>
              </w:tabs>
              <w:jc w:val="left"/>
              <w:rPr>
                <w:rFonts w:ascii="宋体" w:hAnsi="宋体" w:eastAsia="宋体" w:cs="宋体"/>
                <w:color w:val="auto"/>
                <w:kern w:val="0"/>
                <w:szCs w:val="21"/>
                <w:highlight w:val="none"/>
              </w:rPr>
            </w:pPr>
          </w:p>
        </w:tc>
        <w:tc>
          <w:tcPr>
            <w:tcW w:w="1262" w:type="dxa"/>
            <w:tcBorders>
              <w:top w:val="single" w:color="auto" w:sz="4" w:space="0"/>
              <w:left w:val="nil"/>
              <w:bottom w:val="single" w:color="auto" w:sz="4" w:space="0"/>
              <w:right w:val="single" w:color="auto" w:sz="4" w:space="0"/>
            </w:tcBorders>
            <w:shd w:val="clear" w:color="auto" w:fill="auto"/>
            <w:vAlign w:val="center"/>
          </w:tcPr>
          <w:p w14:paraId="11A17BFF">
            <w:pPr>
              <w:widowControl/>
              <w:tabs>
                <w:tab w:val="left" w:pos="1680"/>
              </w:tabs>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服务方案（8分）</w:t>
            </w:r>
          </w:p>
        </w:tc>
        <w:tc>
          <w:tcPr>
            <w:tcW w:w="3992" w:type="dxa"/>
            <w:tcBorders>
              <w:top w:val="single" w:color="auto" w:sz="4" w:space="0"/>
              <w:left w:val="single" w:color="auto" w:sz="4" w:space="0"/>
              <w:bottom w:val="single" w:color="auto" w:sz="4" w:space="0"/>
              <w:right w:val="single" w:color="auto" w:sz="4" w:space="0"/>
            </w:tcBorders>
            <w:vAlign w:val="center"/>
          </w:tcPr>
          <w:p w14:paraId="7ABE7412">
            <w:pPr>
              <w:tabs>
                <w:tab w:val="left" w:pos="1680"/>
              </w:tabs>
              <w:spacing w:after="0" w:line="259" w:lineRule="auto"/>
              <w:ind w:left="0" w:leftChars="0" w:firstLine="0" w:firstLineChars="0"/>
              <w:rPr>
                <w:rFonts w:ascii="宋体" w:hAnsi="宋体" w:eastAsia="宋体" w:cs="宋体"/>
                <w:color w:val="auto"/>
                <w:kern w:val="0"/>
                <w:szCs w:val="21"/>
                <w:highlight w:val="none"/>
              </w:rPr>
            </w:pPr>
            <w:r>
              <w:rPr>
                <w:color w:val="auto"/>
                <w:sz w:val="21"/>
                <w:highlight w:val="none"/>
              </w:rPr>
              <w:t>根据投标人提供的服务团队，团队人员从业经验、资历配备情况，应急处理方案、安全保障、财务稳健保障与风险控制方案等内容横向比较，酌情打分。（0～</w:t>
            </w:r>
            <w:r>
              <w:rPr>
                <w:rFonts w:hint="eastAsia"/>
                <w:color w:val="auto"/>
                <w:sz w:val="21"/>
                <w:highlight w:val="none"/>
                <w:lang w:val="en-US" w:eastAsia="zh-CN"/>
              </w:rPr>
              <w:t>8</w:t>
            </w:r>
            <w:r>
              <w:rPr>
                <w:color w:val="auto"/>
                <w:sz w:val="21"/>
                <w:highlight w:val="none"/>
              </w:rPr>
              <w:t>分）</w:t>
            </w:r>
          </w:p>
        </w:tc>
        <w:tc>
          <w:tcPr>
            <w:tcW w:w="498" w:type="pct"/>
            <w:tcBorders>
              <w:top w:val="single" w:color="auto" w:sz="4" w:space="0"/>
              <w:left w:val="single" w:color="auto" w:sz="4" w:space="0"/>
              <w:bottom w:val="single" w:color="auto" w:sz="4" w:space="0"/>
              <w:right w:val="single" w:color="auto" w:sz="4" w:space="0"/>
            </w:tcBorders>
            <w:vAlign w:val="center"/>
          </w:tcPr>
          <w:p w14:paraId="7A3881B0">
            <w:pPr>
              <w:widowControl/>
              <w:tabs>
                <w:tab w:val="left" w:pos="1680"/>
              </w:tabs>
              <w:jc w:val="center"/>
              <w:rPr>
                <w:rFonts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52244436">
            <w:pPr>
              <w:widowControl/>
              <w:tabs>
                <w:tab w:val="left" w:pos="1680"/>
              </w:tabs>
              <w:jc w:val="center"/>
              <w:rPr>
                <w:rFonts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89CCBC4">
            <w:pPr>
              <w:widowControl/>
              <w:tabs>
                <w:tab w:val="left" w:pos="1680"/>
              </w:tabs>
              <w:jc w:val="center"/>
              <w:rPr>
                <w:rFonts w:ascii="宋体" w:hAnsi="宋体" w:eastAsia="宋体" w:cs="宋体"/>
                <w:bCs/>
                <w:color w:val="auto"/>
                <w:kern w:val="0"/>
                <w:szCs w:val="21"/>
                <w:highlight w:val="none"/>
              </w:rPr>
            </w:pPr>
          </w:p>
        </w:tc>
      </w:tr>
      <w:tr w14:paraId="63382EFA">
        <w:tblPrEx>
          <w:tblCellMar>
            <w:top w:w="0" w:type="dxa"/>
            <w:left w:w="108" w:type="dxa"/>
            <w:bottom w:w="0" w:type="dxa"/>
            <w:right w:w="108" w:type="dxa"/>
          </w:tblCellMar>
        </w:tblPrEx>
        <w:trPr>
          <w:trHeight w:val="247" w:hRule="atLeast"/>
        </w:trPr>
        <w:tc>
          <w:tcPr>
            <w:tcW w:w="362" w:type="pct"/>
            <w:vMerge w:val="continue"/>
            <w:tcBorders>
              <w:left w:val="single" w:color="auto" w:sz="4" w:space="0"/>
              <w:right w:val="single" w:color="auto" w:sz="4" w:space="0"/>
            </w:tcBorders>
            <w:vAlign w:val="center"/>
          </w:tcPr>
          <w:p w14:paraId="028C8BA0">
            <w:pPr>
              <w:widowControl/>
              <w:tabs>
                <w:tab w:val="left" w:pos="1680"/>
              </w:tabs>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0666B19F">
            <w:pPr>
              <w:widowControl/>
              <w:tabs>
                <w:tab w:val="left" w:pos="1680"/>
              </w:tabs>
              <w:jc w:val="left"/>
              <w:rPr>
                <w:rFonts w:ascii="宋体" w:hAnsi="宋体" w:eastAsia="宋体" w:cs="宋体"/>
                <w:color w:val="auto"/>
                <w:kern w:val="0"/>
                <w:szCs w:val="21"/>
                <w:highlight w:val="none"/>
              </w:rPr>
            </w:pPr>
          </w:p>
        </w:tc>
        <w:tc>
          <w:tcPr>
            <w:tcW w:w="1262" w:type="dxa"/>
            <w:tcBorders>
              <w:top w:val="single" w:color="auto" w:sz="4" w:space="0"/>
              <w:left w:val="nil"/>
              <w:bottom w:val="single" w:color="auto" w:sz="4" w:space="0"/>
              <w:right w:val="single" w:color="auto" w:sz="4" w:space="0"/>
            </w:tcBorders>
            <w:shd w:val="clear" w:color="auto" w:fill="auto"/>
            <w:vAlign w:val="center"/>
          </w:tcPr>
          <w:p w14:paraId="5EFA36BB">
            <w:pPr>
              <w:widowControl/>
              <w:tabs>
                <w:tab w:val="left" w:pos="1680"/>
              </w:tabs>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特色金融服务方案（5分）</w:t>
            </w:r>
          </w:p>
        </w:tc>
        <w:tc>
          <w:tcPr>
            <w:tcW w:w="3992" w:type="dxa"/>
            <w:tcBorders>
              <w:top w:val="single" w:color="auto" w:sz="4" w:space="0"/>
              <w:left w:val="single" w:color="auto" w:sz="4" w:space="0"/>
              <w:bottom w:val="single" w:color="auto" w:sz="4" w:space="0"/>
              <w:right w:val="single" w:color="auto" w:sz="4" w:space="0"/>
            </w:tcBorders>
            <w:vAlign w:val="center"/>
          </w:tcPr>
          <w:p w14:paraId="3DB9B150">
            <w:pPr>
              <w:tabs>
                <w:tab w:val="left" w:pos="1680"/>
              </w:tabs>
              <w:spacing w:after="0" w:line="259" w:lineRule="auto"/>
              <w:ind w:left="0" w:leftChars="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对投标人存放资金保值增值能力和对招标人的特色金融服务方案进行横向比较，方案全面、针对性强，具体由评委酌情打分。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0</w:t>
            </w:r>
            <w:r>
              <w:rPr>
                <w:color w:val="auto"/>
                <w:sz w:val="21"/>
                <w:highlight w:val="none"/>
              </w:rPr>
              <w:t>～</w:t>
            </w:r>
            <w:r>
              <w:rPr>
                <w:rFonts w:hint="eastAsia" w:ascii="宋体" w:hAnsi="宋体" w:cs="宋体"/>
                <w:color w:val="auto"/>
                <w:kern w:val="0"/>
                <w:szCs w:val="21"/>
                <w:highlight w:val="none"/>
                <w:lang w:val="en-US" w:eastAsia="zh-CN"/>
              </w:rPr>
              <w:t>5分</w:t>
            </w:r>
            <w:r>
              <w:rPr>
                <w:rFonts w:hint="eastAsia" w:ascii="宋体" w:hAnsi="宋体" w:cs="宋体"/>
                <w:color w:val="auto"/>
                <w:kern w:val="0"/>
                <w:szCs w:val="21"/>
                <w:highlight w:val="none"/>
                <w:lang w:eastAsia="zh-CN"/>
              </w:rPr>
              <w:t>）</w:t>
            </w:r>
          </w:p>
        </w:tc>
        <w:tc>
          <w:tcPr>
            <w:tcW w:w="498" w:type="pct"/>
            <w:tcBorders>
              <w:top w:val="single" w:color="auto" w:sz="4" w:space="0"/>
              <w:left w:val="single" w:color="auto" w:sz="4" w:space="0"/>
              <w:bottom w:val="single" w:color="auto" w:sz="4" w:space="0"/>
              <w:right w:val="single" w:color="auto" w:sz="4" w:space="0"/>
            </w:tcBorders>
            <w:vAlign w:val="center"/>
          </w:tcPr>
          <w:p w14:paraId="673CECB7">
            <w:pPr>
              <w:widowControl/>
              <w:tabs>
                <w:tab w:val="left" w:pos="1680"/>
              </w:tabs>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18BEC09B">
            <w:pPr>
              <w:widowControl/>
              <w:tabs>
                <w:tab w:val="left" w:pos="1680"/>
              </w:tabs>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FCD1346">
            <w:pPr>
              <w:widowControl/>
              <w:tabs>
                <w:tab w:val="left" w:pos="1680"/>
              </w:tabs>
              <w:jc w:val="center"/>
              <w:rPr>
                <w:rFonts w:ascii="宋体" w:hAnsi="宋体" w:eastAsia="宋体" w:cs="宋体"/>
                <w:bCs/>
                <w:color w:val="auto"/>
                <w:kern w:val="0"/>
                <w:szCs w:val="21"/>
                <w:highlight w:val="none"/>
              </w:rPr>
            </w:pPr>
          </w:p>
        </w:tc>
      </w:tr>
    </w:tbl>
    <w:p w14:paraId="1F32FF3C">
      <w:pPr>
        <w:tabs>
          <w:tab w:val="left" w:pos="1680"/>
        </w:tabs>
        <w:adjustRightInd w:val="0"/>
        <w:snapToGrid w:val="0"/>
        <w:spacing w:line="360" w:lineRule="auto"/>
        <w:ind w:left="-424" w:leftChars="-202" w:right="-447" w:rightChars="-213"/>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）以上数据要求提供相关证明材料的，应将证明材料复印件放入投标文件中。</w:t>
      </w:r>
    </w:p>
    <w:p w14:paraId="65F42E6C">
      <w:pPr>
        <w:tabs>
          <w:tab w:val="left" w:pos="1680"/>
        </w:tabs>
        <w:adjustRightInd w:val="0"/>
        <w:snapToGrid w:val="0"/>
        <w:spacing w:line="360" w:lineRule="auto"/>
        <w:ind w:left="-424" w:leftChars="-202" w:right="-447" w:rightChars="-213"/>
        <w:rPr>
          <w:rFonts w:asciiTheme="minorEastAsia" w:hAnsiTheme="minorEastAsia" w:eastAsiaTheme="minorEastAsia"/>
          <w:color w:val="auto"/>
          <w:sz w:val="24"/>
          <w:highlight w:val="none"/>
        </w:rPr>
      </w:pPr>
    </w:p>
    <w:p w14:paraId="1C535E79">
      <w:pPr>
        <w:tabs>
          <w:tab w:val="left" w:pos="1680"/>
        </w:tabs>
        <w:adjustRightInd w:val="0"/>
        <w:snapToGrid w:val="0"/>
        <w:spacing w:line="360" w:lineRule="auto"/>
        <w:ind w:left="-424" w:leftChars="-202" w:right="-447" w:rightChars="-213"/>
        <w:rPr>
          <w:rFonts w:asciiTheme="minorEastAsia" w:hAnsiTheme="minorEastAsia" w:eastAsiaTheme="minorEastAsia"/>
          <w:color w:val="auto"/>
          <w:sz w:val="24"/>
          <w:highlight w:val="none"/>
        </w:rPr>
      </w:pPr>
    </w:p>
    <w:p w14:paraId="3245E51A">
      <w:pPr>
        <w:tabs>
          <w:tab w:val="left" w:pos="1680"/>
        </w:tabs>
        <w:adjustRightInd w:val="0"/>
        <w:snapToGrid w:val="0"/>
        <w:spacing w:line="360" w:lineRule="auto"/>
        <w:ind w:left="-424" w:leftChars="-202" w:right="-447" w:rightChars="-213"/>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投标人名称：（</w:t>
      </w:r>
      <w:r>
        <w:rPr>
          <w:rFonts w:asciiTheme="minorEastAsia" w:hAnsiTheme="minorEastAsia" w:eastAsiaTheme="minorEastAsia"/>
          <w:bCs/>
          <w:color w:val="auto"/>
          <w:sz w:val="24"/>
          <w:szCs w:val="20"/>
          <w:highlight w:val="none"/>
        </w:rPr>
        <w:t>加盖投标人公章</w:t>
      </w:r>
      <w:r>
        <w:rPr>
          <w:rFonts w:asciiTheme="minorEastAsia" w:hAnsiTheme="minorEastAsia" w:eastAsiaTheme="minorEastAsia"/>
          <w:color w:val="auto"/>
          <w:sz w:val="24"/>
          <w:highlight w:val="none"/>
        </w:rPr>
        <w:t>）</w:t>
      </w:r>
    </w:p>
    <w:p w14:paraId="18F0A5F0">
      <w:pPr>
        <w:tabs>
          <w:tab w:val="left" w:pos="1680"/>
        </w:tabs>
        <w:adjustRightInd w:val="0"/>
        <w:snapToGrid w:val="0"/>
        <w:spacing w:line="360" w:lineRule="auto"/>
        <w:ind w:left="-424" w:leftChars="-202" w:right="-447" w:rightChars="-213"/>
        <w:rPr>
          <w:rFonts w:ascii="宋体" w:hAnsi="宋体"/>
          <w:color w:val="auto"/>
          <w:sz w:val="24"/>
          <w:highlight w:val="none"/>
        </w:rPr>
      </w:pPr>
    </w:p>
    <w:p w14:paraId="6502171F">
      <w:pPr>
        <w:tabs>
          <w:tab w:val="left" w:pos="1680"/>
        </w:tabs>
        <w:adjustRightInd w:val="0"/>
        <w:snapToGrid w:val="0"/>
        <w:spacing w:line="360" w:lineRule="auto"/>
        <w:ind w:left="-424" w:leftChars="-202" w:right="-447" w:rightChars="-213"/>
        <w:rPr>
          <w:rFonts w:asciiTheme="minorEastAsia" w:hAnsiTheme="minorEastAsia" w:eastAsiaTheme="minorEastAsia"/>
          <w:color w:val="auto"/>
          <w:sz w:val="24"/>
          <w:highlight w:val="none"/>
        </w:rPr>
      </w:pPr>
      <w:r>
        <w:rPr>
          <w:rFonts w:ascii="宋体" w:hAnsi="宋体"/>
          <w:color w:val="auto"/>
          <w:sz w:val="24"/>
          <w:highlight w:val="none"/>
        </w:rPr>
        <w:t>法定代表人</w:t>
      </w:r>
      <w:r>
        <w:rPr>
          <w:rFonts w:hint="eastAsia" w:ascii="宋体" w:hAnsi="宋体"/>
          <w:color w:val="auto"/>
          <w:sz w:val="24"/>
          <w:highlight w:val="none"/>
        </w:rPr>
        <w:t>（或分行负责人/支行负责人）</w:t>
      </w:r>
      <w:r>
        <w:rPr>
          <w:rFonts w:ascii="宋体" w:hAnsi="宋体"/>
          <w:color w:val="auto"/>
          <w:sz w:val="24"/>
          <w:highlight w:val="none"/>
        </w:rPr>
        <w:t>或授权委托人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4E354DD1">
      <w:pPr>
        <w:tabs>
          <w:tab w:val="left" w:pos="1680"/>
        </w:tabs>
        <w:adjustRightInd w:val="0"/>
        <w:snapToGrid w:val="0"/>
        <w:spacing w:line="360" w:lineRule="auto"/>
        <w:ind w:left="-424" w:leftChars="-202" w:right="-447" w:rightChars="-213"/>
        <w:jc w:val="left"/>
        <w:rPr>
          <w:rFonts w:asciiTheme="minorEastAsia" w:hAnsiTheme="minorEastAsia" w:eastAsiaTheme="minorEastAsia"/>
          <w:color w:val="auto"/>
          <w:sz w:val="24"/>
          <w:highlight w:val="none"/>
        </w:rPr>
      </w:pPr>
    </w:p>
    <w:p w14:paraId="38556908">
      <w:pPr>
        <w:tabs>
          <w:tab w:val="left" w:pos="1680"/>
        </w:tabs>
        <w:adjustRightInd w:val="0"/>
        <w:snapToGrid w:val="0"/>
        <w:spacing w:line="360" w:lineRule="auto"/>
        <w:ind w:left="-424" w:leftChars="-202" w:right="-447" w:rightChars="-213"/>
        <w:jc w:val="left"/>
        <w:rPr>
          <w:rFonts w:ascii="宋体" w:hAnsi="宋体"/>
          <w:color w:val="auto"/>
          <w:sz w:val="24"/>
          <w:highlight w:val="none"/>
        </w:rPr>
      </w:pPr>
      <w:r>
        <w:rPr>
          <w:rFonts w:asciiTheme="minorEastAsia" w:hAnsiTheme="minorEastAsia" w:eastAsiaTheme="minorEastAsia"/>
          <w:color w:val="auto"/>
          <w:sz w:val="24"/>
          <w:highlight w:val="none"/>
        </w:rPr>
        <w:t>日期：</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r>
        <w:rPr>
          <w:rFonts w:ascii="宋体" w:hAnsi="宋体"/>
          <w:color w:val="auto"/>
          <w:sz w:val="24"/>
          <w:highlight w:val="none"/>
        </w:rPr>
        <w:br w:type="column"/>
      </w:r>
      <w:r>
        <w:rPr>
          <w:rFonts w:hint="eastAsia" w:ascii="宋体" w:hAnsi="宋体"/>
          <w:color w:val="auto"/>
          <w:sz w:val="24"/>
          <w:highlight w:val="none"/>
        </w:rPr>
        <w:t xml:space="preserve">    </w:t>
      </w:r>
    </w:p>
    <w:p w14:paraId="6F1CDB66">
      <w:pPr>
        <w:tabs>
          <w:tab w:val="left" w:pos="1680"/>
        </w:tabs>
        <w:adjustRightInd w:val="0"/>
        <w:snapToGrid w:val="0"/>
        <w:spacing w:line="360" w:lineRule="auto"/>
        <w:ind w:left="-424" w:leftChars="-202" w:right="-447" w:rightChars="-213"/>
        <w:jc w:val="left"/>
        <w:rPr>
          <w:rFonts w:ascii="宋体" w:hAnsi="宋体"/>
          <w:color w:val="auto"/>
          <w:sz w:val="24"/>
          <w:highlight w:val="none"/>
        </w:rPr>
      </w:pPr>
      <w:r>
        <w:rPr>
          <w:rFonts w:hint="eastAsia" w:ascii="宋体" w:hAnsi="宋体"/>
          <w:color w:val="auto"/>
          <w:sz w:val="24"/>
          <w:highlight w:val="none"/>
        </w:rPr>
        <w:t xml:space="preserve">    附件二</w:t>
      </w:r>
    </w:p>
    <w:p w14:paraId="6543FF6A">
      <w:pPr>
        <w:tabs>
          <w:tab w:val="left" w:pos="1680"/>
        </w:tabs>
        <w:adjustRightInd w:val="0"/>
        <w:snapToGrid w:val="0"/>
        <w:spacing w:line="360" w:lineRule="auto"/>
        <w:ind w:left="-424" w:leftChars="-202" w:right="-447" w:rightChars="-213"/>
        <w:jc w:val="center"/>
        <w:rPr>
          <w:rFonts w:asciiTheme="minorEastAsia" w:hAnsiTheme="minorEastAsia" w:eastAsiaTheme="minorEastAsia"/>
          <w:color w:val="auto"/>
          <w:sz w:val="24"/>
          <w:highlight w:val="none"/>
        </w:rPr>
      </w:pPr>
      <w:r>
        <w:rPr>
          <w:rFonts w:hAnsi="宋体"/>
          <w:b/>
          <w:color w:val="auto"/>
          <w:sz w:val="24"/>
          <w:highlight w:val="none"/>
        </w:rPr>
        <w:t>投标声明书</w:t>
      </w:r>
    </w:p>
    <w:p w14:paraId="662BB2CC">
      <w:pPr>
        <w:tabs>
          <w:tab w:val="left" w:pos="1680"/>
        </w:tabs>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lang w:eastAsia="zh-CN"/>
        </w:rPr>
        <w:t>宁波高新区聚贤街道总工会2025年度基本存款账户竞争性存放服务项目</w:t>
      </w:r>
      <w:r>
        <w:rPr>
          <w:color w:val="auto"/>
          <w:sz w:val="24"/>
          <w:highlight w:val="none"/>
        </w:rPr>
        <w:t>的招标公告，签字代表</w:t>
      </w:r>
      <w:r>
        <w:rPr>
          <w:color w:val="auto"/>
          <w:sz w:val="24"/>
          <w:highlight w:val="none"/>
          <w:u w:val="single"/>
        </w:rPr>
        <w:t>（姓名和职务）</w:t>
      </w:r>
      <w:r>
        <w:rPr>
          <w:color w:val="auto"/>
          <w:sz w:val="24"/>
          <w:highlight w:val="none"/>
        </w:rPr>
        <w:t>经正式授权并代表投标人</w:t>
      </w:r>
      <w:r>
        <w:rPr>
          <w:color w:val="auto"/>
          <w:sz w:val="24"/>
          <w:highlight w:val="none"/>
          <w:u w:val="single"/>
        </w:rPr>
        <w:t>（投标人名称、地址）</w:t>
      </w:r>
      <w:r>
        <w:rPr>
          <w:color w:val="auto"/>
          <w:sz w:val="24"/>
          <w:highlight w:val="none"/>
        </w:rPr>
        <w:t>提交下述文件：</w:t>
      </w:r>
    </w:p>
    <w:p w14:paraId="33114D14">
      <w:pPr>
        <w:pStyle w:val="16"/>
        <w:tabs>
          <w:tab w:val="left" w:pos="1680"/>
        </w:tabs>
        <w:snapToGrid w:val="0"/>
        <w:spacing w:beforeLines="0" w:afterLines="0" w:line="360" w:lineRule="auto"/>
        <w:ind w:firstLine="468" w:firstLineChars="195"/>
        <w:rPr>
          <w:rFonts w:ascii="Times New Roman" w:hAnsi="Times New Roman"/>
          <w:bCs/>
          <w:color w:val="auto"/>
          <w:highlight w:val="none"/>
        </w:rPr>
      </w:pPr>
      <w:r>
        <w:rPr>
          <w:rFonts w:ascii="Times New Roman" w:hAnsi="Times New Roman"/>
          <w:bCs/>
          <w:color w:val="auto"/>
          <w:highlight w:val="none"/>
        </w:rPr>
        <w:t>（1）投标声明书；（2）</w:t>
      </w:r>
      <w:r>
        <w:rPr>
          <w:rFonts w:hint="eastAsia" w:ascii="Times New Roman" w:hAnsi="Times New Roman"/>
          <w:bCs/>
          <w:color w:val="auto"/>
          <w:highlight w:val="none"/>
        </w:rPr>
        <w:t>廉政承诺书；（3）</w:t>
      </w:r>
      <w:r>
        <w:rPr>
          <w:rFonts w:ascii="Times New Roman" w:hAnsi="Times New Roman"/>
          <w:bCs/>
          <w:color w:val="auto"/>
          <w:highlight w:val="none"/>
        </w:rPr>
        <w:t>投标报价一览表；（</w:t>
      </w:r>
      <w:r>
        <w:rPr>
          <w:rFonts w:hint="eastAsia" w:ascii="Times New Roman" w:hAnsi="Times New Roman"/>
          <w:bCs/>
          <w:color w:val="auto"/>
          <w:highlight w:val="none"/>
        </w:rPr>
        <w:t>4</w:t>
      </w:r>
      <w:r>
        <w:rPr>
          <w:rFonts w:ascii="Times New Roman" w:hAnsi="Times New Roman"/>
          <w:bCs/>
          <w:color w:val="auto"/>
          <w:highlight w:val="none"/>
        </w:rPr>
        <w:t>）</w:t>
      </w:r>
      <w:r>
        <w:rPr>
          <w:rFonts w:ascii="Times New Roman" w:hAnsi="Times New Roman" w:cs="Times New Roman"/>
          <w:bCs/>
          <w:color w:val="auto"/>
          <w:highlight w:val="none"/>
        </w:rPr>
        <w:t>法定代表人</w:t>
      </w:r>
      <w:r>
        <w:rPr>
          <w:rFonts w:hint="eastAsia" w:ascii="Times New Roman" w:hAnsi="Times New Roman" w:cs="Times New Roman"/>
          <w:bCs/>
          <w:color w:val="auto"/>
          <w:highlight w:val="none"/>
        </w:rPr>
        <w:t>（或分行负责人/支行负责人）</w:t>
      </w:r>
      <w:r>
        <w:rPr>
          <w:rFonts w:ascii="Times New Roman" w:hAnsi="Times New Roman" w:cs="Times New Roman"/>
          <w:bCs/>
          <w:color w:val="auto"/>
          <w:highlight w:val="none"/>
        </w:rPr>
        <w:t>身份证明书或法定代表人</w:t>
      </w:r>
      <w:r>
        <w:rPr>
          <w:rFonts w:hint="eastAsia" w:ascii="Times New Roman" w:hAnsi="Times New Roman" w:cs="Times New Roman"/>
          <w:bCs/>
          <w:color w:val="auto"/>
          <w:highlight w:val="none"/>
        </w:rPr>
        <w:t>（或分行负责人/支行负责人）</w:t>
      </w:r>
      <w:r>
        <w:rPr>
          <w:rFonts w:ascii="Times New Roman" w:hAnsi="Times New Roman" w:cs="Times New Roman"/>
          <w:bCs/>
          <w:color w:val="auto"/>
          <w:highlight w:val="none"/>
        </w:rPr>
        <w:t>授权委托书</w:t>
      </w:r>
      <w:r>
        <w:rPr>
          <w:rFonts w:ascii="Times New Roman" w:hAnsi="Times New Roman"/>
          <w:bCs/>
          <w:color w:val="auto"/>
          <w:highlight w:val="none"/>
        </w:rPr>
        <w:t>；（</w:t>
      </w:r>
      <w:r>
        <w:rPr>
          <w:rFonts w:hint="eastAsia" w:ascii="Times New Roman" w:hAnsi="Times New Roman"/>
          <w:bCs/>
          <w:color w:val="auto"/>
          <w:highlight w:val="none"/>
        </w:rPr>
        <w:t>5</w:t>
      </w:r>
      <w:r>
        <w:rPr>
          <w:rFonts w:ascii="Times New Roman" w:hAnsi="Times New Roman"/>
          <w:bCs/>
          <w:color w:val="auto"/>
          <w:highlight w:val="none"/>
        </w:rPr>
        <w:t>）投标人资格证明文件；（</w:t>
      </w:r>
      <w:r>
        <w:rPr>
          <w:rFonts w:hint="eastAsia" w:ascii="Times New Roman" w:hAnsi="Times New Roman"/>
          <w:bCs/>
          <w:color w:val="auto"/>
          <w:highlight w:val="none"/>
        </w:rPr>
        <w:t>6</w:t>
      </w:r>
      <w:r>
        <w:rPr>
          <w:rFonts w:ascii="Times New Roman" w:hAnsi="Times New Roman"/>
          <w:bCs/>
          <w:color w:val="auto"/>
          <w:highlight w:val="none"/>
        </w:rPr>
        <w:t>）根据第四章评分标准中的内容提供相应的资料；（</w:t>
      </w:r>
      <w:r>
        <w:rPr>
          <w:rFonts w:hint="eastAsia" w:ascii="Times New Roman" w:hAnsi="Times New Roman"/>
          <w:bCs/>
          <w:color w:val="auto"/>
          <w:highlight w:val="none"/>
        </w:rPr>
        <w:t>7</w:t>
      </w:r>
      <w:r>
        <w:rPr>
          <w:rFonts w:ascii="Times New Roman" w:hAnsi="Times New Roman"/>
          <w:bCs/>
          <w:color w:val="auto"/>
          <w:highlight w:val="none"/>
        </w:rPr>
        <w:t>）投标人认为需提供的其他资料。</w:t>
      </w:r>
    </w:p>
    <w:p w14:paraId="5647502C">
      <w:pPr>
        <w:tabs>
          <w:tab w:val="left" w:pos="1680"/>
        </w:tabs>
        <w:spacing w:line="360" w:lineRule="auto"/>
        <w:ind w:firstLine="480" w:firstLineChars="200"/>
        <w:rPr>
          <w:color w:val="auto"/>
          <w:sz w:val="24"/>
          <w:highlight w:val="none"/>
        </w:rPr>
      </w:pPr>
      <w:r>
        <w:rPr>
          <w:color w:val="auto"/>
          <w:sz w:val="24"/>
          <w:highlight w:val="none"/>
        </w:rPr>
        <w:t>据此函，签字代表宣布同意如下：</w:t>
      </w:r>
    </w:p>
    <w:p w14:paraId="57573D15">
      <w:pPr>
        <w:tabs>
          <w:tab w:val="left" w:pos="1680"/>
        </w:tabs>
        <w:spacing w:line="360" w:lineRule="auto"/>
        <w:ind w:firstLine="480" w:firstLineChars="200"/>
        <w:rPr>
          <w:color w:val="auto"/>
          <w:sz w:val="24"/>
          <w:highlight w:val="none"/>
        </w:rPr>
      </w:pPr>
      <w:r>
        <w:rPr>
          <w:color w:val="auto"/>
          <w:sz w:val="24"/>
          <w:highlight w:val="none"/>
        </w:rPr>
        <w:t>1、我方将按招标文件的规定履行协议责任和义务；</w:t>
      </w:r>
    </w:p>
    <w:p w14:paraId="115C0F54">
      <w:pPr>
        <w:tabs>
          <w:tab w:val="left" w:pos="1680"/>
        </w:tabs>
        <w:spacing w:line="360" w:lineRule="auto"/>
        <w:ind w:firstLine="480" w:firstLineChars="200"/>
        <w:rPr>
          <w:color w:val="auto"/>
          <w:sz w:val="24"/>
          <w:highlight w:val="none"/>
        </w:rPr>
      </w:pPr>
      <w:r>
        <w:rPr>
          <w:color w:val="auto"/>
          <w:sz w:val="24"/>
          <w:highlight w:val="none"/>
        </w:rPr>
        <w:t>2、我方已详细审核全部招标文件，包括补充修改文件（如果有的话）。我们完全理解并同意放弃对这方面有不明及误解的权利；</w:t>
      </w:r>
    </w:p>
    <w:p w14:paraId="27DD2EEB">
      <w:pPr>
        <w:tabs>
          <w:tab w:val="left" w:pos="1680"/>
        </w:tabs>
        <w:spacing w:line="360" w:lineRule="auto"/>
        <w:ind w:firstLine="480" w:firstLineChars="200"/>
        <w:rPr>
          <w:color w:val="auto"/>
          <w:sz w:val="24"/>
          <w:highlight w:val="none"/>
        </w:rPr>
      </w:pPr>
      <w:r>
        <w:rPr>
          <w:color w:val="auto"/>
          <w:sz w:val="24"/>
          <w:highlight w:val="none"/>
        </w:rPr>
        <w:t>3、本投标有效期为投标截止期结束后</w:t>
      </w:r>
      <w:r>
        <w:rPr>
          <w:color w:val="auto"/>
          <w:sz w:val="24"/>
          <w:highlight w:val="none"/>
          <w:u w:val="single"/>
        </w:rPr>
        <w:t>90</w:t>
      </w:r>
      <w:r>
        <w:rPr>
          <w:color w:val="auto"/>
          <w:sz w:val="24"/>
          <w:highlight w:val="none"/>
        </w:rPr>
        <w:t>天。</w:t>
      </w:r>
    </w:p>
    <w:p w14:paraId="11DCB670">
      <w:pPr>
        <w:tabs>
          <w:tab w:val="left" w:pos="1680"/>
        </w:tabs>
        <w:spacing w:line="360" w:lineRule="auto"/>
        <w:ind w:firstLine="480" w:firstLineChars="200"/>
        <w:rPr>
          <w:color w:val="auto"/>
          <w:sz w:val="24"/>
          <w:highlight w:val="none"/>
        </w:rPr>
      </w:pPr>
      <w:r>
        <w:rPr>
          <w:color w:val="auto"/>
          <w:sz w:val="24"/>
          <w:highlight w:val="none"/>
        </w:rPr>
        <w:t>4、如果在规定的开标时间后，我方在投标有效期内撤回投标，可取消我方本次投标资格</w:t>
      </w:r>
      <w:r>
        <w:rPr>
          <w:rFonts w:hint="eastAsia"/>
          <w:color w:val="auto"/>
          <w:sz w:val="24"/>
          <w:highlight w:val="none"/>
        </w:rPr>
        <w:t>并报有关行政监督部门进行处罚</w:t>
      </w:r>
      <w:r>
        <w:rPr>
          <w:color w:val="auto"/>
          <w:sz w:val="24"/>
          <w:highlight w:val="none"/>
        </w:rPr>
        <w:t>；</w:t>
      </w:r>
    </w:p>
    <w:p w14:paraId="3EF5EF93">
      <w:pPr>
        <w:tabs>
          <w:tab w:val="left" w:pos="1680"/>
        </w:tabs>
        <w:spacing w:line="360" w:lineRule="auto"/>
        <w:ind w:firstLine="480" w:firstLineChars="200"/>
        <w:rPr>
          <w:color w:val="auto"/>
          <w:sz w:val="24"/>
          <w:highlight w:val="none"/>
        </w:rPr>
      </w:pPr>
      <w:r>
        <w:rPr>
          <w:color w:val="auto"/>
          <w:sz w:val="24"/>
          <w:highlight w:val="none"/>
        </w:rPr>
        <w:t>5、我方同意提供按照贵方要求的与其投标有关的一切证据或资料；</w:t>
      </w:r>
    </w:p>
    <w:p w14:paraId="72AC3B4C">
      <w:pPr>
        <w:tabs>
          <w:tab w:val="left" w:pos="1680"/>
        </w:tabs>
        <w:spacing w:line="360" w:lineRule="auto"/>
        <w:ind w:firstLine="480" w:firstLineChars="200"/>
        <w:rPr>
          <w:color w:val="auto"/>
          <w:sz w:val="24"/>
          <w:highlight w:val="none"/>
        </w:rPr>
      </w:pPr>
      <w:r>
        <w:rPr>
          <w:color w:val="auto"/>
          <w:sz w:val="24"/>
          <w:highlight w:val="none"/>
        </w:rPr>
        <w:t>6、我方郑重声明：一旦我方中标，我们将根据招标文件的规定，严格按照《合同法》履行自己的责任和义务，并保证完全按照合同为</w:t>
      </w:r>
      <w:r>
        <w:rPr>
          <w:rFonts w:hint="eastAsia" w:ascii="宋体" w:hAnsi="宋体"/>
          <w:color w:val="auto"/>
          <w:sz w:val="24"/>
          <w:highlight w:val="none"/>
          <w:u w:val="single"/>
          <w:lang w:eastAsia="zh-CN"/>
        </w:rPr>
        <w:t>宁波高新区聚贤街道总工会2025年度基本存款账户竞争性存放服务项目</w:t>
      </w:r>
      <w:r>
        <w:rPr>
          <w:color w:val="auto"/>
          <w:sz w:val="24"/>
          <w:highlight w:val="none"/>
        </w:rPr>
        <w:t>的相关业务提供服务；</w:t>
      </w:r>
    </w:p>
    <w:p w14:paraId="15053BFD">
      <w:pPr>
        <w:tabs>
          <w:tab w:val="left" w:pos="1680"/>
        </w:tabs>
        <w:spacing w:line="360" w:lineRule="auto"/>
        <w:ind w:firstLine="480" w:firstLineChars="200"/>
        <w:rPr>
          <w:color w:val="auto"/>
          <w:sz w:val="24"/>
          <w:highlight w:val="none"/>
        </w:rPr>
      </w:pPr>
      <w:r>
        <w:rPr>
          <w:color w:val="auto"/>
          <w:sz w:val="24"/>
          <w:highlight w:val="none"/>
        </w:rPr>
        <w:t>7、与本投标有关的一切正式往来信函请寄：</w:t>
      </w:r>
    </w:p>
    <w:p w14:paraId="28B45D12">
      <w:pPr>
        <w:tabs>
          <w:tab w:val="left" w:pos="1680"/>
        </w:tabs>
        <w:spacing w:line="360" w:lineRule="auto"/>
        <w:rPr>
          <w:color w:val="auto"/>
          <w:sz w:val="24"/>
          <w:highlight w:val="none"/>
        </w:rPr>
      </w:pPr>
    </w:p>
    <w:p w14:paraId="1E8F8849">
      <w:pPr>
        <w:tabs>
          <w:tab w:val="left" w:pos="1680"/>
        </w:tabs>
        <w:spacing w:line="420" w:lineRule="exact"/>
        <w:rPr>
          <w:color w:val="auto"/>
          <w:sz w:val="24"/>
          <w:highlight w:val="none"/>
        </w:rPr>
      </w:pPr>
    </w:p>
    <w:p w14:paraId="098EE9B2">
      <w:pPr>
        <w:tabs>
          <w:tab w:val="left" w:pos="1680"/>
        </w:tabs>
        <w:spacing w:line="360" w:lineRule="auto"/>
        <w:ind w:firstLine="480" w:firstLineChars="200"/>
        <w:rPr>
          <w:rFonts w:ascii="宋体" w:hAnsi="宋体"/>
          <w:color w:val="auto"/>
          <w:sz w:val="24"/>
          <w:highlight w:val="none"/>
          <w:u w:val="single"/>
        </w:rPr>
      </w:pPr>
      <w:r>
        <w:rPr>
          <w:rFonts w:ascii="宋体" w:hAnsi="宋体"/>
          <w:color w:val="auto"/>
          <w:sz w:val="24"/>
          <w:highlight w:val="none"/>
        </w:rPr>
        <w:t>地址：  电话：  传真：</w:t>
      </w:r>
    </w:p>
    <w:p w14:paraId="2FA35F2B">
      <w:pPr>
        <w:tabs>
          <w:tab w:val="left" w:pos="1680"/>
        </w:tabs>
        <w:spacing w:line="360" w:lineRule="auto"/>
        <w:ind w:firstLine="480" w:firstLineChars="200"/>
        <w:rPr>
          <w:rFonts w:ascii="宋体" w:hAnsi="宋体"/>
          <w:color w:val="auto"/>
          <w:sz w:val="24"/>
          <w:highlight w:val="none"/>
          <w:u w:val="single"/>
        </w:rPr>
      </w:pPr>
      <w:r>
        <w:rPr>
          <w:rFonts w:ascii="宋体" w:hAnsi="宋体"/>
          <w:color w:val="auto"/>
          <w:sz w:val="24"/>
          <w:highlight w:val="none"/>
        </w:rPr>
        <w:t>法定代表人</w:t>
      </w:r>
      <w:r>
        <w:rPr>
          <w:rFonts w:hint="eastAsia" w:ascii="宋体" w:hAnsi="宋体"/>
          <w:color w:val="auto"/>
          <w:sz w:val="24"/>
          <w:highlight w:val="none"/>
        </w:rPr>
        <w:t>（或分行负责人/支行负责人）</w:t>
      </w:r>
      <w:r>
        <w:rPr>
          <w:rFonts w:ascii="宋体" w:hAnsi="宋体"/>
          <w:color w:val="auto"/>
          <w:sz w:val="24"/>
          <w:highlight w:val="none"/>
        </w:rPr>
        <w:t>或授权委托人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240BC439">
      <w:pPr>
        <w:tabs>
          <w:tab w:val="left" w:pos="1680"/>
        </w:tabs>
        <w:spacing w:line="360" w:lineRule="auto"/>
        <w:ind w:firstLine="480" w:firstLineChars="200"/>
        <w:rPr>
          <w:rFonts w:ascii="宋体" w:hAnsi="宋体"/>
          <w:color w:val="auto"/>
          <w:sz w:val="24"/>
          <w:highlight w:val="none"/>
        </w:rPr>
      </w:pPr>
      <w:r>
        <w:rPr>
          <w:rFonts w:ascii="宋体" w:hAnsi="宋体"/>
          <w:color w:val="auto"/>
          <w:sz w:val="24"/>
          <w:highlight w:val="none"/>
        </w:rPr>
        <w:t>投标人名称（</w:t>
      </w:r>
      <w:r>
        <w:rPr>
          <w:rFonts w:ascii="宋体" w:hAnsi="宋体"/>
          <w:bCs/>
          <w:color w:val="auto"/>
          <w:sz w:val="24"/>
          <w:szCs w:val="20"/>
          <w:highlight w:val="none"/>
        </w:rPr>
        <w:t>加盖投标人公章）</w:t>
      </w:r>
      <w:r>
        <w:rPr>
          <w:rFonts w:ascii="宋体" w:hAnsi="宋体"/>
          <w:color w:val="auto"/>
          <w:sz w:val="24"/>
          <w:highlight w:val="none"/>
        </w:rPr>
        <w:t>：</w:t>
      </w:r>
    </w:p>
    <w:p w14:paraId="6693FD74">
      <w:pPr>
        <w:tabs>
          <w:tab w:val="left" w:pos="1680"/>
        </w:tabs>
        <w:spacing w:line="360" w:lineRule="auto"/>
        <w:ind w:firstLine="480" w:firstLineChars="200"/>
        <w:rPr>
          <w:rFonts w:ascii="宋体" w:hAnsi="宋体"/>
          <w:color w:val="auto"/>
          <w:sz w:val="24"/>
          <w:highlight w:val="none"/>
        </w:rPr>
      </w:pPr>
      <w:r>
        <w:rPr>
          <w:rFonts w:ascii="宋体" w:hAnsi="宋体"/>
          <w:color w:val="auto"/>
          <w:sz w:val="24"/>
          <w:highlight w:val="none"/>
        </w:rPr>
        <w:t>日期：</w:t>
      </w:r>
      <w:r>
        <w:rPr>
          <w:rFonts w:hint="eastAsia" w:ascii="宋体" w:hAnsi="宋体"/>
          <w:color w:val="auto"/>
          <w:sz w:val="24"/>
          <w:highlight w:val="none"/>
        </w:rPr>
        <w:t xml:space="preserve">   </w:t>
      </w:r>
      <w:r>
        <w:rPr>
          <w:rFonts w:ascii="宋体" w:hAnsi="宋体"/>
          <w:color w:val="auto"/>
          <w:sz w:val="24"/>
          <w:highlight w:val="none"/>
        </w:rPr>
        <w:t>年</w:t>
      </w:r>
      <w:r>
        <w:rPr>
          <w:rFonts w:hint="eastAsia" w:ascii="宋体" w:hAnsi="宋体"/>
          <w:color w:val="auto"/>
          <w:sz w:val="24"/>
          <w:highlight w:val="none"/>
        </w:rPr>
        <w:t xml:space="preserve">   </w:t>
      </w:r>
      <w:r>
        <w:rPr>
          <w:rFonts w:ascii="宋体" w:hAnsi="宋体"/>
          <w:color w:val="auto"/>
          <w:sz w:val="24"/>
          <w:highlight w:val="none"/>
        </w:rPr>
        <w:t>月</w:t>
      </w:r>
      <w:r>
        <w:rPr>
          <w:rFonts w:hint="eastAsia" w:ascii="宋体" w:hAnsi="宋体"/>
          <w:color w:val="auto"/>
          <w:sz w:val="24"/>
          <w:highlight w:val="none"/>
        </w:rPr>
        <w:t xml:space="preserve">   </w:t>
      </w:r>
      <w:r>
        <w:rPr>
          <w:rFonts w:ascii="宋体" w:hAnsi="宋体"/>
          <w:color w:val="auto"/>
          <w:sz w:val="24"/>
          <w:highlight w:val="none"/>
        </w:rPr>
        <w:t>日</w:t>
      </w:r>
    </w:p>
    <w:p w14:paraId="7039AF70">
      <w:pPr>
        <w:widowControl/>
        <w:tabs>
          <w:tab w:val="left" w:pos="1680"/>
        </w:tabs>
        <w:jc w:val="left"/>
        <w:rPr>
          <w:rFonts w:ascii="宋体" w:hAnsi="宋体"/>
          <w:color w:val="auto"/>
          <w:sz w:val="24"/>
          <w:highlight w:val="none"/>
        </w:rPr>
      </w:pPr>
      <w:r>
        <w:rPr>
          <w:rFonts w:ascii="宋体" w:hAnsi="宋体"/>
          <w:color w:val="auto"/>
          <w:sz w:val="24"/>
          <w:highlight w:val="none"/>
        </w:rPr>
        <w:br w:type="page"/>
      </w:r>
    </w:p>
    <w:p w14:paraId="639933A1">
      <w:pPr>
        <w:tabs>
          <w:tab w:val="left" w:pos="1680"/>
        </w:tabs>
        <w:spacing w:line="360" w:lineRule="auto"/>
        <w:ind w:firstLine="482" w:firstLineChars="200"/>
        <w:rPr>
          <w:b/>
          <w:color w:val="auto"/>
          <w:sz w:val="24"/>
          <w:highlight w:val="none"/>
        </w:rPr>
      </w:pPr>
    </w:p>
    <w:p w14:paraId="5B660470">
      <w:pPr>
        <w:tabs>
          <w:tab w:val="left" w:pos="1680"/>
        </w:tabs>
        <w:spacing w:line="500" w:lineRule="exact"/>
        <w:rPr>
          <w:rFonts w:ascii="宋体" w:hAnsi="宋体" w:cs="宋体"/>
          <w:bCs/>
          <w:color w:val="auto"/>
          <w:sz w:val="24"/>
          <w:highlight w:val="none"/>
        </w:rPr>
      </w:pPr>
      <w:r>
        <w:rPr>
          <w:rFonts w:hint="eastAsia" w:ascii="宋体" w:hAnsi="宋体" w:cs="宋体"/>
          <w:bCs/>
          <w:color w:val="auto"/>
          <w:sz w:val="24"/>
          <w:highlight w:val="none"/>
        </w:rPr>
        <w:t>附件三</w:t>
      </w:r>
    </w:p>
    <w:p w14:paraId="7C851018">
      <w:pPr>
        <w:tabs>
          <w:tab w:val="left" w:pos="1680"/>
        </w:tabs>
        <w:spacing w:line="500" w:lineRule="exact"/>
        <w:jc w:val="center"/>
        <w:rPr>
          <w:rFonts w:hAnsi="宋体"/>
          <w:b/>
          <w:color w:val="auto"/>
          <w:sz w:val="24"/>
          <w:highlight w:val="none"/>
        </w:rPr>
      </w:pPr>
      <w:r>
        <w:rPr>
          <w:rFonts w:hint="eastAsia" w:hAnsi="宋体"/>
          <w:b/>
          <w:color w:val="auto"/>
          <w:sz w:val="24"/>
          <w:highlight w:val="none"/>
        </w:rPr>
        <w:t>廉政承诺书</w:t>
      </w:r>
    </w:p>
    <w:p w14:paraId="08E7FFD2">
      <w:pPr>
        <w:tabs>
          <w:tab w:val="left" w:pos="1680"/>
        </w:tabs>
        <w:spacing w:line="500" w:lineRule="exact"/>
        <w:rPr>
          <w:rFonts w:asciiTheme="minorEastAsia" w:hAnsiTheme="minorEastAsia" w:eastAsiaTheme="minorEastAsia"/>
          <w:color w:val="auto"/>
          <w:sz w:val="24"/>
          <w:highlight w:val="none"/>
        </w:rPr>
      </w:pPr>
    </w:p>
    <w:p w14:paraId="3A500BC1">
      <w:pPr>
        <w:tabs>
          <w:tab w:val="left" w:pos="1680"/>
        </w:tabs>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宁波市鄞州区人民政府聚贤街道办事处</w:t>
      </w:r>
      <w:r>
        <w:rPr>
          <w:rFonts w:hint="eastAsia" w:asciiTheme="minorEastAsia" w:hAnsiTheme="minorEastAsia" w:eastAsiaTheme="minorEastAsia"/>
          <w:color w:val="auto"/>
          <w:sz w:val="24"/>
          <w:highlight w:val="none"/>
        </w:rPr>
        <w:t>：</w:t>
      </w:r>
    </w:p>
    <w:p w14:paraId="3764CCEF">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根据《财政部关于进一步加强财政部门和预算单位资金存放管理的指导意见》（财库</w:t>
      </w:r>
      <w:r>
        <w:rPr>
          <w:rFonts w:hint="eastAsia" w:cs="仿宋" w:asciiTheme="minorEastAsia" w:hAnsiTheme="minorEastAsia" w:eastAsiaTheme="minorEastAsia"/>
          <w:color w:val="auto"/>
          <w:sz w:val="24"/>
          <w:highlight w:val="none"/>
        </w:rPr>
        <w:t>〔2017〕</w:t>
      </w:r>
      <w:r>
        <w:rPr>
          <w:rFonts w:hint="eastAsia" w:asciiTheme="minorEastAsia" w:hAnsiTheme="minorEastAsia" w:eastAsiaTheme="minorEastAsia"/>
          <w:color w:val="auto"/>
          <w:sz w:val="24"/>
          <w:highlight w:val="none"/>
        </w:rPr>
        <w:t>76号）、银监会《关于进一步规范银行业金融机构吸收公款存款行为的通知》(银监发</w:t>
      </w:r>
      <w:r>
        <w:rPr>
          <w:rFonts w:hint="eastAsia" w:cs="仿宋" w:asciiTheme="minorEastAsia" w:hAnsiTheme="minorEastAsia" w:eastAsiaTheme="minorEastAsia"/>
          <w:color w:val="auto"/>
          <w:sz w:val="24"/>
          <w:highlight w:val="none"/>
        </w:rPr>
        <w:t>〔2017〕30号</w:t>
      </w:r>
      <w:r>
        <w:rPr>
          <w:rFonts w:hint="eastAsia" w:asciiTheme="minorEastAsia" w:hAnsiTheme="minorEastAsia" w:eastAsiaTheme="minorEastAsia"/>
          <w:color w:val="auto"/>
          <w:sz w:val="24"/>
          <w:highlight w:val="none"/>
        </w:rPr>
        <w:t>)、《宁波国家高新区关于进一步加强财政部门和预算单位资金存放管理的通知》（甬高新财[2018]81号）的相关规定，现就本行参加</w:t>
      </w:r>
      <w:r>
        <w:rPr>
          <w:rFonts w:hint="eastAsia" w:ascii="宋体" w:hAnsi="宋体" w:eastAsiaTheme="minorEastAsia"/>
          <w:color w:val="auto"/>
          <w:sz w:val="24"/>
          <w:highlight w:val="none"/>
          <w:lang w:eastAsia="zh-CN"/>
        </w:rPr>
        <w:t>宁波高新区聚贤街道总工会2025年度基本存款账户竞争性存放服务项目</w:t>
      </w:r>
      <w:r>
        <w:rPr>
          <w:rFonts w:hint="eastAsia" w:asciiTheme="minorEastAsia" w:hAnsiTheme="minorEastAsia" w:eastAsiaTheme="minorEastAsia"/>
          <w:color w:val="auto"/>
          <w:sz w:val="24"/>
          <w:highlight w:val="none"/>
        </w:rPr>
        <w:t>作出如下承诺：</w:t>
      </w:r>
    </w:p>
    <w:p w14:paraId="2A640195">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1.不通过赠送财物、安排亲属就业等方式向贵单位负责财政专户资金存放管理的领导及相关人员进行利益输送；</w:t>
      </w:r>
    </w:p>
    <w:p w14:paraId="08F34EF7">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2.不将财政专户资金存放与贵单位负责财政专户资金存放管理的领导及相关人员在本行的配偶、子女及其配偶和其他直接利益相关人员的业绩、收入、晋升挂钩；</w:t>
      </w:r>
    </w:p>
    <w:p w14:paraId="37FFA60A">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3.严格执行利益回避制度，贵单位负责专户资金竞争性存放相关人员的配偶、子女及其配偶和其他直接利益相关人员为本行工作人员的，不参与财政专户资金竞争性存放工作；</w:t>
      </w:r>
    </w:p>
    <w:p w14:paraId="038919EE">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4.不发生除上述行为之外的其他任何利益输送行为。</w:t>
      </w:r>
    </w:p>
    <w:p w14:paraId="1CAB80F1">
      <w:pPr>
        <w:tabs>
          <w:tab w:val="left" w:pos="168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未遵守以上承诺的，本行自愿接受财政部门通报和处理，承担相应的一切后果。</w:t>
      </w:r>
    </w:p>
    <w:p w14:paraId="582E8972">
      <w:pPr>
        <w:tabs>
          <w:tab w:val="left" w:pos="1680"/>
        </w:tabs>
        <w:wordWrap w:val="0"/>
        <w:spacing w:line="500" w:lineRule="exact"/>
        <w:ind w:firstLine="480" w:firstLineChars="200"/>
        <w:jc w:val="right"/>
        <w:rPr>
          <w:rFonts w:asciiTheme="minorEastAsia" w:hAnsiTheme="minorEastAsia" w:eastAsiaTheme="minorEastAsia"/>
          <w:color w:val="auto"/>
          <w:sz w:val="24"/>
          <w:highlight w:val="none"/>
        </w:rPr>
      </w:pPr>
    </w:p>
    <w:p w14:paraId="373004A9">
      <w:pPr>
        <w:tabs>
          <w:tab w:val="left" w:pos="1680"/>
        </w:tabs>
        <w:wordWrap w:val="0"/>
        <w:spacing w:line="500" w:lineRule="exact"/>
        <w:ind w:firstLine="480" w:firstLineChars="200"/>
        <w:jc w:val="right"/>
        <w:rPr>
          <w:rFonts w:asciiTheme="minorEastAsia" w:hAnsiTheme="minorEastAsia" w:eastAsiaTheme="minorEastAsia"/>
          <w:color w:val="auto"/>
          <w:sz w:val="24"/>
          <w:highlight w:val="none"/>
        </w:rPr>
      </w:pPr>
    </w:p>
    <w:p w14:paraId="106A6DDF">
      <w:pPr>
        <w:tabs>
          <w:tab w:val="left" w:pos="1680"/>
        </w:tabs>
        <w:wordWrap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银行（公章）</w:t>
      </w:r>
    </w:p>
    <w:p w14:paraId="29D46D2B">
      <w:pPr>
        <w:tabs>
          <w:tab w:val="left" w:pos="1680"/>
        </w:tabs>
        <w:wordWrap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63B0B5C8">
      <w:pPr>
        <w:widowControl/>
        <w:tabs>
          <w:tab w:val="left" w:pos="1680"/>
        </w:tabs>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22E0397">
      <w:pPr>
        <w:tabs>
          <w:tab w:val="left" w:pos="0"/>
          <w:tab w:val="left" w:pos="1680"/>
        </w:tabs>
        <w:adjustRightInd w:val="0"/>
        <w:snapToGrid w:val="0"/>
        <w:spacing w:line="360" w:lineRule="auto"/>
        <w:rPr>
          <w:rFonts w:asciiTheme="minorEastAsia" w:hAnsiTheme="minorEastAsia" w:eastAsiaTheme="minorEastAsia"/>
          <w:color w:val="auto"/>
          <w:sz w:val="24"/>
          <w:highlight w:val="none"/>
        </w:rPr>
      </w:pPr>
    </w:p>
    <w:p w14:paraId="48083BC3">
      <w:pPr>
        <w:tabs>
          <w:tab w:val="left" w:pos="0"/>
          <w:tab w:val="left" w:pos="1680"/>
        </w:tabs>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附件四</w:t>
      </w:r>
    </w:p>
    <w:p w14:paraId="6AC93A8D">
      <w:pPr>
        <w:tabs>
          <w:tab w:val="left" w:pos="0"/>
          <w:tab w:val="left" w:pos="1680"/>
        </w:tabs>
        <w:adjustRightInd w:val="0"/>
        <w:snapToGrid w:val="0"/>
        <w:spacing w:line="360" w:lineRule="auto"/>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投标报价一览表</w:t>
      </w:r>
    </w:p>
    <w:tbl>
      <w:tblPr>
        <w:tblStyle w:val="3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532"/>
        <w:gridCol w:w="3930"/>
      </w:tblGrid>
      <w:tr w14:paraId="6FF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612" w:type="dxa"/>
            <w:vAlign w:val="center"/>
          </w:tcPr>
          <w:p w14:paraId="26209E80">
            <w:pPr>
              <w:tabs>
                <w:tab w:val="left" w:pos="1680"/>
                <w:tab w:val="left" w:pos="2670"/>
              </w:tabs>
              <w:adjustRightInd w:val="0"/>
              <w:snapToGrid w:val="0"/>
              <w:jc w:val="center"/>
              <w:rPr>
                <w:b/>
                <w:bCs/>
                <w:color w:val="auto"/>
                <w:sz w:val="24"/>
                <w:highlight w:val="none"/>
                <w:lang w:val="zh-CN"/>
              </w:rPr>
            </w:pPr>
            <w:r>
              <w:rPr>
                <w:rFonts w:hAnsi="宋体"/>
                <w:b/>
                <w:bCs/>
                <w:color w:val="auto"/>
                <w:sz w:val="24"/>
                <w:highlight w:val="none"/>
                <w:lang w:val="zh-CN"/>
              </w:rPr>
              <w:t>项目名称</w:t>
            </w:r>
          </w:p>
        </w:tc>
        <w:tc>
          <w:tcPr>
            <w:tcW w:w="2532" w:type="dxa"/>
            <w:vAlign w:val="center"/>
          </w:tcPr>
          <w:p w14:paraId="49B64AF1">
            <w:pPr>
              <w:tabs>
                <w:tab w:val="left" w:pos="1680"/>
                <w:tab w:val="left" w:pos="2670"/>
              </w:tabs>
              <w:adjustRightInd w:val="0"/>
              <w:snapToGrid w:val="0"/>
              <w:jc w:val="center"/>
              <w:rPr>
                <w:b/>
                <w:bCs/>
                <w:color w:val="auto"/>
                <w:sz w:val="24"/>
                <w:highlight w:val="none"/>
                <w:lang w:val="zh-CN"/>
              </w:rPr>
            </w:pPr>
            <w:r>
              <w:rPr>
                <w:rFonts w:hAnsi="宋体"/>
                <w:b/>
                <w:bCs/>
                <w:color w:val="auto"/>
                <w:sz w:val="24"/>
                <w:highlight w:val="none"/>
                <w:lang w:val="zh-CN"/>
              </w:rPr>
              <w:t>内容</w:t>
            </w:r>
          </w:p>
        </w:tc>
        <w:tc>
          <w:tcPr>
            <w:tcW w:w="3930" w:type="dxa"/>
            <w:vAlign w:val="center"/>
          </w:tcPr>
          <w:p w14:paraId="4CD2CEA3">
            <w:pPr>
              <w:tabs>
                <w:tab w:val="left" w:pos="1680"/>
                <w:tab w:val="left" w:pos="2670"/>
              </w:tabs>
              <w:adjustRightInd w:val="0"/>
              <w:snapToGrid w:val="0"/>
              <w:jc w:val="center"/>
              <w:rPr>
                <w:b/>
                <w:bCs/>
                <w:color w:val="auto"/>
                <w:sz w:val="24"/>
                <w:highlight w:val="none"/>
              </w:rPr>
            </w:pPr>
            <w:r>
              <w:rPr>
                <w:rFonts w:hAnsi="宋体"/>
                <w:b/>
                <w:bCs/>
                <w:color w:val="auto"/>
                <w:sz w:val="24"/>
                <w:highlight w:val="none"/>
              </w:rPr>
              <w:t>数据</w:t>
            </w:r>
          </w:p>
        </w:tc>
      </w:tr>
      <w:tr w14:paraId="3DBE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restart"/>
            <w:vAlign w:val="center"/>
          </w:tcPr>
          <w:p w14:paraId="032C4CB0">
            <w:pPr>
              <w:tabs>
                <w:tab w:val="left" w:pos="1680"/>
                <w:tab w:val="left" w:pos="2670"/>
              </w:tabs>
              <w:adjustRightInd w:val="0"/>
              <w:snapToGrid w:val="0"/>
              <w:jc w:val="center"/>
              <w:rPr>
                <w:bCs/>
                <w:color w:val="auto"/>
                <w:sz w:val="24"/>
                <w:highlight w:val="none"/>
                <w:lang w:val="zh-CN"/>
              </w:rPr>
            </w:pPr>
            <w:r>
              <w:rPr>
                <w:rFonts w:hint="eastAsia" w:ascii="宋体" w:hAnsi="宋体"/>
                <w:color w:val="auto"/>
                <w:sz w:val="24"/>
                <w:highlight w:val="none"/>
                <w:lang w:eastAsia="zh-CN"/>
              </w:rPr>
              <w:t>宁波高新区聚贤街道总工会2025年度基本存款账户竞争性存放服务项目</w:t>
            </w:r>
          </w:p>
        </w:tc>
        <w:tc>
          <w:tcPr>
            <w:tcW w:w="2532" w:type="dxa"/>
            <w:vAlign w:val="center"/>
          </w:tcPr>
          <w:p w14:paraId="7953B9EA">
            <w:pPr>
              <w:widowControl/>
              <w:tabs>
                <w:tab w:val="left" w:pos="1680"/>
              </w:tabs>
              <w:adjustRightInd w:val="0"/>
              <w:snapToGrid w:val="0"/>
              <w:jc w:val="center"/>
              <w:rPr>
                <w:rFonts w:hint="eastAsia" w:hAnsi="宋体"/>
                <w:color w:val="auto"/>
                <w:kern w:val="0"/>
                <w:sz w:val="24"/>
                <w:highlight w:val="none"/>
                <w:lang w:val="zh-CN"/>
              </w:rPr>
            </w:pPr>
            <w:r>
              <w:rPr>
                <w:rFonts w:hint="eastAsia" w:hAnsi="宋体"/>
                <w:color w:val="auto"/>
                <w:kern w:val="0"/>
                <w:sz w:val="24"/>
                <w:highlight w:val="none"/>
              </w:rPr>
              <w:t>活期存款利率</w:t>
            </w:r>
          </w:p>
        </w:tc>
        <w:tc>
          <w:tcPr>
            <w:tcW w:w="3930" w:type="dxa"/>
            <w:vAlign w:val="center"/>
          </w:tcPr>
          <w:p w14:paraId="47BC293B">
            <w:pPr>
              <w:tabs>
                <w:tab w:val="left" w:pos="1680"/>
              </w:tabs>
              <w:adjustRightInd w:val="0"/>
              <w:snapToGrid w:val="0"/>
              <w:jc w:val="center"/>
              <w:rPr>
                <w:rFonts w:hint="eastAsia" w:ascii="Times New Roman" w:hAnsi="Times New Roman" w:eastAsia="宋体" w:cs="Times New Roman"/>
                <w:bCs/>
                <w:color w:val="auto"/>
                <w:kern w:val="2"/>
                <w:sz w:val="24"/>
                <w:szCs w:val="24"/>
                <w:highlight w:val="none"/>
                <w:lang w:val="zh-CN" w:eastAsia="zh-CN" w:bidi="ar-SA"/>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5238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6E3C7649">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2CAA4589">
            <w:pPr>
              <w:widowControl/>
              <w:tabs>
                <w:tab w:val="left" w:pos="1680"/>
              </w:tabs>
              <w:adjustRightInd w:val="0"/>
              <w:snapToGrid w:val="0"/>
              <w:jc w:val="center"/>
              <w:rPr>
                <w:rFonts w:hint="eastAsia" w:hAnsi="宋体"/>
                <w:color w:val="auto"/>
                <w:kern w:val="0"/>
                <w:sz w:val="24"/>
                <w:highlight w:val="none"/>
              </w:rPr>
            </w:pPr>
            <w:r>
              <w:rPr>
                <w:rFonts w:hint="eastAsia" w:hAnsi="宋体"/>
                <w:color w:val="auto"/>
                <w:kern w:val="0"/>
                <w:sz w:val="24"/>
                <w:highlight w:val="none"/>
                <w:lang w:val="en-US" w:eastAsia="zh-CN"/>
              </w:rPr>
              <w:t>协定</w:t>
            </w:r>
            <w:r>
              <w:rPr>
                <w:rFonts w:hint="eastAsia" w:hAnsi="宋体"/>
                <w:color w:val="auto"/>
                <w:kern w:val="0"/>
                <w:sz w:val="24"/>
                <w:highlight w:val="none"/>
              </w:rPr>
              <w:t>存款利率</w:t>
            </w:r>
          </w:p>
        </w:tc>
        <w:tc>
          <w:tcPr>
            <w:tcW w:w="3930" w:type="dxa"/>
            <w:vAlign w:val="center"/>
          </w:tcPr>
          <w:p w14:paraId="71710C4A">
            <w:pPr>
              <w:tabs>
                <w:tab w:val="left" w:pos="1680"/>
              </w:tabs>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5956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604B4354">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5CC5F302">
            <w:pPr>
              <w:widowControl/>
              <w:tabs>
                <w:tab w:val="left" w:pos="1680"/>
              </w:tabs>
              <w:adjustRightInd w:val="0"/>
              <w:snapToGrid w:val="0"/>
              <w:jc w:val="center"/>
              <w:rPr>
                <w:rFonts w:hint="eastAsia" w:hAnsi="宋体"/>
                <w:color w:val="auto"/>
                <w:kern w:val="0"/>
                <w:sz w:val="24"/>
                <w:highlight w:val="none"/>
              </w:rPr>
            </w:pPr>
            <w:r>
              <w:rPr>
                <w:rFonts w:hint="eastAsia" w:hAnsi="宋体"/>
                <w:color w:val="auto"/>
                <w:kern w:val="0"/>
                <w:sz w:val="24"/>
                <w:highlight w:val="none"/>
                <w:lang w:val="en-US" w:eastAsia="zh-CN"/>
              </w:rPr>
              <w:t>七</w:t>
            </w:r>
            <w:r>
              <w:rPr>
                <w:rFonts w:hint="eastAsia" w:hAnsi="宋体"/>
                <w:color w:val="auto"/>
                <w:kern w:val="0"/>
                <w:sz w:val="24"/>
                <w:highlight w:val="none"/>
              </w:rPr>
              <w:t>天通知存款利率</w:t>
            </w:r>
          </w:p>
        </w:tc>
        <w:tc>
          <w:tcPr>
            <w:tcW w:w="3930" w:type="dxa"/>
            <w:vAlign w:val="center"/>
          </w:tcPr>
          <w:p w14:paraId="54A76DFB">
            <w:pPr>
              <w:tabs>
                <w:tab w:val="left" w:pos="1680"/>
              </w:tabs>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0D7D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67577384">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023A13A9">
            <w:pPr>
              <w:widowControl/>
              <w:tabs>
                <w:tab w:val="left" w:pos="1680"/>
              </w:tabs>
              <w:adjustRightInd w:val="0"/>
              <w:snapToGrid w:val="0"/>
              <w:jc w:val="center"/>
              <w:rPr>
                <w:rFonts w:hint="eastAsia" w:hAnsi="宋体"/>
                <w:color w:val="auto"/>
                <w:kern w:val="0"/>
                <w:sz w:val="24"/>
                <w:highlight w:val="none"/>
              </w:rPr>
            </w:pPr>
            <w:r>
              <w:rPr>
                <w:rFonts w:hint="eastAsia" w:hAnsi="宋体"/>
                <w:color w:val="auto"/>
                <w:kern w:val="0"/>
                <w:sz w:val="24"/>
                <w:highlight w:val="none"/>
                <w:lang w:val="en-US" w:eastAsia="zh-CN"/>
              </w:rPr>
              <w:t>三个月定期</w:t>
            </w:r>
            <w:r>
              <w:rPr>
                <w:rFonts w:hint="eastAsia" w:hAnsi="宋体"/>
                <w:color w:val="auto"/>
                <w:kern w:val="0"/>
                <w:sz w:val="24"/>
                <w:highlight w:val="none"/>
              </w:rPr>
              <w:t>存款利率</w:t>
            </w:r>
          </w:p>
        </w:tc>
        <w:tc>
          <w:tcPr>
            <w:tcW w:w="3930" w:type="dxa"/>
            <w:vAlign w:val="center"/>
          </w:tcPr>
          <w:p w14:paraId="2B271047">
            <w:pPr>
              <w:tabs>
                <w:tab w:val="left" w:pos="1680"/>
              </w:tabs>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1816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0AA93A9D">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273EC5A7">
            <w:pPr>
              <w:widowControl/>
              <w:tabs>
                <w:tab w:val="left" w:pos="1680"/>
              </w:tabs>
              <w:adjustRightInd w:val="0"/>
              <w:snapToGrid w:val="0"/>
              <w:jc w:val="center"/>
              <w:rPr>
                <w:rFonts w:hint="eastAsia" w:hAnsi="宋体"/>
                <w:color w:val="auto"/>
                <w:kern w:val="0"/>
                <w:sz w:val="24"/>
                <w:highlight w:val="none"/>
              </w:rPr>
            </w:pPr>
            <w:r>
              <w:rPr>
                <w:rFonts w:hint="eastAsia" w:hAnsi="宋体"/>
                <w:color w:val="auto"/>
                <w:kern w:val="0"/>
                <w:sz w:val="24"/>
                <w:highlight w:val="none"/>
                <w:lang w:val="en-US" w:eastAsia="zh-CN"/>
              </w:rPr>
              <w:t>六个月定期</w:t>
            </w:r>
            <w:r>
              <w:rPr>
                <w:rFonts w:hint="eastAsia" w:hAnsi="宋体"/>
                <w:color w:val="auto"/>
                <w:kern w:val="0"/>
                <w:sz w:val="24"/>
                <w:highlight w:val="none"/>
              </w:rPr>
              <w:t>存款利率</w:t>
            </w:r>
          </w:p>
        </w:tc>
        <w:tc>
          <w:tcPr>
            <w:tcW w:w="3930" w:type="dxa"/>
            <w:vAlign w:val="center"/>
          </w:tcPr>
          <w:p w14:paraId="617E8D51">
            <w:pPr>
              <w:tabs>
                <w:tab w:val="left" w:pos="1680"/>
              </w:tabs>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3019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1A0451A9">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4F74C5CD">
            <w:pPr>
              <w:widowControl/>
              <w:tabs>
                <w:tab w:val="left" w:pos="1680"/>
              </w:tabs>
              <w:adjustRightInd w:val="0"/>
              <w:snapToGrid w:val="0"/>
              <w:jc w:val="center"/>
              <w:rPr>
                <w:rFonts w:hint="eastAsia" w:hAnsi="宋体"/>
                <w:color w:val="auto"/>
                <w:kern w:val="0"/>
                <w:sz w:val="24"/>
                <w:highlight w:val="none"/>
              </w:rPr>
            </w:pPr>
            <w:r>
              <w:rPr>
                <w:rFonts w:hint="eastAsia" w:hAnsi="宋体"/>
                <w:color w:val="auto"/>
                <w:kern w:val="0"/>
                <w:sz w:val="24"/>
                <w:highlight w:val="none"/>
                <w:lang w:val="en-US" w:eastAsia="zh-CN"/>
              </w:rPr>
              <w:t>一年期定期</w:t>
            </w:r>
            <w:r>
              <w:rPr>
                <w:rFonts w:hint="eastAsia" w:hAnsi="宋体"/>
                <w:color w:val="auto"/>
                <w:kern w:val="0"/>
                <w:sz w:val="24"/>
                <w:highlight w:val="none"/>
              </w:rPr>
              <w:t>存款利率</w:t>
            </w:r>
          </w:p>
        </w:tc>
        <w:tc>
          <w:tcPr>
            <w:tcW w:w="3930" w:type="dxa"/>
            <w:vAlign w:val="center"/>
          </w:tcPr>
          <w:p w14:paraId="6B8BCCEE">
            <w:pPr>
              <w:tabs>
                <w:tab w:val="left" w:pos="1680"/>
              </w:tabs>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1666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12" w:type="dxa"/>
            <w:vMerge w:val="continue"/>
            <w:vAlign w:val="center"/>
          </w:tcPr>
          <w:p w14:paraId="7FADDF66">
            <w:pPr>
              <w:tabs>
                <w:tab w:val="left" w:pos="1680"/>
                <w:tab w:val="left" w:pos="2670"/>
              </w:tabs>
              <w:adjustRightInd w:val="0"/>
              <w:snapToGrid w:val="0"/>
              <w:jc w:val="center"/>
              <w:rPr>
                <w:rFonts w:hint="eastAsia" w:ascii="宋体" w:hAnsi="宋体"/>
                <w:color w:val="auto"/>
                <w:sz w:val="24"/>
                <w:highlight w:val="none"/>
                <w:lang w:eastAsia="zh-CN"/>
              </w:rPr>
            </w:pPr>
          </w:p>
        </w:tc>
        <w:tc>
          <w:tcPr>
            <w:tcW w:w="2532" w:type="dxa"/>
            <w:vAlign w:val="center"/>
          </w:tcPr>
          <w:p w14:paraId="5B25BE9F">
            <w:pPr>
              <w:widowControl/>
              <w:tabs>
                <w:tab w:val="left" w:pos="1680"/>
              </w:tabs>
              <w:adjustRightInd w:val="0"/>
              <w:snapToGrid w:val="0"/>
              <w:jc w:val="center"/>
              <w:rPr>
                <w:rFonts w:hint="eastAsia" w:hAnsi="宋体"/>
                <w:color w:val="auto"/>
                <w:kern w:val="0"/>
                <w:sz w:val="24"/>
                <w:highlight w:val="none"/>
                <w:lang w:val="zh-CN" w:eastAsia="zh-CN"/>
              </w:rPr>
            </w:pPr>
            <w:r>
              <w:rPr>
                <w:rFonts w:hint="eastAsia" w:hAnsi="宋体"/>
                <w:color w:val="auto"/>
                <w:kern w:val="0"/>
                <w:sz w:val="24"/>
                <w:highlight w:val="none"/>
                <w:lang w:val="en-US" w:eastAsia="zh-CN"/>
              </w:rPr>
              <w:t>报价承诺情况</w:t>
            </w:r>
          </w:p>
        </w:tc>
        <w:tc>
          <w:tcPr>
            <w:tcW w:w="3930" w:type="dxa"/>
            <w:vAlign w:val="center"/>
          </w:tcPr>
          <w:p w14:paraId="4B43282C">
            <w:pPr>
              <w:tabs>
                <w:tab w:val="left" w:pos="1680"/>
              </w:tabs>
              <w:adjustRightInd w:val="0"/>
              <w:snapToGrid w:val="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sym w:font="Wingdings 2" w:char="00A3"/>
            </w:r>
            <w:r>
              <w:rPr>
                <w:rFonts w:hint="eastAsia" w:ascii="宋体" w:hAnsi="宋体" w:cs="宋体"/>
                <w:color w:val="auto"/>
                <w:kern w:val="0"/>
                <w:sz w:val="24"/>
                <w:szCs w:val="24"/>
                <w:highlight w:val="none"/>
                <w:lang w:val="en-US" w:eastAsia="zh-CN"/>
              </w:rPr>
              <w:t>我行承诺所有存款产品利率报价在服务期内始终达到市场自律机制本行上限的</w:t>
            </w:r>
            <w:r>
              <w:rPr>
                <w:rFonts w:hint="eastAsia" w:ascii="宋体" w:hAnsi="宋体" w:cs="宋体"/>
                <w:color w:val="auto"/>
                <w:kern w:val="0"/>
                <w:sz w:val="24"/>
                <w:szCs w:val="24"/>
                <w:highlight w:val="none"/>
                <w:lang w:eastAsia="zh-CN"/>
              </w:rPr>
              <w:t>。</w:t>
            </w:r>
          </w:p>
          <w:p w14:paraId="1AF7CC3C">
            <w:pPr>
              <w:tabs>
                <w:tab w:val="left" w:pos="1680"/>
              </w:tabs>
              <w:adjustRightInd w:val="0"/>
              <w:snapToGrid w:val="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sym w:font="Wingdings 2" w:char="00A3"/>
            </w:r>
            <w:r>
              <w:rPr>
                <w:rFonts w:hint="eastAsia" w:ascii="宋体" w:hAnsi="宋体" w:cs="宋体"/>
                <w:color w:val="auto"/>
                <w:kern w:val="0"/>
                <w:sz w:val="24"/>
                <w:szCs w:val="24"/>
                <w:highlight w:val="none"/>
                <w:lang w:val="en-US" w:eastAsia="zh-CN"/>
              </w:rPr>
              <w:t>我行承诺部分存款产品</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rPr>
              <w:t>活期、</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rPr>
              <w:t>协定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lang w:val="en-US" w:eastAsia="zh-CN"/>
              </w:rPr>
              <w:t>七天通知、</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lang w:val="en-US" w:eastAsia="zh-CN"/>
              </w:rPr>
              <w:t>三个月定期、</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lang w:val="en-US" w:eastAsia="zh-CN"/>
              </w:rPr>
              <w:t>六个月定期、</w:t>
            </w:r>
            <w:r>
              <w:rPr>
                <w:rFonts w:hint="eastAsia" w:ascii="宋体" w:hAnsi="宋体" w:cs="宋体"/>
                <w:color w:val="auto"/>
                <w:kern w:val="0"/>
                <w:szCs w:val="21"/>
                <w:highlight w:val="none"/>
                <w:lang w:val="en-US" w:eastAsia="zh-CN"/>
              </w:rPr>
              <w:sym w:font="Wingdings 2" w:char="00A3"/>
            </w:r>
            <w:r>
              <w:rPr>
                <w:rFonts w:hint="eastAsia" w:ascii="宋体" w:hAnsi="宋体" w:cs="宋体"/>
                <w:color w:val="auto"/>
                <w:kern w:val="0"/>
                <w:szCs w:val="21"/>
                <w:highlight w:val="none"/>
                <w:lang w:val="en-US" w:eastAsia="zh-CN"/>
              </w:rPr>
              <w:t>一年定期</w:t>
            </w:r>
            <w:r>
              <w:rPr>
                <w:rFonts w:hint="eastAsia" w:ascii="宋体" w:hAnsi="宋体" w:cs="宋体"/>
                <w:color w:val="auto"/>
                <w:kern w:val="0"/>
                <w:szCs w:val="21"/>
                <w:highlight w:val="none"/>
              </w:rPr>
              <w:t>）</w:t>
            </w:r>
            <w:r>
              <w:rPr>
                <w:rFonts w:hint="eastAsia" w:ascii="宋体" w:hAnsi="宋体" w:cs="宋体"/>
                <w:color w:val="auto"/>
                <w:kern w:val="0"/>
                <w:sz w:val="24"/>
                <w:szCs w:val="24"/>
                <w:highlight w:val="none"/>
                <w:lang w:val="en-US" w:eastAsia="zh-CN"/>
              </w:rPr>
              <w:t>利率报价在服务期内始终达到市场自律机制本行上限的</w:t>
            </w:r>
          </w:p>
          <w:p w14:paraId="71A703EA">
            <w:pPr>
              <w:tabs>
                <w:tab w:val="left" w:pos="1680"/>
              </w:tabs>
              <w:adjustRightInd w:val="0"/>
              <w:snapToGrid w:val="0"/>
              <w:jc w:val="left"/>
              <w:rPr>
                <w:rFonts w:hint="eastAsia" w:ascii="Times New Roman" w:hAnsi="Times New Roman" w:eastAsia="宋体" w:cs="Times New Roman"/>
                <w:bCs/>
                <w:color w:val="auto"/>
                <w:kern w:val="2"/>
                <w:sz w:val="24"/>
                <w:szCs w:val="24"/>
                <w:highlight w:val="none"/>
                <w:lang w:val="zh-CN" w:eastAsia="zh-CN" w:bidi="ar-SA"/>
              </w:rPr>
            </w:pPr>
            <w:r>
              <w:rPr>
                <w:rFonts w:hint="eastAsia" w:ascii="宋体" w:hAnsi="宋体" w:cs="宋体"/>
                <w:color w:val="auto"/>
                <w:kern w:val="0"/>
                <w:sz w:val="24"/>
                <w:szCs w:val="24"/>
                <w:highlight w:val="none"/>
                <w:lang w:eastAsia="zh-CN"/>
              </w:rPr>
              <w:sym w:font="Wingdings 2" w:char="00A3"/>
            </w:r>
            <w:r>
              <w:rPr>
                <w:rFonts w:hint="eastAsia" w:ascii="宋体" w:hAnsi="宋体" w:cs="宋体"/>
                <w:color w:val="auto"/>
                <w:kern w:val="0"/>
                <w:sz w:val="24"/>
                <w:szCs w:val="24"/>
                <w:highlight w:val="none"/>
                <w:lang w:val="en-US" w:eastAsia="zh-CN"/>
              </w:rPr>
              <w:t>未承诺。</w:t>
            </w:r>
          </w:p>
        </w:tc>
      </w:tr>
    </w:tbl>
    <w:p w14:paraId="675F3ED1">
      <w:pPr>
        <w:tabs>
          <w:tab w:val="left" w:pos="1680"/>
        </w:tabs>
        <w:spacing w:line="360" w:lineRule="auto"/>
        <w:rPr>
          <w:b/>
          <w:color w:val="auto"/>
          <w:sz w:val="24"/>
          <w:highlight w:val="none"/>
        </w:rPr>
      </w:pPr>
      <w:r>
        <w:rPr>
          <w:rFonts w:hAnsi="宋体"/>
          <w:b/>
          <w:color w:val="auto"/>
          <w:sz w:val="24"/>
          <w:highlight w:val="none"/>
        </w:rPr>
        <w:t>注：投标人所报利率</w:t>
      </w:r>
      <w:r>
        <w:rPr>
          <w:rFonts w:hint="eastAsia" w:hAnsi="宋体"/>
          <w:b/>
          <w:color w:val="auto"/>
          <w:sz w:val="24"/>
          <w:highlight w:val="none"/>
          <w:lang w:val="en-US" w:eastAsia="zh-CN"/>
        </w:rPr>
        <w:t>浮动</w:t>
      </w:r>
      <w:r>
        <w:rPr>
          <w:rFonts w:hAnsi="宋体"/>
          <w:b/>
          <w:color w:val="auto"/>
          <w:sz w:val="24"/>
          <w:highlight w:val="none"/>
        </w:rPr>
        <w:t>值</w:t>
      </w:r>
      <w:r>
        <w:rPr>
          <w:rFonts w:hint="eastAsia" w:hAnsi="宋体"/>
          <w:b/>
          <w:color w:val="auto"/>
          <w:sz w:val="24"/>
          <w:highlight w:val="none"/>
        </w:rPr>
        <w:t>，</w:t>
      </w:r>
      <w:r>
        <w:rPr>
          <w:rFonts w:hAnsi="宋体"/>
          <w:b/>
          <w:color w:val="auto"/>
          <w:sz w:val="24"/>
          <w:highlight w:val="none"/>
        </w:rPr>
        <w:t>保留</w:t>
      </w:r>
      <w:r>
        <w:rPr>
          <w:rFonts w:hint="eastAsia" w:hAnsi="宋体"/>
          <w:b/>
          <w:color w:val="auto"/>
          <w:sz w:val="24"/>
          <w:highlight w:val="none"/>
          <w:lang w:val="en-US" w:eastAsia="zh-CN"/>
        </w:rPr>
        <w:t>到整数</w:t>
      </w:r>
      <w:r>
        <w:rPr>
          <w:rFonts w:hAnsi="宋体"/>
          <w:b/>
          <w:color w:val="auto"/>
          <w:sz w:val="24"/>
          <w:highlight w:val="none"/>
        </w:rPr>
        <w:t>。</w:t>
      </w:r>
    </w:p>
    <w:p w14:paraId="23885474">
      <w:pPr>
        <w:tabs>
          <w:tab w:val="left" w:pos="1680"/>
        </w:tabs>
        <w:spacing w:line="360" w:lineRule="auto"/>
        <w:rPr>
          <w:b/>
          <w:bCs/>
          <w:color w:val="auto"/>
          <w:sz w:val="24"/>
          <w:highlight w:val="none"/>
        </w:rPr>
      </w:pPr>
    </w:p>
    <w:p w14:paraId="3F0B70BE">
      <w:pPr>
        <w:tabs>
          <w:tab w:val="left" w:pos="1680"/>
        </w:tabs>
        <w:spacing w:line="360" w:lineRule="auto"/>
        <w:rPr>
          <w:color w:val="auto"/>
          <w:sz w:val="24"/>
          <w:highlight w:val="none"/>
        </w:rPr>
      </w:pPr>
    </w:p>
    <w:p w14:paraId="170DF230">
      <w:pPr>
        <w:tabs>
          <w:tab w:val="left" w:pos="1680"/>
        </w:tabs>
        <w:spacing w:line="360" w:lineRule="auto"/>
        <w:rPr>
          <w:color w:val="auto"/>
          <w:sz w:val="24"/>
          <w:highlight w:val="none"/>
        </w:rPr>
      </w:pPr>
    </w:p>
    <w:p w14:paraId="4CF10E20">
      <w:pPr>
        <w:tabs>
          <w:tab w:val="left" w:pos="1680"/>
        </w:tabs>
        <w:spacing w:line="360" w:lineRule="auto"/>
        <w:rPr>
          <w:color w:val="auto"/>
          <w:sz w:val="24"/>
          <w:highlight w:val="none"/>
        </w:rPr>
      </w:pPr>
      <w:r>
        <w:rPr>
          <w:rFonts w:hAnsi="宋体"/>
          <w:color w:val="auto"/>
          <w:sz w:val="24"/>
          <w:highlight w:val="none"/>
        </w:rPr>
        <w:t>投标人名称：（加盖投标人公章）</w:t>
      </w:r>
    </w:p>
    <w:p w14:paraId="5C91C82B">
      <w:pPr>
        <w:tabs>
          <w:tab w:val="left" w:pos="1680"/>
        </w:tabs>
        <w:spacing w:line="360" w:lineRule="auto"/>
        <w:rPr>
          <w:color w:val="auto"/>
          <w:sz w:val="24"/>
          <w:highlight w:val="none"/>
          <w:u w:val="single"/>
        </w:rPr>
      </w:pP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或授权委托人：</w:t>
      </w:r>
      <w:r>
        <w:rPr>
          <w:rFonts w:hint="eastAsia" w:hAnsi="宋体"/>
          <w:color w:val="auto"/>
          <w:sz w:val="24"/>
          <w:highlight w:val="none"/>
        </w:rPr>
        <w:t>（</w:t>
      </w:r>
      <w:r>
        <w:rPr>
          <w:rFonts w:hAnsi="宋体"/>
          <w:color w:val="auto"/>
          <w:sz w:val="24"/>
          <w:highlight w:val="none"/>
        </w:rPr>
        <w:t>签字</w:t>
      </w:r>
      <w:r>
        <w:rPr>
          <w:rFonts w:hint="eastAsia" w:hAnsi="宋体"/>
          <w:color w:val="auto"/>
          <w:sz w:val="24"/>
          <w:highlight w:val="none"/>
        </w:rPr>
        <w:t>或盖章）</w:t>
      </w:r>
    </w:p>
    <w:p w14:paraId="32AAFEA4">
      <w:pPr>
        <w:tabs>
          <w:tab w:val="left" w:pos="1680"/>
        </w:tabs>
        <w:spacing w:line="360" w:lineRule="auto"/>
        <w:rPr>
          <w:color w:val="auto"/>
          <w:sz w:val="24"/>
          <w:highlight w:val="none"/>
        </w:rPr>
      </w:pPr>
      <w:r>
        <w:rPr>
          <w:rFonts w:hAnsi="宋体"/>
          <w:color w:val="auto"/>
          <w:sz w:val="24"/>
          <w:highlight w:val="none"/>
        </w:rPr>
        <w:t>日</w:t>
      </w:r>
      <w:r>
        <w:rPr>
          <w:rFonts w:hint="eastAsia" w:hAnsi="宋体"/>
          <w:color w:val="auto"/>
          <w:sz w:val="24"/>
          <w:highlight w:val="none"/>
        </w:rPr>
        <w:t xml:space="preserve">      </w:t>
      </w:r>
      <w:r>
        <w:rPr>
          <w:rFonts w:hAnsi="宋体"/>
          <w:color w:val="auto"/>
          <w:sz w:val="24"/>
          <w:highlight w:val="none"/>
        </w:rPr>
        <w:t>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4332BF3C">
      <w:pPr>
        <w:tabs>
          <w:tab w:val="left" w:pos="0"/>
          <w:tab w:val="left" w:pos="1680"/>
        </w:tabs>
        <w:adjustRightInd w:val="0"/>
        <w:snapToGrid w:val="0"/>
        <w:spacing w:line="360" w:lineRule="auto"/>
        <w:jc w:val="center"/>
        <w:rPr>
          <w:color w:val="auto"/>
          <w:sz w:val="24"/>
          <w:highlight w:val="none"/>
        </w:rPr>
      </w:pPr>
      <w:r>
        <w:rPr>
          <w:color w:val="auto"/>
          <w:sz w:val="24"/>
          <w:highlight w:val="none"/>
        </w:rPr>
        <w:br w:type="page"/>
      </w:r>
    </w:p>
    <w:p w14:paraId="6AB54BA2">
      <w:pPr>
        <w:tabs>
          <w:tab w:val="left" w:pos="0"/>
          <w:tab w:val="left" w:pos="1680"/>
        </w:tabs>
        <w:adjustRightInd w:val="0"/>
        <w:snapToGrid w:val="0"/>
        <w:spacing w:line="360" w:lineRule="auto"/>
        <w:rPr>
          <w:color w:val="auto"/>
          <w:sz w:val="24"/>
          <w:highlight w:val="none"/>
        </w:rPr>
      </w:pPr>
    </w:p>
    <w:p w14:paraId="3338A3F1">
      <w:pPr>
        <w:tabs>
          <w:tab w:val="left" w:pos="0"/>
          <w:tab w:val="left" w:pos="1680"/>
        </w:tabs>
        <w:adjustRightInd w:val="0"/>
        <w:snapToGrid w:val="0"/>
        <w:spacing w:line="360" w:lineRule="auto"/>
        <w:rPr>
          <w:color w:val="auto"/>
          <w:sz w:val="24"/>
          <w:highlight w:val="none"/>
        </w:rPr>
      </w:pPr>
      <w:r>
        <w:rPr>
          <w:rFonts w:hint="eastAsia"/>
          <w:color w:val="auto"/>
          <w:sz w:val="24"/>
          <w:highlight w:val="none"/>
        </w:rPr>
        <w:t>附件五</w:t>
      </w:r>
    </w:p>
    <w:p w14:paraId="3E67496C">
      <w:pPr>
        <w:tabs>
          <w:tab w:val="left" w:pos="0"/>
          <w:tab w:val="left" w:pos="1680"/>
        </w:tabs>
        <w:adjustRightInd w:val="0"/>
        <w:snapToGrid w:val="0"/>
        <w:spacing w:line="360" w:lineRule="auto"/>
        <w:jc w:val="center"/>
        <w:rPr>
          <w:rFonts w:hAnsi="宋体"/>
          <w:b/>
          <w:color w:val="auto"/>
          <w:sz w:val="24"/>
          <w:highlight w:val="none"/>
        </w:rPr>
      </w:pPr>
      <w:r>
        <w:rPr>
          <w:rFonts w:hAnsi="宋体"/>
          <w:b/>
          <w:color w:val="auto"/>
          <w:sz w:val="24"/>
          <w:highlight w:val="none"/>
        </w:rPr>
        <w:t>法定代表人</w:t>
      </w:r>
      <w:r>
        <w:rPr>
          <w:rFonts w:hint="eastAsia" w:hAnsi="宋体"/>
          <w:b/>
          <w:color w:val="auto"/>
          <w:sz w:val="24"/>
          <w:highlight w:val="none"/>
        </w:rPr>
        <w:t>（或分行负责人/支行负责人）</w:t>
      </w:r>
      <w:r>
        <w:rPr>
          <w:rFonts w:hAnsi="宋体"/>
          <w:b/>
          <w:color w:val="auto"/>
          <w:sz w:val="24"/>
          <w:highlight w:val="none"/>
        </w:rPr>
        <w:t>身份证明书</w:t>
      </w:r>
    </w:p>
    <w:p w14:paraId="63CDC4AE">
      <w:pPr>
        <w:tabs>
          <w:tab w:val="left" w:pos="1680"/>
        </w:tabs>
        <w:spacing w:line="360" w:lineRule="auto"/>
        <w:rPr>
          <w:rFonts w:hAnsi="宋体"/>
          <w:color w:val="auto"/>
          <w:sz w:val="24"/>
          <w:highlight w:val="none"/>
        </w:rPr>
      </w:pPr>
    </w:p>
    <w:p w14:paraId="5E915472">
      <w:pPr>
        <w:tabs>
          <w:tab w:val="left" w:pos="1680"/>
        </w:tabs>
        <w:spacing w:line="360" w:lineRule="auto"/>
        <w:rPr>
          <w:color w:val="auto"/>
          <w:sz w:val="24"/>
          <w:highlight w:val="none"/>
        </w:rPr>
      </w:pPr>
      <w:r>
        <w:rPr>
          <w:rFonts w:hAnsi="宋体"/>
          <w:color w:val="auto"/>
          <w:sz w:val="24"/>
          <w:highlight w:val="none"/>
        </w:rPr>
        <w:t>投标人名称：</w:t>
      </w:r>
    </w:p>
    <w:p w14:paraId="1E365FDB">
      <w:pPr>
        <w:tabs>
          <w:tab w:val="left" w:pos="1680"/>
        </w:tabs>
        <w:spacing w:line="360" w:lineRule="auto"/>
        <w:rPr>
          <w:color w:val="auto"/>
          <w:sz w:val="24"/>
          <w:highlight w:val="none"/>
        </w:rPr>
      </w:pPr>
      <w:r>
        <w:rPr>
          <w:rFonts w:hAnsi="宋体"/>
          <w:color w:val="auto"/>
          <w:sz w:val="24"/>
          <w:highlight w:val="none"/>
        </w:rPr>
        <w:t>单位性质：</w:t>
      </w:r>
    </w:p>
    <w:p w14:paraId="09F5FBB0">
      <w:pPr>
        <w:tabs>
          <w:tab w:val="left" w:pos="1680"/>
        </w:tabs>
        <w:spacing w:line="360" w:lineRule="auto"/>
        <w:rPr>
          <w:color w:val="auto"/>
          <w:sz w:val="24"/>
          <w:highlight w:val="none"/>
        </w:rPr>
      </w:pPr>
      <w:r>
        <w:rPr>
          <w:rFonts w:hAnsi="宋体"/>
          <w:color w:val="auto"/>
          <w:sz w:val="24"/>
          <w:highlight w:val="none"/>
        </w:rPr>
        <w:t>地址：</w:t>
      </w:r>
    </w:p>
    <w:p w14:paraId="1F14CDBB">
      <w:pPr>
        <w:tabs>
          <w:tab w:val="left" w:pos="1680"/>
        </w:tabs>
        <w:spacing w:line="360" w:lineRule="auto"/>
        <w:rPr>
          <w:color w:val="auto"/>
          <w:sz w:val="24"/>
          <w:highlight w:val="none"/>
        </w:rPr>
      </w:pPr>
      <w:r>
        <w:rPr>
          <w:rFonts w:hAnsi="宋体"/>
          <w:color w:val="auto"/>
          <w:sz w:val="24"/>
          <w:highlight w:val="none"/>
        </w:rPr>
        <w:t>姓名：性别：年龄：职务：</w:t>
      </w:r>
    </w:p>
    <w:p w14:paraId="377609C5">
      <w:pPr>
        <w:tabs>
          <w:tab w:val="left" w:pos="1680"/>
        </w:tabs>
        <w:spacing w:line="360" w:lineRule="auto"/>
        <w:rPr>
          <w:color w:val="auto"/>
          <w:sz w:val="24"/>
          <w:highlight w:val="none"/>
        </w:rPr>
      </w:pPr>
      <w:r>
        <w:rPr>
          <w:rFonts w:hAnsi="宋体"/>
          <w:color w:val="auto"/>
          <w:sz w:val="24"/>
          <w:highlight w:val="none"/>
        </w:rPr>
        <w:t>系的法定代表人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w:t>
      </w:r>
    </w:p>
    <w:p w14:paraId="326152C9">
      <w:pPr>
        <w:tabs>
          <w:tab w:val="left" w:pos="1680"/>
        </w:tabs>
        <w:spacing w:line="360" w:lineRule="auto"/>
        <w:rPr>
          <w:color w:val="auto"/>
          <w:sz w:val="24"/>
          <w:highlight w:val="none"/>
        </w:rPr>
      </w:pPr>
    </w:p>
    <w:p w14:paraId="5A055802">
      <w:pPr>
        <w:tabs>
          <w:tab w:val="left" w:pos="1680"/>
        </w:tabs>
        <w:spacing w:line="360" w:lineRule="auto"/>
        <w:rPr>
          <w:color w:val="auto"/>
          <w:sz w:val="24"/>
          <w:highlight w:val="none"/>
        </w:rPr>
      </w:pPr>
    </w:p>
    <w:p w14:paraId="23A8CDA5">
      <w:pPr>
        <w:tabs>
          <w:tab w:val="left" w:pos="1680"/>
        </w:tabs>
        <w:spacing w:line="360" w:lineRule="auto"/>
        <w:ind w:firstLine="3240" w:firstLineChars="1350"/>
        <w:rPr>
          <w:color w:val="auto"/>
          <w:sz w:val="24"/>
          <w:highlight w:val="none"/>
        </w:rPr>
      </w:pPr>
      <w:r>
        <w:rPr>
          <w:rFonts w:hAnsi="宋体"/>
          <w:color w:val="auto"/>
          <w:sz w:val="24"/>
          <w:highlight w:val="none"/>
        </w:rPr>
        <w:t>投标人名称（</w:t>
      </w:r>
      <w:r>
        <w:rPr>
          <w:rFonts w:hAnsi="宋体"/>
          <w:bCs/>
          <w:color w:val="auto"/>
          <w:sz w:val="24"/>
          <w:szCs w:val="20"/>
          <w:highlight w:val="none"/>
        </w:rPr>
        <w:t>加盖投标人公章</w:t>
      </w:r>
      <w:r>
        <w:rPr>
          <w:rFonts w:hAnsi="宋体"/>
          <w:color w:val="auto"/>
          <w:sz w:val="24"/>
          <w:highlight w:val="none"/>
        </w:rPr>
        <w:t>）：</w:t>
      </w:r>
    </w:p>
    <w:p w14:paraId="4A2E3556">
      <w:pPr>
        <w:tabs>
          <w:tab w:val="left" w:pos="0"/>
          <w:tab w:val="left" w:pos="1680"/>
        </w:tabs>
        <w:spacing w:before="100" w:beforeAutospacing="1" w:after="100" w:afterAutospacing="1" w:line="360" w:lineRule="auto"/>
        <w:jc w:val="center"/>
        <w:rPr>
          <w:color w:val="auto"/>
          <w:sz w:val="24"/>
          <w:highlight w:val="none"/>
        </w:rPr>
      </w:pP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174F7FC1">
      <w:pPr>
        <w:tabs>
          <w:tab w:val="left" w:pos="1680"/>
        </w:tabs>
        <w:spacing w:line="360" w:lineRule="auto"/>
        <w:rPr>
          <w:color w:val="auto"/>
          <w:sz w:val="24"/>
          <w:highlight w:val="none"/>
        </w:rPr>
      </w:pPr>
    </w:p>
    <w:p w14:paraId="347A09E3">
      <w:pPr>
        <w:tabs>
          <w:tab w:val="left" w:pos="1680"/>
        </w:tabs>
        <w:spacing w:line="360" w:lineRule="auto"/>
        <w:rPr>
          <w:rFonts w:hAnsi="宋体"/>
          <w:color w:val="auto"/>
          <w:sz w:val="24"/>
          <w:highlight w:val="none"/>
        </w:rPr>
      </w:pPr>
      <w:r>
        <w:rPr>
          <w:rFonts w:hint="eastAsia"/>
          <w:color w:val="auto"/>
          <w:sz w:val="24"/>
          <w:highlight w:val="none"/>
        </w:rPr>
        <w:t>后附：</w:t>
      </w: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）的身份证（正、反面）复印件</w:t>
      </w:r>
    </w:p>
    <w:p w14:paraId="0D504356">
      <w:pPr>
        <w:widowControl/>
        <w:tabs>
          <w:tab w:val="left" w:pos="1680"/>
        </w:tabs>
        <w:jc w:val="left"/>
        <w:rPr>
          <w:rFonts w:hAnsi="宋体"/>
          <w:color w:val="auto"/>
          <w:sz w:val="24"/>
          <w:highlight w:val="none"/>
        </w:rPr>
      </w:pPr>
      <w:r>
        <w:rPr>
          <w:rFonts w:hAnsi="宋体"/>
          <w:color w:val="auto"/>
          <w:sz w:val="24"/>
          <w:highlight w:val="none"/>
        </w:rPr>
        <w:br w:type="page"/>
      </w:r>
    </w:p>
    <w:p w14:paraId="42C65F68">
      <w:pPr>
        <w:tabs>
          <w:tab w:val="left" w:pos="0"/>
          <w:tab w:val="left" w:pos="1680"/>
        </w:tabs>
        <w:adjustRightInd w:val="0"/>
        <w:snapToGrid w:val="0"/>
        <w:spacing w:line="360" w:lineRule="auto"/>
        <w:rPr>
          <w:rFonts w:asciiTheme="minorEastAsia" w:hAnsiTheme="minorEastAsia" w:eastAsiaTheme="minorEastAsia"/>
          <w:color w:val="auto"/>
          <w:sz w:val="24"/>
          <w:highlight w:val="none"/>
        </w:rPr>
      </w:pPr>
    </w:p>
    <w:p w14:paraId="656B3354">
      <w:pPr>
        <w:tabs>
          <w:tab w:val="left" w:pos="0"/>
          <w:tab w:val="left" w:pos="1680"/>
        </w:tabs>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附件六</w:t>
      </w:r>
    </w:p>
    <w:p w14:paraId="6472905B">
      <w:pPr>
        <w:tabs>
          <w:tab w:val="left" w:pos="0"/>
          <w:tab w:val="left" w:pos="1680"/>
        </w:tabs>
        <w:adjustRightInd w:val="0"/>
        <w:snapToGrid w:val="0"/>
        <w:spacing w:line="360" w:lineRule="auto"/>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法定代表人</w:t>
      </w:r>
      <w:r>
        <w:rPr>
          <w:rFonts w:hint="eastAsia" w:asciiTheme="minorEastAsia" w:hAnsiTheme="minorEastAsia" w:eastAsiaTheme="minorEastAsia"/>
          <w:b/>
          <w:color w:val="auto"/>
          <w:sz w:val="24"/>
          <w:highlight w:val="none"/>
        </w:rPr>
        <w:t>（或分行负责人/支行负责人）</w:t>
      </w:r>
      <w:r>
        <w:rPr>
          <w:rFonts w:asciiTheme="minorEastAsia" w:hAnsiTheme="minorEastAsia" w:eastAsiaTheme="minorEastAsia"/>
          <w:b/>
          <w:color w:val="auto"/>
          <w:sz w:val="24"/>
          <w:highlight w:val="none"/>
        </w:rPr>
        <w:t>授权委托书</w:t>
      </w:r>
    </w:p>
    <w:p w14:paraId="1A6433D1">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p>
    <w:p w14:paraId="5EFBF34E">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本授权书声明：我</w:t>
      </w:r>
      <w:r>
        <w:rPr>
          <w:rFonts w:asciiTheme="minorEastAsia" w:hAnsiTheme="minorEastAsia" w:eastAsiaTheme="minorEastAsia"/>
          <w:color w:val="auto"/>
          <w:sz w:val="24"/>
          <w:highlight w:val="none"/>
          <w:u w:val="single"/>
        </w:rPr>
        <w:t>（姓名）</w:t>
      </w:r>
      <w:r>
        <w:rPr>
          <w:rFonts w:asciiTheme="minorEastAsia" w:hAnsiTheme="minorEastAsia" w:eastAsiaTheme="minorEastAsia"/>
          <w:color w:val="auto"/>
          <w:sz w:val="24"/>
          <w:highlight w:val="none"/>
        </w:rPr>
        <w:t>系注册于</w:t>
      </w:r>
      <w:r>
        <w:rPr>
          <w:rFonts w:asciiTheme="minorEastAsia" w:hAnsiTheme="minorEastAsia" w:eastAsiaTheme="minorEastAsia"/>
          <w:color w:val="auto"/>
          <w:sz w:val="24"/>
          <w:highlight w:val="none"/>
          <w:u w:val="single"/>
        </w:rPr>
        <w:t>（单位地址）</w:t>
      </w:r>
      <w:r>
        <w:rPr>
          <w:rFonts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（投标人名称）</w:t>
      </w:r>
      <w:r>
        <w:rPr>
          <w:rFonts w:asciiTheme="minorEastAsia" w:hAnsiTheme="minorEastAsia" w:eastAsiaTheme="minorEastAsia"/>
          <w:color w:val="auto"/>
          <w:sz w:val="24"/>
          <w:highlight w:val="none"/>
        </w:rPr>
        <w:t>的法定代表人</w:t>
      </w:r>
      <w:r>
        <w:rPr>
          <w:rFonts w:hint="eastAsia" w:asciiTheme="minorEastAsia" w:hAnsiTheme="minorEastAsia" w:eastAsiaTheme="minorEastAsia"/>
          <w:color w:val="auto"/>
          <w:sz w:val="24"/>
          <w:highlight w:val="none"/>
        </w:rPr>
        <w:t>（或分行负责人/支行负责人）</w:t>
      </w:r>
      <w:r>
        <w:rPr>
          <w:rFonts w:asciiTheme="minorEastAsia" w:hAnsiTheme="minorEastAsia" w:eastAsiaTheme="minorEastAsia"/>
          <w:color w:val="auto"/>
          <w:sz w:val="24"/>
          <w:highlight w:val="none"/>
        </w:rPr>
        <w:t>，现授权委托</w:t>
      </w:r>
      <w:r>
        <w:rPr>
          <w:rFonts w:asciiTheme="minorEastAsia" w:hAnsiTheme="minorEastAsia" w:eastAsiaTheme="minorEastAsia"/>
          <w:color w:val="auto"/>
          <w:sz w:val="24"/>
          <w:highlight w:val="none"/>
          <w:u w:val="single"/>
        </w:rPr>
        <w:t>（被授权人姓名、职务）</w:t>
      </w:r>
      <w:r>
        <w:rPr>
          <w:rFonts w:asciiTheme="minorEastAsia" w:hAnsiTheme="minorEastAsia" w:eastAsiaTheme="minorEastAsia"/>
          <w:color w:val="auto"/>
          <w:sz w:val="24"/>
          <w:highlight w:val="none"/>
        </w:rPr>
        <w:t>为我行的合法代理人，以本行的名义参加</w:t>
      </w:r>
      <w:r>
        <w:rPr>
          <w:rFonts w:asciiTheme="minorEastAsia" w:hAnsiTheme="minorEastAsia" w:eastAsiaTheme="minorEastAsia"/>
          <w:color w:val="auto"/>
          <w:sz w:val="24"/>
          <w:highlight w:val="none"/>
          <w:u w:val="single"/>
        </w:rPr>
        <w:t>（项目名称）</w:t>
      </w:r>
      <w:r>
        <w:rPr>
          <w:rFonts w:asciiTheme="minorEastAsia" w:hAnsiTheme="minorEastAsia" w:eastAsiaTheme="minorEastAsia"/>
          <w:color w:val="auto"/>
          <w:sz w:val="24"/>
          <w:highlight w:val="none"/>
        </w:rPr>
        <w:t>的投标活动。代理人在参与投标过程中所签署的一切文件和处理与之有关的一切事务，我行均予以承认。</w:t>
      </w:r>
    </w:p>
    <w:p w14:paraId="075B0383">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本授权书于年月日签字生效。特此声明。</w:t>
      </w:r>
    </w:p>
    <w:p w14:paraId="0F14074A">
      <w:pPr>
        <w:tabs>
          <w:tab w:val="left" w:pos="1680"/>
        </w:tabs>
        <w:adjustRightInd w:val="0"/>
        <w:snapToGrid w:val="0"/>
        <w:spacing w:line="360" w:lineRule="auto"/>
        <w:rPr>
          <w:rFonts w:asciiTheme="minorEastAsia" w:hAnsiTheme="minorEastAsia" w:eastAsiaTheme="minorEastAsia"/>
          <w:color w:val="auto"/>
          <w:sz w:val="24"/>
          <w:highlight w:val="none"/>
        </w:rPr>
      </w:pPr>
    </w:p>
    <w:p w14:paraId="3AB4E2D4">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投标人名称（</w:t>
      </w:r>
      <w:r>
        <w:rPr>
          <w:rFonts w:asciiTheme="minorEastAsia" w:hAnsiTheme="minorEastAsia" w:eastAsiaTheme="minorEastAsia"/>
          <w:bCs/>
          <w:color w:val="auto"/>
          <w:sz w:val="24"/>
          <w:szCs w:val="20"/>
          <w:highlight w:val="none"/>
        </w:rPr>
        <w:t>加盖投标人公章</w:t>
      </w:r>
      <w:r>
        <w:rPr>
          <w:rFonts w:asciiTheme="minorEastAsia" w:hAnsiTheme="minorEastAsia" w:eastAsiaTheme="minorEastAsia"/>
          <w:color w:val="auto"/>
          <w:sz w:val="24"/>
          <w:highlight w:val="none"/>
        </w:rPr>
        <w:t>）：</w:t>
      </w:r>
    </w:p>
    <w:p w14:paraId="06229616">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rPr>
        <w:t>（或分行负责人/支行负责人）（</w:t>
      </w:r>
      <w:r>
        <w:rPr>
          <w:rFonts w:asciiTheme="minorEastAsia" w:hAnsiTheme="minorEastAsia" w:eastAsiaTheme="minorEastAsia"/>
          <w:color w:val="auto"/>
          <w:sz w:val="24"/>
          <w:highlight w:val="none"/>
        </w:rPr>
        <w:t>签字</w:t>
      </w:r>
      <w:r>
        <w:rPr>
          <w:rFonts w:hint="eastAsia" w:asciiTheme="minorEastAsia" w:hAnsiTheme="minorEastAsia" w:eastAsiaTheme="minorEastAsia"/>
          <w:color w:val="auto"/>
          <w:sz w:val="24"/>
          <w:highlight w:val="none"/>
        </w:rPr>
        <w:t>或盖章）</w:t>
      </w:r>
      <w:r>
        <w:rPr>
          <w:rFonts w:asciiTheme="minorEastAsia" w:hAnsiTheme="minorEastAsia" w:eastAsiaTheme="minorEastAsia"/>
          <w:color w:val="auto"/>
          <w:sz w:val="24"/>
          <w:highlight w:val="none"/>
        </w:rPr>
        <w:t>：</w:t>
      </w:r>
    </w:p>
    <w:p w14:paraId="42DD4675">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授权委托人签字：</w:t>
      </w:r>
    </w:p>
    <w:p w14:paraId="08B5312B">
      <w:pPr>
        <w:tabs>
          <w:tab w:val="left" w:pos="1680"/>
        </w:tabs>
        <w:adjustRightInd w:val="0"/>
        <w:snapToGrid w:val="0"/>
        <w:spacing w:line="360" w:lineRule="auto"/>
        <w:ind w:firstLine="480" w:firstLineChars="200"/>
        <w:rPr>
          <w:rFonts w:asciiTheme="minorEastAsia" w:hAnsiTheme="minorEastAsia" w:eastAsiaTheme="minorEastAsia"/>
          <w:color w:val="auto"/>
          <w:sz w:val="24"/>
          <w:highlight w:val="none"/>
        </w:rPr>
      </w:pPr>
    </w:p>
    <w:p w14:paraId="19313E97">
      <w:pPr>
        <w:tabs>
          <w:tab w:val="left" w:pos="1680"/>
        </w:tabs>
        <w:adjustRightInd w:val="0"/>
        <w:snapToGrid w:val="0"/>
        <w:spacing w:line="360" w:lineRule="auto"/>
        <w:rPr>
          <w:rFonts w:asciiTheme="minorEastAsia" w:hAnsiTheme="minorEastAsia" w:eastAsiaTheme="minorEastAsia"/>
          <w:color w:val="auto"/>
          <w:sz w:val="24"/>
          <w:highlight w:val="none"/>
        </w:rPr>
      </w:pPr>
    </w:p>
    <w:p w14:paraId="128DD073">
      <w:pPr>
        <w:tabs>
          <w:tab w:val="left" w:pos="1680"/>
        </w:tabs>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后附：</w:t>
      </w:r>
      <w:r>
        <w:rPr>
          <w:rFonts w:asciiTheme="minorEastAsia" w:hAnsiTheme="minorEastAsia" w:eastAsiaTheme="minorEastAsia"/>
          <w:color w:val="auto"/>
          <w:sz w:val="24"/>
          <w:highlight w:val="none"/>
        </w:rPr>
        <w:t>授权委托人</w:t>
      </w:r>
      <w:r>
        <w:rPr>
          <w:rFonts w:hint="eastAsia" w:asciiTheme="minorEastAsia" w:hAnsiTheme="minorEastAsia" w:eastAsiaTheme="minorEastAsia"/>
          <w:color w:val="auto"/>
          <w:sz w:val="24"/>
          <w:highlight w:val="none"/>
        </w:rPr>
        <w:t>的身份证（正、反面）复印件</w:t>
      </w:r>
    </w:p>
    <w:p w14:paraId="6345405E">
      <w:pPr>
        <w:tabs>
          <w:tab w:val="left" w:pos="0"/>
          <w:tab w:val="left" w:pos="1680"/>
        </w:tabs>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column"/>
      </w:r>
    </w:p>
    <w:p w14:paraId="2960C0FE">
      <w:pPr>
        <w:tabs>
          <w:tab w:val="left" w:pos="0"/>
          <w:tab w:val="left" w:pos="1680"/>
        </w:tabs>
        <w:adjustRightInd w:val="0"/>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附件七</w:t>
      </w:r>
    </w:p>
    <w:p w14:paraId="71F33870">
      <w:pPr>
        <w:tabs>
          <w:tab w:val="left" w:pos="0"/>
          <w:tab w:val="left" w:pos="1680"/>
        </w:tabs>
        <w:adjustRightInd w:val="0"/>
        <w:snapToGrid w:val="0"/>
        <w:spacing w:line="360" w:lineRule="auto"/>
        <w:jc w:val="center"/>
        <w:rPr>
          <w:rFonts w:asciiTheme="minorEastAsia" w:hAnsiTheme="minorEastAsia" w:eastAsiaTheme="minorEastAsia"/>
          <w:b/>
          <w:color w:val="auto"/>
          <w:sz w:val="24"/>
          <w:highlight w:val="none"/>
        </w:rPr>
      </w:pPr>
    </w:p>
    <w:p w14:paraId="0D2B541F">
      <w:pPr>
        <w:tabs>
          <w:tab w:val="left" w:pos="0"/>
          <w:tab w:val="left" w:pos="1680"/>
        </w:tabs>
        <w:adjustRightInd w:val="0"/>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无重大违法违规记录及重大违约事件承诺书</w:t>
      </w:r>
    </w:p>
    <w:p w14:paraId="767060EA">
      <w:pPr>
        <w:pStyle w:val="28"/>
        <w:tabs>
          <w:tab w:val="left" w:pos="1680"/>
        </w:tabs>
        <w:adjustRightInd w:val="0"/>
        <w:snapToGrid w:val="0"/>
        <w:spacing w:before="0" w:beforeAutospacing="0" w:after="0" w:afterAutospacing="0" w:line="360" w:lineRule="auto"/>
        <w:ind w:right="159"/>
        <w:jc w:val="both"/>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 xml:space="preserve">    我公司（单位）依法开展经营活动，近3年内在经营活动中无重大违法违规记录及重大违约事件。</w:t>
      </w:r>
    </w:p>
    <w:p w14:paraId="4BB3E8B5">
      <w:pPr>
        <w:pStyle w:val="28"/>
        <w:tabs>
          <w:tab w:val="left" w:pos="1680"/>
        </w:tabs>
        <w:adjustRightInd w:val="0"/>
        <w:snapToGrid w:val="0"/>
        <w:spacing w:before="0" w:beforeAutospacing="0" w:after="0" w:afterAutospacing="0" w:line="360" w:lineRule="auto"/>
        <w:ind w:right="159" w:firstLine="480" w:firstLineChars="200"/>
        <w:jc w:val="both"/>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特此承诺！</w:t>
      </w:r>
    </w:p>
    <w:p w14:paraId="778A782F">
      <w:pPr>
        <w:pStyle w:val="28"/>
        <w:tabs>
          <w:tab w:val="left" w:pos="1680"/>
        </w:tabs>
        <w:adjustRightInd w:val="0"/>
        <w:snapToGrid w:val="0"/>
        <w:spacing w:before="0" w:beforeAutospacing="0" w:after="0" w:afterAutospacing="0" w:line="360" w:lineRule="auto"/>
        <w:ind w:right="159" w:firstLine="480" w:firstLineChars="200"/>
        <w:jc w:val="both"/>
        <w:rPr>
          <w:rFonts w:asciiTheme="minorEastAsia" w:hAnsiTheme="minorEastAsia" w:eastAsiaTheme="minorEastAsia"/>
          <w:bCs/>
          <w:color w:val="auto"/>
          <w:highlight w:val="none"/>
        </w:rPr>
      </w:pPr>
    </w:p>
    <w:p w14:paraId="21E8957A">
      <w:pPr>
        <w:pStyle w:val="28"/>
        <w:tabs>
          <w:tab w:val="left" w:pos="1680"/>
        </w:tabs>
        <w:adjustRightInd w:val="0"/>
        <w:snapToGrid w:val="0"/>
        <w:spacing w:before="0" w:beforeAutospacing="0" w:after="0" w:afterAutospacing="0" w:line="360" w:lineRule="auto"/>
        <w:ind w:right="159" w:firstLine="480" w:firstLineChars="200"/>
        <w:jc w:val="both"/>
        <w:rPr>
          <w:rFonts w:asciiTheme="minorEastAsia" w:hAnsiTheme="minorEastAsia" w:eastAsiaTheme="minorEastAsia"/>
          <w:bCs/>
          <w:color w:val="auto"/>
          <w:highlight w:val="none"/>
        </w:rPr>
      </w:pPr>
    </w:p>
    <w:p w14:paraId="22417FBD">
      <w:pPr>
        <w:tabs>
          <w:tab w:val="left" w:pos="1680"/>
        </w:tabs>
        <w:adjustRightInd w:val="0"/>
        <w:snapToGrid w:val="0"/>
        <w:spacing w:line="360" w:lineRule="auto"/>
        <w:rPr>
          <w:color w:val="auto"/>
          <w:sz w:val="24"/>
          <w:highlight w:val="none"/>
        </w:rPr>
      </w:pPr>
      <w:r>
        <w:rPr>
          <w:rFonts w:hAnsi="宋体"/>
          <w:color w:val="auto"/>
          <w:sz w:val="24"/>
          <w:highlight w:val="none"/>
        </w:rPr>
        <w:t>投标人名称：（加盖投标人公章）</w:t>
      </w:r>
    </w:p>
    <w:p w14:paraId="3391283D">
      <w:pPr>
        <w:tabs>
          <w:tab w:val="left" w:pos="1680"/>
        </w:tabs>
        <w:adjustRightInd w:val="0"/>
        <w:snapToGrid w:val="0"/>
        <w:spacing w:line="360" w:lineRule="auto"/>
        <w:rPr>
          <w:color w:val="auto"/>
          <w:sz w:val="24"/>
          <w:highlight w:val="none"/>
          <w:u w:val="single"/>
        </w:rPr>
      </w:pP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或授权委托人：</w:t>
      </w:r>
      <w:r>
        <w:rPr>
          <w:rFonts w:hint="eastAsia" w:hAnsi="宋体"/>
          <w:color w:val="auto"/>
          <w:sz w:val="24"/>
          <w:highlight w:val="none"/>
        </w:rPr>
        <w:t>（</w:t>
      </w:r>
      <w:r>
        <w:rPr>
          <w:rFonts w:hAnsi="宋体"/>
          <w:color w:val="auto"/>
          <w:sz w:val="24"/>
          <w:highlight w:val="none"/>
        </w:rPr>
        <w:t>签字</w:t>
      </w:r>
      <w:r>
        <w:rPr>
          <w:rFonts w:hint="eastAsia" w:hAnsi="宋体"/>
          <w:color w:val="auto"/>
          <w:sz w:val="24"/>
          <w:highlight w:val="none"/>
        </w:rPr>
        <w:t>或盖章）</w:t>
      </w:r>
    </w:p>
    <w:p w14:paraId="6E372323">
      <w:pPr>
        <w:tabs>
          <w:tab w:val="left" w:pos="1680"/>
        </w:tabs>
        <w:adjustRightInd w:val="0"/>
        <w:snapToGrid w:val="0"/>
        <w:spacing w:line="360" w:lineRule="auto"/>
        <w:rPr>
          <w:rFonts w:hAnsi="宋体"/>
          <w:color w:val="auto"/>
          <w:sz w:val="24"/>
          <w:highlight w:val="none"/>
        </w:rPr>
      </w:pPr>
      <w:r>
        <w:rPr>
          <w:rFonts w:hAnsi="宋体"/>
          <w:color w:val="auto"/>
          <w:sz w:val="24"/>
          <w:highlight w:val="none"/>
        </w:rPr>
        <w:t>日</w:t>
      </w:r>
      <w:r>
        <w:rPr>
          <w:rFonts w:hint="eastAsia" w:hAnsi="宋体"/>
          <w:color w:val="auto"/>
          <w:sz w:val="24"/>
          <w:highlight w:val="none"/>
        </w:rPr>
        <w:t xml:space="preserve">      </w:t>
      </w:r>
      <w:r>
        <w:rPr>
          <w:rFonts w:hAnsi="宋体"/>
          <w:color w:val="auto"/>
          <w:sz w:val="24"/>
          <w:highlight w:val="none"/>
        </w:rPr>
        <w:t>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6FC85481">
      <w:pPr>
        <w:tabs>
          <w:tab w:val="left" w:pos="1680"/>
        </w:tabs>
        <w:spacing w:line="360" w:lineRule="auto"/>
        <w:rPr>
          <w:rFonts w:asciiTheme="minorEastAsia" w:hAnsiTheme="minorEastAsia" w:eastAsiaTheme="minorEastAsia"/>
          <w:color w:val="auto"/>
          <w:sz w:val="28"/>
          <w:szCs w:val="28"/>
          <w:highlight w:val="none"/>
        </w:rPr>
      </w:pPr>
    </w:p>
    <w:sectPr>
      <w:footerReference r:id="rId8" w:type="default"/>
      <w:pgSz w:w="11906" w:h="16838"/>
      <w:pgMar w:top="1247" w:right="1416" w:bottom="1304" w:left="1440" w:header="851" w:footer="992"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79BE">
    <w:pPr>
      <w:pStyle w:val="20"/>
      <w:framePr w:wrap="around" w:vAnchor="text" w:hAnchor="margin" w:xAlign="center" w:y="1"/>
      <w:rPr>
        <w:rStyle w:val="35"/>
      </w:rPr>
    </w:pPr>
    <w:r>
      <w:fldChar w:fldCharType="begin"/>
    </w:r>
    <w:r>
      <w:rPr>
        <w:rStyle w:val="35"/>
      </w:rPr>
      <w:instrText xml:space="preserve">PAGE  </w:instrText>
    </w:r>
    <w:r>
      <w:fldChar w:fldCharType="end"/>
    </w:r>
  </w:p>
  <w:p w14:paraId="7CCEF0F9">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7CC6">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14</w:t>
    </w:r>
    <w:r>
      <w:fldChar w:fldCharType="end"/>
    </w:r>
  </w:p>
  <w:p w14:paraId="1703C063">
    <w:pPr>
      <w:pStyle w:val="20"/>
      <w:framePr w:wrap="around" w:vAnchor="text" w:hAnchor="margin" w:xAlign="right" w:y="1"/>
      <w:rPr>
        <w:rStyle w:val="35"/>
      </w:rPr>
    </w:pPr>
  </w:p>
  <w:p w14:paraId="21608B6B">
    <w:pPr>
      <w:pStyle w:val="2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476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A59B">
    <w:pPr>
      <w:pStyle w:val="20"/>
      <w:jc w:val="center"/>
    </w:pPr>
    <w:r>
      <w:fldChar w:fldCharType="begin"/>
    </w:r>
    <w:r>
      <w:rPr>
        <w:rStyle w:val="35"/>
      </w:rPr>
      <w:instrText xml:space="preserve"> PAGE </w:instrText>
    </w:r>
    <w:r>
      <w:fldChar w:fldCharType="separate"/>
    </w:r>
    <w:r>
      <w:rPr>
        <w:rStyle w:val="35"/>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AC6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51DA">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2322F"/>
    <w:multiLevelType w:val="singleLevel"/>
    <w:tmpl w:val="F842322F"/>
    <w:lvl w:ilvl="0" w:tentative="0">
      <w:start w:val="2"/>
      <w:numFmt w:val="chineseCounting"/>
      <w:suff w:val="nothing"/>
      <w:lvlText w:val="（%1）"/>
      <w:lvlJc w:val="left"/>
      <w:rPr>
        <w:rFonts w:hint="eastAsia"/>
      </w:rPr>
    </w:lvl>
  </w:abstractNum>
  <w:abstractNum w:abstractNumId="1">
    <w:nsid w:val="FA49018C"/>
    <w:multiLevelType w:val="singleLevel"/>
    <w:tmpl w:val="FA49018C"/>
    <w:lvl w:ilvl="0" w:tentative="0">
      <w:start w:val="9"/>
      <w:numFmt w:val="chineseCounting"/>
      <w:suff w:val="space"/>
      <w:lvlText w:val="第%1条"/>
      <w:lvlJc w:val="left"/>
      <w:rPr>
        <w:rFonts w:hint="eastAsia"/>
      </w:rPr>
    </w:lvl>
  </w:abstractNum>
  <w:abstractNum w:abstractNumId="2">
    <w:nsid w:val="00000018"/>
    <w:multiLevelType w:val="multilevel"/>
    <w:tmpl w:val="00000018"/>
    <w:lvl w:ilvl="0" w:tentative="0">
      <w:start w:val="1"/>
      <w:numFmt w:val="decimal"/>
      <w:lvlText w:val="%1."/>
      <w:lvlJc w:val="left"/>
      <w:pPr>
        <w:tabs>
          <w:tab w:val="left" w:pos="840"/>
        </w:tabs>
        <w:ind w:left="840" w:hanging="360"/>
      </w:pPr>
      <w:rPr>
        <w:rFonts w:hint="default"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34D5883"/>
    <w:multiLevelType w:val="multilevel"/>
    <w:tmpl w:val="034D588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981A0F"/>
    <w:multiLevelType w:val="multilevel"/>
    <w:tmpl w:val="1C981A0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1A577E"/>
    <w:multiLevelType w:val="multilevel"/>
    <w:tmpl w:val="1F1A57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2D58BE"/>
    <w:multiLevelType w:val="multilevel"/>
    <w:tmpl w:val="342D58BE"/>
    <w:lvl w:ilvl="0" w:tentative="0">
      <w:start w:val="1"/>
      <w:numFmt w:val="japaneseCounting"/>
      <w:lvlText w:val="（%1）"/>
      <w:lvlJc w:val="left"/>
      <w:pPr>
        <w:ind w:left="6815"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8113B8"/>
    <w:multiLevelType w:val="multilevel"/>
    <w:tmpl w:val="548113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0B3898"/>
    <w:multiLevelType w:val="multilevel"/>
    <w:tmpl w:val="6F0B3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3"/>
  </w:num>
  <w:num w:numId="5">
    <w:abstractNumId w:val="8"/>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WZlMzdiMjVlZmM5ZTJlOWQ2ZjYyZWE1NGMyZDUifQ=="/>
    <w:docVar w:name="KSO_WPS_MARK_KEY" w:val="7606e0ee-53f3-4299-b191-abe16e534c06"/>
  </w:docVars>
  <w:rsids>
    <w:rsidRoot w:val="0050133E"/>
    <w:rsid w:val="00003A51"/>
    <w:rsid w:val="000066A7"/>
    <w:rsid w:val="000169BA"/>
    <w:rsid w:val="00027F94"/>
    <w:rsid w:val="00033773"/>
    <w:rsid w:val="00033F9A"/>
    <w:rsid w:val="000347D7"/>
    <w:rsid w:val="00052D63"/>
    <w:rsid w:val="00062902"/>
    <w:rsid w:val="000676C1"/>
    <w:rsid w:val="00096E0C"/>
    <w:rsid w:val="000A453A"/>
    <w:rsid w:val="000A47B3"/>
    <w:rsid w:val="000A49F6"/>
    <w:rsid w:val="000C59B2"/>
    <w:rsid w:val="000C7EF2"/>
    <w:rsid w:val="000D3D46"/>
    <w:rsid w:val="000D463F"/>
    <w:rsid w:val="000E1770"/>
    <w:rsid w:val="000F56B7"/>
    <w:rsid w:val="000F5934"/>
    <w:rsid w:val="00105BB1"/>
    <w:rsid w:val="001309D0"/>
    <w:rsid w:val="00147C1E"/>
    <w:rsid w:val="001573D5"/>
    <w:rsid w:val="00171338"/>
    <w:rsid w:val="0017525E"/>
    <w:rsid w:val="00181B03"/>
    <w:rsid w:val="001A0D49"/>
    <w:rsid w:val="001A2CCA"/>
    <w:rsid w:val="001A528C"/>
    <w:rsid w:val="001B1728"/>
    <w:rsid w:val="001B745F"/>
    <w:rsid w:val="001D6325"/>
    <w:rsid w:val="001E1D54"/>
    <w:rsid w:val="001E6877"/>
    <w:rsid w:val="002012FC"/>
    <w:rsid w:val="00210BA7"/>
    <w:rsid w:val="00211D90"/>
    <w:rsid w:val="002128E7"/>
    <w:rsid w:val="00215BB8"/>
    <w:rsid w:val="002232FD"/>
    <w:rsid w:val="0023323A"/>
    <w:rsid w:val="00233DDD"/>
    <w:rsid w:val="00236B48"/>
    <w:rsid w:val="0024649E"/>
    <w:rsid w:val="0025368C"/>
    <w:rsid w:val="00255226"/>
    <w:rsid w:val="00262A22"/>
    <w:rsid w:val="00266BF0"/>
    <w:rsid w:val="00270EB5"/>
    <w:rsid w:val="00290BA1"/>
    <w:rsid w:val="002A0904"/>
    <w:rsid w:val="002A1752"/>
    <w:rsid w:val="002A258B"/>
    <w:rsid w:val="002B1BD0"/>
    <w:rsid w:val="002B2266"/>
    <w:rsid w:val="002C7B69"/>
    <w:rsid w:val="002D5663"/>
    <w:rsid w:val="002F3C65"/>
    <w:rsid w:val="003009CE"/>
    <w:rsid w:val="00302B54"/>
    <w:rsid w:val="00304F5B"/>
    <w:rsid w:val="003058DD"/>
    <w:rsid w:val="003219E8"/>
    <w:rsid w:val="00335D7F"/>
    <w:rsid w:val="00351122"/>
    <w:rsid w:val="0035344A"/>
    <w:rsid w:val="00353B56"/>
    <w:rsid w:val="003563CB"/>
    <w:rsid w:val="00360642"/>
    <w:rsid w:val="00363EDE"/>
    <w:rsid w:val="00365C12"/>
    <w:rsid w:val="00373EF0"/>
    <w:rsid w:val="003745EE"/>
    <w:rsid w:val="0037523C"/>
    <w:rsid w:val="003803D1"/>
    <w:rsid w:val="0038524E"/>
    <w:rsid w:val="003856B6"/>
    <w:rsid w:val="003B6C3B"/>
    <w:rsid w:val="003C6317"/>
    <w:rsid w:val="003D2B75"/>
    <w:rsid w:val="003D3291"/>
    <w:rsid w:val="003D5E8F"/>
    <w:rsid w:val="003E3D50"/>
    <w:rsid w:val="003E46C6"/>
    <w:rsid w:val="003E7DDF"/>
    <w:rsid w:val="003F11BC"/>
    <w:rsid w:val="003F7D41"/>
    <w:rsid w:val="003F7E86"/>
    <w:rsid w:val="004030EB"/>
    <w:rsid w:val="00410134"/>
    <w:rsid w:val="00411CA3"/>
    <w:rsid w:val="00412A21"/>
    <w:rsid w:val="004144D8"/>
    <w:rsid w:val="004166F2"/>
    <w:rsid w:val="00417D86"/>
    <w:rsid w:val="00424692"/>
    <w:rsid w:val="00425401"/>
    <w:rsid w:val="00426A43"/>
    <w:rsid w:val="00430942"/>
    <w:rsid w:val="00435A71"/>
    <w:rsid w:val="00436999"/>
    <w:rsid w:val="00441BFC"/>
    <w:rsid w:val="00444570"/>
    <w:rsid w:val="004448CA"/>
    <w:rsid w:val="00444DBF"/>
    <w:rsid w:val="00445068"/>
    <w:rsid w:val="00451D4B"/>
    <w:rsid w:val="0045284F"/>
    <w:rsid w:val="0045288F"/>
    <w:rsid w:val="00454BCA"/>
    <w:rsid w:val="0046755F"/>
    <w:rsid w:val="00476453"/>
    <w:rsid w:val="00477365"/>
    <w:rsid w:val="004871D6"/>
    <w:rsid w:val="004911E7"/>
    <w:rsid w:val="00495B5F"/>
    <w:rsid w:val="004966F1"/>
    <w:rsid w:val="004B0FED"/>
    <w:rsid w:val="004B4FE3"/>
    <w:rsid w:val="004C030F"/>
    <w:rsid w:val="004C7C5A"/>
    <w:rsid w:val="004D4D42"/>
    <w:rsid w:val="004D52DE"/>
    <w:rsid w:val="004D5705"/>
    <w:rsid w:val="004E0CFC"/>
    <w:rsid w:val="004E0D43"/>
    <w:rsid w:val="004E22D3"/>
    <w:rsid w:val="004E32E8"/>
    <w:rsid w:val="004F1984"/>
    <w:rsid w:val="0050133E"/>
    <w:rsid w:val="00520B79"/>
    <w:rsid w:val="005213D6"/>
    <w:rsid w:val="005214CA"/>
    <w:rsid w:val="005224D2"/>
    <w:rsid w:val="005337DD"/>
    <w:rsid w:val="0054600C"/>
    <w:rsid w:val="005469BB"/>
    <w:rsid w:val="00547F6F"/>
    <w:rsid w:val="00552393"/>
    <w:rsid w:val="00560389"/>
    <w:rsid w:val="005665A6"/>
    <w:rsid w:val="0057068D"/>
    <w:rsid w:val="005742F4"/>
    <w:rsid w:val="00577122"/>
    <w:rsid w:val="005779DE"/>
    <w:rsid w:val="00581E79"/>
    <w:rsid w:val="00592D5B"/>
    <w:rsid w:val="0059603D"/>
    <w:rsid w:val="00596B35"/>
    <w:rsid w:val="005B310F"/>
    <w:rsid w:val="005B36FA"/>
    <w:rsid w:val="005B4C99"/>
    <w:rsid w:val="005C1EF4"/>
    <w:rsid w:val="005C6E4C"/>
    <w:rsid w:val="005C7605"/>
    <w:rsid w:val="005D052D"/>
    <w:rsid w:val="005D1939"/>
    <w:rsid w:val="005E0043"/>
    <w:rsid w:val="005F219D"/>
    <w:rsid w:val="00606336"/>
    <w:rsid w:val="00610F25"/>
    <w:rsid w:val="0061314D"/>
    <w:rsid w:val="00614572"/>
    <w:rsid w:val="00617DDB"/>
    <w:rsid w:val="006256B8"/>
    <w:rsid w:val="0063152E"/>
    <w:rsid w:val="006401DA"/>
    <w:rsid w:val="00646DA0"/>
    <w:rsid w:val="006528EE"/>
    <w:rsid w:val="006675C7"/>
    <w:rsid w:val="00670A40"/>
    <w:rsid w:val="0067317B"/>
    <w:rsid w:val="006769E5"/>
    <w:rsid w:val="006A4CB8"/>
    <w:rsid w:val="006A685D"/>
    <w:rsid w:val="006B1AC9"/>
    <w:rsid w:val="006B24BC"/>
    <w:rsid w:val="006B79FA"/>
    <w:rsid w:val="006C4FEF"/>
    <w:rsid w:val="006D1D84"/>
    <w:rsid w:val="006D2ED3"/>
    <w:rsid w:val="006D4369"/>
    <w:rsid w:val="006D73C4"/>
    <w:rsid w:val="006F123A"/>
    <w:rsid w:val="00703640"/>
    <w:rsid w:val="00706142"/>
    <w:rsid w:val="00706474"/>
    <w:rsid w:val="00711791"/>
    <w:rsid w:val="00714632"/>
    <w:rsid w:val="00715820"/>
    <w:rsid w:val="00732A84"/>
    <w:rsid w:val="00744497"/>
    <w:rsid w:val="007454F3"/>
    <w:rsid w:val="0074791B"/>
    <w:rsid w:val="00766D8C"/>
    <w:rsid w:val="007743B8"/>
    <w:rsid w:val="00780CDD"/>
    <w:rsid w:val="00781BED"/>
    <w:rsid w:val="00786A03"/>
    <w:rsid w:val="00790E44"/>
    <w:rsid w:val="00793004"/>
    <w:rsid w:val="00796444"/>
    <w:rsid w:val="00796C31"/>
    <w:rsid w:val="007A083D"/>
    <w:rsid w:val="007C2C6C"/>
    <w:rsid w:val="007D550D"/>
    <w:rsid w:val="007D57E8"/>
    <w:rsid w:val="007E3C97"/>
    <w:rsid w:val="007E4D43"/>
    <w:rsid w:val="007F370D"/>
    <w:rsid w:val="007F79FB"/>
    <w:rsid w:val="00806F41"/>
    <w:rsid w:val="00812195"/>
    <w:rsid w:val="00812755"/>
    <w:rsid w:val="00822B5D"/>
    <w:rsid w:val="00832B7E"/>
    <w:rsid w:val="00836FCE"/>
    <w:rsid w:val="008450BD"/>
    <w:rsid w:val="00845909"/>
    <w:rsid w:val="00860029"/>
    <w:rsid w:val="00860B43"/>
    <w:rsid w:val="0086397F"/>
    <w:rsid w:val="00897F7E"/>
    <w:rsid w:val="008A3BFE"/>
    <w:rsid w:val="008A7CE0"/>
    <w:rsid w:val="008B21DB"/>
    <w:rsid w:val="008B2599"/>
    <w:rsid w:val="008B3334"/>
    <w:rsid w:val="008C3163"/>
    <w:rsid w:val="008C7A14"/>
    <w:rsid w:val="008D0EBF"/>
    <w:rsid w:val="008D6A54"/>
    <w:rsid w:val="008D6B60"/>
    <w:rsid w:val="008D7C12"/>
    <w:rsid w:val="008E17EA"/>
    <w:rsid w:val="008E7608"/>
    <w:rsid w:val="00901E39"/>
    <w:rsid w:val="00903F2F"/>
    <w:rsid w:val="00905EAC"/>
    <w:rsid w:val="009119DC"/>
    <w:rsid w:val="009131FE"/>
    <w:rsid w:val="009162F5"/>
    <w:rsid w:val="00917924"/>
    <w:rsid w:val="00922FCB"/>
    <w:rsid w:val="00935D0A"/>
    <w:rsid w:val="00941E09"/>
    <w:rsid w:val="00942D61"/>
    <w:rsid w:val="00945DDC"/>
    <w:rsid w:val="00950240"/>
    <w:rsid w:val="00951D3B"/>
    <w:rsid w:val="00951E0A"/>
    <w:rsid w:val="009530A7"/>
    <w:rsid w:val="00961ED2"/>
    <w:rsid w:val="00963357"/>
    <w:rsid w:val="0097627C"/>
    <w:rsid w:val="00981BB2"/>
    <w:rsid w:val="009874D5"/>
    <w:rsid w:val="00996ED5"/>
    <w:rsid w:val="009973A0"/>
    <w:rsid w:val="00997EF2"/>
    <w:rsid w:val="009A0EFD"/>
    <w:rsid w:val="009A76C3"/>
    <w:rsid w:val="009C364A"/>
    <w:rsid w:val="009C3FBF"/>
    <w:rsid w:val="009D4536"/>
    <w:rsid w:val="009E29B9"/>
    <w:rsid w:val="009E4AEB"/>
    <w:rsid w:val="009F0FA9"/>
    <w:rsid w:val="009F15F9"/>
    <w:rsid w:val="00A07AE4"/>
    <w:rsid w:val="00A127B1"/>
    <w:rsid w:val="00A1404E"/>
    <w:rsid w:val="00A22B7F"/>
    <w:rsid w:val="00A26DE5"/>
    <w:rsid w:val="00A330F2"/>
    <w:rsid w:val="00A361E1"/>
    <w:rsid w:val="00A37679"/>
    <w:rsid w:val="00A445BD"/>
    <w:rsid w:val="00A45CF4"/>
    <w:rsid w:val="00A47048"/>
    <w:rsid w:val="00A5255A"/>
    <w:rsid w:val="00A5780B"/>
    <w:rsid w:val="00A61FA4"/>
    <w:rsid w:val="00A745A1"/>
    <w:rsid w:val="00A776A2"/>
    <w:rsid w:val="00A83F44"/>
    <w:rsid w:val="00A84278"/>
    <w:rsid w:val="00A84ABB"/>
    <w:rsid w:val="00A863B4"/>
    <w:rsid w:val="00AA1A3C"/>
    <w:rsid w:val="00AA696D"/>
    <w:rsid w:val="00AB69C2"/>
    <w:rsid w:val="00AC1A27"/>
    <w:rsid w:val="00AD11D2"/>
    <w:rsid w:val="00AD46E3"/>
    <w:rsid w:val="00AD5686"/>
    <w:rsid w:val="00AD6FD3"/>
    <w:rsid w:val="00AE5A58"/>
    <w:rsid w:val="00AF608D"/>
    <w:rsid w:val="00B02395"/>
    <w:rsid w:val="00B1659E"/>
    <w:rsid w:val="00B25B49"/>
    <w:rsid w:val="00B27DEF"/>
    <w:rsid w:val="00B40EA8"/>
    <w:rsid w:val="00B4357B"/>
    <w:rsid w:val="00B44208"/>
    <w:rsid w:val="00B5396E"/>
    <w:rsid w:val="00B57D7C"/>
    <w:rsid w:val="00B64F3E"/>
    <w:rsid w:val="00B70FE8"/>
    <w:rsid w:val="00B710DA"/>
    <w:rsid w:val="00B71CF0"/>
    <w:rsid w:val="00B72F11"/>
    <w:rsid w:val="00B751D2"/>
    <w:rsid w:val="00B81836"/>
    <w:rsid w:val="00B840CB"/>
    <w:rsid w:val="00B85260"/>
    <w:rsid w:val="00B864CB"/>
    <w:rsid w:val="00B86BB0"/>
    <w:rsid w:val="00B975BD"/>
    <w:rsid w:val="00B97D81"/>
    <w:rsid w:val="00BA1E8D"/>
    <w:rsid w:val="00BB2E6F"/>
    <w:rsid w:val="00BB3C73"/>
    <w:rsid w:val="00BB5883"/>
    <w:rsid w:val="00BC0187"/>
    <w:rsid w:val="00BC0583"/>
    <w:rsid w:val="00BC6754"/>
    <w:rsid w:val="00BD02F5"/>
    <w:rsid w:val="00BD1982"/>
    <w:rsid w:val="00BD5008"/>
    <w:rsid w:val="00BD6523"/>
    <w:rsid w:val="00BD6C55"/>
    <w:rsid w:val="00BF309F"/>
    <w:rsid w:val="00C0742B"/>
    <w:rsid w:val="00C07BD8"/>
    <w:rsid w:val="00C11B11"/>
    <w:rsid w:val="00C16429"/>
    <w:rsid w:val="00C23FB3"/>
    <w:rsid w:val="00C35670"/>
    <w:rsid w:val="00C40BF8"/>
    <w:rsid w:val="00C542FD"/>
    <w:rsid w:val="00C60D2D"/>
    <w:rsid w:val="00C62D37"/>
    <w:rsid w:val="00C700EF"/>
    <w:rsid w:val="00C77576"/>
    <w:rsid w:val="00C823C4"/>
    <w:rsid w:val="00C83773"/>
    <w:rsid w:val="00C96DA5"/>
    <w:rsid w:val="00CA7A4E"/>
    <w:rsid w:val="00CC7876"/>
    <w:rsid w:val="00CE37D4"/>
    <w:rsid w:val="00CE60D6"/>
    <w:rsid w:val="00D076E5"/>
    <w:rsid w:val="00D11B47"/>
    <w:rsid w:val="00D124F0"/>
    <w:rsid w:val="00D34C91"/>
    <w:rsid w:val="00D4495F"/>
    <w:rsid w:val="00D4660D"/>
    <w:rsid w:val="00D5068A"/>
    <w:rsid w:val="00D518FA"/>
    <w:rsid w:val="00D55935"/>
    <w:rsid w:val="00D67F17"/>
    <w:rsid w:val="00D83E00"/>
    <w:rsid w:val="00D847B0"/>
    <w:rsid w:val="00D84A7F"/>
    <w:rsid w:val="00D86569"/>
    <w:rsid w:val="00D8785C"/>
    <w:rsid w:val="00D952E4"/>
    <w:rsid w:val="00D95681"/>
    <w:rsid w:val="00D96FB0"/>
    <w:rsid w:val="00DB4200"/>
    <w:rsid w:val="00DB4303"/>
    <w:rsid w:val="00DC0359"/>
    <w:rsid w:val="00DC05CE"/>
    <w:rsid w:val="00DC20AE"/>
    <w:rsid w:val="00DC6FB3"/>
    <w:rsid w:val="00DE308B"/>
    <w:rsid w:val="00DF5BDC"/>
    <w:rsid w:val="00E0457D"/>
    <w:rsid w:val="00E16FE2"/>
    <w:rsid w:val="00E376D0"/>
    <w:rsid w:val="00E40871"/>
    <w:rsid w:val="00E43A8C"/>
    <w:rsid w:val="00E45F51"/>
    <w:rsid w:val="00E469DD"/>
    <w:rsid w:val="00E5086C"/>
    <w:rsid w:val="00E530F8"/>
    <w:rsid w:val="00E54316"/>
    <w:rsid w:val="00E56D07"/>
    <w:rsid w:val="00E7416F"/>
    <w:rsid w:val="00E81DCB"/>
    <w:rsid w:val="00E84650"/>
    <w:rsid w:val="00E86734"/>
    <w:rsid w:val="00EA2796"/>
    <w:rsid w:val="00EA2EFB"/>
    <w:rsid w:val="00EB022C"/>
    <w:rsid w:val="00EB0AE2"/>
    <w:rsid w:val="00EB11C5"/>
    <w:rsid w:val="00EB3381"/>
    <w:rsid w:val="00EB6A89"/>
    <w:rsid w:val="00ED0069"/>
    <w:rsid w:val="00ED036E"/>
    <w:rsid w:val="00ED10C8"/>
    <w:rsid w:val="00ED19AA"/>
    <w:rsid w:val="00ED537A"/>
    <w:rsid w:val="00ED5D01"/>
    <w:rsid w:val="00EE00F4"/>
    <w:rsid w:val="00EE1B63"/>
    <w:rsid w:val="00EE2372"/>
    <w:rsid w:val="00EF187D"/>
    <w:rsid w:val="00F04462"/>
    <w:rsid w:val="00F11778"/>
    <w:rsid w:val="00F130FE"/>
    <w:rsid w:val="00F24E04"/>
    <w:rsid w:val="00F45287"/>
    <w:rsid w:val="00F51D8F"/>
    <w:rsid w:val="00F60F3B"/>
    <w:rsid w:val="00F61E85"/>
    <w:rsid w:val="00F72A05"/>
    <w:rsid w:val="00F75838"/>
    <w:rsid w:val="00F76F3A"/>
    <w:rsid w:val="00F91F6E"/>
    <w:rsid w:val="00FB7843"/>
    <w:rsid w:val="00FD49C7"/>
    <w:rsid w:val="00FE5DE6"/>
    <w:rsid w:val="00FF5EA4"/>
    <w:rsid w:val="016814B1"/>
    <w:rsid w:val="01D60B10"/>
    <w:rsid w:val="02386B05"/>
    <w:rsid w:val="023F3E59"/>
    <w:rsid w:val="0281282A"/>
    <w:rsid w:val="02C848FD"/>
    <w:rsid w:val="02F67A3E"/>
    <w:rsid w:val="035937A7"/>
    <w:rsid w:val="038066A1"/>
    <w:rsid w:val="039A02CF"/>
    <w:rsid w:val="03BB7FBE"/>
    <w:rsid w:val="04172CB3"/>
    <w:rsid w:val="04263D68"/>
    <w:rsid w:val="0442423B"/>
    <w:rsid w:val="050339CA"/>
    <w:rsid w:val="05237BC9"/>
    <w:rsid w:val="055A3D99"/>
    <w:rsid w:val="05BC2F2E"/>
    <w:rsid w:val="061D0ABC"/>
    <w:rsid w:val="06450013"/>
    <w:rsid w:val="06540256"/>
    <w:rsid w:val="06B64A6C"/>
    <w:rsid w:val="075F46F8"/>
    <w:rsid w:val="07632E46"/>
    <w:rsid w:val="078057A6"/>
    <w:rsid w:val="078C5EC7"/>
    <w:rsid w:val="07AA45D1"/>
    <w:rsid w:val="07D77390"/>
    <w:rsid w:val="07DB29DD"/>
    <w:rsid w:val="084F09BE"/>
    <w:rsid w:val="0885365E"/>
    <w:rsid w:val="08BF2893"/>
    <w:rsid w:val="08D15B8E"/>
    <w:rsid w:val="08EF05D7"/>
    <w:rsid w:val="09271C52"/>
    <w:rsid w:val="09903C9B"/>
    <w:rsid w:val="099C619C"/>
    <w:rsid w:val="09CA187D"/>
    <w:rsid w:val="0A8A2498"/>
    <w:rsid w:val="0AEA2F37"/>
    <w:rsid w:val="0B09531E"/>
    <w:rsid w:val="0B21104E"/>
    <w:rsid w:val="0B7864B7"/>
    <w:rsid w:val="0B9730BE"/>
    <w:rsid w:val="0B9C06D5"/>
    <w:rsid w:val="0BC1013B"/>
    <w:rsid w:val="0BC35C62"/>
    <w:rsid w:val="0BCB2D68"/>
    <w:rsid w:val="0BE65DF4"/>
    <w:rsid w:val="0C7A0CCF"/>
    <w:rsid w:val="0C831895"/>
    <w:rsid w:val="0CA57A5D"/>
    <w:rsid w:val="0CC21526"/>
    <w:rsid w:val="0D3B3F1D"/>
    <w:rsid w:val="0DB5151F"/>
    <w:rsid w:val="0E016F15"/>
    <w:rsid w:val="0E045A0C"/>
    <w:rsid w:val="0E1E7AC7"/>
    <w:rsid w:val="0E6354DA"/>
    <w:rsid w:val="0EA24254"/>
    <w:rsid w:val="0ED4462A"/>
    <w:rsid w:val="0F557518"/>
    <w:rsid w:val="0F73799F"/>
    <w:rsid w:val="0F81030D"/>
    <w:rsid w:val="0FC42EDE"/>
    <w:rsid w:val="10047E7C"/>
    <w:rsid w:val="100827DD"/>
    <w:rsid w:val="102E3581"/>
    <w:rsid w:val="10A5002C"/>
    <w:rsid w:val="10B63FE7"/>
    <w:rsid w:val="10B93AD7"/>
    <w:rsid w:val="10CA7A92"/>
    <w:rsid w:val="11036B00"/>
    <w:rsid w:val="1134315E"/>
    <w:rsid w:val="114E77BC"/>
    <w:rsid w:val="11806D74"/>
    <w:rsid w:val="11DA1F57"/>
    <w:rsid w:val="11DD37F5"/>
    <w:rsid w:val="121511E1"/>
    <w:rsid w:val="121721BA"/>
    <w:rsid w:val="12555A81"/>
    <w:rsid w:val="125B3968"/>
    <w:rsid w:val="12DA2121"/>
    <w:rsid w:val="13070B2A"/>
    <w:rsid w:val="13216FBF"/>
    <w:rsid w:val="134C0171"/>
    <w:rsid w:val="1360648C"/>
    <w:rsid w:val="13E640E2"/>
    <w:rsid w:val="13FE3BFB"/>
    <w:rsid w:val="14002B3D"/>
    <w:rsid w:val="143040B0"/>
    <w:rsid w:val="14406463"/>
    <w:rsid w:val="14774DBB"/>
    <w:rsid w:val="14D94748"/>
    <w:rsid w:val="15451DDD"/>
    <w:rsid w:val="156F0C08"/>
    <w:rsid w:val="156F29B6"/>
    <w:rsid w:val="15872B45"/>
    <w:rsid w:val="15D37529"/>
    <w:rsid w:val="160E6673"/>
    <w:rsid w:val="16361726"/>
    <w:rsid w:val="166E0EC0"/>
    <w:rsid w:val="16BC2DB5"/>
    <w:rsid w:val="17025282"/>
    <w:rsid w:val="174B2FAF"/>
    <w:rsid w:val="17836BED"/>
    <w:rsid w:val="17871E97"/>
    <w:rsid w:val="178928FF"/>
    <w:rsid w:val="17D905BB"/>
    <w:rsid w:val="17DD00AB"/>
    <w:rsid w:val="1807759E"/>
    <w:rsid w:val="183B3024"/>
    <w:rsid w:val="1845231F"/>
    <w:rsid w:val="18495740"/>
    <w:rsid w:val="188350F6"/>
    <w:rsid w:val="18AB12AB"/>
    <w:rsid w:val="18E629FF"/>
    <w:rsid w:val="190A3122"/>
    <w:rsid w:val="19423DDD"/>
    <w:rsid w:val="19D179FC"/>
    <w:rsid w:val="19D96F98"/>
    <w:rsid w:val="1A734E8B"/>
    <w:rsid w:val="1AC437A4"/>
    <w:rsid w:val="1AE96777"/>
    <w:rsid w:val="1AEB78DE"/>
    <w:rsid w:val="1B193AF0"/>
    <w:rsid w:val="1B300E3A"/>
    <w:rsid w:val="1B46240B"/>
    <w:rsid w:val="1BB86B08"/>
    <w:rsid w:val="1BBC447B"/>
    <w:rsid w:val="1BD9502D"/>
    <w:rsid w:val="1C4C53BB"/>
    <w:rsid w:val="1C5343BF"/>
    <w:rsid w:val="1C76287C"/>
    <w:rsid w:val="1CC46C32"/>
    <w:rsid w:val="1D295B40"/>
    <w:rsid w:val="1D5030CD"/>
    <w:rsid w:val="1E85032F"/>
    <w:rsid w:val="1EC75611"/>
    <w:rsid w:val="1ECE4BF1"/>
    <w:rsid w:val="1EE44415"/>
    <w:rsid w:val="1F204D21"/>
    <w:rsid w:val="1FA3607E"/>
    <w:rsid w:val="1FC57DA2"/>
    <w:rsid w:val="1FE742C4"/>
    <w:rsid w:val="20051D22"/>
    <w:rsid w:val="200932AB"/>
    <w:rsid w:val="201725C8"/>
    <w:rsid w:val="20332E8D"/>
    <w:rsid w:val="20AA51EA"/>
    <w:rsid w:val="20B322F1"/>
    <w:rsid w:val="2126769F"/>
    <w:rsid w:val="213C22E6"/>
    <w:rsid w:val="21893052"/>
    <w:rsid w:val="2237485C"/>
    <w:rsid w:val="227C3FA3"/>
    <w:rsid w:val="22BA5BB9"/>
    <w:rsid w:val="22C5455D"/>
    <w:rsid w:val="22F6346B"/>
    <w:rsid w:val="235C6C70"/>
    <w:rsid w:val="235D02F2"/>
    <w:rsid w:val="237044C9"/>
    <w:rsid w:val="23A203FB"/>
    <w:rsid w:val="23AB2B2B"/>
    <w:rsid w:val="23B32608"/>
    <w:rsid w:val="241C63FF"/>
    <w:rsid w:val="24833D88"/>
    <w:rsid w:val="249B5576"/>
    <w:rsid w:val="24AE615D"/>
    <w:rsid w:val="24CC1BD3"/>
    <w:rsid w:val="25273FA6"/>
    <w:rsid w:val="25B000A0"/>
    <w:rsid w:val="26F3111D"/>
    <w:rsid w:val="26F70A5D"/>
    <w:rsid w:val="2722525F"/>
    <w:rsid w:val="272746A0"/>
    <w:rsid w:val="27465428"/>
    <w:rsid w:val="27A6495D"/>
    <w:rsid w:val="27C748D4"/>
    <w:rsid w:val="28152FAA"/>
    <w:rsid w:val="289475AA"/>
    <w:rsid w:val="28963433"/>
    <w:rsid w:val="28EC366C"/>
    <w:rsid w:val="291853E7"/>
    <w:rsid w:val="293D4E4D"/>
    <w:rsid w:val="296B64C0"/>
    <w:rsid w:val="2A070FB7"/>
    <w:rsid w:val="2A387627"/>
    <w:rsid w:val="2ACD5752"/>
    <w:rsid w:val="2AE13EFE"/>
    <w:rsid w:val="2AFF0E06"/>
    <w:rsid w:val="2B065713"/>
    <w:rsid w:val="2B0674C1"/>
    <w:rsid w:val="2B231E21"/>
    <w:rsid w:val="2B3D7387"/>
    <w:rsid w:val="2BE05F64"/>
    <w:rsid w:val="2C2A1C11"/>
    <w:rsid w:val="2C3C763E"/>
    <w:rsid w:val="2C532BDA"/>
    <w:rsid w:val="2C5D1363"/>
    <w:rsid w:val="2CD535EF"/>
    <w:rsid w:val="2E204D3E"/>
    <w:rsid w:val="2E277E7A"/>
    <w:rsid w:val="2E4B1DBB"/>
    <w:rsid w:val="2EEF7774"/>
    <w:rsid w:val="2EFE0BDB"/>
    <w:rsid w:val="2F2D07B2"/>
    <w:rsid w:val="2F5C7FF7"/>
    <w:rsid w:val="2F633134"/>
    <w:rsid w:val="2F6767FD"/>
    <w:rsid w:val="2FAD2601"/>
    <w:rsid w:val="2FC130E0"/>
    <w:rsid w:val="2FF344B8"/>
    <w:rsid w:val="301B57BD"/>
    <w:rsid w:val="301F34FF"/>
    <w:rsid w:val="302428C3"/>
    <w:rsid w:val="305C6809"/>
    <w:rsid w:val="30714674"/>
    <w:rsid w:val="307A0735"/>
    <w:rsid w:val="30C65728"/>
    <w:rsid w:val="317A57A7"/>
    <w:rsid w:val="31B93075"/>
    <w:rsid w:val="31C96AF4"/>
    <w:rsid w:val="31EC7411"/>
    <w:rsid w:val="320D7387"/>
    <w:rsid w:val="323D4DDE"/>
    <w:rsid w:val="32B40B51"/>
    <w:rsid w:val="32E225C2"/>
    <w:rsid w:val="3316226B"/>
    <w:rsid w:val="3327184A"/>
    <w:rsid w:val="33291F9F"/>
    <w:rsid w:val="333948D8"/>
    <w:rsid w:val="33AE384D"/>
    <w:rsid w:val="34242F97"/>
    <w:rsid w:val="343706EB"/>
    <w:rsid w:val="345474EF"/>
    <w:rsid w:val="34B85CD0"/>
    <w:rsid w:val="34D449C8"/>
    <w:rsid w:val="34F8431E"/>
    <w:rsid w:val="350C7DCA"/>
    <w:rsid w:val="351647A5"/>
    <w:rsid w:val="35491FA1"/>
    <w:rsid w:val="355A77EA"/>
    <w:rsid w:val="35A16764"/>
    <w:rsid w:val="35A324DC"/>
    <w:rsid w:val="35FA6E74"/>
    <w:rsid w:val="364C2B74"/>
    <w:rsid w:val="36A35226"/>
    <w:rsid w:val="36D3294D"/>
    <w:rsid w:val="36E94D26"/>
    <w:rsid w:val="36E96615"/>
    <w:rsid w:val="37391D72"/>
    <w:rsid w:val="3814146F"/>
    <w:rsid w:val="38163439"/>
    <w:rsid w:val="386121DB"/>
    <w:rsid w:val="38800531"/>
    <w:rsid w:val="389C2486"/>
    <w:rsid w:val="389C54E6"/>
    <w:rsid w:val="38A66A21"/>
    <w:rsid w:val="38B13254"/>
    <w:rsid w:val="392602ED"/>
    <w:rsid w:val="39290F4A"/>
    <w:rsid w:val="393B0C7E"/>
    <w:rsid w:val="39783C80"/>
    <w:rsid w:val="399D5494"/>
    <w:rsid w:val="3A0B2CF9"/>
    <w:rsid w:val="3A68163E"/>
    <w:rsid w:val="3B62505D"/>
    <w:rsid w:val="3B660234"/>
    <w:rsid w:val="3B842468"/>
    <w:rsid w:val="3BAF22F3"/>
    <w:rsid w:val="3BD75B04"/>
    <w:rsid w:val="3C101D43"/>
    <w:rsid w:val="3C2A13DD"/>
    <w:rsid w:val="3C526CEF"/>
    <w:rsid w:val="3C687FDC"/>
    <w:rsid w:val="3C991F43"/>
    <w:rsid w:val="3CD96D5A"/>
    <w:rsid w:val="3D883346"/>
    <w:rsid w:val="3DCE20C0"/>
    <w:rsid w:val="3DD30FA7"/>
    <w:rsid w:val="3E0B3C1E"/>
    <w:rsid w:val="3E173A67"/>
    <w:rsid w:val="3E281D66"/>
    <w:rsid w:val="3E5A1BA6"/>
    <w:rsid w:val="3EE6516E"/>
    <w:rsid w:val="3F055FB6"/>
    <w:rsid w:val="3F43088C"/>
    <w:rsid w:val="3F7153F9"/>
    <w:rsid w:val="3FC83109"/>
    <w:rsid w:val="3FDE5C0F"/>
    <w:rsid w:val="3FF73B50"/>
    <w:rsid w:val="40424193"/>
    <w:rsid w:val="407B7706"/>
    <w:rsid w:val="40980764"/>
    <w:rsid w:val="413B4F48"/>
    <w:rsid w:val="413C5593"/>
    <w:rsid w:val="417F1E5D"/>
    <w:rsid w:val="41890D99"/>
    <w:rsid w:val="418C67A2"/>
    <w:rsid w:val="41B63597"/>
    <w:rsid w:val="42240501"/>
    <w:rsid w:val="423F358D"/>
    <w:rsid w:val="42A86388"/>
    <w:rsid w:val="42F56341"/>
    <w:rsid w:val="432033BE"/>
    <w:rsid w:val="43280C11"/>
    <w:rsid w:val="438439C9"/>
    <w:rsid w:val="440A3F0E"/>
    <w:rsid w:val="44866207"/>
    <w:rsid w:val="44FA7C3F"/>
    <w:rsid w:val="45034D45"/>
    <w:rsid w:val="45A831F7"/>
    <w:rsid w:val="45D1274E"/>
    <w:rsid w:val="45D9084C"/>
    <w:rsid w:val="45FC45C1"/>
    <w:rsid w:val="46307F81"/>
    <w:rsid w:val="463D7DE3"/>
    <w:rsid w:val="467C4DAF"/>
    <w:rsid w:val="46804174"/>
    <w:rsid w:val="46BB51AC"/>
    <w:rsid w:val="46C6468B"/>
    <w:rsid w:val="46DF2E74"/>
    <w:rsid w:val="46ED7A5B"/>
    <w:rsid w:val="470D3E12"/>
    <w:rsid w:val="47215957"/>
    <w:rsid w:val="47925F0D"/>
    <w:rsid w:val="48270D4B"/>
    <w:rsid w:val="48532C02"/>
    <w:rsid w:val="48B704BD"/>
    <w:rsid w:val="48FB5D34"/>
    <w:rsid w:val="49296D45"/>
    <w:rsid w:val="499C3073"/>
    <w:rsid w:val="49FB248F"/>
    <w:rsid w:val="4A176B9D"/>
    <w:rsid w:val="4A34774F"/>
    <w:rsid w:val="4A435BE4"/>
    <w:rsid w:val="4ACA3C0F"/>
    <w:rsid w:val="4B143B2C"/>
    <w:rsid w:val="4B3043BA"/>
    <w:rsid w:val="4B3B0ADB"/>
    <w:rsid w:val="4B4614E8"/>
    <w:rsid w:val="4B4D4D96"/>
    <w:rsid w:val="4BED4059"/>
    <w:rsid w:val="4C2A7328"/>
    <w:rsid w:val="4C63256E"/>
    <w:rsid w:val="4C6360CA"/>
    <w:rsid w:val="4C745029"/>
    <w:rsid w:val="4CCA7EF7"/>
    <w:rsid w:val="4CD07F4E"/>
    <w:rsid w:val="4D1E01BE"/>
    <w:rsid w:val="4D2E66D8"/>
    <w:rsid w:val="4D301632"/>
    <w:rsid w:val="4D9A0AFF"/>
    <w:rsid w:val="4E2B2C17"/>
    <w:rsid w:val="4E9B1B4B"/>
    <w:rsid w:val="4EC15329"/>
    <w:rsid w:val="4F02066C"/>
    <w:rsid w:val="4FB235F0"/>
    <w:rsid w:val="4FE37C4D"/>
    <w:rsid w:val="4FF17EF4"/>
    <w:rsid w:val="501C5615"/>
    <w:rsid w:val="502D5D30"/>
    <w:rsid w:val="50463D38"/>
    <w:rsid w:val="505446A7"/>
    <w:rsid w:val="50F32112"/>
    <w:rsid w:val="510330F7"/>
    <w:rsid w:val="510F05CE"/>
    <w:rsid w:val="511C5981"/>
    <w:rsid w:val="513F5357"/>
    <w:rsid w:val="517062B7"/>
    <w:rsid w:val="517174DB"/>
    <w:rsid w:val="517B3EB5"/>
    <w:rsid w:val="51EB2DE9"/>
    <w:rsid w:val="522B768A"/>
    <w:rsid w:val="523522B6"/>
    <w:rsid w:val="52432C25"/>
    <w:rsid w:val="52A35472"/>
    <w:rsid w:val="52E13C89"/>
    <w:rsid w:val="52E837CD"/>
    <w:rsid w:val="531279FF"/>
    <w:rsid w:val="532F4F57"/>
    <w:rsid w:val="53541A0E"/>
    <w:rsid w:val="53CC6C4A"/>
    <w:rsid w:val="53EE4E13"/>
    <w:rsid w:val="5422686A"/>
    <w:rsid w:val="546155E5"/>
    <w:rsid w:val="54BE47E5"/>
    <w:rsid w:val="54FE1085"/>
    <w:rsid w:val="5540169E"/>
    <w:rsid w:val="55747599"/>
    <w:rsid w:val="558325EE"/>
    <w:rsid w:val="55AE2AB1"/>
    <w:rsid w:val="55B160F8"/>
    <w:rsid w:val="55D63DB0"/>
    <w:rsid w:val="5621327D"/>
    <w:rsid w:val="56312D95"/>
    <w:rsid w:val="567B0847"/>
    <w:rsid w:val="567E247E"/>
    <w:rsid w:val="56A65531"/>
    <w:rsid w:val="56C97471"/>
    <w:rsid w:val="57AD28EF"/>
    <w:rsid w:val="57C70572"/>
    <w:rsid w:val="57D4431F"/>
    <w:rsid w:val="57F85593"/>
    <w:rsid w:val="5827444F"/>
    <w:rsid w:val="58443E52"/>
    <w:rsid w:val="586631C9"/>
    <w:rsid w:val="589232A3"/>
    <w:rsid w:val="58B71C77"/>
    <w:rsid w:val="58ED57BC"/>
    <w:rsid w:val="591730EE"/>
    <w:rsid w:val="59380A9D"/>
    <w:rsid w:val="594F0101"/>
    <w:rsid w:val="595B0854"/>
    <w:rsid w:val="59A815C0"/>
    <w:rsid w:val="59C503C4"/>
    <w:rsid w:val="5A5F4374"/>
    <w:rsid w:val="5A845B89"/>
    <w:rsid w:val="5A93401E"/>
    <w:rsid w:val="5B1D68C5"/>
    <w:rsid w:val="5B977B3E"/>
    <w:rsid w:val="5BA72CE5"/>
    <w:rsid w:val="5BED3C02"/>
    <w:rsid w:val="5C806824"/>
    <w:rsid w:val="5CF50FC0"/>
    <w:rsid w:val="5CFA4828"/>
    <w:rsid w:val="5D4635C9"/>
    <w:rsid w:val="5D6B3030"/>
    <w:rsid w:val="5DA327CA"/>
    <w:rsid w:val="5DCA7D57"/>
    <w:rsid w:val="5DF23751"/>
    <w:rsid w:val="5E7303EE"/>
    <w:rsid w:val="5E875C48"/>
    <w:rsid w:val="5E9C4BB6"/>
    <w:rsid w:val="5EA031AD"/>
    <w:rsid w:val="5EBD54F9"/>
    <w:rsid w:val="5ED66BCF"/>
    <w:rsid w:val="5F0D4B81"/>
    <w:rsid w:val="5F2A5B0D"/>
    <w:rsid w:val="5F630463"/>
    <w:rsid w:val="5F7408C2"/>
    <w:rsid w:val="5FBB6258"/>
    <w:rsid w:val="603911C4"/>
    <w:rsid w:val="60854409"/>
    <w:rsid w:val="60A228FE"/>
    <w:rsid w:val="60C32DE6"/>
    <w:rsid w:val="60E03E54"/>
    <w:rsid w:val="612C5F0B"/>
    <w:rsid w:val="61840D96"/>
    <w:rsid w:val="61B548B6"/>
    <w:rsid w:val="625D4A21"/>
    <w:rsid w:val="627B5AC3"/>
    <w:rsid w:val="62856942"/>
    <w:rsid w:val="62A80496"/>
    <w:rsid w:val="62B2525D"/>
    <w:rsid w:val="631D4DCC"/>
    <w:rsid w:val="632717A7"/>
    <w:rsid w:val="633778BF"/>
    <w:rsid w:val="63396F04"/>
    <w:rsid w:val="63581625"/>
    <w:rsid w:val="63E1229E"/>
    <w:rsid w:val="641F55CF"/>
    <w:rsid w:val="646B7DB9"/>
    <w:rsid w:val="64722EF6"/>
    <w:rsid w:val="647B39DD"/>
    <w:rsid w:val="64921199"/>
    <w:rsid w:val="64B72EBA"/>
    <w:rsid w:val="64BE613B"/>
    <w:rsid w:val="64CF20F6"/>
    <w:rsid w:val="64E55F38"/>
    <w:rsid w:val="64FB738F"/>
    <w:rsid w:val="65206DF6"/>
    <w:rsid w:val="653A32E8"/>
    <w:rsid w:val="653B6E29"/>
    <w:rsid w:val="657F1D6E"/>
    <w:rsid w:val="659F5F6D"/>
    <w:rsid w:val="65E47E23"/>
    <w:rsid w:val="66F71610"/>
    <w:rsid w:val="670A1B0C"/>
    <w:rsid w:val="672F50CE"/>
    <w:rsid w:val="67CE149F"/>
    <w:rsid w:val="67DA7730"/>
    <w:rsid w:val="67DF08A2"/>
    <w:rsid w:val="67DF4D46"/>
    <w:rsid w:val="67DF6AF4"/>
    <w:rsid w:val="68190258"/>
    <w:rsid w:val="681D13CB"/>
    <w:rsid w:val="68570199"/>
    <w:rsid w:val="68664B20"/>
    <w:rsid w:val="6885769C"/>
    <w:rsid w:val="68CD4B9F"/>
    <w:rsid w:val="68DE4FFE"/>
    <w:rsid w:val="69274C15"/>
    <w:rsid w:val="692E7D33"/>
    <w:rsid w:val="696C43B8"/>
    <w:rsid w:val="69923A21"/>
    <w:rsid w:val="69B07910"/>
    <w:rsid w:val="69B8088F"/>
    <w:rsid w:val="6A194EEC"/>
    <w:rsid w:val="6A1C1B07"/>
    <w:rsid w:val="6A2D2E50"/>
    <w:rsid w:val="6A334ED5"/>
    <w:rsid w:val="6A452420"/>
    <w:rsid w:val="6B142F59"/>
    <w:rsid w:val="6B1A6C63"/>
    <w:rsid w:val="6B2934E3"/>
    <w:rsid w:val="6B497849"/>
    <w:rsid w:val="6B875F25"/>
    <w:rsid w:val="6B9C3CAA"/>
    <w:rsid w:val="6BD85E8F"/>
    <w:rsid w:val="6C1F1BB5"/>
    <w:rsid w:val="6C1F4FE6"/>
    <w:rsid w:val="6CB342AF"/>
    <w:rsid w:val="6CEF77DA"/>
    <w:rsid w:val="6D264F59"/>
    <w:rsid w:val="6D3F3BE4"/>
    <w:rsid w:val="6D5835D1"/>
    <w:rsid w:val="6D5C4743"/>
    <w:rsid w:val="6D657A9C"/>
    <w:rsid w:val="6D6B4986"/>
    <w:rsid w:val="6D716441"/>
    <w:rsid w:val="6DEA61F3"/>
    <w:rsid w:val="6E032E11"/>
    <w:rsid w:val="6E0C6169"/>
    <w:rsid w:val="6E2A65EF"/>
    <w:rsid w:val="6EAA7474"/>
    <w:rsid w:val="6ECC2782"/>
    <w:rsid w:val="6EF56BFD"/>
    <w:rsid w:val="6EFE1F56"/>
    <w:rsid w:val="6F1302E4"/>
    <w:rsid w:val="6F413DD2"/>
    <w:rsid w:val="6F4E04A2"/>
    <w:rsid w:val="6F795A80"/>
    <w:rsid w:val="6F8D5088"/>
    <w:rsid w:val="6FAC7C04"/>
    <w:rsid w:val="6FCA1E38"/>
    <w:rsid w:val="7012558D"/>
    <w:rsid w:val="7053007F"/>
    <w:rsid w:val="706758D9"/>
    <w:rsid w:val="706C2EEF"/>
    <w:rsid w:val="70A46B2D"/>
    <w:rsid w:val="70E707C8"/>
    <w:rsid w:val="718B55F7"/>
    <w:rsid w:val="71C50B09"/>
    <w:rsid w:val="71E511AB"/>
    <w:rsid w:val="72274916"/>
    <w:rsid w:val="722C7C1F"/>
    <w:rsid w:val="72424949"/>
    <w:rsid w:val="72710C91"/>
    <w:rsid w:val="73075151"/>
    <w:rsid w:val="73412411"/>
    <w:rsid w:val="735253CE"/>
    <w:rsid w:val="73702CF6"/>
    <w:rsid w:val="73B06E1B"/>
    <w:rsid w:val="73EB05CF"/>
    <w:rsid w:val="74145D78"/>
    <w:rsid w:val="746E5488"/>
    <w:rsid w:val="747B7BA5"/>
    <w:rsid w:val="74CA6436"/>
    <w:rsid w:val="74E25E76"/>
    <w:rsid w:val="74FA31C0"/>
    <w:rsid w:val="752D7F87"/>
    <w:rsid w:val="75402E92"/>
    <w:rsid w:val="75800614"/>
    <w:rsid w:val="75A5137D"/>
    <w:rsid w:val="75C37A55"/>
    <w:rsid w:val="760A7432"/>
    <w:rsid w:val="765A1E10"/>
    <w:rsid w:val="766B09DE"/>
    <w:rsid w:val="767D03EF"/>
    <w:rsid w:val="76B4114C"/>
    <w:rsid w:val="76EF6628"/>
    <w:rsid w:val="76FD6F97"/>
    <w:rsid w:val="77732DB5"/>
    <w:rsid w:val="77903967"/>
    <w:rsid w:val="77F35CA4"/>
    <w:rsid w:val="77F64FCF"/>
    <w:rsid w:val="78084C42"/>
    <w:rsid w:val="780C0457"/>
    <w:rsid w:val="78280044"/>
    <w:rsid w:val="78411105"/>
    <w:rsid w:val="78564BB1"/>
    <w:rsid w:val="78570929"/>
    <w:rsid w:val="78D67BCB"/>
    <w:rsid w:val="78DB50B6"/>
    <w:rsid w:val="798773F0"/>
    <w:rsid w:val="798E037A"/>
    <w:rsid w:val="79CE69C9"/>
    <w:rsid w:val="79FC61CB"/>
    <w:rsid w:val="7A1C14E2"/>
    <w:rsid w:val="7A49604F"/>
    <w:rsid w:val="7A594721"/>
    <w:rsid w:val="7A884099"/>
    <w:rsid w:val="7AA8546C"/>
    <w:rsid w:val="7AEF309B"/>
    <w:rsid w:val="7C0D37D8"/>
    <w:rsid w:val="7C2154D6"/>
    <w:rsid w:val="7C332134"/>
    <w:rsid w:val="7C417926"/>
    <w:rsid w:val="7C830FFA"/>
    <w:rsid w:val="7C8D66C7"/>
    <w:rsid w:val="7C914409"/>
    <w:rsid w:val="7CAC1243"/>
    <w:rsid w:val="7D8531C9"/>
    <w:rsid w:val="7D9D0B8C"/>
    <w:rsid w:val="7E026C41"/>
    <w:rsid w:val="7E4123ED"/>
    <w:rsid w:val="7EC046B1"/>
    <w:rsid w:val="7EC62364"/>
    <w:rsid w:val="7EDA196C"/>
    <w:rsid w:val="7EE03426"/>
    <w:rsid w:val="7F0D1D41"/>
    <w:rsid w:val="7F263665"/>
    <w:rsid w:val="7F2E23E3"/>
    <w:rsid w:val="7F8042C1"/>
    <w:rsid w:val="7FB10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ind w:firstLine="425"/>
      <w:outlineLvl w:val="0"/>
    </w:pPr>
    <w:rPr>
      <w:b/>
      <w:bCs/>
      <w:i/>
      <w:iCs/>
      <w:sz w:val="52"/>
      <w:szCs w:val="20"/>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论文正文"/>
    <w:basedOn w:val="1"/>
    <w:qFormat/>
    <w:uiPriority w:val="0"/>
    <w:pPr>
      <w:spacing w:line="400" w:lineRule="exact"/>
      <w:ind w:firstLine="200" w:firstLineChars="200"/>
      <w:textAlignment w:val="center"/>
    </w:pPr>
    <w:rPr>
      <w:rFonts w:cs="宋体"/>
      <w:sz w:val="24"/>
      <w:szCs w:val="21"/>
    </w:rPr>
  </w:style>
  <w:style w:type="paragraph" w:styleId="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9"/>
    <w:qFormat/>
    <w:uiPriority w:val="0"/>
    <w:pPr>
      <w:shd w:val="clear" w:color="auto" w:fill="000080"/>
    </w:pPr>
  </w:style>
  <w:style w:type="paragraph" w:styleId="9">
    <w:name w:val="annotation text"/>
    <w:basedOn w:val="1"/>
    <w:link w:val="78"/>
    <w:qFormat/>
    <w:uiPriority w:val="0"/>
    <w:pPr>
      <w:jc w:val="left"/>
    </w:pPr>
  </w:style>
  <w:style w:type="paragraph" w:styleId="10">
    <w:name w:val="Body Text 3"/>
    <w:basedOn w:val="1"/>
    <w:link w:val="58"/>
    <w:qFormat/>
    <w:uiPriority w:val="0"/>
    <w:pPr>
      <w:spacing w:after="120"/>
    </w:pPr>
    <w:rPr>
      <w:sz w:val="16"/>
      <w:szCs w:val="16"/>
    </w:rPr>
  </w:style>
  <w:style w:type="paragraph" w:styleId="11">
    <w:name w:val="Body Text"/>
    <w:basedOn w:val="1"/>
    <w:link w:val="57"/>
    <w:qFormat/>
    <w:uiPriority w:val="0"/>
    <w:pPr>
      <w:spacing w:after="120"/>
    </w:pPr>
  </w:style>
  <w:style w:type="paragraph" w:styleId="12">
    <w:name w:val="Body Text Indent"/>
    <w:basedOn w:val="1"/>
    <w:next w:val="1"/>
    <w:link w:val="61"/>
    <w:qFormat/>
    <w:uiPriority w:val="99"/>
    <w:pPr>
      <w:spacing w:line="360" w:lineRule="auto"/>
      <w:ind w:firstLine="420"/>
    </w:pPr>
    <w:rPr>
      <w:rFonts w:asciiTheme="minorHAnsi" w:hAnsiTheme="minorHAnsi" w:eastAsiaTheme="minorEastAsia" w:cstheme="minorBidi"/>
      <w:sz w:val="24"/>
    </w:rPr>
  </w:style>
  <w:style w:type="paragraph" w:styleId="13">
    <w:name w:val="List Number 3"/>
    <w:basedOn w:val="1"/>
    <w:qFormat/>
    <w:uiPriority w:val="0"/>
    <w:pPr>
      <w:tabs>
        <w:tab w:val="left" w:pos="1200"/>
      </w:tabs>
      <w:ind w:left="1200" w:leftChars="400" w:hanging="360" w:hangingChars="200"/>
    </w:pPr>
  </w:style>
  <w:style w:type="paragraph" w:styleId="14">
    <w:name w:val="List 2"/>
    <w:basedOn w:val="1"/>
    <w:qFormat/>
    <w:uiPriority w:val="0"/>
    <w:pPr>
      <w:ind w:left="100" w:leftChars="200" w:hanging="200" w:hangingChars="200"/>
    </w:pPr>
  </w:style>
  <w:style w:type="paragraph" w:styleId="15">
    <w:name w:val="toc 3"/>
    <w:basedOn w:val="1"/>
    <w:next w:val="1"/>
    <w:qFormat/>
    <w:uiPriority w:val="39"/>
    <w:pPr>
      <w:ind w:left="840" w:leftChars="400"/>
    </w:pPr>
  </w:style>
  <w:style w:type="paragraph" w:styleId="16">
    <w:name w:val="Plain Text"/>
    <w:basedOn w:val="1"/>
    <w:link w:val="60"/>
    <w:qFormat/>
    <w:uiPriority w:val="0"/>
    <w:pPr>
      <w:spacing w:beforeLines="50" w:afterLines="50" w:line="400" w:lineRule="exact"/>
    </w:pPr>
    <w:rPr>
      <w:rFonts w:ascii="宋体" w:hAnsi="Courier New" w:cstheme="minorBidi"/>
      <w:sz w:val="24"/>
    </w:rPr>
  </w:style>
  <w:style w:type="paragraph" w:styleId="17">
    <w:name w:val="Date"/>
    <w:basedOn w:val="1"/>
    <w:next w:val="1"/>
    <w:link w:val="56"/>
    <w:qFormat/>
    <w:uiPriority w:val="0"/>
    <w:pPr>
      <w:ind w:left="100" w:leftChars="2500"/>
    </w:pPr>
  </w:style>
  <w:style w:type="paragraph" w:styleId="18">
    <w:name w:val="Body Text Indent 2"/>
    <w:basedOn w:val="1"/>
    <w:link w:val="65"/>
    <w:qFormat/>
    <w:uiPriority w:val="0"/>
    <w:pPr>
      <w:snapToGrid w:val="0"/>
      <w:ind w:firstLine="542" w:firstLineChars="225"/>
    </w:pPr>
    <w:rPr>
      <w:rFonts w:ascii="仿宋_GB2312" w:hAnsi="宋体" w:cs="Arial"/>
      <w:b/>
      <w:bCs/>
      <w:color w:val="000000"/>
      <w:sz w:val="24"/>
    </w:rPr>
  </w:style>
  <w:style w:type="paragraph" w:styleId="19">
    <w:name w:val="Balloon Text"/>
    <w:basedOn w:val="1"/>
    <w:link w:val="55"/>
    <w:qFormat/>
    <w:uiPriority w:val="0"/>
    <w:rPr>
      <w:sz w:val="18"/>
      <w:szCs w:val="18"/>
    </w:rPr>
  </w:style>
  <w:style w:type="paragraph" w:styleId="20">
    <w:name w:val="footer"/>
    <w:basedOn w:val="1"/>
    <w:link w:val="64"/>
    <w:qFormat/>
    <w:uiPriority w:val="0"/>
    <w:pPr>
      <w:tabs>
        <w:tab w:val="center" w:pos="4153"/>
        <w:tab w:val="right" w:pos="8306"/>
      </w:tabs>
      <w:snapToGrid w:val="0"/>
      <w:jc w:val="left"/>
    </w:pPr>
    <w:rPr>
      <w:rFonts w:ascii="Calibri" w:hAnsi="Calibri" w:cstheme="minorBidi"/>
      <w:sz w:val="18"/>
      <w:szCs w:val="18"/>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rFonts w:ascii="Calibri" w:hAnsi="Calibri" w:cstheme="minorBidi"/>
      <w:sz w:val="18"/>
      <w:szCs w:val="18"/>
    </w:rPr>
  </w:style>
  <w:style w:type="paragraph" w:styleId="22">
    <w:name w:val="toc 1"/>
    <w:basedOn w:val="1"/>
    <w:next w:val="1"/>
    <w:qFormat/>
    <w:uiPriority w:val="39"/>
    <w:pPr>
      <w:tabs>
        <w:tab w:val="right" w:leader="dot" w:pos="8630"/>
      </w:tabs>
      <w:spacing w:line="540" w:lineRule="exact"/>
    </w:pPr>
  </w:style>
  <w:style w:type="paragraph" w:styleId="23">
    <w:name w:val="List"/>
    <w:basedOn w:val="1"/>
    <w:qFormat/>
    <w:uiPriority w:val="0"/>
    <w:pPr>
      <w:ind w:left="200" w:hanging="200" w:hangingChars="200"/>
    </w:pPr>
  </w:style>
  <w:style w:type="paragraph" w:styleId="24">
    <w:name w:val="Body Text Indent 3"/>
    <w:basedOn w:val="1"/>
    <w:link w:val="53"/>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Body Text 2"/>
    <w:basedOn w:val="1"/>
    <w:link w:val="63"/>
    <w:qFormat/>
    <w:uiPriority w:val="0"/>
    <w:pPr>
      <w:spacing w:after="120" w:line="480" w:lineRule="auto"/>
    </w:pPr>
  </w:style>
  <w:style w:type="paragraph" w:styleId="2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annotation subject"/>
    <w:basedOn w:val="9"/>
    <w:next w:val="9"/>
    <w:link w:val="79"/>
    <w:qFormat/>
    <w:uiPriority w:val="0"/>
    <w:rPr>
      <w:b/>
      <w:bCs/>
      <w:szCs w:val="20"/>
    </w:rPr>
  </w:style>
  <w:style w:type="paragraph" w:styleId="30">
    <w:name w:val="Body Text First Indent 2"/>
    <w:basedOn w:val="12"/>
    <w:next w:val="1"/>
    <w:qFormat/>
    <w:uiPriority w:val="0"/>
    <w:pPr>
      <w:ind w:firstLine="420"/>
    </w:pPr>
    <w:rPr>
      <w:rFonts w:ascii="Calibri" w:hAnsi="Calibri" w:eastAsia="宋体" w:cs="Times New Roman"/>
    </w:rPr>
  </w:style>
  <w:style w:type="table" w:styleId="32">
    <w:name w:val="Table Grid"/>
    <w:basedOn w:val="3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semiHidden/>
    <w:unhideWhenUsed/>
    <w:qFormat/>
    <w:uiPriority w:val="99"/>
    <w:rPr>
      <w:color w:val="1687CB"/>
      <w:u w:val="none"/>
    </w:rPr>
  </w:style>
  <w:style w:type="character" w:styleId="37">
    <w:name w:val="HTML Definition"/>
    <w:basedOn w:val="33"/>
    <w:semiHidden/>
    <w:unhideWhenUsed/>
    <w:qFormat/>
    <w:uiPriority w:val="99"/>
    <w:rPr>
      <w:i/>
      <w:iCs/>
    </w:rPr>
  </w:style>
  <w:style w:type="character" w:styleId="38">
    <w:name w:val="HTML Acronym"/>
    <w:basedOn w:val="33"/>
    <w:semiHidden/>
    <w:unhideWhenUsed/>
    <w:qFormat/>
    <w:uiPriority w:val="99"/>
  </w:style>
  <w:style w:type="character" w:styleId="39">
    <w:name w:val="HTML Variable"/>
    <w:basedOn w:val="33"/>
    <w:semiHidden/>
    <w:unhideWhenUsed/>
    <w:qFormat/>
    <w:uiPriority w:val="99"/>
  </w:style>
  <w:style w:type="character" w:styleId="40">
    <w:name w:val="Hyperlink"/>
    <w:basedOn w:val="33"/>
    <w:qFormat/>
    <w:uiPriority w:val="99"/>
    <w:rPr>
      <w:color w:val="1687CB"/>
      <w:u w:val="none"/>
    </w:rPr>
  </w:style>
  <w:style w:type="character" w:styleId="41">
    <w:name w:val="HTML Code"/>
    <w:basedOn w:val="33"/>
    <w:semiHidden/>
    <w:unhideWhenUsed/>
    <w:qFormat/>
    <w:uiPriority w:val="99"/>
    <w:rPr>
      <w:rFonts w:hint="default" w:ascii="serif" w:hAnsi="serif" w:eastAsia="serif" w:cs="serif"/>
      <w:sz w:val="21"/>
      <w:szCs w:val="21"/>
    </w:rPr>
  </w:style>
  <w:style w:type="character" w:styleId="42">
    <w:name w:val="annotation reference"/>
    <w:qFormat/>
    <w:uiPriority w:val="0"/>
    <w:rPr>
      <w:sz w:val="21"/>
      <w:szCs w:val="21"/>
    </w:rPr>
  </w:style>
  <w:style w:type="character" w:styleId="43">
    <w:name w:val="HTML Cite"/>
    <w:basedOn w:val="33"/>
    <w:semiHidden/>
    <w:unhideWhenUsed/>
    <w:qFormat/>
    <w:uiPriority w:val="99"/>
  </w:style>
  <w:style w:type="character" w:styleId="44">
    <w:name w:val="HTML Keyboard"/>
    <w:basedOn w:val="33"/>
    <w:semiHidden/>
    <w:unhideWhenUsed/>
    <w:qFormat/>
    <w:uiPriority w:val="99"/>
    <w:rPr>
      <w:rFonts w:ascii="serif" w:hAnsi="serif" w:eastAsia="serif" w:cs="serif"/>
      <w:sz w:val="21"/>
      <w:szCs w:val="21"/>
    </w:rPr>
  </w:style>
  <w:style w:type="character" w:styleId="45">
    <w:name w:val="HTML Sample"/>
    <w:basedOn w:val="33"/>
    <w:semiHidden/>
    <w:unhideWhenUsed/>
    <w:qFormat/>
    <w:uiPriority w:val="99"/>
    <w:rPr>
      <w:rFonts w:hint="default" w:ascii="serif" w:hAnsi="serif" w:eastAsia="serif" w:cs="serif"/>
      <w:sz w:val="21"/>
      <w:szCs w:val="21"/>
    </w:rPr>
  </w:style>
  <w:style w:type="character" w:customStyle="1" w:styleId="46">
    <w:name w:val="标题 1 Char"/>
    <w:basedOn w:val="33"/>
    <w:link w:val="3"/>
    <w:qFormat/>
    <w:uiPriority w:val="9"/>
    <w:rPr>
      <w:rFonts w:ascii="Times New Roman" w:hAnsi="Times New Roman" w:eastAsia="宋体" w:cs="Times New Roman"/>
      <w:b/>
      <w:bCs/>
      <w:i/>
      <w:iCs/>
      <w:sz w:val="52"/>
      <w:szCs w:val="20"/>
    </w:rPr>
  </w:style>
  <w:style w:type="character" w:customStyle="1" w:styleId="47">
    <w:name w:val="标题 2 Char"/>
    <w:basedOn w:val="33"/>
    <w:link w:val="4"/>
    <w:qFormat/>
    <w:uiPriority w:val="0"/>
    <w:rPr>
      <w:rFonts w:ascii="Arial" w:hAnsi="Arial" w:eastAsia="黑体" w:cs="Times New Roman"/>
      <w:b/>
      <w:bCs/>
      <w:sz w:val="32"/>
      <w:szCs w:val="32"/>
    </w:rPr>
  </w:style>
  <w:style w:type="character" w:customStyle="1" w:styleId="48">
    <w:name w:val="页脚 Char"/>
    <w:qFormat/>
    <w:uiPriority w:val="0"/>
    <w:rPr>
      <w:rFonts w:ascii="Calibri" w:hAnsi="Calibri" w:eastAsia="宋体"/>
      <w:sz w:val="18"/>
      <w:szCs w:val="18"/>
    </w:rPr>
  </w:style>
  <w:style w:type="character" w:customStyle="1" w:styleId="49">
    <w:name w:val="纯文本 Char"/>
    <w:qFormat/>
    <w:uiPriority w:val="0"/>
    <w:rPr>
      <w:rFonts w:ascii="宋体" w:hAnsi="Courier New" w:eastAsia="宋体"/>
      <w:sz w:val="24"/>
      <w:szCs w:val="24"/>
    </w:rPr>
  </w:style>
  <w:style w:type="character" w:customStyle="1" w:styleId="50">
    <w:name w:val="Char Char8"/>
    <w:qFormat/>
    <w:uiPriority w:val="0"/>
    <w:rPr>
      <w:rFonts w:ascii="宋体" w:hAnsi="Courier New" w:eastAsia="宋体"/>
      <w:kern w:val="2"/>
      <w:sz w:val="24"/>
      <w:szCs w:val="24"/>
      <w:lang w:val="en-US" w:eastAsia="zh-CN" w:bidi="ar-SA"/>
    </w:rPr>
  </w:style>
  <w:style w:type="character" w:customStyle="1" w:styleId="51">
    <w:name w:val="正文文本缩进 Char"/>
    <w:qFormat/>
    <w:uiPriority w:val="99"/>
    <w:rPr>
      <w:sz w:val="24"/>
      <w:szCs w:val="24"/>
    </w:rPr>
  </w:style>
  <w:style w:type="character" w:customStyle="1" w:styleId="52">
    <w:name w:val="页眉 Char"/>
    <w:qFormat/>
    <w:uiPriority w:val="0"/>
    <w:rPr>
      <w:rFonts w:ascii="Calibri" w:hAnsi="Calibri" w:eastAsia="宋体"/>
      <w:sz w:val="18"/>
      <w:szCs w:val="18"/>
    </w:rPr>
  </w:style>
  <w:style w:type="character" w:customStyle="1" w:styleId="53">
    <w:name w:val="正文文本缩进 3 Char"/>
    <w:basedOn w:val="33"/>
    <w:link w:val="24"/>
    <w:qFormat/>
    <w:uiPriority w:val="0"/>
    <w:rPr>
      <w:rFonts w:ascii="Times New Roman" w:hAnsi="Times New Roman" w:eastAsia="宋体" w:cs="Times New Roman"/>
      <w:sz w:val="16"/>
      <w:szCs w:val="16"/>
    </w:rPr>
  </w:style>
  <w:style w:type="character" w:customStyle="1" w:styleId="54">
    <w:name w:val="页眉 Char1"/>
    <w:basedOn w:val="33"/>
    <w:link w:val="21"/>
    <w:semiHidden/>
    <w:qFormat/>
    <w:uiPriority w:val="99"/>
    <w:rPr>
      <w:rFonts w:ascii="Times New Roman" w:hAnsi="Times New Roman" w:eastAsia="宋体" w:cs="Times New Roman"/>
      <w:sz w:val="18"/>
      <w:szCs w:val="18"/>
    </w:rPr>
  </w:style>
  <w:style w:type="character" w:customStyle="1" w:styleId="55">
    <w:name w:val="批注框文本 Char"/>
    <w:basedOn w:val="33"/>
    <w:link w:val="19"/>
    <w:qFormat/>
    <w:uiPriority w:val="0"/>
    <w:rPr>
      <w:rFonts w:ascii="Times New Roman" w:hAnsi="Times New Roman" w:eastAsia="宋体" w:cs="Times New Roman"/>
      <w:sz w:val="18"/>
      <w:szCs w:val="18"/>
    </w:rPr>
  </w:style>
  <w:style w:type="character" w:customStyle="1" w:styleId="56">
    <w:name w:val="日期 Char"/>
    <w:basedOn w:val="33"/>
    <w:link w:val="17"/>
    <w:qFormat/>
    <w:uiPriority w:val="0"/>
    <w:rPr>
      <w:rFonts w:ascii="Times New Roman" w:hAnsi="Times New Roman" w:eastAsia="宋体" w:cs="Times New Roman"/>
      <w:szCs w:val="24"/>
    </w:rPr>
  </w:style>
  <w:style w:type="character" w:customStyle="1" w:styleId="57">
    <w:name w:val="正文文本 Char"/>
    <w:basedOn w:val="33"/>
    <w:link w:val="11"/>
    <w:qFormat/>
    <w:uiPriority w:val="0"/>
    <w:rPr>
      <w:rFonts w:ascii="Times New Roman" w:hAnsi="Times New Roman" w:eastAsia="宋体" w:cs="Times New Roman"/>
      <w:szCs w:val="24"/>
    </w:rPr>
  </w:style>
  <w:style w:type="character" w:customStyle="1" w:styleId="58">
    <w:name w:val="正文文本 3 Char"/>
    <w:basedOn w:val="33"/>
    <w:link w:val="10"/>
    <w:qFormat/>
    <w:uiPriority w:val="0"/>
    <w:rPr>
      <w:rFonts w:ascii="Times New Roman" w:hAnsi="Times New Roman" w:eastAsia="宋体" w:cs="Times New Roman"/>
      <w:sz w:val="16"/>
      <w:szCs w:val="16"/>
    </w:rPr>
  </w:style>
  <w:style w:type="character" w:customStyle="1" w:styleId="59">
    <w:name w:val="文档结构图 Char"/>
    <w:basedOn w:val="33"/>
    <w:link w:val="8"/>
    <w:qFormat/>
    <w:uiPriority w:val="0"/>
    <w:rPr>
      <w:rFonts w:ascii="Times New Roman" w:hAnsi="Times New Roman" w:eastAsia="宋体" w:cs="Times New Roman"/>
      <w:szCs w:val="24"/>
      <w:shd w:val="clear" w:color="auto" w:fill="000080"/>
    </w:rPr>
  </w:style>
  <w:style w:type="character" w:customStyle="1" w:styleId="60">
    <w:name w:val="纯文本 Char1"/>
    <w:basedOn w:val="33"/>
    <w:link w:val="16"/>
    <w:semiHidden/>
    <w:qFormat/>
    <w:uiPriority w:val="99"/>
    <w:rPr>
      <w:rFonts w:ascii="宋体" w:hAnsi="Courier New" w:eastAsia="宋体" w:cs="Courier New"/>
      <w:szCs w:val="21"/>
    </w:rPr>
  </w:style>
  <w:style w:type="character" w:customStyle="1" w:styleId="61">
    <w:name w:val="正文文本缩进 Char1"/>
    <w:basedOn w:val="33"/>
    <w:link w:val="12"/>
    <w:semiHidden/>
    <w:qFormat/>
    <w:uiPriority w:val="99"/>
    <w:rPr>
      <w:rFonts w:ascii="Times New Roman" w:hAnsi="Times New Roman" w:eastAsia="宋体" w:cs="Times New Roman"/>
      <w:szCs w:val="24"/>
    </w:rPr>
  </w:style>
  <w:style w:type="character" w:customStyle="1" w:styleId="62">
    <w:name w:val="HTML 预设格式 Char"/>
    <w:basedOn w:val="33"/>
    <w:link w:val="27"/>
    <w:qFormat/>
    <w:uiPriority w:val="0"/>
    <w:rPr>
      <w:rFonts w:ascii="Arial" w:hAnsi="Arial" w:eastAsia="宋体" w:cs="Arial"/>
      <w:kern w:val="0"/>
      <w:szCs w:val="21"/>
    </w:rPr>
  </w:style>
  <w:style w:type="character" w:customStyle="1" w:styleId="63">
    <w:name w:val="正文文本 2 Char"/>
    <w:basedOn w:val="33"/>
    <w:link w:val="26"/>
    <w:qFormat/>
    <w:uiPriority w:val="0"/>
    <w:rPr>
      <w:rFonts w:ascii="Times New Roman" w:hAnsi="Times New Roman" w:eastAsia="宋体" w:cs="Times New Roman"/>
      <w:szCs w:val="24"/>
    </w:rPr>
  </w:style>
  <w:style w:type="character" w:customStyle="1" w:styleId="64">
    <w:name w:val="页脚 Char1"/>
    <w:basedOn w:val="33"/>
    <w:link w:val="20"/>
    <w:semiHidden/>
    <w:qFormat/>
    <w:uiPriority w:val="99"/>
    <w:rPr>
      <w:rFonts w:ascii="Times New Roman" w:hAnsi="Times New Roman" w:eastAsia="宋体" w:cs="Times New Roman"/>
      <w:sz w:val="18"/>
      <w:szCs w:val="18"/>
    </w:rPr>
  </w:style>
  <w:style w:type="character" w:customStyle="1" w:styleId="65">
    <w:name w:val="正文文本缩进 2 Char"/>
    <w:basedOn w:val="33"/>
    <w:link w:val="18"/>
    <w:qFormat/>
    <w:uiPriority w:val="0"/>
    <w:rPr>
      <w:rFonts w:ascii="仿宋_GB2312" w:hAnsi="宋体" w:eastAsia="宋体" w:cs="Arial"/>
      <w:b/>
      <w:bCs/>
      <w:color w:val="000000"/>
      <w:sz w:val="24"/>
      <w:szCs w:val="24"/>
    </w:rPr>
  </w:style>
  <w:style w:type="paragraph" w:customStyle="1" w:styleId="6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9">
    <w:name w:val="默认段落字体 Para Char Char Char Char Char Char Char Char Char Char Char Char Char Char Char Char Char Char Char"/>
    <w:basedOn w:val="1"/>
    <w:qFormat/>
    <w:uiPriority w:val="0"/>
    <w:rPr>
      <w:rFonts w:ascii="Tahoma" w:hAnsi="Tahoma"/>
      <w:sz w:val="24"/>
    </w:rPr>
  </w:style>
  <w:style w:type="paragraph" w:customStyle="1" w:styleId="70">
    <w:name w:val="Char Char Char Char Char Char Char"/>
    <w:basedOn w:val="1"/>
    <w:qFormat/>
    <w:uiPriority w:val="0"/>
    <w:rPr>
      <w:rFonts w:ascii="Tahoma" w:hAnsi="Tahoma"/>
      <w:sz w:val="24"/>
      <w:szCs w:val="20"/>
    </w:rPr>
  </w:style>
  <w:style w:type="paragraph" w:customStyle="1" w:styleId="7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2">
    <w:name w:val="Char Char Char Char Char Char Char Char Char Char Char Char1 Char"/>
    <w:basedOn w:val="8"/>
    <w:qFormat/>
    <w:uiPriority w:val="0"/>
    <w:rPr>
      <w:rFonts w:ascii="Tahoma" w:hAnsi="Tahoma"/>
      <w:sz w:val="24"/>
    </w:rPr>
  </w:style>
  <w:style w:type="paragraph" w:customStyle="1" w:styleId="73">
    <w:name w:val="正文－恩普"/>
    <w:basedOn w:val="6"/>
    <w:qFormat/>
    <w:uiPriority w:val="0"/>
    <w:pPr>
      <w:widowControl/>
      <w:spacing w:line="360" w:lineRule="auto"/>
      <w:ind w:firstLine="480" w:firstLineChars="200"/>
      <w:jc w:val="left"/>
    </w:pPr>
    <w:rPr>
      <w:kern w:val="0"/>
      <w:sz w:val="24"/>
    </w:rPr>
  </w:style>
  <w:style w:type="paragraph" w:customStyle="1" w:styleId="74">
    <w:name w:val="Char"/>
    <w:basedOn w:val="1"/>
    <w:qFormat/>
    <w:uiPriority w:val="0"/>
    <w:rPr>
      <w:rFonts w:ascii="仿宋_GB2312" w:eastAsia="仿宋_GB2312"/>
      <w:b/>
      <w:sz w:val="32"/>
      <w:szCs w:val="32"/>
    </w:r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WPS Plain"/>
    <w:qFormat/>
    <w:uiPriority w:val="0"/>
    <w:rPr>
      <w:rFonts w:ascii="Times New Roman" w:hAnsi="Times New Roman" w:eastAsia="宋体" w:cs="Times New Roman"/>
      <w:lang w:val="en-US" w:eastAsia="zh-CN" w:bidi="ar-SA"/>
    </w:rPr>
  </w:style>
  <w:style w:type="paragraph" w:customStyle="1" w:styleId="77">
    <w:name w:val="Char1"/>
    <w:basedOn w:val="1"/>
    <w:qFormat/>
    <w:uiPriority w:val="0"/>
    <w:rPr>
      <w:rFonts w:ascii="仿宋_GB2312" w:eastAsia="仿宋_GB2312"/>
      <w:b/>
      <w:sz w:val="32"/>
      <w:szCs w:val="32"/>
    </w:rPr>
  </w:style>
  <w:style w:type="character" w:customStyle="1" w:styleId="78">
    <w:name w:val="批注文字 Char"/>
    <w:basedOn w:val="33"/>
    <w:link w:val="9"/>
    <w:qFormat/>
    <w:uiPriority w:val="0"/>
    <w:rPr>
      <w:rFonts w:ascii="Times New Roman" w:hAnsi="Times New Roman" w:eastAsia="宋体" w:cs="Times New Roman"/>
      <w:szCs w:val="24"/>
    </w:rPr>
  </w:style>
  <w:style w:type="character" w:customStyle="1" w:styleId="79">
    <w:name w:val="批注主题 Char"/>
    <w:basedOn w:val="78"/>
    <w:link w:val="29"/>
    <w:qFormat/>
    <w:uiPriority w:val="0"/>
    <w:rPr>
      <w:rFonts w:ascii="Times New Roman" w:hAnsi="Times New Roman" w:eastAsia="宋体" w:cs="Times New Roman"/>
      <w:b/>
      <w:bCs/>
      <w:szCs w:val="20"/>
    </w:rPr>
  </w:style>
  <w:style w:type="character" w:customStyle="1" w:styleId="80">
    <w:name w:val="font41"/>
    <w:basedOn w:val="33"/>
    <w:qFormat/>
    <w:uiPriority w:val="0"/>
    <w:rPr>
      <w:rFonts w:hint="eastAsia" w:ascii="宋体" w:hAnsi="宋体" w:eastAsia="宋体" w:cs="宋体"/>
      <w:color w:val="000000"/>
      <w:sz w:val="21"/>
      <w:szCs w:val="21"/>
      <w:u w:val="none"/>
    </w:rPr>
  </w:style>
  <w:style w:type="paragraph" w:styleId="81">
    <w:name w:val="List Paragraph"/>
    <w:basedOn w:val="1"/>
    <w:unhideWhenUsed/>
    <w:qFormat/>
    <w:uiPriority w:val="99"/>
    <w:pPr>
      <w:ind w:firstLine="420" w:firstLineChars="200"/>
    </w:pPr>
  </w:style>
  <w:style w:type="table" w:customStyle="1" w:styleId="82">
    <w:name w:val="TableGrid"/>
    <w:qFormat/>
    <w:uiPriority w:val="0"/>
    <w:tblPr>
      <w:tblCellMar>
        <w:top w:w="0" w:type="dxa"/>
        <w:left w:w="0" w:type="dxa"/>
        <w:bottom w:w="0" w:type="dxa"/>
        <w:right w:w="0" w:type="dxa"/>
      </w:tblCellMar>
    </w:tblPr>
  </w:style>
  <w:style w:type="character" w:customStyle="1" w:styleId="83">
    <w:name w:val="dxrpheader_metropolis"/>
    <w:basedOn w:val="33"/>
    <w:qFormat/>
    <w:uiPriority w:val="0"/>
    <w:rPr>
      <w:b/>
      <w:bCs/>
      <w:color w:val="C0C0C0"/>
      <w:shd w:val="clear" w:fill="FFFFFF"/>
    </w:rPr>
  </w:style>
  <w:style w:type="character" w:customStyle="1" w:styleId="84">
    <w:name w:val="font01"/>
    <w:basedOn w:val="33"/>
    <w:qFormat/>
    <w:uiPriority w:val="0"/>
    <w:rPr>
      <w:rFonts w:hint="eastAsia" w:ascii="宋体" w:hAnsi="宋体" w:eastAsia="宋体" w:cs="宋体"/>
      <w:color w:val="000000"/>
      <w:sz w:val="21"/>
      <w:szCs w:val="21"/>
      <w:u w:val="none"/>
    </w:rPr>
  </w:style>
  <w:style w:type="character" w:customStyle="1" w:styleId="85">
    <w:name w:val="font31"/>
    <w:basedOn w:val="33"/>
    <w:qFormat/>
    <w:uiPriority w:val="0"/>
    <w:rPr>
      <w:rFonts w:hint="eastAsia" w:ascii="宋体" w:hAnsi="宋体" w:eastAsia="宋体" w:cs="宋体"/>
      <w:b/>
      <w:bCs/>
      <w:color w:val="000000"/>
      <w:sz w:val="24"/>
      <w:szCs w:val="24"/>
      <w:u w:val="none"/>
    </w:rPr>
  </w:style>
  <w:style w:type="character" w:customStyle="1" w:styleId="86">
    <w:name w:val="font21"/>
    <w:basedOn w:val="3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30</Pages>
  <Words>15008</Words>
  <Characters>15602</Characters>
  <Lines>102</Lines>
  <Paragraphs>28</Paragraphs>
  <TotalTime>6</TotalTime>
  <ScaleCrop>false</ScaleCrop>
  <LinksUpToDate>false</LinksUpToDate>
  <CharactersWithSpaces>16203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2019-01-11T05:15:00Z</dcterms:created>
  <dc:creator>浙江科信联合工程项目管理咨询有限公司</dc:creator>
  <cp:lastModifiedBy>谷子</cp:lastModifiedBy>
  <cp:lastPrinted>2025-05-30T03:39:00Z</cp:lastPrinted>
  <dcterms:modified xsi:type="dcterms:W3CDTF">2025-07-09T02:39:47Z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7FB04061278B41FDAA6E1AC227AB1345</vt:lpwstr>
  </property>
  <property fmtid="{D5CDD505-2E9C-101B-9397-08002B2CF9AE}" pid="4" name="KSOTemplateDocerSaveRecord">
    <vt:lpwstr>eyJoZGlkIjoiYjY1ZWZlMzdiMjVlZmM5ZTJlOWQ2ZjYyZWE1NGMyZDUiLCJ1c2VySWQiOiI0ODU4OTkxMTAifQ==</vt:lpwstr>
  </property>
</Properties>
</file>