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DDEAC">
      <w:pPr>
        <w:spacing w:line="500" w:lineRule="exact"/>
        <w:jc w:val="center"/>
        <w:rPr>
          <w:rFonts w:ascii="宋体" w:hAnsi="宋体"/>
          <w:b/>
          <w:color w:val="000000"/>
          <w:sz w:val="44"/>
        </w:rPr>
      </w:pPr>
    </w:p>
    <w:p w14:paraId="4C2B230A">
      <w:pPr>
        <w:pStyle w:val="11"/>
        <w:rPr>
          <w:rFonts w:ascii="宋体" w:hAnsi="宋体"/>
          <w:b/>
          <w:color w:val="000000"/>
          <w:sz w:val="44"/>
        </w:rPr>
      </w:pPr>
    </w:p>
    <w:p w14:paraId="07A2AA96"/>
    <w:p w14:paraId="00E92C97">
      <w:pPr>
        <w:spacing w:line="700" w:lineRule="exact"/>
        <w:jc w:val="center"/>
        <w:rPr>
          <w:rFonts w:hint="eastAsia" w:ascii="宋体" w:hAnsi="宋体" w:eastAsia="宋体"/>
          <w:b/>
          <w:sz w:val="48"/>
          <w:szCs w:val="48"/>
          <w:lang w:eastAsia="zh-CN"/>
        </w:rPr>
      </w:pPr>
      <w:r>
        <w:rPr>
          <w:rFonts w:hint="eastAsia" w:ascii="宋体" w:hAnsi="宋体"/>
          <w:b/>
          <w:sz w:val="44"/>
          <w:szCs w:val="44"/>
          <w:lang w:eastAsia="zh-CN"/>
        </w:rPr>
        <w:t>中国共产党宁波市北仑区委员会春晓街道工作委员会银行专户开立服务机构招标项目</w:t>
      </w:r>
    </w:p>
    <w:p w14:paraId="2FA9F5EF">
      <w:pPr>
        <w:spacing w:line="500" w:lineRule="exact"/>
        <w:jc w:val="center"/>
        <w:rPr>
          <w:rFonts w:ascii="宋体" w:hAnsi="宋体"/>
          <w:b/>
          <w:sz w:val="44"/>
        </w:rPr>
      </w:pPr>
    </w:p>
    <w:p w14:paraId="29D8E58C">
      <w:pPr>
        <w:spacing w:line="500" w:lineRule="exact"/>
        <w:jc w:val="center"/>
        <w:rPr>
          <w:rFonts w:ascii="宋体" w:hAnsi="宋体"/>
          <w:b/>
          <w:sz w:val="44"/>
        </w:rPr>
      </w:pPr>
    </w:p>
    <w:p w14:paraId="4F7A0EA2">
      <w:pPr>
        <w:pStyle w:val="11"/>
      </w:pPr>
    </w:p>
    <w:p w14:paraId="4A258542">
      <w:pPr>
        <w:spacing w:line="1200" w:lineRule="exact"/>
        <w:ind w:right="-108"/>
        <w:jc w:val="center"/>
        <w:rPr>
          <w:rFonts w:ascii="宋体" w:hAnsi="宋体"/>
          <w:b/>
          <w:spacing w:val="40"/>
          <w:sz w:val="72"/>
          <w:szCs w:val="72"/>
        </w:rPr>
      </w:pPr>
      <w:r>
        <w:rPr>
          <w:rFonts w:hint="eastAsia" w:ascii="宋体" w:hAnsi="宋体"/>
          <w:b/>
          <w:spacing w:val="40"/>
          <w:sz w:val="72"/>
          <w:szCs w:val="72"/>
        </w:rPr>
        <w:t>招</w:t>
      </w:r>
    </w:p>
    <w:p w14:paraId="47284FFA">
      <w:pPr>
        <w:spacing w:line="1200" w:lineRule="exact"/>
        <w:ind w:right="-108"/>
        <w:jc w:val="center"/>
        <w:rPr>
          <w:rFonts w:ascii="宋体" w:hAnsi="宋体"/>
          <w:b/>
          <w:spacing w:val="40"/>
          <w:sz w:val="72"/>
          <w:szCs w:val="72"/>
        </w:rPr>
      </w:pPr>
      <w:r>
        <w:rPr>
          <w:rFonts w:hint="eastAsia" w:ascii="宋体" w:hAnsi="宋体"/>
          <w:b/>
          <w:spacing w:val="40"/>
          <w:sz w:val="72"/>
          <w:szCs w:val="72"/>
        </w:rPr>
        <w:t>标</w:t>
      </w:r>
    </w:p>
    <w:p w14:paraId="542D3559">
      <w:pPr>
        <w:spacing w:line="1200" w:lineRule="exact"/>
        <w:ind w:right="-108"/>
        <w:jc w:val="center"/>
        <w:rPr>
          <w:rFonts w:ascii="宋体" w:hAnsi="宋体"/>
          <w:b/>
          <w:spacing w:val="40"/>
          <w:sz w:val="72"/>
          <w:szCs w:val="72"/>
        </w:rPr>
      </w:pPr>
      <w:r>
        <w:rPr>
          <w:rFonts w:hint="eastAsia" w:ascii="宋体" w:hAnsi="宋体"/>
          <w:b/>
          <w:spacing w:val="40"/>
          <w:sz w:val="72"/>
          <w:szCs w:val="72"/>
        </w:rPr>
        <w:t>文</w:t>
      </w:r>
    </w:p>
    <w:p w14:paraId="7B984B74">
      <w:pPr>
        <w:spacing w:line="1200" w:lineRule="exact"/>
        <w:ind w:right="-108"/>
        <w:jc w:val="center"/>
        <w:rPr>
          <w:rFonts w:ascii="宋体" w:hAnsi="宋体"/>
          <w:b/>
          <w:spacing w:val="40"/>
          <w:sz w:val="72"/>
          <w:szCs w:val="72"/>
        </w:rPr>
      </w:pPr>
      <w:r>
        <w:rPr>
          <w:rFonts w:hint="eastAsia" w:ascii="宋体" w:hAnsi="宋体"/>
          <w:b/>
          <w:spacing w:val="40"/>
          <w:sz w:val="72"/>
          <w:szCs w:val="72"/>
        </w:rPr>
        <w:t>件</w:t>
      </w:r>
    </w:p>
    <w:p w14:paraId="76E6FA44">
      <w:pPr>
        <w:spacing w:line="700" w:lineRule="exact"/>
        <w:jc w:val="center"/>
        <w:rPr>
          <w:rFonts w:ascii="宋体" w:hAnsi="宋体"/>
          <w:b/>
          <w:sz w:val="52"/>
          <w:szCs w:val="52"/>
        </w:rPr>
      </w:pPr>
    </w:p>
    <w:p w14:paraId="31DC1285">
      <w:pPr>
        <w:pStyle w:val="19"/>
        <w:rPr>
          <w:rFonts w:ascii="宋体" w:hAnsi="宋体"/>
          <w:sz w:val="28"/>
        </w:rPr>
      </w:pPr>
    </w:p>
    <w:p w14:paraId="591616A5">
      <w:pPr>
        <w:spacing w:line="500" w:lineRule="exact"/>
        <w:rPr>
          <w:rFonts w:ascii="宋体" w:hAnsi="宋体"/>
          <w:sz w:val="28"/>
        </w:rPr>
      </w:pPr>
    </w:p>
    <w:p w14:paraId="68B67C75">
      <w:pPr>
        <w:pStyle w:val="11"/>
      </w:pPr>
    </w:p>
    <w:p w14:paraId="748B6967">
      <w:pPr>
        <w:spacing w:line="360" w:lineRule="auto"/>
        <w:ind w:firstLine="643" w:firstLineChars="200"/>
        <w:rPr>
          <w:rFonts w:hint="eastAsia" w:ascii="宋体" w:hAnsi="宋体" w:eastAsia="宋体" w:cs="Arial"/>
          <w:b/>
          <w:bCs/>
          <w:color w:val="auto"/>
          <w:sz w:val="32"/>
          <w:szCs w:val="32"/>
          <w:lang w:eastAsia="zh-CN"/>
        </w:rPr>
      </w:pPr>
      <w:r>
        <w:rPr>
          <w:rFonts w:hint="eastAsia" w:ascii="宋体" w:hAnsi="宋体" w:cs="Arial"/>
          <w:b/>
          <w:bCs/>
          <w:sz w:val="32"/>
          <w:szCs w:val="32"/>
        </w:rPr>
        <w:t>项目编号</w:t>
      </w:r>
      <w:r>
        <w:rPr>
          <w:rFonts w:ascii="宋体" w:hAnsi="宋体" w:cs="Arial"/>
          <w:b/>
          <w:bCs/>
          <w:sz w:val="32"/>
          <w:szCs w:val="32"/>
        </w:rPr>
        <w:t>：</w:t>
      </w:r>
      <w:r>
        <w:rPr>
          <w:rFonts w:hint="eastAsia" w:ascii="宋体" w:hAnsi="宋体" w:cs="Arial"/>
          <w:b/>
          <w:bCs/>
          <w:color w:val="auto"/>
          <w:sz w:val="32"/>
          <w:szCs w:val="32"/>
          <w:u w:val="single"/>
          <w:lang w:eastAsia="zh-CN"/>
        </w:rPr>
        <w:t>NBDW-20251236</w:t>
      </w:r>
    </w:p>
    <w:p w14:paraId="027367EB">
      <w:pPr>
        <w:spacing w:line="360" w:lineRule="auto"/>
        <w:ind w:firstLine="643" w:firstLineChars="200"/>
        <w:rPr>
          <w:rFonts w:hint="eastAsia" w:ascii="宋体" w:hAnsi="宋体" w:eastAsia="宋体" w:cs="Arial"/>
          <w:b/>
          <w:bCs/>
          <w:sz w:val="32"/>
          <w:szCs w:val="32"/>
          <w:lang w:eastAsia="zh-CN"/>
        </w:rPr>
      </w:pPr>
      <w:r>
        <w:rPr>
          <w:rFonts w:ascii="宋体" w:hAnsi="宋体" w:cs="Arial"/>
          <w:b/>
          <w:bCs/>
          <w:sz w:val="32"/>
          <w:szCs w:val="32"/>
        </w:rPr>
        <w:t>招 标 人：</w:t>
      </w:r>
      <w:r>
        <w:rPr>
          <w:rFonts w:hint="eastAsia" w:ascii="新宋体" w:hAnsi="新宋体" w:eastAsia="新宋体"/>
          <w:b/>
          <w:bCs/>
          <w:sz w:val="30"/>
          <w:u w:val="single"/>
          <w:lang w:eastAsia="zh-CN"/>
        </w:rPr>
        <w:t>宁波市北仑区人民政府春晓街道办事处</w:t>
      </w:r>
    </w:p>
    <w:p w14:paraId="197BA230">
      <w:pPr>
        <w:spacing w:line="360" w:lineRule="auto"/>
        <w:ind w:right="-108" w:firstLine="643" w:firstLineChars="200"/>
        <w:jc w:val="left"/>
        <w:rPr>
          <w:rFonts w:ascii="宋体" w:hAnsi="宋体"/>
          <w:b/>
          <w:bCs/>
          <w:sz w:val="32"/>
          <w:szCs w:val="32"/>
          <w:u w:val="single"/>
        </w:rPr>
      </w:pPr>
      <w:r>
        <w:rPr>
          <w:rFonts w:hint="eastAsia" w:ascii="宋体" w:hAnsi="宋体"/>
          <w:b/>
          <w:bCs/>
          <w:sz w:val="32"/>
          <w:szCs w:val="32"/>
        </w:rPr>
        <w:t>招标代理机构：</w:t>
      </w:r>
      <w:r>
        <w:rPr>
          <w:rFonts w:hint="eastAsia" w:ascii="宋体" w:hAnsi="宋体"/>
          <w:b/>
          <w:bCs/>
          <w:sz w:val="32"/>
          <w:szCs w:val="32"/>
          <w:u w:val="single"/>
        </w:rPr>
        <w:t>宁波杜威工程项目管理有限公司</w:t>
      </w:r>
    </w:p>
    <w:p w14:paraId="401CC5CB">
      <w:pPr>
        <w:spacing w:line="360" w:lineRule="auto"/>
        <w:ind w:right="-108" w:firstLine="643" w:firstLineChars="200"/>
        <w:jc w:val="left"/>
        <w:rPr>
          <w:rFonts w:ascii="宋体" w:hAnsi="宋体"/>
          <w:b/>
          <w:bCs/>
          <w:sz w:val="32"/>
          <w:szCs w:val="32"/>
        </w:rPr>
      </w:pPr>
      <w:r>
        <w:rPr>
          <w:rFonts w:hint="eastAsia" w:ascii="宋体" w:hAnsi="宋体"/>
          <w:b/>
          <w:bCs/>
          <w:sz w:val="32"/>
          <w:szCs w:val="32"/>
        </w:rPr>
        <w:t>编制日期：</w:t>
      </w:r>
      <w:r>
        <w:rPr>
          <w:rFonts w:hint="eastAsia" w:ascii="宋体" w:hAnsi="宋体"/>
          <w:b/>
          <w:bCs/>
          <w:sz w:val="32"/>
          <w:szCs w:val="32"/>
          <w:u w:val="single"/>
          <w:lang w:eastAsia="zh-CN"/>
        </w:rPr>
        <w:t>2025</w:t>
      </w:r>
      <w:r>
        <w:rPr>
          <w:rFonts w:hint="eastAsia" w:ascii="宋体" w:hAnsi="宋体"/>
          <w:b/>
          <w:bCs/>
          <w:sz w:val="32"/>
          <w:szCs w:val="32"/>
          <w:u w:val="single"/>
        </w:rPr>
        <w:t>年</w:t>
      </w:r>
      <w:r>
        <w:rPr>
          <w:rFonts w:hint="eastAsia" w:ascii="宋体" w:hAnsi="宋体"/>
          <w:b/>
          <w:bCs/>
          <w:sz w:val="32"/>
          <w:szCs w:val="32"/>
          <w:u w:val="single"/>
          <w:lang w:val="en-US" w:eastAsia="zh-CN"/>
        </w:rPr>
        <w:t>6</w:t>
      </w:r>
      <w:r>
        <w:rPr>
          <w:rFonts w:hint="eastAsia" w:ascii="宋体" w:hAnsi="宋体"/>
          <w:b/>
          <w:bCs/>
          <w:sz w:val="32"/>
          <w:szCs w:val="32"/>
          <w:u w:val="single"/>
        </w:rPr>
        <w:t>月</w:t>
      </w:r>
    </w:p>
    <w:p w14:paraId="6AA396DF">
      <w:pPr>
        <w:snapToGrid w:val="0"/>
        <w:spacing w:beforeLines="50" w:line="360" w:lineRule="auto"/>
        <w:rPr>
          <w:rFonts w:ascii="宋体" w:hAnsi="宋体"/>
          <w:b/>
          <w:bCs/>
          <w:w w:val="95"/>
          <w:sz w:val="30"/>
          <w:szCs w:val="30"/>
        </w:rPr>
      </w:pPr>
    </w:p>
    <w:p w14:paraId="47264E0A">
      <w:pPr>
        <w:snapToGrid w:val="0"/>
        <w:spacing w:line="480" w:lineRule="auto"/>
        <w:jc w:val="center"/>
        <w:rPr>
          <w:rFonts w:ascii="宋体" w:hAnsi="宋体"/>
        </w:rPr>
        <w:sectPr>
          <w:footerReference r:id="rId3" w:type="default"/>
          <w:pgSz w:w="11906" w:h="16838"/>
          <w:pgMar w:top="1361" w:right="1406" w:bottom="1304" w:left="1400" w:header="851" w:footer="850" w:gutter="0"/>
          <w:pgNumType w:start="1"/>
          <w:cols w:space="720" w:num="1"/>
          <w:docGrid w:linePitch="312" w:charSpace="0"/>
        </w:sectPr>
      </w:pPr>
    </w:p>
    <w:p w14:paraId="7F4FB5B2">
      <w:pPr>
        <w:snapToGrid w:val="0"/>
        <w:spacing w:line="480" w:lineRule="auto"/>
        <w:jc w:val="center"/>
        <w:rPr>
          <w:rFonts w:ascii="宋体" w:hAnsi="宋体"/>
          <w:b/>
          <w:sz w:val="52"/>
          <w:szCs w:val="52"/>
        </w:rPr>
      </w:pPr>
      <w:r>
        <w:rPr>
          <w:rFonts w:hint="eastAsia" w:ascii="宋体" w:hAnsi="宋体"/>
          <w:b/>
          <w:sz w:val="32"/>
          <w:szCs w:val="32"/>
        </w:rPr>
        <w:t>目    录</w:t>
      </w:r>
    </w:p>
    <w:p w14:paraId="2BBF799C">
      <w:pPr>
        <w:spacing w:line="480" w:lineRule="auto"/>
        <w:jc w:val="center"/>
        <w:rPr>
          <w:rFonts w:ascii="宋体" w:hAnsi="宋体"/>
          <w:b/>
          <w:sz w:val="30"/>
          <w:szCs w:val="30"/>
        </w:rPr>
      </w:pPr>
    </w:p>
    <w:p w14:paraId="386CA959">
      <w:pPr>
        <w:pStyle w:val="11"/>
        <w:tabs>
          <w:tab w:val="right" w:leader="dot" w:pos="8312"/>
        </w:tabs>
        <w:spacing w:line="480" w:lineRule="auto"/>
        <w:rPr>
          <w:sz w:val="28"/>
          <w:szCs w:val="24"/>
        </w:rPr>
      </w:pPr>
      <w:r>
        <w:rPr>
          <w:rFonts w:hint="eastAsia" w:ascii="宋体" w:hAnsi="宋体" w:cs="宋体"/>
          <w:sz w:val="48"/>
          <w:szCs w:val="48"/>
        </w:rPr>
        <w:fldChar w:fldCharType="begin"/>
      </w:r>
      <w:r>
        <w:rPr>
          <w:rFonts w:hint="eastAsia" w:ascii="宋体" w:hAnsi="宋体" w:cs="宋体"/>
          <w:sz w:val="48"/>
          <w:szCs w:val="48"/>
        </w:rPr>
        <w:instrText xml:space="preserve"> TOC \o "1-3" \h \z \u </w:instrText>
      </w:r>
      <w:r>
        <w:rPr>
          <w:rFonts w:hint="eastAsia" w:ascii="宋体" w:hAnsi="宋体" w:cs="宋体"/>
          <w:sz w:val="48"/>
          <w:szCs w:val="48"/>
        </w:rPr>
        <w:fldChar w:fldCharType="separate"/>
      </w:r>
      <w:r>
        <w:fldChar w:fldCharType="begin"/>
      </w:r>
      <w:r>
        <w:instrText xml:space="preserve"> HYPERLINK \l "_Toc13452" </w:instrText>
      </w:r>
      <w:r>
        <w:fldChar w:fldCharType="separate"/>
      </w:r>
      <w:r>
        <w:rPr>
          <w:rFonts w:hint="eastAsia" w:hAnsi="宋体"/>
          <w:sz w:val="28"/>
          <w:szCs w:val="40"/>
        </w:rPr>
        <w:t xml:space="preserve">第一章 </w:t>
      </w:r>
      <w:r>
        <w:rPr>
          <w:rFonts w:hAnsi="宋体"/>
          <w:sz w:val="28"/>
          <w:szCs w:val="40"/>
        </w:rPr>
        <w:t xml:space="preserve"> </w:t>
      </w:r>
      <w:r>
        <w:rPr>
          <w:rFonts w:hint="eastAsia" w:hAnsi="宋体"/>
          <w:sz w:val="28"/>
          <w:szCs w:val="40"/>
        </w:rPr>
        <w:t>招标公告</w:t>
      </w:r>
      <w:r>
        <w:rPr>
          <w:sz w:val="28"/>
          <w:szCs w:val="24"/>
        </w:rPr>
        <w:tab/>
      </w:r>
      <w:r>
        <w:rPr>
          <w:sz w:val="28"/>
          <w:szCs w:val="24"/>
        </w:rPr>
        <w:fldChar w:fldCharType="end"/>
      </w:r>
      <w:r>
        <w:rPr>
          <w:rFonts w:hint="eastAsia"/>
          <w:sz w:val="28"/>
          <w:szCs w:val="24"/>
        </w:rPr>
        <w:t>2</w:t>
      </w:r>
    </w:p>
    <w:p w14:paraId="647B1357">
      <w:pPr>
        <w:pStyle w:val="11"/>
        <w:tabs>
          <w:tab w:val="right" w:leader="dot" w:pos="8312"/>
        </w:tabs>
        <w:spacing w:line="480" w:lineRule="auto"/>
        <w:rPr>
          <w:sz w:val="28"/>
          <w:szCs w:val="24"/>
        </w:rPr>
      </w:pPr>
      <w:r>
        <w:fldChar w:fldCharType="begin"/>
      </w:r>
      <w:r>
        <w:instrText xml:space="preserve"> HYPERLINK \l "_Toc18192" </w:instrText>
      </w:r>
      <w:r>
        <w:fldChar w:fldCharType="separate"/>
      </w:r>
      <w:r>
        <w:rPr>
          <w:rFonts w:hint="eastAsia" w:hAnsi="宋体"/>
          <w:sz w:val="28"/>
          <w:szCs w:val="40"/>
        </w:rPr>
        <w:t>第二章  招标需求</w:t>
      </w:r>
      <w:r>
        <w:rPr>
          <w:sz w:val="28"/>
          <w:szCs w:val="24"/>
        </w:rPr>
        <w:tab/>
      </w:r>
      <w:r>
        <w:rPr>
          <w:sz w:val="28"/>
          <w:szCs w:val="24"/>
        </w:rPr>
        <w:fldChar w:fldCharType="begin"/>
      </w:r>
      <w:r>
        <w:rPr>
          <w:sz w:val="28"/>
          <w:szCs w:val="24"/>
        </w:rPr>
        <w:instrText xml:space="preserve"> PAGEREF _Toc18192 </w:instrText>
      </w:r>
      <w:r>
        <w:rPr>
          <w:sz w:val="28"/>
          <w:szCs w:val="24"/>
        </w:rPr>
        <w:fldChar w:fldCharType="separate"/>
      </w:r>
      <w:r>
        <w:rPr>
          <w:sz w:val="28"/>
          <w:szCs w:val="24"/>
        </w:rPr>
        <w:t>5</w:t>
      </w:r>
      <w:r>
        <w:rPr>
          <w:sz w:val="28"/>
          <w:szCs w:val="24"/>
        </w:rPr>
        <w:fldChar w:fldCharType="end"/>
      </w:r>
      <w:r>
        <w:rPr>
          <w:sz w:val="28"/>
          <w:szCs w:val="24"/>
        </w:rPr>
        <w:fldChar w:fldCharType="end"/>
      </w:r>
    </w:p>
    <w:p w14:paraId="1F6560AE">
      <w:pPr>
        <w:pStyle w:val="11"/>
        <w:tabs>
          <w:tab w:val="right" w:leader="dot" w:pos="8312"/>
        </w:tabs>
        <w:spacing w:line="480" w:lineRule="auto"/>
        <w:rPr>
          <w:sz w:val="28"/>
          <w:szCs w:val="24"/>
        </w:rPr>
      </w:pPr>
      <w:r>
        <w:fldChar w:fldCharType="begin"/>
      </w:r>
      <w:r>
        <w:instrText xml:space="preserve"> HYPERLINK \l "_Toc19480" </w:instrText>
      </w:r>
      <w:r>
        <w:fldChar w:fldCharType="separate"/>
      </w:r>
      <w:r>
        <w:rPr>
          <w:rFonts w:hint="eastAsia" w:hAnsi="宋体"/>
          <w:sz w:val="28"/>
          <w:szCs w:val="40"/>
        </w:rPr>
        <w:t>第三章  投标人须知</w:t>
      </w:r>
      <w:r>
        <w:rPr>
          <w:sz w:val="28"/>
          <w:szCs w:val="24"/>
        </w:rPr>
        <w:tab/>
      </w:r>
      <w:r>
        <w:rPr>
          <w:rFonts w:hint="eastAsia"/>
          <w:sz w:val="28"/>
          <w:szCs w:val="24"/>
          <w:lang w:val="en-US" w:eastAsia="zh-CN"/>
        </w:rPr>
        <w:t>7</w:t>
      </w:r>
      <w:r>
        <w:rPr>
          <w:sz w:val="28"/>
          <w:szCs w:val="24"/>
        </w:rPr>
        <w:fldChar w:fldCharType="end"/>
      </w:r>
    </w:p>
    <w:p w14:paraId="412EAE16">
      <w:pPr>
        <w:pStyle w:val="11"/>
        <w:tabs>
          <w:tab w:val="right" w:leader="dot" w:pos="8312"/>
        </w:tabs>
        <w:spacing w:line="480" w:lineRule="auto"/>
        <w:rPr>
          <w:sz w:val="28"/>
          <w:szCs w:val="24"/>
        </w:rPr>
      </w:pPr>
      <w:r>
        <w:fldChar w:fldCharType="begin"/>
      </w:r>
      <w:r>
        <w:instrText xml:space="preserve"> HYPERLINK \l "_Toc12279" </w:instrText>
      </w:r>
      <w:r>
        <w:fldChar w:fldCharType="separate"/>
      </w:r>
      <w:r>
        <w:rPr>
          <w:rFonts w:hint="eastAsia" w:hAnsi="宋体"/>
          <w:sz w:val="28"/>
          <w:szCs w:val="40"/>
        </w:rPr>
        <w:t>第四章  评标办法及评分标准</w:t>
      </w:r>
      <w:r>
        <w:rPr>
          <w:sz w:val="28"/>
          <w:szCs w:val="24"/>
        </w:rPr>
        <w:tab/>
      </w:r>
      <w:r>
        <w:rPr>
          <w:sz w:val="28"/>
          <w:szCs w:val="24"/>
        </w:rPr>
        <w:fldChar w:fldCharType="begin"/>
      </w:r>
      <w:r>
        <w:rPr>
          <w:sz w:val="28"/>
          <w:szCs w:val="24"/>
        </w:rPr>
        <w:instrText xml:space="preserve"> PAGEREF _Toc12279 </w:instrText>
      </w:r>
      <w:r>
        <w:rPr>
          <w:sz w:val="28"/>
          <w:szCs w:val="24"/>
        </w:rPr>
        <w:fldChar w:fldCharType="separate"/>
      </w:r>
      <w:r>
        <w:rPr>
          <w:sz w:val="28"/>
          <w:szCs w:val="24"/>
        </w:rPr>
        <w:t>14</w:t>
      </w:r>
      <w:r>
        <w:rPr>
          <w:sz w:val="28"/>
          <w:szCs w:val="24"/>
        </w:rPr>
        <w:fldChar w:fldCharType="end"/>
      </w:r>
      <w:r>
        <w:rPr>
          <w:sz w:val="28"/>
          <w:szCs w:val="24"/>
        </w:rPr>
        <w:fldChar w:fldCharType="end"/>
      </w:r>
    </w:p>
    <w:p w14:paraId="48CFEBF7">
      <w:pPr>
        <w:pStyle w:val="11"/>
        <w:tabs>
          <w:tab w:val="right" w:leader="dot" w:pos="8312"/>
        </w:tabs>
        <w:spacing w:line="480" w:lineRule="auto"/>
        <w:rPr>
          <w:rFonts w:hint="eastAsia" w:eastAsia="宋体"/>
          <w:sz w:val="28"/>
          <w:szCs w:val="24"/>
          <w:lang w:val="en-US" w:eastAsia="zh-CN"/>
        </w:rPr>
      </w:pPr>
      <w:r>
        <w:fldChar w:fldCharType="begin"/>
      </w:r>
      <w:r>
        <w:instrText xml:space="preserve"> HYPERLINK \l "_Toc29024" </w:instrText>
      </w:r>
      <w:r>
        <w:fldChar w:fldCharType="separate"/>
      </w:r>
      <w:r>
        <w:rPr>
          <w:rFonts w:hint="eastAsia" w:ascii="宋体" w:hAnsi="宋体"/>
          <w:sz w:val="28"/>
          <w:szCs w:val="40"/>
        </w:rPr>
        <w:t>第五章  合同主要条款（参考格式）</w:t>
      </w:r>
      <w:r>
        <w:rPr>
          <w:sz w:val="28"/>
          <w:szCs w:val="24"/>
        </w:rPr>
        <w:tab/>
      </w:r>
      <w:r>
        <w:rPr>
          <w:rFonts w:hint="eastAsia"/>
          <w:sz w:val="28"/>
          <w:szCs w:val="24"/>
          <w:lang w:val="en-US" w:eastAsia="zh-CN"/>
        </w:rPr>
        <w:t>2</w:t>
      </w:r>
      <w:r>
        <w:rPr>
          <w:sz w:val="28"/>
          <w:szCs w:val="24"/>
        </w:rPr>
        <w:fldChar w:fldCharType="end"/>
      </w:r>
      <w:r>
        <w:rPr>
          <w:rFonts w:hint="eastAsia"/>
          <w:sz w:val="28"/>
          <w:szCs w:val="24"/>
          <w:lang w:val="en-US" w:eastAsia="zh-CN"/>
        </w:rPr>
        <w:t>2</w:t>
      </w:r>
    </w:p>
    <w:p w14:paraId="45E91475">
      <w:pPr>
        <w:pStyle w:val="11"/>
        <w:tabs>
          <w:tab w:val="right" w:leader="dot" w:pos="8312"/>
        </w:tabs>
        <w:spacing w:line="480" w:lineRule="auto"/>
        <w:rPr>
          <w:sz w:val="28"/>
          <w:szCs w:val="24"/>
        </w:rPr>
      </w:pPr>
      <w:r>
        <w:fldChar w:fldCharType="begin"/>
      </w:r>
      <w:r>
        <w:instrText xml:space="preserve"> HYPERLINK \l "_Toc21573" </w:instrText>
      </w:r>
      <w:r>
        <w:fldChar w:fldCharType="separate"/>
      </w:r>
      <w:r>
        <w:rPr>
          <w:rFonts w:hint="eastAsia" w:hAnsi="宋体"/>
          <w:sz w:val="28"/>
          <w:szCs w:val="40"/>
        </w:rPr>
        <w:t>第六章　投标文件格式</w:t>
      </w:r>
      <w:r>
        <w:rPr>
          <w:sz w:val="28"/>
          <w:szCs w:val="24"/>
        </w:rPr>
        <w:tab/>
      </w:r>
      <w:r>
        <w:rPr>
          <w:sz w:val="28"/>
          <w:szCs w:val="24"/>
        </w:rPr>
        <w:fldChar w:fldCharType="begin"/>
      </w:r>
      <w:r>
        <w:rPr>
          <w:sz w:val="28"/>
          <w:szCs w:val="24"/>
        </w:rPr>
        <w:instrText xml:space="preserve"> PAGEREF _Toc21573 </w:instrText>
      </w:r>
      <w:r>
        <w:rPr>
          <w:sz w:val="28"/>
          <w:szCs w:val="24"/>
        </w:rPr>
        <w:fldChar w:fldCharType="separate"/>
      </w:r>
      <w:r>
        <w:rPr>
          <w:sz w:val="28"/>
          <w:szCs w:val="24"/>
        </w:rPr>
        <w:t>25</w:t>
      </w:r>
      <w:r>
        <w:rPr>
          <w:sz w:val="28"/>
          <w:szCs w:val="24"/>
        </w:rPr>
        <w:fldChar w:fldCharType="end"/>
      </w:r>
      <w:r>
        <w:rPr>
          <w:sz w:val="28"/>
          <w:szCs w:val="24"/>
        </w:rPr>
        <w:fldChar w:fldCharType="end"/>
      </w:r>
    </w:p>
    <w:p w14:paraId="75512910">
      <w:pPr>
        <w:spacing w:line="480" w:lineRule="auto"/>
        <w:rPr>
          <w:rFonts w:ascii="宋体" w:hAnsi="宋体" w:cs="宋体"/>
          <w:szCs w:val="36"/>
        </w:rPr>
        <w:sectPr>
          <w:footerReference r:id="rId4" w:type="default"/>
          <w:pgSz w:w="11906" w:h="16838"/>
          <w:pgMar w:top="1361" w:right="1400" w:bottom="1304" w:left="1400" w:header="851" w:footer="850" w:gutter="0"/>
          <w:pgNumType w:start="1"/>
          <w:cols w:space="720" w:num="1"/>
          <w:docGrid w:linePitch="312" w:charSpace="0"/>
        </w:sectPr>
      </w:pPr>
      <w:r>
        <w:rPr>
          <w:rFonts w:hint="eastAsia" w:ascii="宋体" w:hAnsi="宋体" w:cs="宋体"/>
          <w:sz w:val="28"/>
          <w:szCs w:val="48"/>
        </w:rPr>
        <w:fldChar w:fldCharType="end"/>
      </w:r>
    </w:p>
    <w:p w14:paraId="4A989AE5">
      <w:pPr>
        <w:pStyle w:val="6"/>
        <w:snapToGrid w:val="0"/>
        <w:spacing w:beforeLines="0" w:afterLines="0" w:line="360" w:lineRule="auto"/>
        <w:ind w:firstLine="601"/>
        <w:jc w:val="center"/>
        <w:outlineLvl w:val="0"/>
        <w:rPr>
          <w:rFonts w:hAnsi="宋体"/>
          <w:b/>
          <w:sz w:val="30"/>
          <w:szCs w:val="30"/>
        </w:rPr>
      </w:pPr>
      <w:bookmarkStart w:id="0" w:name="_Toc13452"/>
      <w:bookmarkStart w:id="1" w:name="_Hlk29211598"/>
      <w:r>
        <w:rPr>
          <w:rFonts w:hint="eastAsia" w:hAnsi="宋体"/>
          <w:b/>
          <w:sz w:val="30"/>
          <w:szCs w:val="30"/>
        </w:rPr>
        <w:t>第一章 招标公告</w:t>
      </w:r>
      <w:bookmarkEnd w:id="0"/>
    </w:p>
    <w:bookmarkEnd w:id="1"/>
    <w:p w14:paraId="2D6B52EC">
      <w:pPr>
        <w:tabs>
          <w:tab w:val="left" w:pos="3150"/>
        </w:tabs>
        <w:snapToGrid w:val="0"/>
        <w:spacing w:line="360" w:lineRule="auto"/>
        <w:ind w:firstLine="420" w:firstLineChars="200"/>
        <w:rPr>
          <w:rFonts w:ascii="宋体" w:hAnsi="宋体"/>
          <w:kern w:val="0"/>
          <w:szCs w:val="21"/>
        </w:rPr>
      </w:pPr>
      <w:r>
        <w:rPr>
          <w:rFonts w:hint="eastAsia" w:ascii="宋体" w:hAnsi="宋体"/>
          <w:kern w:val="0"/>
          <w:szCs w:val="21"/>
        </w:rPr>
        <w:t>宁波杜威工程项目管理有限公司受</w:t>
      </w:r>
      <w:r>
        <w:rPr>
          <w:rFonts w:hint="eastAsia" w:ascii="宋体" w:hAnsi="宋体"/>
          <w:kern w:val="0"/>
          <w:szCs w:val="21"/>
          <w:lang w:eastAsia="zh-CN"/>
        </w:rPr>
        <w:t>宁波市北仑区人民政府春晓街道办事处</w:t>
      </w:r>
      <w:r>
        <w:rPr>
          <w:rFonts w:hint="eastAsia" w:ascii="宋体" w:hAnsi="宋体"/>
          <w:kern w:val="0"/>
          <w:szCs w:val="21"/>
        </w:rPr>
        <w:t>的委托</w:t>
      </w:r>
      <w:r>
        <w:rPr>
          <w:rFonts w:hint="eastAsia" w:ascii="宋体" w:hAnsi="宋体"/>
          <w:kern w:val="0"/>
          <w:szCs w:val="21"/>
          <w:highlight w:val="none"/>
        </w:rPr>
        <w:t>，</w:t>
      </w:r>
      <w:r>
        <w:rPr>
          <w:rFonts w:hint="eastAsia" w:ascii="宋体" w:hAnsi="宋体"/>
          <w:szCs w:val="21"/>
          <w:highlight w:val="none"/>
        </w:rPr>
        <w:t>根据《北仑区(开发区)区级预算单位银行账户和公款存放管理暂行办法的通知》（仑政办</w:t>
      </w:r>
      <w:r>
        <w:rPr>
          <w:rFonts w:hint="eastAsia" w:ascii="宋体" w:hAnsi="宋体" w:cs="宋体"/>
          <w:szCs w:val="21"/>
          <w:highlight w:val="none"/>
        </w:rPr>
        <w:t>〔</w:t>
      </w:r>
      <w:r>
        <w:rPr>
          <w:rFonts w:hint="eastAsia" w:ascii="宋体" w:hAnsi="宋体"/>
          <w:szCs w:val="21"/>
          <w:highlight w:val="none"/>
        </w:rPr>
        <w:t>2019</w:t>
      </w:r>
      <w:r>
        <w:rPr>
          <w:rFonts w:hint="eastAsia" w:ascii="宋体" w:hAnsi="宋体" w:cs="宋体"/>
          <w:szCs w:val="21"/>
          <w:highlight w:val="none"/>
        </w:rPr>
        <w:t>〕</w:t>
      </w:r>
      <w:r>
        <w:rPr>
          <w:rFonts w:hint="eastAsia" w:ascii="宋体" w:hAnsi="宋体"/>
          <w:szCs w:val="21"/>
          <w:highlight w:val="none"/>
        </w:rPr>
        <w:t>90号）等有关法律法规及相关文件规定，</w:t>
      </w:r>
      <w:r>
        <w:rPr>
          <w:rFonts w:hint="eastAsia" w:ascii="宋体" w:hAnsi="宋体"/>
          <w:kern w:val="0"/>
          <w:szCs w:val="21"/>
          <w:highlight w:val="none"/>
        </w:rPr>
        <w:t>就</w:t>
      </w:r>
      <w:r>
        <w:rPr>
          <w:rFonts w:hint="eastAsia" w:ascii="宋体" w:hAnsi="宋体"/>
          <w:kern w:val="0"/>
          <w:szCs w:val="21"/>
          <w:highlight w:val="none"/>
          <w:u w:val="single"/>
          <w:lang w:eastAsia="zh-CN"/>
        </w:rPr>
        <w:t>中国共产党宁波市北仑区委员会春晓街道工作委员会银行专户开</w:t>
      </w:r>
      <w:r>
        <w:rPr>
          <w:rFonts w:hint="eastAsia" w:ascii="宋体" w:hAnsi="宋体"/>
          <w:kern w:val="0"/>
          <w:szCs w:val="21"/>
          <w:u w:val="single"/>
          <w:lang w:eastAsia="zh-CN"/>
        </w:rPr>
        <w:t>立服务机构招标项目</w:t>
      </w:r>
      <w:r>
        <w:rPr>
          <w:rFonts w:hint="eastAsia" w:ascii="宋体" w:hAnsi="宋体"/>
          <w:kern w:val="0"/>
          <w:szCs w:val="21"/>
        </w:rPr>
        <w:t>进行公开招标。</w:t>
      </w:r>
      <w:r>
        <w:rPr>
          <w:rFonts w:hint="eastAsia" w:ascii="宋体" w:hAnsi="宋体"/>
          <w:szCs w:val="21"/>
        </w:rPr>
        <w:t>欢迎具备本项目资格要求且能够及时提供相关服务的投标人参加投标</w:t>
      </w:r>
      <w:r>
        <w:rPr>
          <w:rFonts w:ascii="宋体" w:hAnsi="宋体"/>
          <w:kern w:val="0"/>
          <w:szCs w:val="21"/>
        </w:rPr>
        <w:t>。</w:t>
      </w:r>
    </w:p>
    <w:p w14:paraId="68507F19">
      <w:pPr>
        <w:tabs>
          <w:tab w:val="left" w:pos="3150"/>
        </w:tabs>
        <w:snapToGrid w:val="0"/>
        <w:spacing w:line="360" w:lineRule="auto"/>
        <w:rPr>
          <w:rFonts w:hint="eastAsia" w:ascii="宋体" w:hAnsi="宋体" w:eastAsia="宋体"/>
          <w:kern w:val="0"/>
          <w:szCs w:val="21"/>
          <w:lang w:eastAsia="zh-CN"/>
        </w:rPr>
      </w:pPr>
      <w:r>
        <w:rPr>
          <w:rFonts w:ascii="宋体" w:hAnsi="宋体"/>
          <w:b/>
          <w:bCs/>
          <w:kern w:val="0"/>
          <w:szCs w:val="21"/>
        </w:rPr>
        <w:t>一、</w:t>
      </w:r>
      <w:r>
        <w:rPr>
          <w:rFonts w:hint="eastAsia" w:ascii="宋体" w:hAnsi="宋体"/>
          <w:b/>
          <w:bCs/>
          <w:kern w:val="0"/>
          <w:szCs w:val="21"/>
        </w:rPr>
        <w:t>招标</w:t>
      </w:r>
      <w:r>
        <w:rPr>
          <w:rFonts w:ascii="宋体" w:hAnsi="宋体"/>
          <w:b/>
          <w:bCs/>
          <w:kern w:val="0"/>
          <w:szCs w:val="21"/>
        </w:rPr>
        <w:t>项目名称：</w:t>
      </w:r>
      <w:r>
        <w:rPr>
          <w:rFonts w:hint="eastAsia" w:ascii="宋体" w:hAnsi="宋体"/>
          <w:kern w:val="0"/>
          <w:szCs w:val="21"/>
          <w:lang w:eastAsia="zh-CN"/>
        </w:rPr>
        <w:t>中国共产党宁波市北仑区委员会春晓街道工作委员会银行专户开立服务机构招标项目</w:t>
      </w:r>
    </w:p>
    <w:p w14:paraId="3A202998">
      <w:pPr>
        <w:spacing w:line="360" w:lineRule="auto"/>
        <w:jc w:val="left"/>
        <w:rPr>
          <w:rFonts w:ascii="宋体" w:hAnsi="宋体"/>
          <w:b/>
          <w:szCs w:val="21"/>
        </w:rPr>
      </w:pPr>
      <w:r>
        <w:rPr>
          <w:rFonts w:hint="eastAsia" w:ascii="宋体" w:hAnsi="宋体"/>
          <w:b/>
          <w:szCs w:val="21"/>
        </w:rPr>
        <w:t>二、项目概况：</w:t>
      </w:r>
    </w:p>
    <w:p w14:paraId="3B59CB4D">
      <w:pPr>
        <w:tabs>
          <w:tab w:val="left" w:pos="3150"/>
        </w:tabs>
        <w:snapToGrid w:val="0"/>
        <w:spacing w:line="360" w:lineRule="auto"/>
        <w:ind w:firstLine="420" w:firstLineChars="200"/>
        <w:rPr>
          <w:rFonts w:ascii="宋体" w:hAnsi="宋体"/>
          <w:szCs w:val="21"/>
        </w:rPr>
      </w:pPr>
      <w:r>
        <w:rPr>
          <w:rFonts w:hint="eastAsia" w:ascii="宋体" w:hAnsi="宋体"/>
          <w:szCs w:val="21"/>
        </w:rPr>
        <w:t>本次招标为</w:t>
      </w:r>
      <w:r>
        <w:rPr>
          <w:rFonts w:hint="eastAsia" w:ascii="宋体" w:hAnsi="宋体"/>
          <w:kern w:val="0"/>
          <w:szCs w:val="21"/>
          <w:lang w:eastAsia="zh-CN"/>
        </w:rPr>
        <w:t>中国共产党宁波市北仑区委员会春晓街道工作委员会银行专户开立服务机构招标</w:t>
      </w:r>
      <w:r>
        <w:rPr>
          <w:rFonts w:hint="eastAsia" w:ascii="宋体" w:hAnsi="宋体"/>
          <w:szCs w:val="21"/>
        </w:rPr>
        <w:t>，采用综合评分的方式从合格的投标人中择优选择综合得分排名第1名的银行，作为中标单位，</w:t>
      </w:r>
      <w:r>
        <w:rPr>
          <w:rFonts w:hint="eastAsia" w:ascii="宋体" w:hAnsi="宋体"/>
          <w:szCs w:val="21"/>
          <w:lang w:val="en-US" w:eastAsia="zh-CN"/>
        </w:rPr>
        <w:t>承担</w:t>
      </w:r>
      <w:r>
        <w:rPr>
          <w:rFonts w:hint="eastAsia" w:ascii="宋体" w:hAnsi="宋体"/>
          <w:kern w:val="0"/>
          <w:szCs w:val="21"/>
          <w:lang w:eastAsia="zh-CN"/>
        </w:rPr>
        <w:t>中国共产党宁波市北仑区委员会春晓街道工作委员会银行专户开立</w:t>
      </w:r>
      <w:r>
        <w:rPr>
          <w:rFonts w:hint="eastAsia" w:ascii="宋体" w:hAnsi="宋体"/>
          <w:kern w:val="0"/>
          <w:szCs w:val="21"/>
          <w:lang w:val="en-US" w:eastAsia="zh-CN"/>
        </w:rPr>
        <w:t>服务</w:t>
      </w:r>
      <w:r>
        <w:rPr>
          <w:rFonts w:hint="eastAsia" w:ascii="宋体" w:hAnsi="宋体"/>
          <w:szCs w:val="21"/>
          <w:lang w:val="en-US" w:eastAsia="zh-CN"/>
        </w:rPr>
        <w:t xml:space="preserve"> ，</w:t>
      </w:r>
      <w:r>
        <w:rPr>
          <w:rFonts w:hint="eastAsia" w:ascii="宋体" w:hAnsi="宋体"/>
          <w:szCs w:val="21"/>
        </w:rPr>
        <w:t>并提供相关服务。</w:t>
      </w:r>
    </w:p>
    <w:p w14:paraId="693B868B">
      <w:pPr>
        <w:tabs>
          <w:tab w:val="left" w:pos="3150"/>
        </w:tabs>
        <w:snapToGrid w:val="0"/>
        <w:spacing w:line="360" w:lineRule="auto"/>
        <w:rPr>
          <w:rFonts w:ascii="宋体" w:hAnsi="宋体"/>
          <w:b/>
          <w:bCs/>
          <w:kern w:val="0"/>
          <w:szCs w:val="21"/>
        </w:rPr>
      </w:pPr>
      <w:r>
        <w:rPr>
          <w:rFonts w:hint="eastAsia" w:ascii="宋体" w:hAnsi="宋体"/>
          <w:b/>
          <w:bCs/>
          <w:kern w:val="0"/>
          <w:szCs w:val="21"/>
        </w:rPr>
        <w:t>三</w:t>
      </w:r>
      <w:r>
        <w:rPr>
          <w:rFonts w:ascii="宋体" w:hAnsi="宋体"/>
          <w:b/>
          <w:bCs/>
          <w:kern w:val="0"/>
          <w:szCs w:val="21"/>
        </w:rPr>
        <w:t>、</w:t>
      </w:r>
      <w:r>
        <w:rPr>
          <w:rFonts w:hint="eastAsia" w:ascii="宋体" w:hAnsi="宋体"/>
          <w:b/>
          <w:szCs w:val="21"/>
        </w:rPr>
        <w:t>投标人资格条件：</w:t>
      </w:r>
    </w:p>
    <w:p w14:paraId="43184662">
      <w:pPr>
        <w:tabs>
          <w:tab w:val="left" w:pos="3150"/>
        </w:tabs>
        <w:snapToGrid w:val="0"/>
        <w:spacing w:line="360" w:lineRule="auto"/>
        <w:ind w:firstLine="420" w:firstLineChars="200"/>
        <w:rPr>
          <w:rFonts w:ascii="宋体" w:hAnsi="宋体"/>
          <w:szCs w:val="21"/>
          <w:highlight w:val="none"/>
        </w:rPr>
      </w:pPr>
      <w:r>
        <w:rPr>
          <w:rFonts w:hint="eastAsia" w:ascii="宋体" w:hAnsi="宋体"/>
          <w:szCs w:val="21"/>
          <w:highlight w:val="none"/>
          <w:lang w:val="en-US" w:eastAsia="zh-CN"/>
        </w:rPr>
        <w:t>根据</w:t>
      </w:r>
      <w:r>
        <w:rPr>
          <w:rFonts w:hint="eastAsia" w:ascii="宋体" w:hAnsi="宋体"/>
          <w:szCs w:val="21"/>
          <w:highlight w:val="none"/>
        </w:rPr>
        <w:t>《关于进一步规范</w:t>
      </w:r>
      <w:r>
        <w:rPr>
          <w:rFonts w:hint="eastAsia" w:ascii="宋体" w:hAnsi="宋体"/>
          <w:szCs w:val="21"/>
          <w:highlight w:val="none"/>
          <w:lang w:val="en-US" w:eastAsia="zh-CN"/>
        </w:rPr>
        <w:t>区</w:t>
      </w:r>
      <w:r>
        <w:rPr>
          <w:rFonts w:hint="eastAsia" w:ascii="宋体" w:hAnsi="宋体"/>
          <w:szCs w:val="21"/>
          <w:highlight w:val="none"/>
        </w:rPr>
        <w:t>管党费收缴使用管理的实施意见》（</w:t>
      </w:r>
      <w:r>
        <w:rPr>
          <w:rFonts w:hint="eastAsia" w:ascii="宋体" w:hAnsi="宋体"/>
          <w:szCs w:val="21"/>
          <w:highlight w:val="none"/>
          <w:lang w:val="en-US" w:eastAsia="zh-CN"/>
        </w:rPr>
        <w:t>仑委组[</w:t>
      </w:r>
      <w:r>
        <w:rPr>
          <w:rFonts w:hint="eastAsia" w:ascii="宋体" w:hAnsi="宋体"/>
          <w:szCs w:val="21"/>
          <w:highlight w:val="none"/>
        </w:rPr>
        <w:t>2025</w:t>
      </w:r>
      <w:r>
        <w:rPr>
          <w:rFonts w:hint="eastAsia" w:ascii="宋体" w:hAnsi="宋体"/>
          <w:szCs w:val="21"/>
          <w:highlight w:val="none"/>
          <w:lang w:val="en-US" w:eastAsia="zh-CN"/>
        </w:rPr>
        <w:t>]24</w:t>
      </w:r>
      <w:r>
        <w:rPr>
          <w:rFonts w:hint="eastAsia" w:ascii="宋体" w:hAnsi="宋体"/>
          <w:szCs w:val="21"/>
          <w:highlight w:val="none"/>
        </w:rPr>
        <w:t>号）</w:t>
      </w:r>
      <w:r>
        <w:rPr>
          <w:rFonts w:hint="eastAsia" w:ascii="宋体" w:hAnsi="宋体"/>
          <w:szCs w:val="21"/>
          <w:highlight w:val="none"/>
          <w:lang w:val="en-US" w:eastAsia="zh-CN"/>
        </w:rPr>
        <w:t>文件规定，</w:t>
      </w:r>
      <w:r>
        <w:rPr>
          <w:rFonts w:hint="eastAsia" w:ascii="宋体" w:hAnsi="宋体"/>
          <w:szCs w:val="21"/>
          <w:highlight w:val="none"/>
        </w:rPr>
        <w:t>在中华人民共和国境内依法设立的国有银行，并符合以下条件：</w:t>
      </w:r>
    </w:p>
    <w:p w14:paraId="00CC1C65">
      <w:pPr>
        <w:tabs>
          <w:tab w:val="left" w:pos="3150"/>
        </w:tabs>
        <w:snapToGrid w:val="0"/>
        <w:spacing w:line="360" w:lineRule="auto"/>
        <w:ind w:firstLine="422" w:firstLineChars="200"/>
        <w:rPr>
          <w:rFonts w:hint="eastAsia" w:ascii="宋体" w:hAnsi="宋体" w:cs="Times New Roman"/>
          <w:szCs w:val="21"/>
          <w:highlight w:val="none"/>
          <w:lang w:eastAsia="zh-CN"/>
        </w:rPr>
      </w:pPr>
      <w:r>
        <w:rPr>
          <w:rFonts w:hint="eastAsia" w:ascii="宋体" w:hAnsi="宋体"/>
          <w:b/>
          <w:bCs/>
          <w:kern w:val="0"/>
          <w:szCs w:val="21"/>
        </w:rPr>
        <w:t>1.</w:t>
      </w:r>
      <w:r>
        <w:rPr>
          <w:rFonts w:hint="eastAsia" w:ascii="宋体" w:hAnsi="宋体"/>
          <w:szCs w:val="21"/>
        </w:rPr>
        <w:t>持有中国银行业监督管理委员会宁波监管局核发有效的《中华人民共和国金融许可证》和市场监督管理部门核发有效的《营业执照》且其“营业场所”或“住所”载明属于宁波市北仑区域，同时在北仑区域设有分支机构（通指一级支行及以上金融机构）</w:t>
      </w:r>
    </w:p>
    <w:p w14:paraId="16FACC01">
      <w:pPr>
        <w:tabs>
          <w:tab w:val="left" w:pos="3150"/>
        </w:tabs>
        <w:snapToGrid w:val="0"/>
        <w:spacing w:line="360" w:lineRule="auto"/>
        <w:ind w:firstLine="420" w:firstLineChars="200"/>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2.</w:t>
      </w:r>
      <w:r>
        <w:rPr>
          <w:rFonts w:hint="eastAsia" w:ascii="宋体" w:hAnsi="宋体" w:cs="Times New Roman"/>
          <w:szCs w:val="21"/>
          <w:highlight w:val="none"/>
          <w:lang w:eastAsia="zh-CN"/>
        </w:rPr>
        <w:t>依法开展经营活动，在近3年经营活动中无重大违法违规记录及重大违约事件。</w:t>
      </w:r>
    </w:p>
    <w:p w14:paraId="65DE4E5C">
      <w:pPr>
        <w:tabs>
          <w:tab w:val="left" w:pos="3150"/>
        </w:tabs>
        <w:snapToGrid w:val="0"/>
        <w:spacing w:line="360" w:lineRule="auto"/>
        <w:ind w:firstLine="420" w:firstLineChars="20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3.</w:t>
      </w:r>
      <w:r>
        <w:rPr>
          <w:rFonts w:hint="eastAsia" w:ascii="宋体" w:hAnsi="宋体" w:cs="Times New Roman"/>
          <w:szCs w:val="21"/>
          <w:highlight w:val="none"/>
          <w:lang w:eastAsia="zh-CN"/>
        </w:rPr>
        <w:t>具有履行合同所必需的设备和专业技术能力,资信状况和经营业绩优良，具有较</w:t>
      </w:r>
      <w:r>
        <w:rPr>
          <w:rFonts w:hint="eastAsia" w:ascii="宋体" w:hAnsi="宋体" w:cs="Times New Roman"/>
          <w:szCs w:val="21"/>
          <w:highlight w:val="none"/>
          <w:lang w:val="en-US" w:eastAsia="zh-CN"/>
        </w:rPr>
        <w:t>强的风险控制能力。</w:t>
      </w:r>
    </w:p>
    <w:p w14:paraId="04F5C172">
      <w:pPr>
        <w:tabs>
          <w:tab w:val="left" w:pos="3150"/>
        </w:tabs>
        <w:snapToGrid w:val="0"/>
        <w:spacing w:line="360" w:lineRule="auto"/>
        <w:ind w:firstLine="420" w:firstLineChars="200"/>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.财务稳健，资金充足率、不良贷款率、拨备覆盖率、流动性覆盖率、流动性比例等指标达到监管要求。</w:t>
      </w:r>
    </w:p>
    <w:p w14:paraId="64E0A78D">
      <w:pPr>
        <w:tabs>
          <w:tab w:val="left" w:pos="3150"/>
        </w:tabs>
        <w:snapToGrid w:val="0"/>
        <w:spacing w:line="360" w:lineRule="auto"/>
        <w:ind w:firstLine="420" w:firstLineChars="200"/>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.内部管理机制健全，具有较强的风险控制能力，近3年内未发生金融风险及重大违约事件。</w:t>
      </w:r>
    </w:p>
    <w:p w14:paraId="07DA3FD0">
      <w:pPr>
        <w:tabs>
          <w:tab w:val="left" w:pos="3150"/>
        </w:tabs>
        <w:snapToGrid w:val="0"/>
        <w:spacing w:line="360" w:lineRule="auto"/>
        <w:ind w:firstLine="420" w:firstLineChars="200"/>
        <w:rPr>
          <w:rFonts w:hint="default" w:ascii="宋体" w:hAnsi="宋体" w:cs="Times New Roman"/>
          <w:szCs w:val="21"/>
          <w:highlight w:val="none"/>
          <w:lang w:val="en-US" w:eastAsia="zh-CN"/>
        </w:rPr>
      </w:pPr>
      <w:r>
        <w:rPr>
          <w:rFonts w:hint="eastAsia" w:ascii="宋体" w:hAnsi="宋体" w:cs="Times New Roman"/>
          <w:szCs w:val="21"/>
          <w:highlight w:val="none"/>
          <w:lang w:val="en-US" w:eastAsia="zh-CN"/>
        </w:rPr>
        <w:t>6.同一家金融机构只能有一家分支机构参加投标。如出现多家分支机构报名的，投标时凭该金融机构宁波市分行及以上机构出具的唯一授权书才能进行投标，否则其投标文件均作否决投标处理。</w:t>
      </w:r>
    </w:p>
    <w:p w14:paraId="36968BA2">
      <w:pPr>
        <w:tabs>
          <w:tab w:val="left" w:pos="3150"/>
        </w:tabs>
        <w:snapToGrid w:val="0"/>
        <w:spacing w:line="360" w:lineRule="auto"/>
        <w:ind w:firstLine="420" w:firstLineChars="200"/>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7.本项目采用资格后审，投标文件中提供资格证明资料。</w:t>
      </w:r>
    </w:p>
    <w:p w14:paraId="6DBF2130">
      <w:pPr>
        <w:spacing w:line="360" w:lineRule="auto"/>
        <w:ind w:firstLine="422" w:firstLineChars="200"/>
        <w:rPr>
          <w:rFonts w:ascii="宋体" w:hAnsi="宋体"/>
          <w:b/>
          <w:szCs w:val="21"/>
        </w:rPr>
      </w:pPr>
      <w:r>
        <w:rPr>
          <w:rFonts w:hint="eastAsia" w:ascii="宋体" w:hAnsi="宋体"/>
          <w:b/>
          <w:szCs w:val="21"/>
        </w:rPr>
        <w:t>注：（1）法定代表人为同一个人的两个及两个以上法人，母公司、全资子公司及其控股公司，都不得在同一项目招标中同时投标。（2）</w:t>
      </w:r>
      <w:r>
        <w:rPr>
          <w:rFonts w:hint="eastAsia" w:ascii="宋体" w:hAnsi="宋体"/>
          <w:b/>
          <w:bCs/>
          <w:szCs w:val="21"/>
        </w:rPr>
        <w:t>本项目不接受联合体投标。</w:t>
      </w:r>
    </w:p>
    <w:p w14:paraId="5E55AE2F">
      <w:pPr>
        <w:adjustRightInd w:val="0"/>
        <w:snapToGrid w:val="0"/>
        <w:spacing w:line="360" w:lineRule="auto"/>
        <w:rPr>
          <w:rFonts w:ascii="宋体" w:hAnsi="宋体" w:cs="Arial"/>
          <w:b/>
          <w:szCs w:val="21"/>
        </w:rPr>
      </w:pPr>
      <w:r>
        <w:rPr>
          <w:rFonts w:hint="eastAsia" w:ascii="宋体" w:hAnsi="宋体"/>
          <w:b/>
          <w:szCs w:val="21"/>
        </w:rPr>
        <w:t>四、</w:t>
      </w:r>
      <w:r>
        <w:rPr>
          <w:rFonts w:hint="eastAsia" w:ascii="宋体" w:hAnsi="宋体" w:cs="Arial"/>
          <w:b/>
          <w:szCs w:val="21"/>
        </w:rPr>
        <w:t>投标报名</w:t>
      </w:r>
    </w:p>
    <w:p w14:paraId="640FC19D">
      <w:pPr>
        <w:spacing w:line="360" w:lineRule="auto"/>
        <w:ind w:firstLine="420" w:firstLineChars="200"/>
        <w:rPr>
          <w:rFonts w:ascii="宋体" w:hAnsi="宋体" w:cs="Arial"/>
          <w:szCs w:val="21"/>
        </w:rPr>
      </w:pPr>
      <w:r>
        <w:rPr>
          <w:rFonts w:hint="eastAsia" w:ascii="宋体" w:hAnsi="宋体" w:cs="Arial"/>
          <w:szCs w:val="21"/>
        </w:rPr>
        <w:t>1.报名时间</w:t>
      </w:r>
      <w:r>
        <w:rPr>
          <w:rFonts w:ascii="宋体" w:hAnsi="宋体" w:cs="Arial"/>
          <w:szCs w:val="21"/>
        </w:rPr>
        <w:t>：</w:t>
      </w:r>
      <w:r>
        <w:rPr>
          <w:rFonts w:hint="eastAsia" w:ascii="宋体" w:hAnsi="宋体"/>
          <w:szCs w:val="21"/>
        </w:rPr>
        <w:t>发招标公告之日</w:t>
      </w:r>
      <w:r>
        <w:rPr>
          <w:rFonts w:ascii="宋体" w:hAnsi="宋体" w:cs="Arial"/>
          <w:szCs w:val="21"/>
        </w:rPr>
        <w:t>起至</w:t>
      </w:r>
      <w:r>
        <w:rPr>
          <w:rFonts w:hint="eastAsia" w:ascii="宋体" w:hAnsi="宋体"/>
          <w:szCs w:val="21"/>
          <w:lang w:eastAsia="zh-CN"/>
        </w:rPr>
        <w:t>2025</w:t>
      </w:r>
      <w:r>
        <w:rPr>
          <w:rFonts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17</w:t>
      </w:r>
      <w:r>
        <w:rPr>
          <w:rFonts w:hint="eastAsia" w:ascii="宋体" w:hAnsi="宋体"/>
          <w:szCs w:val="21"/>
        </w:rPr>
        <w:t>日</w:t>
      </w:r>
      <w:r>
        <w:rPr>
          <w:rFonts w:ascii="宋体" w:hAnsi="宋体" w:cs="Arial"/>
          <w:szCs w:val="21"/>
        </w:rPr>
        <w:t>。</w:t>
      </w:r>
    </w:p>
    <w:p w14:paraId="7A9CF212">
      <w:pPr>
        <w:spacing w:line="360" w:lineRule="auto"/>
        <w:ind w:firstLine="420" w:firstLineChars="200"/>
        <w:rPr>
          <w:rFonts w:ascii="宋体" w:hAnsi="宋体" w:cs="Arial"/>
          <w:szCs w:val="21"/>
        </w:rPr>
      </w:pPr>
      <w:r>
        <w:rPr>
          <w:rFonts w:hint="eastAsia" w:ascii="宋体" w:hAnsi="宋体" w:cs="Arial"/>
          <w:szCs w:val="21"/>
        </w:rPr>
        <w:t>2.报名方式</w:t>
      </w:r>
      <w:r>
        <w:rPr>
          <w:rFonts w:ascii="宋体" w:hAnsi="宋体" w:cs="Arial"/>
          <w:szCs w:val="21"/>
        </w:rPr>
        <w:t>：</w:t>
      </w:r>
      <w:r>
        <w:rPr>
          <w:rFonts w:hint="eastAsia" w:ascii="宋体" w:hAnsi="宋体" w:cs="Arial"/>
          <w:szCs w:val="21"/>
        </w:rPr>
        <w:t>本项目实行网上报名，不接受现场报名。报名银行须登录政府采购云平台（https://www.zcygov.cn），进入公款竞争性存放招标系统（以下简称“招标系统”），在“竞标项目-进行中”标签页下，选择状态为“未报名”的项目，点击操作栏【报名】按钮进行报名。</w:t>
      </w:r>
    </w:p>
    <w:p w14:paraId="185AAF7B">
      <w:pPr>
        <w:spacing w:line="360" w:lineRule="auto"/>
        <w:ind w:firstLine="420" w:firstLineChars="200"/>
        <w:rPr>
          <w:rFonts w:ascii="宋体" w:hAnsi="宋体" w:cs="宋体"/>
          <w:szCs w:val="21"/>
        </w:rPr>
      </w:pPr>
      <w:r>
        <w:rPr>
          <w:rFonts w:hint="eastAsia" w:ascii="宋体" w:hAnsi="宋体" w:cs="Arial"/>
          <w:szCs w:val="21"/>
        </w:rPr>
        <w:t>3.招标文件获取方式：报名成功后可在线查阅招标文件</w:t>
      </w:r>
      <w:r>
        <w:rPr>
          <w:rFonts w:hint="eastAsia" w:ascii="宋体" w:hAnsi="宋体" w:cs="宋体"/>
          <w:szCs w:val="21"/>
        </w:rPr>
        <w:t>。</w:t>
      </w:r>
    </w:p>
    <w:p w14:paraId="52E0BC08">
      <w:pPr>
        <w:spacing w:line="360" w:lineRule="auto"/>
        <w:ind w:firstLine="420" w:firstLineChars="200"/>
        <w:rPr>
          <w:rFonts w:ascii="宋体"/>
          <w:szCs w:val="21"/>
        </w:rPr>
      </w:pPr>
      <w:r>
        <w:rPr>
          <w:rFonts w:hint="eastAsia" w:ascii="宋体"/>
          <w:szCs w:val="21"/>
        </w:rPr>
        <w:t>注意事项：还未在政采云平台完成账号注册的投标银</w:t>
      </w:r>
      <w:bookmarkStart w:id="17" w:name="_GoBack"/>
      <w:bookmarkEnd w:id="17"/>
      <w:r>
        <w:rPr>
          <w:rFonts w:hint="eastAsia" w:ascii="宋体"/>
          <w:szCs w:val="21"/>
        </w:rPr>
        <w:t>行，请参照《银行入驻手册--公款竞争性存放平台》完成入驻。入驻审核通过后方能参与线上报名、投标等操作；未在规定的招标文件提供期限内或未按上述方式获取招标文件的，其投标均视为无效，并不得对招标文件提起质疑投诉。</w:t>
      </w:r>
    </w:p>
    <w:p w14:paraId="28826676">
      <w:pPr>
        <w:widowControl/>
        <w:spacing w:line="360" w:lineRule="auto"/>
        <w:rPr>
          <w:rFonts w:ascii="宋体" w:hAnsi="宋体" w:cs="Arial"/>
          <w:b/>
          <w:szCs w:val="21"/>
        </w:rPr>
      </w:pPr>
      <w:r>
        <w:rPr>
          <w:rFonts w:hint="eastAsia" w:ascii="宋体" w:hAnsi="宋体"/>
          <w:b/>
          <w:szCs w:val="21"/>
        </w:rPr>
        <w:t>五、</w:t>
      </w:r>
      <w:r>
        <w:rPr>
          <w:rFonts w:hint="eastAsia" w:ascii="宋体" w:hAnsi="宋体" w:cs="Arial"/>
          <w:b/>
          <w:szCs w:val="21"/>
        </w:rPr>
        <w:t>投标起止时间及方式</w:t>
      </w:r>
    </w:p>
    <w:p w14:paraId="39596D14">
      <w:pPr>
        <w:spacing w:line="360" w:lineRule="auto"/>
        <w:ind w:firstLine="420" w:firstLineChars="200"/>
        <w:rPr>
          <w:rFonts w:ascii="宋体" w:hAnsi="宋体"/>
          <w:bCs/>
          <w:kern w:val="0"/>
          <w:szCs w:val="21"/>
        </w:rPr>
      </w:pPr>
      <w:r>
        <w:rPr>
          <w:rFonts w:hint="eastAsia" w:ascii="宋体" w:hAnsi="宋体"/>
          <w:bCs/>
          <w:kern w:val="0"/>
          <w:szCs w:val="21"/>
        </w:rPr>
        <w:t>1.投标截止时间：</w:t>
      </w:r>
      <w:r>
        <w:rPr>
          <w:rFonts w:hint="eastAsia" w:ascii="宋体" w:hAnsi="宋体"/>
          <w:bCs/>
          <w:kern w:val="0"/>
          <w:szCs w:val="21"/>
          <w:lang w:eastAsia="zh-CN"/>
        </w:rPr>
        <w:t>2025</w:t>
      </w:r>
      <w:r>
        <w:rPr>
          <w:rFonts w:hint="eastAsia" w:ascii="宋体" w:hAnsi="宋体"/>
          <w:bCs/>
          <w:kern w:val="0"/>
          <w:szCs w:val="21"/>
        </w:rPr>
        <w:t>年</w:t>
      </w:r>
      <w:r>
        <w:rPr>
          <w:rFonts w:hint="eastAsia" w:ascii="宋体" w:hAnsi="宋体"/>
          <w:bCs/>
          <w:kern w:val="0"/>
          <w:szCs w:val="21"/>
          <w:lang w:val="en-US" w:eastAsia="zh-CN"/>
        </w:rPr>
        <w:t>7</w:t>
      </w:r>
      <w:r>
        <w:rPr>
          <w:rFonts w:hint="eastAsia" w:ascii="宋体" w:hAnsi="宋体"/>
          <w:bCs/>
          <w:kern w:val="0"/>
          <w:szCs w:val="21"/>
        </w:rPr>
        <w:t>月</w:t>
      </w:r>
      <w:r>
        <w:rPr>
          <w:rFonts w:hint="eastAsia" w:ascii="宋体" w:hAnsi="宋体"/>
          <w:bCs/>
          <w:kern w:val="0"/>
          <w:szCs w:val="21"/>
          <w:lang w:val="en-US" w:eastAsia="zh-CN"/>
        </w:rPr>
        <w:t>18</w:t>
      </w:r>
      <w:r>
        <w:rPr>
          <w:rFonts w:hint="eastAsia" w:ascii="宋体" w:hAnsi="宋体"/>
          <w:bCs/>
          <w:kern w:val="0"/>
          <w:szCs w:val="21"/>
        </w:rPr>
        <w:t>日</w:t>
      </w:r>
      <w:r>
        <w:rPr>
          <w:rFonts w:hint="eastAsia" w:ascii="宋体" w:hAnsi="宋体"/>
          <w:bCs/>
          <w:kern w:val="0"/>
          <w:szCs w:val="21"/>
          <w:lang w:val="en-US" w:eastAsia="zh-CN"/>
        </w:rPr>
        <w:t xml:space="preserve"> 13 </w:t>
      </w:r>
      <w:r>
        <w:rPr>
          <w:rFonts w:hint="eastAsia" w:ascii="宋体" w:hAnsi="宋体"/>
          <w:bCs/>
          <w:kern w:val="0"/>
          <w:szCs w:val="21"/>
        </w:rPr>
        <w:t>时</w:t>
      </w:r>
      <w:r>
        <w:rPr>
          <w:rFonts w:hint="eastAsia" w:ascii="宋体" w:hAnsi="宋体"/>
          <w:bCs/>
          <w:kern w:val="0"/>
          <w:szCs w:val="21"/>
          <w:lang w:val="en-US" w:eastAsia="zh-CN"/>
        </w:rPr>
        <w:t>30</w:t>
      </w:r>
      <w:r>
        <w:rPr>
          <w:rFonts w:hint="eastAsia" w:ascii="宋体" w:hAnsi="宋体"/>
          <w:bCs/>
          <w:kern w:val="0"/>
          <w:szCs w:val="21"/>
        </w:rPr>
        <w:t>分</w:t>
      </w:r>
    </w:p>
    <w:p w14:paraId="495C0F3A">
      <w:pPr>
        <w:spacing w:line="360" w:lineRule="auto"/>
        <w:ind w:firstLine="420" w:firstLineChars="200"/>
        <w:rPr>
          <w:rFonts w:ascii="宋体" w:hAnsi="宋体"/>
          <w:bCs/>
          <w:kern w:val="0"/>
          <w:szCs w:val="21"/>
        </w:rPr>
      </w:pPr>
      <w:r>
        <w:rPr>
          <w:rFonts w:hint="eastAsia" w:ascii="宋体" w:hAnsi="宋体"/>
          <w:bCs/>
          <w:kern w:val="0"/>
          <w:szCs w:val="21"/>
        </w:rPr>
        <w:t>2.本项目实行网上电子投标，投标人可在系统中编制投标文件，且应于投标截止时间前，登录政府采购云平台，按规定进行投标，逾期投标视为未投标。</w:t>
      </w:r>
    </w:p>
    <w:p w14:paraId="49EA3A55">
      <w:pPr>
        <w:spacing w:line="360" w:lineRule="auto"/>
        <w:jc w:val="left"/>
        <w:rPr>
          <w:rFonts w:ascii="宋体" w:hAnsi="宋体"/>
          <w:b/>
          <w:szCs w:val="21"/>
        </w:rPr>
      </w:pPr>
      <w:r>
        <w:rPr>
          <w:rFonts w:hint="eastAsia" w:ascii="宋体" w:hAnsi="宋体"/>
          <w:b/>
          <w:szCs w:val="21"/>
        </w:rPr>
        <w:t>六、开标时间和地点：</w:t>
      </w:r>
    </w:p>
    <w:p w14:paraId="002CC74E">
      <w:pPr>
        <w:spacing w:line="360" w:lineRule="auto"/>
        <w:ind w:firstLine="411" w:firstLineChars="196"/>
        <w:rPr>
          <w:rFonts w:ascii="宋体" w:hAnsi="宋体"/>
          <w:szCs w:val="21"/>
        </w:rPr>
      </w:pPr>
      <w:r>
        <w:rPr>
          <w:rFonts w:hint="eastAsia" w:ascii="宋体" w:hAnsi="宋体"/>
          <w:szCs w:val="21"/>
        </w:rPr>
        <w:t>1.开标时间：</w:t>
      </w:r>
      <w:r>
        <w:rPr>
          <w:rFonts w:hint="eastAsia" w:ascii="宋体" w:hAnsi="宋体"/>
          <w:szCs w:val="21"/>
          <w:lang w:eastAsia="zh-CN"/>
        </w:rPr>
        <w:t>2025</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w:t>
      </w:r>
      <w:r>
        <w:rPr>
          <w:rFonts w:hint="eastAsia" w:ascii="宋体" w:hAnsi="宋体"/>
          <w:szCs w:val="21"/>
          <w:lang w:val="en-US" w:eastAsia="zh-CN"/>
        </w:rPr>
        <w:t>13</w:t>
      </w:r>
      <w:r>
        <w:rPr>
          <w:rFonts w:hint="eastAsia" w:ascii="宋体" w:hAnsi="宋体"/>
          <w:szCs w:val="21"/>
        </w:rPr>
        <w:t>:</w:t>
      </w:r>
      <w:r>
        <w:rPr>
          <w:rFonts w:hint="eastAsia" w:ascii="宋体" w:hAnsi="宋体"/>
          <w:szCs w:val="21"/>
          <w:lang w:val="en-US" w:eastAsia="zh-CN"/>
        </w:rPr>
        <w:t>30</w:t>
      </w:r>
      <w:r>
        <w:rPr>
          <w:rFonts w:hint="eastAsia" w:ascii="宋体" w:hAnsi="宋体"/>
          <w:szCs w:val="21"/>
        </w:rPr>
        <w:t>时（北京时间）</w:t>
      </w:r>
    </w:p>
    <w:p w14:paraId="7609B82D">
      <w:pPr>
        <w:spacing w:line="360" w:lineRule="auto"/>
        <w:ind w:firstLine="411" w:firstLineChars="196"/>
        <w:rPr>
          <w:rFonts w:ascii="宋体" w:hAnsi="宋体"/>
          <w:szCs w:val="21"/>
        </w:rPr>
      </w:pPr>
      <w:r>
        <w:rPr>
          <w:rFonts w:hint="eastAsia" w:ascii="宋体" w:hAnsi="宋体"/>
          <w:szCs w:val="21"/>
        </w:rPr>
        <w:t>2.开标地点：</w:t>
      </w:r>
      <w:r>
        <w:rPr>
          <w:rFonts w:hint="eastAsia" w:ascii="宋体" w:hAnsi="宋体" w:cs="Arial"/>
          <w:szCs w:val="21"/>
        </w:rPr>
        <w:t>政府采购云平台（http://zfcg.czt.zj.gov.cn）\</w:t>
      </w:r>
      <w:r>
        <w:rPr>
          <w:rFonts w:ascii="宋体" w:hAnsi="宋体"/>
          <w:szCs w:val="21"/>
        </w:rPr>
        <w:t>宁波市北仑区长江路1166号行政大楼B楼</w:t>
      </w:r>
      <w:r>
        <w:rPr>
          <w:rFonts w:hint="eastAsia" w:ascii="宋体" w:hAnsi="宋体"/>
          <w:szCs w:val="21"/>
          <w:lang w:val="en-US" w:eastAsia="zh-CN"/>
        </w:rPr>
        <w:t>北仑区政务服务中心</w:t>
      </w:r>
      <w:r>
        <w:rPr>
          <w:rFonts w:ascii="宋体" w:hAnsi="宋体"/>
          <w:szCs w:val="21"/>
        </w:rPr>
        <w:t>交易厅（详见中心候标区电子显示屏）</w:t>
      </w:r>
      <w:r>
        <w:rPr>
          <w:rFonts w:hint="eastAsia" w:ascii="宋体" w:hAnsi="宋体"/>
          <w:szCs w:val="21"/>
        </w:rPr>
        <w:t>。</w:t>
      </w:r>
    </w:p>
    <w:p w14:paraId="0ADA0031">
      <w:pPr>
        <w:tabs>
          <w:tab w:val="left" w:pos="3150"/>
        </w:tabs>
        <w:snapToGrid w:val="0"/>
        <w:spacing w:line="360" w:lineRule="auto"/>
        <w:rPr>
          <w:rFonts w:ascii="宋体" w:hAnsi="宋体"/>
          <w:b/>
          <w:bCs/>
          <w:kern w:val="0"/>
          <w:szCs w:val="21"/>
        </w:rPr>
      </w:pPr>
      <w:r>
        <w:rPr>
          <w:rFonts w:hint="eastAsia" w:ascii="宋体" w:hAnsi="宋体"/>
          <w:b/>
          <w:bCs/>
          <w:kern w:val="0"/>
          <w:szCs w:val="21"/>
        </w:rPr>
        <w:t>七、注意事项：</w:t>
      </w:r>
    </w:p>
    <w:p w14:paraId="28BFA16F">
      <w:pPr>
        <w:tabs>
          <w:tab w:val="left" w:pos="3150"/>
        </w:tabs>
        <w:snapToGrid w:val="0"/>
        <w:spacing w:line="360" w:lineRule="auto"/>
        <w:ind w:firstLine="420" w:firstLineChars="200"/>
      </w:pPr>
      <w:r>
        <w:rPr>
          <w:rFonts w:hint="eastAsia"/>
        </w:rPr>
        <w:t>1.投标文件制作：</w:t>
      </w:r>
    </w:p>
    <w:p w14:paraId="7C74370F">
      <w:pPr>
        <w:tabs>
          <w:tab w:val="left" w:pos="3150"/>
        </w:tabs>
        <w:snapToGrid w:val="0"/>
        <w:spacing w:line="360" w:lineRule="auto"/>
        <w:ind w:firstLine="420" w:firstLineChars="200"/>
      </w:pPr>
      <w:r>
        <w:rPr>
          <w:rFonts w:hint="eastAsia"/>
        </w:rPr>
        <w:t>1.1应按照本项目</w:t>
      </w:r>
      <w:r>
        <w:rPr>
          <w:rFonts w:hint="eastAsia"/>
          <w:lang w:val="en-US" w:eastAsia="zh-CN"/>
        </w:rPr>
        <w:t>招标</w:t>
      </w:r>
      <w:r>
        <w:rPr>
          <w:rFonts w:hint="eastAsia"/>
        </w:rPr>
        <w:t>文件和政府采购云平台的要求编制、加密并递交投标文件。投标人在使用系统进行投标的过程中遇到涉及平台使用的任何问题，可致电政府采购云平台技术支持热线咨询，联系方式：</w:t>
      </w:r>
      <w:r>
        <w:rPr>
          <w:rFonts w:hint="eastAsia" w:ascii="宋体" w:hAnsi="宋体" w:cs="宋体"/>
          <w:szCs w:val="21"/>
        </w:rPr>
        <w:t>95763</w:t>
      </w:r>
      <w:r>
        <w:rPr>
          <w:rFonts w:hint="eastAsia"/>
        </w:rPr>
        <w:t>。</w:t>
      </w:r>
    </w:p>
    <w:p w14:paraId="32C7AE93">
      <w:pPr>
        <w:tabs>
          <w:tab w:val="left" w:pos="3150"/>
        </w:tabs>
        <w:snapToGrid w:val="0"/>
        <w:spacing w:line="360" w:lineRule="auto"/>
        <w:ind w:firstLine="420" w:firstLineChars="200"/>
      </w:pPr>
      <w:r>
        <w:rPr>
          <w:rFonts w:hint="eastAsia"/>
        </w:rPr>
        <w:t>1.2投标人通过政府采购云平台电子投标工具制作投标文件，电子投标工具请投标人自行前往浙江政府采购网下载并安装，投标文件制作具体流程详见政府采购云平台。</w:t>
      </w:r>
    </w:p>
    <w:p w14:paraId="3ABFDE26">
      <w:pPr>
        <w:tabs>
          <w:tab w:val="left" w:pos="3150"/>
        </w:tabs>
        <w:snapToGrid w:val="0"/>
        <w:spacing w:line="360" w:lineRule="auto"/>
        <w:ind w:firstLine="420" w:firstLineChars="200"/>
      </w:pPr>
      <w:r>
        <w:rPr>
          <w:rFonts w:hint="eastAsia"/>
        </w:rPr>
        <w:t>1.3以U盘存储的电子备份投标文件1份，按政府采购云平台要求制作的电子备份投标文件，以用于异常情况处理。</w:t>
      </w:r>
    </w:p>
    <w:p w14:paraId="7F2DE934">
      <w:pPr>
        <w:tabs>
          <w:tab w:val="left" w:pos="3150"/>
        </w:tabs>
        <w:snapToGrid w:val="0"/>
        <w:spacing w:line="360" w:lineRule="auto"/>
        <w:ind w:firstLine="420" w:firstLineChars="200"/>
      </w:pPr>
      <w:r>
        <w:rPr>
          <w:rFonts w:hint="eastAsia"/>
        </w:rPr>
        <w:t>2.本招标公告附件中的招标文件仅供阅览使用，投标人应在规定的招标文件获取期限内在政采云平台登录投标人注册的账号后获取招标文件，未按上述方式获招标文件的，不得对</w:t>
      </w:r>
      <w:r>
        <w:rPr>
          <w:rFonts w:hint="eastAsia"/>
          <w:lang w:val="en-US" w:eastAsia="zh-CN"/>
        </w:rPr>
        <w:t>招标</w:t>
      </w:r>
      <w:r>
        <w:rPr>
          <w:rFonts w:hint="eastAsia"/>
        </w:rPr>
        <w:t>文件提起质疑投诉。</w:t>
      </w:r>
    </w:p>
    <w:p w14:paraId="010BB9DE">
      <w:pPr>
        <w:tabs>
          <w:tab w:val="left" w:pos="3150"/>
        </w:tabs>
        <w:snapToGrid w:val="0"/>
        <w:spacing w:line="360" w:lineRule="auto"/>
        <w:ind w:firstLine="420" w:firstLineChars="200"/>
      </w:pPr>
      <w:r>
        <w:rPr>
          <w:rFonts w:hint="eastAsia"/>
        </w:rPr>
        <w:t>3.投标人应于提交投标文件截止时间前将电子投标文件上传到政府采购云平台www.zcygov.cn，未上传电子投标文件，视为投标人放弃投标。</w:t>
      </w:r>
    </w:p>
    <w:p w14:paraId="71BC4CD3">
      <w:pPr>
        <w:tabs>
          <w:tab w:val="left" w:pos="3150"/>
        </w:tabs>
        <w:snapToGrid w:val="0"/>
        <w:spacing w:line="360" w:lineRule="auto"/>
        <w:ind w:firstLine="420" w:firstLineChars="200"/>
      </w:pPr>
      <w:r>
        <w:rPr>
          <w:rFonts w:hint="eastAsia"/>
        </w:rPr>
        <w:t>4.投标人电子备份投标文件的投标方式：投标人可采用邮寄（含快递）方式或现场方式递交。</w:t>
      </w:r>
    </w:p>
    <w:p w14:paraId="58F3232C">
      <w:pPr>
        <w:tabs>
          <w:tab w:val="left" w:pos="3150"/>
        </w:tabs>
        <w:snapToGrid w:val="0"/>
        <w:spacing w:line="360" w:lineRule="auto"/>
        <w:ind w:firstLine="420" w:firstLineChars="200"/>
      </w:pPr>
      <w:r>
        <w:rPr>
          <w:rFonts w:hint="eastAsia"/>
        </w:rPr>
        <w:t>4.1采用邮寄方式递交的，需按以下要求递交：各投标人在投标文件提交截止时间前将投标文件邮寄至规定地点，由</w:t>
      </w:r>
      <w:r>
        <w:rPr>
          <w:rFonts w:hint="eastAsia"/>
          <w:lang w:val="en-US" w:eastAsia="zh-CN"/>
        </w:rPr>
        <w:t>招标</w:t>
      </w:r>
      <w:r>
        <w:rPr>
          <w:rFonts w:hint="eastAsia"/>
        </w:rPr>
        <w:t>代理工作人员进行签收，各投标人自行考虑邮寄在途时间，邮寄过程中无论何种因素导致投标文件未按时递交的后果，均由投标人自行负责。投标文件递交时间以</w:t>
      </w:r>
      <w:r>
        <w:rPr>
          <w:rFonts w:hint="eastAsia"/>
          <w:lang w:val="en-US" w:eastAsia="zh-CN"/>
        </w:rPr>
        <w:t>招标</w:t>
      </w:r>
      <w:r>
        <w:rPr>
          <w:rFonts w:hint="eastAsia"/>
        </w:rPr>
        <w:t>代理实际收到投标文件的时间为准。</w:t>
      </w:r>
    </w:p>
    <w:p w14:paraId="1CB18E20">
      <w:pPr>
        <w:tabs>
          <w:tab w:val="left" w:pos="3150"/>
        </w:tabs>
        <w:snapToGrid w:val="0"/>
        <w:spacing w:line="360" w:lineRule="auto"/>
        <w:ind w:firstLine="420" w:firstLineChars="200"/>
        <w:rPr>
          <w:rFonts w:ascii="宋体" w:hAnsi="宋体" w:cs="宋体"/>
          <w:szCs w:val="22"/>
        </w:rPr>
      </w:pPr>
      <w:r>
        <w:rPr>
          <w:rFonts w:hint="eastAsia" w:ascii="宋体" w:hAnsi="宋体" w:cs="宋体"/>
        </w:rPr>
        <w:t>拟在</w:t>
      </w:r>
      <w:r>
        <w:rPr>
          <w:rFonts w:hint="eastAsia" w:ascii="宋体" w:hAnsi="宋体" w:cs="宋体"/>
          <w:lang w:eastAsia="zh-CN"/>
        </w:rPr>
        <w:t>2025</w:t>
      </w:r>
      <w:r>
        <w:rPr>
          <w:rFonts w:hint="eastAsia" w:ascii="宋体" w:hAnsi="宋体" w:cs="宋体"/>
        </w:rPr>
        <w:t>年</w:t>
      </w:r>
      <w:r>
        <w:rPr>
          <w:rFonts w:hint="eastAsia" w:ascii="宋体" w:hAnsi="宋体" w:cs="宋体"/>
          <w:lang w:val="en-US" w:eastAsia="zh-CN"/>
        </w:rPr>
        <w:t>7</w:t>
      </w:r>
      <w:r>
        <w:rPr>
          <w:rFonts w:hint="eastAsia" w:ascii="宋体" w:hAnsi="宋体" w:cs="宋体"/>
        </w:rPr>
        <w:t>月</w:t>
      </w:r>
      <w:r>
        <w:rPr>
          <w:rFonts w:hint="eastAsia" w:ascii="宋体" w:hAnsi="宋体" w:cs="宋体"/>
          <w:lang w:val="en-US" w:eastAsia="zh-CN"/>
        </w:rPr>
        <w:t>17</w:t>
      </w:r>
      <w:r>
        <w:rPr>
          <w:rFonts w:hint="eastAsia" w:ascii="宋体" w:hAnsi="宋体" w:cs="宋体"/>
        </w:rPr>
        <w:t>日</w:t>
      </w:r>
      <w:r>
        <w:rPr>
          <w:rFonts w:hint="eastAsia" w:ascii="宋体" w:hAnsi="宋体" w:cs="宋体"/>
          <w:lang w:val="en-US" w:eastAsia="zh-CN"/>
        </w:rPr>
        <w:t>16</w:t>
      </w:r>
      <w:r>
        <w:rPr>
          <w:rFonts w:hint="eastAsia" w:ascii="宋体" w:hAnsi="宋体" w:cs="宋体"/>
        </w:rPr>
        <w:t>：00前到件的邮寄地址为：</w:t>
      </w:r>
      <w:r>
        <w:rPr>
          <w:rFonts w:hint="eastAsia" w:ascii="宋体" w:hAnsi="宋体" w:cs="宋体"/>
          <w:szCs w:val="22"/>
        </w:rPr>
        <w:t>北仑区新碶明州路773号开发区商务大厦10楼1001室。收件人：石静娜   联系方式：0574-86830803</w:t>
      </w:r>
    </w:p>
    <w:p w14:paraId="2DE1886D">
      <w:pPr>
        <w:tabs>
          <w:tab w:val="left" w:pos="3150"/>
        </w:tabs>
        <w:snapToGrid w:val="0"/>
        <w:spacing w:line="360" w:lineRule="auto"/>
        <w:ind w:firstLine="420" w:firstLineChars="200"/>
      </w:pPr>
      <w:r>
        <w:rPr>
          <w:rFonts w:hint="eastAsia"/>
        </w:rPr>
        <w:t>请各投标人确保密封包装在邮寄过程密封包装完好，因邮寄过程的密封破损造成不符合开标要求的，本招标人及</w:t>
      </w:r>
      <w:r>
        <w:rPr>
          <w:rFonts w:hint="eastAsia"/>
          <w:lang w:val="en-US" w:eastAsia="zh-CN"/>
        </w:rPr>
        <w:t>招标</w:t>
      </w:r>
      <w:r>
        <w:rPr>
          <w:rFonts w:hint="eastAsia"/>
        </w:rPr>
        <w:t>代理机构概不负责。</w:t>
      </w:r>
    </w:p>
    <w:p w14:paraId="24CBC344">
      <w:pPr>
        <w:tabs>
          <w:tab w:val="left" w:pos="3150"/>
        </w:tabs>
        <w:snapToGrid w:val="0"/>
        <w:spacing w:line="360" w:lineRule="auto"/>
        <w:ind w:firstLine="420" w:firstLineChars="200"/>
      </w:pPr>
      <w:r>
        <w:rPr>
          <w:rFonts w:hint="eastAsia"/>
        </w:rPr>
        <w:t>4.2采用现场方式送达的，需按以下要求递交：所有投标人相关人员在投标截止时间前将电子备份投标文件送至投标地点。电子备份投标文件递交时需同时递交投标人的法定代表人（或其委托代理人）联系方式，并保证开标期间联系方式的畅通。</w:t>
      </w:r>
    </w:p>
    <w:p w14:paraId="437323BE">
      <w:pPr>
        <w:tabs>
          <w:tab w:val="left" w:pos="3150"/>
        </w:tabs>
        <w:snapToGrid w:val="0"/>
        <w:spacing w:line="360" w:lineRule="auto"/>
        <w:rPr>
          <w:rFonts w:ascii="宋体" w:hAnsi="宋体"/>
          <w:b/>
          <w:kern w:val="0"/>
          <w:szCs w:val="21"/>
        </w:rPr>
      </w:pPr>
    </w:p>
    <w:p w14:paraId="438DAFC6">
      <w:pPr>
        <w:tabs>
          <w:tab w:val="left" w:pos="3150"/>
        </w:tabs>
        <w:snapToGrid w:val="0"/>
        <w:spacing w:line="360" w:lineRule="auto"/>
        <w:rPr>
          <w:rFonts w:ascii="宋体" w:hAnsi="宋体"/>
          <w:b/>
          <w:kern w:val="0"/>
          <w:szCs w:val="21"/>
        </w:rPr>
      </w:pPr>
      <w:r>
        <w:rPr>
          <w:rFonts w:hint="eastAsia" w:ascii="宋体" w:hAnsi="宋体"/>
          <w:b/>
          <w:kern w:val="0"/>
          <w:szCs w:val="21"/>
        </w:rPr>
        <w:t>八、招标人及其委托</w:t>
      </w:r>
      <w:r>
        <w:rPr>
          <w:rFonts w:hint="eastAsia" w:ascii="宋体" w:hAnsi="宋体"/>
          <w:b/>
          <w:kern w:val="0"/>
          <w:szCs w:val="21"/>
          <w:lang w:val="en-US" w:eastAsia="zh-CN"/>
        </w:rPr>
        <w:t>招标</w:t>
      </w:r>
      <w:r>
        <w:rPr>
          <w:rFonts w:hint="eastAsia" w:ascii="宋体" w:hAnsi="宋体"/>
          <w:b/>
          <w:kern w:val="0"/>
          <w:szCs w:val="21"/>
        </w:rPr>
        <w:t>代理机构联系方式：</w:t>
      </w:r>
    </w:p>
    <w:p w14:paraId="1E79DCFB">
      <w:pPr>
        <w:widowControl/>
        <w:spacing w:line="360" w:lineRule="auto"/>
        <w:ind w:firstLine="420" w:firstLineChars="200"/>
        <w:rPr>
          <w:rFonts w:hint="eastAsia" w:ascii="宋体" w:hAnsi="宋体" w:eastAsia="宋体"/>
          <w:kern w:val="0"/>
          <w:szCs w:val="21"/>
          <w:lang w:eastAsia="zh-CN"/>
        </w:rPr>
      </w:pPr>
      <w:r>
        <w:rPr>
          <w:rFonts w:hint="eastAsia" w:ascii="宋体" w:hAnsi="宋体"/>
          <w:kern w:val="0"/>
          <w:szCs w:val="21"/>
        </w:rPr>
        <w:t>招标人：</w:t>
      </w:r>
      <w:r>
        <w:rPr>
          <w:rFonts w:hint="eastAsia" w:ascii="宋体" w:hAnsi="宋体"/>
          <w:kern w:val="0"/>
          <w:szCs w:val="21"/>
          <w:lang w:eastAsia="zh-CN"/>
        </w:rPr>
        <w:t>宁波市北仑区人民政府春晓街道办事处</w:t>
      </w:r>
    </w:p>
    <w:p w14:paraId="21D30BEF">
      <w:pPr>
        <w:widowControl/>
        <w:spacing w:line="360" w:lineRule="auto"/>
        <w:ind w:firstLine="420" w:firstLineChars="200"/>
        <w:rPr>
          <w:rFonts w:hint="eastAsia" w:ascii="宋体" w:hAnsi="宋体"/>
          <w:szCs w:val="21"/>
          <w:lang w:val="en-US" w:eastAsia="zh-CN"/>
        </w:rPr>
      </w:pPr>
      <w:r>
        <w:rPr>
          <w:rFonts w:hint="eastAsia" w:ascii="宋体" w:hAnsi="宋体"/>
          <w:kern w:val="0"/>
          <w:szCs w:val="21"/>
        </w:rPr>
        <w:t>地址：宁波市北仑区</w:t>
      </w:r>
      <w:r>
        <w:rPr>
          <w:rFonts w:hint="eastAsia" w:ascii="宋体" w:hAnsi="宋体"/>
          <w:kern w:val="0"/>
          <w:szCs w:val="21"/>
          <w:lang w:val="en-US" w:eastAsia="zh-CN"/>
        </w:rPr>
        <w:t>春晓</w:t>
      </w:r>
      <w:r>
        <w:rPr>
          <w:rFonts w:hint="eastAsia" w:ascii="宋体" w:hAnsi="宋体"/>
          <w:kern w:val="0"/>
          <w:szCs w:val="21"/>
        </w:rPr>
        <w:t>街道</w:t>
      </w:r>
      <w:r>
        <w:rPr>
          <w:rFonts w:hint="eastAsia" w:ascii="宋体" w:hAnsi="宋体"/>
          <w:szCs w:val="21"/>
          <w:lang w:val="en-US" w:eastAsia="zh-CN"/>
        </w:rPr>
        <w:t xml:space="preserve"> </w:t>
      </w:r>
    </w:p>
    <w:p w14:paraId="7D5212E9">
      <w:pPr>
        <w:widowControl/>
        <w:spacing w:line="360" w:lineRule="auto"/>
        <w:ind w:firstLine="420" w:firstLineChars="200"/>
        <w:rPr>
          <w:rFonts w:hint="default" w:ascii="宋体" w:hAnsi="宋体" w:eastAsia="宋体"/>
          <w:kern w:val="0"/>
          <w:szCs w:val="21"/>
          <w:lang w:val="en-US" w:eastAsia="zh-CN"/>
        </w:rPr>
      </w:pPr>
      <w:r>
        <w:rPr>
          <w:rFonts w:hint="eastAsia" w:ascii="宋体" w:hAnsi="宋体"/>
          <w:kern w:val="0"/>
          <w:szCs w:val="21"/>
        </w:rPr>
        <w:t>联系人：</w:t>
      </w:r>
      <w:r>
        <w:rPr>
          <w:rFonts w:hint="eastAsia" w:ascii="宋体" w:hAnsi="宋体"/>
          <w:kern w:val="0"/>
          <w:szCs w:val="21"/>
          <w:lang w:val="en-US" w:eastAsia="zh-CN"/>
        </w:rPr>
        <w:t>陈老师</w:t>
      </w:r>
    </w:p>
    <w:p w14:paraId="6B03FA11">
      <w:pPr>
        <w:widowControl/>
        <w:spacing w:line="360" w:lineRule="auto"/>
        <w:ind w:firstLine="420" w:firstLineChars="200"/>
        <w:rPr>
          <w:rFonts w:hint="eastAsia" w:ascii="宋体" w:hAnsi="宋体"/>
          <w:kern w:val="0"/>
          <w:szCs w:val="21"/>
          <w:lang w:val="en-US" w:eastAsia="zh-CN"/>
        </w:rPr>
      </w:pPr>
      <w:r>
        <w:rPr>
          <w:rFonts w:hint="eastAsia" w:ascii="宋体" w:hAnsi="宋体"/>
          <w:kern w:val="0"/>
          <w:szCs w:val="21"/>
          <w:lang w:val="en-US" w:eastAsia="zh-CN"/>
        </w:rPr>
        <w:t xml:space="preserve">联系电话：0574-86788312  </w:t>
      </w:r>
    </w:p>
    <w:p w14:paraId="0D2F38A8">
      <w:pPr>
        <w:widowControl/>
        <w:spacing w:line="360" w:lineRule="auto"/>
        <w:ind w:firstLine="420" w:firstLineChars="200"/>
        <w:rPr>
          <w:rFonts w:ascii="宋体" w:hAnsi="宋体" w:cs="宋体"/>
          <w:szCs w:val="21"/>
        </w:rPr>
      </w:pPr>
      <w:r>
        <w:rPr>
          <w:rFonts w:hint="eastAsia" w:ascii="宋体" w:hAnsi="宋体" w:cs="宋体"/>
          <w:szCs w:val="21"/>
          <w:lang w:val="en-US" w:eastAsia="zh-CN"/>
        </w:rPr>
        <w:t>招标</w:t>
      </w:r>
      <w:r>
        <w:rPr>
          <w:rFonts w:hint="eastAsia" w:ascii="宋体" w:hAnsi="宋体" w:cs="宋体"/>
          <w:szCs w:val="21"/>
        </w:rPr>
        <w:t>代理机构：宁波杜威工程项目管理有限公司</w:t>
      </w:r>
    </w:p>
    <w:p w14:paraId="7EB7C5CB">
      <w:pPr>
        <w:widowControl/>
        <w:spacing w:line="360" w:lineRule="auto"/>
        <w:ind w:firstLine="420" w:firstLineChars="200"/>
        <w:rPr>
          <w:rFonts w:ascii="宋体" w:hAnsi="宋体" w:cs="宋体"/>
          <w:szCs w:val="21"/>
        </w:rPr>
      </w:pPr>
      <w:r>
        <w:rPr>
          <w:rFonts w:hint="eastAsia" w:ascii="宋体" w:hAnsi="宋体" w:cs="宋体"/>
          <w:szCs w:val="21"/>
        </w:rPr>
        <w:t>地址：</w:t>
      </w:r>
      <w:r>
        <w:rPr>
          <w:rFonts w:hint="eastAsia" w:ascii="宋体" w:hAnsi="宋体" w:cs="宋体"/>
          <w:szCs w:val="22"/>
        </w:rPr>
        <w:t>北仑区新碶明州路773号开发区商务大厦10楼1001室</w:t>
      </w:r>
    </w:p>
    <w:p w14:paraId="12A06DED">
      <w:pPr>
        <w:widowControl/>
        <w:spacing w:line="360" w:lineRule="auto"/>
        <w:ind w:firstLine="420" w:firstLineChars="200"/>
        <w:rPr>
          <w:rFonts w:ascii="宋体" w:hAnsi="宋体" w:cs="宋体"/>
          <w:szCs w:val="21"/>
        </w:rPr>
      </w:pPr>
      <w:r>
        <w:rPr>
          <w:rFonts w:hint="eastAsia" w:ascii="宋体" w:hAnsi="宋体" w:cs="宋体"/>
          <w:szCs w:val="21"/>
        </w:rPr>
        <w:t>联系人：石静娜、宋世林</w:t>
      </w:r>
    </w:p>
    <w:p w14:paraId="37123A1B">
      <w:pPr>
        <w:widowControl/>
        <w:spacing w:line="360" w:lineRule="auto"/>
        <w:ind w:firstLine="420" w:firstLineChars="200"/>
        <w:rPr>
          <w:rFonts w:ascii="宋体" w:hAnsi="宋体" w:cs="宋体"/>
          <w:szCs w:val="21"/>
        </w:rPr>
      </w:pPr>
      <w:r>
        <w:rPr>
          <w:rFonts w:hint="eastAsia" w:ascii="宋体" w:hAnsi="宋体" w:cs="宋体"/>
          <w:szCs w:val="21"/>
        </w:rPr>
        <w:t>联系电话：0574-86830803</w:t>
      </w:r>
    </w:p>
    <w:p w14:paraId="28E850F8">
      <w:pPr>
        <w:widowControl/>
        <w:spacing w:line="360" w:lineRule="auto"/>
        <w:ind w:firstLine="420" w:firstLineChars="200"/>
        <w:rPr>
          <w:rFonts w:ascii="宋体" w:hAnsi="宋体" w:cs="宋体"/>
          <w:szCs w:val="21"/>
        </w:rPr>
      </w:pPr>
      <w:r>
        <w:rPr>
          <w:rFonts w:hint="eastAsia" w:ascii="宋体" w:hAnsi="宋体" w:cs="宋体"/>
          <w:szCs w:val="21"/>
        </w:rPr>
        <w:t>异议、投诉受理单位：宁波市北仑区财政局（国库局）</w:t>
      </w:r>
    </w:p>
    <w:p w14:paraId="35E7A974">
      <w:pPr>
        <w:widowControl/>
        <w:spacing w:line="360" w:lineRule="auto"/>
        <w:ind w:firstLine="420" w:firstLineChars="200"/>
        <w:rPr>
          <w:rFonts w:ascii="宋体" w:hAnsi="宋体" w:cs="宋体"/>
          <w:szCs w:val="21"/>
        </w:rPr>
      </w:pPr>
      <w:r>
        <w:rPr>
          <w:rFonts w:hint="eastAsia" w:ascii="宋体" w:hAnsi="宋体" w:cs="宋体"/>
          <w:szCs w:val="21"/>
        </w:rPr>
        <w:t>联系电话：0574-89383739</w:t>
      </w:r>
    </w:p>
    <w:p w14:paraId="30305C56">
      <w:pPr>
        <w:widowControl/>
        <w:spacing w:line="400" w:lineRule="exact"/>
        <w:ind w:firstLine="420" w:firstLineChars="200"/>
        <w:jc w:val="left"/>
        <w:rPr>
          <w:rFonts w:ascii="宋体" w:hAnsi="宋体" w:cs="宋体"/>
          <w:kern w:val="0"/>
          <w:szCs w:val="21"/>
        </w:rPr>
      </w:pPr>
    </w:p>
    <w:p w14:paraId="5F543D0A">
      <w:pPr>
        <w:widowControl/>
        <w:spacing w:line="400" w:lineRule="exact"/>
        <w:ind w:firstLine="422" w:firstLineChars="200"/>
        <w:jc w:val="left"/>
        <w:rPr>
          <w:rFonts w:ascii="宋体" w:hAnsi="宋体" w:cs="宋体"/>
          <w:b/>
          <w:bCs/>
          <w:kern w:val="0"/>
          <w:szCs w:val="21"/>
        </w:rPr>
      </w:pPr>
      <w:r>
        <w:rPr>
          <w:rFonts w:hint="eastAsia" w:ascii="宋体" w:hAnsi="宋体" w:cs="宋体"/>
          <w:b/>
          <w:bCs/>
          <w:kern w:val="0"/>
          <w:szCs w:val="21"/>
        </w:rPr>
        <w:t>若对项目</w:t>
      </w:r>
      <w:r>
        <w:rPr>
          <w:rFonts w:hint="eastAsia" w:ascii="宋体" w:hAnsi="宋体" w:cs="宋体"/>
          <w:b/>
          <w:bCs/>
          <w:kern w:val="0"/>
          <w:szCs w:val="21"/>
          <w:lang w:val="en-US" w:eastAsia="zh-CN"/>
        </w:rPr>
        <w:t>招标</w:t>
      </w:r>
      <w:r>
        <w:rPr>
          <w:rFonts w:hint="eastAsia" w:ascii="宋体" w:hAnsi="宋体" w:cs="宋体"/>
          <w:b/>
          <w:bCs/>
          <w:kern w:val="0"/>
          <w:szCs w:val="21"/>
        </w:rPr>
        <w:t>电子交易系统操作有疑问，可登录政采云（https：//www.zcygov.cn/），点击右侧咨询小采，获取采小蜜智能服务管家帮助，或拨打政采云服务热线95763获取热线服务帮助。</w:t>
      </w:r>
    </w:p>
    <w:p w14:paraId="15F87CAD">
      <w:pPr>
        <w:widowControl/>
        <w:spacing w:line="400" w:lineRule="exact"/>
        <w:ind w:firstLine="422" w:firstLineChars="200"/>
        <w:jc w:val="left"/>
        <w:rPr>
          <w:rFonts w:hAnsi="宋体"/>
          <w:sz w:val="36"/>
          <w:szCs w:val="36"/>
        </w:rPr>
      </w:pPr>
      <w:r>
        <w:rPr>
          <w:rFonts w:hint="eastAsia" w:ascii="宋体" w:hAnsi="宋体" w:cs="宋体"/>
          <w:b/>
          <w:bCs/>
          <w:kern w:val="0"/>
          <w:szCs w:val="21"/>
        </w:rPr>
        <w:t>CA问题联系电话（人工）：汇信CA400-888-4636；天谷CA400-087-8198。</w:t>
      </w:r>
    </w:p>
    <w:p w14:paraId="0ED59FE1">
      <w:pPr>
        <w:tabs>
          <w:tab w:val="left" w:pos="3150"/>
        </w:tabs>
        <w:snapToGrid w:val="0"/>
        <w:spacing w:line="360" w:lineRule="auto"/>
        <w:ind w:firstLine="420" w:firstLineChars="200"/>
        <w:rPr>
          <w:rFonts w:ascii="宋体" w:hAnsi="宋体"/>
          <w:kern w:val="0"/>
          <w:szCs w:val="21"/>
        </w:rPr>
      </w:pPr>
    </w:p>
    <w:p w14:paraId="1BB8708B">
      <w:pPr>
        <w:tabs>
          <w:tab w:val="left" w:pos="3150"/>
        </w:tabs>
        <w:snapToGrid w:val="0"/>
        <w:spacing w:line="360" w:lineRule="auto"/>
        <w:ind w:firstLine="420" w:firstLineChars="200"/>
        <w:rPr>
          <w:rFonts w:ascii="宋体" w:hAnsi="宋体"/>
          <w:kern w:val="0"/>
          <w:szCs w:val="21"/>
        </w:rPr>
      </w:pPr>
    </w:p>
    <w:p w14:paraId="6FE7647F">
      <w:pPr>
        <w:pStyle w:val="6"/>
        <w:snapToGrid w:val="0"/>
        <w:spacing w:beforeLines="0" w:afterLines="0" w:line="360" w:lineRule="auto"/>
        <w:jc w:val="center"/>
        <w:outlineLvl w:val="0"/>
        <w:rPr>
          <w:rFonts w:hAnsi="宋体"/>
          <w:sz w:val="28"/>
          <w:szCs w:val="28"/>
        </w:rPr>
      </w:pPr>
      <w:r>
        <w:rPr>
          <w:rFonts w:hint="eastAsia" w:hAnsi="宋体"/>
          <w:b/>
          <w:sz w:val="30"/>
          <w:szCs w:val="30"/>
        </w:rPr>
        <w:br w:type="page"/>
      </w:r>
      <w:bookmarkStart w:id="2" w:name="_Toc18192"/>
      <w:r>
        <w:rPr>
          <w:rFonts w:hint="eastAsia" w:hAnsi="宋体"/>
          <w:b/>
          <w:sz w:val="30"/>
          <w:szCs w:val="30"/>
        </w:rPr>
        <w:t>第二章  招标需求</w:t>
      </w:r>
      <w:bookmarkEnd w:id="2"/>
    </w:p>
    <w:p w14:paraId="1248EF08">
      <w:pPr>
        <w:pStyle w:val="20"/>
        <w:spacing w:line="360" w:lineRule="exact"/>
        <w:ind w:firstLine="0" w:firstLineChars="0"/>
        <w:rPr>
          <w:rFonts w:ascii="宋体" w:hAnsi="宋体" w:eastAsia="宋体"/>
          <w:sz w:val="21"/>
          <w:szCs w:val="21"/>
        </w:rPr>
      </w:pPr>
      <w:bookmarkStart w:id="3" w:name="_Toc19480"/>
      <w:r>
        <w:rPr>
          <w:rFonts w:hint="eastAsia" w:ascii="宋体" w:hAnsi="宋体" w:eastAsia="宋体"/>
          <w:b/>
          <w:bCs/>
          <w:sz w:val="21"/>
          <w:szCs w:val="21"/>
        </w:rPr>
        <w:t>一、项目背景</w:t>
      </w:r>
    </w:p>
    <w:p w14:paraId="138F488C">
      <w:pPr>
        <w:pStyle w:val="20"/>
        <w:spacing w:line="360" w:lineRule="exact"/>
        <w:ind w:firstLine="420" w:firstLineChars="0"/>
        <w:rPr>
          <w:rFonts w:ascii="宋体" w:hAnsi="宋体" w:eastAsia="宋体"/>
          <w:sz w:val="21"/>
          <w:szCs w:val="21"/>
        </w:rPr>
      </w:pPr>
      <w:r>
        <w:rPr>
          <w:rFonts w:hint="eastAsia" w:ascii="宋体" w:hAnsi="宋体" w:eastAsia="宋体"/>
          <w:sz w:val="21"/>
          <w:szCs w:val="21"/>
        </w:rPr>
        <w:t>为了进一步规范</w:t>
      </w:r>
      <w:r>
        <w:rPr>
          <w:rFonts w:hint="eastAsia" w:ascii="宋体" w:hAnsi="宋体" w:eastAsia="宋体"/>
          <w:sz w:val="21"/>
          <w:szCs w:val="21"/>
          <w:lang w:eastAsia="zh-CN"/>
        </w:rPr>
        <w:t>宁波市北仑区人民政府春晓街道办事处</w:t>
      </w:r>
      <w:r>
        <w:rPr>
          <w:rFonts w:hint="eastAsia" w:ascii="宋体" w:hAnsi="宋体" w:eastAsia="宋体"/>
          <w:sz w:val="21"/>
          <w:szCs w:val="21"/>
          <w:highlight w:val="none"/>
        </w:rPr>
        <w:t>的</w:t>
      </w:r>
      <w:r>
        <w:rPr>
          <w:rFonts w:hint="eastAsia" w:ascii="宋体" w:hAnsi="宋体" w:eastAsia="宋体"/>
          <w:sz w:val="21"/>
          <w:szCs w:val="21"/>
          <w:highlight w:val="none"/>
          <w:lang w:eastAsia="zh-CN"/>
        </w:rPr>
        <w:t>单位资金管理</w:t>
      </w:r>
      <w:r>
        <w:rPr>
          <w:rFonts w:hint="eastAsia" w:ascii="宋体" w:hAnsi="宋体" w:eastAsia="宋体"/>
          <w:sz w:val="21"/>
          <w:szCs w:val="21"/>
          <w:highlight w:val="none"/>
        </w:rPr>
        <w:t>行为</w:t>
      </w:r>
      <w:r>
        <w:rPr>
          <w:rFonts w:hint="eastAsia" w:ascii="宋体" w:hAnsi="宋体" w:eastAsia="宋体"/>
          <w:sz w:val="21"/>
          <w:szCs w:val="21"/>
        </w:rPr>
        <w:t>，强化单位资金监管，提高资金效率，从源头上预防和治理腐败的公款存放机制，防止利益冲突和利益输送</w:t>
      </w:r>
      <w:r>
        <w:rPr>
          <w:rFonts w:hint="eastAsia" w:ascii="宋体" w:hAnsi="宋体" w:eastAsia="宋体"/>
          <w:sz w:val="21"/>
          <w:szCs w:val="21"/>
          <w:highlight w:val="none"/>
        </w:rPr>
        <w:t>，根据《北仑区(开发区)区级预算单位银行账户和公款存放管理暂行办法的通知》（仑政办〔2019〕90号）等有关法律法规及相关文件规定，</w:t>
      </w:r>
      <w:r>
        <w:rPr>
          <w:rFonts w:hint="eastAsia" w:ascii="宋体" w:hAnsi="宋体" w:eastAsia="宋体"/>
          <w:sz w:val="21"/>
          <w:szCs w:val="21"/>
        </w:rPr>
        <w:t>特对</w:t>
      </w:r>
      <w:r>
        <w:rPr>
          <w:rFonts w:hint="eastAsia" w:ascii="宋体" w:hAnsi="宋体" w:eastAsia="宋体"/>
          <w:sz w:val="21"/>
          <w:szCs w:val="21"/>
          <w:u w:val="single"/>
          <w:lang w:eastAsia="zh-CN"/>
        </w:rPr>
        <w:t>中国共产党宁波市北仑区委员会春晓街道工作委员会银行专户开立服务机构招标项目</w:t>
      </w:r>
      <w:r>
        <w:rPr>
          <w:rFonts w:hint="eastAsia" w:ascii="宋体" w:hAnsi="宋体" w:eastAsia="宋体"/>
          <w:sz w:val="21"/>
          <w:szCs w:val="21"/>
        </w:rPr>
        <w:t>进行公开招标。</w:t>
      </w:r>
    </w:p>
    <w:p w14:paraId="7A28ABF8">
      <w:pPr>
        <w:pStyle w:val="20"/>
        <w:spacing w:line="360" w:lineRule="exact"/>
        <w:ind w:firstLine="0" w:firstLineChars="0"/>
        <w:rPr>
          <w:rFonts w:ascii="宋体" w:hAnsi="宋体" w:eastAsia="宋体"/>
          <w:sz w:val="21"/>
          <w:szCs w:val="21"/>
        </w:rPr>
      </w:pPr>
      <w:r>
        <w:rPr>
          <w:rFonts w:hint="eastAsia" w:ascii="宋体" w:hAnsi="宋体" w:eastAsia="宋体"/>
          <w:b/>
          <w:bCs/>
          <w:sz w:val="21"/>
          <w:szCs w:val="21"/>
        </w:rPr>
        <w:t>二、招标需求</w:t>
      </w:r>
    </w:p>
    <w:p w14:paraId="72EE10BF">
      <w:pPr>
        <w:tabs>
          <w:tab w:val="left" w:pos="3150"/>
        </w:tabs>
        <w:snapToGrid w:val="0"/>
        <w:spacing w:line="360" w:lineRule="auto"/>
        <w:ind w:firstLine="420" w:firstLineChars="200"/>
        <w:rPr>
          <w:rFonts w:ascii="宋体" w:hAnsi="宋体"/>
          <w:szCs w:val="21"/>
        </w:rPr>
      </w:pPr>
      <w:r>
        <w:rPr>
          <w:rFonts w:hint="eastAsia" w:ascii="宋体" w:hAnsi="宋体"/>
          <w:szCs w:val="21"/>
        </w:rPr>
        <w:t>本次招标为</w:t>
      </w:r>
      <w:r>
        <w:rPr>
          <w:rFonts w:hint="eastAsia" w:ascii="宋体" w:hAnsi="宋体"/>
          <w:szCs w:val="21"/>
          <w:lang w:eastAsia="zh-CN"/>
        </w:rPr>
        <w:t>中国共产党宁波市北仑区委员会春晓街道工作委员会银行专户开立服务机构招标</w:t>
      </w:r>
      <w:r>
        <w:rPr>
          <w:rFonts w:hint="eastAsia" w:ascii="宋体" w:hAnsi="宋体"/>
          <w:szCs w:val="21"/>
        </w:rPr>
        <w:t>，采用综合评分的方式从合格的投标人中择优选择综合得分排名第1名的银行，作为中标单位，</w:t>
      </w:r>
      <w:r>
        <w:rPr>
          <w:rFonts w:hint="eastAsia" w:ascii="宋体" w:hAnsi="宋体"/>
          <w:szCs w:val="21"/>
          <w:lang w:val="en-US" w:eastAsia="zh-CN"/>
        </w:rPr>
        <w:t>承担</w:t>
      </w:r>
      <w:r>
        <w:rPr>
          <w:rFonts w:hint="eastAsia" w:ascii="宋体" w:hAnsi="宋体"/>
          <w:szCs w:val="21"/>
          <w:lang w:eastAsia="zh-CN"/>
        </w:rPr>
        <w:t>中国共产党宁波市北仑区委员会春晓街道工作委员会银行专户开立</w:t>
      </w:r>
      <w:r>
        <w:rPr>
          <w:rFonts w:hint="eastAsia" w:ascii="宋体" w:hAnsi="宋体"/>
          <w:szCs w:val="21"/>
          <w:lang w:val="en-US" w:eastAsia="zh-CN"/>
        </w:rPr>
        <w:t>服务 ，</w:t>
      </w:r>
      <w:r>
        <w:rPr>
          <w:rFonts w:hint="eastAsia" w:ascii="宋体" w:hAnsi="宋体"/>
          <w:szCs w:val="21"/>
        </w:rPr>
        <w:t>并提供相关服务。</w:t>
      </w:r>
    </w:p>
    <w:p w14:paraId="47CE7927">
      <w:pPr>
        <w:pStyle w:val="20"/>
        <w:spacing w:line="360" w:lineRule="exact"/>
        <w:ind w:firstLine="420" w:firstLineChars="0"/>
        <w:rPr>
          <w:rFonts w:ascii="宋体" w:hAnsi="宋体" w:eastAsia="宋体"/>
          <w:sz w:val="21"/>
          <w:szCs w:val="21"/>
        </w:rPr>
      </w:pPr>
      <w:r>
        <w:rPr>
          <w:rFonts w:hint="eastAsia" w:ascii="宋体" w:hAnsi="宋体" w:eastAsia="宋体"/>
          <w:sz w:val="21"/>
          <w:szCs w:val="21"/>
        </w:rPr>
        <w:t>服务要求：</w:t>
      </w:r>
    </w:p>
    <w:p w14:paraId="432F44B7">
      <w:pPr>
        <w:pStyle w:val="20"/>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sz w:val="21"/>
          <w:szCs w:val="21"/>
          <w:highlight w:val="none"/>
        </w:rPr>
      </w:pPr>
      <w:r>
        <w:rPr>
          <w:rFonts w:hint="eastAsia" w:ascii="宋体" w:hAnsi="宋体" w:eastAsia="宋体"/>
          <w:sz w:val="21"/>
          <w:szCs w:val="21"/>
          <w:highlight w:val="none"/>
        </w:rPr>
        <w:t>1.投标人资金实力雄厚，资产状况良好；市场竞争能力强，具有较好的经营业绩及风险控制能力。</w:t>
      </w:r>
    </w:p>
    <w:p w14:paraId="315840CB">
      <w:pPr>
        <w:pStyle w:val="20"/>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sz w:val="21"/>
          <w:szCs w:val="21"/>
          <w:highlight w:val="none"/>
        </w:rPr>
      </w:pPr>
      <w:r>
        <w:rPr>
          <w:rFonts w:hint="eastAsia" w:ascii="宋体" w:hAnsi="宋体" w:eastAsia="宋体"/>
          <w:sz w:val="21"/>
          <w:szCs w:val="21"/>
          <w:highlight w:val="none"/>
        </w:rPr>
        <w:t>2.账户开户及日常资金收付结算服务、账户对账服务、年检服务、网银操作、安全保障等在内的一切配套基本服务。</w:t>
      </w:r>
    </w:p>
    <w:p w14:paraId="794B5B2D">
      <w:pPr>
        <w:pStyle w:val="20"/>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sz w:val="21"/>
          <w:szCs w:val="21"/>
          <w:highlight w:val="none"/>
        </w:rPr>
      </w:pPr>
      <w:r>
        <w:rPr>
          <w:rFonts w:hint="eastAsia" w:ascii="宋体" w:hAnsi="宋体" w:eastAsia="宋体"/>
          <w:sz w:val="21"/>
          <w:szCs w:val="21"/>
          <w:highlight w:val="none"/>
        </w:rPr>
        <w:t>3.具备先进的资金汇划清算系统，保证本行系统同城市转账实时、异地转账两小时内，跨行转账24小时内到账。</w:t>
      </w:r>
    </w:p>
    <w:p w14:paraId="40CF2662">
      <w:pPr>
        <w:pStyle w:val="20"/>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sz w:val="21"/>
          <w:szCs w:val="21"/>
          <w:highlight w:val="none"/>
        </w:rPr>
      </w:pPr>
      <w:r>
        <w:rPr>
          <w:rFonts w:hint="eastAsia" w:ascii="宋体" w:hAnsi="宋体" w:eastAsia="宋体"/>
          <w:sz w:val="21"/>
          <w:szCs w:val="21"/>
          <w:highlight w:val="none"/>
        </w:rPr>
        <w:t>4.具备先进的信息反馈系统，能够及时、全面、准确地反映所代理的业务信息，并能够按照要求向上级主管财政部门提供相关信息。</w:t>
      </w:r>
      <w:r>
        <w:rPr>
          <w:rFonts w:hint="eastAsia" w:ascii="宋体" w:hAnsi="宋体" w:eastAsia="宋体"/>
          <w:sz w:val="21"/>
          <w:szCs w:val="21"/>
          <w:highlight w:val="none"/>
        </w:rPr>
        <w:br w:type="textWrapping"/>
      </w:r>
      <w:r>
        <w:rPr>
          <w:rFonts w:hint="eastAsia" w:ascii="宋体" w:hAnsi="宋体" w:eastAsia="宋体"/>
          <w:sz w:val="21"/>
          <w:szCs w:val="21"/>
          <w:highlight w:val="none"/>
        </w:rPr>
        <w:t xml:space="preserve">    5.能够保证资金汇划系统和内部网络系统的安全性，并承担自身网络系统安全问题方面的有关责任。</w:t>
      </w:r>
      <w:r>
        <w:rPr>
          <w:rFonts w:hint="eastAsia" w:ascii="宋体" w:hAnsi="宋体" w:eastAsia="宋体"/>
          <w:sz w:val="21"/>
          <w:szCs w:val="21"/>
          <w:highlight w:val="none"/>
        </w:rPr>
        <w:br w:type="textWrapping"/>
      </w:r>
      <w:r>
        <w:rPr>
          <w:rFonts w:hint="eastAsia" w:ascii="宋体" w:hAnsi="宋体" w:eastAsia="宋体"/>
          <w:sz w:val="21"/>
          <w:szCs w:val="21"/>
          <w:highlight w:val="none"/>
        </w:rPr>
        <w:t xml:space="preserve">    6.内部管理规范，内控制度健全，具有严格的操作规程和保密措施。</w:t>
      </w:r>
    </w:p>
    <w:p w14:paraId="7CAE99E6">
      <w:pPr>
        <w:pStyle w:val="20"/>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highlight w:val="none"/>
        </w:rPr>
      </w:pPr>
      <w:r>
        <w:rPr>
          <w:rFonts w:hint="eastAsia" w:ascii="宋体" w:hAnsi="宋体" w:eastAsia="宋体"/>
          <w:sz w:val="21"/>
          <w:szCs w:val="21"/>
          <w:highlight w:val="none"/>
        </w:rPr>
        <w:t>7.其他招标人认为需要提供的服务。</w:t>
      </w:r>
    </w:p>
    <w:p w14:paraId="383231B6">
      <w:pPr>
        <w:pStyle w:val="20"/>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Times New Roman"/>
          <w:sz w:val="21"/>
          <w:szCs w:val="21"/>
          <w:highlight w:val="none"/>
        </w:rPr>
      </w:pPr>
      <w:r>
        <w:rPr>
          <w:rFonts w:hint="eastAsia" w:ascii="宋体" w:hAnsi="宋体" w:eastAsia="宋体"/>
          <w:sz w:val="21"/>
          <w:szCs w:val="21"/>
          <w:highlight w:val="none"/>
        </w:rPr>
        <w:t>8.中标人应当在《中标通知书》发出之日起30天内，指派人员与招标人对接并签订存放协议，未执行的视作自动</w:t>
      </w:r>
      <w:r>
        <w:rPr>
          <w:rFonts w:hint="eastAsia" w:ascii="宋体" w:hAnsi="宋体" w:eastAsia="宋体" w:cs="Times New Roman"/>
          <w:sz w:val="21"/>
          <w:szCs w:val="21"/>
          <w:highlight w:val="none"/>
        </w:rPr>
        <w:t>弃权中标资格。</w:t>
      </w:r>
    </w:p>
    <w:p w14:paraId="46C1BBB9">
      <w:pPr>
        <w:pStyle w:val="20"/>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9</w:t>
      </w:r>
      <w:r>
        <w:rPr>
          <w:rFonts w:hint="eastAsia" w:ascii="宋体" w:hAnsi="宋体" w:eastAsia="宋体" w:cs="Times New Roman"/>
          <w:sz w:val="21"/>
          <w:szCs w:val="21"/>
          <w:highlight w:val="none"/>
        </w:rPr>
        <w:t>.按承诺优惠利率对账户资金进行计息。</w:t>
      </w:r>
    </w:p>
    <w:p w14:paraId="060420C5">
      <w:pPr>
        <w:pStyle w:val="20"/>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10.有专人负责办理专户资金相关业务以及上门收取资金支付凭证和送达银行回单等相关凭证。</w:t>
      </w:r>
    </w:p>
    <w:p w14:paraId="615DE6F5">
      <w:pPr>
        <w:pStyle w:val="20"/>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11.及时办理资金进出业务。</w:t>
      </w:r>
    </w:p>
    <w:p w14:paraId="3E2D0843">
      <w:pPr>
        <w:pStyle w:val="20"/>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12.按要求定期提供对账单、收支业务回单和利息通知单。</w:t>
      </w:r>
    </w:p>
    <w:p w14:paraId="51C2F081">
      <w:pPr>
        <w:pStyle w:val="20"/>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13.根据承诺免收各项业务手续费或提供优惠服务。</w:t>
      </w:r>
    </w:p>
    <w:p w14:paraId="10C1452E">
      <w:pPr>
        <w:pStyle w:val="20"/>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14.投标人能办理批量跨行代发个人业务。</w:t>
      </w:r>
    </w:p>
    <w:p w14:paraId="2C172E66">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b/>
          <w:sz w:val="21"/>
          <w:szCs w:val="21"/>
          <w:highlight w:val="none"/>
        </w:rPr>
      </w:pPr>
      <w:r>
        <w:rPr>
          <w:rFonts w:hint="eastAsia" w:hAnsi="宋体"/>
          <w:b/>
          <w:sz w:val="21"/>
          <w:szCs w:val="21"/>
          <w:highlight w:val="none"/>
        </w:rPr>
        <w:t>三、服务期限</w:t>
      </w:r>
    </w:p>
    <w:p w14:paraId="68CB02E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Times New Roman" w:cs="Times New Roman"/>
          <w:b/>
          <w:bCs w:val="0"/>
          <w:szCs w:val="21"/>
          <w:highlight w:val="none"/>
        </w:rPr>
      </w:pPr>
      <w:r>
        <w:rPr>
          <w:rFonts w:hint="eastAsia" w:ascii="宋体" w:hAnsi="Times New Roman" w:cs="Times New Roman"/>
          <w:b/>
          <w:bCs w:val="0"/>
          <w:szCs w:val="21"/>
          <w:highlight w:val="none"/>
        </w:rPr>
        <w:t>本项目的服务周期六年，</w:t>
      </w:r>
      <w:r>
        <w:rPr>
          <w:rFonts w:hint="eastAsia" w:ascii="宋体" w:hAnsi="Times New Roman" w:cs="Times New Roman"/>
          <w:b/>
          <w:bCs w:val="0"/>
          <w:szCs w:val="21"/>
          <w:highlight w:val="none"/>
          <w:lang w:eastAsia="zh-CN"/>
        </w:rPr>
        <w:t>服务</w:t>
      </w:r>
      <w:r>
        <w:rPr>
          <w:rFonts w:hint="eastAsia" w:ascii="宋体" w:hAnsi="Times New Roman" w:cs="Times New Roman"/>
          <w:b/>
          <w:bCs w:val="0"/>
          <w:szCs w:val="21"/>
          <w:highlight w:val="none"/>
        </w:rPr>
        <w:t>协议必须为一年一签。中标银行的服务</w:t>
      </w:r>
      <w:r>
        <w:rPr>
          <w:rFonts w:hint="eastAsia" w:ascii="宋体" w:cs="Times New Roman"/>
          <w:b/>
          <w:bCs w:val="0"/>
          <w:szCs w:val="21"/>
          <w:highlight w:val="none"/>
          <w:lang w:eastAsia="zh-CN"/>
        </w:rPr>
        <w:t>未</w:t>
      </w:r>
      <w:r>
        <w:rPr>
          <w:rFonts w:hint="eastAsia" w:ascii="宋体" w:hAnsi="Times New Roman" w:cs="Times New Roman"/>
          <w:b/>
          <w:bCs w:val="0"/>
          <w:szCs w:val="21"/>
          <w:highlight w:val="none"/>
        </w:rPr>
        <w:t>达到招标要求和投标响应的，招标人有权终止协议。</w:t>
      </w:r>
    </w:p>
    <w:p w14:paraId="5F3838E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Times New Roman" w:cs="宋体"/>
          <w:b/>
          <w:szCs w:val="21"/>
          <w:highlight w:val="none"/>
        </w:rPr>
      </w:pPr>
      <w:r>
        <w:rPr>
          <w:rFonts w:hint="eastAsia" w:ascii="宋体" w:cs="宋体"/>
          <w:b/>
          <w:szCs w:val="21"/>
          <w:highlight w:val="none"/>
          <w:lang w:val="en-US" w:eastAsia="zh-CN"/>
        </w:rPr>
        <w:t>四</w:t>
      </w:r>
      <w:r>
        <w:rPr>
          <w:rFonts w:hint="eastAsia" w:ascii="宋体" w:hAnsi="Times New Roman" w:cs="宋体"/>
          <w:b/>
          <w:szCs w:val="21"/>
          <w:highlight w:val="none"/>
        </w:rPr>
        <w:t>、银行账户应遵循以下原则</w:t>
      </w:r>
    </w:p>
    <w:p w14:paraId="404899F7">
      <w:pPr>
        <w:keepNext w:val="0"/>
        <w:keepLines w:val="0"/>
        <w:pageBreakBefore w:val="0"/>
        <w:widowControl/>
        <w:kinsoku/>
        <w:wordWrap/>
        <w:overflowPunct/>
        <w:topLinePunct w:val="0"/>
        <w:autoSpaceDE/>
        <w:autoSpaceDN/>
        <w:bidi w:val="0"/>
        <w:adjustRightInd/>
        <w:snapToGrid/>
        <w:spacing w:line="360" w:lineRule="auto"/>
        <w:ind w:right="-540" w:rightChars="-257" w:firstLine="420"/>
        <w:jc w:val="left"/>
        <w:textAlignment w:val="auto"/>
        <w:rPr>
          <w:rFonts w:hint="eastAsia" w:ascii="宋体" w:hAnsi="Times New Roman" w:cs="Times New Roman"/>
          <w:szCs w:val="21"/>
          <w:highlight w:val="none"/>
        </w:rPr>
      </w:pPr>
      <w:r>
        <w:rPr>
          <w:rFonts w:hint="eastAsia" w:ascii="宋体" w:hAnsi="Times New Roman" w:cs="Times New Roman"/>
          <w:szCs w:val="21"/>
          <w:highlight w:val="none"/>
          <w:lang w:val="en-US" w:eastAsia="zh-CN"/>
        </w:rPr>
        <w:t>1.</w:t>
      </w:r>
      <w:r>
        <w:rPr>
          <w:rFonts w:hint="eastAsia" w:ascii="宋体" w:hAnsi="Times New Roman" w:cs="Times New Roman"/>
          <w:szCs w:val="21"/>
          <w:highlight w:val="none"/>
        </w:rPr>
        <w:t>公开、公平、公正原则。</w:t>
      </w:r>
    </w:p>
    <w:p w14:paraId="07D6D629">
      <w:pPr>
        <w:keepNext w:val="0"/>
        <w:keepLines w:val="0"/>
        <w:pageBreakBefore w:val="0"/>
        <w:widowControl/>
        <w:kinsoku/>
        <w:wordWrap/>
        <w:overflowPunct/>
        <w:topLinePunct w:val="0"/>
        <w:autoSpaceDE/>
        <w:autoSpaceDN/>
        <w:bidi w:val="0"/>
        <w:adjustRightInd/>
        <w:snapToGrid/>
        <w:spacing w:line="360" w:lineRule="auto"/>
        <w:ind w:right="-540" w:rightChars="-257" w:firstLine="420"/>
        <w:jc w:val="left"/>
        <w:textAlignment w:val="auto"/>
        <w:rPr>
          <w:rFonts w:hint="eastAsia" w:ascii="宋体" w:hAnsi="Times New Roman" w:cs="Times New Roman"/>
          <w:szCs w:val="21"/>
          <w:highlight w:val="none"/>
        </w:rPr>
      </w:pPr>
      <w:r>
        <w:rPr>
          <w:rFonts w:hint="eastAsia" w:ascii="宋体" w:hAnsi="Times New Roman" w:cs="Times New Roman"/>
          <w:szCs w:val="21"/>
          <w:highlight w:val="none"/>
          <w:lang w:val="en-US" w:eastAsia="zh-CN"/>
        </w:rPr>
        <w:t>2.</w:t>
      </w:r>
      <w:r>
        <w:rPr>
          <w:rFonts w:hint="eastAsia" w:ascii="宋体" w:hAnsi="Times New Roman" w:cs="Times New Roman"/>
          <w:szCs w:val="21"/>
          <w:highlight w:val="none"/>
        </w:rPr>
        <w:t>安全性、流动性、收益性相统一原则。</w:t>
      </w:r>
    </w:p>
    <w:p w14:paraId="513CB0C7">
      <w:pPr>
        <w:keepNext w:val="0"/>
        <w:keepLines w:val="0"/>
        <w:pageBreakBefore w:val="0"/>
        <w:widowControl/>
        <w:kinsoku/>
        <w:wordWrap/>
        <w:overflowPunct/>
        <w:topLinePunct w:val="0"/>
        <w:autoSpaceDE/>
        <w:autoSpaceDN/>
        <w:bidi w:val="0"/>
        <w:adjustRightInd/>
        <w:snapToGrid/>
        <w:spacing w:line="360" w:lineRule="auto"/>
        <w:ind w:right="90" w:rightChars="43" w:firstLine="420"/>
        <w:jc w:val="left"/>
        <w:textAlignment w:val="auto"/>
        <w:rPr>
          <w:rFonts w:hint="eastAsia" w:ascii="宋体" w:hAnsi="Times New Roman" w:cs="Times New Roman"/>
          <w:szCs w:val="21"/>
          <w:highlight w:val="none"/>
        </w:rPr>
      </w:pPr>
      <w:r>
        <w:rPr>
          <w:rFonts w:hint="eastAsia" w:ascii="宋体" w:hAnsi="Times New Roman" w:cs="Times New Roman"/>
          <w:szCs w:val="21"/>
          <w:highlight w:val="none"/>
          <w:lang w:val="en-US" w:eastAsia="zh-CN"/>
        </w:rPr>
        <w:t>3.</w:t>
      </w:r>
      <w:r>
        <w:rPr>
          <w:rFonts w:hint="eastAsia" w:ascii="宋体" w:hAnsi="Times New Roman" w:cs="Times New Roman"/>
          <w:szCs w:val="21"/>
          <w:highlight w:val="none"/>
        </w:rPr>
        <w:t>服务从优、效率优先原则。</w:t>
      </w:r>
    </w:p>
    <w:p w14:paraId="726AF2C6">
      <w:pPr>
        <w:keepNext w:val="0"/>
        <w:keepLines w:val="0"/>
        <w:pageBreakBefore w:val="0"/>
        <w:widowControl/>
        <w:kinsoku/>
        <w:wordWrap/>
        <w:overflowPunct/>
        <w:topLinePunct w:val="0"/>
        <w:autoSpaceDE/>
        <w:autoSpaceDN/>
        <w:bidi w:val="0"/>
        <w:adjustRightInd/>
        <w:snapToGrid/>
        <w:spacing w:line="360" w:lineRule="auto"/>
        <w:ind w:right="-540" w:rightChars="-257" w:firstLine="420"/>
        <w:jc w:val="left"/>
        <w:textAlignment w:val="auto"/>
        <w:rPr>
          <w:rFonts w:hint="eastAsia" w:ascii="宋体" w:hAnsi="Times New Roman" w:cs="Times New Roman"/>
          <w:szCs w:val="21"/>
          <w:highlight w:val="none"/>
        </w:rPr>
      </w:pPr>
      <w:r>
        <w:rPr>
          <w:rFonts w:hint="eastAsia" w:ascii="宋体" w:hAnsi="Times New Roman" w:cs="Times New Roman"/>
          <w:szCs w:val="21"/>
          <w:highlight w:val="none"/>
          <w:lang w:val="en-US" w:eastAsia="zh-CN"/>
        </w:rPr>
        <w:t>4.</w:t>
      </w:r>
      <w:r>
        <w:rPr>
          <w:rFonts w:hint="eastAsia" w:ascii="宋体" w:hAnsi="Times New Roman" w:cs="Times New Roman"/>
          <w:szCs w:val="21"/>
          <w:highlight w:val="none"/>
        </w:rPr>
        <w:t>利率上浮应符合国家有关利率管理规定，同时符合当地金融机构市场利率定价自律机制的决定。</w:t>
      </w:r>
    </w:p>
    <w:p w14:paraId="173F19B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cs="宋体"/>
          <w:b/>
          <w:szCs w:val="21"/>
          <w:highlight w:val="none"/>
        </w:rPr>
      </w:pPr>
      <w:r>
        <w:rPr>
          <w:rFonts w:hint="eastAsia" w:ascii="宋体" w:cs="宋体"/>
          <w:b/>
          <w:szCs w:val="21"/>
          <w:highlight w:val="none"/>
          <w:lang w:val="en-US" w:eastAsia="zh-CN"/>
        </w:rPr>
        <w:t>五</w:t>
      </w:r>
      <w:r>
        <w:rPr>
          <w:rFonts w:hint="eastAsia" w:ascii="宋体" w:cs="宋体"/>
          <w:b/>
          <w:szCs w:val="21"/>
          <w:highlight w:val="none"/>
        </w:rPr>
        <w:t>、中标银行出现以下情形之一的，招标人有权提前终止、变更开户银行：</w:t>
      </w:r>
    </w:p>
    <w:p w14:paraId="3F689000">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cs="宋体"/>
          <w:szCs w:val="21"/>
          <w:highlight w:val="none"/>
        </w:rPr>
      </w:pPr>
      <w:r>
        <w:rPr>
          <w:rFonts w:hint="eastAsia" w:ascii="宋体" w:cs="宋体"/>
          <w:szCs w:val="21"/>
          <w:highlight w:val="none"/>
        </w:rPr>
        <w:t>1.出现资金安全事故、重大违法违规情况或财务恶化；</w:t>
      </w:r>
    </w:p>
    <w:p w14:paraId="47723642">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cs="宋体"/>
          <w:szCs w:val="21"/>
          <w:highlight w:val="none"/>
        </w:rPr>
      </w:pPr>
      <w:r>
        <w:rPr>
          <w:rFonts w:hint="eastAsia" w:ascii="宋体" w:cs="宋体"/>
          <w:szCs w:val="21"/>
          <w:highlight w:val="none"/>
        </w:rPr>
        <w:t>2.监管评级降低，监管部门认为存在较大运营风险；</w:t>
      </w:r>
    </w:p>
    <w:p w14:paraId="1CBF8993">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cs="宋体"/>
          <w:szCs w:val="21"/>
          <w:highlight w:val="none"/>
        </w:rPr>
      </w:pPr>
      <w:r>
        <w:rPr>
          <w:rFonts w:hint="eastAsia" w:ascii="宋体" w:cs="宋体"/>
          <w:szCs w:val="21"/>
          <w:highlight w:val="none"/>
        </w:rPr>
        <w:t>3.未按照中标协议承诺履行相应的责任和义务；</w:t>
      </w:r>
    </w:p>
    <w:p w14:paraId="2A73E11E">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cs="宋体"/>
          <w:szCs w:val="21"/>
          <w:highlight w:val="none"/>
        </w:rPr>
      </w:pPr>
      <w:r>
        <w:rPr>
          <w:rFonts w:hint="eastAsia" w:ascii="宋体" w:cs="宋体"/>
          <w:szCs w:val="21"/>
          <w:highlight w:val="none"/>
        </w:rPr>
        <w:t>4.不能及时将到期存款本息足额缴入单位账户，擅自降低服务条件和服务内容的；</w:t>
      </w:r>
    </w:p>
    <w:p w14:paraId="5982B872">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cs="宋体"/>
          <w:szCs w:val="21"/>
          <w:highlight w:val="none"/>
        </w:rPr>
      </w:pPr>
      <w:r>
        <w:rPr>
          <w:rFonts w:hint="eastAsia" w:ascii="宋体" w:cs="宋体"/>
          <w:szCs w:val="21"/>
          <w:highlight w:val="none"/>
        </w:rPr>
        <w:t>5.出现银行挤兑、存款被盗或其他可能妨害</w:t>
      </w:r>
      <w:r>
        <w:rPr>
          <w:rFonts w:hint="eastAsia" w:ascii="宋体" w:cs="宋体"/>
          <w:szCs w:val="21"/>
          <w:highlight w:val="none"/>
          <w:lang w:eastAsia="zh-CN"/>
        </w:rPr>
        <w:t>资金</w:t>
      </w:r>
      <w:r>
        <w:rPr>
          <w:rFonts w:hint="eastAsia" w:ascii="宋体" w:cs="宋体"/>
          <w:szCs w:val="21"/>
          <w:highlight w:val="none"/>
        </w:rPr>
        <w:t>安全的情形。</w:t>
      </w:r>
    </w:p>
    <w:p w14:paraId="7A2EFED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cs="宋体"/>
          <w:b/>
          <w:szCs w:val="21"/>
          <w:highlight w:val="none"/>
        </w:rPr>
      </w:pPr>
      <w:r>
        <w:rPr>
          <w:rFonts w:hint="eastAsia" w:ascii="宋体" w:cs="宋体"/>
          <w:b/>
          <w:szCs w:val="21"/>
          <w:highlight w:val="none"/>
          <w:lang w:val="en-US" w:eastAsia="zh-CN"/>
        </w:rPr>
        <w:t>六</w:t>
      </w:r>
      <w:r>
        <w:rPr>
          <w:rFonts w:hint="eastAsia" w:ascii="宋体" w:cs="宋体"/>
          <w:b/>
          <w:szCs w:val="21"/>
          <w:highlight w:val="none"/>
        </w:rPr>
        <w:t>、其他要求：</w:t>
      </w:r>
    </w:p>
    <w:p w14:paraId="6456609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bCs/>
          <w:szCs w:val="21"/>
          <w:highlight w:val="none"/>
        </w:rPr>
      </w:pPr>
      <w:r>
        <w:rPr>
          <w:rFonts w:hint="eastAsia" w:ascii="宋体"/>
          <w:bCs/>
          <w:szCs w:val="21"/>
          <w:highlight w:val="none"/>
        </w:rPr>
        <w:t>1.投标人需要协助完成中标人应及时向招标人提供账户开户手续开立、资金存放和结算、保密及解锁、对账服务、分账核算、各类查询、原路退款、电话咨询、网上银行服务等在内的一切配套基本服务，及招标人提出的其他一切有关账户管理的服务。</w:t>
      </w:r>
    </w:p>
    <w:p w14:paraId="73540B4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bCs/>
          <w:szCs w:val="21"/>
          <w:highlight w:val="none"/>
        </w:rPr>
      </w:pPr>
      <w:r>
        <w:rPr>
          <w:rFonts w:hint="eastAsia" w:ascii="宋体"/>
          <w:bCs/>
          <w:szCs w:val="21"/>
          <w:highlight w:val="none"/>
        </w:rPr>
        <w:t>2.银行故障或招标人工作遇到疑问时，投标人应该能够30分钟内及时响应招标人疑问或维修要求，并在2小时内提出解决方案，24小时内解决问题。</w:t>
      </w:r>
    </w:p>
    <w:p w14:paraId="2642AFF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bCs/>
          <w:szCs w:val="21"/>
          <w:highlight w:val="none"/>
        </w:rPr>
      </w:pPr>
      <w:r>
        <w:rPr>
          <w:rFonts w:hint="eastAsia" w:ascii="宋体"/>
          <w:bCs/>
          <w:szCs w:val="21"/>
          <w:highlight w:val="none"/>
          <w:lang w:val="en-US" w:eastAsia="zh-CN"/>
        </w:rPr>
        <w:t>3</w:t>
      </w:r>
      <w:r>
        <w:rPr>
          <w:rFonts w:hint="eastAsia" w:ascii="宋体"/>
          <w:bCs/>
          <w:szCs w:val="21"/>
          <w:highlight w:val="none"/>
        </w:rPr>
        <w:t>.中标人需有完善的信息系统、金融信息安全保障技术，符合金融行业要求的相关技术措施。</w:t>
      </w:r>
    </w:p>
    <w:p w14:paraId="6217579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bCs/>
          <w:szCs w:val="21"/>
          <w:highlight w:val="none"/>
        </w:rPr>
      </w:pPr>
      <w:r>
        <w:rPr>
          <w:rFonts w:hint="eastAsia" w:ascii="宋体"/>
          <w:bCs/>
          <w:szCs w:val="21"/>
          <w:highlight w:val="none"/>
          <w:lang w:val="en-US" w:eastAsia="zh-CN"/>
        </w:rPr>
        <w:t>4</w:t>
      </w:r>
      <w:r>
        <w:rPr>
          <w:rFonts w:hint="eastAsia" w:ascii="宋体"/>
          <w:bCs/>
          <w:szCs w:val="21"/>
          <w:highlight w:val="none"/>
        </w:rPr>
        <w:t>.中标人需提供完善的服务，包括提供完善的对账服务、分账核算服务。需具有安全及风险控制措施以及保证服务质量的措施等。</w:t>
      </w:r>
    </w:p>
    <w:p w14:paraId="69E3C6A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bCs/>
          <w:szCs w:val="21"/>
          <w:highlight w:val="none"/>
        </w:rPr>
      </w:pPr>
      <w:r>
        <w:rPr>
          <w:rFonts w:hint="eastAsia" w:ascii="宋体"/>
          <w:bCs/>
          <w:szCs w:val="21"/>
          <w:highlight w:val="none"/>
          <w:lang w:val="en-US" w:eastAsia="zh-CN"/>
        </w:rPr>
        <w:t>5</w:t>
      </w:r>
      <w:r>
        <w:rPr>
          <w:rFonts w:hint="eastAsia" w:ascii="宋体"/>
          <w:bCs/>
          <w:szCs w:val="21"/>
          <w:highlight w:val="none"/>
        </w:rPr>
        <w:t>.投标人应在投标方案中明确中标后提供服务的网点。</w:t>
      </w:r>
    </w:p>
    <w:p w14:paraId="718A5E21">
      <w:pPr>
        <w:spacing w:line="360" w:lineRule="exact"/>
        <w:ind w:firstLine="420"/>
        <w:rPr>
          <w:rFonts w:ascii="宋体" w:cs="宋体"/>
          <w:szCs w:val="21"/>
        </w:rPr>
      </w:pPr>
      <w:r>
        <w:rPr>
          <w:rFonts w:hint="eastAsia" w:ascii="宋体"/>
          <w:bCs/>
          <w:szCs w:val="21"/>
          <w:highlight w:val="none"/>
          <w:lang w:val="en-US" w:eastAsia="zh-CN"/>
        </w:rPr>
        <w:t>6</w:t>
      </w:r>
      <w:r>
        <w:rPr>
          <w:rFonts w:hint="eastAsia" w:ascii="宋体"/>
          <w:bCs/>
          <w:szCs w:val="21"/>
          <w:highlight w:val="none"/>
        </w:rPr>
        <w:t>.遇国家和省有关政策调整原因或招标人资金流动紧张等因素，需提前支取定期存款的，存放银行应积极予以办理。提前支取部分，银行按支取时国家有关利率规定计付利息。</w:t>
      </w:r>
    </w:p>
    <w:p w14:paraId="542259C9">
      <w:pPr>
        <w:pStyle w:val="6"/>
        <w:snapToGrid w:val="0"/>
        <w:spacing w:beforeLines="0" w:afterLines="0" w:line="360" w:lineRule="auto"/>
        <w:jc w:val="center"/>
        <w:outlineLvl w:val="0"/>
        <w:rPr>
          <w:rFonts w:hAnsi="宋体"/>
          <w:sz w:val="28"/>
          <w:szCs w:val="28"/>
        </w:rPr>
      </w:pPr>
      <w:r>
        <w:rPr>
          <w:rFonts w:hAnsi="宋体"/>
          <w:b/>
          <w:sz w:val="30"/>
          <w:szCs w:val="30"/>
        </w:rPr>
        <w:br w:type="page"/>
      </w:r>
      <w:r>
        <w:rPr>
          <w:rFonts w:hint="eastAsia" w:hAnsi="宋体"/>
          <w:b/>
          <w:sz w:val="30"/>
          <w:szCs w:val="30"/>
        </w:rPr>
        <w:t>第三章  投标人须知</w:t>
      </w:r>
      <w:bookmarkEnd w:id="3"/>
    </w:p>
    <w:p w14:paraId="729B6D1E">
      <w:pPr>
        <w:snapToGrid w:val="0"/>
        <w:spacing w:line="360" w:lineRule="auto"/>
        <w:jc w:val="center"/>
        <w:rPr>
          <w:rFonts w:ascii="宋体" w:hAnsi="宋体"/>
          <w:szCs w:val="21"/>
        </w:rPr>
      </w:pPr>
      <w:r>
        <w:rPr>
          <w:rFonts w:hint="eastAsia" w:ascii="宋体" w:hAnsi="宋体"/>
          <w:szCs w:val="21"/>
        </w:rPr>
        <w:t>前附表</w:t>
      </w:r>
    </w:p>
    <w:tbl>
      <w:tblPr>
        <w:tblStyle w:val="15"/>
        <w:tblW w:w="947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224"/>
      </w:tblGrid>
      <w:tr w14:paraId="61D82E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255" w:type="dxa"/>
            <w:noWrap/>
            <w:vAlign w:val="center"/>
          </w:tcPr>
          <w:p w14:paraId="24065364">
            <w:pPr>
              <w:snapToGrid w:val="0"/>
              <w:spacing w:line="480" w:lineRule="exact"/>
              <w:jc w:val="center"/>
              <w:rPr>
                <w:rFonts w:ascii="宋体" w:hAnsi="宋体"/>
                <w:b/>
                <w:bCs/>
                <w:sz w:val="24"/>
                <w:szCs w:val="24"/>
              </w:rPr>
            </w:pPr>
            <w:r>
              <w:rPr>
                <w:rFonts w:hint="eastAsia" w:ascii="宋体" w:hAnsi="宋体"/>
                <w:b/>
                <w:bCs/>
                <w:sz w:val="24"/>
                <w:szCs w:val="24"/>
              </w:rPr>
              <w:t>序号</w:t>
            </w:r>
          </w:p>
        </w:tc>
        <w:tc>
          <w:tcPr>
            <w:tcW w:w="8224" w:type="dxa"/>
            <w:noWrap/>
            <w:vAlign w:val="center"/>
          </w:tcPr>
          <w:p w14:paraId="0B0DD79F">
            <w:pPr>
              <w:snapToGrid w:val="0"/>
              <w:spacing w:line="480" w:lineRule="exact"/>
              <w:jc w:val="center"/>
              <w:rPr>
                <w:rFonts w:ascii="宋体" w:hAnsi="宋体"/>
                <w:b/>
                <w:bCs/>
                <w:sz w:val="24"/>
                <w:szCs w:val="24"/>
              </w:rPr>
            </w:pPr>
            <w:r>
              <w:rPr>
                <w:rFonts w:hint="eastAsia" w:ascii="宋体" w:hAnsi="宋体"/>
                <w:b/>
                <w:bCs/>
                <w:sz w:val="24"/>
                <w:szCs w:val="24"/>
              </w:rPr>
              <w:t>内    容    及    要    求</w:t>
            </w:r>
          </w:p>
        </w:tc>
      </w:tr>
      <w:tr w14:paraId="165F6F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55" w:type="dxa"/>
            <w:noWrap/>
            <w:vAlign w:val="center"/>
          </w:tcPr>
          <w:p w14:paraId="05854BB7">
            <w:pPr>
              <w:snapToGrid w:val="0"/>
              <w:spacing w:line="360" w:lineRule="exact"/>
              <w:jc w:val="center"/>
              <w:rPr>
                <w:rFonts w:ascii="宋体" w:hAnsi="宋体"/>
                <w:szCs w:val="21"/>
              </w:rPr>
            </w:pPr>
            <w:r>
              <w:rPr>
                <w:rFonts w:hint="eastAsia" w:ascii="宋体" w:hAnsi="宋体"/>
                <w:szCs w:val="21"/>
              </w:rPr>
              <w:t>1</w:t>
            </w:r>
          </w:p>
        </w:tc>
        <w:tc>
          <w:tcPr>
            <w:tcW w:w="8224" w:type="dxa"/>
            <w:noWrap/>
            <w:vAlign w:val="center"/>
          </w:tcPr>
          <w:p w14:paraId="76DA7330">
            <w:pPr>
              <w:snapToGrid w:val="0"/>
              <w:spacing w:line="300" w:lineRule="exact"/>
              <w:rPr>
                <w:rFonts w:ascii="宋体" w:hAnsi="宋体"/>
                <w:szCs w:val="21"/>
              </w:rPr>
            </w:pPr>
            <w:r>
              <w:rPr>
                <w:rFonts w:hint="eastAsia" w:ascii="宋体" w:hAnsi="宋体"/>
                <w:szCs w:val="21"/>
              </w:rPr>
              <w:t>项目名称及数量：</w:t>
            </w:r>
            <w:r>
              <w:rPr>
                <w:rFonts w:hint="eastAsia" w:ascii="宋体" w:hAnsi="宋体"/>
                <w:bCs/>
                <w:szCs w:val="21"/>
              </w:rPr>
              <w:t>详见《第一章 招标公告》</w:t>
            </w:r>
          </w:p>
        </w:tc>
      </w:tr>
      <w:tr w14:paraId="6A423D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55" w:type="dxa"/>
            <w:noWrap/>
            <w:vAlign w:val="center"/>
          </w:tcPr>
          <w:p w14:paraId="5CBE56D5">
            <w:pPr>
              <w:snapToGrid w:val="0"/>
              <w:spacing w:line="360" w:lineRule="exact"/>
              <w:jc w:val="center"/>
              <w:rPr>
                <w:rFonts w:ascii="宋体" w:hAnsi="宋体"/>
                <w:szCs w:val="21"/>
              </w:rPr>
            </w:pPr>
            <w:r>
              <w:rPr>
                <w:rFonts w:hint="eastAsia" w:ascii="宋体" w:hAnsi="宋体"/>
                <w:szCs w:val="21"/>
              </w:rPr>
              <w:t>2</w:t>
            </w:r>
          </w:p>
        </w:tc>
        <w:tc>
          <w:tcPr>
            <w:tcW w:w="8224" w:type="dxa"/>
            <w:noWrap/>
            <w:vAlign w:val="center"/>
          </w:tcPr>
          <w:p w14:paraId="63E4DEF9">
            <w:pPr>
              <w:snapToGrid w:val="0"/>
              <w:spacing w:line="300" w:lineRule="exact"/>
              <w:rPr>
                <w:rFonts w:ascii="宋体" w:hAnsi="宋体"/>
                <w:szCs w:val="21"/>
              </w:rPr>
            </w:pPr>
            <w:r>
              <w:rPr>
                <w:rFonts w:hint="eastAsia" w:ascii="宋体" w:hAnsi="宋体"/>
                <w:bCs/>
                <w:szCs w:val="21"/>
              </w:rPr>
              <w:t>答疑与澄清：投标人如对招标文件有异议，应当于招标文件要求提交投标文件截止时间五日前，以书面形式向招标人提出，逾期不予受理。</w:t>
            </w:r>
          </w:p>
        </w:tc>
      </w:tr>
      <w:tr w14:paraId="1C0FF5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55" w:type="dxa"/>
            <w:noWrap/>
            <w:vAlign w:val="center"/>
          </w:tcPr>
          <w:p w14:paraId="2E9978EA">
            <w:pPr>
              <w:snapToGrid w:val="0"/>
              <w:spacing w:line="360" w:lineRule="exact"/>
              <w:jc w:val="center"/>
              <w:rPr>
                <w:rFonts w:ascii="宋体" w:hAnsi="宋体"/>
                <w:szCs w:val="21"/>
              </w:rPr>
            </w:pPr>
            <w:r>
              <w:rPr>
                <w:rFonts w:hint="eastAsia" w:ascii="宋体" w:hAnsi="宋体"/>
                <w:szCs w:val="21"/>
              </w:rPr>
              <w:t>3</w:t>
            </w:r>
          </w:p>
        </w:tc>
        <w:tc>
          <w:tcPr>
            <w:tcW w:w="8224" w:type="dxa"/>
            <w:noWrap/>
            <w:vAlign w:val="center"/>
          </w:tcPr>
          <w:p w14:paraId="4661EF86">
            <w:pPr>
              <w:snapToGrid w:val="0"/>
              <w:spacing w:line="300" w:lineRule="exact"/>
              <w:rPr>
                <w:rFonts w:ascii="宋体" w:hAnsi="宋体"/>
                <w:szCs w:val="21"/>
              </w:rPr>
            </w:pPr>
            <w:r>
              <w:rPr>
                <w:rFonts w:hint="eastAsia" w:ascii="宋体" w:hAnsi="宋体"/>
                <w:szCs w:val="21"/>
              </w:rPr>
              <w:t>是否接受转包与分包：否</w:t>
            </w:r>
          </w:p>
        </w:tc>
      </w:tr>
      <w:tr w14:paraId="6B3600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55" w:type="dxa"/>
            <w:noWrap/>
            <w:vAlign w:val="center"/>
          </w:tcPr>
          <w:p w14:paraId="3942E588">
            <w:pPr>
              <w:snapToGrid w:val="0"/>
              <w:spacing w:line="360" w:lineRule="exact"/>
              <w:jc w:val="center"/>
              <w:rPr>
                <w:rFonts w:ascii="宋体" w:hAnsi="宋体"/>
                <w:szCs w:val="21"/>
              </w:rPr>
            </w:pPr>
            <w:r>
              <w:rPr>
                <w:rFonts w:hint="eastAsia" w:ascii="宋体" w:hAnsi="宋体"/>
                <w:szCs w:val="21"/>
              </w:rPr>
              <w:t>4</w:t>
            </w:r>
          </w:p>
        </w:tc>
        <w:tc>
          <w:tcPr>
            <w:tcW w:w="8224" w:type="dxa"/>
            <w:noWrap/>
            <w:vAlign w:val="center"/>
          </w:tcPr>
          <w:p w14:paraId="14582503">
            <w:pPr>
              <w:snapToGrid w:val="0"/>
              <w:spacing w:line="300" w:lineRule="exact"/>
              <w:rPr>
                <w:rFonts w:ascii="宋体" w:hAnsi="宋体"/>
                <w:szCs w:val="21"/>
              </w:rPr>
            </w:pPr>
            <w:r>
              <w:rPr>
                <w:rFonts w:hint="eastAsia" w:ascii="宋体" w:hAnsi="宋体"/>
                <w:szCs w:val="21"/>
              </w:rPr>
              <w:t>是否接受联合体投标：否</w:t>
            </w:r>
          </w:p>
        </w:tc>
      </w:tr>
      <w:tr w14:paraId="6C80E0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55" w:type="dxa"/>
            <w:noWrap/>
            <w:vAlign w:val="center"/>
          </w:tcPr>
          <w:p w14:paraId="246CE5B6">
            <w:pPr>
              <w:snapToGrid w:val="0"/>
              <w:spacing w:line="360" w:lineRule="exact"/>
              <w:jc w:val="center"/>
              <w:rPr>
                <w:rFonts w:ascii="宋体" w:hAnsi="宋体"/>
                <w:szCs w:val="21"/>
              </w:rPr>
            </w:pPr>
            <w:r>
              <w:rPr>
                <w:rFonts w:hint="eastAsia" w:ascii="宋体" w:hAnsi="宋体"/>
                <w:szCs w:val="21"/>
              </w:rPr>
              <w:t>5</w:t>
            </w:r>
          </w:p>
        </w:tc>
        <w:tc>
          <w:tcPr>
            <w:tcW w:w="8224" w:type="dxa"/>
            <w:noWrap/>
            <w:vAlign w:val="center"/>
          </w:tcPr>
          <w:p w14:paraId="5C0BDF6F">
            <w:pPr>
              <w:snapToGrid w:val="0"/>
              <w:spacing w:line="300" w:lineRule="exact"/>
              <w:rPr>
                <w:rFonts w:ascii="宋体" w:hAnsi="宋体"/>
                <w:szCs w:val="21"/>
              </w:rPr>
            </w:pPr>
            <w:r>
              <w:rPr>
                <w:rFonts w:hint="eastAsia" w:ascii="宋体" w:hAnsi="宋体"/>
                <w:szCs w:val="21"/>
              </w:rPr>
              <w:t>开标时间：</w:t>
            </w:r>
            <w:r>
              <w:rPr>
                <w:rFonts w:hint="eastAsia" w:ascii="宋体" w:hAnsi="宋体"/>
                <w:bCs/>
                <w:szCs w:val="21"/>
              </w:rPr>
              <w:t>详见《第一章 招标公告》</w:t>
            </w:r>
          </w:p>
        </w:tc>
      </w:tr>
      <w:tr w14:paraId="206301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55" w:type="dxa"/>
            <w:noWrap/>
            <w:vAlign w:val="center"/>
          </w:tcPr>
          <w:p w14:paraId="1462D99F">
            <w:pPr>
              <w:snapToGrid w:val="0"/>
              <w:spacing w:line="360" w:lineRule="exact"/>
              <w:jc w:val="center"/>
              <w:rPr>
                <w:rFonts w:ascii="宋体" w:hAnsi="宋体"/>
                <w:szCs w:val="21"/>
              </w:rPr>
            </w:pPr>
            <w:r>
              <w:rPr>
                <w:rFonts w:hint="eastAsia" w:ascii="宋体" w:hAnsi="宋体"/>
                <w:szCs w:val="21"/>
              </w:rPr>
              <w:t>6</w:t>
            </w:r>
          </w:p>
        </w:tc>
        <w:tc>
          <w:tcPr>
            <w:tcW w:w="8224" w:type="dxa"/>
            <w:noWrap/>
            <w:vAlign w:val="center"/>
          </w:tcPr>
          <w:p w14:paraId="1C5304B9">
            <w:pPr>
              <w:snapToGrid w:val="0"/>
              <w:spacing w:line="300" w:lineRule="exact"/>
              <w:rPr>
                <w:rFonts w:ascii="宋体" w:hAnsi="宋体"/>
                <w:szCs w:val="21"/>
              </w:rPr>
            </w:pPr>
            <w:r>
              <w:rPr>
                <w:rFonts w:hint="eastAsia" w:ascii="宋体" w:hAnsi="宋体"/>
                <w:szCs w:val="21"/>
              </w:rPr>
              <w:t>开标地点：</w:t>
            </w:r>
            <w:r>
              <w:rPr>
                <w:rFonts w:hint="eastAsia" w:ascii="宋体" w:hAnsi="宋体"/>
                <w:bCs/>
                <w:szCs w:val="21"/>
              </w:rPr>
              <w:t>详见《第一章 招标公告》</w:t>
            </w:r>
          </w:p>
        </w:tc>
      </w:tr>
      <w:tr w14:paraId="739D5D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255" w:type="dxa"/>
            <w:noWrap/>
            <w:vAlign w:val="center"/>
          </w:tcPr>
          <w:p w14:paraId="44888F4D">
            <w:pPr>
              <w:snapToGrid w:val="0"/>
              <w:spacing w:line="360" w:lineRule="exact"/>
              <w:jc w:val="center"/>
              <w:rPr>
                <w:rFonts w:ascii="宋体" w:hAnsi="宋体"/>
                <w:szCs w:val="21"/>
              </w:rPr>
            </w:pPr>
            <w:r>
              <w:rPr>
                <w:rFonts w:hint="eastAsia" w:ascii="宋体" w:hAnsi="宋体" w:cs="宋体"/>
                <w:szCs w:val="21"/>
              </w:rPr>
              <w:t>▲</w:t>
            </w:r>
            <w:r>
              <w:rPr>
                <w:rFonts w:hint="eastAsia" w:ascii="宋体" w:hAnsi="宋体"/>
                <w:szCs w:val="21"/>
              </w:rPr>
              <w:t>7</w:t>
            </w:r>
          </w:p>
        </w:tc>
        <w:tc>
          <w:tcPr>
            <w:tcW w:w="8224" w:type="dxa"/>
            <w:noWrap/>
            <w:vAlign w:val="center"/>
          </w:tcPr>
          <w:p w14:paraId="43356055">
            <w:pPr>
              <w:widowControl/>
              <w:snapToGrid w:val="0"/>
              <w:spacing w:line="300" w:lineRule="exact"/>
              <w:rPr>
                <w:rFonts w:ascii="宋体" w:hAnsi="宋体"/>
                <w:b/>
                <w:bCs/>
                <w:szCs w:val="21"/>
              </w:rPr>
            </w:pPr>
            <w:r>
              <w:rPr>
                <w:rFonts w:hint="eastAsia" w:ascii="宋体" w:hAnsi="宋体"/>
                <w:b/>
                <w:bCs/>
                <w:szCs w:val="21"/>
              </w:rPr>
              <w:t>投标文件组成：电子投标文件上传至政府采购云平台。</w:t>
            </w:r>
          </w:p>
          <w:p w14:paraId="4146FCE8">
            <w:pPr>
              <w:widowControl/>
              <w:snapToGrid w:val="0"/>
              <w:spacing w:line="300" w:lineRule="exact"/>
              <w:rPr>
                <w:rFonts w:ascii="宋体" w:hAnsi="宋体"/>
                <w:b/>
                <w:bCs/>
                <w:szCs w:val="21"/>
              </w:rPr>
            </w:pPr>
            <w:r>
              <w:rPr>
                <w:rFonts w:hint="eastAsia" w:ascii="宋体" w:hAnsi="宋体"/>
                <w:b/>
                <w:bCs/>
                <w:szCs w:val="21"/>
              </w:rPr>
              <w:t>注：</w:t>
            </w:r>
          </w:p>
          <w:p w14:paraId="71B35FFA">
            <w:pPr>
              <w:widowControl/>
              <w:snapToGrid w:val="0"/>
              <w:spacing w:line="300" w:lineRule="exact"/>
              <w:rPr>
                <w:rFonts w:ascii="宋体" w:hAnsi="宋体"/>
                <w:b/>
                <w:bCs/>
                <w:szCs w:val="21"/>
                <w:u w:val="none"/>
              </w:rPr>
            </w:pPr>
            <w:r>
              <w:rPr>
                <w:rFonts w:hint="eastAsia" w:ascii="宋体" w:hAnsi="宋体"/>
                <w:b/>
                <w:bCs/>
                <w:szCs w:val="21"/>
                <w:u w:val="none"/>
              </w:rPr>
              <w:t>（1）第四章 评标办法及评分标准“附件3：评标细则的服务方案”项和符合性审查的“投标文件签字盖章”项中均需上传本项目全套完整电子投标文件的内容”；</w:t>
            </w:r>
          </w:p>
          <w:p w14:paraId="065D5687">
            <w:pPr>
              <w:snapToGrid w:val="0"/>
              <w:spacing w:line="300" w:lineRule="exact"/>
              <w:rPr>
                <w:rFonts w:ascii="宋体" w:hAnsi="宋体"/>
                <w:szCs w:val="21"/>
              </w:rPr>
            </w:pPr>
            <w:r>
              <w:rPr>
                <w:rFonts w:hint="eastAsia" w:ascii="宋体" w:hAnsi="宋体"/>
                <w:b/>
                <w:bCs/>
                <w:szCs w:val="21"/>
              </w:rPr>
              <w:t>（2）中标单位在取得中标通知书前需补交纸质投标文件3份，内容需与上传的电子投标文件一致，纸质投标文件封面盖投标人的公章，并且投标文件格式中有签字、盖章处，需按格式要求签字、盖章。</w:t>
            </w:r>
          </w:p>
        </w:tc>
      </w:tr>
      <w:tr w14:paraId="469E39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jc w:val="center"/>
        </w:trPr>
        <w:tc>
          <w:tcPr>
            <w:tcW w:w="1255" w:type="dxa"/>
            <w:noWrap/>
            <w:vAlign w:val="center"/>
          </w:tcPr>
          <w:p w14:paraId="7FFAF24F">
            <w:pPr>
              <w:snapToGrid w:val="0"/>
              <w:spacing w:line="360" w:lineRule="exact"/>
              <w:jc w:val="center"/>
              <w:rPr>
                <w:rFonts w:ascii="宋体" w:hAnsi="宋体"/>
                <w:szCs w:val="21"/>
              </w:rPr>
            </w:pPr>
            <w:r>
              <w:rPr>
                <w:rFonts w:hint="eastAsia" w:ascii="宋体" w:hAnsi="宋体" w:cs="宋体"/>
                <w:szCs w:val="21"/>
              </w:rPr>
              <w:t>▲</w:t>
            </w:r>
            <w:r>
              <w:rPr>
                <w:rFonts w:hint="eastAsia" w:ascii="宋体" w:hAnsi="宋体"/>
                <w:szCs w:val="21"/>
              </w:rPr>
              <w:t>8</w:t>
            </w:r>
          </w:p>
        </w:tc>
        <w:tc>
          <w:tcPr>
            <w:tcW w:w="8224" w:type="dxa"/>
            <w:noWrap/>
            <w:vAlign w:val="center"/>
          </w:tcPr>
          <w:p w14:paraId="7E9CD3F0">
            <w:pPr>
              <w:snapToGrid w:val="0"/>
              <w:spacing w:line="300" w:lineRule="exact"/>
              <w:rPr>
                <w:rFonts w:ascii="宋体" w:hAnsi="宋体"/>
                <w:szCs w:val="21"/>
              </w:rPr>
            </w:pPr>
            <w:r>
              <w:rPr>
                <w:rFonts w:hint="eastAsia" w:ascii="宋体" w:hAnsi="宋体"/>
                <w:szCs w:val="21"/>
              </w:rPr>
              <w:t>投标报价：</w:t>
            </w:r>
          </w:p>
          <w:p w14:paraId="4661A9E2">
            <w:pPr>
              <w:snapToGrid w:val="0"/>
              <w:spacing w:line="300" w:lineRule="exact"/>
              <w:rPr>
                <w:rFonts w:ascii="宋体" w:hAnsi="宋体"/>
                <w:szCs w:val="21"/>
              </w:rPr>
            </w:pPr>
            <w:r>
              <w:rPr>
                <w:rFonts w:hint="eastAsia" w:ascii="宋体" w:hAnsi="宋体"/>
                <w:szCs w:val="21"/>
              </w:rPr>
              <w:t>（1）投标报价应按招标文件中相关附表格式填写。</w:t>
            </w:r>
          </w:p>
          <w:p w14:paraId="7709BE6A">
            <w:pPr>
              <w:snapToGrid w:val="0"/>
              <w:spacing w:line="300" w:lineRule="exact"/>
              <w:rPr>
                <w:rFonts w:ascii="宋体" w:hAnsi="宋体"/>
                <w:szCs w:val="21"/>
              </w:rPr>
            </w:pPr>
            <w:r>
              <w:rPr>
                <w:rFonts w:hint="eastAsia" w:ascii="宋体" w:hAnsi="宋体"/>
                <w:szCs w:val="21"/>
              </w:rPr>
              <w:t>（2）投标人须以人民银行基准利率为基准，利率的上浮率应符合国家有关利率管理规定，同时参考金融机构市场利率定价自律机制，可采用承诺制。</w:t>
            </w:r>
          </w:p>
          <w:p w14:paraId="78BB313D">
            <w:pPr>
              <w:snapToGrid w:val="0"/>
              <w:spacing w:line="300" w:lineRule="exact"/>
              <w:rPr>
                <w:rFonts w:ascii="宋体" w:hAnsi="宋体"/>
                <w:szCs w:val="21"/>
              </w:rPr>
            </w:pPr>
            <w:r>
              <w:rPr>
                <w:rFonts w:hint="eastAsia" w:ascii="宋体" w:hAnsi="宋体"/>
                <w:szCs w:val="21"/>
              </w:rPr>
              <w:t>（3）投标报价是履行合同的最终价格。</w:t>
            </w:r>
          </w:p>
          <w:p w14:paraId="523EA86B">
            <w:pPr>
              <w:snapToGrid w:val="0"/>
              <w:spacing w:line="300" w:lineRule="exact"/>
              <w:rPr>
                <w:rFonts w:ascii="宋体" w:hAnsi="宋体"/>
                <w:szCs w:val="21"/>
              </w:rPr>
            </w:pPr>
            <w:r>
              <w:rPr>
                <w:rFonts w:hint="eastAsia" w:ascii="宋体" w:hAnsi="宋体"/>
                <w:szCs w:val="21"/>
              </w:rPr>
              <w:t>（4）投标文件只允许有一个报价，有选择的或有条件的报价将不予接受。</w:t>
            </w:r>
          </w:p>
        </w:tc>
      </w:tr>
      <w:tr w14:paraId="67CF93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55" w:type="dxa"/>
            <w:noWrap/>
            <w:vAlign w:val="center"/>
          </w:tcPr>
          <w:p w14:paraId="07B727BA">
            <w:pPr>
              <w:snapToGrid w:val="0"/>
              <w:spacing w:line="360" w:lineRule="exact"/>
              <w:jc w:val="center"/>
              <w:rPr>
                <w:rFonts w:ascii="宋体" w:hAnsi="宋体"/>
                <w:szCs w:val="21"/>
              </w:rPr>
            </w:pPr>
            <w:r>
              <w:rPr>
                <w:rFonts w:hint="eastAsia" w:ascii="宋体" w:hAnsi="宋体"/>
                <w:szCs w:val="21"/>
              </w:rPr>
              <w:t>9</w:t>
            </w:r>
          </w:p>
        </w:tc>
        <w:tc>
          <w:tcPr>
            <w:tcW w:w="8224" w:type="dxa"/>
            <w:noWrap/>
            <w:vAlign w:val="center"/>
          </w:tcPr>
          <w:p w14:paraId="431EDC35">
            <w:pPr>
              <w:snapToGrid w:val="0"/>
              <w:spacing w:line="300" w:lineRule="exact"/>
              <w:rPr>
                <w:rFonts w:ascii="宋体" w:hAnsi="宋体"/>
                <w:szCs w:val="21"/>
              </w:rPr>
            </w:pPr>
            <w:r>
              <w:rPr>
                <w:rFonts w:hint="eastAsia" w:ascii="宋体" w:hAnsi="宋体"/>
                <w:szCs w:val="21"/>
              </w:rPr>
              <w:t>签订协议时间：中标通知书发出后30日内。</w:t>
            </w:r>
          </w:p>
        </w:tc>
      </w:tr>
      <w:tr w14:paraId="588094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55" w:type="dxa"/>
            <w:noWrap/>
            <w:vAlign w:val="center"/>
          </w:tcPr>
          <w:p w14:paraId="3BFBDADE">
            <w:pPr>
              <w:snapToGrid w:val="0"/>
              <w:spacing w:line="360" w:lineRule="exact"/>
              <w:jc w:val="center"/>
              <w:rPr>
                <w:rFonts w:ascii="宋体" w:hAnsi="宋体"/>
                <w:szCs w:val="21"/>
              </w:rPr>
            </w:pPr>
            <w:r>
              <w:rPr>
                <w:rFonts w:hint="eastAsia" w:ascii="宋体" w:hAnsi="宋体" w:cs="宋体"/>
                <w:szCs w:val="21"/>
              </w:rPr>
              <w:t>▲</w:t>
            </w:r>
            <w:r>
              <w:rPr>
                <w:rFonts w:hint="eastAsia" w:ascii="宋体" w:hAnsi="宋体"/>
                <w:szCs w:val="21"/>
              </w:rPr>
              <w:t>10</w:t>
            </w:r>
          </w:p>
        </w:tc>
        <w:tc>
          <w:tcPr>
            <w:tcW w:w="8224" w:type="dxa"/>
            <w:noWrap/>
            <w:vAlign w:val="center"/>
          </w:tcPr>
          <w:p w14:paraId="5344541C">
            <w:pPr>
              <w:snapToGrid w:val="0"/>
              <w:spacing w:line="300" w:lineRule="exact"/>
              <w:rPr>
                <w:rFonts w:ascii="宋体" w:hAnsi="宋体"/>
                <w:szCs w:val="21"/>
              </w:rPr>
            </w:pPr>
            <w:r>
              <w:rPr>
                <w:rFonts w:hint="eastAsia" w:ascii="宋体" w:hAnsi="宋体" w:cs="Times New Roman"/>
                <w:b/>
                <w:bCs/>
                <w:sz w:val="21"/>
                <w:szCs w:val="21"/>
                <w:highlight w:val="none"/>
              </w:rPr>
              <w:t>本项目的服务周期六年，</w:t>
            </w:r>
            <w:r>
              <w:rPr>
                <w:rFonts w:hint="eastAsia" w:ascii="宋体" w:hAnsi="宋体" w:cs="Times New Roman"/>
                <w:b/>
                <w:bCs/>
                <w:sz w:val="21"/>
                <w:szCs w:val="21"/>
                <w:highlight w:val="none"/>
                <w:lang w:eastAsia="zh-CN"/>
              </w:rPr>
              <w:t>服务</w:t>
            </w:r>
            <w:r>
              <w:rPr>
                <w:rFonts w:hint="eastAsia" w:ascii="宋体" w:hAnsi="宋体" w:cs="Times New Roman"/>
                <w:b/>
                <w:bCs/>
                <w:sz w:val="21"/>
                <w:szCs w:val="21"/>
                <w:highlight w:val="none"/>
              </w:rPr>
              <w:t>协议必须为一年一签。中标银行的服务</w:t>
            </w:r>
            <w:r>
              <w:rPr>
                <w:rFonts w:hint="eastAsia" w:ascii="宋体" w:hAnsi="宋体" w:cs="Times New Roman"/>
                <w:b/>
                <w:bCs/>
                <w:sz w:val="21"/>
                <w:szCs w:val="21"/>
                <w:highlight w:val="none"/>
                <w:lang w:eastAsia="zh-CN"/>
              </w:rPr>
              <w:t>未</w:t>
            </w:r>
            <w:r>
              <w:rPr>
                <w:rFonts w:hint="eastAsia" w:ascii="宋体" w:hAnsi="宋体" w:cs="Times New Roman"/>
                <w:b/>
                <w:bCs/>
                <w:sz w:val="21"/>
                <w:szCs w:val="21"/>
                <w:highlight w:val="none"/>
              </w:rPr>
              <w:t>达到招标要求和投标响应的，招标人有权终止协议。</w:t>
            </w:r>
          </w:p>
        </w:tc>
      </w:tr>
      <w:tr w14:paraId="4C8CAE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55" w:type="dxa"/>
            <w:noWrap/>
            <w:vAlign w:val="center"/>
          </w:tcPr>
          <w:p w14:paraId="3291EE3A">
            <w:pPr>
              <w:snapToGrid w:val="0"/>
              <w:spacing w:line="360" w:lineRule="exact"/>
              <w:jc w:val="center"/>
              <w:rPr>
                <w:rFonts w:ascii="宋体" w:hAnsi="宋体"/>
                <w:szCs w:val="21"/>
              </w:rPr>
            </w:pPr>
            <w:r>
              <w:rPr>
                <w:rFonts w:hint="eastAsia" w:ascii="宋体" w:hAnsi="宋体" w:cs="宋体"/>
                <w:szCs w:val="21"/>
              </w:rPr>
              <w:t>▲</w:t>
            </w:r>
            <w:r>
              <w:rPr>
                <w:rFonts w:hint="eastAsia" w:ascii="宋体" w:hAnsi="宋体"/>
                <w:szCs w:val="21"/>
              </w:rPr>
              <w:t>11</w:t>
            </w:r>
          </w:p>
        </w:tc>
        <w:tc>
          <w:tcPr>
            <w:tcW w:w="8224" w:type="dxa"/>
            <w:noWrap/>
            <w:vAlign w:val="center"/>
          </w:tcPr>
          <w:p w14:paraId="5C515BB8">
            <w:pPr>
              <w:snapToGrid w:val="0"/>
              <w:spacing w:line="300" w:lineRule="exact"/>
              <w:rPr>
                <w:rFonts w:ascii="宋体" w:hAnsi="宋体"/>
                <w:szCs w:val="21"/>
              </w:rPr>
            </w:pPr>
            <w:r>
              <w:rPr>
                <w:rFonts w:hint="eastAsia" w:ascii="宋体" w:hAnsi="宋体"/>
                <w:szCs w:val="21"/>
              </w:rPr>
              <w:t>投标文件有效期为</w:t>
            </w:r>
            <w:r>
              <w:rPr>
                <w:rFonts w:hint="eastAsia" w:ascii="宋体" w:hAnsi="宋体" w:cs="Arial"/>
                <w:szCs w:val="21"/>
              </w:rPr>
              <w:t>90天</w:t>
            </w:r>
          </w:p>
        </w:tc>
      </w:tr>
      <w:tr w14:paraId="6E0BA1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55" w:type="dxa"/>
            <w:noWrap/>
            <w:vAlign w:val="center"/>
          </w:tcPr>
          <w:p w14:paraId="74AA43C0">
            <w:pPr>
              <w:snapToGrid w:val="0"/>
              <w:spacing w:line="360" w:lineRule="exact"/>
              <w:jc w:val="center"/>
              <w:rPr>
                <w:rFonts w:ascii="宋体" w:hAnsi="宋体"/>
                <w:szCs w:val="21"/>
              </w:rPr>
            </w:pPr>
            <w:r>
              <w:rPr>
                <w:rFonts w:hint="eastAsia" w:ascii="宋体" w:hAnsi="宋体"/>
                <w:szCs w:val="21"/>
              </w:rPr>
              <w:t>12</w:t>
            </w:r>
          </w:p>
        </w:tc>
        <w:tc>
          <w:tcPr>
            <w:tcW w:w="8224" w:type="dxa"/>
            <w:noWrap/>
            <w:vAlign w:val="center"/>
          </w:tcPr>
          <w:p w14:paraId="13A603E6">
            <w:pPr>
              <w:snapToGrid w:val="0"/>
              <w:spacing w:line="300" w:lineRule="exact"/>
              <w:rPr>
                <w:rFonts w:ascii="宋体" w:hAnsi="宋体"/>
                <w:szCs w:val="21"/>
              </w:rPr>
            </w:pPr>
            <w:r>
              <w:rPr>
                <w:rFonts w:hint="eastAsia" w:ascii="宋体" w:hAnsi="宋体"/>
                <w:szCs w:val="21"/>
              </w:rPr>
              <w:t>投标保证金：/</w:t>
            </w:r>
          </w:p>
        </w:tc>
      </w:tr>
      <w:tr w14:paraId="05BD8D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255" w:type="dxa"/>
            <w:noWrap/>
            <w:vAlign w:val="center"/>
          </w:tcPr>
          <w:p w14:paraId="734B6F0D">
            <w:pPr>
              <w:snapToGrid w:val="0"/>
              <w:spacing w:line="360" w:lineRule="exact"/>
              <w:jc w:val="center"/>
              <w:rPr>
                <w:rFonts w:ascii="宋体" w:hAnsi="宋体"/>
                <w:szCs w:val="21"/>
              </w:rPr>
            </w:pPr>
            <w:r>
              <w:rPr>
                <w:rFonts w:hint="eastAsia" w:ascii="宋体" w:hAnsi="宋体"/>
                <w:szCs w:val="21"/>
              </w:rPr>
              <w:t>13</w:t>
            </w:r>
          </w:p>
        </w:tc>
        <w:tc>
          <w:tcPr>
            <w:tcW w:w="8224" w:type="dxa"/>
            <w:noWrap/>
            <w:vAlign w:val="center"/>
          </w:tcPr>
          <w:p w14:paraId="36FD373F">
            <w:pPr>
              <w:snapToGrid w:val="0"/>
              <w:spacing w:line="300" w:lineRule="exact"/>
              <w:rPr>
                <w:rFonts w:ascii="宋体" w:hAnsi="宋体" w:cs="宋体"/>
                <w:szCs w:val="21"/>
                <w:lang w:val="zh-CN"/>
              </w:rPr>
            </w:pPr>
            <w:r>
              <w:rPr>
                <w:rFonts w:hint="eastAsia" w:ascii="宋体" w:hAnsi="宋体" w:cs="宋体"/>
                <w:szCs w:val="21"/>
                <w:lang w:val="zh-CN"/>
              </w:rPr>
              <w:t>本项目的代理服务费</w:t>
            </w:r>
            <w:r>
              <w:rPr>
                <w:rFonts w:hint="eastAsia" w:ascii="宋体" w:hAnsi="宋体" w:cs="宋体"/>
                <w:szCs w:val="21"/>
                <w:lang w:val="en-US" w:eastAsia="zh-CN"/>
              </w:rPr>
              <w:t>6000</w:t>
            </w:r>
            <w:r>
              <w:rPr>
                <w:rFonts w:hint="eastAsia" w:ascii="宋体" w:hAnsi="宋体" w:cs="宋体"/>
                <w:szCs w:val="21"/>
                <w:lang w:val="zh-CN"/>
              </w:rPr>
              <w:t>元整，由中标银行支付，领取《中标通知书》之前向招标代理人支付；</w:t>
            </w:r>
          </w:p>
          <w:p w14:paraId="393EF3A0">
            <w:pPr>
              <w:snapToGrid w:val="0"/>
              <w:spacing w:line="300" w:lineRule="exact"/>
              <w:rPr>
                <w:rFonts w:ascii="宋体" w:hAnsi="宋体"/>
                <w:szCs w:val="21"/>
              </w:rPr>
            </w:pPr>
            <w:r>
              <w:rPr>
                <w:rFonts w:hint="eastAsia" w:ascii="宋体" w:hAnsi="宋体" w:cs="宋体"/>
                <w:szCs w:val="21"/>
                <w:lang w:val="zh-CN"/>
              </w:rPr>
              <w:t>中标人拒绝于招标人指定期限内支付代理服务费的，招标人有权取消其中标资格。</w:t>
            </w:r>
          </w:p>
        </w:tc>
      </w:tr>
      <w:tr w14:paraId="1AB14B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255" w:type="dxa"/>
            <w:noWrap/>
            <w:vAlign w:val="center"/>
          </w:tcPr>
          <w:p w14:paraId="09462083">
            <w:pPr>
              <w:snapToGrid w:val="0"/>
              <w:spacing w:line="360" w:lineRule="exact"/>
              <w:jc w:val="center"/>
              <w:rPr>
                <w:rFonts w:ascii="宋体" w:hAnsi="宋体"/>
                <w:szCs w:val="21"/>
              </w:rPr>
            </w:pPr>
            <w:r>
              <w:rPr>
                <w:rFonts w:hint="eastAsia" w:ascii="宋体" w:hAnsi="宋体"/>
                <w:szCs w:val="21"/>
              </w:rPr>
              <w:t>14</w:t>
            </w:r>
          </w:p>
        </w:tc>
        <w:tc>
          <w:tcPr>
            <w:tcW w:w="8224" w:type="dxa"/>
            <w:noWrap/>
            <w:vAlign w:val="center"/>
          </w:tcPr>
          <w:p w14:paraId="60695B57">
            <w:pPr>
              <w:snapToGrid w:val="0"/>
              <w:spacing w:line="300" w:lineRule="exact"/>
              <w:rPr>
                <w:rFonts w:ascii="宋体" w:hAnsi="宋体"/>
                <w:szCs w:val="21"/>
              </w:rPr>
            </w:pPr>
            <w:r>
              <w:rPr>
                <w:rFonts w:hint="eastAsia" w:ascii="宋体" w:hAnsi="宋体"/>
                <w:szCs w:val="21"/>
              </w:rPr>
              <w:t>招标公告、评标结果公告的发布媒体：</w:t>
            </w:r>
          </w:p>
          <w:p w14:paraId="7F31C90D">
            <w:pPr>
              <w:snapToGrid w:val="0"/>
              <w:spacing w:line="300" w:lineRule="exact"/>
              <w:rPr>
                <w:rFonts w:hint="eastAsia" w:ascii="宋体" w:hAnsi="宋体" w:eastAsia="宋体"/>
                <w:szCs w:val="21"/>
                <w:lang w:eastAsia="zh-CN"/>
              </w:rPr>
            </w:pPr>
            <w:r>
              <w:rPr>
                <w:rFonts w:hint="eastAsia" w:ascii="宋体" w:hAnsi="宋体"/>
                <w:szCs w:val="21"/>
              </w:rPr>
              <w:t>浙江政府采购网</w:t>
            </w:r>
            <w:r>
              <w:rPr>
                <w:rFonts w:hint="eastAsia" w:ascii="宋体" w:hAnsi="宋体"/>
                <w:szCs w:val="21"/>
                <w:lang w:eastAsia="zh-CN"/>
              </w:rPr>
              <w:t>、宁波市公共资源交易电子服务系统</w:t>
            </w:r>
          </w:p>
        </w:tc>
      </w:tr>
      <w:tr w14:paraId="4B7EF7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55" w:type="dxa"/>
            <w:noWrap/>
            <w:vAlign w:val="center"/>
          </w:tcPr>
          <w:p w14:paraId="294A0378">
            <w:pPr>
              <w:snapToGrid w:val="0"/>
              <w:spacing w:line="360" w:lineRule="exact"/>
              <w:jc w:val="center"/>
              <w:rPr>
                <w:rFonts w:ascii="宋体" w:hAnsi="宋体"/>
                <w:szCs w:val="21"/>
              </w:rPr>
            </w:pPr>
            <w:r>
              <w:rPr>
                <w:rFonts w:hint="eastAsia" w:ascii="宋体" w:hAnsi="宋体"/>
                <w:szCs w:val="21"/>
              </w:rPr>
              <w:t>15</w:t>
            </w:r>
          </w:p>
        </w:tc>
        <w:tc>
          <w:tcPr>
            <w:tcW w:w="8224" w:type="dxa"/>
            <w:noWrap/>
            <w:vAlign w:val="center"/>
          </w:tcPr>
          <w:p w14:paraId="17913647">
            <w:pPr>
              <w:snapToGrid w:val="0"/>
              <w:spacing w:line="300" w:lineRule="exact"/>
              <w:rPr>
                <w:rFonts w:ascii="宋体" w:hAnsi="宋体"/>
                <w:szCs w:val="21"/>
              </w:rPr>
            </w:pPr>
            <w:r>
              <w:rPr>
                <w:rFonts w:hint="eastAsia" w:ascii="宋体" w:hAnsi="宋体" w:cs="宋体"/>
                <w:szCs w:val="21"/>
              </w:rPr>
              <w:t>解释：本招标文件的解释权属于招标人。</w:t>
            </w:r>
          </w:p>
        </w:tc>
      </w:tr>
    </w:tbl>
    <w:p w14:paraId="0E69FD8D">
      <w:pPr>
        <w:spacing w:line="360" w:lineRule="auto"/>
        <w:rPr>
          <w:rFonts w:ascii="宋体" w:hAnsi="宋体"/>
          <w:b/>
          <w:bCs/>
        </w:rPr>
      </w:pPr>
    </w:p>
    <w:p w14:paraId="2206FBB0">
      <w:pPr>
        <w:snapToGrid w:val="0"/>
        <w:spacing w:line="360" w:lineRule="auto"/>
        <w:rPr>
          <w:rFonts w:hint="eastAsia" w:ascii="宋体" w:hAnsi="宋体"/>
          <w:b/>
          <w:szCs w:val="21"/>
        </w:rPr>
      </w:pPr>
    </w:p>
    <w:p w14:paraId="677974CC">
      <w:pPr>
        <w:snapToGrid w:val="0"/>
        <w:spacing w:line="360" w:lineRule="auto"/>
        <w:rPr>
          <w:rFonts w:ascii="宋体" w:hAnsi="宋体"/>
          <w:szCs w:val="21"/>
        </w:rPr>
      </w:pPr>
      <w:r>
        <w:rPr>
          <w:rFonts w:hint="eastAsia" w:ascii="宋体" w:hAnsi="宋体"/>
          <w:b/>
          <w:szCs w:val="21"/>
        </w:rPr>
        <w:t>一、总  则</w:t>
      </w:r>
    </w:p>
    <w:p w14:paraId="3F88F8FF">
      <w:pPr>
        <w:snapToGrid w:val="0"/>
        <w:spacing w:line="360" w:lineRule="auto"/>
        <w:ind w:firstLine="312" w:firstLineChars="148"/>
        <w:outlineLvl w:val="1"/>
        <w:rPr>
          <w:rFonts w:ascii="宋体" w:hAnsi="宋体"/>
          <w:b/>
          <w:szCs w:val="21"/>
        </w:rPr>
      </w:pPr>
      <w:bookmarkStart w:id="4" w:name="_Toc511230458"/>
      <w:r>
        <w:rPr>
          <w:rFonts w:hint="eastAsia" w:ascii="宋体" w:hAnsi="宋体"/>
          <w:b/>
          <w:szCs w:val="21"/>
        </w:rPr>
        <w:t>（一） 适用范围</w:t>
      </w:r>
      <w:bookmarkEnd w:id="4"/>
    </w:p>
    <w:p w14:paraId="5D75C58B">
      <w:pPr>
        <w:snapToGrid w:val="0"/>
        <w:spacing w:line="360" w:lineRule="auto"/>
        <w:ind w:firstLine="420" w:firstLineChars="200"/>
        <w:rPr>
          <w:rFonts w:ascii="宋体" w:hAnsi="宋体" w:cs="Arial"/>
          <w:szCs w:val="21"/>
        </w:rPr>
      </w:pPr>
      <w:r>
        <w:rPr>
          <w:rFonts w:hint="eastAsia" w:ascii="宋体" w:hAnsi="宋体" w:cs="Arial"/>
          <w:szCs w:val="21"/>
        </w:rPr>
        <w:t>仅适用于本次招标文件中招标项目的招标、投标、评标、定标、合同履约等行为（法律、法规另有规定的，从其规定）。</w:t>
      </w:r>
    </w:p>
    <w:p w14:paraId="2A8EE57C">
      <w:pPr>
        <w:snapToGrid w:val="0"/>
        <w:spacing w:line="360" w:lineRule="auto"/>
        <w:ind w:firstLine="310" w:firstLineChars="147"/>
        <w:outlineLvl w:val="1"/>
        <w:rPr>
          <w:rFonts w:ascii="宋体" w:hAnsi="宋体"/>
          <w:b/>
          <w:szCs w:val="21"/>
        </w:rPr>
      </w:pPr>
      <w:bookmarkStart w:id="5" w:name="_Toc511230459"/>
      <w:r>
        <w:rPr>
          <w:rFonts w:hint="eastAsia" w:ascii="宋体" w:hAnsi="宋体"/>
          <w:b/>
          <w:szCs w:val="21"/>
        </w:rPr>
        <w:t>（二）定义</w:t>
      </w:r>
      <w:bookmarkEnd w:id="5"/>
    </w:p>
    <w:p w14:paraId="4BD44CC0">
      <w:pPr>
        <w:snapToGrid w:val="0"/>
        <w:spacing w:line="360" w:lineRule="auto"/>
        <w:ind w:firstLine="420" w:firstLineChars="200"/>
        <w:rPr>
          <w:rFonts w:ascii="宋体" w:hAnsi="宋体" w:cs="Arial"/>
          <w:szCs w:val="21"/>
        </w:rPr>
      </w:pPr>
      <w:r>
        <w:rPr>
          <w:rFonts w:hint="eastAsia" w:ascii="宋体" w:hAnsi="宋体" w:cs="Arial"/>
          <w:szCs w:val="21"/>
        </w:rPr>
        <w:t>1.“投标人”系指向招标人提交投标文件的单位。</w:t>
      </w:r>
    </w:p>
    <w:p w14:paraId="5AAB6BB0">
      <w:pPr>
        <w:snapToGrid w:val="0"/>
        <w:spacing w:line="360" w:lineRule="auto"/>
        <w:ind w:firstLine="420" w:firstLineChars="200"/>
        <w:rPr>
          <w:rFonts w:ascii="宋体" w:hAnsi="宋体" w:cs="Arial"/>
          <w:szCs w:val="21"/>
        </w:rPr>
      </w:pPr>
      <w:r>
        <w:rPr>
          <w:rFonts w:hint="eastAsia" w:ascii="宋体" w:hAnsi="宋体" w:cs="Arial"/>
          <w:szCs w:val="21"/>
        </w:rPr>
        <w:t>2.“招标人”系指</w:t>
      </w:r>
      <w:r>
        <w:rPr>
          <w:rFonts w:hint="eastAsia" w:ascii="宋体" w:hAnsi="宋体" w:cs="Arial"/>
          <w:szCs w:val="21"/>
          <w:lang w:eastAsia="zh-CN"/>
        </w:rPr>
        <w:t>宁波市北仑区人民政府春晓街道办事处</w:t>
      </w:r>
      <w:r>
        <w:rPr>
          <w:rFonts w:hint="eastAsia" w:ascii="宋体" w:hAnsi="宋体" w:cs="Arial"/>
          <w:szCs w:val="21"/>
        </w:rPr>
        <w:t>。</w:t>
      </w:r>
    </w:p>
    <w:p w14:paraId="6916E793">
      <w:pPr>
        <w:spacing w:line="360" w:lineRule="auto"/>
        <w:ind w:right="-108" w:firstLine="420" w:firstLineChars="200"/>
        <w:rPr>
          <w:rFonts w:ascii="宋体" w:hAnsi="宋体" w:cs="Arial"/>
          <w:szCs w:val="21"/>
        </w:rPr>
      </w:pPr>
      <w:r>
        <w:rPr>
          <w:rFonts w:hint="eastAsia" w:ascii="宋体" w:hAnsi="宋体" w:cs="Arial"/>
          <w:szCs w:val="21"/>
        </w:rPr>
        <w:t>3.“招标代理机构”系指宁波杜威工程项目管理有限公司。</w:t>
      </w:r>
    </w:p>
    <w:p w14:paraId="5052452E">
      <w:pPr>
        <w:snapToGrid w:val="0"/>
        <w:spacing w:line="360" w:lineRule="auto"/>
        <w:ind w:firstLine="420" w:firstLineChars="200"/>
        <w:rPr>
          <w:rFonts w:ascii="宋体" w:hAnsi="宋体" w:cs="Arial"/>
          <w:szCs w:val="21"/>
        </w:rPr>
      </w:pPr>
      <w:r>
        <w:rPr>
          <w:rFonts w:hint="eastAsia" w:ascii="宋体" w:hAnsi="宋体" w:cs="Arial"/>
          <w:szCs w:val="21"/>
        </w:rPr>
        <w:t>4.“项目”系指投标人按招标文件规定向招标人提供的服务。</w:t>
      </w:r>
    </w:p>
    <w:p w14:paraId="5C6A11B7">
      <w:pPr>
        <w:snapToGrid w:val="0"/>
        <w:spacing w:line="360" w:lineRule="auto"/>
        <w:ind w:firstLine="422" w:firstLineChars="200"/>
        <w:rPr>
          <w:rFonts w:ascii="宋体" w:hAnsi="宋体" w:cs="Arial"/>
          <w:b/>
          <w:bCs/>
          <w:szCs w:val="21"/>
        </w:rPr>
      </w:pPr>
      <w:r>
        <w:rPr>
          <w:rFonts w:hint="eastAsia" w:ascii="宋体" w:hAnsi="宋体" w:cs="宋体"/>
          <w:b/>
          <w:bCs/>
          <w:szCs w:val="21"/>
        </w:rPr>
        <w:t>5.“</w:t>
      </w:r>
      <w:r>
        <w:rPr>
          <w:rFonts w:hint="eastAsia" w:ascii="宋体" w:hAnsi="宋体" w:cs="宋体"/>
          <w:b/>
          <w:bCs/>
        </w:rPr>
        <w:t>▲</w:t>
      </w:r>
      <w:r>
        <w:rPr>
          <w:rFonts w:hint="eastAsia" w:ascii="宋体" w:hAnsi="宋体" w:cs="宋体"/>
          <w:b/>
          <w:bCs/>
          <w:szCs w:val="21"/>
        </w:rPr>
        <w:t>”系指实质性要求条款，投标人的投标对任何带“</w:t>
      </w:r>
      <w:r>
        <w:rPr>
          <w:rFonts w:hint="eastAsia" w:ascii="宋体" w:hAnsi="宋体" w:cs="宋体"/>
          <w:b/>
          <w:bCs/>
        </w:rPr>
        <w:t>▲</w:t>
      </w:r>
      <w:r>
        <w:rPr>
          <w:rFonts w:hint="eastAsia" w:ascii="宋体" w:hAnsi="宋体" w:cs="宋体"/>
          <w:b/>
          <w:bCs/>
          <w:szCs w:val="21"/>
        </w:rPr>
        <w:t>”号的重要商务或技术条款的负偏离和未作实质性响应都将直接导致废标。</w:t>
      </w:r>
    </w:p>
    <w:p w14:paraId="1CA681B5">
      <w:pPr>
        <w:snapToGrid w:val="0"/>
        <w:spacing w:line="360" w:lineRule="auto"/>
        <w:ind w:firstLine="413" w:firstLineChars="196"/>
        <w:outlineLvl w:val="1"/>
        <w:rPr>
          <w:rFonts w:ascii="宋体" w:hAnsi="宋体"/>
          <w:b/>
          <w:szCs w:val="21"/>
        </w:rPr>
      </w:pPr>
      <w:bookmarkStart w:id="6" w:name="_Toc511230460"/>
      <w:r>
        <w:rPr>
          <w:rFonts w:hint="eastAsia" w:ascii="宋体" w:hAnsi="宋体"/>
          <w:b/>
          <w:szCs w:val="21"/>
        </w:rPr>
        <w:t>（三）投标委托</w:t>
      </w:r>
      <w:bookmarkEnd w:id="6"/>
    </w:p>
    <w:p w14:paraId="70471E5A">
      <w:pPr>
        <w:snapToGrid w:val="0"/>
        <w:spacing w:line="360" w:lineRule="auto"/>
        <w:ind w:firstLine="420" w:firstLineChars="200"/>
        <w:rPr>
          <w:rFonts w:ascii="宋体" w:hAnsi="宋体" w:cs="Arial"/>
          <w:szCs w:val="21"/>
        </w:rPr>
      </w:pPr>
      <w:r>
        <w:rPr>
          <w:rFonts w:hint="eastAsia" w:ascii="宋体" w:hAnsi="宋体" w:cs="Arial"/>
          <w:szCs w:val="21"/>
        </w:rPr>
        <w:t>全权代表须携带有效身份证件。如全权代表不是法定代表人或负责人，须有投标人银行负责人出具的授权委托书（正本用原件，副本用复印件，格式见附件）。</w:t>
      </w:r>
    </w:p>
    <w:p w14:paraId="4371A528">
      <w:pPr>
        <w:snapToGrid w:val="0"/>
        <w:spacing w:line="360" w:lineRule="auto"/>
        <w:ind w:firstLine="413" w:firstLineChars="196"/>
        <w:outlineLvl w:val="1"/>
        <w:rPr>
          <w:rFonts w:ascii="宋体" w:hAnsi="宋体"/>
          <w:b/>
          <w:szCs w:val="21"/>
        </w:rPr>
      </w:pPr>
      <w:bookmarkStart w:id="7" w:name="_Toc511230461"/>
      <w:r>
        <w:rPr>
          <w:rFonts w:hint="eastAsia" w:ascii="宋体" w:hAnsi="宋体"/>
          <w:b/>
          <w:szCs w:val="21"/>
        </w:rPr>
        <w:t>（五）特别说明：</w:t>
      </w:r>
      <w:bookmarkEnd w:id="7"/>
    </w:p>
    <w:p w14:paraId="7C6DEEEE">
      <w:pPr>
        <w:pStyle w:val="6"/>
        <w:snapToGrid w:val="0"/>
        <w:spacing w:beforeLines="0" w:afterLines="0" w:line="360" w:lineRule="auto"/>
        <w:ind w:left="2" w:leftChars="1" w:firstLine="420" w:firstLineChars="200"/>
        <w:rPr>
          <w:rFonts w:hAnsi="宋体" w:cs="Arial"/>
          <w:sz w:val="21"/>
          <w:szCs w:val="21"/>
        </w:rPr>
      </w:pPr>
      <w:r>
        <w:rPr>
          <w:rFonts w:hint="eastAsia" w:hAnsi="宋体" w:cs="Arial"/>
          <w:sz w:val="21"/>
          <w:szCs w:val="21"/>
        </w:rPr>
        <w:t>1.投标人投标所使用的资格、信誉、荣誉、业绩与企业认证必须为本法人所拥有。投标人投标所使用的项目相关人员必须为本法人员工（或必须为本法人或控股公司正式员工）。</w:t>
      </w:r>
    </w:p>
    <w:p w14:paraId="20602A9D">
      <w:pPr>
        <w:pStyle w:val="6"/>
        <w:snapToGrid w:val="0"/>
        <w:spacing w:beforeLines="0" w:afterLines="0" w:line="360" w:lineRule="auto"/>
        <w:ind w:left="2" w:leftChars="1" w:firstLine="420" w:firstLineChars="200"/>
        <w:rPr>
          <w:rFonts w:hAnsi="宋体" w:cs="Arial"/>
          <w:sz w:val="21"/>
          <w:szCs w:val="21"/>
        </w:rPr>
      </w:pPr>
      <w:r>
        <w:rPr>
          <w:rFonts w:hint="eastAsia" w:hAnsi="宋体" w:cs="Arial"/>
          <w:sz w:val="21"/>
          <w:szCs w:val="21"/>
        </w:rPr>
        <w:t>2.投标人应仔细阅读招标文件的所有内容，按照招标文件的要求提交投标文件，并对所提供的全部资料的真实性承担法律责任。</w:t>
      </w:r>
    </w:p>
    <w:p w14:paraId="0B1FD2BC">
      <w:pPr>
        <w:pStyle w:val="6"/>
        <w:snapToGrid w:val="0"/>
        <w:spacing w:beforeLines="0" w:afterLines="0" w:line="360" w:lineRule="auto"/>
        <w:ind w:firstLine="413" w:firstLineChars="196"/>
        <w:outlineLvl w:val="1"/>
        <w:rPr>
          <w:rFonts w:hAnsi="宋体"/>
          <w:b/>
          <w:bCs/>
          <w:sz w:val="21"/>
          <w:szCs w:val="21"/>
        </w:rPr>
      </w:pPr>
      <w:bookmarkStart w:id="8" w:name="_Toc511230462"/>
      <w:r>
        <w:rPr>
          <w:rFonts w:hint="eastAsia" w:hAnsi="宋体"/>
          <w:b/>
          <w:bCs/>
          <w:sz w:val="21"/>
          <w:szCs w:val="21"/>
        </w:rPr>
        <w:t>（六）质疑</w:t>
      </w:r>
      <w:bookmarkEnd w:id="8"/>
    </w:p>
    <w:p w14:paraId="19A28886">
      <w:pPr>
        <w:widowControl/>
        <w:spacing w:line="360" w:lineRule="auto"/>
        <w:ind w:firstLine="420" w:firstLineChars="200"/>
        <w:rPr>
          <w:rFonts w:ascii="宋体" w:hAnsi="宋体" w:cs="Arial"/>
          <w:szCs w:val="21"/>
        </w:rPr>
      </w:pPr>
      <w:r>
        <w:rPr>
          <w:rFonts w:hint="eastAsia" w:ascii="宋体" w:hAnsi="宋体" w:cs="Arial"/>
          <w:szCs w:val="21"/>
        </w:rPr>
        <w:t>1.投标人认为招标文件、招标过程、中标或者成交结果使自己的权益受到损害的，可以在知道或者应知其权益受到损害之日起7个工作日内，以书面形式向招标人、招标代理机构提出质疑。</w:t>
      </w:r>
    </w:p>
    <w:p w14:paraId="750C9B08">
      <w:pPr>
        <w:widowControl/>
        <w:spacing w:line="360" w:lineRule="auto"/>
        <w:ind w:firstLine="420" w:firstLineChars="200"/>
        <w:rPr>
          <w:rFonts w:ascii="宋体" w:hAnsi="宋体" w:cs="Arial"/>
          <w:szCs w:val="21"/>
        </w:rPr>
      </w:pPr>
      <w:r>
        <w:rPr>
          <w:rFonts w:hint="eastAsia" w:ascii="宋体" w:hAnsi="宋体" w:cs="Arial"/>
          <w:szCs w:val="21"/>
        </w:rPr>
        <w:t>2.质疑应当采用加盖投标人公章的书面形式，质疑书应明确阐述招标过程或中标结果中使自己合法权益受到损害的实质性内容，提供相关事实、依据和证据及其来源或线索，便于有关单位调查、答复和处理，否则，招标代理机构将不予受理。</w:t>
      </w:r>
    </w:p>
    <w:p w14:paraId="35F71132">
      <w:pPr>
        <w:pStyle w:val="3"/>
        <w:numPr>
          <w:ilvl w:val="0"/>
          <w:numId w:val="0"/>
        </w:numPr>
        <w:tabs>
          <w:tab w:val="left" w:pos="720"/>
          <w:tab w:val="clear" w:pos="360"/>
        </w:tabs>
        <w:snapToGrid w:val="0"/>
        <w:spacing w:line="360" w:lineRule="auto"/>
        <w:ind w:leftChars="196"/>
        <w:rPr>
          <w:rFonts w:ascii="宋体" w:hAnsi="宋体"/>
          <w:b/>
          <w:szCs w:val="21"/>
        </w:rPr>
      </w:pPr>
      <w:r>
        <w:rPr>
          <w:rFonts w:hint="eastAsia" w:ascii="宋体" w:hAnsi="宋体"/>
          <w:b/>
          <w:szCs w:val="21"/>
        </w:rPr>
        <w:t xml:space="preserve">（七）招标文件的澄清与修改 </w:t>
      </w:r>
    </w:p>
    <w:p w14:paraId="6E51915C">
      <w:pPr>
        <w:pStyle w:val="6"/>
        <w:snapToGrid w:val="0"/>
        <w:spacing w:beforeLines="0" w:afterLines="0" w:line="360" w:lineRule="auto"/>
        <w:ind w:firstLine="420" w:firstLineChars="200"/>
        <w:rPr>
          <w:rFonts w:hAnsi="宋体"/>
          <w:sz w:val="21"/>
          <w:szCs w:val="21"/>
        </w:rPr>
      </w:pPr>
      <w:r>
        <w:rPr>
          <w:rFonts w:hint="eastAsia" w:hAnsi="宋体"/>
          <w:sz w:val="21"/>
          <w:szCs w:val="21"/>
        </w:rPr>
        <w:t>1.招标人可以对已发出的招标文件进行必要的澄清或者修改，将以“更正公告”的形式发布在政采云平台，投标人应及时登录政采云平台，进行浏览并下载，未及时浏览下载的责任自负。澄清或者修改的内容可能影响投标文件编制的。</w:t>
      </w:r>
    </w:p>
    <w:p w14:paraId="7D5E3276">
      <w:pPr>
        <w:pStyle w:val="6"/>
        <w:snapToGrid w:val="0"/>
        <w:spacing w:beforeLines="0" w:afterLines="0" w:line="360" w:lineRule="auto"/>
        <w:ind w:firstLine="420" w:firstLineChars="200"/>
        <w:rPr>
          <w:rFonts w:hAnsi="宋体"/>
          <w:sz w:val="21"/>
          <w:szCs w:val="21"/>
        </w:rPr>
      </w:pPr>
      <w:r>
        <w:rPr>
          <w:rFonts w:hint="eastAsia" w:hAnsi="宋体"/>
          <w:sz w:val="21"/>
          <w:szCs w:val="21"/>
        </w:rPr>
        <w:t>2.招标文件澄清、答复、修改、补充的内容为招标文件的组成部分。当招标文件与招标文件的答复、澄清、修改、补充通知就同一内容的表述不一致时，以最后发出的书面文件为准。</w:t>
      </w:r>
    </w:p>
    <w:p w14:paraId="5B21AEA6">
      <w:pPr>
        <w:pStyle w:val="6"/>
        <w:snapToGrid w:val="0"/>
        <w:spacing w:beforeLines="0" w:afterLines="0" w:line="360" w:lineRule="auto"/>
        <w:rPr>
          <w:rFonts w:hAnsi="宋体"/>
          <w:b/>
          <w:sz w:val="21"/>
          <w:szCs w:val="21"/>
        </w:rPr>
      </w:pPr>
      <w:r>
        <w:rPr>
          <w:rFonts w:hint="eastAsia" w:hAnsi="宋体"/>
          <w:b/>
          <w:sz w:val="21"/>
          <w:szCs w:val="21"/>
        </w:rPr>
        <w:t>二、投标文件的编制</w:t>
      </w:r>
    </w:p>
    <w:p w14:paraId="51D30650">
      <w:pPr>
        <w:snapToGrid w:val="0"/>
        <w:spacing w:line="360" w:lineRule="auto"/>
        <w:ind w:firstLine="413" w:firstLineChars="196"/>
        <w:rPr>
          <w:rFonts w:ascii="宋体" w:hAnsi="宋体"/>
          <w:szCs w:val="21"/>
        </w:rPr>
      </w:pPr>
      <w:r>
        <w:rPr>
          <w:rFonts w:hint="eastAsia" w:ascii="宋体" w:hAnsi="宋体"/>
          <w:b/>
          <w:bCs/>
          <w:szCs w:val="21"/>
        </w:rPr>
        <w:t>（一）投标文件的组成</w:t>
      </w:r>
    </w:p>
    <w:p w14:paraId="72E5FAEF">
      <w:pPr>
        <w:snapToGrid w:val="0"/>
        <w:spacing w:line="360" w:lineRule="auto"/>
        <w:ind w:firstLine="420" w:firstLineChars="200"/>
        <w:rPr>
          <w:rFonts w:ascii="宋体" w:hAnsi="宋体"/>
          <w:szCs w:val="21"/>
        </w:rPr>
      </w:pPr>
      <w:bookmarkStart w:id="9" w:name="_Toc511230463"/>
      <w:r>
        <w:rPr>
          <w:rFonts w:hint="eastAsia" w:ascii="宋体" w:hAnsi="宋体"/>
          <w:szCs w:val="21"/>
        </w:rPr>
        <w:t>1.投标声明书（见附件一）；</w:t>
      </w:r>
    </w:p>
    <w:p w14:paraId="18D77141">
      <w:pPr>
        <w:snapToGrid w:val="0"/>
        <w:spacing w:line="360" w:lineRule="auto"/>
        <w:ind w:firstLine="420" w:firstLineChars="200"/>
        <w:rPr>
          <w:rFonts w:ascii="宋体" w:hAnsi="宋体"/>
          <w:szCs w:val="21"/>
        </w:rPr>
      </w:pPr>
      <w:r>
        <w:rPr>
          <w:rFonts w:hint="eastAsia" w:ascii="宋体" w:hAnsi="宋体"/>
          <w:szCs w:val="21"/>
        </w:rPr>
        <w:t>2.投标报价一览表（见附件二）；</w:t>
      </w:r>
    </w:p>
    <w:p w14:paraId="4A2DB2CA">
      <w:pPr>
        <w:snapToGrid w:val="0"/>
        <w:spacing w:line="360" w:lineRule="auto"/>
        <w:ind w:firstLine="420" w:firstLineChars="200"/>
        <w:rPr>
          <w:rFonts w:ascii="宋体" w:hAnsi="宋体"/>
          <w:szCs w:val="21"/>
        </w:rPr>
      </w:pPr>
      <w:r>
        <w:rPr>
          <w:rFonts w:hint="eastAsia" w:ascii="宋体" w:hAnsi="宋体"/>
          <w:szCs w:val="21"/>
        </w:rPr>
        <w:t>3.法定代表人（或单位负责人）身份证明书（见附件三）；</w:t>
      </w:r>
    </w:p>
    <w:p w14:paraId="683E3510">
      <w:pPr>
        <w:snapToGrid w:val="0"/>
        <w:spacing w:line="360" w:lineRule="auto"/>
        <w:ind w:firstLine="420" w:firstLineChars="200"/>
        <w:rPr>
          <w:rFonts w:ascii="宋体" w:hAnsi="宋体"/>
          <w:szCs w:val="21"/>
        </w:rPr>
      </w:pPr>
      <w:r>
        <w:rPr>
          <w:rFonts w:hint="eastAsia" w:ascii="宋体" w:hAnsi="宋体"/>
          <w:szCs w:val="21"/>
        </w:rPr>
        <w:t>4.若代理人参加需提供有效的法定代表人（或单位负责人）的授权委托书（见附件四）；</w:t>
      </w:r>
    </w:p>
    <w:p w14:paraId="65948A5D">
      <w:pPr>
        <w:snapToGrid w:val="0"/>
        <w:spacing w:line="360" w:lineRule="auto"/>
        <w:ind w:firstLine="420" w:firstLineChars="200"/>
        <w:rPr>
          <w:rFonts w:ascii="宋体" w:hAnsi="宋体"/>
          <w:szCs w:val="21"/>
        </w:rPr>
      </w:pPr>
      <w:r>
        <w:rPr>
          <w:rFonts w:hint="eastAsia" w:ascii="宋体" w:hAnsi="宋体"/>
          <w:szCs w:val="21"/>
        </w:rPr>
        <w:t>5.投标人基本情况声明（见附件五）；</w:t>
      </w:r>
    </w:p>
    <w:p w14:paraId="3E8AF2C2">
      <w:pPr>
        <w:snapToGrid w:val="0"/>
        <w:spacing w:line="360" w:lineRule="auto"/>
        <w:ind w:firstLine="420" w:firstLineChars="200"/>
        <w:rPr>
          <w:rFonts w:ascii="宋体" w:hAnsi="宋体"/>
          <w:szCs w:val="21"/>
        </w:rPr>
      </w:pPr>
      <w:r>
        <w:rPr>
          <w:rFonts w:hint="eastAsia" w:ascii="宋体" w:hAnsi="宋体"/>
          <w:szCs w:val="21"/>
        </w:rPr>
        <w:t>6.投标人资格证明文件（见附件六）；</w:t>
      </w:r>
    </w:p>
    <w:p w14:paraId="0D92FC08">
      <w:pPr>
        <w:snapToGrid w:val="0"/>
        <w:spacing w:line="360" w:lineRule="auto"/>
        <w:ind w:firstLine="420" w:firstLineChars="200"/>
        <w:rPr>
          <w:rFonts w:ascii="宋体" w:hAnsi="宋体"/>
          <w:szCs w:val="21"/>
        </w:rPr>
      </w:pPr>
      <w:r>
        <w:rPr>
          <w:rFonts w:hint="eastAsia" w:ascii="宋体" w:hAnsi="宋体"/>
          <w:szCs w:val="21"/>
        </w:rPr>
        <w:t>（1）金融许可证；</w:t>
      </w:r>
    </w:p>
    <w:p w14:paraId="7F9DEDC3">
      <w:pPr>
        <w:snapToGrid w:val="0"/>
        <w:spacing w:line="360" w:lineRule="auto"/>
        <w:ind w:firstLine="420" w:firstLineChars="200"/>
        <w:rPr>
          <w:rFonts w:ascii="宋体" w:hAnsi="宋体"/>
          <w:szCs w:val="21"/>
        </w:rPr>
      </w:pPr>
      <w:r>
        <w:rPr>
          <w:rFonts w:hint="eastAsia" w:ascii="宋体" w:hAnsi="宋体"/>
          <w:szCs w:val="21"/>
        </w:rPr>
        <w:t>（2）营业执照；</w:t>
      </w:r>
    </w:p>
    <w:p w14:paraId="55CE0A70">
      <w:pPr>
        <w:snapToGrid w:val="0"/>
        <w:spacing w:line="360" w:lineRule="auto"/>
        <w:ind w:firstLine="420" w:firstLineChars="200"/>
        <w:rPr>
          <w:rFonts w:ascii="宋体" w:hAnsi="宋体"/>
          <w:szCs w:val="21"/>
        </w:rPr>
      </w:pPr>
      <w:r>
        <w:rPr>
          <w:rFonts w:hint="eastAsia" w:ascii="宋体" w:hAnsi="宋体"/>
          <w:szCs w:val="21"/>
        </w:rPr>
        <w:t>（3）无行贿犯罪记录承诺书；</w:t>
      </w:r>
    </w:p>
    <w:p w14:paraId="6364742B">
      <w:pPr>
        <w:snapToGrid w:val="0"/>
        <w:spacing w:line="360" w:lineRule="auto"/>
        <w:ind w:firstLine="420" w:firstLineChars="200"/>
        <w:rPr>
          <w:rFonts w:ascii="宋体" w:hAnsi="宋体"/>
          <w:szCs w:val="21"/>
        </w:rPr>
      </w:pPr>
      <w:r>
        <w:rPr>
          <w:rFonts w:hint="eastAsia" w:ascii="宋体" w:hAnsi="宋体"/>
          <w:szCs w:val="21"/>
        </w:rPr>
        <w:t>（4）无重大违法违规记录及重大违约的承诺书；</w:t>
      </w:r>
    </w:p>
    <w:p w14:paraId="3978FEBF">
      <w:pPr>
        <w:snapToGrid w:val="0"/>
        <w:spacing w:line="360" w:lineRule="auto"/>
        <w:ind w:firstLine="420" w:firstLineChars="200"/>
        <w:rPr>
          <w:rFonts w:ascii="宋体" w:hAnsi="宋体"/>
          <w:szCs w:val="21"/>
        </w:rPr>
      </w:pPr>
      <w:r>
        <w:rPr>
          <w:rFonts w:hint="eastAsia" w:ascii="宋体" w:hAnsi="宋体"/>
          <w:szCs w:val="21"/>
        </w:rPr>
        <w:t>（5）具有履行合同所必需的设备和专业技术能力,资信状况和经营业绩优良，具有较强的风险控制能力的承诺书。</w:t>
      </w:r>
    </w:p>
    <w:p w14:paraId="1530F994">
      <w:pPr>
        <w:snapToGrid w:val="0"/>
        <w:spacing w:line="360" w:lineRule="auto"/>
        <w:ind w:firstLine="420" w:firstLineChars="200"/>
        <w:rPr>
          <w:rFonts w:ascii="宋体" w:hAnsi="宋体"/>
          <w:szCs w:val="21"/>
        </w:rPr>
      </w:pPr>
      <w:r>
        <w:rPr>
          <w:rFonts w:hint="eastAsia" w:ascii="宋体" w:hAnsi="宋体"/>
          <w:szCs w:val="21"/>
        </w:rPr>
        <w:t>7.</w:t>
      </w:r>
      <w:r>
        <w:rPr>
          <w:rFonts w:hint="eastAsia" w:ascii="宋体" w:hAnsi="宋体"/>
          <w:szCs w:val="21"/>
          <w:lang w:val="en-US" w:eastAsia="zh-CN"/>
        </w:rPr>
        <w:t>最新</w:t>
      </w:r>
      <w:r>
        <w:rPr>
          <w:rFonts w:hint="eastAsia" w:ascii="宋体" w:hAnsi="宋体"/>
          <w:szCs w:val="21"/>
        </w:rPr>
        <w:t>年度资产负债表和损益表（见附件七）；</w:t>
      </w:r>
    </w:p>
    <w:p w14:paraId="238A252F">
      <w:pPr>
        <w:snapToGrid w:val="0"/>
        <w:spacing w:line="360" w:lineRule="auto"/>
        <w:ind w:firstLine="420" w:firstLineChars="200"/>
        <w:rPr>
          <w:rFonts w:hint="eastAsia" w:ascii="宋体" w:hAnsi="宋体"/>
          <w:szCs w:val="21"/>
        </w:rPr>
      </w:pPr>
      <w:r>
        <w:rPr>
          <w:rFonts w:hint="eastAsia" w:ascii="宋体" w:hAnsi="宋体"/>
          <w:szCs w:val="21"/>
        </w:rPr>
        <w:t>8.指标数据响应表（见附件八）；</w:t>
      </w:r>
    </w:p>
    <w:p w14:paraId="3240BA21">
      <w:pPr>
        <w:snapToGrid w:val="0"/>
        <w:spacing w:line="360" w:lineRule="auto"/>
        <w:ind w:firstLine="420" w:firstLineChars="200"/>
        <w:rPr>
          <w:rFonts w:hint="default" w:ascii="宋体" w:hAnsi="宋体" w:eastAsia="宋体"/>
          <w:szCs w:val="21"/>
          <w:lang w:val="en-US" w:eastAsia="zh-CN"/>
        </w:rPr>
      </w:pPr>
      <w:r>
        <w:rPr>
          <w:rFonts w:hint="eastAsia" w:ascii="宋体" w:hAnsi="宋体"/>
          <w:szCs w:val="21"/>
          <w:lang w:val="en-US" w:eastAsia="zh-CN"/>
        </w:rPr>
        <w:t>9.服务条款偏离表（见附件九）；</w:t>
      </w:r>
    </w:p>
    <w:p w14:paraId="0E68AD77">
      <w:pPr>
        <w:snapToGrid w:val="0"/>
        <w:spacing w:line="360" w:lineRule="auto"/>
        <w:ind w:firstLine="420" w:firstLineChars="200"/>
        <w:rPr>
          <w:rFonts w:ascii="宋体" w:hAnsi="宋体"/>
          <w:szCs w:val="21"/>
        </w:rPr>
      </w:pPr>
      <w:r>
        <w:rPr>
          <w:rFonts w:hint="eastAsia" w:ascii="宋体" w:hAnsi="宋体"/>
          <w:szCs w:val="21"/>
          <w:lang w:val="en-US" w:eastAsia="zh-CN"/>
        </w:rPr>
        <w:t>10</w:t>
      </w:r>
      <w:r>
        <w:rPr>
          <w:rFonts w:hint="eastAsia" w:ascii="宋体" w:hAnsi="宋体"/>
          <w:szCs w:val="21"/>
        </w:rPr>
        <w:t>.廉政承诺书（见附件</w:t>
      </w:r>
      <w:r>
        <w:rPr>
          <w:rFonts w:hint="eastAsia" w:ascii="宋体" w:hAnsi="宋体"/>
          <w:szCs w:val="21"/>
          <w:lang w:val="en-US" w:eastAsia="zh-CN"/>
        </w:rPr>
        <w:t>十</w:t>
      </w:r>
      <w:r>
        <w:rPr>
          <w:rFonts w:hint="eastAsia" w:ascii="宋体" w:hAnsi="宋体"/>
          <w:szCs w:val="21"/>
        </w:rPr>
        <w:t>）；</w:t>
      </w:r>
    </w:p>
    <w:p w14:paraId="42D50DED">
      <w:pPr>
        <w:snapToGrid w:val="0"/>
        <w:spacing w:line="360" w:lineRule="auto"/>
        <w:ind w:firstLine="420" w:firstLineChars="200"/>
        <w:rPr>
          <w:rFonts w:ascii="宋体" w:hAnsi="宋体"/>
          <w:szCs w:val="21"/>
        </w:rPr>
      </w:pPr>
      <w:r>
        <w:rPr>
          <w:rFonts w:hint="eastAsia" w:ascii="宋体" w:hAnsi="宋体"/>
          <w:szCs w:val="21"/>
          <w:lang w:val="en-US" w:eastAsia="zh-CN"/>
        </w:rPr>
        <w:t>11</w:t>
      </w:r>
      <w:r>
        <w:rPr>
          <w:rFonts w:hint="eastAsia" w:ascii="宋体" w:hAnsi="宋体"/>
          <w:szCs w:val="21"/>
        </w:rPr>
        <w:t>.费用减免服务承诺书（见附件十</w:t>
      </w:r>
      <w:r>
        <w:rPr>
          <w:rFonts w:hint="eastAsia" w:ascii="宋体" w:hAnsi="宋体"/>
          <w:szCs w:val="21"/>
          <w:lang w:val="en-US" w:eastAsia="zh-CN"/>
        </w:rPr>
        <w:t>一</w:t>
      </w:r>
      <w:r>
        <w:rPr>
          <w:rFonts w:hint="eastAsia" w:ascii="宋体" w:hAnsi="宋体"/>
          <w:szCs w:val="21"/>
        </w:rPr>
        <w:t>）；</w:t>
      </w:r>
    </w:p>
    <w:p w14:paraId="1A9EFCAD">
      <w:pPr>
        <w:snapToGrid w:val="0"/>
        <w:spacing w:line="360" w:lineRule="auto"/>
        <w:ind w:firstLine="420" w:firstLineChars="200"/>
        <w:rPr>
          <w:rFonts w:ascii="宋体" w:hAnsi="宋体"/>
          <w:szCs w:val="21"/>
        </w:rPr>
      </w:pPr>
      <w:r>
        <w:rPr>
          <w:rFonts w:hint="eastAsia" w:ascii="宋体" w:hAnsi="宋体"/>
          <w:szCs w:val="21"/>
          <w:lang w:val="en-US" w:eastAsia="zh-CN"/>
        </w:rPr>
        <w:t>12</w:t>
      </w:r>
      <w:r>
        <w:rPr>
          <w:rFonts w:hint="eastAsia" w:ascii="宋体" w:hAnsi="宋体"/>
          <w:szCs w:val="21"/>
        </w:rPr>
        <w:t>.投标人针对本项目需要说明的其他文件和说明（格式自拟）。</w:t>
      </w:r>
    </w:p>
    <w:p w14:paraId="1ED07822">
      <w:pPr>
        <w:snapToGrid w:val="0"/>
        <w:spacing w:line="360" w:lineRule="auto"/>
        <w:rPr>
          <w:rFonts w:ascii="宋体" w:hAnsi="宋体"/>
          <w:b/>
          <w:szCs w:val="21"/>
        </w:rPr>
      </w:pPr>
      <w:r>
        <w:rPr>
          <w:rFonts w:hint="eastAsia" w:ascii="宋体" w:hAnsi="宋体"/>
          <w:b/>
          <w:szCs w:val="21"/>
        </w:rPr>
        <w:t>（注：1.所有的复印件，在提供时请仔细检查当期是否有效，并请加盖投标人公章。2.投标人须按以上顺序准备投标资料，如未按要求导致产生不利于投标人评标结果的，后果由投标人自行负责。▲3.法定代表人（或单位负责人）的授权委托书必须由投标人法定代表人（或单位负责人）签名或盖章并加盖投标人公章）。</w:t>
      </w:r>
    </w:p>
    <w:p w14:paraId="379ABE97">
      <w:pPr>
        <w:snapToGrid w:val="0"/>
        <w:spacing w:line="360" w:lineRule="auto"/>
        <w:ind w:firstLine="413" w:firstLineChars="196"/>
        <w:outlineLvl w:val="0"/>
        <w:rPr>
          <w:rFonts w:ascii="宋体" w:hAnsi="宋体"/>
          <w:b/>
          <w:szCs w:val="21"/>
        </w:rPr>
      </w:pPr>
      <w:r>
        <w:rPr>
          <w:rFonts w:hint="eastAsia" w:ascii="宋体" w:hAnsi="宋体"/>
          <w:b/>
          <w:szCs w:val="21"/>
        </w:rPr>
        <w:t>（二）投标文件的语言</w:t>
      </w:r>
      <w:bookmarkEnd w:id="9"/>
    </w:p>
    <w:p w14:paraId="74D06E5C">
      <w:pPr>
        <w:snapToGrid w:val="0"/>
        <w:spacing w:line="360" w:lineRule="auto"/>
        <w:ind w:firstLine="420" w:firstLineChars="200"/>
        <w:rPr>
          <w:rFonts w:ascii="宋体" w:hAnsi="宋体"/>
          <w:szCs w:val="21"/>
        </w:rPr>
      </w:pPr>
      <w:r>
        <w:rPr>
          <w:rFonts w:hint="eastAsia" w:ascii="宋体" w:hAnsi="宋体"/>
          <w:szCs w:val="21"/>
        </w:rPr>
        <w:t>投标文件以及投标人与招标人就有关投标事宜的所有来往函电，均应以中文汉语书写。除签字、盖章、专用名称等特殊情形外，以中文汉语以外的文字表述的投标文件视同未提供。</w:t>
      </w:r>
    </w:p>
    <w:p w14:paraId="358DDCB4">
      <w:pPr>
        <w:pStyle w:val="3"/>
        <w:numPr>
          <w:ilvl w:val="0"/>
          <w:numId w:val="0"/>
        </w:numPr>
        <w:tabs>
          <w:tab w:val="left" w:pos="720"/>
          <w:tab w:val="clear" w:pos="360"/>
        </w:tabs>
        <w:snapToGrid w:val="0"/>
        <w:spacing w:line="360" w:lineRule="auto"/>
        <w:ind w:leftChars="196"/>
        <w:rPr>
          <w:rFonts w:ascii="宋体" w:hAnsi="宋体"/>
          <w:b/>
          <w:szCs w:val="21"/>
        </w:rPr>
      </w:pPr>
      <w:r>
        <w:rPr>
          <w:rFonts w:hint="eastAsia" w:ascii="宋体" w:hAnsi="宋体"/>
          <w:b/>
          <w:szCs w:val="21"/>
        </w:rPr>
        <w:t>（三）投标文件的有效期</w:t>
      </w:r>
    </w:p>
    <w:p w14:paraId="7160B0FD">
      <w:pPr>
        <w:pStyle w:val="3"/>
        <w:numPr>
          <w:ilvl w:val="0"/>
          <w:numId w:val="0"/>
        </w:numPr>
        <w:tabs>
          <w:tab w:val="left" w:pos="720"/>
          <w:tab w:val="clear" w:pos="360"/>
        </w:tabs>
        <w:snapToGrid w:val="0"/>
        <w:spacing w:line="360" w:lineRule="auto"/>
        <w:ind w:leftChars="200"/>
        <w:rPr>
          <w:rFonts w:ascii="宋体" w:hAnsi="宋体"/>
          <w:szCs w:val="21"/>
        </w:rPr>
      </w:pPr>
      <w:r>
        <w:rPr>
          <w:rFonts w:hint="eastAsia" w:ascii="宋体" w:hAnsi="宋体"/>
          <w:szCs w:val="21"/>
        </w:rPr>
        <w:t>1.自投标截止日起90天内投标文件应保持有效。有效期不足的投标文件将被拒绝。</w:t>
      </w:r>
    </w:p>
    <w:p w14:paraId="7CB25E54">
      <w:pPr>
        <w:snapToGrid w:val="0"/>
        <w:spacing w:line="360" w:lineRule="auto"/>
        <w:ind w:firstLine="420" w:firstLineChars="200"/>
        <w:outlineLvl w:val="0"/>
        <w:rPr>
          <w:rFonts w:ascii="宋体" w:hAnsi="宋体"/>
          <w:b/>
          <w:szCs w:val="21"/>
        </w:rPr>
      </w:pPr>
      <w:bookmarkStart w:id="10" w:name="_Toc511230464"/>
      <w:r>
        <w:rPr>
          <w:rFonts w:hint="eastAsia" w:ascii="宋体" w:hAnsi="宋体"/>
          <w:szCs w:val="21"/>
        </w:rPr>
        <w:t>2.中标人的投标文件自开标之日起至协议履行完毕止均应保持有效。</w:t>
      </w:r>
      <w:bookmarkEnd w:id="10"/>
    </w:p>
    <w:p w14:paraId="37180897">
      <w:pPr>
        <w:snapToGrid w:val="0"/>
        <w:spacing w:line="360" w:lineRule="auto"/>
        <w:ind w:firstLine="413" w:firstLineChars="196"/>
        <w:outlineLvl w:val="0"/>
        <w:rPr>
          <w:rFonts w:ascii="宋体" w:hAnsi="宋体"/>
          <w:b/>
          <w:szCs w:val="21"/>
        </w:rPr>
      </w:pPr>
      <w:bookmarkStart w:id="11" w:name="_Toc511230465"/>
      <w:r>
        <w:rPr>
          <w:rFonts w:hint="eastAsia" w:ascii="宋体" w:hAnsi="宋体"/>
          <w:b/>
          <w:szCs w:val="21"/>
        </w:rPr>
        <w:t>（四）投标文件的签署和份数</w:t>
      </w:r>
      <w:bookmarkEnd w:id="11"/>
    </w:p>
    <w:p w14:paraId="323DAA46">
      <w:pPr>
        <w:snapToGrid w:val="0"/>
        <w:spacing w:line="360" w:lineRule="auto"/>
        <w:ind w:firstLine="420" w:firstLineChars="200"/>
        <w:rPr>
          <w:rFonts w:ascii="宋体" w:hAnsi="宋体"/>
          <w:szCs w:val="21"/>
        </w:rPr>
      </w:pPr>
      <w:r>
        <w:rPr>
          <w:rFonts w:hint="eastAsia" w:ascii="宋体" w:hAnsi="宋体"/>
          <w:szCs w:val="21"/>
        </w:rPr>
        <w:t>1.本项目实行网上投标，投标人应准备以下投标文件：</w:t>
      </w:r>
    </w:p>
    <w:p w14:paraId="2004EEF2">
      <w:pPr>
        <w:keepNext w:val="0"/>
        <w:keepLines w:val="0"/>
        <w:pageBreakBefore w:val="0"/>
        <w:widowControl w:val="0"/>
        <w:kinsoku/>
        <w:wordWrap/>
        <w:overflowPunct/>
        <w:topLinePunct w:val="0"/>
        <w:autoSpaceDE/>
        <w:autoSpaceDN/>
        <w:bidi w:val="0"/>
        <w:adjustRightInd/>
        <w:snapToGrid w:val="0"/>
        <w:spacing w:line="360" w:lineRule="auto"/>
        <w:ind w:firstLine="211" w:firstLineChars="100"/>
        <w:textAlignment w:val="auto"/>
        <w:rPr>
          <w:rFonts w:hint="eastAsia" w:ascii="宋体" w:hAnsi="宋体"/>
          <w:b/>
          <w:bCs/>
          <w:szCs w:val="21"/>
          <w:highlight w:val="none"/>
        </w:rPr>
      </w:pPr>
      <w:r>
        <w:rPr>
          <w:rFonts w:hint="eastAsia" w:ascii="宋体" w:hAnsi="宋体" w:cs="宋体"/>
          <w:b/>
          <w:bCs/>
          <w:highlight w:val="none"/>
        </w:rPr>
        <w:t>▲</w:t>
      </w:r>
      <w:r>
        <w:rPr>
          <w:rFonts w:hint="eastAsia" w:ascii="宋体" w:hAnsi="宋体"/>
          <w:b/>
          <w:bCs/>
          <w:szCs w:val="21"/>
          <w:highlight w:val="none"/>
        </w:rPr>
        <w:t>（1）上传到政府采购云平台的电子投标文件1份。</w:t>
      </w:r>
    </w:p>
    <w:p w14:paraId="5E974018">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b/>
          <w:bCs/>
          <w:szCs w:val="21"/>
          <w:highlight w:val="none"/>
        </w:rPr>
      </w:pPr>
      <w:r>
        <w:rPr>
          <w:rFonts w:hint="eastAsia" w:ascii="宋体" w:hAnsi="宋体"/>
          <w:b/>
          <w:bCs/>
          <w:szCs w:val="21"/>
          <w:highlight w:val="none"/>
        </w:rPr>
        <w:t>（2）以U盘存储的电子备份投标文件1份。</w:t>
      </w:r>
    </w:p>
    <w:p w14:paraId="0170AF9A">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b/>
          <w:bCs/>
          <w:szCs w:val="21"/>
          <w:highlight w:val="none"/>
        </w:rPr>
      </w:pPr>
      <w:r>
        <w:rPr>
          <w:rFonts w:hint="eastAsia" w:ascii="宋体" w:hAnsi="宋体"/>
          <w:b/>
          <w:bCs/>
          <w:szCs w:val="21"/>
          <w:highlight w:val="none"/>
        </w:rPr>
        <w:t xml:space="preserve">（3）纸质投标文件（中标单位在中标后提交）3份。 </w:t>
      </w:r>
    </w:p>
    <w:p w14:paraId="327F4A85">
      <w:pPr>
        <w:snapToGrid w:val="0"/>
        <w:spacing w:line="360" w:lineRule="auto"/>
        <w:ind w:firstLine="211" w:firstLineChars="100"/>
        <w:rPr>
          <w:rFonts w:ascii="宋体" w:hAnsi="宋体"/>
          <w:szCs w:val="21"/>
        </w:rPr>
      </w:pPr>
      <w:r>
        <w:rPr>
          <w:rFonts w:hint="eastAsia" w:ascii="宋体" w:hAnsi="宋体" w:cs="宋体"/>
          <w:b/>
          <w:bCs/>
          <w:highlight w:val="none"/>
        </w:rPr>
        <w:t>▲</w:t>
      </w:r>
      <w:r>
        <w:rPr>
          <w:rFonts w:hint="eastAsia" w:ascii="宋体" w:hAnsi="宋体"/>
          <w:b/>
          <w:bCs/>
          <w:szCs w:val="21"/>
          <w:highlight w:val="none"/>
        </w:rPr>
        <w:t>2.招标文件“第六章 投标文件格式附件”中标明加盖公章或签字的，加盖公章部分采用CA签章，签字部分由法定代表人或授权代表签字后扫描上传（或加盖对应法定代表人或授权代表的电子签名或签章）。授权代表签字的，还应附法定代表人签署的法定代表人授权书。</w:t>
      </w:r>
    </w:p>
    <w:p w14:paraId="4B0CA1F5">
      <w:pPr>
        <w:snapToGrid w:val="0"/>
        <w:spacing w:line="360" w:lineRule="auto"/>
        <w:ind w:firstLine="413" w:firstLineChars="196"/>
        <w:outlineLvl w:val="0"/>
        <w:rPr>
          <w:rFonts w:ascii="宋体" w:hAnsi="宋体"/>
          <w:b/>
          <w:szCs w:val="21"/>
        </w:rPr>
      </w:pPr>
      <w:r>
        <w:rPr>
          <w:rFonts w:hint="eastAsia" w:ascii="宋体" w:hAnsi="宋体"/>
          <w:b/>
          <w:szCs w:val="21"/>
        </w:rPr>
        <w:t>（五）投标文件制作：</w:t>
      </w:r>
    </w:p>
    <w:p w14:paraId="20420328">
      <w:pPr>
        <w:snapToGrid w:val="0"/>
        <w:spacing w:line="360" w:lineRule="auto"/>
        <w:ind w:firstLine="420" w:firstLineChars="200"/>
        <w:rPr>
          <w:rFonts w:ascii="宋体" w:hAnsi="宋体"/>
          <w:szCs w:val="21"/>
        </w:rPr>
      </w:pPr>
      <w:r>
        <w:rPr>
          <w:rFonts w:hint="eastAsia" w:ascii="宋体" w:hAnsi="宋体"/>
          <w:szCs w:val="21"/>
        </w:rPr>
        <w:t>1.应按照本项目招标文件和政府采购云平台的要求编制、加密并递交投标文件。投标人在使用系统进行投标的过程中遇到涉及平台使用的任何问题，可致电政府采购云平台技术支持热线咨询，联系方式：</w:t>
      </w:r>
      <w:r>
        <w:rPr>
          <w:rFonts w:hint="eastAsia" w:ascii="宋体" w:hAnsi="宋体" w:cs="宋体"/>
          <w:szCs w:val="21"/>
        </w:rPr>
        <w:t>95763</w:t>
      </w:r>
      <w:r>
        <w:rPr>
          <w:rFonts w:hint="eastAsia" w:ascii="宋体" w:hAnsi="宋体"/>
          <w:szCs w:val="21"/>
        </w:rPr>
        <w:t>。</w:t>
      </w:r>
    </w:p>
    <w:p w14:paraId="7246034F">
      <w:pPr>
        <w:snapToGrid w:val="0"/>
        <w:spacing w:line="360" w:lineRule="auto"/>
        <w:ind w:firstLine="420" w:firstLineChars="200"/>
        <w:rPr>
          <w:rFonts w:ascii="宋体" w:hAnsi="宋体"/>
          <w:szCs w:val="21"/>
        </w:rPr>
      </w:pPr>
      <w:r>
        <w:rPr>
          <w:rFonts w:hint="eastAsia" w:ascii="宋体" w:hAnsi="宋体"/>
          <w:szCs w:val="21"/>
        </w:rPr>
        <w:t>2.投标人通过政府采购云平台电子投标工具制作投标文件。电子投标工具请投标人自行前往浙江政府采购网下载并安装。</w:t>
      </w:r>
    </w:p>
    <w:p w14:paraId="73BD7687">
      <w:pPr>
        <w:snapToGrid w:val="0"/>
        <w:spacing w:line="360" w:lineRule="auto"/>
        <w:ind w:firstLine="420" w:firstLineChars="200"/>
        <w:rPr>
          <w:rFonts w:ascii="宋体" w:hAnsi="宋体"/>
          <w:szCs w:val="21"/>
        </w:rPr>
      </w:pPr>
      <w:r>
        <w:rPr>
          <w:rFonts w:hint="eastAsia" w:ascii="宋体" w:hAnsi="宋体"/>
          <w:szCs w:val="21"/>
        </w:rPr>
        <w:t>3.以U盘或光盘存储的电子备份投标文件1份，即按“项目采购-电子招投标操作指南”制作的电子备份文件，以用于异常情况处理。</w:t>
      </w:r>
    </w:p>
    <w:p w14:paraId="4369E97D">
      <w:pPr>
        <w:snapToGrid w:val="0"/>
        <w:spacing w:line="360" w:lineRule="auto"/>
        <w:ind w:firstLine="420" w:firstLineChars="200"/>
        <w:rPr>
          <w:rFonts w:ascii="宋体" w:hAnsi="宋体"/>
          <w:b/>
          <w:szCs w:val="21"/>
        </w:rPr>
      </w:pPr>
      <w:r>
        <w:rPr>
          <w:rFonts w:hint="eastAsia" w:ascii="宋体" w:hAnsi="宋体"/>
          <w:szCs w:val="21"/>
        </w:rPr>
        <w:t>4.开标前准备：各投标人应在投标截止时间前确保成为浙江政府采购网正式注册入库投标人，并完成CA数字证书办理。因未注册入库、未办理CA数字证书等原因造成无法投标或投标失败等后果由投标人自行承担。</w:t>
      </w:r>
      <w:r>
        <w:rPr>
          <w:rFonts w:hint="eastAsia" w:ascii="宋体" w:hAnsi="宋体" w:cs="仿宋"/>
          <w:b/>
          <w:bCs/>
          <w:szCs w:val="21"/>
        </w:rPr>
        <w:t>完成CA数字证书办理预计一周左右，请投标人自行把握时间。</w:t>
      </w:r>
    </w:p>
    <w:p w14:paraId="328B2DA1">
      <w:pPr>
        <w:snapToGrid w:val="0"/>
        <w:spacing w:line="360" w:lineRule="auto"/>
        <w:ind w:firstLine="310" w:firstLineChars="147"/>
        <w:rPr>
          <w:rFonts w:ascii="宋体" w:hAnsi="宋体" w:cs="宋体"/>
          <w:b/>
          <w:bCs/>
          <w:szCs w:val="21"/>
        </w:rPr>
      </w:pPr>
      <w:r>
        <w:rPr>
          <w:rFonts w:hint="eastAsia" w:ascii="宋体" w:hAnsi="宋体"/>
          <w:b/>
          <w:szCs w:val="21"/>
        </w:rPr>
        <w:t>（六）投标文件的密封和标记</w:t>
      </w:r>
    </w:p>
    <w:p w14:paraId="460D73D0">
      <w:pPr>
        <w:spacing w:line="360" w:lineRule="auto"/>
        <w:ind w:firstLine="420" w:firstLineChars="200"/>
        <w:jc w:val="left"/>
        <w:rPr>
          <w:rFonts w:ascii="宋体" w:hAnsi="宋体"/>
          <w:szCs w:val="21"/>
        </w:rPr>
      </w:pPr>
      <w:r>
        <w:rPr>
          <w:rFonts w:hint="eastAsia" w:ascii="宋体" w:hAnsi="宋体"/>
          <w:bCs/>
          <w:szCs w:val="21"/>
        </w:rPr>
        <w:t>1.</w:t>
      </w:r>
      <w:r>
        <w:rPr>
          <w:rFonts w:hint="eastAsia" w:ascii="宋体" w:hAnsi="宋体"/>
          <w:szCs w:val="21"/>
        </w:rPr>
        <w:t>电子投标文件：投标人应根据“项目采购-电子招投标操作指南”及本招标文件规定的格式和顺序编制电子投标文件并进行关联定位。</w:t>
      </w:r>
    </w:p>
    <w:p w14:paraId="16042AFC">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cs="宋体"/>
          <w:kern w:val="0"/>
          <w:szCs w:val="21"/>
        </w:rPr>
        <w:t>以U盘或光盘存储的电子备份投标文件</w:t>
      </w:r>
      <w:r>
        <w:rPr>
          <w:rFonts w:hint="eastAsia" w:ascii="宋体" w:hAnsi="宋体"/>
          <w:szCs w:val="21"/>
        </w:rPr>
        <w:t>用封袋密封后递交。</w:t>
      </w:r>
    </w:p>
    <w:p w14:paraId="370AFC0C">
      <w:pPr>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hint="eastAsia" w:ascii="宋体" w:hAnsi="宋体" w:cs="宋体"/>
          <w:kern w:val="0"/>
          <w:szCs w:val="21"/>
        </w:rPr>
        <w:t>电子备份投标文件须在</w:t>
      </w:r>
      <w:r>
        <w:rPr>
          <w:rFonts w:hint="eastAsia" w:ascii="宋体" w:hAnsi="宋体"/>
          <w:szCs w:val="21"/>
        </w:rPr>
        <w:t>封袋上分别注明：</w:t>
      </w:r>
    </w:p>
    <w:p w14:paraId="6E472CB9">
      <w:pPr>
        <w:tabs>
          <w:tab w:val="left" w:pos="900"/>
        </w:tabs>
        <w:spacing w:line="360" w:lineRule="auto"/>
        <w:ind w:firstLine="420" w:firstLineChars="200"/>
        <w:jc w:val="left"/>
        <w:rPr>
          <w:rFonts w:ascii="宋体" w:hAnsi="宋体"/>
          <w:szCs w:val="21"/>
          <w:u w:val="single"/>
        </w:rPr>
      </w:pPr>
      <w:r>
        <w:rPr>
          <w:rFonts w:hint="eastAsia" w:ascii="宋体" w:hAnsi="宋体"/>
          <w:szCs w:val="21"/>
        </w:rPr>
        <w:t>（</w:t>
      </w:r>
      <w:r>
        <w:rPr>
          <w:rFonts w:ascii="宋体" w:hAnsi="宋体"/>
          <w:szCs w:val="21"/>
        </w:rPr>
        <w:t>1</w:t>
      </w:r>
      <w:r>
        <w:rPr>
          <w:rFonts w:hint="eastAsia" w:ascii="宋体" w:hAnsi="宋体"/>
          <w:szCs w:val="21"/>
        </w:rPr>
        <w:t>）注    明：</w:t>
      </w:r>
      <w:r>
        <w:rPr>
          <w:rFonts w:hint="eastAsia" w:ascii="宋体" w:hAnsi="宋体"/>
          <w:szCs w:val="21"/>
          <w:u w:val="single"/>
        </w:rPr>
        <w:t xml:space="preserve">             “电子备份投标文件”            </w:t>
      </w:r>
      <w:r>
        <w:rPr>
          <w:rFonts w:hint="eastAsia" w:ascii="宋体" w:hAnsi="宋体"/>
          <w:szCs w:val="21"/>
        </w:rPr>
        <w:t>；</w:t>
      </w:r>
    </w:p>
    <w:p w14:paraId="19B6E388">
      <w:pPr>
        <w:tabs>
          <w:tab w:val="left" w:pos="900"/>
        </w:tabs>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3BCD559">
      <w:pPr>
        <w:tabs>
          <w:tab w:val="left" w:pos="900"/>
        </w:tabs>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w:t>
      </w:r>
    </w:p>
    <w:p w14:paraId="1716BCB2">
      <w:pPr>
        <w:tabs>
          <w:tab w:val="left" w:pos="900"/>
        </w:tabs>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）所投标项（如有多个标项须填写）：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2AC7687A">
      <w:pPr>
        <w:tabs>
          <w:tab w:val="left" w:pos="900"/>
        </w:tabs>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日（规定的开标日期和时间）前不准启封；</w:t>
      </w:r>
    </w:p>
    <w:p w14:paraId="20FAA16E">
      <w:pPr>
        <w:tabs>
          <w:tab w:val="left" w:pos="900"/>
        </w:tabs>
        <w:spacing w:line="360" w:lineRule="auto"/>
        <w:ind w:firstLine="420" w:firstLineChars="200"/>
        <w:jc w:val="left"/>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）投标人的名称：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7D358BC5">
      <w:pPr>
        <w:spacing w:line="360" w:lineRule="auto"/>
        <w:ind w:firstLine="420" w:firstLineChars="200"/>
        <w:jc w:val="left"/>
        <w:rPr>
          <w:rFonts w:ascii="宋体" w:hAnsi="宋体"/>
          <w:szCs w:val="21"/>
        </w:rPr>
      </w:pPr>
      <w:r>
        <w:rPr>
          <w:rFonts w:hint="eastAsia" w:ascii="宋体" w:hAnsi="宋体"/>
          <w:szCs w:val="21"/>
        </w:rPr>
        <w:t>投标人须在包封上加盖投标人公章或由其法定代表人（或授权代表）签字或盖章。</w:t>
      </w:r>
    </w:p>
    <w:p w14:paraId="0F8CD5A4">
      <w:pPr>
        <w:snapToGrid w:val="0"/>
        <w:spacing w:line="360" w:lineRule="auto"/>
        <w:ind w:firstLine="420" w:firstLineChars="200"/>
        <w:rPr>
          <w:rFonts w:ascii="宋体" w:hAnsi="宋体"/>
          <w:bCs/>
          <w:szCs w:val="21"/>
        </w:rPr>
      </w:pPr>
      <w:r>
        <w:rPr>
          <w:rFonts w:hint="eastAsia" w:ascii="宋体" w:hAnsi="宋体"/>
          <w:szCs w:val="21"/>
        </w:rPr>
        <w:t>投标人未按上述要求标记的，招标人（</w:t>
      </w:r>
      <w:r>
        <w:rPr>
          <w:rFonts w:hint="eastAsia" w:ascii="宋体" w:hAnsi="宋体"/>
          <w:szCs w:val="21"/>
          <w:lang w:val="en-US" w:eastAsia="zh-CN"/>
        </w:rPr>
        <w:t>招标</w:t>
      </w:r>
      <w:r>
        <w:rPr>
          <w:rFonts w:hint="eastAsia" w:ascii="宋体" w:hAnsi="宋体"/>
          <w:szCs w:val="21"/>
        </w:rPr>
        <w:t>代理机构）不承担错放或提前开封的责任</w:t>
      </w:r>
      <w:r>
        <w:rPr>
          <w:rFonts w:hint="eastAsia" w:ascii="宋体" w:hAnsi="宋体"/>
          <w:bCs/>
          <w:szCs w:val="21"/>
        </w:rPr>
        <w:t>。</w:t>
      </w:r>
    </w:p>
    <w:p w14:paraId="0D674BF3">
      <w:pPr>
        <w:snapToGrid w:val="0"/>
        <w:spacing w:line="360" w:lineRule="auto"/>
        <w:ind w:firstLine="310" w:firstLineChars="147"/>
        <w:rPr>
          <w:rFonts w:ascii="宋体" w:hAnsi="宋体"/>
          <w:b/>
          <w:szCs w:val="21"/>
        </w:rPr>
      </w:pPr>
      <w:bookmarkStart w:id="12" w:name="_Toc511230466"/>
      <w:r>
        <w:rPr>
          <w:rFonts w:hint="eastAsia" w:ascii="宋体" w:hAnsi="宋体"/>
          <w:b/>
          <w:szCs w:val="21"/>
        </w:rPr>
        <w:t>（七）投标文件的递交</w:t>
      </w:r>
    </w:p>
    <w:p w14:paraId="4118D123">
      <w:pPr>
        <w:snapToGrid w:val="0"/>
        <w:spacing w:line="360" w:lineRule="auto"/>
        <w:ind w:firstLine="420" w:firstLineChars="200"/>
        <w:rPr>
          <w:rFonts w:ascii="宋体" w:hAnsi="宋体"/>
          <w:szCs w:val="21"/>
        </w:rPr>
      </w:pPr>
      <w:r>
        <w:rPr>
          <w:rFonts w:hint="eastAsia" w:ascii="宋体" w:hAnsi="宋体"/>
          <w:szCs w:val="21"/>
        </w:rPr>
        <w:t>1.递交方式：</w:t>
      </w:r>
    </w:p>
    <w:p w14:paraId="0487444D">
      <w:pPr>
        <w:snapToGrid w:val="0"/>
        <w:spacing w:line="360" w:lineRule="auto"/>
        <w:ind w:firstLine="420" w:firstLineChars="200"/>
        <w:rPr>
          <w:rFonts w:ascii="宋体" w:hAnsi="宋体"/>
          <w:szCs w:val="21"/>
        </w:rPr>
      </w:pPr>
      <w:r>
        <w:rPr>
          <w:rFonts w:hint="eastAsia" w:ascii="宋体" w:hAnsi="宋体"/>
          <w:szCs w:val="21"/>
        </w:rPr>
        <w:t>投标人应于提交投标文件截止时间前将电子投标文件上传到政府采购云平台（https://www.zcygov.cn/），并应于提交投标文件截止时间前，将以U盘或光盘存储的电子备份投标文件密封，采用现场递交或邮寄送达方式递交。</w:t>
      </w:r>
    </w:p>
    <w:p w14:paraId="0867644A">
      <w:pPr>
        <w:snapToGrid w:val="0"/>
        <w:spacing w:line="360" w:lineRule="auto"/>
        <w:ind w:firstLine="420" w:firstLineChars="200"/>
        <w:rPr>
          <w:rFonts w:ascii="宋体" w:hAnsi="宋体"/>
          <w:szCs w:val="21"/>
        </w:rPr>
      </w:pPr>
      <w:r>
        <w:rPr>
          <w:rFonts w:hint="eastAsia" w:ascii="宋体" w:hAnsi="宋体"/>
          <w:szCs w:val="21"/>
        </w:rPr>
        <w:t>方式一：现场递交方式，投标人的法定代表人或授权代表在投标截止时间前将投标文件送至开标地点：宁波市北仑区长江路1166号行政大楼B楼北仑区（开发区）公共资源交易中心（招投标中心）交易厅（详见中心候标区电子显示屏）。投标文件递交时须同时递交投标人的法定代表人（或其授权代表）联系方式，并保证投标期间联系方式畅通。</w:t>
      </w:r>
    </w:p>
    <w:p w14:paraId="4C2F28D5">
      <w:pPr>
        <w:snapToGrid w:val="0"/>
        <w:spacing w:line="360" w:lineRule="auto"/>
        <w:ind w:firstLine="420" w:firstLineChars="200"/>
        <w:rPr>
          <w:rFonts w:ascii="宋体" w:hAnsi="宋体"/>
          <w:szCs w:val="21"/>
        </w:rPr>
      </w:pPr>
      <w:r>
        <w:rPr>
          <w:rFonts w:hint="eastAsia" w:ascii="宋体" w:hAnsi="宋体"/>
          <w:szCs w:val="21"/>
        </w:rPr>
        <w:t>方式二：邮寄送达，送达地址：宁波杜威工程项目管理有限公司（宁波市北仑区新碶街道明州路773号开发区商务大厦10楼1001室），联系方式：石静娜 0574-86830803、15968008205。投标人邮寄后须将邮件单号发送至</w:t>
      </w:r>
      <w:r>
        <w:rPr>
          <w:rFonts w:hint="eastAsia" w:ascii="宋体" w:hAnsi="宋体"/>
          <w:szCs w:val="21"/>
          <w:lang w:val="en-US" w:eastAsia="zh-CN"/>
        </w:rPr>
        <w:t>招标</w:t>
      </w:r>
      <w:r>
        <w:rPr>
          <w:rFonts w:hint="eastAsia" w:ascii="宋体" w:hAnsi="宋体"/>
          <w:szCs w:val="21"/>
        </w:rPr>
        <w:t>代理机构电子邮箱（电子邮箱：77706550@qq.com），并致电招标代理机构，以便招标代理机构查询物流记录。各投标人应当确保电子备份投标文件的密封包装在邮寄过程保持完好，并在邮寄包裹上注明项目名称、项目编号，因邮寄造成电子备份投标文件密封破损而不符合竞争性招标文件对投标文件的密封要求、或邮寄过程中导致电子备份投标文件未在投标截止时间前送达的，</w:t>
      </w:r>
      <w:r>
        <w:rPr>
          <w:rFonts w:hint="eastAsia" w:ascii="宋体" w:hAnsi="宋体"/>
          <w:szCs w:val="21"/>
          <w:lang w:val="en-US" w:eastAsia="zh-CN"/>
        </w:rPr>
        <w:t>招标</w:t>
      </w:r>
      <w:r>
        <w:rPr>
          <w:rFonts w:hint="eastAsia" w:ascii="宋体" w:hAnsi="宋体"/>
          <w:szCs w:val="21"/>
        </w:rPr>
        <w:t>代理机构将拒绝其投标文件。各投标人自行考虑邮寄在途时间，投标文件送达时间以</w:t>
      </w:r>
      <w:r>
        <w:rPr>
          <w:rFonts w:hint="eastAsia" w:ascii="宋体" w:hAnsi="宋体"/>
          <w:szCs w:val="21"/>
          <w:lang w:val="en-US" w:eastAsia="zh-CN"/>
        </w:rPr>
        <w:t>招标</w:t>
      </w:r>
      <w:r>
        <w:rPr>
          <w:rFonts w:hint="eastAsia" w:ascii="宋体" w:hAnsi="宋体"/>
          <w:szCs w:val="21"/>
        </w:rPr>
        <w:t>代理机构工作人员实际签收时间为准。</w:t>
      </w:r>
    </w:p>
    <w:p w14:paraId="22F82B74">
      <w:pPr>
        <w:snapToGrid w:val="0"/>
        <w:spacing w:line="360" w:lineRule="auto"/>
        <w:ind w:firstLine="420" w:firstLineChars="200"/>
        <w:rPr>
          <w:rFonts w:ascii="宋体" w:hAnsi="宋体"/>
          <w:szCs w:val="21"/>
        </w:rPr>
      </w:pPr>
      <w:r>
        <w:rPr>
          <w:rFonts w:hint="eastAsia" w:ascii="宋体" w:hAnsi="宋体"/>
          <w:szCs w:val="21"/>
        </w:rPr>
        <w:t>2.投标人未按上述要求密封的电子备份投标文件，</w:t>
      </w:r>
      <w:r>
        <w:rPr>
          <w:rFonts w:hint="eastAsia" w:ascii="宋体" w:hAnsi="宋体"/>
          <w:szCs w:val="21"/>
          <w:lang w:val="en-US" w:eastAsia="zh-CN"/>
        </w:rPr>
        <w:t>招标</w:t>
      </w:r>
      <w:r>
        <w:rPr>
          <w:rFonts w:hint="eastAsia" w:ascii="宋体" w:hAnsi="宋体"/>
          <w:szCs w:val="21"/>
        </w:rPr>
        <w:t>代理机构不予受理。</w:t>
      </w:r>
    </w:p>
    <w:p w14:paraId="34D3CE00">
      <w:pPr>
        <w:snapToGrid w:val="0"/>
        <w:spacing w:line="360" w:lineRule="auto"/>
        <w:ind w:firstLine="420" w:firstLineChars="200"/>
        <w:rPr>
          <w:rFonts w:ascii="宋体" w:hAnsi="宋体"/>
          <w:szCs w:val="21"/>
        </w:rPr>
      </w:pPr>
      <w:r>
        <w:rPr>
          <w:rFonts w:hint="eastAsia" w:ascii="宋体" w:hAnsi="宋体"/>
          <w:szCs w:val="21"/>
        </w:rPr>
        <w:t>3.逾期送达的或者未送达指定地点的，</w:t>
      </w:r>
      <w:r>
        <w:rPr>
          <w:rFonts w:hint="eastAsia" w:ascii="宋体" w:hAnsi="宋体"/>
          <w:szCs w:val="21"/>
          <w:lang w:val="en-US" w:eastAsia="zh-CN"/>
        </w:rPr>
        <w:t>招标</w:t>
      </w:r>
      <w:r>
        <w:rPr>
          <w:rFonts w:hint="eastAsia" w:ascii="宋体" w:hAnsi="宋体"/>
          <w:szCs w:val="21"/>
        </w:rPr>
        <w:t>代理机构不予受理。</w:t>
      </w:r>
    </w:p>
    <w:p w14:paraId="70427F18">
      <w:pPr>
        <w:snapToGrid w:val="0"/>
        <w:spacing w:line="360" w:lineRule="auto"/>
        <w:ind w:firstLine="420" w:firstLineChars="200"/>
        <w:rPr>
          <w:rFonts w:ascii="宋体" w:hAnsi="宋体"/>
          <w:szCs w:val="21"/>
        </w:rPr>
      </w:pPr>
      <w:r>
        <w:rPr>
          <w:rFonts w:hint="eastAsia" w:ascii="宋体" w:hAnsi="宋体"/>
          <w:szCs w:val="21"/>
        </w:rPr>
        <w:t>4.投标文件的补充、修改</w:t>
      </w:r>
    </w:p>
    <w:p w14:paraId="3AB3E997">
      <w:pPr>
        <w:snapToGrid w:val="0"/>
        <w:spacing w:line="360" w:lineRule="auto"/>
        <w:ind w:firstLine="420" w:firstLineChars="200"/>
        <w:rPr>
          <w:rFonts w:ascii="宋体" w:hAnsi="宋体"/>
          <w:szCs w:val="21"/>
        </w:rPr>
      </w:pPr>
      <w:r>
        <w:rPr>
          <w:rFonts w:hint="eastAsia" w:ascii="宋体" w:hAnsi="宋体"/>
          <w:szCs w:val="21"/>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招标人提交正式文件。</w:t>
      </w:r>
    </w:p>
    <w:bookmarkEnd w:id="12"/>
    <w:p w14:paraId="01FAE76E">
      <w:pPr>
        <w:pStyle w:val="6"/>
        <w:snapToGrid w:val="0"/>
        <w:spacing w:beforeLines="0" w:afterLines="0" w:line="360" w:lineRule="auto"/>
        <w:ind w:left="690" w:leftChars="228" w:hanging="211" w:hangingChars="100"/>
        <w:rPr>
          <w:rFonts w:hAnsi="宋体"/>
          <w:b/>
          <w:sz w:val="21"/>
          <w:szCs w:val="21"/>
        </w:rPr>
      </w:pPr>
      <w:r>
        <w:rPr>
          <w:rFonts w:hint="eastAsia" w:hAnsi="宋体"/>
          <w:b/>
          <w:sz w:val="21"/>
          <w:szCs w:val="21"/>
        </w:rPr>
        <w:t>（八）错误修正</w:t>
      </w:r>
    </w:p>
    <w:p w14:paraId="523F3F45">
      <w:pPr>
        <w:pStyle w:val="6"/>
        <w:snapToGrid w:val="0"/>
        <w:spacing w:beforeLines="0" w:afterLines="0" w:line="360" w:lineRule="auto"/>
        <w:ind w:left="2" w:firstLine="378" w:firstLineChars="180"/>
        <w:rPr>
          <w:rFonts w:hAnsi="宋体"/>
          <w:sz w:val="21"/>
          <w:szCs w:val="21"/>
        </w:rPr>
      </w:pPr>
      <w:r>
        <w:rPr>
          <w:rFonts w:hint="eastAsia" w:hAnsi="宋体"/>
          <w:sz w:val="21"/>
          <w:szCs w:val="21"/>
        </w:rPr>
        <w:t>投标文件如果出现计算或表达上的错误，修正错误的原则如下：</w:t>
      </w:r>
    </w:p>
    <w:p w14:paraId="1ECBA978">
      <w:pPr>
        <w:pStyle w:val="6"/>
        <w:snapToGrid w:val="0"/>
        <w:spacing w:beforeLines="0" w:afterLines="0" w:line="360" w:lineRule="auto"/>
        <w:ind w:firstLine="420" w:firstLineChars="200"/>
        <w:rPr>
          <w:rFonts w:hAnsi="宋体"/>
          <w:sz w:val="21"/>
          <w:szCs w:val="21"/>
        </w:rPr>
      </w:pPr>
      <w:r>
        <w:rPr>
          <w:rFonts w:hint="eastAsia" w:hAnsi="宋体"/>
          <w:sz w:val="21"/>
          <w:szCs w:val="21"/>
        </w:rPr>
        <w:t>1.投标文件中开标一览表内容与政采云系统“开标一览表”中录入的内容不一致的，以投标文件中开标一览表为准；</w:t>
      </w:r>
    </w:p>
    <w:p w14:paraId="680DD314">
      <w:pPr>
        <w:pStyle w:val="6"/>
        <w:snapToGrid w:val="0"/>
        <w:spacing w:beforeLines="0" w:afterLines="0" w:line="360" w:lineRule="auto"/>
        <w:ind w:firstLine="420" w:firstLineChars="200"/>
        <w:rPr>
          <w:rFonts w:hAnsi="宋体"/>
          <w:sz w:val="21"/>
          <w:szCs w:val="21"/>
        </w:rPr>
      </w:pPr>
      <w:r>
        <w:rPr>
          <w:rFonts w:hint="eastAsia" w:hAnsi="宋体"/>
          <w:sz w:val="21"/>
          <w:szCs w:val="21"/>
        </w:rPr>
        <w:t>2.投标文件中开标一览表内容与投标文件中分项报价表内容不一致的，以开标一览表为准；</w:t>
      </w:r>
    </w:p>
    <w:p w14:paraId="31425C5A">
      <w:pPr>
        <w:pStyle w:val="6"/>
        <w:snapToGrid w:val="0"/>
        <w:spacing w:beforeLines="0" w:afterLines="0" w:line="360" w:lineRule="auto"/>
        <w:ind w:firstLine="420" w:firstLineChars="200"/>
        <w:rPr>
          <w:rFonts w:hAnsi="宋体"/>
          <w:sz w:val="21"/>
          <w:szCs w:val="21"/>
        </w:rPr>
      </w:pPr>
      <w:r>
        <w:rPr>
          <w:rFonts w:hint="eastAsia" w:hAnsi="宋体"/>
          <w:sz w:val="21"/>
          <w:szCs w:val="21"/>
        </w:rPr>
        <w:t>3.投标文件的大写金额和小写金额不一致的，以大写金额为准；</w:t>
      </w:r>
    </w:p>
    <w:p w14:paraId="3C099274">
      <w:pPr>
        <w:pStyle w:val="6"/>
        <w:snapToGrid w:val="0"/>
        <w:spacing w:beforeLines="0" w:afterLines="0" w:line="360" w:lineRule="auto"/>
        <w:ind w:firstLine="420" w:firstLineChars="200"/>
        <w:rPr>
          <w:rFonts w:hAnsi="宋体"/>
          <w:sz w:val="21"/>
          <w:szCs w:val="21"/>
        </w:rPr>
      </w:pPr>
      <w:r>
        <w:rPr>
          <w:rFonts w:hint="eastAsia" w:hAnsi="宋体"/>
          <w:sz w:val="21"/>
          <w:szCs w:val="21"/>
        </w:rPr>
        <w:t>4.单价金额小数点有明显错位的，应以总价为准，并修改单价；</w:t>
      </w:r>
    </w:p>
    <w:p w14:paraId="040AE5B2">
      <w:pPr>
        <w:pStyle w:val="6"/>
        <w:snapToGrid w:val="0"/>
        <w:spacing w:beforeLines="0" w:afterLines="0" w:line="360" w:lineRule="auto"/>
        <w:ind w:firstLine="420" w:firstLineChars="200"/>
        <w:rPr>
          <w:rFonts w:hAnsi="宋体"/>
          <w:sz w:val="21"/>
          <w:szCs w:val="21"/>
        </w:rPr>
      </w:pPr>
      <w:r>
        <w:rPr>
          <w:rFonts w:hint="eastAsia" w:hAnsi="宋体"/>
          <w:sz w:val="21"/>
          <w:szCs w:val="21"/>
        </w:rPr>
        <w:t>5.总价金额与按单价汇总金额不一致的，以单价金额计算结果为准。</w:t>
      </w:r>
    </w:p>
    <w:p w14:paraId="4F15F4EB">
      <w:pPr>
        <w:pStyle w:val="6"/>
        <w:snapToGrid w:val="0"/>
        <w:spacing w:beforeLines="0" w:afterLines="0" w:line="360" w:lineRule="auto"/>
        <w:ind w:firstLine="420" w:firstLineChars="200"/>
        <w:rPr>
          <w:rFonts w:hAnsi="宋体"/>
          <w:sz w:val="21"/>
          <w:szCs w:val="21"/>
        </w:rPr>
      </w:pPr>
      <w:r>
        <w:rPr>
          <w:rFonts w:hint="eastAsia" w:hAnsi="宋体"/>
          <w:sz w:val="21"/>
          <w:szCs w:val="21"/>
        </w:rPr>
        <w:t>同时出现两种以上不一致的，按照前款规定的顺序修正。按上述修正错误的原则及方法调整或修正投标文件的投标报价，投标人同意并签名确认后，调整后的投标报价对投标人具有约束作用。如果投标人不接受修正后的报价，则其投标将作为无效投标处理。</w:t>
      </w:r>
    </w:p>
    <w:p w14:paraId="46C06D35">
      <w:pPr>
        <w:pStyle w:val="6"/>
        <w:snapToGrid w:val="0"/>
        <w:spacing w:beforeLines="0" w:afterLines="0" w:line="360" w:lineRule="auto"/>
        <w:rPr>
          <w:rFonts w:hAnsi="宋体"/>
          <w:b/>
          <w:sz w:val="21"/>
          <w:szCs w:val="21"/>
        </w:rPr>
      </w:pPr>
      <w:r>
        <w:rPr>
          <w:rFonts w:hint="eastAsia" w:hAnsi="宋体"/>
          <w:b/>
          <w:sz w:val="21"/>
          <w:szCs w:val="21"/>
        </w:rPr>
        <w:t>三、开标</w:t>
      </w:r>
    </w:p>
    <w:p w14:paraId="77EAA4B7">
      <w:pPr>
        <w:pStyle w:val="6"/>
        <w:snapToGrid w:val="0"/>
        <w:spacing w:beforeLines="0" w:afterLines="0" w:line="360" w:lineRule="auto"/>
        <w:ind w:firstLine="420" w:firstLineChars="200"/>
        <w:rPr>
          <w:rFonts w:hAnsi="宋体"/>
          <w:sz w:val="21"/>
          <w:szCs w:val="21"/>
        </w:rPr>
      </w:pPr>
      <w:r>
        <w:rPr>
          <w:rFonts w:hint="eastAsia" w:hAnsi="宋体"/>
          <w:sz w:val="21"/>
          <w:szCs w:val="21"/>
        </w:rPr>
        <w:t>1.</w:t>
      </w:r>
      <w:r>
        <w:rPr>
          <w:rFonts w:hint="eastAsia" w:hAnsi="宋体"/>
          <w:sz w:val="21"/>
          <w:szCs w:val="21"/>
          <w:lang w:val="en-US" w:eastAsia="zh-CN"/>
        </w:rPr>
        <w:t>招标</w:t>
      </w:r>
      <w:r>
        <w:rPr>
          <w:rFonts w:hint="eastAsia" w:hAnsi="宋体"/>
          <w:sz w:val="21"/>
          <w:szCs w:val="21"/>
        </w:rPr>
        <w:t>代理机构在招标文件规定的时间和地点公开开标，并邀请所有投标人的法定代表人（或授权代表）准时参加。投标人的法定代表人（或授权代表）不参加开标的或迟到参加开标的，视同该投标人默认开标记录，不得事后对开标过程提出任何异议。</w:t>
      </w:r>
    </w:p>
    <w:p w14:paraId="62EB9A63">
      <w:pPr>
        <w:pStyle w:val="6"/>
        <w:snapToGrid w:val="0"/>
        <w:spacing w:beforeLines="0" w:afterLines="0" w:line="360" w:lineRule="auto"/>
        <w:ind w:firstLine="420" w:firstLineChars="200"/>
        <w:rPr>
          <w:rFonts w:hAnsi="宋体"/>
          <w:sz w:val="21"/>
          <w:szCs w:val="21"/>
        </w:rPr>
      </w:pPr>
      <w:r>
        <w:rPr>
          <w:rFonts w:hint="eastAsia" w:hAnsi="宋体"/>
          <w:sz w:val="21"/>
          <w:szCs w:val="21"/>
        </w:rPr>
        <w:t>2.电子招投标开标程序：</w:t>
      </w:r>
    </w:p>
    <w:p w14:paraId="0CCC958C">
      <w:pPr>
        <w:pStyle w:val="6"/>
        <w:snapToGrid w:val="0"/>
        <w:spacing w:beforeLines="0" w:afterLines="0" w:line="360" w:lineRule="auto"/>
        <w:ind w:firstLine="420" w:firstLineChars="200"/>
        <w:rPr>
          <w:rFonts w:hAnsi="宋体"/>
          <w:sz w:val="21"/>
          <w:szCs w:val="21"/>
        </w:rPr>
      </w:pPr>
      <w:r>
        <w:rPr>
          <w:rFonts w:hint="eastAsia" w:hAnsi="宋体"/>
          <w:sz w:val="21"/>
          <w:szCs w:val="21"/>
        </w:rPr>
        <w:t>（1）投标截止时间后，投标单位登录政府采购云平台，用“项目采购-开标评标”功能对电子投标文件进行在线解密，在线解密电子投标文件时间为开标时间后30分钟内。</w:t>
      </w:r>
    </w:p>
    <w:p w14:paraId="7407AB8E">
      <w:pPr>
        <w:pStyle w:val="6"/>
        <w:snapToGrid w:val="0"/>
        <w:spacing w:beforeLines="0" w:afterLines="0" w:line="360" w:lineRule="auto"/>
        <w:ind w:firstLine="420" w:firstLineChars="200"/>
        <w:rPr>
          <w:rFonts w:hAnsi="宋体"/>
          <w:sz w:val="21"/>
          <w:szCs w:val="21"/>
        </w:rPr>
      </w:pPr>
      <w:r>
        <w:rPr>
          <w:rFonts w:hint="eastAsia" w:hAnsi="宋体"/>
          <w:sz w:val="21"/>
          <w:szCs w:val="21"/>
        </w:rPr>
        <w:t>（2）在政府采购云平台开启已解密投标单位的投标文件，并做开标记录；</w:t>
      </w:r>
    </w:p>
    <w:p w14:paraId="01A9C2CF">
      <w:pPr>
        <w:pStyle w:val="6"/>
        <w:snapToGrid w:val="0"/>
        <w:spacing w:beforeLines="0" w:afterLines="0" w:line="360" w:lineRule="auto"/>
        <w:ind w:firstLine="420" w:firstLineChars="200"/>
        <w:rPr>
          <w:rFonts w:hAnsi="宋体"/>
          <w:sz w:val="21"/>
          <w:szCs w:val="21"/>
        </w:rPr>
      </w:pPr>
      <w:r>
        <w:rPr>
          <w:rFonts w:hint="eastAsia" w:hAnsi="宋体"/>
          <w:sz w:val="21"/>
          <w:szCs w:val="21"/>
        </w:rPr>
        <w:t>（3）主持人公布评审结果。</w:t>
      </w:r>
    </w:p>
    <w:p w14:paraId="1DC2E996">
      <w:pPr>
        <w:pStyle w:val="6"/>
        <w:snapToGrid w:val="0"/>
        <w:spacing w:beforeLines="0" w:afterLines="0" w:line="360" w:lineRule="auto"/>
        <w:ind w:firstLine="420" w:firstLineChars="200"/>
        <w:rPr>
          <w:rFonts w:hAnsi="宋体"/>
          <w:sz w:val="21"/>
          <w:szCs w:val="21"/>
        </w:rPr>
      </w:pPr>
      <w:r>
        <w:rPr>
          <w:rFonts w:hint="eastAsia" w:hAnsi="宋体"/>
          <w:sz w:val="21"/>
          <w:szCs w:val="21"/>
        </w:rPr>
        <w:t>（4）开标会议结束。</w:t>
      </w:r>
    </w:p>
    <w:p w14:paraId="0298039D">
      <w:pPr>
        <w:pStyle w:val="6"/>
        <w:snapToGrid w:val="0"/>
        <w:spacing w:beforeLines="0" w:afterLines="0" w:line="360" w:lineRule="auto"/>
        <w:ind w:firstLine="420" w:firstLineChars="200"/>
        <w:rPr>
          <w:rFonts w:hAnsi="宋体"/>
          <w:sz w:val="21"/>
          <w:szCs w:val="21"/>
        </w:rPr>
      </w:pPr>
      <w:r>
        <w:rPr>
          <w:rFonts w:hint="eastAsia" w:hAnsi="宋体"/>
          <w:sz w:val="21"/>
          <w:szCs w:val="21"/>
        </w:rPr>
        <w:t>3、特别说明：政府采购云平台如对电子化开标及评审程序有调整的，按调整后的程序操作。</w:t>
      </w:r>
    </w:p>
    <w:p w14:paraId="6E8AD061">
      <w:pPr>
        <w:pStyle w:val="6"/>
        <w:snapToGrid w:val="0"/>
        <w:spacing w:beforeLines="0" w:afterLines="0" w:line="360" w:lineRule="auto"/>
        <w:ind w:firstLine="420" w:firstLineChars="200"/>
        <w:rPr>
          <w:rFonts w:hAnsi="宋体"/>
          <w:sz w:val="21"/>
          <w:szCs w:val="21"/>
        </w:rPr>
      </w:pPr>
      <w:r>
        <w:rPr>
          <w:rFonts w:hint="eastAsia" w:hAnsi="宋体"/>
          <w:sz w:val="21"/>
          <w:szCs w:val="21"/>
        </w:rPr>
        <w:t>本项目原则上采用政采云电子投标开标及评审程序，但有下情形之一的，按以下情况处理：</w:t>
      </w:r>
    </w:p>
    <w:p w14:paraId="7232E2E8">
      <w:pPr>
        <w:pStyle w:val="6"/>
        <w:snapToGrid w:val="0"/>
        <w:spacing w:beforeLines="0" w:afterLines="0" w:line="360" w:lineRule="auto"/>
        <w:ind w:firstLine="420" w:firstLineChars="200"/>
        <w:rPr>
          <w:rFonts w:hAnsi="宋体"/>
          <w:sz w:val="21"/>
          <w:szCs w:val="21"/>
        </w:rPr>
      </w:pPr>
      <w:r>
        <w:rPr>
          <w:rFonts w:hint="eastAsia" w:hAnsi="宋体"/>
          <w:sz w:val="21"/>
          <w:szCs w:val="21"/>
        </w:rPr>
        <w:t>（1）若投标人在规定时间内无法解密或解密失败，</w:t>
      </w:r>
      <w:r>
        <w:rPr>
          <w:rFonts w:hint="eastAsia" w:hAnsi="宋体"/>
          <w:sz w:val="21"/>
          <w:szCs w:val="21"/>
          <w:lang w:val="en-US" w:eastAsia="zh-CN"/>
        </w:rPr>
        <w:t>招标</w:t>
      </w:r>
      <w:r>
        <w:rPr>
          <w:rFonts w:hint="eastAsia" w:hAnsi="宋体"/>
          <w:sz w:val="21"/>
          <w:szCs w:val="21"/>
        </w:rPr>
        <w:t>代理机构将开启上述投标人递交的以U盘或光盘存储的电子备份投标文件，上传至政采云平台项目采购模块，以完成开标，电子投标文件自动失效。</w:t>
      </w:r>
    </w:p>
    <w:p w14:paraId="68CD255C">
      <w:pPr>
        <w:pStyle w:val="6"/>
        <w:snapToGrid w:val="0"/>
        <w:spacing w:beforeLines="0" w:afterLines="0" w:line="360" w:lineRule="auto"/>
        <w:ind w:firstLine="420" w:firstLineChars="200"/>
        <w:rPr>
          <w:rFonts w:hAnsi="宋体"/>
          <w:sz w:val="21"/>
          <w:szCs w:val="21"/>
        </w:rPr>
      </w:pPr>
      <w:r>
        <w:rPr>
          <w:rFonts w:hint="eastAsia" w:hAnsi="宋体"/>
          <w:sz w:val="21"/>
          <w:szCs w:val="21"/>
        </w:rPr>
        <w:t>（2）招标过程中出现以下情形，导致电子交易平台无法正常运行，或者无法保证电子交易的公平、公正和安全时，招标人（或</w:t>
      </w:r>
      <w:r>
        <w:rPr>
          <w:rFonts w:hint="eastAsia" w:hAnsi="宋体"/>
          <w:sz w:val="21"/>
          <w:szCs w:val="21"/>
          <w:lang w:val="en-US" w:eastAsia="zh-CN"/>
        </w:rPr>
        <w:t>招标</w:t>
      </w:r>
      <w:r>
        <w:rPr>
          <w:rFonts w:hint="eastAsia" w:hAnsi="宋体"/>
          <w:sz w:val="21"/>
          <w:szCs w:val="21"/>
        </w:rPr>
        <w:t>代理机构）可中止电子交易活动：</w:t>
      </w:r>
    </w:p>
    <w:p w14:paraId="36317E71">
      <w:pPr>
        <w:pStyle w:val="6"/>
        <w:snapToGrid w:val="0"/>
        <w:spacing w:beforeLines="0" w:afterLines="0" w:line="360" w:lineRule="auto"/>
        <w:ind w:firstLine="420" w:firstLineChars="200"/>
        <w:rPr>
          <w:rFonts w:hAnsi="宋体"/>
          <w:sz w:val="21"/>
          <w:szCs w:val="21"/>
        </w:rPr>
      </w:pPr>
      <w:r>
        <w:rPr>
          <w:rFonts w:hint="eastAsia" w:hAnsi="宋体"/>
          <w:sz w:val="21"/>
          <w:szCs w:val="21"/>
          <w:lang w:val="en-US" w:eastAsia="zh-CN"/>
        </w:rPr>
        <w:t>2</w:t>
      </w:r>
      <w:r>
        <w:rPr>
          <w:rFonts w:hint="eastAsia" w:hAnsi="宋体"/>
          <w:sz w:val="21"/>
          <w:szCs w:val="21"/>
        </w:rPr>
        <w:t>.1电子交易平台发生故障而无法登录访问的；</w:t>
      </w:r>
    </w:p>
    <w:p w14:paraId="7ECF2569">
      <w:pPr>
        <w:pStyle w:val="6"/>
        <w:snapToGrid w:val="0"/>
        <w:spacing w:beforeLines="0" w:afterLines="0" w:line="360" w:lineRule="auto"/>
        <w:ind w:firstLine="420" w:firstLineChars="200"/>
        <w:rPr>
          <w:rFonts w:hAnsi="宋体"/>
          <w:sz w:val="21"/>
          <w:szCs w:val="21"/>
        </w:rPr>
      </w:pPr>
      <w:r>
        <w:rPr>
          <w:rFonts w:hint="eastAsia" w:hAnsi="宋体"/>
          <w:sz w:val="21"/>
          <w:szCs w:val="21"/>
          <w:lang w:val="en-US" w:eastAsia="zh-CN"/>
        </w:rPr>
        <w:t>2</w:t>
      </w:r>
      <w:r>
        <w:rPr>
          <w:rFonts w:hint="eastAsia" w:hAnsi="宋体"/>
          <w:sz w:val="21"/>
          <w:szCs w:val="21"/>
        </w:rPr>
        <w:t>.2电子交易平台应用或数据库出现错误，不能进行正常操作的；</w:t>
      </w:r>
    </w:p>
    <w:p w14:paraId="68FD23BA">
      <w:pPr>
        <w:pStyle w:val="6"/>
        <w:snapToGrid w:val="0"/>
        <w:spacing w:beforeLines="0" w:afterLines="0" w:line="360" w:lineRule="auto"/>
        <w:ind w:firstLine="420" w:firstLineChars="200"/>
        <w:rPr>
          <w:rFonts w:hAnsi="宋体"/>
          <w:sz w:val="21"/>
          <w:szCs w:val="21"/>
        </w:rPr>
      </w:pPr>
      <w:r>
        <w:rPr>
          <w:rFonts w:hint="eastAsia" w:hAnsi="宋体"/>
          <w:sz w:val="21"/>
          <w:szCs w:val="21"/>
          <w:lang w:val="en-US" w:eastAsia="zh-CN"/>
        </w:rPr>
        <w:t>2</w:t>
      </w:r>
      <w:r>
        <w:rPr>
          <w:rFonts w:hint="eastAsia" w:hAnsi="宋体"/>
          <w:sz w:val="21"/>
          <w:szCs w:val="21"/>
        </w:rPr>
        <w:t>.3电子交易平台发现严重安全漏洞，有潜在泄密危险的；</w:t>
      </w:r>
    </w:p>
    <w:p w14:paraId="59426E1D">
      <w:pPr>
        <w:pStyle w:val="6"/>
        <w:snapToGrid w:val="0"/>
        <w:spacing w:beforeLines="0" w:afterLines="0" w:line="360" w:lineRule="auto"/>
        <w:ind w:firstLine="420" w:firstLineChars="200"/>
        <w:rPr>
          <w:rFonts w:hAnsi="宋体"/>
          <w:sz w:val="21"/>
          <w:szCs w:val="21"/>
        </w:rPr>
      </w:pPr>
      <w:r>
        <w:rPr>
          <w:rFonts w:hint="eastAsia" w:hAnsi="宋体"/>
          <w:sz w:val="21"/>
          <w:szCs w:val="21"/>
          <w:lang w:val="en-US" w:eastAsia="zh-CN"/>
        </w:rPr>
        <w:t>2</w:t>
      </w:r>
      <w:r>
        <w:rPr>
          <w:rFonts w:hint="eastAsia" w:hAnsi="宋体"/>
          <w:sz w:val="21"/>
          <w:szCs w:val="21"/>
        </w:rPr>
        <w:t xml:space="preserve">.4病毒发作导致不能进行正常操作的； </w:t>
      </w:r>
    </w:p>
    <w:p w14:paraId="77A6C770">
      <w:pPr>
        <w:pStyle w:val="6"/>
        <w:snapToGrid w:val="0"/>
        <w:spacing w:beforeLines="0" w:afterLines="0" w:line="360" w:lineRule="auto"/>
        <w:ind w:firstLine="420" w:firstLineChars="200"/>
        <w:rPr>
          <w:rFonts w:hAnsi="宋体"/>
          <w:sz w:val="21"/>
          <w:szCs w:val="21"/>
        </w:rPr>
      </w:pPr>
      <w:r>
        <w:rPr>
          <w:rFonts w:hint="eastAsia" w:hAnsi="宋体"/>
          <w:sz w:val="21"/>
          <w:szCs w:val="21"/>
          <w:lang w:val="en-US" w:eastAsia="zh-CN"/>
        </w:rPr>
        <w:t>2</w:t>
      </w:r>
      <w:r>
        <w:rPr>
          <w:rFonts w:hint="eastAsia" w:hAnsi="宋体"/>
          <w:sz w:val="21"/>
          <w:szCs w:val="21"/>
        </w:rPr>
        <w:t>.5其他无法保证电子交易的公平、公正和安全的情况。</w:t>
      </w:r>
    </w:p>
    <w:p w14:paraId="3798BC01">
      <w:pPr>
        <w:pStyle w:val="6"/>
        <w:snapToGrid w:val="0"/>
        <w:spacing w:beforeLines="0" w:afterLines="0" w:line="360" w:lineRule="auto"/>
        <w:ind w:firstLine="420" w:firstLineChars="200"/>
        <w:rPr>
          <w:rFonts w:hAnsi="宋体"/>
          <w:sz w:val="21"/>
          <w:szCs w:val="21"/>
        </w:rPr>
      </w:pPr>
      <w:r>
        <w:rPr>
          <w:rFonts w:hint="eastAsia" w:hAnsi="宋体"/>
          <w:sz w:val="21"/>
          <w:szCs w:val="21"/>
        </w:rPr>
        <w:t>出现前款规定情形，不影响招标公平、公正性的，招标人（或</w:t>
      </w:r>
      <w:r>
        <w:rPr>
          <w:rFonts w:hint="eastAsia" w:hAnsi="宋体"/>
          <w:sz w:val="21"/>
          <w:szCs w:val="21"/>
          <w:lang w:val="en-US" w:eastAsia="zh-CN"/>
        </w:rPr>
        <w:t>招标</w:t>
      </w:r>
      <w:r>
        <w:rPr>
          <w:rFonts w:hint="eastAsia" w:hAnsi="宋体"/>
          <w:sz w:val="21"/>
          <w:szCs w:val="21"/>
        </w:rPr>
        <w:t>代理机构）可以待上述情形消除后继续组织电子交易活动。</w:t>
      </w:r>
    </w:p>
    <w:p w14:paraId="6A9F9CFB">
      <w:pPr>
        <w:pStyle w:val="6"/>
        <w:snapToGrid w:val="0"/>
        <w:spacing w:beforeLines="0" w:afterLines="0" w:line="360" w:lineRule="auto"/>
        <w:rPr>
          <w:rFonts w:hAnsi="宋体"/>
          <w:b/>
          <w:sz w:val="21"/>
          <w:szCs w:val="21"/>
        </w:rPr>
      </w:pPr>
      <w:r>
        <w:rPr>
          <w:rFonts w:hint="eastAsia" w:hAnsi="宋体"/>
          <w:b/>
          <w:sz w:val="21"/>
          <w:szCs w:val="21"/>
        </w:rPr>
        <w:t>四、评标</w:t>
      </w:r>
    </w:p>
    <w:p w14:paraId="768B75A5">
      <w:pPr>
        <w:pStyle w:val="6"/>
        <w:snapToGrid w:val="0"/>
        <w:spacing w:beforeLines="0" w:afterLines="0" w:line="360" w:lineRule="auto"/>
        <w:ind w:left="690" w:leftChars="228" w:hanging="211" w:hangingChars="100"/>
        <w:rPr>
          <w:rFonts w:hAnsi="宋体"/>
          <w:b/>
          <w:sz w:val="21"/>
          <w:szCs w:val="21"/>
        </w:rPr>
      </w:pPr>
      <w:r>
        <w:rPr>
          <w:rFonts w:hint="eastAsia" w:hAnsi="宋体"/>
          <w:b/>
          <w:sz w:val="21"/>
          <w:szCs w:val="21"/>
        </w:rPr>
        <w:t>（一）组建评标委员会</w:t>
      </w:r>
    </w:p>
    <w:p w14:paraId="23967323">
      <w:pPr>
        <w:pStyle w:val="6"/>
        <w:snapToGrid w:val="0"/>
        <w:spacing w:beforeLines="0" w:afterLines="0" w:line="360" w:lineRule="auto"/>
        <w:ind w:firstLine="420" w:firstLineChars="200"/>
        <w:rPr>
          <w:rFonts w:hAnsi="宋体"/>
          <w:sz w:val="21"/>
          <w:szCs w:val="21"/>
        </w:rPr>
      </w:pPr>
      <w:r>
        <w:rPr>
          <w:rFonts w:hint="eastAsia" w:hAnsi="宋体"/>
          <w:sz w:val="21"/>
          <w:szCs w:val="21"/>
        </w:rPr>
        <w:t>本项目评标委员会按相关要求组建，评标委员会组成共5人。</w:t>
      </w:r>
    </w:p>
    <w:p w14:paraId="07D44987">
      <w:pPr>
        <w:pStyle w:val="6"/>
        <w:snapToGrid w:val="0"/>
        <w:spacing w:beforeLines="0" w:afterLines="0" w:line="360" w:lineRule="auto"/>
        <w:ind w:left="690" w:leftChars="228" w:hanging="211" w:hangingChars="100"/>
        <w:rPr>
          <w:rFonts w:hAnsi="宋体"/>
          <w:b/>
          <w:sz w:val="21"/>
          <w:szCs w:val="21"/>
        </w:rPr>
      </w:pPr>
      <w:r>
        <w:rPr>
          <w:rFonts w:hint="eastAsia" w:hAnsi="宋体"/>
          <w:b/>
          <w:sz w:val="21"/>
          <w:szCs w:val="21"/>
        </w:rPr>
        <w:t>（二）</w:t>
      </w:r>
      <w:r>
        <w:rPr>
          <w:rFonts w:hint="eastAsia" w:hAnsi="宋体"/>
          <w:b/>
          <w:bCs/>
          <w:sz w:val="21"/>
          <w:szCs w:val="21"/>
        </w:rPr>
        <w:t>评标程序</w:t>
      </w:r>
    </w:p>
    <w:p w14:paraId="531A44AC">
      <w:pPr>
        <w:snapToGrid w:val="0"/>
        <w:spacing w:line="360" w:lineRule="auto"/>
        <w:ind w:firstLine="420" w:firstLineChars="200"/>
        <w:rPr>
          <w:rFonts w:ascii="宋体" w:hAnsi="宋体"/>
          <w:b/>
          <w:szCs w:val="21"/>
        </w:rPr>
      </w:pPr>
      <w:r>
        <w:rPr>
          <w:rFonts w:hint="eastAsia" w:ascii="宋体" w:hAnsi="宋体"/>
          <w:szCs w:val="21"/>
        </w:rPr>
        <w:t>1.</w:t>
      </w:r>
      <w:r>
        <w:rPr>
          <w:rFonts w:hint="eastAsia" w:ascii="宋体" w:hAnsi="宋体"/>
          <w:szCs w:val="21"/>
          <w:lang w:val="en-US" w:eastAsia="zh-CN"/>
        </w:rPr>
        <w:t>招标</w:t>
      </w:r>
      <w:r>
        <w:rPr>
          <w:rFonts w:hint="eastAsia" w:ascii="宋体" w:hAnsi="宋体"/>
          <w:bCs/>
          <w:szCs w:val="21"/>
        </w:rPr>
        <w:t>代理机构</w:t>
      </w:r>
      <w:r>
        <w:rPr>
          <w:rFonts w:hint="eastAsia" w:ascii="宋体" w:hAnsi="宋体"/>
          <w:szCs w:val="21"/>
        </w:rPr>
        <w:t>工作人员协助评标委员会对投标人的资格和投标文件的完整性、合法性等进行审查。</w:t>
      </w:r>
    </w:p>
    <w:p w14:paraId="1C43111F">
      <w:pPr>
        <w:snapToGrid w:val="0"/>
        <w:spacing w:line="360" w:lineRule="auto"/>
        <w:ind w:firstLine="420" w:firstLineChars="200"/>
        <w:rPr>
          <w:rFonts w:ascii="宋体" w:hAnsi="宋体"/>
          <w:szCs w:val="21"/>
        </w:rPr>
      </w:pPr>
      <w:r>
        <w:rPr>
          <w:rFonts w:hint="eastAsia" w:ascii="宋体" w:hAnsi="宋体"/>
          <w:szCs w:val="21"/>
        </w:rPr>
        <w:t>2.评标委员会审查投标文件的实质性内容是否符合招标文件的实质性要求。</w:t>
      </w:r>
    </w:p>
    <w:p w14:paraId="1A09214B">
      <w:pPr>
        <w:snapToGrid w:val="0"/>
        <w:spacing w:line="360" w:lineRule="auto"/>
        <w:ind w:firstLine="420" w:firstLineChars="200"/>
        <w:rPr>
          <w:rFonts w:ascii="宋体" w:hAnsi="宋体"/>
          <w:szCs w:val="21"/>
        </w:rPr>
      </w:pPr>
      <w:r>
        <w:rPr>
          <w:rFonts w:hint="eastAsia" w:ascii="宋体" w:hAnsi="宋体"/>
          <w:szCs w:val="21"/>
        </w:rPr>
        <w:t>3.评标委员会将根据投标人的投标文件进行审查、核对,如有疑问,将对投标人进行询标,投标人要向评标委员会澄清有关问题。</w:t>
      </w:r>
    </w:p>
    <w:p w14:paraId="72452DA6">
      <w:pPr>
        <w:snapToGrid w:val="0"/>
        <w:spacing w:line="360" w:lineRule="auto"/>
        <w:ind w:firstLine="420" w:firstLineChars="200"/>
        <w:rPr>
          <w:rFonts w:ascii="宋体" w:hAnsi="宋体"/>
          <w:szCs w:val="21"/>
        </w:rPr>
      </w:pPr>
      <w:r>
        <w:rPr>
          <w:rFonts w:hint="eastAsia" w:ascii="宋体" w:hAnsi="宋体"/>
          <w:szCs w:val="21"/>
        </w:rPr>
        <w:t>4.评标委员会完成评标后,评标委员会按评标原则推荐中标候选人同时编制评标报告。</w:t>
      </w:r>
    </w:p>
    <w:p w14:paraId="712AC957">
      <w:pPr>
        <w:snapToGrid w:val="0"/>
        <w:spacing w:line="360" w:lineRule="auto"/>
        <w:ind w:firstLine="420" w:firstLineChars="200"/>
        <w:rPr>
          <w:rFonts w:ascii="宋体" w:hAnsi="宋体"/>
          <w:szCs w:val="21"/>
        </w:rPr>
      </w:pPr>
      <w:r>
        <w:rPr>
          <w:rFonts w:hint="eastAsia" w:ascii="宋体" w:hAnsi="宋体"/>
          <w:szCs w:val="21"/>
        </w:rPr>
        <w:t>5.全权代表未到场或者拒绝澄清或者澄清的内容改变了投标文件的实质性内容的，评标委员会有权对该投标文件作出不利于投标人的评判。</w:t>
      </w:r>
    </w:p>
    <w:p w14:paraId="0C655A13">
      <w:pPr>
        <w:pStyle w:val="6"/>
        <w:tabs>
          <w:tab w:val="left" w:pos="630"/>
        </w:tabs>
        <w:snapToGrid w:val="0"/>
        <w:spacing w:beforeLines="0" w:afterLines="0" w:line="360" w:lineRule="auto"/>
        <w:ind w:firstLine="413" w:firstLineChars="196"/>
        <w:rPr>
          <w:rFonts w:hAnsi="宋体"/>
          <w:b/>
          <w:sz w:val="21"/>
          <w:szCs w:val="21"/>
        </w:rPr>
      </w:pPr>
      <w:r>
        <w:rPr>
          <w:rFonts w:hint="eastAsia" w:hAnsi="宋体"/>
          <w:b/>
          <w:sz w:val="21"/>
          <w:szCs w:val="21"/>
        </w:rPr>
        <w:t>（三）评标原则</w:t>
      </w:r>
    </w:p>
    <w:p w14:paraId="69691FAE">
      <w:pPr>
        <w:pStyle w:val="6"/>
        <w:snapToGrid w:val="0"/>
        <w:spacing w:beforeLines="0" w:afterLines="0" w:line="360" w:lineRule="auto"/>
        <w:ind w:firstLine="420" w:firstLineChars="200"/>
        <w:rPr>
          <w:rFonts w:hAnsi="宋体"/>
          <w:sz w:val="21"/>
          <w:szCs w:val="21"/>
        </w:rPr>
      </w:pPr>
      <w:r>
        <w:rPr>
          <w:rFonts w:hint="eastAsia" w:hAnsi="宋体"/>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71D90295">
      <w:pPr>
        <w:pStyle w:val="6"/>
        <w:snapToGrid w:val="0"/>
        <w:spacing w:beforeLines="0" w:afterLines="0" w:line="380" w:lineRule="exact"/>
        <w:outlineLvl w:val="1"/>
        <w:rPr>
          <w:rFonts w:hAnsi="宋体"/>
          <w:b/>
          <w:sz w:val="21"/>
          <w:szCs w:val="21"/>
        </w:rPr>
      </w:pPr>
      <w:bookmarkStart w:id="13" w:name="_Toc511230467"/>
      <w:r>
        <w:rPr>
          <w:rFonts w:hint="eastAsia" w:hAnsi="宋体"/>
          <w:b/>
          <w:sz w:val="21"/>
          <w:szCs w:val="21"/>
        </w:rPr>
        <w:t>五、定标</w:t>
      </w:r>
      <w:bookmarkEnd w:id="13"/>
    </w:p>
    <w:p w14:paraId="55A587B6">
      <w:pPr>
        <w:pStyle w:val="6"/>
        <w:snapToGrid w:val="0"/>
        <w:spacing w:beforeLines="0" w:afterLines="0" w:line="380" w:lineRule="exact"/>
        <w:ind w:firstLine="411" w:firstLineChars="196"/>
        <w:rPr>
          <w:rFonts w:hAnsi="宋体"/>
          <w:sz w:val="21"/>
          <w:szCs w:val="21"/>
        </w:rPr>
      </w:pPr>
      <w:r>
        <w:rPr>
          <w:rFonts w:hint="eastAsia" w:hAnsi="宋体"/>
          <w:sz w:val="21"/>
          <w:szCs w:val="21"/>
        </w:rPr>
        <w:t>1.本项目由评标委员会根据</w:t>
      </w:r>
      <w:r>
        <w:rPr>
          <w:rFonts w:hint="eastAsia" w:hAnsi="宋体"/>
          <w:b/>
          <w:bCs/>
          <w:sz w:val="21"/>
          <w:szCs w:val="21"/>
        </w:rPr>
        <w:t>“第四章评标办法及评分标准”</w:t>
      </w:r>
      <w:r>
        <w:rPr>
          <w:rFonts w:hint="eastAsia" w:hAnsi="宋体"/>
          <w:sz w:val="21"/>
          <w:szCs w:val="21"/>
        </w:rPr>
        <w:t>规定推荐中标人，招标结果由招标人代表签字确认。</w:t>
      </w:r>
    </w:p>
    <w:p w14:paraId="690F06FD">
      <w:pPr>
        <w:spacing w:line="380" w:lineRule="exact"/>
        <w:ind w:firstLine="420" w:firstLineChars="200"/>
        <w:jc w:val="left"/>
        <w:rPr>
          <w:rFonts w:ascii="宋体" w:hAnsi="宋体"/>
          <w:szCs w:val="21"/>
        </w:rPr>
      </w:pPr>
      <w:r>
        <w:rPr>
          <w:rFonts w:hint="eastAsia" w:ascii="宋体" w:hAnsi="宋体"/>
          <w:szCs w:val="21"/>
        </w:rPr>
        <w:t>2.招标结果经招标人确认后，招标代理机构将在浙江政府采购网、</w:t>
      </w:r>
      <w:r>
        <w:rPr>
          <w:rFonts w:hint="eastAsia" w:ascii="宋体" w:hAnsi="宋体"/>
          <w:szCs w:val="21"/>
          <w:lang w:eastAsia="zh-CN"/>
        </w:rPr>
        <w:t>宁波市公共资源交易电子服务系统</w:t>
      </w:r>
      <w:r>
        <w:rPr>
          <w:rFonts w:hint="eastAsia" w:ascii="宋体" w:hAnsi="宋体"/>
          <w:szCs w:val="21"/>
        </w:rPr>
        <w:t>上发布中标公告，并向中标方签发书面《中标通知书》。中标方自行与招标人联系协议签订事宜。</w:t>
      </w:r>
    </w:p>
    <w:p w14:paraId="5E3BF4D7">
      <w:pPr>
        <w:pStyle w:val="6"/>
        <w:snapToGrid w:val="0"/>
        <w:spacing w:beforeLines="0" w:afterLines="0" w:line="380" w:lineRule="exact"/>
        <w:outlineLvl w:val="1"/>
        <w:rPr>
          <w:rFonts w:hAnsi="宋体"/>
          <w:b/>
          <w:sz w:val="21"/>
          <w:szCs w:val="21"/>
        </w:rPr>
      </w:pPr>
      <w:r>
        <w:rPr>
          <w:rFonts w:hint="eastAsia" w:hAnsi="宋体"/>
          <w:b/>
          <w:sz w:val="21"/>
          <w:szCs w:val="21"/>
        </w:rPr>
        <w:t>六、投标的澄清</w:t>
      </w:r>
    </w:p>
    <w:p w14:paraId="7E4450DD">
      <w:pPr>
        <w:spacing w:line="380" w:lineRule="exact"/>
        <w:ind w:firstLine="420" w:firstLineChars="200"/>
        <w:rPr>
          <w:rFonts w:ascii="宋体" w:hAnsi="宋体" w:cs="宋体"/>
        </w:rPr>
      </w:pPr>
      <w:r>
        <w:rPr>
          <w:rFonts w:hint="eastAsia" w:ascii="宋体" w:hAnsi="宋体" w:cs="宋体"/>
        </w:rPr>
        <w:t>1.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7568623A">
      <w:pPr>
        <w:spacing w:line="380" w:lineRule="exact"/>
        <w:ind w:firstLine="420" w:firstLineChars="200"/>
        <w:rPr>
          <w:rFonts w:ascii="宋体" w:hAnsi="宋体" w:cs="宋体"/>
        </w:rPr>
      </w:pPr>
      <w:r>
        <w:rPr>
          <w:rFonts w:hint="eastAsia" w:ascii="宋体" w:hAnsi="宋体" w:cs="宋体"/>
        </w:rPr>
        <w:t>2.政采云具体操作如下：</w:t>
      </w:r>
    </w:p>
    <w:p w14:paraId="1C4A4F02">
      <w:pPr>
        <w:spacing w:line="380" w:lineRule="exact"/>
        <w:ind w:firstLine="420" w:firstLineChars="200"/>
        <w:rPr>
          <w:rFonts w:ascii="宋体" w:hAnsi="宋体" w:cs="宋体"/>
        </w:rPr>
      </w:pPr>
      <w:r>
        <w:rPr>
          <w:rFonts w:hint="eastAsia" w:ascii="宋体" w:hAnsi="宋体" w:cs="宋体"/>
        </w:rPr>
        <w:t>在评审过程中，如评标委员会对投标文件有疑问，由评标委员会组长将问题汇总后发函，或由招标代理机构代替发起。投标人在截止时间前，予以回复。此回复将作为投标文件内容的一部分，具有相应的法律效力。</w:t>
      </w:r>
    </w:p>
    <w:p w14:paraId="06C75AA2">
      <w:pPr>
        <w:spacing w:line="380" w:lineRule="exact"/>
        <w:ind w:firstLine="420" w:firstLineChars="200"/>
        <w:rPr>
          <w:rFonts w:ascii="宋体" w:hAnsi="宋体" w:cs="宋体"/>
        </w:rPr>
      </w:pPr>
      <w:r>
        <w:rPr>
          <w:rFonts w:hint="eastAsia" w:ascii="宋体" w:hAnsi="宋体" w:cs="宋体"/>
        </w:rPr>
        <w:t>路径：用户中心—项目采购—询标澄清</w:t>
      </w:r>
    </w:p>
    <w:p w14:paraId="397B11CD">
      <w:pPr>
        <w:spacing w:line="380" w:lineRule="exact"/>
        <w:ind w:firstLine="420" w:firstLineChars="200"/>
        <w:rPr>
          <w:rFonts w:ascii="宋体" w:hAnsi="宋体" w:cs="宋体"/>
        </w:rPr>
      </w:pPr>
      <w:r>
        <w:rPr>
          <w:rFonts w:hint="eastAsia" w:ascii="宋体" w:hAnsi="宋体" w:cs="宋体"/>
        </w:rPr>
        <w:t>（1）政采云平台通过待办事项和短信提醒投标人在截止时间前完成澄清。</w:t>
      </w:r>
    </w:p>
    <w:p w14:paraId="76441D1C">
      <w:pPr>
        <w:spacing w:line="380" w:lineRule="exact"/>
        <w:ind w:firstLine="420" w:firstLineChars="200"/>
        <w:rPr>
          <w:rFonts w:ascii="宋体" w:hAnsi="宋体" w:cs="宋体"/>
        </w:rPr>
      </w:pPr>
      <w:r>
        <w:rPr>
          <w:rFonts w:hint="eastAsia" w:ascii="宋体" w:hAnsi="宋体" w:cs="宋体"/>
        </w:rPr>
        <w:t>（2）投标人在“询标澄清-待办理”标签页下选择状态为“待澄清”的项目，点击操作栏【澄清】。</w:t>
      </w:r>
    </w:p>
    <w:p w14:paraId="0FE4FE87">
      <w:pPr>
        <w:spacing w:line="380" w:lineRule="exact"/>
        <w:ind w:firstLine="420" w:firstLineChars="200"/>
        <w:rPr>
          <w:rFonts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36A58B5C">
      <w:pPr>
        <w:spacing w:line="380" w:lineRule="exact"/>
        <w:ind w:firstLine="420" w:firstLineChars="200"/>
        <w:rPr>
          <w:rFonts w:ascii="宋体" w:hAnsi="宋体" w:cs="宋体"/>
        </w:rPr>
      </w:pPr>
      <w:r>
        <w:rPr>
          <w:rFonts w:hint="eastAsia" w:ascii="宋体" w:hAnsi="宋体" w:cs="宋体"/>
        </w:rPr>
        <w:t>（4）签章完成，文件名称处显示“已签章”，投标人可“撤回签章”修改澄清函和“查看文件”。</w:t>
      </w:r>
    </w:p>
    <w:p w14:paraId="320612BA">
      <w:pPr>
        <w:spacing w:line="380" w:lineRule="exact"/>
        <w:ind w:firstLine="420" w:firstLineChars="200"/>
        <w:rPr>
          <w:rFonts w:ascii="宋体" w:hAnsi="宋体" w:cs="宋体"/>
        </w:rPr>
      </w:pPr>
      <w:r>
        <w:rPr>
          <w:rFonts w:hint="eastAsia" w:ascii="宋体" w:hAnsi="宋体" w:cs="宋体"/>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14:paraId="5AAE994E">
      <w:pPr>
        <w:spacing w:line="380" w:lineRule="exact"/>
        <w:ind w:firstLine="420" w:firstLineChars="200"/>
        <w:rPr>
          <w:rFonts w:ascii="宋体" w:hAnsi="宋体" w:cs="宋体"/>
        </w:rPr>
      </w:pPr>
      <w:r>
        <w:rPr>
          <w:rFonts w:hint="eastAsia" w:ascii="宋体" w:hAnsi="宋体" w:cs="宋体"/>
        </w:rPr>
        <w:t>（6）完成状态：投标人澄清文件提交成功后，在“询标澄清-全部”标签页下显示状态为“已澄清”。</w:t>
      </w:r>
    </w:p>
    <w:p w14:paraId="0B8544E5">
      <w:pPr>
        <w:spacing w:line="380" w:lineRule="exact"/>
        <w:ind w:firstLine="420" w:firstLineChars="200"/>
        <w:rPr>
          <w:rFonts w:ascii="宋体" w:hAnsi="宋体" w:cs="宋体"/>
        </w:rPr>
      </w:pPr>
      <w:r>
        <w:rPr>
          <w:rFonts w:hint="eastAsia" w:ascii="宋体" w:hAnsi="宋体" w:cs="宋体"/>
        </w:rPr>
        <w:t>3.开标现场，投标人安排法定代表人或授权代表到场的，则由评标委员会组长将问题汇总后向投标人发出书面“招标响应文件问题澄清通知”，投标人应对需要澄清的问题作书面回答，该书面澄清应当由投标人的法定代表人或授权代表签字或者加盖投标人公章。书面澄清将作为投标文件内容的一部分，具有相应的法律效力。</w:t>
      </w:r>
    </w:p>
    <w:p w14:paraId="4993C166">
      <w:pPr>
        <w:spacing w:line="380" w:lineRule="exact"/>
        <w:ind w:firstLine="420" w:firstLineChars="200"/>
        <w:rPr>
          <w:rFonts w:ascii="宋体" w:hAnsi="宋体" w:cs="宋体"/>
        </w:rPr>
      </w:pPr>
      <w:r>
        <w:rPr>
          <w:rFonts w:hint="eastAsia" w:ascii="宋体" w:hAnsi="宋体" w:cs="宋体"/>
        </w:rPr>
        <w:t>4.投标人未在截止时间前完成澄清，将被视作自动放弃。</w:t>
      </w:r>
    </w:p>
    <w:p w14:paraId="6791BDD7">
      <w:pPr>
        <w:pStyle w:val="6"/>
        <w:snapToGrid w:val="0"/>
        <w:spacing w:beforeLines="0" w:afterLines="0" w:line="360" w:lineRule="auto"/>
        <w:jc w:val="center"/>
        <w:outlineLvl w:val="0"/>
        <w:rPr>
          <w:rFonts w:hAnsi="宋体"/>
          <w:sz w:val="28"/>
          <w:szCs w:val="28"/>
        </w:rPr>
      </w:pPr>
      <w:r>
        <w:rPr>
          <w:rFonts w:hAnsi="宋体"/>
          <w:sz w:val="21"/>
          <w:szCs w:val="21"/>
        </w:rPr>
        <w:br w:type="page"/>
      </w:r>
      <w:bookmarkStart w:id="14" w:name="_Toc12279"/>
      <w:r>
        <w:rPr>
          <w:rFonts w:hint="eastAsia" w:hAnsi="宋体"/>
          <w:b/>
          <w:sz w:val="30"/>
          <w:szCs w:val="30"/>
        </w:rPr>
        <w:t>第四章  评标办法及评分标准</w:t>
      </w:r>
      <w:bookmarkEnd w:id="14"/>
    </w:p>
    <w:p w14:paraId="38D62A94">
      <w:pPr>
        <w:spacing w:line="360" w:lineRule="auto"/>
        <w:rPr>
          <w:rFonts w:ascii="宋体" w:hAnsi="宋体"/>
          <w:b/>
          <w:szCs w:val="21"/>
        </w:rPr>
      </w:pPr>
      <w:r>
        <w:rPr>
          <w:rFonts w:hint="eastAsia" w:ascii="宋体" w:hAnsi="宋体"/>
          <w:b/>
          <w:szCs w:val="21"/>
        </w:rPr>
        <w:t>一、评标办法</w:t>
      </w:r>
    </w:p>
    <w:p w14:paraId="20A1E2D1">
      <w:pPr>
        <w:spacing w:line="360" w:lineRule="auto"/>
        <w:ind w:firstLine="420" w:firstLineChars="200"/>
        <w:rPr>
          <w:rFonts w:ascii="宋体" w:hAnsi="宋体"/>
          <w:szCs w:val="21"/>
        </w:rPr>
      </w:pPr>
      <w:r>
        <w:rPr>
          <w:rFonts w:hint="eastAsia" w:ascii="宋体" w:hAnsi="宋体"/>
          <w:szCs w:val="21"/>
        </w:rPr>
        <w:t>本项目采用综合评分法。即在满足招标文件实质性要求前提下，按照招标文件中规定的各项因素进行综合评审后，按综合得分自高向低次序排出评标结果排序。</w:t>
      </w:r>
    </w:p>
    <w:p w14:paraId="64F1F071">
      <w:pPr>
        <w:spacing w:line="360" w:lineRule="auto"/>
        <w:ind w:firstLine="420" w:firstLineChars="200"/>
        <w:rPr>
          <w:rFonts w:ascii="宋体" w:hAnsi="宋体"/>
          <w:szCs w:val="21"/>
        </w:rPr>
      </w:pPr>
      <w:r>
        <w:rPr>
          <w:rFonts w:hint="eastAsia" w:ascii="宋体" w:hAnsi="宋体"/>
          <w:szCs w:val="21"/>
        </w:rPr>
        <w:t>综合评分的各项因素详见：评标细则（兼评委打分表）。</w:t>
      </w:r>
    </w:p>
    <w:p w14:paraId="696A6257">
      <w:pPr>
        <w:spacing w:line="360" w:lineRule="auto"/>
        <w:ind w:firstLine="420" w:firstLineChars="200"/>
        <w:rPr>
          <w:rFonts w:ascii="宋体" w:hAnsi="宋体"/>
          <w:szCs w:val="21"/>
        </w:rPr>
      </w:pPr>
      <w:r>
        <w:rPr>
          <w:rFonts w:hint="eastAsia" w:ascii="宋体" w:hAnsi="宋体"/>
          <w:szCs w:val="21"/>
        </w:rPr>
        <w:t>①评标委员会根据“评标细则（兼评委打分表）”对各投标人的“利率水平”、“经济贡献度”、“经营状况”、“服务水平”逐栏打分，每栏分值不得超出本栏规定的分值范围。</w:t>
      </w:r>
    </w:p>
    <w:p w14:paraId="62AC88DD">
      <w:pPr>
        <w:spacing w:line="360" w:lineRule="auto"/>
        <w:ind w:firstLine="420" w:firstLineChars="200"/>
        <w:rPr>
          <w:rFonts w:ascii="宋体" w:hAnsi="宋体"/>
          <w:szCs w:val="21"/>
        </w:rPr>
      </w:pPr>
      <w:r>
        <w:rPr>
          <w:rFonts w:hint="eastAsia" w:ascii="宋体" w:hAnsi="宋体"/>
          <w:szCs w:val="21"/>
        </w:rPr>
        <w:t>②评标委员会各成员对各投标人的“服务水平”项除“2.费用减免</w:t>
      </w:r>
      <w:r>
        <w:rPr>
          <w:rFonts w:ascii="宋体" w:hAnsi="宋体"/>
          <w:szCs w:val="21"/>
        </w:rPr>
        <w:t>”</w:t>
      </w:r>
      <w:r>
        <w:rPr>
          <w:rFonts w:hint="eastAsia" w:ascii="宋体" w:hAnsi="宋体"/>
          <w:szCs w:val="21"/>
        </w:rPr>
        <w:t>项进行共同评审计分外，“1.服务方案”项由评委独立打分，无固定进制，最多保留两位小数，第三位四舍五入。</w:t>
      </w:r>
    </w:p>
    <w:p w14:paraId="0B5E0EBC">
      <w:pPr>
        <w:spacing w:line="360" w:lineRule="auto"/>
        <w:ind w:firstLine="420" w:firstLineChars="200"/>
        <w:rPr>
          <w:rFonts w:ascii="宋体" w:hAnsi="宋体"/>
          <w:szCs w:val="21"/>
        </w:rPr>
      </w:pPr>
      <w:r>
        <w:rPr>
          <w:rFonts w:hint="eastAsia" w:ascii="宋体" w:hAnsi="宋体"/>
          <w:szCs w:val="21"/>
        </w:rPr>
        <w:t>③各投标人的综合得分为：“利率水平”、“经济贡献度”、“经营状况”、“服务水平”各项得分之和。</w:t>
      </w:r>
    </w:p>
    <w:p w14:paraId="7D05998D">
      <w:pPr>
        <w:spacing w:line="360" w:lineRule="auto"/>
        <w:ind w:firstLine="420" w:firstLineChars="200"/>
        <w:rPr>
          <w:rFonts w:ascii="宋体" w:hAnsi="宋体"/>
          <w:szCs w:val="21"/>
        </w:rPr>
      </w:pPr>
      <w:r>
        <w:rPr>
          <w:rFonts w:hint="eastAsia" w:ascii="宋体" w:hAnsi="宋体"/>
          <w:szCs w:val="21"/>
        </w:rPr>
        <w:t>④当出现综合得分相同时，按以下评审得分项顺序的得分高低确定中标资格排列顺序：按“利率水平”、“经济贡献度”、“经营状况”、“服务水平”项以及随机原则抽签顺序确定。具体为：</w:t>
      </w:r>
    </w:p>
    <w:p w14:paraId="27A4C6A6">
      <w:pPr>
        <w:spacing w:line="360" w:lineRule="auto"/>
        <w:ind w:firstLine="420" w:firstLineChars="200"/>
        <w:rPr>
          <w:rFonts w:ascii="宋体" w:hAnsi="宋体"/>
          <w:szCs w:val="21"/>
        </w:rPr>
      </w:pPr>
      <w:r>
        <w:rPr>
          <w:rFonts w:hint="eastAsia" w:ascii="宋体" w:hAnsi="宋体"/>
          <w:szCs w:val="21"/>
        </w:rPr>
        <w:t>a、有综合得分相同时，按“利率水平”项的评审得分决定排列顺序，“利率水平”项的评审得分高的排列在前。</w:t>
      </w:r>
    </w:p>
    <w:p w14:paraId="7157E38F">
      <w:pPr>
        <w:spacing w:line="360" w:lineRule="auto"/>
        <w:ind w:firstLine="420" w:firstLineChars="200"/>
        <w:rPr>
          <w:rFonts w:ascii="宋体" w:hAnsi="宋体"/>
          <w:szCs w:val="21"/>
        </w:rPr>
      </w:pPr>
      <w:r>
        <w:rPr>
          <w:rFonts w:hint="eastAsia" w:ascii="宋体" w:hAnsi="宋体"/>
          <w:szCs w:val="21"/>
        </w:rPr>
        <w:t>b、当“利率水平”项的评审得分相同的，按“经济贡献度”项的评审得分决定排列顺序，“经济贡献度”项的评审得分高的排列在前。</w:t>
      </w:r>
    </w:p>
    <w:p w14:paraId="0BDDDD7F">
      <w:pPr>
        <w:spacing w:line="360" w:lineRule="auto"/>
        <w:ind w:firstLine="420" w:firstLineChars="200"/>
        <w:rPr>
          <w:rFonts w:ascii="宋体" w:hAnsi="宋体"/>
          <w:szCs w:val="21"/>
        </w:rPr>
      </w:pPr>
      <w:r>
        <w:rPr>
          <w:rFonts w:hint="eastAsia" w:ascii="宋体" w:hAnsi="宋体"/>
          <w:szCs w:val="21"/>
        </w:rPr>
        <w:t>c、当“经济贡献度”项的评审得分也相同的，按“经营状况”项的评审得分决定排列顺序，“经营状况”项的评审得分高的排列在前。</w:t>
      </w:r>
    </w:p>
    <w:p w14:paraId="5D337C28">
      <w:pPr>
        <w:spacing w:line="360" w:lineRule="auto"/>
        <w:ind w:firstLine="420" w:firstLineChars="200"/>
        <w:rPr>
          <w:rFonts w:ascii="宋体" w:hAnsi="宋体"/>
          <w:szCs w:val="21"/>
        </w:rPr>
      </w:pPr>
      <w:r>
        <w:rPr>
          <w:rFonts w:hint="eastAsia" w:ascii="宋体" w:hAnsi="宋体"/>
          <w:szCs w:val="21"/>
        </w:rPr>
        <w:t>d、当“经营状况”项的评审得分也相同的，按“服务水平”项的评审得分决定排列顺序，“服务水平”项的评审得分高的排列在前。</w:t>
      </w:r>
    </w:p>
    <w:p w14:paraId="572E5004">
      <w:pPr>
        <w:spacing w:line="360" w:lineRule="auto"/>
        <w:ind w:firstLine="420" w:firstLineChars="200"/>
        <w:rPr>
          <w:rFonts w:ascii="宋体" w:hAnsi="宋体"/>
          <w:szCs w:val="21"/>
        </w:rPr>
      </w:pPr>
      <w:r>
        <w:rPr>
          <w:rFonts w:hint="eastAsia" w:ascii="宋体" w:hAnsi="宋体"/>
          <w:szCs w:val="21"/>
        </w:rPr>
        <w:t>e、当“服务水平”项的评审得分也相同的，由招标人代表随机抽签确定排列顺序，先抽中的排列在前，以此类推。</w:t>
      </w:r>
    </w:p>
    <w:p w14:paraId="2FB2C9B9">
      <w:pPr>
        <w:spacing w:line="360" w:lineRule="auto"/>
        <w:ind w:firstLine="420" w:firstLineChars="200"/>
        <w:rPr>
          <w:rFonts w:ascii="宋体" w:hAnsi="宋体"/>
          <w:szCs w:val="21"/>
        </w:rPr>
      </w:pPr>
      <w:r>
        <w:rPr>
          <w:rFonts w:hint="eastAsia" w:ascii="宋体" w:hAnsi="宋体"/>
          <w:szCs w:val="21"/>
        </w:rPr>
        <w:t>⑤评标委员会按综合得分从高到低排列，推荐排名</w:t>
      </w:r>
      <w:r>
        <w:rPr>
          <w:rFonts w:hint="eastAsia" w:ascii="宋体" w:hAnsi="宋体"/>
          <w:szCs w:val="21"/>
          <w:lang w:val="en-US" w:eastAsia="zh-CN"/>
        </w:rPr>
        <w:t>第一</w:t>
      </w:r>
      <w:r>
        <w:rPr>
          <w:rFonts w:hint="eastAsia" w:ascii="宋体" w:hAnsi="宋体"/>
          <w:szCs w:val="21"/>
        </w:rPr>
        <w:t>的投标人为本项目的中标候选人。</w:t>
      </w:r>
    </w:p>
    <w:p w14:paraId="627DA6B1">
      <w:pPr>
        <w:spacing w:line="360" w:lineRule="auto"/>
        <w:rPr>
          <w:rFonts w:ascii="宋体" w:hAnsi="宋体"/>
          <w:b/>
          <w:szCs w:val="21"/>
        </w:rPr>
      </w:pPr>
      <w:r>
        <w:rPr>
          <w:rFonts w:hint="eastAsia" w:ascii="宋体" w:hAnsi="宋体"/>
          <w:b/>
          <w:szCs w:val="21"/>
        </w:rPr>
        <w:t>二、评标原则</w:t>
      </w:r>
    </w:p>
    <w:p w14:paraId="73335F0F">
      <w:pPr>
        <w:spacing w:line="360" w:lineRule="auto"/>
        <w:ind w:firstLine="420" w:firstLineChars="200"/>
        <w:rPr>
          <w:rFonts w:ascii="宋体" w:hAnsi="宋体"/>
          <w:szCs w:val="21"/>
        </w:rPr>
      </w:pPr>
      <w:r>
        <w:rPr>
          <w:rFonts w:hint="eastAsia" w:ascii="宋体" w:hAnsi="宋体"/>
          <w:szCs w:val="21"/>
        </w:rPr>
        <w:t>1.评标委员会将遵循公开、公平、公正的原则，由评委按照“评标细则（兼评委打分表）”记名并独立打分，推荐评标结果排序</w:t>
      </w:r>
      <w:r>
        <w:rPr>
          <w:rFonts w:hint="eastAsia" w:ascii="宋体" w:hAnsi="宋体"/>
          <w:szCs w:val="21"/>
          <w:lang w:val="en-US" w:eastAsia="zh-CN"/>
        </w:rPr>
        <w:t>第一</w:t>
      </w:r>
      <w:r>
        <w:rPr>
          <w:rFonts w:hint="eastAsia" w:ascii="宋体" w:hAnsi="宋体"/>
          <w:szCs w:val="21"/>
        </w:rPr>
        <w:t>名的投标人为中标候选人。</w:t>
      </w:r>
    </w:p>
    <w:p w14:paraId="4CD019E7">
      <w:pPr>
        <w:spacing w:line="360" w:lineRule="auto"/>
        <w:ind w:firstLine="420" w:firstLineChars="200"/>
        <w:rPr>
          <w:rFonts w:ascii="宋体" w:hAnsi="宋体"/>
          <w:szCs w:val="21"/>
        </w:rPr>
      </w:pPr>
      <w:r>
        <w:rPr>
          <w:rFonts w:hint="eastAsia" w:ascii="宋体" w:hAnsi="宋体"/>
          <w:szCs w:val="21"/>
        </w:rPr>
        <w:t>2.客观、公正的对待所有投标人，对所有投标评价，均采用相同的程序和标准。</w:t>
      </w:r>
    </w:p>
    <w:p w14:paraId="6DCE1258">
      <w:pPr>
        <w:spacing w:line="360" w:lineRule="auto"/>
        <w:ind w:firstLine="420" w:firstLineChars="200"/>
        <w:rPr>
          <w:rFonts w:ascii="宋体" w:hAnsi="宋体"/>
          <w:szCs w:val="21"/>
        </w:rPr>
      </w:pPr>
      <w:r>
        <w:rPr>
          <w:rFonts w:hint="eastAsia" w:ascii="宋体" w:hAnsi="宋体"/>
          <w:szCs w:val="21"/>
        </w:rPr>
        <w:t>3.在开标、投标期间，投标人不得向评标委员会成员询问评标情况，不得进行旨在影响评标结果的活动，否则将废除其投标资格，并不予退还其投标保证金。</w:t>
      </w:r>
    </w:p>
    <w:p w14:paraId="0C7E9A1C">
      <w:pPr>
        <w:spacing w:line="360" w:lineRule="auto"/>
        <w:ind w:firstLine="420" w:firstLineChars="200"/>
        <w:rPr>
          <w:rFonts w:ascii="宋体" w:hAnsi="宋体"/>
          <w:szCs w:val="21"/>
        </w:rPr>
      </w:pPr>
      <w:r>
        <w:rPr>
          <w:rFonts w:hint="eastAsia" w:ascii="宋体" w:hAnsi="宋体"/>
          <w:szCs w:val="21"/>
        </w:rPr>
        <w:t>4.在评标过程中，评标成员不得与投标人私下交换意见，在招标工作结束后，凡与评标情况有接触的人不得将评标情况扩散出评标成员之外。</w:t>
      </w:r>
    </w:p>
    <w:p w14:paraId="07AFEB51">
      <w:pPr>
        <w:spacing w:line="360" w:lineRule="auto"/>
        <w:ind w:firstLine="420" w:firstLineChars="200"/>
        <w:rPr>
          <w:rFonts w:ascii="宋体" w:hAnsi="宋体"/>
          <w:szCs w:val="21"/>
        </w:rPr>
      </w:pPr>
      <w:r>
        <w:rPr>
          <w:rFonts w:hint="eastAsia" w:ascii="宋体" w:hAnsi="宋体"/>
          <w:szCs w:val="21"/>
        </w:rPr>
        <w:t>5.招标人不向投标人解释落标原因，不退还投标文件。</w:t>
      </w:r>
    </w:p>
    <w:p w14:paraId="30261EBA">
      <w:pPr>
        <w:spacing w:line="360" w:lineRule="auto"/>
        <w:rPr>
          <w:rFonts w:ascii="宋体" w:hAnsi="宋体"/>
          <w:b/>
          <w:szCs w:val="21"/>
        </w:rPr>
      </w:pPr>
      <w:r>
        <w:rPr>
          <w:rFonts w:hint="eastAsia" w:ascii="宋体" w:hAnsi="宋体"/>
          <w:b/>
          <w:szCs w:val="21"/>
        </w:rPr>
        <w:t>三、评标程序</w:t>
      </w:r>
    </w:p>
    <w:p w14:paraId="40EFDFA1">
      <w:pPr>
        <w:spacing w:line="360" w:lineRule="auto"/>
        <w:ind w:firstLine="420" w:firstLineChars="200"/>
        <w:rPr>
          <w:rFonts w:ascii="宋体" w:hAnsi="宋体"/>
          <w:szCs w:val="21"/>
        </w:rPr>
      </w:pPr>
      <w:r>
        <w:rPr>
          <w:rFonts w:hint="eastAsia" w:ascii="宋体" w:hAnsi="宋体"/>
          <w:szCs w:val="21"/>
        </w:rPr>
        <w:t>1.初步审查：对投标文件是否实质性响应招标文件要求、资格条件是否满足招标文件要求、投标保证金、投标有效性等方面进行审查。初步审查不合格的，不进入下一评审程序。</w:t>
      </w:r>
    </w:p>
    <w:p w14:paraId="01D80259">
      <w:pPr>
        <w:spacing w:line="360" w:lineRule="auto"/>
        <w:ind w:firstLine="420" w:firstLineChars="200"/>
        <w:rPr>
          <w:rFonts w:ascii="宋体" w:hAnsi="宋体"/>
          <w:szCs w:val="21"/>
        </w:rPr>
      </w:pPr>
      <w:r>
        <w:rPr>
          <w:rFonts w:hint="eastAsia" w:ascii="宋体" w:hAnsi="宋体"/>
          <w:szCs w:val="21"/>
        </w:rPr>
        <w:t>2.综合评估：对通过初步审查的投标人，评标委员会成员按照“评标细则（兼评委打分表）”的规定进行独立打分，汇总后计算平均分即为各投标人的综合得分（保留小数点后两位）。</w:t>
      </w:r>
    </w:p>
    <w:p w14:paraId="1955F435">
      <w:pPr>
        <w:spacing w:line="360" w:lineRule="auto"/>
        <w:ind w:firstLine="420" w:firstLineChars="200"/>
        <w:rPr>
          <w:rFonts w:ascii="宋体" w:hAnsi="宋体"/>
          <w:szCs w:val="21"/>
        </w:rPr>
      </w:pPr>
      <w:r>
        <w:rPr>
          <w:rFonts w:hint="eastAsia" w:ascii="宋体" w:hAnsi="宋体"/>
          <w:szCs w:val="21"/>
        </w:rPr>
        <w:t>3.推荐中标候选人</w:t>
      </w:r>
    </w:p>
    <w:p w14:paraId="321EE2CB">
      <w:pPr>
        <w:spacing w:line="360" w:lineRule="auto"/>
        <w:ind w:firstLine="420" w:firstLineChars="200"/>
        <w:rPr>
          <w:rFonts w:ascii="宋体" w:hAnsi="宋体"/>
          <w:szCs w:val="21"/>
        </w:rPr>
      </w:pPr>
      <w:r>
        <w:rPr>
          <w:rFonts w:hint="eastAsia" w:ascii="宋体" w:hAnsi="宋体"/>
          <w:szCs w:val="21"/>
        </w:rPr>
        <w:t>中标候选人数量：</w:t>
      </w:r>
      <w:r>
        <w:rPr>
          <w:rFonts w:hint="eastAsia" w:ascii="宋体" w:hAnsi="宋体"/>
          <w:b/>
          <w:bCs/>
          <w:szCs w:val="21"/>
        </w:rPr>
        <w:t xml:space="preserve"> </w:t>
      </w:r>
      <w:r>
        <w:rPr>
          <w:rFonts w:hint="eastAsia" w:ascii="宋体" w:hAnsi="宋体"/>
          <w:b/>
          <w:bCs/>
          <w:szCs w:val="21"/>
          <w:lang w:val="en-US" w:eastAsia="zh-CN"/>
        </w:rPr>
        <w:t>1</w:t>
      </w:r>
      <w:r>
        <w:rPr>
          <w:rFonts w:hint="eastAsia" w:ascii="宋体" w:hAnsi="宋体"/>
          <w:b/>
          <w:bCs/>
          <w:szCs w:val="21"/>
        </w:rPr>
        <w:t>家</w:t>
      </w:r>
      <w:r>
        <w:rPr>
          <w:rFonts w:hint="eastAsia" w:ascii="宋体" w:hAnsi="宋体"/>
          <w:szCs w:val="21"/>
        </w:rPr>
        <w:t>；</w:t>
      </w:r>
    </w:p>
    <w:p w14:paraId="5B02F0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highlight w:val="none"/>
        </w:rPr>
      </w:pPr>
      <w:r>
        <w:rPr>
          <w:rFonts w:hint="eastAsia" w:ascii="宋体" w:hAnsi="宋体"/>
          <w:szCs w:val="21"/>
          <w:highlight w:val="none"/>
        </w:rPr>
        <w:t>本项目按综合得分从高到低排列，推荐评标结果排序</w:t>
      </w:r>
      <w:r>
        <w:rPr>
          <w:rFonts w:hint="eastAsia" w:ascii="宋体" w:hAnsi="宋体"/>
          <w:b/>
          <w:bCs/>
          <w:szCs w:val="21"/>
          <w:highlight w:val="none"/>
          <w:lang w:eastAsia="zh-CN"/>
        </w:rPr>
        <w:t>第一名</w:t>
      </w:r>
      <w:r>
        <w:rPr>
          <w:rFonts w:hint="eastAsia" w:ascii="宋体" w:hAnsi="宋体"/>
          <w:szCs w:val="21"/>
          <w:highlight w:val="none"/>
        </w:rPr>
        <w:t>的投标人为中标候选人。综合得分相同的，按：“利率水平”、“经济贡献度”、“经营状况”、“服务水平”项以及随机原则抽签顺序确定。</w:t>
      </w:r>
    </w:p>
    <w:p w14:paraId="12B4F9AC">
      <w:pPr>
        <w:spacing w:line="360" w:lineRule="auto"/>
        <w:ind w:firstLine="420" w:firstLineChars="200"/>
        <w:rPr>
          <w:rFonts w:ascii="宋体" w:hAnsi="宋体"/>
          <w:szCs w:val="21"/>
        </w:rPr>
      </w:pPr>
      <w:r>
        <w:rPr>
          <w:rFonts w:hint="eastAsia" w:ascii="宋体" w:hAnsi="宋体"/>
          <w:szCs w:val="21"/>
        </w:rPr>
        <w:t>4.确定中标候选人</w:t>
      </w:r>
    </w:p>
    <w:p w14:paraId="226829D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szCs w:val="21"/>
          <w:highlight w:val="none"/>
        </w:rPr>
      </w:pPr>
      <w:r>
        <w:rPr>
          <w:rFonts w:hint="eastAsia" w:ascii="宋体" w:hAnsi="宋体"/>
          <w:b/>
          <w:bCs/>
          <w:szCs w:val="21"/>
          <w:highlight w:val="none"/>
        </w:rPr>
        <w:t>推荐评标结果排序</w:t>
      </w:r>
      <w:r>
        <w:rPr>
          <w:rFonts w:hint="eastAsia" w:ascii="宋体" w:hAnsi="宋体"/>
          <w:b/>
          <w:bCs/>
          <w:szCs w:val="21"/>
          <w:highlight w:val="none"/>
          <w:lang w:eastAsia="zh-CN"/>
        </w:rPr>
        <w:t>第一名</w:t>
      </w:r>
      <w:r>
        <w:rPr>
          <w:rFonts w:hint="eastAsia" w:ascii="宋体" w:hAnsi="宋体"/>
          <w:b/>
          <w:bCs/>
          <w:szCs w:val="21"/>
          <w:highlight w:val="none"/>
        </w:rPr>
        <w:t>的投标人为中标候选人</w:t>
      </w:r>
      <w:r>
        <w:rPr>
          <w:rFonts w:hint="eastAsia" w:ascii="宋体" w:hAnsi="宋体"/>
          <w:szCs w:val="21"/>
          <w:highlight w:val="none"/>
        </w:rPr>
        <w:t>。</w:t>
      </w:r>
    </w:p>
    <w:p w14:paraId="1D386213">
      <w:pPr>
        <w:spacing w:line="360" w:lineRule="auto"/>
        <w:ind w:firstLine="420" w:firstLineChars="200"/>
        <w:rPr>
          <w:rFonts w:ascii="宋体" w:hAnsi="宋体"/>
          <w:szCs w:val="21"/>
        </w:rPr>
      </w:pPr>
      <w:r>
        <w:rPr>
          <w:rFonts w:hint="eastAsia" w:ascii="宋体" w:hAnsi="宋体"/>
          <w:szCs w:val="21"/>
        </w:rPr>
        <w:t>5.中标结果</w:t>
      </w:r>
    </w:p>
    <w:p w14:paraId="1D7870E3">
      <w:pPr>
        <w:spacing w:line="360" w:lineRule="auto"/>
        <w:ind w:firstLine="420" w:firstLineChars="200"/>
        <w:rPr>
          <w:rFonts w:ascii="宋体" w:hAnsi="宋体"/>
          <w:szCs w:val="21"/>
        </w:rPr>
      </w:pPr>
      <w:r>
        <w:rPr>
          <w:rFonts w:hint="eastAsia" w:ascii="宋体" w:hAnsi="宋体"/>
          <w:szCs w:val="21"/>
        </w:rPr>
        <w:t>招标代理机构在评标结束后将评标报告交招标人确认，招标人自收到评标报告之日起3个工作日内在评标报告推荐的中标候选人中按顺序确定中标人，并在发布招标公告的网站上对中标候选人进行公示（公示期3个工作日），并向中标人发出中标通知书。</w:t>
      </w:r>
    </w:p>
    <w:p w14:paraId="0DB14C87">
      <w:pPr>
        <w:spacing w:line="360" w:lineRule="auto"/>
        <w:ind w:firstLine="420" w:firstLineChars="200"/>
        <w:rPr>
          <w:rFonts w:ascii="宋体" w:hAnsi="宋体"/>
          <w:szCs w:val="21"/>
        </w:rPr>
      </w:pPr>
      <w:r>
        <w:rPr>
          <w:rFonts w:hint="eastAsia" w:ascii="宋体" w:hAnsi="宋体"/>
          <w:szCs w:val="21"/>
        </w:rPr>
        <w:t>6.重新招标</w:t>
      </w:r>
    </w:p>
    <w:p w14:paraId="258B3365">
      <w:pPr>
        <w:spacing w:line="360" w:lineRule="auto"/>
        <w:ind w:firstLine="420" w:firstLineChars="200"/>
        <w:rPr>
          <w:rFonts w:ascii="宋体" w:hAnsi="宋体"/>
          <w:szCs w:val="21"/>
        </w:rPr>
      </w:pPr>
      <w:r>
        <w:rPr>
          <w:rFonts w:hint="eastAsia" w:ascii="宋体" w:hAnsi="宋体"/>
          <w:szCs w:val="21"/>
        </w:rPr>
        <w:t>有下列情形之一的，招标人将重新招标：</w:t>
      </w:r>
    </w:p>
    <w:p w14:paraId="7899E4C6">
      <w:pPr>
        <w:spacing w:line="360" w:lineRule="auto"/>
        <w:ind w:firstLine="420" w:firstLineChars="200"/>
        <w:rPr>
          <w:rFonts w:ascii="宋体" w:hAnsi="宋体"/>
          <w:szCs w:val="21"/>
        </w:rPr>
      </w:pPr>
      <w:r>
        <w:rPr>
          <w:rFonts w:hint="eastAsia" w:ascii="宋体" w:hAnsi="宋体"/>
          <w:szCs w:val="21"/>
        </w:rPr>
        <w:t>投标截止时间止，投标人数量＜3家的；</w:t>
      </w:r>
    </w:p>
    <w:p w14:paraId="54E7423D">
      <w:pPr>
        <w:spacing w:line="360" w:lineRule="auto"/>
        <w:ind w:firstLine="420" w:firstLineChars="200"/>
        <w:rPr>
          <w:rFonts w:ascii="宋体" w:hAnsi="宋体"/>
          <w:szCs w:val="21"/>
        </w:rPr>
      </w:pPr>
      <w:r>
        <w:rPr>
          <w:rFonts w:hint="eastAsia" w:ascii="宋体" w:hAnsi="宋体"/>
          <w:szCs w:val="21"/>
        </w:rPr>
        <w:t>7.若中标单位放弃中标、或因不可抗力提出不能履行合同的，将由其他的合格投标人按得分名次顺位替补入围，或者进行重新招标。</w:t>
      </w:r>
    </w:p>
    <w:p w14:paraId="6D4C1F67">
      <w:pPr>
        <w:spacing w:line="360" w:lineRule="auto"/>
        <w:ind w:firstLine="420" w:firstLineChars="200"/>
        <w:rPr>
          <w:rFonts w:ascii="宋体" w:hAnsi="宋体"/>
          <w:bCs/>
          <w:szCs w:val="21"/>
        </w:rPr>
      </w:pPr>
      <w:r>
        <w:rPr>
          <w:rFonts w:hint="eastAsia" w:ascii="宋体" w:hAnsi="宋体"/>
          <w:szCs w:val="21"/>
        </w:rPr>
        <w:t>8.中标单位拖延、拒签合同的，将取消中标资格，招标人有权挑选排序后一位的银行作为中标人或者重新招标。</w:t>
      </w:r>
    </w:p>
    <w:p w14:paraId="353DD6A4">
      <w:pPr>
        <w:pStyle w:val="11"/>
        <w:rPr>
          <w:rFonts w:ascii="宋体" w:hAnsi="宋体"/>
          <w:szCs w:val="21"/>
        </w:rPr>
      </w:pPr>
    </w:p>
    <w:p w14:paraId="7F93AC2A">
      <w:pPr>
        <w:rPr>
          <w:rFonts w:ascii="宋体" w:hAnsi="宋体"/>
          <w:szCs w:val="21"/>
        </w:rPr>
      </w:pPr>
    </w:p>
    <w:p w14:paraId="14EE3411">
      <w:pPr>
        <w:pStyle w:val="11"/>
        <w:rPr>
          <w:rFonts w:ascii="宋体" w:hAnsi="宋体"/>
          <w:szCs w:val="21"/>
        </w:rPr>
      </w:pPr>
    </w:p>
    <w:p w14:paraId="6880DC98">
      <w:pPr>
        <w:rPr>
          <w:rFonts w:ascii="宋体" w:hAnsi="宋体"/>
          <w:szCs w:val="21"/>
        </w:rPr>
      </w:pPr>
    </w:p>
    <w:p w14:paraId="4D7BDD99">
      <w:pPr>
        <w:pStyle w:val="11"/>
        <w:rPr>
          <w:rFonts w:ascii="宋体" w:hAnsi="宋体"/>
          <w:szCs w:val="21"/>
        </w:rPr>
      </w:pPr>
    </w:p>
    <w:p w14:paraId="49FD6D85">
      <w:pPr>
        <w:rPr>
          <w:rFonts w:ascii="宋体" w:hAnsi="宋体"/>
          <w:szCs w:val="21"/>
        </w:rPr>
      </w:pPr>
    </w:p>
    <w:p w14:paraId="27F6A3EF">
      <w:pPr>
        <w:pStyle w:val="11"/>
        <w:rPr>
          <w:rFonts w:ascii="宋体" w:hAnsi="宋体"/>
          <w:szCs w:val="21"/>
        </w:rPr>
      </w:pPr>
    </w:p>
    <w:p w14:paraId="3055EF8B">
      <w:pPr>
        <w:rPr>
          <w:rFonts w:ascii="宋体" w:hAnsi="宋体"/>
          <w:szCs w:val="21"/>
        </w:rPr>
      </w:pPr>
    </w:p>
    <w:p w14:paraId="198A8575">
      <w:pPr>
        <w:pStyle w:val="11"/>
        <w:rPr>
          <w:rFonts w:ascii="宋体" w:hAnsi="宋体"/>
          <w:szCs w:val="21"/>
        </w:rPr>
      </w:pPr>
    </w:p>
    <w:p w14:paraId="754BF28E">
      <w:pPr>
        <w:rPr>
          <w:rFonts w:ascii="宋体" w:hAnsi="宋体"/>
          <w:szCs w:val="21"/>
        </w:rPr>
      </w:pPr>
    </w:p>
    <w:p w14:paraId="6ABD5570">
      <w:pPr>
        <w:pStyle w:val="11"/>
        <w:rPr>
          <w:rFonts w:ascii="宋体" w:hAnsi="宋体"/>
          <w:szCs w:val="21"/>
        </w:rPr>
      </w:pPr>
    </w:p>
    <w:p w14:paraId="3B5E720B">
      <w:pPr>
        <w:rPr>
          <w:rFonts w:ascii="宋体" w:hAnsi="宋体"/>
          <w:szCs w:val="21"/>
        </w:rPr>
      </w:pPr>
    </w:p>
    <w:p w14:paraId="7B82455A">
      <w:pPr>
        <w:pStyle w:val="11"/>
      </w:pPr>
    </w:p>
    <w:p w14:paraId="1599E326">
      <w:pPr>
        <w:pStyle w:val="11"/>
        <w:rPr>
          <w:rFonts w:ascii="宋体" w:hAnsi="宋体"/>
          <w:szCs w:val="21"/>
        </w:rPr>
      </w:pPr>
    </w:p>
    <w:p w14:paraId="12D2893E">
      <w:pPr>
        <w:rPr>
          <w:rFonts w:ascii="宋体" w:hAnsi="宋体"/>
          <w:szCs w:val="21"/>
        </w:rPr>
      </w:pPr>
    </w:p>
    <w:p w14:paraId="30048865">
      <w:pPr>
        <w:pStyle w:val="11"/>
      </w:pPr>
    </w:p>
    <w:p w14:paraId="3849CE36">
      <w:pPr>
        <w:rPr>
          <w:rFonts w:ascii="宋体" w:hAnsi="宋体"/>
          <w:szCs w:val="21"/>
        </w:rPr>
      </w:pPr>
    </w:p>
    <w:p w14:paraId="62354BEB">
      <w:pPr>
        <w:pStyle w:val="11"/>
        <w:rPr>
          <w:rFonts w:ascii="宋体" w:hAnsi="宋体"/>
          <w:szCs w:val="21"/>
        </w:rPr>
      </w:pPr>
    </w:p>
    <w:p w14:paraId="58C8204B">
      <w:pPr>
        <w:rPr>
          <w:rFonts w:ascii="宋体" w:hAnsi="宋体"/>
          <w:szCs w:val="21"/>
        </w:rPr>
      </w:pPr>
    </w:p>
    <w:p w14:paraId="68389FC3">
      <w:pPr>
        <w:pStyle w:val="11"/>
      </w:pPr>
    </w:p>
    <w:p w14:paraId="3C080393"/>
    <w:p w14:paraId="4D9C88B9">
      <w:pPr>
        <w:spacing w:line="360" w:lineRule="auto"/>
        <w:rPr>
          <w:rFonts w:ascii="宋体" w:hAnsi="宋体"/>
          <w:szCs w:val="21"/>
          <w:highlight w:val="none"/>
        </w:rPr>
      </w:pPr>
      <w:r>
        <w:rPr>
          <w:rFonts w:hint="eastAsia" w:ascii="宋体" w:hAnsi="宋体"/>
          <w:szCs w:val="21"/>
          <w:highlight w:val="none"/>
        </w:rPr>
        <w:t xml:space="preserve">附表1：                              </w:t>
      </w:r>
    </w:p>
    <w:p w14:paraId="7693D51F">
      <w:pPr>
        <w:spacing w:line="360" w:lineRule="auto"/>
        <w:jc w:val="center"/>
        <w:rPr>
          <w:rFonts w:ascii="宋体" w:hAnsi="宋体"/>
          <w:b/>
          <w:szCs w:val="21"/>
          <w:highlight w:val="none"/>
        </w:rPr>
      </w:pPr>
      <w:r>
        <w:rPr>
          <w:rFonts w:hint="eastAsia" w:ascii="宋体" w:hAnsi="宋体"/>
          <w:b/>
          <w:szCs w:val="21"/>
          <w:highlight w:val="none"/>
        </w:rPr>
        <w:t>资格审查表</w:t>
      </w:r>
    </w:p>
    <w:tbl>
      <w:tblPr>
        <w:tblStyle w:val="15"/>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5507"/>
        <w:gridCol w:w="3091"/>
      </w:tblGrid>
      <w:tr w14:paraId="46AC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1" w:type="dxa"/>
          </w:tcPr>
          <w:p w14:paraId="3525626A">
            <w:pPr>
              <w:spacing w:line="400" w:lineRule="exact"/>
              <w:jc w:val="center"/>
              <w:rPr>
                <w:rFonts w:ascii="宋体" w:hAnsi="宋体" w:cs="宋体"/>
                <w:b/>
                <w:szCs w:val="21"/>
                <w:highlight w:val="none"/>
              </w:rPr>
            </w:pPr>
            <w:r>
              <w:rPr>
                <w:rFonts w:hint="eastAsia" w:ascii="宋体" w:hAnsi="宋体" w:cs="宋体"/>
                <w:b/>
                <w:szCs w:val="21"/>
                <w:highlight w:val="none"/>
              </w:rPr>
              <w:t>序号</w:t>
            </w:r>
          </w:p>
        </w:tc>
        <w:tc>
          <w:tcPr>
            <w:tcW w:w="5507" w:type="dxa"/>
          </w:tcPr>
          <w:p w14:paraId="0B32ABFD">
            <w:pPr>
              <w:spacing w:line="400" w:lineRule="exact"/>
              <w:jc w:val="center"/>
              <w:rPr>
                <w:rFonts w:ascii="宋体" w:hAnsi="宋体" w:cs="宋体"/>
                <w:b/>
                <w:szCs w:val="21"/>
                <w:highlight w:val="none"/>
              </w:rPr>
            </w:pPr>
            <w:r>
              <w:rPr>
                <w:rFonts w:hint="eastAsia" w:ascii="宋体" w:hAnsi="宋体" w:cs="宋体"/>
                <w:b/>
                <w:szCs w:val="21"/>
                <w:highlight w:val="none"/>
              </w:rPr>
              <w:t>审查项目</w:t>
            </w:r>
          </w:p>
        </w:tc>
        <w:tc>
          <w:tcPr>
            <w:tcW w:w="3091" w:type="dxa"/>
          </w:tcPr>
          <w:p w14:paraId="0A8B0039">
            <w:pPr>
              <w:spacing w:line="400" w:lineRule="exact"/>
              <w:jc w:val="center"/>
              <w:rPr>
                <w:rFonts w:ascii="宋体" w:hAnsi="宋体" w:cs="宋体"/>
                <w:b/>
                <w:szCs w:val="21"/>
                <w:highlight w:val="none"/>
              </w:rPr>
            </w:pPr>
            <w:r>
              <w:rPr>
                <w:rFonts w:hint="eastAsia" w:ascii="宋体" w:hAnsi="宋体" w:cs="宋体"/>
                <w:b/>
                <w:szCs w:val="21"/>
                <w:highlight w:val="none"/>
              </w:rPr>
              <w:t>要求</w:t>
            </w:r>
          </w:p>
        </w:tc>
      </w:tr>
      <w:tr w14:paraId="738C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701" w:type="dxa"/>
            <w:vAlign w:val="center"/>
          </w:tcPr>
          <w:p w14:paraId="236CCC42">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5507" w:type="dxa"/>
            <w:vAlign w:val="center"/>
          </w:tcPr>
          <w:p w14:paraId="7AE3F120">
            <w:pPr>
              <w:spacing w:line="400" w:lineRule="exact"/>
              <w:jc w:val="left"/>
              <w:rPr>
                <w:highlight w:val="none"/>
              </w:rPr>
            </w:pPr>
            <w:r>
              <w:rPr>
                <w:rFonts w:hint="eastAsia" w:ascii="宋体" w:hAnsi="宋体"/>
                <w:szCs w:val="21"/>
                <w:highlight w:val="none"/>
              </w:rPr>
              <w:t>在中华人民共和国境内依法设立的国有银行</w:t>
            </w:r>
            <w:r>
              <w:rPr>
                <w:rFonts w:hint="eastAsia"/>
                <w:highlight w:val="none"/>
              </w:rPr>
              <w:t>。</w:t>
            </w:r>
          </w:p>
          <w:p w14:paraId="10E7DE39">
            <w:pPr>
              <w:spacing w:line="400" w:lineRule="exact"/>
              <w:jc w:val="left"/>
              <w:rPr>
                <w:highlight w:val="none"/>
              </w:rPr>
            </w:pPr>
            <w:r>
              <w:rPr>
                <w:rFonts w:hint="eastAsia"/>
                <w:highlight w:val="none"/>
              </w:rPr>
              <w:t>持有</w:t>
            </w:r>
            <w:r>
              <w:rPr>
                <w:rFonts w:hint="eastAsia"/>
                <w:highlight w:val="none"/>
                <w:lang w:eastAsia="zh-CN"/>
              </w:rPr>
              <w:t>中国银行业监督管理委员会</w:t>
            </w:r>
            <w:r>
              <w:rPr>
                <w:rFonts w:hint="eastAsia"/>
                <w:highlight w:val="none"/>
              </w:rPr>
              <w:t>核发有效的《中华人民共和国金融许可证》</w:t>
            </w:r>
          </w:p>
        </w:tc>
        <w:tc>
          <w:tcPr>
            <w:tcW w:w="3091" w:type="dxa"/>
            <w:vAlign w:val="center"/>
          </w:tcPr>
          <w:p w14:paraId="1D5538EE">
            <w:pPr>
              <w:spacing w:line="400" w:lineRule="exact"/>
              <w:jc w:val="left"/>
              <w:rPr>
                <w:rFonts w:ascii="宋体" w:hAnsi="宋体" w:cs="宋体"/>
                <w:szCs w:val="21"/>
                <w:highlight w:val="none"/>
              </w:rPr>
            </w:pPr>
            <w:r>
              <w:rPr>
                <w:rFonts w:hint="eastAsia" w:ascii="宋体" w:hAnsi="宋体" w:cs="宋体"/>
                <w:szCs w:val="21"/>
                <w:highlight w:val="none"/>
              </w:rPr>
              <w:t>提供有效的《中华人民共和国金融许可证》复印件</w:t>
            </w:r>
          </w:p>
        </w:tc>
      </w:tr>
      <w:tr w14:paraId="4D2E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701" w:type="dxa"/>
            <w:vAlign w:val="center"/>
          </w:tcPr>
          <w:p w14:paraId="665340E1">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5507" w:type="dxa"/>
            <w:vAlign w:val="center"/>
          </w:tcPr>
          <w:p w14:paraId="0497E7A5">
            <w:pPr>
              <w:spacing w:line="400" w:lineRule="exact"/>
              <w:jc w:val="left"/>
              <w:rPr>
                <w:rFonts w:ascii="宋体" w:hAnsi="宋体" w:cs="宋体"/>
                <w:szCs w:val="21"/>
                <w:highlight w:val="none"/>
              </w:rPr>
            </w:pPr>
            <w:r>
              <w:rPr>
                <w:rFonts w:hint="eastAsia"/>
                <w:highlight w:val="none"/>
              </w:rPr>
              <w:t>持有</w:t>
            </w:r>
            <w:r>
              <w:rPr>
                <w:rFonts w:hint="eastAsia" w:ascii="宋体" w:hAnsi="宋体" w:cs="宋体"/>
                <w:szCs w:val="21"/>
                <w:highlight w:val="none"/>
              </w:rPr>
              <w:t>市场监督管理部门核发有效的《营业执照》且其“营业场所”或“住所”载明属于宁波市北仑区域，同时在北仑区</w:t>
            </w:r>
            <w:r>
              <w:rPr>
                <w:rFonts w:hint="eastAsia" w:ascii="宋体" w:hAnsi="宋体" w:cs="宋体"/>
                <w:szCs w:val="21"/>
                <w:highlight w:val="none"/>
                <w:lang w:eastAsia="zh-CN"/>
              </w:rPr>
              <w:t>域内</w:t>
            </w:r>
            <w:r>
              <w:rPr>
                <w:rFonts w:hint="eastAsia" w:ascii="宋体" w:hAnsi="宋体" w:cs="宋体"/>
                <w:szCs w:val="21"/>
                <w:highlight w:val="none"/>
              </w:rPr>
              <w:t>设有分支机构（通指一级支行及以上金融机构）；</w:t>
            </w:r>
          </w:p>
        </w:tc>
        <w:tc>
          <w:tcPr>
            <w:tcW w:w="3091" w:type="dxa"/>
            <w:vAlign w:val="center"/>
          </w:tcPr>
          <w:p w14:paraId="6EE89945">
            <w:pPr>
              <w:spacing w:line="400" w:lineRule="exact"/>
              <w:jc w:val="left"/>
              <w:rPr>
                <w:rFonts w:ascii="宋体" w:hAnsi="宋体" w:cs="宋体"/>
                <w:szCs w:val="21"/>
                <w:highlight w:val="none"/>
              </w:rPr>
            </w:pPr>
            <w:r>
              <w:rPr>
                <w:rFonts w:hint="eastAsia" w:ascii="宋体" w:hAnsi="宋体" w:cs="宋体"/>
                <w:szCs w:val="21"/>
                <w:highlight w:val="none"/>
              </w:rPr>
              <w:t>提供有效的《营业执照》复印件</w:t>
            </w:r>
          </w:p>
        </w:tc>
      </w:tr>
      <w:tr w14:paraId="0DC9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01" w:type="dxa"/>
            <w:vAlign w:val="center"/>
          </w:tcPr>
          <w:p w14:paraId="25808196">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5507" w:type="dxa"/>
            <w:vAlign w:val="center"/>
          </w:tcPr>
          <w:p w14:paraId="479388F3">
            <w:pPr>
              <w:spacing w:line="400" w:lineRule="exact"/>
              <w:jc w:val="left"/>
              <w:rPr>
                <w:rFonts w:hint="eastAsia"/>
                <w:highlight w:val="none"/>
              </w:rPr>
            </w:pPr>
            <w:r>
              <w:rPr>
                <w:rFonts w:hint="eastAsia" w:ascii="宋体" w:hAnsi="宋体"/>
                <w:szCs w:val="21"/>
              </w:rPr>
              <w:t>依法开展经营活动，近3年内在经营活动中无重大违法违规记录及重大违约事件。</w:t>
            </w:r>
          </w:p>
        </w:tc>
        <w:tc>
          <w:tcPr>
            <w:tcW w:w="3091" w:type="dxa"/>
            <w:vAlign w:val="center"/>
          </w:tcPr>
          <w:p w14:paraId="65836FA2">
            <w:pPr>
              <w:spacing w:line="400" w:lineRule="exact"/>
              <w:jc w:val="left"/>
              <w:rPr>
                <w:rFonts w:hint="eastAsia" w:ascii="宋体" w:hAnsi="宋体" w:cs="宋体"/>
                <w:szCs w:val="21"/>
                <w:highlight w:val="none"/>
              </w:rPr>
            </w:pPr>
            <w:r>
              <w:rPr>
                <w:rFonts w:hint="eastAsia" w:ascii="宋体" w:hAnsi="宋体" w:cs="宋体"/>
                <w:szCs w:val="21"/>
              </w:rPr>
              <w:t>提供无重大违法违规记录及重大违约的承诺书</w:t>
            </w:r>
          </w:p>
        </w:tc>
      </w:tr>
      <w:tr w14:paraId="117F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01" w:type="dxa"/>
            <w:vAlign w:val="center"/>
          </w:tcPr>
          <w:p w14:paraId="4644A4BC">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5507" w:type="dxa"/>
            <w:vAlign w:val="center"/>
          </w:tcPr>
          <w:p w14:paraId="5C726E48">
            <w:pPr>
              <w:spacing w:line="400" w:lineRule="exact"/>
              <w:jc w:val="left"/>
              <w:rPr>
                <w:rFonts w:hint="eastAsia" w:ascii="宋体" w:hAnsi="宋体"/>
                <w:szCs w:val="21"/>
              </w:rPr>
            </w:pPr>
            <w:r>
              <w:rPr>
                <w:rFonts w:hint="eastAsia" w:ascii="宋体" w:hAnsi="宋体"/>
                <w:szCs w:val="21"/>
                <w:lang w:eastAsia="zh-CN"/>
              </w:rPr>
              <w:t>具有履行合同所必需的设备和专业技术能力,资信状况和经营业绩优良，具有较</w:t>
            </w:r>
            <w:r>
              <w:rPr>
                <w:rFonts w:hint="eastAsia" w:ascii="宋体" w:hAnsi="宋体"/>
                <w:szCs w:val="21"/>
                <w:lang w:val="en-US" w:eastAsia="zh-CN"/>
              </w:rPr>
              <w:t>强的风险控制能力。</w:t>
            </w:r>
          </w:p>
        </w:tc>
        <w:tc>
          <w:tcPr>
            <w:tcW w:w="3091" w:type="dxa"/>
            <w:vAlign w:val="center"/>
          </w:tcPr>
          <w:p w14:paraId="18464EFB">
            <w:pPr>
              <w:spacing w:line="400" w:lineRule="exact"/>
              <w:jc w:val="left"/>
              <w:rPr>
                <w:rFonts w:hint="eastAsia" w:ascii="宋体" w:hAnsi="宋体" w:cs="宋体"/>
                <w:szCs w:val="21"/>
              </w:rPr>
            </w:pPr>
            <w:r>
              <w:rPr>
                <w:rFonts w:hint="eastAsia" w:ascii="宋体" w:hAnsi="宋体" w:cs="宋体"/>
                <w:szCs w:val="21"/>
                <w:lang w:val="en-US" w:eastAsia="zh-CN"/>
              </w:rPr>
              <w:t>提供</w:t>
            </w:r>
            <w:r>
              <w:rPr>
                <w:rFonts w:hint="eastAsia" w:ascii="宋体" w:hAnsi="宋体" w:cs="宋体"/>
                <w:szCs w:val="21"/>
              </w:rPr>
              <w:t>具有履行合同所必需的设备和专业技术能力,资信状况和经营业绩优良，具有较强的风险控制能力的承诺书</w:t>
            </w:r>
          </w:p>
        </w:tc>
      </w:tr>
    </w:tbl>
    <w:p w14:paraId="7D928CB9">
      <w:pPr>
        <w:spacing w:line="360" w:lineRule="exact"/>
        <w:rPr>
          <w:rFonts w:ascii="宋体" w:hAnsi="宋体"/>
          <w:b/>
          <w:highlight w:val="none"/>
        </w:rPr>
      </w:pPr>
      <w:r>
        <w:rPr>
          <w:rFonts w:hint="eastAsia" w:ascii="宋体" w:hAnsi="宋体"/>
          <w:b/>
          <w:highlight w:val="none"/>
        </w:rPr>
        <w:t>注：1、上述资格证明文件未按招标文件要求附入投标文件中的，资格性审查不合格。</w:t>
      </w:r>
    </w:p>
    <w:p w14:paraId="6CFAFF02">
      <w:pPr>
        <w:spacing w:line="360" w:lineRule="exact"/>
        <w:ind w:firstLine="422" w:firstLineChars="200"/>
        <w:rPr>
          <w:rFonts w:ascii="宋体" w:hAnsi="宋体"/>
          <w:b/>
          <w:highlight w:val="none"/>
        </w:rPr>
      </w:pPr>
      <w:r>
        <w:rPr>
          <w:rFonts w:hint="eastAsia" w:ascii="宋体" w:hAnsi="宋体"/>
          <w:b/>
          <w:highlight w:val="none"/>
        </w:rPr>
        <w:t>2、上述审查项目中，任意一项不符合的，资格性审查不合格。</w:t>
      </w:r>
    </w:p>
    <w:p w14:paraId="7465B5BE">
      <w:pPr>
        <w:spacing w:line="360" w:lineRule="exact"/>
        <w:rPr>
          <w:rFonts w:ascii="宋体" w:hAnsi="宋体"/>
          <w:szCs w:val="21"/>
          <w:highlight w:val="none"/>
        </w:rPr>
      </w:pPr>
    </w:p>
    <w:p w14:paraId="30F78F4C">
      <w:pPr>
        <w:pStyle w:val="11"/>
        <w:rPr>
          <w:rFonts w:ascii="宋体" w:hAnsi="宋体"/>
          <w:szCs w:val="21"/>
          <w:highlight w:val="none"/>
        </w:rPr>
      </w:pPr>
    </w:p>
    <w:p w14:paraId="7D2111A9">
      <w:pPr>
        <w:rPr>
          <w:rFonts w:ascii="宋体" w:hAnsi="宋体"/>
          <w:szCs w:val="21"/>
          <w:highlight w:val="none"/>
        </w:rPr>
      </w:pPr>
    </w:p>
    <w:p w14:paraId="7A3495F3">
      <w:pPr>
        <w:pStyle w:val="11"/>
        <w:rPr>
          <w:rFonts w:ascii="宋体" w:hAnsi="宋体"/>
          <w:szCs w:val="21"/>
          <w:highlight w:val="none"/>
        </w:rPr>
      </w:pPr>
    </w:p>
    <w:p w14:paraId="7EC2B693">
      <w:pPr>
        <w:rPr>
          <w:rFonts w:ascii="宋体" w:hAnsi="宋体"/>
          <w:szCs w:val="21"/>
          <w:highlight w:val="none"/>
        </w:rPr>
      </w:pPr>
    </w:p>
    <w:p w14:paraId="18739CF9">
      <w:pPr>
        <w:pStyle w:val="11"/>
        <w:rPr>
          <w:rFonts w:ascii="宋体" w:hAnsi="宋体"/>
          <w:szCs w:val="21"/>
          <w:highlight w:val="none"/>
        </w:rPr>
      </w:pPr>
    </w:p>
    <w:p w14:paraId="2A5005A6">
      <w:pPr>
        <w:rPr>
          <w:highlight w:val="none"/>
        </w:rPr>
      </w:pPr>
    </w:p>
    <w:p w14:paraId="4F7B6251">
      <w:pPr>
        <w:rPr>
          <w:rFonts w:ascii="宋体" w:hAnsi="宋体"/>
          <w:szCs w:val="21"/>
          <w:highlight w:val="none"/>
        </w:rPr>
      </w:pPr>
    </w:p>
    <w:p w14:paraId="0AF16EA4">
      <w:pPr>
        <w:pStyle w:val="11"/>
        <w:rPr>
          <w:rFonts w:ascii="宋体" w:hAnsi="宋体"/>
          <w:szCs w:val="21"/>
          <w:highlight w:val="none"/>
        </w:rPr>
      </w:pPr>
    </w:p>
    <w:p w14:paraId="00194730">
      <w:pPr>
        <w:rPr>
          <w:rFonts w:ascii="宋体" w:hAnsi="宋体"/>
          <w:szCs w:val="21"/>
          <w:highlight w:val="none"/>
        </w:rPr>
      </w:pPr>
    </w:p>
    <w:p w14:paraId="1FC0CF46">
      <w:pPr>
        <w:pStyle w:val="11"/>
        <w:rPr>
          <w:rFonts w:ascii="宋体" w:hAnsi="宋体"/>
          <w:szCs w:val="21"/>
          <w:highlight w:val="none"/>
        </w:rPr>
      </w:pPr>
    </w:p>
    <w:p w14:paraId="7B0DE191">
      <w:pPr>
        <w:rPr>
          <w:rFonts w:ascii="宋体" w:hAnsi="宋体"/>
          <w:szCs w:val="21"/>
          <w:highlight w:val="none"/>
        </w:rPr>
      </w:pPr>
    </w:p>
    <w:p w14:paraId="357441F3">
      <w:pPr>
        <w:pStyle w:val="11"/>
        <w:rPr>
          <w:rFonts w:ascii="宋体" w:hAnsi="宋体"/>
          <w:szCs w:val="21"/>
          <w:highlight w:val="none"/>
        </w:rPr>
      </w:pPr>
    </w:p>
    <w:p w14:paraId="41564028">
      <w:pPr>
        <w:rPr>
          <w:rFonts w:ascii="宋体" w:hAnsi="宋体"/>
          <w:szCs w:val="21"/>
          <w:highlight w:val="none"/>
        </w:rPr>
      </w:pPr>
    </w:p>
    <w:p w14:paraId="495205E0">
      <w:pPr>
        <w:pStyle w:val="11"/>
        <w:rPr>
          <w:rFonts w:ascii="宋体" w:hAnsi="宋体"/>
          <w:szCs w:val="21"/>
          <w:highlight w:val="none"/>
        </w:rPr>
      </w:pPr>
    </w:p>
    <w:p w14:paraId="67418726">
      <w:pPr>
        <w:rPr>
          <w:rFonts w:ascii="宋体" w:hAnsi="宋体"/>
          <w:szCs w:val="21"/>
          <w:highlight w:val="none"/>
        </w:rPr>
      </w:pPr>
    </w:p>
    <w:p w14:paraId="0609BAD5">
      <w:pPr>
        <w:pStyle w:val="11"/>
        <w:rPr>
          <w:rFonts w:ascii="宋体" w:hAnsi="宋体"/>
          <w:szCs w:val="21"/>
          <w:highlight w:val="none"/>
        </w:rPr>
      </w:pPr>
    </w:p>
    <w:p w14:paraId="476EBA04">
      <w:pPr>
        <w:spacing w:line="360" w:lineRule="auto"/>
        <w:rPr>
          <w:rFonts w:ascii="宋体" w:hAnsi="宋体"/>
          <w:szCs w:val="21"/>
          <w:highlight w:val="none"/>
        </w:rPr>
      </w:pPr>
      <w:r>
        <w:rPr>
          <w:rFonts w:hint="eastAsia" w:ascii="宋体" w:hAnsi="宋体"/>
          <w:szCs w:val="21"/>
          <w:highlight w:val="none"/>
        </w:rPr>
        <w:t>附表2：</w:t>
      </w:r>
    </w:p>
    <w:p w14:paraId="59A9C823">
      <w:pPr>
        <w:widowControl/>
        <w:snapToGrid w:val="0"/>
        <w:spacing w:line="560" w:lineRule="exact"/>
        <w:jc w:val="center"/>
        <w:rPr>
          <w:rFonts w:ascii="宋体" w:hAnsi="宋体"/>
          <w:b/>
          <w:szCs w:val="21"/>
          <w:highlight w:val="none"/>
        </w:rPr>
      </w:pPr>
      <w:r>
        <w:rPr>
          <w:rFonts w:hint="eastAsia" w:ascii="宋体" w:hAnsi="宋体"/>
          <w:b/>
          <w:szCs w:val="21"/>
          <w:highlight w:val="none"/>
        </w:rPr>
        <w:t>符合性审查表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250"/>
        <w:gridCol w:w="6311"/>
      </w:tblGrid>
      <w:tr w14:paraId="593A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8" w:type="dxa"/>
          </w:tcPr>
          <w:p w14:paraId="7A24671C">
            <w:pPr>
              <w:spacing w:line="400" w:lineRule="exact"/>
              <w:jc w:val="center"/>
              <w:rPr>
                <w:rFonts w:ascii="宋体" w:hAnsi="宋体"/>
                <w:b/>
                <w:szCs w:val="21"/>
                <w:highlight w:val="none"/>
              </w:rPr>
            </w:pPr>
            <w:r>
              <w:rPr>
                <w:rFonts w:hint="eastAsia" w:ascii="宋体" w:hAnsi="宋体"/>
                <w:b/>
                <w:szCs w:val="21"/>
                <w:highlight w:val="none"/>
              </w:rPr>
              <w:t>序号</w:t>
            </w:r>
          </w:p>
        </w:tc>
        <w:tc>
          <w:tcPr>
            <w:tcW w:w="2250" w:type="dxa"/>
          </w:tcPr>
          <w:p w14:paraId="261A6249">
            <w:pPr>
              <w:spacing w:line="400" w:lineRule="exact"/>
              <w:jc w:val="center"/>
              <w:rPr>
                <w:rFonts w:ascii="宋体" w:hAnsi="宋体"/>
                <w:b/>
                <w:szCs w:val="21"/>
                <w:highlight w:val="none"/>
              </w:rPr>
            </w:pPr>
            <w:r>
              <w:rPr>
                <w:rFonts w:hint="eastAsia" w:ascii="宋体" w:hAnsi="宋体"/>
                <w:b/>
                <w:szCs w:val="21"/>
                <w:highlight w:val="none"/>
              </w:rPr>
              <w:t>审查项目</w:t>
            </w:r>
          </w:p>
        </w:tc>
        <w:tc>
          <w:tcPr>
            <w:tcW w:w="6311" w:type="dxa"/>
          </w:tcPr>
          <w:p w14:paraId="7B2DC789">
            <w:pPr>
              <w:spacing w:line="400" w:lineRule="exact"/>
              <w:jc w:val="center"/>
              <w:rPr>
                <w:rFonts w:ascii="宋体" w:hAnsi="宋体"/>
                <w:b/>
                <w:szCs w:val="21"/>
                <w:highlight w:val="none"/>
              </w:rPr>
            </w:pPr>
            <w:r>
              <w:rPr>
                <w:rFonts w:hint="eastAsia" w:ascii="宋体" w:hAnsi="宋体"/>
                <w:b/>
                <w:szCs w:val="21"/>
                <w:highlight w:val="none"/>
              </w:rPr>
              <w:t>要求</w:t>
            </w:r>
          </w:p>
        </w:tc>
      </w:tr>
      <w:tr w14:paraId="5761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8" w:type="dxa"/>
            <w:vAlign w:val="center"/>
          </w:tcPr>
          <w:p w14:paraId="59836F48">
            <w:pPr>
              <w:spacing w:line="400" w:lineRule="exact"/>
              <w:jc w:val="center"/>
              <w:rPr>
                <w:rFonts w:ascii="宋体" w:hAnsi="宋体"/>
                <w:szCs w:val="21"/>
                <w:highlight w:val="none"/>
              </w:rPr>
            </w:pPr>
            <w:r>
              <w:rPr>
                <w:rFonts w:hint="eastAsia" w:ascii="宋体" w:hAnsi="宋体"/>
                <w:szCs w:val="21"/>
                <w:highlight w:val="none"/>
              </w:rPr>
              <w:t>1</w:t>
            </w:r>
          </w:p>
        </w:tc>
        <w:tc>
          <w:tcPr>
            <w:tcW w:w="2250" w:type="dxa"/>
            <w:vAlign w:val="center"/>
          </w:tcPr>
          <w:p w14:paraId="35AC711D">
            <w:pPr>
              <w:spacing w:line="400" w:lineRule="exact"/>
              <w:rPr>
                <w:rFonts w:ascii="宋体" w:hAnsi="宋体"/>
                <w:szCs w:val="21"/>
                <w:highlight w:val="none"/>
              </w:rPr>
            </w:pPr>
            <w:r>
              <w:rPr>
                <w:rFonts w:hint="eastAsia" w:ascii="宋体" w:hAnsi="宋体"/>
                <w:szCs w:val="21"/>
                <w:highlight w:val="none"/>
              </w:rPr>
              <w:t>投标单位名称</w:t>
            </w:r>
          </w:p>
        </w:tc>
        <w:tc>
          <w:tcPr>
            <w:tcW w:w="6311" w:type="dxa"/>
            <w:vAlign w:val="center"/>
          </w:tcPr>
          <w:p w14:paraId="2B1FFABA">
            <w:pPr>
              <w:spacing w:line="400" w:lineRule="exact"/>
              <w:jc w:val="both"/>
              <w:rPr>
                <w:rFonts w:ascii="宋体" w:hAnsi="宋体"/>
                <w:szCs w:val="21"/>
                <w:highlight w:val="none"/>
              </w:rPr>
            </w:pPr>
            <w:r>
              <w:rPr>
                <w:rFonts w:hint="eastAsia" w:ascii="宋体" w:hAnsi="宋体"/>
                <w:szCs w:val="21"/>
                <w:highlight w:val="none"/>
              </w:rPr>
              <w:t>与营业执照一致</w:t>
            </w:r>
            <w:r>
              <w:rPr>
                <w:rFonts w:hint="eastAsia" w:ascii="宋体" w:hAnsi="宋体"/>
                <w:szCs w:val="21"/>
                <w:highlight w:val="none"/>
                <w:lang w:eastAsia="zh-CN"/>
              </w:rPr>
              <w:t>，</w:t>
            </w:r>
            <w:r>
              <w:rPr>
                <w:rFonts w:hint="eastAsia" w:ascii="宋体" w:hAnsi="宋体"/>
                <w:b/>
                <w:bCs/>
                <w:szCs w:val="21"/>
                <w:highlight w:val="none"/>
                <w:lang w:val="en-US" w:eastAsia="zh-CN"/>
              </w:rPr>
              <w:t>提供“</w:t>
            </w:r>
            <w:r>
              <w:rPr>
                <w:rFonts w:hint="eastAsia" w:ascii="宋体" w:hAnsi="宋体" w:cs="宋体"/>
                <w:b/>
                <w:bCs/>
                <w:szCs w:val="21"/>
                <w:highlight w:val="none"/>
              </w:rPr>
              <w:t>营业执照</w:t>
            </w:r>
            <w:r>
              <w:rPr>
                <w:rFonts w:hint="eastAsia" w:ascii="宋体" w:hAnsi="宋体"/>
                <w:b/>
                <w:bCs/>
                <w:szCs w:val="21"/>
                <w:highlight w:val="none"/>
                <w:lang w:val="en-US" w:eastAsia="zh-CN"/>
              </w:rPr>
              <w:t>”。</w:t>
            </w:r>
          </w:p>
        </w:tc>
      </w:tr>
      <w:tr w14:paraId="12F0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8" w:type="dxa"/>
            <w:vAlign w:val="center"/>
          </w:tcPr>
          <w:p w14:paraId="24CE24B8">
            <w:pPr>
              <w:spacing w:line="400" w:lineRule="exact"/>
              <w:jc w:val="center"/>
              <w:rPr>
                <w:rFonts w:ascii="宋体" w:hAnsi="宋体"/>
                <w:szCs w:val="21"/>
                <w:highlight w:val="none"/>
              </w:rPr>
            </w:pPr>
            <w:r>
              <w:rPr>
                <w:rFonts w:hint="eastAsia" w:ascii="宋体" w:hAnsi="宋体"/>
                <w:szCs w:val="21"/>
                <w:highlight w:val="none"/>
              </w:rPr>
              <w:t>2</w:t>
            </w:r>
          </w:p>
        </w:tc>
        <w:tc>
          <w:tcPr>
            <w:tcW w:w="2250" w:type="dxa"/>
            <w:vAlign w:val="center"/>
          </w:tcPr>
          <w:p w14:paraId="2BBDE268">
            <w:pPr>
              <w:spacing w:line="400" w:lineRule="exact"/>
              <w:rPr>
                <w:rFonts w:ascii="宋体" w:hAnsi="宋体"/>
                <w:szCs w:val="21"/>
                <w:highlight w:val="none"/>
              </w:rPr>
            </w:pPr>
            <w:r>
              <w:rPr>
                <w:rFonts w:hint="eastAsia" w:ascii="宋体" w:hAnsi="宋体"/>
                <w:szCs w:val="21"/>
                <w:highlight w:val="none"/>
              </w:rPr>
              <w:t>投标有效期</w:t>
            </w:r>
          </w:p>
        </w:tc>
        <w:tc>
          <w:tcPr>
            <w:tcW w:w="6311" w:type="dxa"/>
            <w:vAlign w:val="center"/>
          </w:tcPr>
          <w:p w14:paraId="75CA7BFF">
            <w:pPr>
              <w:spacing w:line="400" w:lineRule="exact"/>
              <w:jc w:val="both"/>
              <w:rPr>
                <w:rFonts w:ascii="宋体" w:hAnsi="宋体"/>
                <w:szCs w:val="21"/>
                <w:highlight w:val="none"/>
              </w:rPr>
            </w:pPr>
            <w:r>
              <w:rPr>
                <w:rFonts w:hint="eastAsia" w:ascii="宋体" w:hAnsi="宋体" w:eastAsia="宋体" w:cs="Times New Roman"/>
                <w:szCs w:val="21"/>
                <w:highlight w:val="none"/>
              </w:rPr>
              <w:t>符合第</w:t>
            </w:r>
            <w:r>
              <w:rPr>
                <w:rFonts w:hint="eastAsia" w:ascii="宋体" w:hAnsi="宋体" w:eastAsia="宋体" w:cs="Times New Roman"/>
                <w:szCs w:val="21"/>
                <w:highlight w:val="none"/>
                <w:lang w:eastAsia="zh-CN"/>
              </w:rPr>
              <w:t>三章</w:t>
            </w:r>
            <w:r>
              <w:rPr>
                <w:rFonts w:hint="eastAsia" w:ascii="宋体" w:hAnsi="宋体" w:eastAsia="宋体" w:cs="Times New Roman"/>
                <w:szCs w:val="21"/>
                <w:highlight w:val="none"/>
              </w:rPr>
              <w:t>“投标人须知”中前附表“第</w:t>
            </w:r>
            <w:r>
              <w:rPr>
                <w:rFonts w:hint="eastAsia" w:ascii="宋体" w:hAnsi="宋体" w:eastAsia="宋体" w:cs="Times New Roman"/>
                <w:szCs w:val="21"/>
                <w:highlight w:val="none"/>
                <w:lang w:val="en-US" w:eastAsia="zh-CN"/>
              </w:rPr>
              <w:t>11</w:t>
            </w:r>
            <w:r>
              <w:rPr>
                <w:rFonts w:hint="eastAsia" w:ascii="宋体" w:hAnsi="宋体" w:eastAsia="宋体" w:cs="Times New Roman"/>
                <w:szCs w:val="21"/>
                <w:highlight w:val="none"/>
              </w:rPr>
              <w:t>条▲”的要求</w:t>
            </w:r>
            <w:r>
              <w:rPr>
                <w:rFonts w:hint="eastAsia" w:ascii="宋体" w:hAnsi="宋体" w:cs="Times New Roman"/>
                <w:szCs w:val="21"/>
                <w:highlight w:val="none"/>
                <w:lang w:eastAsia="zh-CN"/>
              </w:rPr>
              <w:t>，</w:t>
            </w:r>
            <w:r>
              <w:rPr>
                <w:rFonts w:hint="eastAsia" w:ascii="宋体" w:hAnsi="宋体" w:cs="Times New Roman"/>
                <w:b/>
                <w:bCs/>
                <w:szCs w:val="21"/>
                <w:highlight w:val="none"/>
                <w:lang w:val="en-US" w:eastAsia="zh-CN"/>
              </w:rPr>
              <w:t>提供“投标声明书”。</w:t>
            </w:r>
          </w:p>
        </w:tc>
      </w:tr>
      <w:tr w14:paraId="15EA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8" w:type="dxa"/>
            <w:vAlign w:val="center"/>
          </w:tcPr>
          <w:p w14:paraId="6F37FE3E">
            <w:pPr>
              <w:spacing w:line="400" w:lineRule="exact"/>
              <w:jc w:val="center"/>
              <w:rPr>
                <w:rFonts w:ascii="宋体" w:hAnsi="宋体"/>
                <w:szCs w:val="21"/>
                <w:highlight w:val="none"/>
              </w:rPr>
            </w:pPr>
            <w:r>
              <w:rPr>
                <w:rFonts w:hint="eastAsia" w:ascii="宋体" w:hAnsi="宋体"/>
                <w:szCs w:val="21"/>
                <w:highlight w:val="none"/>
              </w:rPr>
              <w:t>3</w:t>
            </w:r>
          </w:p>
        </w:tc>
        <w:tc>
          <w:tcPr>
            <w:tcW w:w="2250" w:type="dxa"/>
            <w:vAlign w:val="center"/>
          </w:tcPr>
          <w:p w14:paraId="5882C980">
            <w:pPr>
              <w:spacing w:line="400" w:lineRule="exact"/>
              <w:rPr>
                <w:rFonts w:ascii="宋体" w:hAnsi="宋体"/>
                <w:szCs w:val="21"/>
                <w:highlight w:val="none"/>
              </w:rPr>
            </w:pPr>
            <w:r>
              <w:rPr>
                <w:rFonts w:hint="eastAsia" w:ascii="宋体" w:hAnsi="宋体"/>
                <w:szCs w:val="21"/>
                <w:highlight w:val="none"/>
              </w:rPr>
              <w:t>授权委托书</w:t>
            </w:r>
          </w:p>
        </w:tc>
        <w:tc>
          <w:tcPr>
            <w:tcW w:w="6311" w:type="dxa"/>
            <w:vAlign w:val="center"/>
          </w:tcPr>
          <w:p w14:paraId="1D8D68CA">
            <w:pPr>
              <w:spacing w:line="400" w:lineRule="exact"/>
              <w:rPr>
                <w:rFonts w:ascii="宋体" w:hAnsi="宋体"/>
                <w:b/>
                <w:bCs/>
                <w:szCs w:val="21"/>
                <w:highlight w:val="none"/>
              </w:rPr>
            </w:pPr>
            <w:r>
              <w:rPr>
                <w:rFonts w:hint="eastAsia" w:ascii="宋体" w:hAnsi="宋体"/>
                <w:szCs w:val="21"/>
                <w:highlight w:val="none"/>
              </w:rPr>
              <w:t>投标文件由投标人法定代表人（或单位负责人）</w:t>
            </w:r>
            <w:r>
              <w:rPr>
                <w:rFonts w:hint="eastAsia" w:ascii="宋体" w:hAnsi="宋体"/>
                <w:szCs w:val="21"/>
                <w:highlight w:val="none"/>
                <w:lang w:val="en-US" w:eastAsia="zh-CN"/>
              </w:rPr>
              <w:t>签署</w:t>
            </w:r>
            <w:r>
              <w:rPr>
                <w:rFonts w:hint="eastAsia" w:ascii="宋体" w:hAnsi="宋体"/>
                <w:szCs w:val="21"/>
                <w:highlight w:val="none"/>
              </w:rPr>
              <w:t>的，</w:t>
            </w:r>
            <w:r>
              <w:rPr>
                <w:rFonts w:hint="eastAsia" w:ascii="宋体" w:hAnsi="宋体"/>
                <w:b/>
                <w:bCs/>
                <w:szCs w:val="21"/>
                <w:highlight w:val="none"/>
              </w:rPr>
              <w:t>提供“法定代表人（或单位负责人）身份证明书”；</w:t>
            </w:r>
          </w:p>
          <w:p w14:paraId="4CC7F741">
            <w:pPr>
              <w:spacing w:line="400" w:lineRule="exact"/>
              <w:rPr>
                <w:rFonts w:ascii="宋体" w:hAnsi="宋体"/>
                <w:szCs w:val="21"/>
                <w:highlight w:val="none"/>
              </w:rPr>
            </w:pPr>
            <w:r>
              <w:rPr>
                <w:rFonts w:hint="eastAsia" w:ascii="宋体" w:hAnsi="宋体"/>
                <w:szCs w:val="21"/>
                <w:highlight w:val="none"/>
              </w:rPr>
              <w:t>投标文件由授权代表</w:t>
            </w:r>
            <w:r>
              <w:rPr>
                <w:rFonts w:hint="eastAsia" w:ascii="宋体" w:hAnsi="宋体"/>
                <w:szCs w:val="21"/>
                <w:highlight w:val="none"/>
                <w:lang w:val="en-US" w:eastAsia="zh-CN"/>
              </w:rPr>
              <w:t>签署</w:t>
            </w:r>
            <w:r>
              <w:rPr>
                <w:rFonts w:hint="eastAsia" w:ascii="宋体" w:hAnsi="宋体"/>
                <w:szCs w:val="21"/>
                <w:highlight w:val="none"/>
              </w:rPr>
              <w:t>的，</w:t>
            </w:r>
            <w:r>
              <w:rPr>
                <w:rFonts w:hint="eastAsia" w:ascii="宋体" w:hAnsi="宋体"/>
                <w:b/>
                <w:bCs/>
                <w:szCs w:val="21"/>
                <w:highlight w:val="none"/>
              </w:rPr>
              <w:t>提供“法定代表人（或单位负责人）的授权委托书”。</w:t>
            </w:r>
          </w:p>
        </w:tc>
      </w:tr>
      <w:tr w14:paraId="2904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8" w:type="dxa"/>
            <w:vAlign w:val="center"/>
          </w:tcPr>
          <w:p w14:paraId="1D5A0D0B">
            <w:pPr>
              <w:spacing w:line="400" w:lineRule="exact"/>
              <w:jc w:val="center"/>
              <w:rPr>
                <w:rFonts w:ascii="宋体" w:hAnsi="宋体"/>
                <w:szCs w:val="21"/>
                <w:highlight w:val="none"/>
              </w:rPr>
            </w:pPr>
            <w:r>
              <w:rPr>
                <w:rFonts w:hint="eastAsia" w:ascii="宋体" w:hAnsi="宋体"/>
                <w:szCs w:val="21"/>
                <w:highlight w:val="none"/>
              </w:rPr>
              <w:t>4</w:t>
            </w:r>
          </w:p>
        </w:tc>
        <w:tc>
          <w:tcPr>
            <w:tcW w:w="2250" w:type="dxa"/>
            <w:vAlign w:val="center"/>
          </w:tcPr>
          <w:p w14:paraId="34BED0CF">
            <w:pPr>
              <w:spacing w:line="400" w:lineRule="exact"/>
              <w:rPr>
                <w:rFonts w:ascii="宋体" w:hAnsi="宋体"/>
                <w:szCs w:val="21"/>
                <w:highlight w:val="none"/>
              </w:rPr>
            </w:pPr>
            <w:r>
              <w:rPr>
                <w:rFonts w:hint="eastAsia" w:ascii="宋体" w:hAnsi="宋体"/>
                <w:szCs w:val="21"/>
                <w:highlight w:val="none"/>
              </w:rPr>
              <w:t>投标文件的签署盖章</w:t>
            </w:r>
          </w:p>
        </w:tc>
        <w:tc>
          <w:tcPr>
            <w:tcW w:w="6311" w:type="dxa"/>
            <w:vAlign w:val="center"/>
          </w:tcPr>
          <w:p w14:paraId="7DAC9EE4">
            <w:pPr>
              <w:spacing w:line="400" w:lineRule="exact"/>
              <w:rPr>
                <w:rFonts w:ascii="宋体" w:hAnsi="宋体"/>
                <w:szCs w:val="21"/>
                <w:highlight w:val="none"/>
              </w:rPr>
            </w:pPr>
            <w:r>
              <w:rPr>
                <w:rFonts w:hint="eastAsia" w:ascii="宋体" w:hAnsi="宋体"/>
                <w:szCs w:val="21"/>
                <w:highlight w:val="none"/>
              </w:rPr>
              <w:t>投标文件按招标文件要求签署盖章</w:t>
            </w:r>
            <w:r>
              <w:rPr>
                <w:rFonts w:hint="eastAsia" w:ascii="宋体" w:hAnsi="宋体"/>
                <w:szCs w:val="21"/>
                <w:highlight w:val="none"/>
                <w:lang w:eastAsia="zh-CN"/>
              </w:rPr>
              <w:t>，</w:t>
            </w:r>
            <w:r>
              <w:rPr>
                <w:rFonts w:hint="eastAsia"/>
                <w:b/>
                <w:szCs w:val="21"/>
                <w:highlight w:val="none"/>
                <w:lang w:val="en-US" w:eastAsia="zh-CN"/>
              </w:rPr>
              <w:t>提供“</w:t>
            </w:r>
            <w:r>
              <w:rPr>
                <w:rFonts w:hint="eastAsia" w:ascii="宋体" w:hAnsi="宋体"/>
                <w:b/>
                <w:bCs/>
                <w:szCs w:val="21"/>
                <w:highlight w:val="none"/>
                <w:u w:val="single"/>
              </w:rPr>
              <w:t>本项目全套完整电子投标文件的内容</w:t>
            </w:r>
            <w:r>
              <w:rPr>
                <w:rFonts w:hint="eastAsia"/>
                <w:b/>
                <w:szCs w:val="21"/>
                <w:highlight w:val="none"/>
                <w:lang w:val="en-US" w:eastAsia="zh-CN"/>
              </w:rPr>
              <w:t>”。</w:t>
            </w:r>
          </w:p>
        </w:tc>
      </w:tr>
      <w:tr w14:paraId="3669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98" w:type="dxa"/>
            <w:vAlign w:val="center"/>
          </w:tcPr>
          <w:p w14:paraId="090118A8">
            <w:pPr>
              <w:spacing w:line="400" w:lineRule="exact"/>
              <w:jc w:val="center"/>
              <w:rPr>
                <w:rFonts w:ascii="宋体" w:hAnsi="宋体"/>
                <w:szCs w:val="21"/>
                <w:highlight w:val="none"/>
              </w:rPr>
            </w:pPr>
            <w:r>
              <w:rPr>
                <w:rFonts w:hint="eastAsia" w:ascii="宋体" w:hAnsi="宋体"/>
                <w:szCs w:val="21"/>
                <w:highlight w:val="none"/>
              </w:rPr>
              <w:t>5</w:t>
            </w:r>
          </w:p>
        </w:tc>
        <w:tc>
          <w:tcPr>
            <w:tcW w:w="2250" w:type="dxa"/>
            <w:vAlign w:val="center"/>
          </w:tcPr>
          <w:p w14:paraId="0EC286A6">
            <w:pPr>
              <w:spacing w:line="400" w:lineRule="exact"/>
              <w:rPr>
                <w:rFonts w:ascii="宋体" w:hAnsi="宋体"/>
                <w:szCs w:val="21"/>
                <w:highlight w:val="none"/>
              </w:rPr>
            </w:pPr>
            <w:r>
              <w:rPr>
                <w:rFonts w:hint="eastAsia" w:ascii="宋体" w:hAnsi="宋体"/>
                <w:szCs w:val="21"/>
                <w:highlight w:val="none"/>
              </w:rPr>
              <w:t>其他</w:t>
            </w:r>
          </w:p>
        </w:tc>
        <w:tc>
          <w:tcPr>
            <w:tcW w:w="6311" w:type="dxa"/>
            <w:vAlign w:val="center"/>
          </w:tcPr>
          <w:p w14:paraId="16F24E1E">
            <w:pPr>
              <w:spacing w:line="400" w:lineRule="exact"/>
              <w:rPr>
                <w:rFonts w:ascii="宋体" w:hAnsi="宋体"/>
                <w:szCs w:val="21"/>
                <w:highlight w:val="none"/>
              </w:rPr>
            </w:pPr>
            <w:r>
              <w:rPr>
                <w:rFonts w:hint="eastAsia" w:ascii="宋体" w:hAnsi="宋体"/>
                <w:szCs w:val="21"/>
                <w:highlight w:val="none"/>
              </w:rPr>
              <w:t>符合法律、法规和招标文件中规定的其他实质性要求（实质性要求招标文件中“</w:t>
            </w:r>
            <w:r>
              <w:rPr>
                <w:rFonts w:hint="eastAsia" w:hAnsi="宋体"/>
                <w:szCs w:val="21"/>
                <w:highlight w:val="none"/>
              </w:rPr>
              <w:t>▲</w:t>
            </w:r>
            <w:r>
              <w:rPr>
                <w:rFonts w:hint="eastAsia" w:ascii="宋体" w:hAnsi="宋体"/>
                <w:szCs w:val="21"/>
                <w:highlight w:val="none"/>
              </w:rPr>
              <w:t>”标记）</w:t>
            </w:r>
            <w:r>
              <w:rPr>
                <w:rFonts w:hint="eastAsia" w:ascii="宋体" w:hAnsi="宋体"/>
                <w:szCs w:val="21"/>
                <w:highlight w:val="none"/>
                <w:lang w:eastAsia="zh-CN"/>
              </w:rPr>
              <w:t>，</w:t>
            </w:r>
            <w:r>
              <w:rPr>
                <w:rFonts w:hint="eastAsia"/>
                <w:b/>
                <w:szCs w:val="21"/>
                <w:highlight w:val="none"/>
                <w:lang w:val="en-US" w:eastAsia="zh-CN"/>
              </w:rPr>
              <w:t>提供“</w:t>
            </w:r>
            <w:r>
              <w:rPr>
                <w:rFonts w:hint="eastAsia"/>
                <w:b/>
                <w:szCs w:val="21"/>
                <w:highlight w:val="none"/>
              </w:rPr>
              <w:t>服务条款偏离表</w:t>
            </w:r>
            <w:r>
              <w:rPr>
                <w:rFonts w:hint="eastAsia"/>
                <w:b/>
                <w:szCs w:val="21"/>
                <w:highlight w:val="none"/>
                <w:lang w:val="en-US" w:eastAsia="zh-CN"/>
              </w:rPr>
              <w:t>”</w:t>
            </w:r>
            <w:r>
              <w:rPr>
                <w:rFonts w:hint="eastAsia"/>
                <w:b/>
                <w:szCs w:val="21"/>
                <w:highlight w:val="none"/>
                <w:lang w:eastAsia="zh-CN"/>
              </w:rPr>
              <w:t>。</w:t>
            </w:r>
          </w:p>
        </w:tc>
      </w:tr>
    </w:tbl>
    <w:p w14:paraId="1F1F9FF6">
      <w:pPr>
        <w:pStyle w:val="4"/>
        <w:ind w:firstLine="422" w:firstLineChars="200"/>
        <w:rPr>
          <w:rFonts w:ascii="宋体" w:hAnsi="宋体"/>
          <w:b/>
          <w:sz w:val="21"/>
          <w:szCs w:val="21"/>
          <w:highlight w:val="none"/>
        </w:rPr>
      </w:pPr>
    </w:p>
    <w:p w14:paraId="34199C79">
      <w:pPr>
        <w:rPr>
          <w:highlight w:val="none"/>
        </w:rPr>
      </w:pPr>
      <w:r>
        <w:rPr>
          <w:rFonts w:hint="eastAsia" w:ascii="宋体" w:hAnsi="宋体"/>
          <w:b/>
          <w:szCs w:val="21"/>
          <w:highlight w:val="none"/>
        </w:rPr>
        <w:t>注：1、上述审查项目中，任意一项不符合的，符合性审查不合格。</w:t>
      </w:r>
    </w:p>
    <w:p w14:paraId="1DA0DE90">
      <w:pPr>
        <w:pStyle w:val="11"/>
        <w:rPr>
          <w:rFonts w:ascii="宋体" w:hAnsi="宋体"/>
          <w:szCs w:val="21"/>
          <w:highlight w:val="none"/>
        </w:rPr>
      </w:pPr>
    </w:p>
    <w:p w14:paraId="372D7B51">
      <w:pPr>
        <w:rPr>
          <w:rFonts w:ascii="宋体" w:hAnsi="宋体"/>
          <w:szCs w:val="21"/>
          <w:highlight w:val="none"/>
        </w:rPr>
      </w:pPr>
    </w:p>
    <w:p w14:paraId="12D6A18C">
      <w:pPr>
        <w:pStyle w:val="11"/>
        <w:rPr>
          <w:rFonts w:ascii="宋体" w:hAnsi="宋体"/>
          <w:szCs w:val="21"/>
          <w:highlight w:val="none"/>
        </w:rPr>
      </w:pPr>
    </w:p>
    <w:p w14:paraId="051FD3B7">
      <w:pPr>
        <w:rPr>
          <w:rFonts w:ascii="宋体" w:hAnsi="宋体"/>
          <w:szCs w:val="21"/>
          <w:highlight w:val="none"/>
        </w:rPr>
      </w:pPr>
    </w:p>
    <w:p w14:paraId="52B0C01A">
      <w:pPr>
        <w:pStyle w:val="11"/>
        <w:rPr>
          <w:rFonts w:ascii="宋体" w:hAnsi="宋体"/>
          <w:szCs w:val="21"/>
          <w:highlight w:val="none"/>
        </w:rPr>
      </w:pPr>
    </w:p>
    <w:p w14:paraId="750029DF">
      <w:pPr>
        <w:rPr>
          <w:rFonts w:ascii="宋体" w:hAnsi="宋体"/>
          <w:szCs w:val="21"/>
          <w:highlight w:val="none"/>
        </w:rPr>
      </w:pPr>
    </w:p>
    <w:p w14:paraId="277587F7">
      <w:pPr>
        <w:pStyle w:val="11"/>
        <w:rPr>
          <w:rFonts w:ascii="宋体" w:hAnsi="宋体"/>
          <w:szCs w:val="21"/>
          <w:highlight w:val="none"/>
        </w:rPr>
      </w:pPr>
    </w:p>
    <w:p w14:paraId="7694F7DA">
      <w:pPr>
        <w:rPr>
          <w:rFonts w:ascii="宋体" w:hAnsi="宋体"/>
          <w:szCs w:val="21"/>
          <w:highlight w:val="none"/>
        </w:rPr>
      </w:pPr>
    </w:p>
    <w:p w14:paraId="538EE210">
      <w:pPr>
        <w:pStyle w:val="11"/>
        <w:rPr>
          <w:rFonts w:ascii="宋体" w:hAnsi="宋体"/>
          <w:szCs w:val="21"/>
          <w:highlight w:val="none"/>
        </w:rPr>
      </w:pPr>
    </w:p>
    <w:p w14:paraId="4031C5FD">
      <w:pPr>
        <w:rPr>
          <w:rFonts w:ascii="宋体" w:hAnsi="宋体"/>
          <w:szCs w:val="21"/>
          <w:highlight w:val="none"/>
        </w:rPr>
      </w:pPr>
    </w:p>
    <w:p w14:paraId="15FE7E7A">
      <w:pPr>
        <w:pStyle w:val="11"/>
        <w:rPr>
          <w:rFonts w:ascii="宋体" w:hAnsi="宋体"/>
          <w:szCs w:val="21"/>
          <w:highlight w:val="none"/>
        </w:rPr>
      </w:pPr>
    </w:p>
    <w:p w14:paraId="69A75449">
      <w:pPr>
        <w:rPr>
          <w:rFonts w:ascii="宋体" w:hAnsi="宋体"/>
          <w:szCs w:val="21"/>
          <w:highlight w:val="none"/>
        </w:rPr>
      </w:pPr>
    </w:p>
    <w:p w14:paraId="40498750">
      <w:pPr>
        <w:pStyle w:val="11"/>
        <w:rPr>
          <w:rFonts w:ascii="宋体" w:hAnsi="宋体"/>
          <w:szCs w:val="21"/>
          <w:highlight w:val="none"/>
        </w:rPr>
      </w:pPr>
    </w:p>
    <w:p w14:paraId="0AD84EA6">
      <w:pPr>
        <w:rPr>
          <w:rFonts w:ascii="宋体" w:hAnsi="宋体"/>
          <w:szCs w:val="21"/>
          <w:highlight w:val="none"/>
        </w:rPr>
      </w:pPr>
    </w:p>
    <w:p w14:paraId="0985F611">
      <w:pPr>
        <w:pStyle w:val="11"/>
        <w:rPr>
          <w:rFonts w:ascii="宋体" w:hAnsi="宋体"/>
          <w:szCs w:val="21"/>
          <w:highlight w:val="none"/>
        </w:rPr>
      </w:pPr>
    </w:p>
    <w:p w14:paraId="6F1BDFCA">
      <w:pPr>
        <w:rPr>
          <w:rFonts w:ascii="宋体" w:hAnsi="宋体"/>
          <w:szCs w:val="21"/>
          <w:highlight w:val="none"/>
        </w:rPr>
      </w:pPr>
    </w:p>
    <w:p w14:paraId="3A46E95D">
      <w:pPr>
        <w:pStyle w:val="11"/>
        <w:rPr>
          <w:rFonts w:ascii="宋体" w:hAnsi="宋体"/>
          <w:szCs w:val="21"/>
          <w:highlight w:val="none"/>
        </w:rPr>
      </w:pPr>
    </w:p>
    <w:p w14:paraId="766DA102">
      <w:pPr>
        <w:rPr>
          <w:rFonts w:ascii="宋体" w:hAnsi="宋体"/>
          <w:szCs w:val="21"/>
          <w:highlight w:val="none"/>
        </w:rPr>
      </w:pPr>
    </w:p>
    <w:p w14:paraId="26C1ACA5">
      <w:pPr>
        <w:pStyle w:val="11"/>
        <w:rPr>
          <w:highlight w:val="none"/>
        </w:rPr>
      </w:pPr>
    </w:p>
    <w:p w14:paraId="1DD9345B">
      <w:pPr>
        <w:pStyle w:val="11"/>
        <w:rPr>
          <w:rFonts w:ascii="宋体" w:hAnsi="宋体"/>
          <w:szCs w:val="21"/>
          <w:highlight w:val="none"/>
        </w:rPr>
      </w:pPr>
    </w:p>
    <w:p w14:paraId="7397D1AE">
      <w:pPr>
        <w:rPr>
          <w:rFonts w:ascii="宋体" w:hAnsi="宋体"/>
          <w:szCs w:val="21"/>
          <w:highlight w:val="none"/>
        </w:rPr>
      </w:pPr>
    </w:p>
    <w:p w14:paraId="46BFE7C6">
      <w:pPr>
        <w:pStyle w:val="11"/>
        <w:rPr>
          <w:rFonts w:hint="eastAsia" w:ascii="宋体" w:hAnsi="宋体" w:eastAsia="宋体"/>
          <w:szCs w:val="21"/>
          <w:highlight w:val="none"/>
          <w:lang w:eastAsia="zh-CN"/>
        </w:rPr>
      </w:pPr>
    </w:p>
    <w:p w14:paraId="7FD78A94">
      <w:pPr>
        <w:rPr>
          <w:rFonts w:hint="eastAsia"/>
          <w:lang w:eastAsia="zh-CN"/>
        </w:rPr>
      </w:pPr>
    </w:p>
    <w:p w14:paraId="47A4DAF1">
      <w:pPr>
        <w:rPr>
          <w:rFonts w:ascii="宋体" w:hAnsi="宋体"/>
          <w:szCs w:val="21"/>
          <w:highlight w:val="none"/>
        </w:rPr>
      </w:pPr>
    </w:p>
    <w:p w14:paraId="348BF5B5">
      <w:pPr>
        <w:pStyle w:val="11"/>
        <w:rPr>
          <w:highlight w:val="none"/>
        </w:rPr>
      </w:pPr>
    </w:p>
    <w:p w14:paraId="065F29BF">
      <w:pPr>
        <w:rPr>
          <w:rFonts w:ascii="宋体" w:hAnsi="宋体"/>
          <w:szCs w:val="21"/>
          <w:highlight w:val="none"/>
        </w:rPr>
      </w:pPr>
    </w:p>
    <w:p w14:paraId="51644390">
      <w:pPr>
        <w:spacing w:line="360" w:lineRule="auto"/>
        <w:rPr>
          <w:rFonts w:ascii="宋体" w:hAnsi="宋体"/>
          <w:szCs w:val="21"/>
          <w:highlight w:val="none"/>
        </w:rPr>
      </w:pPr>
    </w:p>
    <w:p w14:paraId="5F999813">
      <w:pPr>
        <w:spacing w:line="360" w:lineRule="auto"/>
        <w:rPr>
          <w:rFonts w:ascii="宋体" w:hAnsi="宋体"/>
          <w:szCs w:val="21"/>
        </w:rPr>
      </w:pPr>
      <w:r>
        <w:rPr>
          <w:rFonts w:hint="eastAsia" w:ascii="宋体" w:hAnsi="宋体"/>
          <w:szCs w:val="21"/>
        </w:rPr>
        <w:t>附表</w:t>
      </w:r>
      <w:r>
        <w:rPr>
          <w:rFonts w:hint="eastAsia" w:ascii="宋体" w:hAnsi="宋体"/>
          <w:szCs w:val="21"/>
          <w:lang w:val="en-US" w:eastAsia="zh-CN"/>
        </w:rPr>
        <w:t>3</w:t>
      </w:r>
      <w:r>
        <w:rPr>
          <w:rFonts w:hint="eastAsia" w:ascii="宋体" w:hAnsi="宋体"/>
          <w:szCs w:val="21"/>
        </w:rPr>
        <w:t>：</w:t>
      </w:r>
    </w:p>
    <w:p w14:paraId="11FA152B">
      <w:pPr>
        <w:widowControl/>
        <w:snapToGrid w:val="0"/>
        <w:spacing w:line="360" w:lineRule="auto"/>
        <w:jc w:val="center"/>
        <w:rPr>
          <w:rFonts w:ascii="宋体" w:hAnsi="宋体"/>
          <w:b/>
          <w:bCs/>
          <w:szCs w:val="21"/>
        </w:rPr>
      </w:pPr>
      <w:r>
        <w:rPr>
          <w:rFonts w:hint="eastAsia" w:ascii="宋体" w:hAnsi="宋体"/>
          <w:b/>
          <w:bCs/>
          <w:szCs w:val="21"/>
        </w:rPr>
        <w:t>评标细则（兼评委打分表）</w:t>
      </w:r>
    </w:p>
    <w:tbl>
      <w:tblPr>
        <w:tblStyle w:val="15"/>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559"/>
        <w:gridCol w:w="6249"/>
      </w:tblGrid>
      <w:tr w14:paraId="7D66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jc w:val="center"/>
        </w:trPr>
        <w:tc>
          <w:tcPr>
            <w:tcW w:w="2690" w:type="dxa"/>
            <w:gridSpan w:val="2"/>
            <w:noWrap/>
            <w:vAlign w:val="center"/>
          </w:tcPr>
          <w:p w14:paraId="3111E6B4">
            <w:pPr>
              <w:spacing w:line="440" w:lineRule="exact"/>
              <w:jc w:val="center"/>
              <w:rPr>
                <w:rFonts w:ascii="宋体" w:cs="宋体"/>
                <w:b/>
                <w:szCs w:val="21"/>
              </w:rPr>
            </w:pPr>
            <w:r>
              <w:rPr>
                <w:rFonts w:hint="eastAsia" w:ascii="宋体" w:hAnsi="宋体" w:cs="宋体"/>
                <w:b/>
                <w:szCs w:val="21"/>
              </w:rPr>
              <w:t>评审项目</w:t>
            </w:r>
          </w:p>
        </w:tc>
        <w:tc>
          <w:tcPr>
            <w:tcW w:w="6249" w:type="dxa"/>
            <w:noWrap/>
            <w:vAlign w:val="center"/>
          </w:tcPr>
          <w:p w14:paraId="13DBEC9C">
            <w:pPr>
              <w:spacing w:line="440" w:lineRule="exact"/>
              <w:jc w:val="center"/>
              <w:rPr>
                <w:rFonts w:ascii="宋体" w:cs="宋体"/>
                <w:b/>
                <w:szCs w:val="21"/>
              </w:rPr>
            </w:pPr>
            <w:r>
              <w:rPr>
                <w:rFonts w:hint="eastAsia" w:ascii="宋体" w:hAnsi="宋体" w:cs="宋体"/>
                <w:b/>
                <w:szCs w:val="21"/>
              </w:rPr>
              <w:t>评审内容及评分标准</w:t>
            </w:r>
          </w:p>
        </w:tc>
      </w:tr>
      <w:tr w14:paraId="69B7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1131" w:type="dxa"/>
            <w:vMerge w:val="restart"/>
            <w:noWrap/>
            <w:vAlign w:val="center"/>
          </w:tcPr>
          <w:p w14:paraId="70832B13">
            <w:pPr>
              <w:spacing w:line="300" w:lineRule="exact"/>
              <w:jc w:val="center"/>
              <w:rPr>
                <w:rFonts w:ascii="宋体" w:hAnsi="宋体"/>
                <w:szCs w:val="21"/>
              </w:rPr>
            </w:pPr>
            <w:r>
              <w:rPr>
                <w:rFonts w:hint="eastAsia" w:ascii="宋体" w:hAnsi="宋体"/>
                <w:szCs w:val="21"/>
              </w:rPr>
              <w:t>一、经营状况</w:t>
            </w:r>
          </w:p>
          <w:p w14:paraId="703B46F9">
            <w:pPr>
              <w:spacing w:line="300" w:lineRule="exact"/>
              <w:jc w:val="center"/>
              <w:rPr>
                <w:rFonts w:ascii="宋体" w:hAnsi="宋体" w:cs="宋体"/>
                <w:kern w:val="0"/>
                <w:szCs w:val="21"/>
              </w:rPr>
            </w:pPr>
            <w:r>
              <w:rPr>
                <w:rFonts w:hint="eastAsia" w:ascii="宋体" w:hAnsi="宋体"/>
                <w:szCs w:val="21"/>
              </w:rPr>
              <w:t>（</w:t>
            </w:r>
            <w:r>
              <w:rPr>
                <w:rFonts w:hint="eastAsia" w:ascii="宋体" w:hAnsi="宋体"/>
                <w:szCs w:val="21"/>
                <w:lang w:val="en-US" w:eastAsia="zh-CN"/>
              </w:rPr>
              <w:t>32</w:t>
            </w:r>
            <w:r>
              <w:rPr>
                <w:rFonts w:hint="eastAsia" w:ascii="宋体" w:hAnsi="宋体"/>
                <w:szCs w:val="21"/>
              </w:rPr>
              <w:t>分）</w:t>
            </w:r>
          </w:p>
        </w:tc>
        <w:tc>
          <w:tcPr>
            <w:tcW w:w="1559" w:type="dxa"/>
            <w:noWrap/>
            <w:vAlign w:val="center"/>
          </w:tcPr>
          <w:p w14:paraId="05C2EB67">
            <w:pPr>
              <w:spacing w:line="300" w:lineRule="exact"/>
              <w:jc w:val="center"/>
              <w:rPr>
                <w:rFonts w:ascii="宋体"/>
                <w:szCs w:val="21"/>
              </w:rPr>
            </w:pPr>
            <w:r>
              <w:rPr>
                <w:rFonts w:ascii="宋体" w:hAnsi="宋体"/>
                <w:szCs w:val="21"/>
              </w:rPr>
              <w:t>1.</w:t>
            </w:r>
            <w:r>
              <w:rPr>
                <w:rFonts w:hint="eastAsia" w:ascii="宋体" w:hAnsi="宋体"/>
                <w:szCs w:val="21"/>
              </w:rPr>
              <w:t>资本</w:t>
            </w:r>
          </w:p>
          <w:p w14:paraId="143ADAEB">
            <w:pPr>
              <w:spacing w:line="300" w:lineRule="exact"/>
              <w:jc w:val="center"/>
              <w:rPr>
                <w:rFonts w:ascii="宋体"/>
                <w:szCs w:val="21"/>
              </w:rPr>
            </w:pPr>
            <w:r>
              <w:rPr>
                <w:rFonts w:hint="eastAsia" w:ascii="宋体" w:hAnsi="宋体"/>
                <w:szCs w:val="21"/>
              </w:rPr>
              <w:t>充足率</w:t>
            </w:r>
          </w:p>
          <w:p w14:paraId="03ED4690">
            <w:pPr>
              <w:spacing w:line="300" w:lineRule="exact"/>
              <w:jc w:val="center"/>
              <w:rPr>
                <w:rFonts w:ascii="宋体" w:hAnsi="宋体" w:cs="宋体"/>
                <w:b/>
                <w:kern w:val="0"/>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分）</w:t>
            </w:r>
          </w:p>
        </w:tc>
        <w:tc>
          <w:tcPr>
            <w:tcW w:w="6249" w:type="dxa"/>
            <w:noWrap/>
            <w:vAlign w:val="center"/>
          </w:tcPr>
          <w:p w14:paraId="1FDDA649">
            <w:pPr>
              <w:spacing w:line="320" w:lineRule="exact"/>
              <w:jc w:val="left"/>
              <w:rPr>
                <w:rFonts w:ascii="宋体"/>
                <w:szCs w:val="21"/>
              </w:rPr>
            </w:pPr>
            <w:r>
              <w:rPr>
                <w:rFonts w:hint="eastAsia" w:ascii="宋体" w:hAnsi="宋体"/>
                <w:szCs w:val="21"/>
              </w:rPr>
              <w:t>根据投标人总行的</w:t>
            </w:r>
            <w:r>
              <w:rPr>
                <w:rFonts w:hint="eastAsia" w:ascii="宋体" w:hAnsi="宋体"/>
                <w:szCs w:val="21"/>
                <w:lang w:eastAsia="zh-CN"/>
              </w:rPr>
              <w:t>2024</w:t>
            </w:r>
            <w:r>
              <w:rPr>
                <w:rFonts w:hint="eastAsia" w:ascii="宋体" w:hAnsi="宋体"/>
                <w:szCs w:val="21"/>
              </w:rPr>
              <w:t>年末数据进行评审：</w:t>
            </w:r>
          </w:p>
          <w:p w14:paraId="5860BE72">
            <w:pPr>
              <w:spacing w:line="320" w:lineRule="exact"/>
              <w:jc w:val="left"/>
              <w:rPr>
                <w:rFonts w:ascii="宋体" w:cs="宋体"/>
                <w:iCs/>
                <w:kern w:val="0"/>
                <w:szCs w:val="21"/>
              </w:rPr>
            </w:pPr>
            <w:r>
              <w:rPr>
                <w:rFonts w:hint="eastAsia" w:ascii="宋体" w:hAnsi="宋体" w:cs="宋体"/>
                <w:iCs/>
                <w:kern w:val="0"/>
                <w:szCs w:val="21"/>
                <w:lang w:val="en-US" w:eastAsia="zh-CN"/>
              </w:rPr>
              <w:t>18</w:t>
            </w:r>
            <w:r>
              <w:rPr>
                <w:rFonts w:ascii="宋体" w:hAnsi="宋体" w:cs="宋体"/>
                <w:iCs/>
                <w:kern w:val="0"/>
                <w:szCs w:val="21"/>
              </w:rPr>
              <w:t>%</w:t>
            </w:r>
            <w:r>
              <w:rPr>
                <w:rFonts w:hint="eastAsia" w:ascii="宋体" w:hAnsi="宋体" w:cs="宋体"/>
                <w:iCs/>
                <w:kern w:val="0"/>
                <w:szCs w:val="21"/>
              </w:rPr>
              <w:t>及以上的，得</w:t>
            </w:r>
            <w:r>
              <w:rPr>
                <w:rFonts w:hint="eastAsia" w:ascii="宋体" w:hAnsi="宋体" w:cs="宋体"/>
                <w:iCs/>
                <w:kern w:val="0"/>
                <w:szCs w:val="21"/>
                <w:lang w:val="en-US" w:eastAsia="zh-CN"/>
              </w:rPr>
              <w:t>7</w:t>
            </w:r>
            <w:r>
              <w:rPr>
                <w:rFonts w:hint="eastAsia" w:ascii="宋体" w:hAnsi="宋体" w:cs="宋体"/>
                <w:iCs/>
                <w:kern w:val="0"/>
                <w:szCs w:val="21"/>
              </w:rPr>
              <w:t>分；</w:t>
            </w:r>
            <w:r>
              <w:rPr>
                <w:rFonts w:ascii="宋体" w:cs="宋体"/>
                <w:iCs/>
                <w:kern w:val="0"/>
                <w:szCs w:val="21"/>
              </w:rPr>
              <w:br w:type="textWrapping"/>
            </w:r>
            <w:r>
              <w:rPr>
                <w:rFonts w:hint="eastAsia" w:ascii="宋体" w:hAnsi="宋体" w:cs="宋体"/>
                <w:iCs/>
                <w:kern w:val="0"/>
                <w:szCs w:val="21"/>
                <w:lang w:val="en-US" w:eastAsia="zh-CN"/>
              </w:rPr>
              <w:t>16</w:t>
            </w:r>
            <w:r>
              <w:rPr>
                <w:rFonts w:ascii="宋体" w:hAnsi="宋体" w:cs="宋体"/>
                <w:iCs/>
                <w:kern w:val="0"/>
                <w:szCs w:val="21"/>
              </w:rPr>
              <w:t>%</w:t>
            </w:r>
            <w:r>
              <w:rPr>
                <w:rFonts w:hint="eastAsia" w:ascii="宋体" w:hAnsi="宋体" w:cs="宋体"/>
                <w:iCs/>
                <w:kern w:val="0"/>
                <w:szCs w:val="21"/>
              </w:rPr>
              <w:t>（含）</w:t>
            </w:r>
            <w:r>
              <w:rPr>
                <w:rFonts w:ascii="宋体" w:hAnsi="宋体" w:cs="宋体"/>
                <w:iCs/>
                <w:kern w:val="0"/>
                <w:szCs w:val="21"/>
              </w:rPr>
              <w:t>-</w:t>
            </w:r>
            <w:r>
              <w:rPr>
                <w:rFonts w:hint="eastAsia" w:ascii="宋体" w:hAnsi="宋体" w:cs="宋体"/>
                <w:iCs/>
                <w:kern w:val="0"/>
                <w:szCs w:val="21"/>
                <w:lang w:val="en-US" w:eastAsia="zh-CN"/>
              </w:rPr>
              <w:t>18</w:t>
            </w:r>
            <w:r>
              <w:rPr>
                <w:rFonts w:ascii="宋体" w:hAnsi="宋体" w:cs="宋体"/>
                <w:iCs/>
                <w:kern w:val="0"/>
                <w:szCs w:val="21"/>
              </w:rPr>
              <w:t>%</w:t>
            </w:r>
            <w:r>
              <w:rPr>
                <w:rFonts w:hint="eastAsia" w:ascii="宋体" w:hAnsi="宋体" w:cs="宋体"/>
                <w:iCs/>
                <w:kern w:val="0"/>
                <w:szCs w:val="21"/>
              </w:rPr>
              <w:t>（不含）的，得</w:t>
            </w:r>
            <w:r>
              <w:rPr>
                <w:rFonts w:hint="eastAsia" w:ascii="宋体" w:hAnsi="宋体" w:cs="宋体"/>
                <w:iCs/>
                <w:kern w:val="0"/>
                <w:szCs w:val="21"/>
                <w:lang w:val="en-US" w:eastAsia="zh-CN"/>
              </w:rPr>
              <w:t>5</w:t>
            </w:r>
            <w:r>
              <w:rPr>
                <w:rFonts w:hint="eastAsia" w:ascii="宋体" w:hAnsi="宋体" w:cs="宋体"/>
                <w:iCs/>
                <w:kern w:val="0"/>
                <w:szCs w:val="21"/>
              </w:rPr>
              <w:t>分；</w:t>
            </w:r>
            <w:r>
              <w:rPr>
                <w:rFonts w:ascii="宋体" w:cs="宋体"/>
                <w:iCs/>
                <w:kern w:val="0"/>
                <w:szCs w:val="21"/>
              </w:rPr>
              <w:br w:type="textWrapping"/>
            </w:r>
            <w:r>
              <w:rPr>
                <w:rFonts w:hint="eastAsia" w:ascii="宋体" w:hAnsi="宋体" w:cs="宋体"/>
                <w:iCs/>
                <w:kern w:val="0"/>
                <w:szCs w:val="21"/>
                <w:lang w:val="en-US" w:eastAsia="zh-CN"/>
              </w:rPr>
              <w:t>14</w:t>
            </w:r>
            <w:r>
              <w:rPr>
                <w:rFonts w:ascii="宋体" w:hAnsi="宋体" w:cs="宋体"/>
                <w:iCs/>
                <w:kern w:val="0"/>
                <w:szCs w:val="21"/>
              </w:rPr>
              <w:t>%</w:t>
            </w:r>
            <w:r>
              <w:rPr>
                <w:rFonts w:hint="eastAsia" w:ascii="宋体" w:hAnsi="宋体" w:cs="宋体"/>
                <w:iCs/>
                <w:kern w:val="0"/>
                <w:szCs w:val="21"/>
              </w:rPr>
              <w:t>（含）</w:t>
            </w:r>
            <w:r>
              <w:rPr>
                <w:rFonts w:ascii="宋体" w:hAnsi="宋体" w:cs="宋体"/>
                <w:iCs/>
                <w:kern w:val="0"/>
                <w:szCs w:val="21"/>
              </w:rPr>
              <w:t>-</w:t>
            </w:r>
            <w:r>
              <w:rPr>
                <w:rFonts w:hint="eastAsia" w:ascii="宋体" w:hAnsi="宋体" w:cs="宋体"/>
                <w:iCs/>
                <w:kern w:val="0"/>
                <w:szCs w:val="21"/>
                <w:lang w:val="en-US" w:eastAsia="zh-CN"/>
              </w:rPr>
              <w:t>16</w:t>
            </w:r>
            <w:r>
              <w:rPr>
                <w:rFonts w:ascii="宋体" w:hAnsi="宋体" w:cs="宋体"/>
                <w:iCs/>
                <w:kern w:val="0"/>
                <w:szCs w:val="21"/>
              </w:rPr>
              <w:t>%</w:t>
            </w:r>
            <w:r>
              <w:rPr>
                <w:rFonts w:hint="eastAsia" w:ascii="宋体" w:hAnsi="宋体" w:cs="宋体"/>
                <w:iCs/>
                <w:kern w:val="0"/>
                <w:szCs w:val="21"/>
              </w:rPr>
              <w:t>（不含）的，得</w:t>
            </w:r>
            <w:r>
              <w:rPr>
                <w:rFonts w:hint="eastAsia" w:ascii="宋体" w:hAnsi="宋体" w:cs="宋体"/>
                <w:iCs/>
                <w:kern w:val="0"/>
                <w:szCs w:val="21"/>
                <w:lang w:val="en-US" w:eastAsia="zh-CN"/>
              </w:rPr>
              <w:t>3</w:t>
            </w:r>
            <w:r>
              <w:rPr>
                <w:rFonts w:hint="eastAsia" w:ascii="宋体" w:hAnsi="宋体" w:cs="宋体"/>
                <w:iCs/>
                <w:kern w:val="0"/>
                <w:szCs w:val="21"/>
              </w:rPr>
              <w:t>分；</w:t>
            </w:r>
          </w:p>
          <w:p w14:paraId="72C4089A">
            <w:pPr>
              <w:spacing w:line="320" w:lineRule="exact"/>
              <w:jc w:val="left"/>
              <w:rPr>
                <w:rFonts w:ascii="宋体" w:cs="宋体"/>
                <w:iCs/>
                <w:kern w:val="0"/>
                <w:szCs w:val="21"/>
              </w:rPr>
            </w:pPr>
            <w:r>
              <w:rPr>
                <w:rFonts w:hint="eastAsia" w:ascii="宋体" w:hAnsi="宋体" w:cs="宋体"/>
                <w:iCs/>
                <w:kern w:val="0"/>
                <w:szCs w:val="21"/>
                <w:lang w:val="en-US" w:eastAsia="zh-CN"/>
              </w:rPr>
              <w:t>14</w:t>
            </w:r>
            <w:r>
              <w:rPr>
                <w:rFonts w:ascii="宋体" w:hAnsi="宋体" w:cs="宋体"/>
                <w:iCs/>
                <w:kern w:val="0"/>
                <w:szCs w:val="21"/>
              </w:rPr>
              <w:t>%</w:t>
            </w:r>
            <w:r>
              <w:rPr>
                <w:rFonts w:hint="eastAsia" w:ascii="宋体" w:hAnsi="宋体" w:cs="宋体"/>
                <w:iCs/>
                <w:kern w:val="0"/>
                <w:szCs w:val="21"/>
              </w:rPr>
              <w:t>以下的，得</w:t>
            </w:r>
            <w:r>
              <w:rPr>
                <w:rFonts w:hint="eastAsia" w:ascii="宋体" w:hAnsi="宋体" w:cs="宋体"/>
                <w:iCs/>
                <w:kern w:val="0"/>
                <w:szCs w:val="21"/>
                <w:lang w:val="en-US" w:eastAsia="zh-CN"/>
              </w:rPr>
              <w:t>1</w:t>
            </w:r>
            <w:r>
              <w:rPr>
                <w:rFonts w:hint="eastAsia" w:ascii="宋体" w:hAnsi="宋体" w:cs="宋体"/>
                <w:iCs/>
                <w:kern w:val="0"/>
                <w:szCs w:val="21"/>
              </w:rPr>
              <w:t>分。</w:t>
            </w:r>
          </w:p>
          <w:p w14:paraId="17A07E01">
            <w:pPr>
              <w:spacing w:line="320" w:lineRule="exact"/>
              <w:jc w:val="left"/>
              <w:rPr>
                <w:rFonts w:ascii="宋体" w:cs="宋体"/>
                <w:iCs/>
                <w:kern w:val="0"/>
                <w:szCs w:val="21"/>
              </w:rPr>
            </w:pPr>
            <w:r>
              <w:rPr>
                <w:rFonts w:hint="eastAsia" w:ascii="宋体" w:hAnsi="宋体"/>
                <w:szCs w:val="21"/>
              </w:rPr>
              <w:t>本项最高得</w:t>
            </w:r>
            <w:r>
              <w:rPr>
                <w:rFonts w:hint="eastAsia" w:ascii="宋体" w:hAnsi="宋体"/>
                <w:szCs w:val="21"/>
                <w:lang w:val="en-US" w:eastAsia="zh-CN"/>
              </w:rPr>
              <w:t>7</w:t>
            </w:r>
            <w:r>
              <w:rPr>
                <w:rFonts w:hint="eastAsia" w:ascii="宋体" w:hAnsi="宋体"/>
                <w:szCs w:val="21"/>
              </w:rPr>
              <w:t>分。</w:t>
            </w:r>
          </w:p>
          <w:p w14:paraId="40EB431C">
            <w:pPr>
              <w:spacing w:line="320" w:lineRule="exact"/>
              <w:jc w:val="left"/>
              <w:rPr>
                <w:rFonts w:ascii="宋体" w:hAnsi="宋体"/>
                <w:spacing w:val="-3"/>
                <w:szCs w:val="21"/>
              </w:rPr>
            </w:pPr>
            <w:r>
              <w:rPr>
                <w:rFonts w:hint="eastAsia" w:ascii="宋体" w:hAnsi="宋体" w:cs="宋体"/>
                <w:iCs/>
                <w:kern w:val="0"/>
                <w:szCs w:val="21"/>
              </w:rPr>
              <w:t>投标文件须提供相关资料复印件加盖投标人公章，未提供不得分。</w:t>
            </w:r>
          </w:p>
        </w:tc>
      </w:tr>
      <w:tr w14:paraId="0896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4" w:hRule="atLeast"/>
          <w:jc w:val="center"/>
        </w:trPr>
        <w:tc>
          <w:tcPr>
            <w:tcW w:w="1131" w:type="dxa"/>
            <w:vMerge w:val="continue"/>
            <w:noWrap/>
            <w:vAlign w:val="center"/>
          </w:tcPr>
          <w:p w14:paraId="2218B048">
            <w:pPr>
              <w:spacing w:line="300" w:lineRule="exact"/>
              <w:jc w:val="center"/>
              <w:rPr>
                <w:rFonts w:ascii="宋体" w:hAnsi="宋体"/>
                <w:szCs w:val="21"/>
              </w:rPr>
            </w:pPr>
          </w:p>
        </w:tc>
        <w:tc>
          <w:tcPr>
            <w:tcW w:w="1559" w:type="dxa"/>
            <w:noWrap/>
            <w:vAlign w:val="center"/>
          </w:tcPr>
          <w:p w14:paraId="35432710">
            <w:pPr>
              <w:spacing w:line="300" w:lineRule="exact"/>
              <w:jc w:val="center"/>
              <w:rPr>
                <w:rFonts w:ascii="宋体"/>
                <w:szCs w:val="21"/>
              </w:rPr>
            </w:pPr>
            <w:r>
              <w:rPr>
                <w:rFonts w:ascii="宋体" w:hAnsi="宋体"/>
                <w:szCs w:val="21"/>
              </w:rPr>
              <w:t>2.</w:t>
            </w:r>
            <w:r>
              <w:rPr>
                <w:rFonts w:hint="eastAsia" w:ascii="宋体" w:hAnsi="宋体"/>
                <w:szCs w:val="21"/>
              </w:rPr>
              <w:t>不良</w:t>
            </w:r>
          </w:p>
          <w:p w14:paraId="44AEC232">
            <w:pPr>
              <w:spacing w:line="300" w:lineRule="exact"/>
              <w:jc w:val="center"/>
              <w:rPr>
                <w:rFonts w:ascii="宋体"/>
                <w:szCs w:val="21"/>
              </w:rPr>
            </w:pPr>
            <w:r>
              <w:rPr>
                <w:rFonts w:hint="eastAsia" w:ascii="宋体" w:hAnsi="宋体"/>
                <w:szCs w:val="21"/>
              </w:rPr>
              <w:t>贷款率</w:t>
            </w:r>
          </w:p>
          <w:p w14:paraId="1A7FBE0C">
            <w:pPr>
              <w:spacing w:line="300" w:lineRule="exact"/>
              <w:jc w:val="center"/>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分）</w:t>
            </w:r>
          </w:p>
        </w:tc>
        <w:tc>
          <w:tcPr>
            <w:tcW w:w="6249" w:type="dxa"/>
            <w:noWrap/>
            <w:vAlign w:val="center"/>
          </w:tcPr>
          <w:p w14:paraId="14D9ED0E">
            <w:pPr>
              <w:spacing w:line="320" w:lineRule="exact"/>
              <w:jc w:val="left"/>
              <w:rPr>
                <w:rFonts w:ascii="宋体" w:cs="宋体"/>
                <w:iCs/>
                <w:kern w:val="0"/>
                <w:szCs w:val="21"/>
              </w:rPr>
            </w:pPr>
            <w:r>
              <w:rPr>
                <w:rFonts w:hint="eastAsia" w:ascii="宋体" w:hAnsi="宋体"/>
                <w:szCs w:val="21"/>
              </w:rPr>
              <w:t>根据投标人总行的</w:t>
            </w:r>
            <w:r>
              <w:rPr>
                <w:rFonts w:hint="eastAsia" w:ascii="宋体" w:hAnsi="宋体"/>
                <w:szCs w:val="21"/>
                <w:lang w:eastAsia="zh-CN"/>
              </w:rPr>
              <w:t>2024</w:t>
            </w:r>
            <w:r>
              <w:rPr>
                <w:rFonts w:hint="eastAsia" w:ascii="宋体" w:hAnsi="宋体"/>
                <w:szCs w:val="21"/>
              </w:rPr>
              <w:t>年末数据进行</w:t>
            </w:r>
            <w:r>
              <w:rPr>
                <w:rFonts w:hint="eastAsia" w:ascii="宋体" w:hAnsi="宋体" w:cs="宋体"/>
                <w:iCs/>
                <w:kern w:val="0"/>
                <w:szCs w:val="21"/>
              </w:rPr>
              <w:t>评审：</w:t>
            </w:r>
          </w:p>
          <w:p w14:paraId="5E9CA177">
            <w:pPr>
              <w:spacing w:line="320" w:lineRule="exact"/>
              <w:jc w:val="left"/>
              <w:rPr>
                <w:rFonts w:ascii="宋体" w:hAnsi="宋体" w:cs="宋体"/>
                <w:iCs/>
                <w:kern w:val="0"/>
                <w:szCs w:val="21"/>
              </w:rPr>
            </w:pPr>
            <w:r>
              <w:rPr>
                <w:rFonts w:hint="eastAsia" w:ascii="宋体" w:hAnsi="宋体" w:cs="宋体"/>
                <w:iCs/>
                <w:kern w:val="0"/>
                <w:szCs w:val="21"/>
              </w:rPr>
              <w:t>1%及以下的，得</w:t>
            </w:r>
            <w:r>
              <w:rPr>
                <w:rFonts w:hint="eastAsia" w:ascii="宋体" w:hAnsi="宋体" w:cs="宋体"/>
                <w:iCs/>
                <w:kern w:val="0"/>
                <w:szCs w:val="21"/>
                <w:lang w:val="en-US" w:eastAsia="zh-CN"/>
              </w:rPr>
              <w:t>7</w:t>
            </w:r>
            <w:r>
              <w:rPr>
                <w:rFonts w:hint="eastAsia" w:ascii="宋体" w:hAnsi="宋体" w:cs="宋体"/>
                <w:iCs/>
                <w:kern w:val="0"/>
                <w:szCs w:val="21"/>
              </w:rPr>
              <w:t>分；</w:t>
            </w:r>
            <w:r>
              <w:rPr>
                <w:rFonts w:ascii="宋体" w:hAnsi="宋体" w:cs="宋体"/>
                <w:iCs/>
                <w:kern w:val="0"/>
                <w:szCs w:val="21"/>
              </w:rPr>
              <w:br w:type="textWrapping"/>
            </w:r>
            <w:r>
              <w:rPr>
                <w:rFonts w:hint="eastAsia" w:ascii="宋体" w:hAnsi="宋体" w:cs="宋体"/>
                <w:iCs/>
                <w:kern w:val="0"/>
                <w:szCs w:val="21"/>
              </w:rPr>
              <w:t>1%（不含）-1.</w:t>
            </w:r>
            <w:r>
              <w:rPr>
                <w:rFonts w:hint="eastAsia" w:ascii="宋体" w:hAnsi="宋体" w:cs="宋体"/>
                <w:iCs/>
                <w:kern w:val="0"/>
                <w:szCs w:val="21"/>
                <w:lang w:val="en-US" w:eastAsia="zh-CN"/>
              </w:rPr>
              <w:t>25</w:t>
            </w:r>
            <w:r>
              <w:rPr>
                <w:rFonts w:hint="eastAsia" w:ascii="宋体" w:hAnsi="宋体" w:cs="宋体"/>
                <w:iCs/>
                <w:kern w:val="0"/>
                <w:szCs w:val="21"/>
              </w:rPr>
              <w:t>%（含）的，得5分；</w:t>
            </w:r>
            <w:r>
              <w:rPr>
                <w:rFonts w:ascii="宋体" w:hAnsi="宋体" w:cs="宋体"/>
                <w:iCs/>
                <w:kern w:val="0"/>
                <w:szCs w:val="21"/>
              </w:rPr>
              <w:br w:type="textWrapping"/>
            </w:r>
            <w:r>
              <w:rPr>
                <w:rFonts w:hint="eastAsia" w:ascii="宋体" w:hAnsi="宋体" w:cs="宋体"/>
                <w:iCs/>
                <w:kern w:val="0"/>
                <w:szCs w:val="21"/>
              </w:rPr>
              <w:t>1.</w:t>
            </w:r>
            <w:r>
              <w:rPr>
                <w:rFonts w:hint="eastAsia" w:ascii="宋体" w:hAnsi="宋体" w:cs="宋体"/>
                <w:iCs/>
                <w:kern w:val="0"/>
                <w:szCs w:val="21"/>
                <w:lang w:val="en-US" w:eastAsia="zh-CN"/>
              </w:rPr>
              <w:t>25</w:t>
            </w:r>
            <w:r>
              <w:rPr>
                <w:rFonts w:hint="eastAsia" w:ascii="宋体" w:hAnsi="宋体" w:cs="宋体"/>
                <w:iCs/>
                <w:kern w:val="0"/>
                <w:szCs w:val="21"/>
              </w:rPr>
              <w:t>%（不含）-</w:t>
            </w:r>
            <w:r>
              <w:rPr>
                <w:rFonts w:hint="eastAsia" w:ascii="宋体" w:hAnsi="宋体" w:cs="宋体"/>
                <w:iCs/>
                <w:kern w:val="0"/>
                <w:szCs w:val="21"/>
                <w:lang w:val="en-US" w:eastAsia="zh-CN"/>
              </w:rPr>
              <w:t>1.5</w:t>
            </w:r>
            <w:r>
              <w:rPr>
                <w:rFonts w:hint="eastAsia" w:ascii="宋体" w:hAnsi="宋体" w:cs="宋体"/>
                <w:iCs/>
                <w:kern w:val="0"/>
                <w:szCs w:val="21"/>
              </w:rPr>
              <w:t>%（含）的，得</w:t>
            </w:r>
            <w:r>
              <w:rPr>
                <w:rFonts w:hint="eastAsia" w:ascii="宋体" w:hAnsi="宋体" w:cs="宋体"/>
                <w:iCs/>
                <w:kern w:val="0"/>
                <w:szCs w:val="21"/>
                <w:lang w:val="en-US" w:eastAsia="zh-CN"/>
              </w:rPr>
              <w:t>3</w:t>
            </w:r>
            <w:r>
              <w:rPr>
                <w:rFonts w:hint="eastAsia" w:ascii="宋体" w:hAnsi="宋体" w:cs="宋体"/>
                <w:iCs/>
                <w:kern w:val="0"/>
                <w:szCs w:val="21"/>
              </w:rPr>
              <w:t>分；</w:t>
            </w:r>
          </w:p>
          <w:p w14:paraId="7F781294">
            <w:pPr>
              <w:spacing w:line="320" w:lineRule="exact"/>
              <w:jc w:val="left"/>
              <w:rPr>
                <w:rFonts w:ascii="宋体" w:hAnsi="宋体" w:cs="宋体"/>
                <w:iCs/>
                <w:kern w:val="0"/>
                <w:szCs w:val="21"/>
              </w:rPr>
            </w:pPr>
            <w:r>
              <w:rPr>
                <w:rFonts w:hint="eastAsia" w:ascii="宋体" w:hAnsi="宋体" w:cs="宋体"/>
                <w:iCs/>
                <w:kern w:val="0"/>
                <w:szCs w:val="21"/>
                <w:lang w:val="en-US" w:eastAsia="zh-CN"/>
              </w:rPr>
              <w:t>1.5</w:t>
            </w:r>
            <w:r>
              <w:rPr>
                <w:rFonts w:hint="eastAsia" w:ascii="宋体" w:hAnsi="宋体" w:cs="宋体"/>
                <w:iCs/>
                <w:kern w:val="0"/>
                <w:szCs w:val="21"/>
              </w:rPr>
              <w:t>%以上的，得1分。</w:t>
            </w:r>
          </w:p>
          <w:p w14:paraId="49DC4770">
            <w:pPr>
              <w:spacing w:line="320" w:lineRule="exact"/>
              <w:jc w:val="left"/>
              <w:rPr>
                <w:rFonts w:ascii="宋体" w:hAnsi="宋体" w:cs="宋体"/>
                <w:iCs/>
                <w:kern w:val="0"/>
                <w:szCs w:val="21"/>
              </w:rPr>
            </w:pPr>
            <w:r>
              <w:rPr>
                <w:rFonts w:hint="eastAsia" w:ascii="宋体" w:hAnsi="宋体"/>
                <w:szCs w:val="21"/>
              </w:rPr>
              <w:t>本项最高得</w:t>
            </w:r>
            <w:r>
              <w:rPr>
                <w:rFonts w:hint="eastAsia" w:ascii="宋体" w:hAnsi="宋体"/>
                <w:szCs w:val="21"/>
                <w:lang w:val="en-US" w:eastAsia="zh-CN"/>
              </w:rPr>
              <w:t>7</w:t>
            </w:r>
            <w:r>
              <w:rPr>
                <w:rFonts w:hint="eastAsia" w:ascii="宋体" w:hAnsi="宋体"/>
                <w:szCs w:val="21"/>
              </w:rPr>
              <w:t>分。</w:t>
            </w:r>
          </w:p>
          <w:p w14:paraId="14EA851A">
            <w:pPr>
              <w:spacing w:line="320" w:lineRule="exact"/>
              <w:jc w:val="left"/>
              <w:rPr>
                <w:rFonts w:ascii="宋体" w:hAnsi="宋体"/>
                <w:szCs w:val="21"/>
              </w:rPr>
            </w:pPr>
            <w:r>
              <w:rPr>
                <w:rFonts w:hint="eastAsia" w:ascii="宋体" w:hAnsi="宋体" w:cs="宋体"/>
                <w:iCs/>
                <w:kern w:val="0"/>
                <w:szCs w:val="21"/>
              </w:rPr>
              <w:t>须提供相关证明资料复印件加盖投标人公章，未提供不得分。</w:t>
            </w:r>
          </w:p>
        </w:tc>
      </w:tr>
      <w:tr w14:paraId="2EB6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0" w:hRule="atLeast"/>
          <w:jc w:val="center"/>
        </w:trPr>
        <w:tc>
          <w:tcPr>
            <w:tcW w:w="1131" w:type="dxa"/>
            <w:vMerge w:val="continue"/>
            <w:noWrap/>
            <w:vAlign w:val="center"/>
          </w:tcPr>
          <w:p w14:paraId="282992C0">
            <w:pPr>
              <w:spacing w:line="300" w:lineRule="exact"/>
              <w:jc w:val="center"/>
              <w:rPr>
                <w:rFonts w:ascii="宋体" w:hAnsi="宋体"/>
                <w:szCs w:val="21"/>
              </w:rPr>
            </w:pPr>
          </w:p>
        </w:tc>
        <w:tc>
          <w:tcPr>
            <w:tcW w:w="1559" w:type="dxa"/>
            <w:noWrap/>
            <w:vAlign w:val="center"/>
          </w:tcPr>
          <w:p w14:paraId="5610F645">
            <w:pPr>
              <w:spacing w:line="300" w:lineRule="exact"/>
              <w:jc w:val="center"/>
              <w:rPr>
                <w:rFonts w:ascii="宋体"/>
                <w:szCs w:val="21"/>
              </w:rPr>
            </w:pPr>
            <w:r>
              <w:rPr>
                <w:rFonts w:ascii="宋体" w:hAnsi="宋体"/>
                <w:szCs w:val="21"/>
              </w:rPr>
              <w:t>3.</w:t>
            </w:r>
            <w:r>
              <w:rPr>
                <w:rFonts w:hint="eastAsia" w:ascii="宋体" w:hAnsi="宋体"/>
                <w:szCs w:val="21"/>
              </w:rPr>
              <w:t>拨备</w:t>
            </w:r>
          </w:p>
          <w:p w14:paraId="574E3D50">
            <w:pPr>
              <w:spacing w:line="300" w:lineRule="exact"/>
              <w:jc w:val="center"/>
              <w:rPr>
                <w:rFonts w:ascii="宋体"/>
                <w:szCs w:val="21"/>
              </w:rPr>
            </w:pPr>
            <w:r>
              <w:rPr>
                <w:rFonts w:hint="eastAsia" w:ascii="宋体" w:hAnsi="宋体"/>
                <w:szCs w:val="21"/>
              </w:rPr>
              <w:t>覆盖率</w:t>
            </w:r>
          </w:p>
          <w:p w14:paraId="1F6DFE68">
            <w:pPr>
              <w:spacing w:line="300" w:lineRule="exact"/>
              <w:jc w:val="center"/>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分）</w:t>
            </w:r>
          </w:p>
        </w:tc>
        <w:tc>
          <w:tcPr>
            <w:tcW w:w="6249" w:type="dxa"/>
            <w:noWrap/>
            <w:vAlign w:val="center"/>
          </w:tcPr>
          <w:p w14:paraId="6E932704">
            <w:pPr>
              <w:spacing w:line="320" w:lineRule="exact"/>
              <w:jc w:val="left"/>
              <w:rPr>
                <w:rFonts w:ascii="宋体"/>
                <w:szCs w:val="21"/>
              </w:rPr>
            </w:pPr>
            <w:r>
              <w:rPr>
                <w:rFonts w:hint="eastAsia" w:ascii="宋体" w:hAnsi="宋体"/>
                <w:szCs w:val="21"/>
              </w:rPr>
              <w:t>根据投标人总行的</w:t>
            </w:r>
            <w:r>
              <w:rPr>
                <w:rFonts w:hint="eastAsia" w:ascii="宋体" w:hAnsi="宋体"/>
                <w:szCs w:val="21"/>
                <w:lang w:eastAsia="zh-CN"/>
              </w:rPr>
              <w:t>2024</w:t>
            </w:r>
            <w:r>
              <w:rPr>
                <w:rFonts w:hint="eastAsia" w:ascii="宋体" w:hAnsi="宋体"/>
                <w:szCs w:val="21"/>
              </w:rPr>
              <w:t>年末数据进行评审：</w:t>
            </w:r>
          </w:p>
          <w:p w14:paraId="6AA1A891">
            <w:pPr>
              <w:spacing w:line="320" w:lineRule="exact"/>
              <w:jc w:val="left"/>
              <w:rPr>
                <w:rFonts w:ascii="宋体" w:hAnsi="宋体"/>
                <w:szCs w:val="21"/>
              </w:rPr>
            </w:pPr>
            <w:r>
              <w:rPr>
                <w:rFonts w:hint="eastAsia" w:ascii="宋体" w:hAnsi="宋体"/>
                <w:szCs w:val="21"/>
                <w:lang w:val="en-US" w:eastAsia="zh-CN"/>
              </w:rPr>
              <w:t>200</w:t>
            </w:r>
            <w:r>
              <w:rPr>
                <w:rFonts w:hint="eastAsia" w:ascii="宋体" w:hAnsi="宋体"/>
                <w:szCs w:val="21"/>
              </w:rPr>
              <w:t>%及以上的，得</w:t>
            </w:r>
            <w:r>
              <w:rPr>
                <w:rFonts w:hint="eastAsia" w:ascii="宋体" w:hAnsi="宋体"/>
                <w:szCs w:val="21"/>
                <w:lang w:val="en-US" w:eastAsia="zh-CN"/>
              </w:rPr>
              <w:t>7</w:t>
            </w:r>
            <w:r>
              <w:rPr>
                <w:rFonts w:hint="eastAsia" w:ascii="宋体" w:hAnsi="宋体"/>
                <w:szCs w:val="21"/>
              </w:rPr>
              <w:t>分；</w:t>
            </w:r>
            <w:r>
              <w:rPr>
                <w:rFonts w:ascii="宋体" w:hAnsi="宋体"/>
                <w:szCs w:val="21"/>
              </w:rPr>
              <w:br w:type="textWrapping"/>
            </w:r>
            <w:r>
              <w:rPr>
                <w:rFonts w:hint="eastAsia" w:ascii="宋体" w:hAnsi="宋体"/>
                <w:szCs w:val="21"/>
                <w:lang w:val="en-US" w:eastAsia="zh-CN"/>
              </w:rPr>
              <w:t>150</w:t>
            </w:r>
            <w:r>
              <w:rPr>
                <w:rFonts w:hint="eastAsia" w:ascii="宋体" w:hAnsi="宋体"/>
                <w:szCs w:val="21"/>
              </w:rPr>
              <w:t>%（含）-</w:t>
            </w:r>
            <w:r>
              <w:rPr>
                <w:rFonts w:hint="eastAsia" w:ascii="宋体" w:hAnsi="宋体"/>
                <w:szCs w:val="21"/>
                <w:lang w:val="en-US" w:eastAsia="zh-CN"/>
              </w:rPr>
              <w:t>200</w:t>
            </w:r>
            <w:r>
              <w:rPr>
                <w:rFonts w:hint="eastAsia" w:ascii="宋体" w:hAnsi="宋体"/>
                <w:szCs w:val="21"/>
              </w:rPr>
              <w:t>%（不含）的，得5分；</w:t>
            </w:r>
            <w:r>
              <w:rPr>
                <w:rFonts w:ascii="宋体" w:hAnsi="宋体"/>
                <w:szCs w:val="21"/>
              </w:rPr>
              <w:br w:type="textWrapping"/>
            </w:r>
            <w:r>
              <w:rPr>
                <w:rFonts w:hint="eastAsia" w:ascii="宋体" w:hAnsi="宋体"/>
                <w:szCs w:val="21"/>
                <w:lang w:val="en-US" w:eastAsia="zh-CN"/>
              </w:rPr>
              <w:t>100</w:t>
            </w:r>
            <w:r>
              <w:rPr>
                <w:rFonts w:hint="eastAsia" w:ascii="宋体" w:hAnsi="宋体"/>
                <w:szCs w:val="21"/>
              </w:rPr>
              <w:t>%（含）-</w:t>
            </w:r>
            <w:r>
              <w:rPr>
                <w:rFonts w:hint="eastAsia" w:ascii="宋体" w:hAnsi="宋体"/>
                <w:szCs w:val="21"/>
                <w:lang w:val="en-US" w:eastAsia="zh-CN"/>
              </w:rPr>
              <w:t>150</w:t>
            </w:r>
            <w:r>
              <w:rPr>
                <w:rFonts w:hint="eastAsia" w:ascii="宋体" w:hAnsi="宋体"/>
                <w:szCs w:val="21"/>
              </w:rPr>
              <w:t>%（不含）的，得</w:t>
            </w:r>
            <w:r>
              <w:rPr>
                <w:rFonts w:hint="eastAsia" w:ascii="宋体" w:hAnsi="宋体"/>
                <w:szCs w:val="21"/>
                <w:lang w:val="en-US" w:eastAsia="zh-CN"/>
              </w:rPr>
              <w:t>3</w:t>
            </w:r>
            <w:r>
              <w:rPr>
                <w:rFonts w:hint="eastAsia" w:ascii="宋体" w:hAnsi="宋体"/>
                <w:szCs w:val="21"/>
              </w:rPr>
              <w:t>分；</w:t>
            </w:r>
          </w:p>
          <w:p w14:paraId="04221315">
            <w:pPr>
              <w:spacing w:line="320" w:lineRule="exact"/>
              <w:jc w:val="left"/>
              <w:rPr>
                <w:rFonts w:ascii="宋体" w:hAnsi="宋体" w:cs="宋体"/>
                <w:iCs/>
                <w:kern w:val="0"/>
                <w:szCs w:val="21"/>
              </w:rPr>
            </w:pPr>
            <w:r>
              <w:rPr>
                <w:rFonts w:hint="eastAsia" w:ascii="宋体" w:hAnsi="宋体"/>
                <w:szCs w:val="21"/>
              </w:rPr>
              <w:t>1</w:t>
            </w:r>
            <w:r>
              <w:rPr>
                <w:rFonts w:hint="eastAsia" w:ascii="宋体" w:hAnsi="宋体"/>
                <w:szCs w:val="21"/>
                <w:lang w:val="en-US" w:eastAsia="zh-CN"/>
              </w:rPr>
              <w:t>00</w:t>
            </w:r>
            <w:r>
              <w:rPr>
                <w:rFonts w:hint="eastAsia" w:ascii="宋体" w:hAnsi="宋体"/>
                <w:szCs w:val="21"/>
              </w:rPr>
              <w:t>%以下的，得1分；</w:t>
            </w:r>
          </w:p>
          <w:p w14:paraId="04A72597">
            <w:pPr>
              <w:spacing w:line="320" w:lineRule="exact"/>
              <w:jc w:val="left"/>
              <w:rPr>
                <w:rFonts w:ascii="宋体" w:hAnsi="宋体" w:cs="宋体"/>
                <w:iCs/>
                <w:kern w:val="0"/>
                <w:szCs w:val="21"/>
              </w:rPr>
            </w:pPr>
            <w:r>
              <w:rPr>
                <w:rFonts w:hint="eastAsia" w:ascii="宋体" w:hAnsi="宋体"/>
                <w:szCs w:val="21"/>
              </w:rPr>
              <w:t>本项最高得</w:t>
            </w:r>
            <w:r>
              <w:rPr>
                <w:rFonts w:hint="eastAsia" w:ascii="宋体" w:hAnsi="宋体"/>
                <w:szCs w:val="21"/>
                <w:lang w:val="en-US" w:eastAsia="zh-CN"/>
              </w:rPr>
              <w:t>7</w:t>
            </w:r>
            <w:r>
              <w:rPr>
                <w:rFonts w:hint="eastAsia" w:ascii="宋体" w:hAnsi="宋体"/>
                <w:szCs w:val="21"/>
              </w:rPr>
              <w:t>分。</w:t>
            </w:r>
          </w:p>
          <w:p w14:paraId="63AC2C4A">
            <w:pPr>
              <w:spacing w:line="320" w:lineRule="exact"/>
              <w:jc w:val="left"/>
              <w:rPr>
                <w:rFonts w:ascii="宋体" w:hAnsi="宋体"/>
                <w:szCs w:val="21"/>
              </w:rPr>
            </w:pPr>
            <w:r>
              <w:rPr>
                <w:rFonts w:hint="eastAsia" w:ascii="宋体" w:hAnsi="宋体" w:cs="宋体"/>
                <w:iCs/>
                <w:kern w:val="0"/>
                <w:szCs w:val="21"/>
              </w:rPr>
              <w:t>投标文件须提供相关资料复印件加盖投标人公章，未提供不得分。</w:t>
            </w:r>
          </w:p>
        </w:tc>
      </w:tr>
      <w:tr w14:paraId="2AC1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8" w:hRule="atLeast"/>
          <w:jc w:val="center"/>
        </w:trPr>
        <w:tc>
          <w:tcPr>
            <w:tcW w:w="1131" w:type="dxa"/>
            <w:vMerge w:val="continue"/>
            <w:noWrap/>
            <w:vAlign w:val="center"/>
          </w:tcPr>
          <w:p w14:paraId="11A79B24">
            <w:pPr>
              <w:spacing w:line="300" w:lineRule="exact"/>
              <w:jc w:val="center"/>
              <w:rPr>
                <w:rFonts w:ascii="宋体" w:hAnsi="宋体" w:cs="宋体"/>
                <w:kern w:val="0"/>
                <w:szCs w:val="21"/>
              </w:rPr>
            </w:pPr>
          </w:p>
        </w:tc>
        <w:tc>
          <w:tcPr>
            <w:tcW w:w="1559" w:type="dxa"/>
            <w:noWrap/>
            <w:vAlign w:val="center"/>
          </w:tcPr>
          <w:p w14:paraId="16D500F6">
            <w:pPr>
              <w:spacing w:line="300" w:lineRule="exact"/>
              <w:jc w:val="center"/>
              <w:rPr>
                <w:rFonts w:ascii="宋体"/>
                <w:sz w:val="22"/>
                <w:szCs w:val="22"/>
              </w:rPr>
            </w:pPr>
            <w:r>
              <w:rPr>
                <w:rFonts w:ascii="宋体" w:hAnsi="宋体"/>
                <w:sz w:val="22"/>
                <w:szCs w:val="22"/>
              </w:rPr>
              <w:t>4.</w:t>
            </w:r>
            <w:r>
              <w:rPr>
                <w:rFonts w:hint="eastAsia" w:ascii="宋体" w:hAnsi="宋体"/>
                <w:sz w:val="22"/>
                <w:szCs w:val="22"/>
              </w:rPr>
              <w:t>流动性</w:t>
            </w:r>
          </w:p>
          <w:p w14:paraId="6B31C0CF">
            <w:pPr>
              <w:spacing w:line="300" w:lineRule="exact"/>
              <w:jc w:val="center"/>
              <w:rPr>
                <w:rFonts w:ascii="宋体"/>
                <w:sz w:val="22"/>
                <w:szCs w:val="22"/>
              </w:rPr>
            </w:pPr>
            <w:r>
              <w:rPr>
                <w:rFonts w:hint="eastAsia" w:ascii="宋体" w:hAnsi="宋体"/>
                <w:sz w:val="22"/>
                <w:szCs w:val="22"/>
              </w:rPr>
              <w:t>比率</w:t>
            </w:r>
          </w:p>
          <w:p w14:paraId="5C8FB3B1">
            <w:pPr>
              <w:spacing w:line="300" w:lineRule="exact"/>
              <w:jc w:val="center"/>
              <w:rPr>
                <w:rFonts w:ascii="宋体" w:hAnsi="宋体"/>
                <w:szCs w:val="21"/>
              </w:rPr>
            </w:pPr>
            <w:r>
              <w:rPr>
                <w:rFonts w:hint="eastAsia" w:ascii="宋体" w:hAnsi="宋体"/>
                <w:sz w:val="22"/>
                <w:szCs w:val="22"/>
              </w:rPr>
              <w:t>（</w:t>
            </w:r>
            <w:r>
              <w:rPr>
                <w:rFonts w:hint="eastAsia" w:ascii="宋体" w:hAnsi="宋体"/>
                <w:sz w:val="22"/>
                <w:szCs w:val="22"/>
                <w:lang w:val="en-US" w:eastAsia="zh-CN"/>
              </w:rPr>
              <w:t>7</w:t>
            </w:r>
            <w:r>
              <w:rPr>
                <w:rFonts w:hint="eastAsia" w:ascii="宋体" w:hAnsi="宋体"/>
                <w:sz w:val="22"/>
                <w:szCs w:val="22"/>
              </w:rPr>
              <w:t>分）</w:t>
            </w:r>
          </w:p>
        </w:tc>
        <w:tc>
          <w:tcPr>
            <w:tcW w:w="6249" w:type="dxa"/>
            <w:noWrap/>
            <w:vAlign w:val="center"/>
          </w:tcPr>
          <w:p w14:paraId="7185CE88">
            <w:pPr>
              <w:spacing w:line="320" w:lineRule="exact"/>
              <w:jc w:val="left"/>
              <w:rPr>
                <w:rFonts w:ascii="宋体" w:hAnsi="宋体"/>
                <w:szCs w:val="21"/>
              </w:rPr>
            </w:pPr>
            <w:r>
              <w:rPr>
                <w:rFonts w:hint="eastAsia" w:ascii="宋体" w:hAnsi="宋体"/>
                <w:szCs w:val="21"/>
              </w:rPr>
              <w:t>根据投标人总行的</w:t>
            </w:r>
            <w:r>
              <w:rPr>
                <w:rFonts w:hint="eastAsia" w:ascii="宋体" w:hAnsi="宋体"/>
                <w:szCs w:val="21"/>
                <w:lang w:eastAsia="zh-CN"/>
              </w:rPr>
              <w:t>2024</w:t>
            </w:r>
            <w:r>
              <w:rPr>
                <w:rFonts w:hint="eastAsia" w:ascii="宋体" w:hAnsi="宋体"/>
                <w:szCs w:val="21"/>
              </w:rPr>
              <w:t>年末数据进行评审：</w:t>
            </w:r>
          </w:p>
          <w:p w14:paraId="371C9E44">
            <w:pPr>
              <w:spacing w:line="320" w:lineRule="exact"/>
              <w:jc w:val="left"/>
              <w:rPr>
                <w:rFonts w:ascii="宋体" w:hAnsi="宋体"/>
                <w:szCs w:val="21"/>
              </w:rPr>
            </w:pPr>
            <w:r>
              <w:rPr>
                <w:rFonts w:hint="eastAsia" w:ascii="宋体" w:hAnsi="宋体"/>
                <w:szCs w:val="21"/>
                <w:lang w:val="en-US" w:eastAsia="zh-CN"/>
              </w:rPr>
              <w:t>50</w:t>
            </w:r>
            <w:r>
              <w:rPr>
                <w:rFonts w:hint="eastAsia" w:ascii="宋体" w:hAnsi="宋体"/>
                <w:szCs w:val="21"/>
              </w:rPr>
              <w:t>%及以上的，得</w:t>
            </w:r>
            <w:r>
              <w:rPr>
                <w:rFonts w:hint="eastAsia" w:ascii="宋体" w:hAnsi="宋体"/>
                <w:szCs w:val="21"/>
                <w:lang w:val="en-US" w:eastAsia="zh-CN"/>
              </w:rPr>
              <w:t>7</w:t>
            </w:r>
            <w:r>
              <w:rPr>
                <w:rFonts w:hint="eastAsia" w:ascii="宋体" w:hAnsi="宋体"/>
                <w:szCs w:val="21"/>
              </w:rPr>
              <w:t>分；</w:t>
            </w:r>
          </w:p>
          <w:p w14:paraId="26542E7C">
            <w:pPr>
              <w:spacing w:line="320" w:lineRule="exact"/>
              <w:jc w:val="left"/>
              <w:rPr>
                <w:rFonts w:ascii="宋体" w:hAnsi="宋体"/>
                <w:szCs w:val="21"/>
              </w:rPr>
            </w:pPr>
            <w:r>
              <w:rPr>
                <w:rFonts w:hint="eastAsia" w:ascii="宋体" w:hAnsi="宋体"/>
                <w:szCs w:val="21"/>
                <w:lang w:val="en-US" w:eastAsia="zh-CN"/>
              </w:rPr>
              <w:t>40</w:t>
            </w:r>
            <w:r>
              <w:rPr>
                <w:rFonts w:hint="eastAsia" w:ascii="宋体" w:hAnsi="宋体"/>
                <w:szCs w:val="21"/>
              </w:rPr>
              <w:t>%（含）-</w:t>
            </w:r>
            <w:r>
              <w:rPr>
                <w:rFonts w:hint="eastAsia" w:ascii="宋体" w:hAnsi="宋体"/>
                <w:szCs w:val="21"/>
                <w:lang w:val="en-US" w:eastAsia="zh-CN"/>
              </w:rPr>
              <w:t>50</w:t>
            </w:r>
            <w:r>
              <w:rPr>
                <w:rFonts w:hint="eastAsia" w:ascii="宋体" w:hAnsi="宋体"/>
                <w:szCs w:val="21"/>
              </w:rPr>
              <w:t>%（不含）的，得5分；</w:t>
            </w:r>
          </w:p>
          <w:p w14:paraId="15931C36">
            <w:pPr>
              <w:spacing w:line="320" w:lineRule="exact"/>
              <w:jc w:val="left"/>
              <w:rPr>
                <w:rFonts w:ascii="宋体" w:hAnsi="宋体"/>
                <w:szCs w:val="21"/>
              </w:rPr>
            </w:pPr>
            <w:r>
              <w:rPr>
                <w:rFonts w:hint="eastAsia" w:ascii="宋体" w:hAnsi="宋体"/>
                <w:szCs w:val="21"/>
                <w:lang w:val="en-US" w:eastAsia="zh-CN"/>
              </w:rPr>
              <w:t>30</w:t>
            </w:r>
            <w:r>
              <w:rPr>
                <w:rFonts w:hint="eastAsia" w:ascii="宋体" w:hAnsi="宋体"/>
                <w:szCs w:val="21"/>
              </w:rPr>
              <w:t>%（含）-</w:t>
            </w:r>
            <w:r>
              <w:rPr>
                <w:rFonts w:hint="eastAsia" w:ascii="宋体" w:hAnsi="宋体"/>
                <w:szCs w:val="21"/>
                <w:lang w:val="en-US" w:eastAsia="zh-CN"/>
              </w:rPr>
              <w:t>40</w:t>
            </w:r>
            <w:r>
              <w:rPr>
                <w:rFonts w:hint="eastAsia" w:ascii="宋体" w:hAnsi="宋体"/>
                <w:szCs w:val="21"/>
              </w:rPr>
              <w:t>%（不含）的，得</w:t>
            </w:r>
            <w:r>
              <w:rPr>
                <w:rFonts w:hint="eastAsia" w:ascii="宋体" w:hAnsi="宋体"/>
                <w:szCs w:val="21"/>
                <w:lang w:val="en-US" w:eastAsia="zh-CN"/>
              </w:rPr>
              <w:t>3</w:t>
            </w:r>
            <w:r>
              <w:rPr>
                <w:rFonts w:hint="eastAsia" w:ascii="宋体" w:hAnsi="宋体"/>
                <w:szCs w:val="21"/>
              </w:rPr>
              <w:t>分；</w:t>
            </w:r>
          </w:p>
          <w:p w14:paraId="6A2B7DB0">
            <w:pPr>
              <w:pStyle w:val="11"/>
              <w:rPr>
                <w:rFonts w:ascii="宋体" w:hAnsi="宋体" w:cs="宋体"/>
                <w:iCs/>
                <w:kern w:val="0"/>
                <w:szCs w:val="21"/>
              </w:rPr>
            </w:pPr>
            <w:r>
              <w:rPr>
                <w:rFonts w:hint="eastAsia" w:ascii="宋体" w:hAnsi="宋体"/>
                <w:szCs w:val="21"/>
              </w:rPr>
              <w:t>3</w:t>
            </w:r>
            <w:r>
              <w:rPr>
                <w:rFonts w:hint="eastAsia" w:ascii="宋体" w:hAnsi="宋体"/>
                <w:szCs w:val="21"/>
                <w:lang w:val="en-US" w:eastAsia="zh-CN"/>
              </w:rPr>
              <w:t>0</w:t>
            </w:r>
            <w:r>
              <w:rPr>
                <w:rFonts w:hint="eastAsia" w:ascii="宋体" w:hAnsi="宋体"/>
                <w:szCs w:val="21"/>
              </w:rPr>
              <w:t>%以下的，得1分。</w:t>
            </w:r>
          </w:p>
          <w:p w14:paraId="76E2BE85">
            <w:pPr>
              <w:spacing w:line="320" w:lineRule="exact"/>
              <w:jc w:val="left"/>
              <w:rPr>
                <w:rFonts w:ascii="宋体" w:hAnsi="宋体" w:cs="宋体"/>
                <w:iCs/>
                <w:kern w:val="0"/>
                <w:szCs w:val="21"/>
              </w:rPr>
            </w:pPr>
            <w:r>
              <w:rPr>
                <w:rFonts w:hint="eastAsia" w:ascii="宋体" w:hAnsi="宋体"/>
                <w:szCs w:val="21"/>
              </w:rPr>
              <w:t>本项最高得</w:t>
            </w:r>
            <w:r>
              <w:rPr>
                <w:rFonts w:hint="eastAsia" w:ascii="宋体" w:hAnsi="宋体"/>
                <w:szCs w:val="21"/>
                <w:lang w:val="en-US" w:eastAsia="zh-CN"/>
              </w:rPr>
              <w:t>7</w:t>
            </w:r>
            <w:r>
              <w:rPr>
                <w:rFonts w:hint="eastAsia" w:ascii="宋体" w:hAnsi="宋体"/>
                <w:szCs w:val="21"/>
              </w:rPr>
              <w:t>分。</w:t>
            </w:r>
          </w:p>
          <w:p w14:paraId="090BAE4C">
            <w:pPr>
              <w:spacing w:line="320" w:lineRule="exact"/>
              <w:jc w:val="left"/>
              <w:rPr>
                <w:rFonts w:ascii="宋体" w:hAnsi="宋体"/>
                <w:szCs w:val="21"/>
              </w:rPr>
            </w:pPr>
            <w:r>
              <w:rPr>
                <w:rFonts w:hint="eastAsia" w:ascii="宋体" w:hAnsi="宋体"/>
                <w:szCs w:val="21"/>
              </w:rPr>
              <w:t>须提供相关证明资料复印件加盖投标人公章，未提供不得分。</w:t>
            </w:r>
          </w:p>
          <w:p w14:paraId="6BDC89A9">
            <w:pPr>
              <w:spacing w:line="320" w:lineRule="exact"/>
              <w:jc w:val="left"/>
              <w:rPr>
                <w:rFonts w:ascii="宋体" w:hAnsi="宋体"/>
                <w:szCs w:val="21"/>
              </w:rPr>
            </w:pPr>
            <w:r>
              <w:rPr>
                <w:rFonts w:hint="eastAsia" w:ascii="宋体" w:hAnsi="宋体"/>
                <w:szCs w:val="21"/>
              </w:rPr>
              <w:t>证明资料中流动性比率分人民币和外币的,以人民币流动性比率数据为准。</w:t>
            </w:r>
          </w:p>
        </w:tc>
      </w:tr>
      <w:tr w14:paraId="5B8F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1" w:type="dxa"/>
            <w:vMerge w:val="continue"/>
            <w:noWrap/>
            <w:vAlign w:val="center"/>
          </w:tcPr>
          <w:p w14:paraId="0B91119D">
            <w:pPr>
              <w:spacing w:line="300" w:lineRule="exact"/>
              <w:jc w:val="center"/>
              <w:rPr>
                <w:rFonts w:ascii="宋体" w:hAnsi="宋体" w:cs="宋体"/>
                <w:kern w:val="0"/>
                <w:szCs w:val="21"/>
              </w:rPr>
            </w:pPr>
          </w:p>
        </w:tc>
        <w:tc>
          <w:tcPr>
            <w:tcW w:w="1559" w:type="dxa"/>
            <w:noWrap/>
            <w:vAlign w:val="center"/>
          </w:tcPr>
          <w:p w14:paraId="5667E6F9">
            <w:pPr>
              <w:numPr>
                <w:ilvl w:val="0"/>
                <w:numId w:val="2"/>
              </w:numPr>
              <w:spacing w:line="300" w:lineRule="exact"/>
              <w:jc w:val="center"/>
              <w:rPr>
                <w:rFonts w:hint="eastAsia" w:ascii="宋体" w:hAnsi="宋体"/>
                <w:szCs w:val="21"/>
              </w:rPr>
            </w:pPr>
            <w:r>
              <w:rPr>
                <w:rFonts w:hint="eastAsia" w:ascii="宋体" w:hAnsi="宋体"/>
                <w:szCs w:val="21"/>
              </w:rPr>
              <w:t>区人行考评</w:t>
            </w:r>
          </w:p>
          <w:p w14:paraId="5918C8E1">
            <w:pPr>
              <w:spacing w:line="3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分）</w:t>
            </w:r>
          </w:p>
        </w:tc>
        <w:tc>
          <w:tcPr>
            <w:tcW w:w="6249" w:type="dxa"/>
            <w:noWrap/>
            <w:vAlign w:val="center"/>
          </w:tcPr>
          <w:p w14:paraId="477EFC01">
            <w:pPr>
              <w:spacing w:line="320" w:lineRule="exact"/>
              <w:jc w:val="left"/>
              <w:rPr>
                <w:rFonts w:ascii="宋体" w:cs="宋体"/>
                <w:iCs/>
                <w:kern w:val="0"/>
                <w:szCs w:val="21"/>
              </w:rPr>
            </w:pPr>
            <w:r>
              <w:rPr>
                <w:rFonts w:hint="eastAsia" w:ascii="宋体" w:hAnsi="宋体" w:cs="宋体"/>
                <w:iCs/>
                <w:kern w:val="0"/>
                <w:szCs w:val="21"/>
              </w:rPr>
              <w:t>根据中国人民银行北仑支行最近两年对辖区银行业金融机构年度综合评价情况通报的相关文件进行评审：</w:t>
            </w:r>
          </w:p>
          <w:p w14:paraId="27C47700">
            <w:pPr>
              <w:spacing w:line="320" w:lineRule="exact"/>
              <w:jc w:val="left"/>
              <w:rPr>
                <w:rFonts w:ascii="宋体" w:cs="宋体"/>
                <w:iCs/>
                <w:kern w:val="0"/>
                <w:szCs w:val="21"/>
              </w:rPr>
            </w:pPr>
            <w:r>
              <w:rPr>
                <w:rFonts w:ascii="宋体" w:hAnsi="宋体" w:cs="宋体"/>
                <w:iCs/>
                <w:kern w:val="0"/>
                <w:szCs w:val="21"/>
              </w:rPr>
              <w:t>1</w:t>
            </w:r>
            <w:r>
              <w:rPr>
                <w:rFonts w:hint="eastAsia" w:ascii="宋体" w:hAnsi="宋体" w:cs="宋体"/>
                <w:iCs/>
                <w:kern w:val="0"/>
                <w:szCs w:val="21"/>
              </w:rPr>
              <w:t>）得分评审内容：</w:t>
            </w:r>
          </w:p>
          <w:p w14:paraId="5F8A927D">
            <w:pPr>
              <w:spacing w:line="320" w:lineRule="exact"/>
              <w:jc w:val="left"/>
              <w:rPr>
                <w:rFonts w:ascii="宋体" w:cs="宋体"/>
                <w:iCs/>
                <w:kern w:val="0"/>
                <w:szCs w:val="21"/>
              </w:rPr>
            </w:pPr>
            <w:r>
              <w:rPr>
                <w:rFonts w:hint="eastAsia" w:ascii="宋体" w:hAnsi="宋体" w:cs="宋体"/>
                <w:iCs/>
                <w:kern w:val="0"/>
                <w:szCs w:val="21"/>
              </w:rPr>
              <w:t>①获得</w:t>
            </w:r>
            <w:r>
              <w:rPr>
                <w:rFonts w:ascii="宋体" w:hAnsi="宋体" w:cs="宋体"/>
                <w:iCs/>
                <w:kern w:val="0"/>
                <w:szCs w:val="21"/>
              </w:rPr>
              <w:t>A</w:t>
            </w:r>
            <w:r>
              <w:rPr>
                <w:rFonts w:hint="eastAsia" w:ascii="宋体" w:hAnsi="宋体" w:cs="宋体"/>
                <w:iCs/>
                <w:kern w:val="0"/>
                <w:szCs w:val="21"/>
              </w:rPr>
              <w:t>类行的，每</w:t>
            </w:r>
            <w:r>
              <w:rPr>
                <w:rFonts w:hint="eastAsia" w:ascii="宋体" w:hAnsi="宋体" w:cs="宋体"/>
                <w:kern w:val="0"/>
                <w:szCs w:val="21"/>
              </w:rPr>
              <w:t>有</w:t>
            </w:r>
            <w:r>
              <w:rPr>
                <w:rFonts w:hint="eastAsia" w:ascii="宋体" w:hAnsi="宋体" w:cs="宋体"/>
                <w:iCs/>
                <w:kern w:val="0"/>
                <w:szCs w:val="21"/>
              </w:rPr>
              <w:t>一个得</w:t>
            </w:r>
            <w:r>
              <w:rPr>
                <w:rFonts w:hint="eastAsia" w:ascii="宋体" w:hAnsi="宋体" w:cs="宋体"/>
                <w:iCs/>
                <w:kern w:val="0"/>
                <w:szCs w:val="21"/>
                <w:lang w:val="en-US" w:eastAsia="zh-CN"/>
              </w:rPr>
              <w:t>2</w:t>
            </w:r>
            <w:r>
              <w:rPr>
                <w:rFonts w:hint="eastAsia" w:ascii="宋体" w:hAnsi="宋体" w:cs="宋体"/>
                <w:iCs/>
                <w:kern w:val="0"/>
                <w:szCs w:val="21"/>
              </w:rPr>
              <w:t>分；</w:t>
            </w:r>
          </w:p>
          <w:p w14:paraId="5ADCA6DD">
            <w:pPr>
              <w:spacing w:line="320" w:lineRule="exact"/>
              <w:jc w:val="left"/>
              <w:rPr>
                <w:rFonts w:ascii="宋体" w:cs="宋体"/>
                <w:iCs/>
                <w:kern w:val="0"/>
                <w:szCs w:val="21"/>
              </w:rPr>
            </w:pPr>
            <w:r>
              <w:rPr>
                <w:rFonts w:hint="eastAsia" w:ascii="宋体" w:hAnsi="宋体" w:cs="宋体"/>
                <w:iCs/>
                <w:kern w:val="0"/>
                <w:szCs w:val="21"/>
              </w:rPr>
              <w:t>②获得</w:t>
            </w:r>
            <w:r>
              <w:rPr>
                <w:rFonts w:ascii="宋体" w:hAnsi="宋体" w:cs="宋体"/>
                <w:iCs/>
                <w:kern w:val="0"/>
                <w:szCs w:val="21"/>
              </w:rPr>
              <w:t>B</w:t>
            </w:r>
            <w:r>
              <w:rPr>
                <w:rFonts w:hint="eastAsia" w:ascii="宋体" w:hAnsi="宋体" w:cs="宋体"/>
                <w:iCs/>
                <w:kern w:val="0"/>
                <w:szCs w:val="21"/>
              </w:rPr>
              <w:t>类行的，每</w:t>
            </w:r>
            <w:r>
              <w:rPr>
                <w:rFonts w:hint="eastAsia" w:ascii="宋体" w:hAnsi="宋体" w:cs="宋体"/>
                <w:kern w:val="0"/>
                <w:szCs w:val="21"/>
              </w:rPr>
              <w:t>有</w:t>
            </w:r>
            <w:r>
              <w:rPr>
                <w:rFonts w:hint="eastAsia" w:ascii="宋体" w:hAnsi="宋体" w:cs="宋体"/>
                <w:iCs/>
                <w:kern w:val="0"/>
                <w:szCs w:val="21"/>
              </w:rPr>
              <w:t>一个得</w:t>
            </w:r>
            <w:r>
              <w:rPr>
                <w:rFonts w:hint="eastAsia" w:ascii="宋体" w:hAnsi="宋体" w:cs="宋体"/>
                <w:iCs/>
                <w:kern w:val="0"/>
                <w:szCs w:val="21"/>
                <w:lang w:val="en-US" w:eastAsia="zh-CN"/>
              </w:rPr>
              <w:t>1</w:t>
            </w:r>
            <w:r>
              <w:rPr>
                <w:rFonts w:hint="eastAsia" w:ascii="宋体" w:hAnsi="宋体" w:cs="宋体"/>
                <w:iCs/>
                <w:kern w:val="0"/>
                <w:szCs w:val="21"/>
              </w:rPr>
              <w:t>分；</w:t>
            </w:r>
          </w:p>
          <w:p w14:paraId="1C2A8075">
            <w:pPr>
              <w:spacing w:line="320" w:lineRule="exact"/>
              <w:jc w:val="left"/>
              <w:rPr>
                <w:rFonts w:ascii="宋体" w:cs="宋体"/>
                <w:iCs/>
                <w:kern w:val="0"/>
                <w:szCs w:val="21"/>
              </w:rPr>
            </w:pPr>
            <w:r>
              <w:rPr>
                <w:rFonts w:ascii="宋体" w:hAnsi="宋体" w:cs="宋体"/>
                <w:iCs/>
                <w:kern w:val="0"/>
                <w:szCs w:val="21"/>
              </w:rPr>
              <w:t>2</w:t>
            </w:r>
            <w:r>
              <w:rPr>
                <w:rFonts w:hint="eastAsia" w:ascii="宋体" w:hAnsi="宋体" w:cs="宋体"/>
                <w:iCs/>
                <w:kern w:val="0"/>
                <w:szCs w:val="21"/>
              </w:rPr>
              <w:t>）得分评审说明：根据投标人获得的年度综合评价情况进行评审统计，得分可以累计，本项最高得</w:t>
            </w:r>
            <w:r>
              <w:rPr>
                <w:rFonts w:hint="eastAsia" w:ascii="宋体" w:hAnsi="宋体" w:cs="宋体"/>
                <w:iCs/>
                <w:kern w:val="0"/>
                <w:szCs w:val="21"/>
                <w:lang w:val="en-US" w:eastAsia="zh-CN"/>
              </w:rPr>
              <w:t>4</w:t>
            </w:r>
            <w:r>
              <w:rPr>
                <w:rFonts w:hint="eastAsia" w:ascii="宋体" w:hAnsi="宋体" w:cs="宋体"/>
                <w:iCs/>
                <w:kern w:val="0"/>
                <w:szCs w:val="21"/>
              </w:rPr>
              <w:t>分。</w:t>
            </w:r>
          </w:p>
          <w:p w14:paraId="3F68A7D0">
            <w:pPr>
              <w:spacing w:line="320" w:lineRule="exact"/>
              <w:jc w:val="left"/>
              <w:rPr>
                <w:rFonts w:ascii="宋体" w:hAnsi="宋体"/>
                <w:szCs w:val="21"/>
              </w:rPr>
            </w:pPr>
            <w:r>
              <w:rPr>
                <w:rFonts w:hint="eastAsia" w:ascii="宋体" w:hAnsi="宋体" w:cs="宋体"/>
                <w:iCs/>
                <w:kern w:val="0"/>
                <w:szCs w:val="21"/>
              </w:rPr>
              <w:t>注：投标文件提供人民银行发文复印件加盖投标人公章。</w:t>
            </w:r>
          </w:p>
        </w:tc>
      </w:tr>
      <w:tr w14:paraId="5F71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1" w:type="dxa"/>
            <w:vMerge w:val="restart"/>
            <w:noWrap/>
            <w:vAlign w:val="center"/>
          </w:tcPr>
          <w:p w14:paraId="5D76D7B6">
            <w:pPr>
              <w:spacing w:line="320" w:lineRule="exact"/>
              <w:jc w:val="center"/>
              <w:rPr>
                <w:rFonts w:ascii="宋体" w:hAnsi="宋体" w:cs="宋体"/>
                <w:iCs/>
                <w:kern w:val="0"/>
                <w:szCs w:val="21"/>
              </w:rPr>
            </w:pPr>
            <w:r>
              <w:rPr>
                <w:rFonts w:hint="eastAsia" w:ascii="宋体" w:hAnsi="宋体" w:cs="宋体"/>
                <w:iCs/>
                <w:kern w:val="0"/>
                <w:szCs w:val="21"/>
              </w:rPr>
              <w:t>二、利率水平</w:t>
            </w:r>
          </w:p>
          <w:p w14:paraId="5FA9CB45">
            <w:pPr>
              <w:spacing w:line="320" w:lineRule="exact"/>
              <w:jc w:val="left"/>
              <w:rPr>
                <w:rFonts w:ascii="宋体" w:hAnsi="宋体" w:cs="宋体"/>
                <w:iCs/>
                <w:kern w:val="0"/>
                <w:szCs w:val="21"/>
              </w:rPr>
            </w:pPr>
            <w:r>
              <w:rPr>
                <w:rFonts w:hint="eastAsia" w:ascii="宋体" w:hAnsi="宋体" w:cs="宋体"/>
                <w:iCs/>
                <w:kern w:val="0"/>
                <w:szCs w:val="21"/>
              </w:rPr>
              <w:t>（</w:t>
            </w:r>
            <w:r>
              <w:rPr>
                <w:rFonts w:hint="eastAsia" w:ascii="宋体" w:hAnsi="宋体" w:cs="宋体"/>
                <w:iCs/>
                <w:kern w:val="0"/>
                <w:szCs w:val="21"/>
                <w:lang w:val="en-US" w:eastAsia="zh-CN"/>
              </w:rPr>
              <w:t>6</w:t>
            </w:r>
            <w:r>
              <w:rPr>
                <w:rFonts w:hint="eastAsia" w:ascii="宋体" w:hAnsi="宋体" w:cs="宋体"/>
                <w:iCs/>
                <w:kern w:val="0"/>
                <w:szCs w:val="21"/>
              </w:rPr>
              <w:t>分）</w:t>
            </w:r>
          </w:p>
        </w:tc>
        <w:tc>
          <w:tcPr>
            <w:tcW w:w="1559" w:type="dxa"/>
            <w:vMerge w:val="restart"/>
            <w:noWrap/>
            <w:vAlign w:val="center"/>
          </w:tcPr>
          <w:p w14:paraId="51FE6683">
            <w:pPr>
              <w:spacing w:line="320" w:lineRule="exact"/>
              <w:ind w:firstLine="210" w:firstLineChars="100"/>
              <w:jc w:val="left"/>
              <w:rPr>
                <w:rFonts w:ascii="宋体" w:hAnsi="宋体" w:cs="宋体"/>
                <w:iCs/>
                <w:kern w:val="0"/>
                <w:szCs w:val="21"/>
              </w:rPr>
            </w:pPr>
            <w:r>
              <w:rPr>
                <w:rFonts w:hint="eastAsia" w:ascii="宋体" w:hAnsi="宋体" w:cs="宋体"/>
                <w:iCs/>
                <w:kern w:val="0"/>
                <w:szCs w:val="21"/>
              </w:rPr>
              <w:t>利率水平</w:t>
            </w:r>
          </w:p>
          <w:p w14:paraId="66090382">
            <w:pPr>
              <w:spacing w:line="320" w:lineRule="exact"/>
              <w:ind w:firstLine="210" w:firstLineChars="100"/>
              <w:jc w:val="left"/>
              <w:rPr>
                <w:rFonts w:ascii="宋体" w:hAnsi="宋体" w:cs="宋体"/>
                <w:iCs/>
                <w:kern w:val="0"/>
                <w:szCs w:val="21"/>
              </w:rPr>
            </w:pPr>
            <w:r>
              <w:rPr>
                <w:rFonts w:hint="eastAsia" w:ascii="宋体" w:hAnsi="宋体" w:cs="宋体"/>
                <w:iCs/>
                <w:kern w:val="0"/>
                <w:szCs w:val="21"/>
              </w:rPr>
              <w:t>（</w:t>
            </w:r>
            <w:r>
              <w:rPr>
                <w:rFonts w:hint="eastAsia" w:ascii="宋体" w:hAnsi="宋体" w:cs="宋体"/>
                <w:iCs/>
                <w:kern w:val="0"/>
                <w:szCs w:val="21"/>
                <w:lang w:val="en-US" w:eastAsia="zh-CN"/>
              </w:rPr>
              <w:t>6</w:t>
            </w:r>
            <w:r>
              <w:rPr>
                <w:rFonts w:hint="eastAsia" w:ascii="宋体" w:hAnsi="宋体" w:cs="宋体"/>
                <w:iCs/>
                <w:kern w:val="0"/>
                <w:szCs w:val="21"/>
              </w:rPr>
              <w:t>分）</w:t>
            </w:r>
          </w:p>
        </w:tc>
        <w:tc>
          <w:tcPr>
            <w:tcW w:w="6249" w:type="dxa"/>
            <w:noWrap/>
            <w:vAlign w:val="center"/>
          </w:tcPr>
          <w:p w14:paraId="14B07F06">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宋体" w:hAnsi="宋体" w:eastAsia="宋体" w:cs="宋体"/>
                <w:iCs/>
                <w:kern w:val="0"/>
                <w:szCs w:val="21"/>
                <w:lang w:val="en-US" w:eastAsia="zh-CN"/>
              </w:rPr>
            </w:pP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rPr>
              <w:t>活期存款利率：</w:t>
            </w:r>
            <w:r>
              <w:rPr>
                <w:rFonts w:hint="eastAsia" w:ascii="宋体" w:hAnsi="宋体"/>
                <w:szCs w:val="21"/>
                <w:highlight w:val="none"/>
                <w:lang w:eastAsia="zh-CN"/>
              </w:rPr>
              <w:t>承诺按最新自律管理机制上限结合人民银行最新规定上限提供的</w:t>
            </w:r>
            <w:r>
              <w:rPr>
                <w:rFonts w:hint="eastAsia" w:ascii="宋体" w:hAnsi="宋体"/>
                <w:szCs w:val="21"/>
                <w:highlight w:val="none"/>
                <w:lang w:val="en-US" w:eastAsia="zh-CN"/>
              </w:rPr>
              <w:t>，</w:t>
            </w:r>
            <w:r>
              <w:rPr>
                <w:rFonts w:hint="eastAsia" w:ascii="宋体" w:hAnsi="宋体" w:eastAsia="宋体" w:cs="Times New Roman"/>
                <w:b w:val="0"/>
                <w:bCs w:val="0"/>
                <w:iCs w:val="0"/>
                <w:color w:val="auto"/>
                <w:kern w:val="2"/>
                <w:sz w:val="21"/>
                <w:szCs w:val="21"/>
                <w:highlight w:val="none"/>
              </w:rPr>
              <w:t>得</w:t>
            </w:r>
            <w:r>
              <w:rPr>
                <w:rFonts w:hint="eastAsia" w:ascii="宋体" w:hAnsi="宋体" w:cs="Times New Roman"/>
                <w:b w:val="0"/>
                <w:bCs w:val="0"/>
                <w:iCs w:val="0"/>
                <w:color w:val="auto"/>
                <w:kern w:val="2"/>
                <w:sz w:val="21"/>
                <w:szCs w:val="21"/>
                <w:highlight w:val="none"/>
                <w:lang w:val="en-US" w:eastAsia="zh-CN"/>
              </w:rPr>
              <w:t>1.5</w:t>
            </w:r>
            <w:r>
              <w:rPr>
                <w:rFonts w:hint="eastAsia" w:ascii="宋体" w:hAnsi="宋体" w:eastAsia="宋体" w:cs="Times New Roman"/>
                <w:b w:val="0"/>
                <w:bCs w:val="0"/>
                <w:iCs w:val="0"/>
                <w:color w:val="auto"/>
                <w:kern w:val="2"/>
                <w:sz w:val="21"/>
                <w:szCs w:val="21"/>
                <w:highlight w:val="none"/>
              </w:rPr>
              <w:t>分</w:t>
            </w:r>
            <w:r>
              <w:rPr>
                <w:rFonts w:hint="eastAsia" w:ascii="宋体" w:hAnsi="宋体" w:cs="Times New Roman"/>
                <w:b w:val="0"/>
                <w:bCs w:val="0"/>
                <w:iCs w:val="0"/>
                <w:color w:val="auto"/>
                <w:kern w:val="2"/>
                <w:sz w:val="21"/>
                <w:szCs w:val="21"/>
                <w:highlight w:val="none"/>
                <w:lang w:eastAsia="zh-CN"/>
              </w:rPr>
              <w:t>，</w:t>
            </w:r>
            <w:r>
              <w:rPr>
                <w:rFonts w:hint="eastAsia" w:ascii="宋体" w:hAnsi="宋体" w:cs="Times New Roman"/>
                <w:b w:val="0"/>
                <w:bCs w:val="0"/>
                <w:iCs w:val="0"/>
                <w:color w:val="auto"/>
                <w:kern w:val="2"/>
                <w:sz w:val="21"/>
                <w:szCs w:val="21"/>
                <w:highlight w:val="none"/>
                <w:lang w:val="en-US" w:eastAsia="zh-CN"/>
              </w:rPr>
              <w:t>未承诺或承诺不符合要求的，不得分。</w:t>
            </w:r>
          </w:p>
        </w:tc>
      </w:tr>
      <w:tr w14:paraId="2F7F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1131" w:type="dxa"/>
            <w:vMerge w:val="continue"/>
            <w:noWrap/>
            <w:vAlign w:val="center"/>
          </w:tcPr>
          <w:p w14:paraId="3E61E584">
            <w:pPr>
              <w:spacing w:line="320" w:lineRule="exact"/>
              <w:jc w:val="left"/>
              <w:rPr>
                <w:rFonts w:ascii="宋体" w:hAnsi="宋体" w:cs="宋体"/>
                <w:iCs/>
                <w:kern w:val="0"/>
                <w:szCs w:val="21"/>
              </w:rPr>
            </w:pPr>
          </w:p>
        </w:tc>
        <w:tc>
          <w:tcPr>
            <w:tcW w:w="1559" w:type="dxa"/>
            <w:vMerge w:val="continue"/>
            <w:noWrap/>
            <w:vAlign w:val="center"/>
          </w:tcPr>
          <w:p w14:paraId="6D6A7490">
            <w:pPr>
              <w:spacing w:line="320" w:lineRule="exact"/>
              <w:jc w:val="left"/>
              <w:rPr>
                <w:rFonts w:ascii="宋体" w:hAnsi="宋体" w:cs="宋体"/>
                <w:iCs/>
                <w:kern w:val="0"/>
                <w:szCs w:val="21"/>
              </w:rPr>
            </w:pPr>
          </w:p>
        </w:tc>
        <w:tc>
          <w:tcPr>
            <w:tcW w:w="6249" w:type="dxa"/>
            <w:noWrap/>
            <w:vAlign w:val="center"/>
          </w:tcPr>
          <w:p w14:paraId="02E9205C">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宋体"/>
                <w:iCs/>
                <w:kern w:val="0"/>
                <w:szCs w:val="21"/>
              </w:rPr>
            </w:pP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rPr>
              <w:t>协定</w:t>
            </w:r>
            <w:r>
              <w:rPr>
                <w:rFonts w:hint="eastAsia" w:ascii="宋体" w:hAnsi="宋体"/>
                <w:szCs w:val="21"/>
                <w:highlight w:val="none"/>
                <w:lang w:eastAsia="zh-CN"/>
              </w:rPr>
              <w:t>存款</w:t>
            </w:r>
            <w:r>
              <w:rPr>
                <w:rFonts w:hint="eastAsia" w:ascii="宋体" w:hAnsi="宋体"/>
                <w:szCs w:val="21"/>
                <w:highlight w:val="none"/>
              </w:rPr>
              <w:t>利率：</w:t>
            </w:r>
            <w:r>
              <w:rPr>
                <w:rFonts w:hint="eastAsia" w:ascii="宋体" w:hAnsi="宋体"/>
                <w:szCs w:val="21"/>
                <w:highlight w:val="none"/>
                <w:lang w:eastAsia="zh-CN"/>
              </w:rPr>
              <w:t>承诺按最新自律管理机制上限结合人民银行最新规定上限提供的</w:t>
            </w:r>
            <w:r>
              <w:rPr>
                <w:rFonts w:hint="eastAsia" w:ascii="宋体" w:hAnsi="宋体"/>
                <w:szCs w:val="21"/>
                <w:highlight w:val="none"/>
                <w:lang w:val="en-US" w:eastAsia="zh-CN"/>
              </w:rPr>
              <w:t>，</w:t>
            </w:r>
            <w:r>
              <w:rPr>
                <w:rFonts w:hint="eastAsia" w:ascii="宋体" w:hAnsi="宋体"/>
                <w:szCs w:val="21"/>
                <w:highlight w:val="none"/>
              </w:rPr>
              <w:t>得</w:t>
            </w:r>
            <w:r>
              <w:rPr>
                <w:rFonts w:hint="eastAsia" w:ascii="宋体" w:hAnsi="宋体"/>
                <w:szCs w:val="21"/>
                <w:highlight w:val="none"/>
                <w:lang w:val="en-US" w:eastAsia="zh-CN"/>
              </w:rPr>
              <w:t>1.5</w:t>
            </w:r>
            <w:r>
              <w:rPr>
                <w:rFonts w:hint="eastAsia" w:ascii="宋体" w:hAnsi="宋体"/>
                <w:szCs w:val="21"/>
                <w:highlight w:val="none"/>
              </w:rPr>
              <w:t>分</w:t>
            </w:r>
            <w:r>
              <w:rPr>
                <w:rFonts w:hint="eastAsia" w:ascii="宋体" w:hAnsi="宋体"/>
                <w:szCs w:val="21"/>
                <w:highlight w:val="none"/>
                <w:lang w:eastAsia="zh-CN"/>
              </w:rPr>
              <w:t>，</w:t>
            </w:r>
            <w:r>
              <w:rPr>
                <w:rFonts w:hint="eastAsia" w:ascii="宋体" w:hAnsi="宋体"/>
                <w:szCs w:val="21"/>
                <w:highlight w:val="none"/>
                <w:lang w:val="en-US" w:eastAsia="zh-CN"/>
              </w:rPr>
              <w:t>未承诺或承诺不符合要求的，不得分。</w:t>
            </w:r>
          </w:p>
        </w:tc>
      </w:tr>
      <w:tr w14:paraId="5616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1131" w:type="dxa"/>
            <w:vMerge w:val="continue"/>
            <w:noWrap/>
            <w:vAlign w:val="center"/>
          </w:tcPr>
          <w:p w14:paraId="61DF7FFF">
            <w:pPr>
              <w:spacing w:line="320" w:lineRule="exact"/>
              <w:jc w:val="left"/>
              <w:rPr>
                <w:rFonts w:ascii="宋体" w:hAnsi="宋体" w:cs="宋体"/>
                <w:iCs/>
                <w:kern w:val="0"/>
                <w:szCs w:val="21"/>
              </w:rPr>
            </w:pPr>
          </w:p>
        </w:tc>
        <w:tc>
          <w:tcPr>
            <w:tcW w:w="1559" w:type="dxa"/>
            <w:vMerge w:val="continue"/>
            <w:noWrap/>
            <w:vAlign w:val="center"/>
          </w:tcPr>
          <w:p w14:paraId="4F33A3F2">
            <w:pPr>
              <w:spacing w:line="320" w:lineRule="exact"/>
              <w:jc w:val="left"/>
              <w:rPr>
                <w:rFonts w:ascii="宋体" w:hAnsi="宋体" w:cs="宋体"/>
                <w:iCs/>
                <w:kern w:val="0"/>
                <w:szCs w:val="21"/>
              </w:rPr>
            </w:pPr>
          </w:p>
        </w:tc>
        <w:tc>
          <w:tcPr>
            <w:tcW w:w="6249" w:type="dxa"/>
            <w:noWrap/>
            <w:vAlign w:val="center"/>
          </w:tcPr>
          <w:p w14:paraId="697CCD5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szCs w:val="21"/>
              </w:rPr>
            </w:pPr>
            <w:r>
              <w:rPr>
                <w:rFonts w:hint="eastAsia" w:ascii="宋体" w:hAnsi="宋体"/>
                <w:szCs w:val="21"/>
                <w:highlight w:val="none"/>
                <w:lang w:eastAsia="zh-CN"/>
              </w:rPr>
              <w:t>（</w:t>
            </w:r>
            <w:r>
              <w:rPr>
                <w:rFonts w:hint="eastAsia" w:ascii="宋体" w:hAnsi="宋体"/>
                <w:szCs w:val="21"/>
                <w:highlight w:val="none"/>
                <w:lang w:val="en-US" w:eastAsia="zh-CN"/>
              </w:rPr>
              <w:t>3）</w:t>
            </w:r>
            <w:r>
              <w:rPr>
                <w:rFonts w:hint="eastAsia" w:ascii="宋体" w:hAnsi="宋体"/>
                <w:szCs w:val="21"/>
                <w:highlight w:val="none"/>
              </w:rPr>
              <w:t>通知存款利率：</w:t>
            </w:r>
            <w:r>
              <w:rPr>
                <w:rFonts w:hint="eastAsia" w:ascii="宋体" w:hAnsi="宋体"/>
                <w:szCs w:val="21"/>
                <w:highlight w:val="none"/>
                <w:lang w:eastAsia="zh-CN"/>
              </w:rPr>
              <w:t>承诺按最新自律管理机制上限结合人民银行最新规定上限提供的</w:t>
            </w:r>
            <w:r>
              <w:rPr>
                <w:rFonts w:hint="eastAsia" w:ascii="宋体" w:hAnsi="宋体"/>
                <w:szCs w:val="21"/>
                <w:highlight w:val="none"/>
                <w:lang w:val="en-US" w:eastAsia="zh-CN"/>
              </w:rPr>
              <w:t>，</w:t>
            </w:r>
            <w:r>
              <w:rPr>
                <w:rFonts w:hint="eastAsia" w:ascii="宋体" w:hAnsi="宋体"/>
                <w:szCs w:val="21"/>
                <w:highlight w:val="none"/>
              </w:rPr>
              <w:t>得1</w:t>
            </w:r>
            <w:r>
              <w:rPr>
                <w:rFonts w:hint="eastAsia" w:ascii="宋体" w:hAnsi="宋体"/>
                <w:szCs w:val="21"/>
                <w:highlight w:val="none"/>
                <w:lang w:val="en-US" w:eastAsia="zh-CN"/>
              </w:rPr>
              <w:t>.5</w:t>
            </w:r>
            <w:r>
              <w:rPr>
                <w:rFonts w:hint="eastAsia" w:ascii="宋体" w:hAnsi="宋体"/>
                <w:szCs w:val="21"/>
                <w:highlight w:val="none"/>
              </w:rPr>
              <w:t>分</w:t>
            </w:r>
            <w:r>
              <w:rPr>
                <w:rFonts w:hint="eastAsia" w:ascii="宋体" w:hAnsi="宋体"/>
                <w:szCs w:val="21"/>
                <w:highlight w:val="none"/>
                <w:lang w:eastAsia="zh-CN"/>
              </w:rPr>
              <w:t>，</w:t>
            </w:r>
            <w:r>
              <w:rPr>
                <w:rFonts w:hint="eastAsia" w:ascii="宋体" w:hAnsi="宋体"/>
                <w:szCs w:val="21"/>
                <w:highlight w:val="none"/>
                <w:lang w:val="en-US" w:eastAsia="zh-CN"/>
              </w:rPr>
              <w:t>未承诺或承诺不符合要求的，不得分</w:t>
            </w:r>
            <w:r>
              <w:rPr>
                <w:rFonts w:hint="eastAsia" w:ascii="宋体" w:hAnsi="宋体"/>
                <w:szCs w:val="21"/>
                <w:highlight w:val="none"/>
                <w:lang w:eastAsia="zh-CN"/>
              </w:rPr>
              <w:t>。</w:t>
            </w:r>
          </w:p>
        </w:tc>
      </w:tr>
      <w:tr w14:paraId="5C79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131" w:type="dxa"/>
            <w:vMerge w:val="continue"/>
            <w:noWrap/>
            <w:vAlign w:val="center"/>
          </w:tcPr>
          <w:p w14:paraId="007AB84D">
            <w:pPr>
              <w:spacing w:line="320" w:lineRule="exact"/>
              <w:jc w:val="left"/>
              <w:rPr>
                <w:rFonts w:ascii="宋体" w:hAnsi="宋体" w:cs="宋体"/>
                <w:iCs/>
                <w:kern w:val="0"/>
                <w:szCs w:val="21"/>
              </w:rPr>
            </w:pPr>
          </w:p>
        </w:tc>
        <w:tc>
          <w:tcPr>
            <w:tcW w:w="1559" w:type="dxa"/>
            <w:vMerge w:val="continue"/>
            <w:noWrap/>
            <w:vAlign w:val="center"/>
          </w:tcPr>
          <w:p w14:paraId="157B8E9C">
            <w:pPr>
              <w:spacing w:line="320" w:lineRule="exact"/>
              <w:jc w:val="left"/>
              <w:rPr>
                <w:rFonts w:ascii="宋体" w:hAnsi="宋体" w:cs="宋体"/>
                <w:iCs/>
                <w:kern w:val="0"/>
                <w:szCs w:val="21"/>
              </w:rPr>
            </w:pPr>
          </w:p>
        </w:tc>
        <w:tc>
          <w:tcPr>
            <w:tcW w:w="6249" w:type="dxa"/>
            <w:noWrap/>
            <w:vAlign w:val="center"/>
          </w:tcPr>
          <w:p w14:paraId="0F0FB2EA">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宋体"/>
                <w:iCs/>
                <w:kern w:val="0"/>
                <w:szCs w:val="21"/>
              </w:rPr>
            </w:pPr>
            <w:r>
              <w:rPr>
                <w:rFonts w:hint="eastAsia" w:ascii="宋体" w:hAnsi="宋体"/>
                <w:szCs w:val="21"/>
                <w:highlight w:val="none"/>
                <w:lang w:eastAsia="zh-CN"/>
              </w:rPr>
              <w:t>（</w:t>
            </w:r>
            <w:r>
              <w:rPr>
                <w:rFonts w:hint="eastAsia" w:ascii="宋体" w:hAnsi="宋体"/>
                <w:szCs w:val="21"/>
                <w:highlight w:val="none"/>
                <w:lang w:val="en-US" w:eastAsia="zh-CN"/>
              </w:rPr>
              <w:t>4）</w:t>
            </w:r>
            <w:r>
              <w:rPr>
                <w:rFonts w:hint="eastAsia" w:ascii="宋体" w:hAnsi="宋体"/>
                <w:szCs w:val="21"/>
                <w:highlight w:val="none"/>
                <w:lang w:eastAsia="zh-CN"/>
              </w:rPr>
              <w:t>定期存款利率（一年期及以内）：承诺按最新自律管理机制上限结合人民银行最新规定上限提供的，得</w:t>
            </w:r>
            <w:r>
              <w:rPr>
                <w:rFonts w:hint="eastAsia" w:ascii="宋体" w:hAnsi="宋体"/>
                <w:szCs w:val="21"/>
                <w:highlight w:val="none"/>
                <w:lang w:val="en-US" w:eastAsia="zh-CN"/>
              </w:rPr>
              <w:t>1.5</w:t>
            </w:r>
            <w:r>
              <w:rPr>
                <w:rFonts w:hint="eastAsia" w:ascii="宋体" w:hAnsi="宋体"/>
                <w:szCs w:val="21"/>
                <w:highlight w:val="none"/>
                <w:lang w:eastAsia="zh-CN"/>
              </w:rPr>
              <w:t>分，</w:t>
            </w:r>
            <w:r>
              <w:rPr>
                <w:rFonts w:hint="eastAsia" w:ascii="宋体" w:hAnsi="宋体" w:cs="宋体"/>
                <w:iCs/>
                <w:kern w:val="0"/>
                <w:szCs w:val="21"/>
                <w:highlight w:val="none"/>
              </w:rPr>
              <w:t>未承诺或承诺不符合要求的，不得分。</w:t>
            </w:r>
          </w:p>
        </w:tc>
      </w:tr>
      <w:tr w14:paraId="1BC8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8" w:hRule="atLeast"/>
          <w:jc w:val="center"/>
        </w:trPr>
        <w:tc>
          <w:tcPr>
            <w:tcW w:w="1131" w:type="dxa"/>
            <w:vMerge w:val="restart"/>
            <w:noWrap/>
            <w:vAlign w:val="center"/>
          </w:tcPr>
          <w:p w14:paraId="738A35EE">
            <w:pPr>
              <w:spacing w:line="300" w:lineRule="exact"/>
              <w:jc w:val="center"/>
              <w:rPr>
                <w:rFonts w:ascii="宋体" w:hAnsi="宋体"/>
                <w:szCs w:val="21"/>
              </w:rPr>
            </w:pPr>
            <w:r>
              <w:rPr>
                <w:rFonts w:hint="eastAsia" w:ascii="宋体" w:hAnsi="宋体"/>
                <w:szCs w:val="21"/>
              </w:rPr>
              <w:t>三、经济贡献度</w:t>
            </w:r>
          </w:p>
          <w:p w14:paraId="0E00AF61">
            <w:pPr>
              <w:spacing w:line="300" w:lineRule="exact"/>
              <w:jc w:val="center"/>
              <w:rPr>
                <w:rFonts w:ascii="宋体" w:hAnsi="宋体" w:cs="宋体"/>
                <w:b/>
                <w:kern w:val="0"/>
                <w:szCs w:val="21"/>
              </w:rPr>
            </w:pPr>
            <w:r>
              <w:rPr>
                <w:rFonts w:hint="eastAsia" w:ascii="宋体" w:hAnsi="宋体"/>
                <w:szCs w:val="21"/>
              </w:rPr>
              <w:t>（</w:t>
            </w:r>
            <w:r>
              <w:rPr>
                <w:rFonts w:hint="eastAsia" w:ascii="宋体" w:hAnsi="宋体"/>
                <w:szCs w:val="21"/>
                <w:lang w:val="en-US" w:eastAsia="zh-CN"/>
              </w:rPr>
              <w:t>55</w:t>
            </w:r>
            <w:r>
              <w:rPr>
                <w:rFonts w:hint="eastAsia" w:ascii="宋体" w:hAnsi="宋体"/>
                <w:szCs w:val="21"/>
              </w:rPr>
              <w:t>分）</w:t>
            </w:r>
          </w:p>
        </w:tc>
        <w:tc>
          <w:tcPr>
            <w:tcW w:w="1559" w:type="dxa"/>
            <w:noWrap/>
            <w:vAlign w:val="center"/>
          </w:tcPr>
          <w:p w14:paraId="148BA4D1">
            <w:pPr>
              <w:spacing w:line="300" w:lineRule="exact"/>
              <w:jc w:val="center"/>
              <w:rPr>
                <w:rFonts w:ascii="宋体"/>
                <w:szCs w:val="21"/>
              </w:rPr>
            </w:pPr>
            <w:r>
              <w:rPr>
                <w:rFonts w:ascii="宋体" w:hAnsi="宋体"/>
                <w:szCs w:val="21"/>
              </w:rPr>
              <w:t>1.</w:t>
            </w:r>
            <w:r>
              <w:rPr>
                <w:rFonts w:hint="eastAsia" w:ascii="宋体" w:hAnsi="宋体"/>
                <w:szCs w:val="21"/>
              </w:rPr>
              <w:t>纳税总额</w:t>
            </w:r>
          </w:p>
          <w:p w14:paraId="03A6D858">
            <w:pPr>
              <w:spacing w:line="260" w:lineRule="exact"/>
              <w:jc w:val="center"/>
              <w:rPr>
                <w:rFonts w:asci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分）</w:t>
            </w:r>
          </w:p>
          <w:p w14:paraId="644F7580">
            <w:pPr>
              <w:spacing w:line="260" w:lineRule="exact"/>
              <w:jc w:val="center"/>
              <w:rPr>
                <w:rFonts w:ascii="宋体" w:hAnsi="宋体"/>
                <w:szCs w:val="21"/>
              </w:rPr>
            </w:pPr>
          </w:p>
        </w:tc>
        <w:tc>
          <w:tcPr>
            <w:tcW w:w="6249" w:type="dxa"/>
            <w:noWrap/>
            <w:vAlign w:val="center"/>
          </w:tcPr>
          <w:p w14:paraId="16C994D7">
            <w:pPr>
              <w:widowControl/>
              <w:spacing w:line="320" w:lineRule="exact"/>
              <w:jc w:val="left"/>
              <w:rPr>
                <w:rFonts w:ascii="宋体"/>
                <w:kern w:val="0"/>
                <w:szCs w:val="21"/>
              </w:rPr>
            </w:pPr>
            <w:r>
              <w:rPr>
                <w:rFonts w:hint="eastAsia" w:ascii="宋体" w:hAnsi="宋体"/>
                <w:kern w:val="0"/>
                <w:szCs w:val="21"/>
              </w:rPr>
              <w:t>根据投标文件中提供的由国家税务总局宁波市北仑区（宁波经济技术开发区）税务局）出具盖章的纳（完）税证明中载明的入库时间是</w:t>
            </w:r>
            <w:r>
              <w:rPr>
                <w:rFonts w:hint="eastAsia" w:ascii="宋体" w:hAnsi="宋体"/>
                <w:kern w:val="0"/>
                <w:szCs w:val="21"/>
                <w:lang w:eastAsia="zh-CN"/>
              </w:rPr>
              <w:t>2024</w:t>
            </w:r>
            <w:r>
              <w:rPr>
                <w:rFonts w:hint="eastAsia" w:ascii="宋体" w:hAnsi="宋体"/>
                <w:kern w:val="0"/>
                <w:szCs w:val="21"/>
              </w:rPr>
              <w:t>年度的各种税款总额</w:t>
            </w:r>
            <w:r>
              <w:rPr>
                <w:rFonts w:hint="eastAsia" w:ascii="宋体" w:hAnsi="宋体"/>
                <w:b/>
                <w:bCs/>
                <w:kern w:val="0"/>
                <w:szCs w:val="21"/>
              </w:rPr>
              <w:t>【仅指各种税、教育费附加和地方教育附加】</w:t>
            </w:r>
            <w:r>
              <w:rPr>
                <w:rFonts w:hint="eastAsia" w:ascii="宋体" w:hAnsi="宋体"/>
                <w:kern w:val="0"/>
                <w:szCs w:val="21"/>
              </w:rPr>
              <w:t>进行评审：</w:t>
            </w:r>
          </w:p>
          <w:p w14:paraId="23CE86A5">
            <w:pPr>
              <w:spacing w:line="360" w:lineRule="exact"/>
              <w:jc w:val="left"/>
              <w:rPr>
                <w:rFonts w:ascii="宋体"/>
                <w:szCs w:val="21"/>
              </w:rPr>
            </w:pPr>
            <w:r>
              <w:rPr>
                <w:rFonts w:hint="eastAsia" w:ascii="宋体" w:hAnsi="宋体"/>
                <w:szCs w:val="21"/>
              </w:rPr>
              <w:t>纳税在</w:t>
            </w:r>
            <w:r>
              <w:rPr>
                <w:rFonts w:hint="eastAsia" w:ascii="宋体" w:hAnsi="宋体"/>
                <w:szCs w:val="21"/>
                <w:lang w:val="en-US" w:eastAsia="zh-CN"/>
              </w:rPr>
              <w:t>40</w:t>
            </w:r>
            <w:r>
              <w:rPr>
                <w:rFonts w:hint="eastAsia" w:ascii="宋体" w:hAnsi="宋体"/>
                <w:szCs w:val="21"/>
              </w:rPr>
              <w:t>00万</w:t>
            </w:r>
            <w:r>
              <w:rPr>
                <w:rFonts w:hint="eastAsia" w:ascii="宋体" w:hAnsi="宋体"/>
                <w:szCs w:val="21"/>
                <w:lang w:val="en-US" w:eastAsia="zh-CN"/>
              </w:rPr>
              <w:t>元</w:t>
            </w:r>
            <w:r>
              <w:rPr>
                <w:rFonts w:hint="eastAsia" w:ascii="宋体" w:hAnsi="宋体"/>
                <w:szCs w:val="21"/>
              </w:rPr>
              <w:t>及以上的，得</w:t>
            </w:r>
            <w:r>
              <w:rPr>
                <w:rFonts w:hint="eastAsia" w:ascii="宋体" w:hAnsi="宋体"/>
                <w:szCs w:val="21"/>
                <w:lang w:val="en-US" w:eastAsia="zh-CN"/>
              </w:rPr>
              <w:t>6</w:t>
            </w:r>
            <w:r>
              <w:rPr>
                <w:rFonts w:hint="eastAsia" w:ascii="宋体" w:hAnsi="宋体"/>
                <w:szCs w:val="21"/>
              </w:rPr>
              <w:t>分；</w:t>
            </w:r>
            <w:r>
              <w:rPr>
                <w:rFonts w:ascii="宋体" w:hAnsi="宋体"/>
                <w:szCs w:val="21"/>
              </w:rPr>
              <w:t xml:space="preserve"> </w:t>
            </w:r>
          </w:p>
          <w:p w14:paraId="5A9CDA0C">
            <w:pPr>
              <w:spacing w:line="360" w:lineRule="exact"/>
              <w:jc w:val="left"/>
              <w:rPr>
                <w:rFonts w:ascii="宋体"/>
                <w:szCs w:val="21"/>
              </w:rPr>
            </w:pPr>
            <w:r>
              <w:rPr>
                <w:rFonts w:hint="eastAsia" w:ascii="宋体" w:hAnsi="宋体"/>
                <w:szCs w:val="21"/>
              </w:rPr>
              <w:t>纳税在</w:t>
            </w:r>
            <w:r>
              <w:rPr>
                <w:rFonts w:hint="eastAsia" w:ascii="宋体" w:hAnsi="宋体"/>
                <w:szCs w:val="21"/>
                <w:lang w:val="en-US" w:eastAsia="zh-CN"/>
              </w:rPr>
              <w:t>3500</w:t>
            </w:r>
            <w:r>
              <w:rPr>
                <w:rFonts w:hint="eastAsia" w:ascii="宋体" w:hAnsi="宋体"/>
                <w:szCs w:val="21"/>
              </w:rPr>
              <w:t>万元（含）至</w:t>
            </w:r>
            <w:r>
              <w:rPr>
                <w:rFonts w:hint="eastAsia" w:ascii="宋体" w:hAnsi="宋体"/>
                <w:szCs w:val="21"/>
                <w:lang w:val="en-US" w:eastAsia="zh-CN"/>
              </w:rPr>
              <w:t>40</w:t>
            </w:r>
            <w:r>
              <w:rPr>
                <w:rFonts w:hint="eastAsia" w:ascii="宋体" w:hAnsi="宋体"/>
                <w:szCs w:val="21"/>
              </w:rPr>
              <w:t>00万元（不含）的，得</w:t>
            </w:r>
            <w:r>
              <w:rPr>
                <w:rFonts w:hint="eastAsia" w:ascii="宋体" w:hAnsi="宋体"/>
                <w:szCs w:val="21"/>
                <w:lang w:val="en-US" w:eastAsia="zh-CN"/>
              </w:rPr>
              <w:t>5</w:t>
            </w:r>
            <w:r>
              <w:rPr>
                <w:rFonts w:hint="eastAsia" w:ascii="宋体" w:hAnsi="宋体"/>
                <w:szCs w:val="21"/>
              </w:rPr>
              <w:t>分；</w:t>
            </w:r>
          </w:p>
          <w:p w14:paraId="08CF6FB0">
            <w:pPr>
              <w:spacing w:line="360" w:lineRule="exact"/>
              <w:jc w:val="left"/>
              <w:rPr>
                <w:rFonts w:ascii="宋体"/>
                <w:szCs w:val="21"/>
              </w:rPr>
            </w:pPr>
            <w:r>
              <w:rPr>
                <w:rFonts w:hint="eastAsia" w:ascii="宋体" w:hAnsi="宋体"/>
                <w:szCs w:val="21"/>
              </w:rPr>
              <w:t>纳税在</w:t>
            </w:r>
            <w:r>
              <w:rPr>
                <w:rFonts w:hint="eastAsia" w:ascii="宋体" w:hAnsi="宋体"/>
                <w:szCs w:val="21"/>
                <w:lang w:val="en-US" w:eastAsia="zh-CN"/>
              </w:rPr>
              <w:t>30</w:t>
            </w:r>
            <w:r>
              <w:rPr>
                <w:rFonts w:hint="eastAsia" w:ascii="宋体" w:hAnsi="宋体"/>
                <w:szCs w:val="21"/>
              </w:rPr>
              <w:t>00万元（含）至</w:t>
            </w:r>
            <w:r>
              <w:rPr>
                <w:rFonts w:hint="eastAsia" w:ascii="宋体" w:hAnsi="宋体"/>
                <w:szCs w:val="21"/>
                <w:lang w:val="en-US" w:eastAsia="zh-CN"/>
              </w:rPr>
              <w:t>35</w:t>
            </w:r>
            <w:r>
              <w:rPr>
                <w:rFonts w:hint="eastAsia" w:ascii="宋体" w:hAnsi="宋体"/>
                <w:szCs w:val="21"/>
              </w:rPr>
              <w:t>00万元（不含）的，得</w:t>
            </w:r>
            <w:r>
              <w:rPr>
                <w:rFonts w:hint="eastAsia" w:ascii="宋体" w:hAnsi="宋体"/>
                <w:szCs w:val="21"/>
                <w:lang w:val="en-US" w:eastAsia="zh-CN"/>
              </w:rPr>
              <w:t>4</w:t>
            </w:r>
            <w:r>
              <w:rPr>
                <w:rFonts w:hint="eastAsia" w:ascii="宋体" w:hAnsi="宋体"/>
                <w:szCs w:val="21"/>
              </w:rPr>
              <w:t>分；</w:t>
            </w:r>
          </w:p>
          <w:p w14:paraId="2D0034FF">
            <w:pPr>
              <w:spacing w:line="360" w:lineRule="exact"/>
              <w:jc w:val="left"/>
              <w:rPr>
                <w:rFonts w:ascii="宋体"/>
                <w:szCs w:val="21"/>
              </w:rPr>
            </w:pPr>
            <w:r>
              <w:rPr>
                <w:rFonts w:hint="eastAsia" w:ascii="宋体" w:hAnsi="宋体"/>
                <w:szCs w:val="21"/>
              </w:rPr>
              <w:t>纳税在</w:t>
            </w:r>
            <w:r>
              <w:rPr>
                <w:rFonts w:hint="eastAsia" w:ascii="宋体" w:hAnsi="宋体"/>
                <w:szCs w:val="21"/>
                <w:lang w:val="en-US" w:eastAsia="zh-CN"/>
              </w:rPr>
              <w:t>25</w:t>
            </w:r>
            <w:r>
              <w:rPr>
                <w:rFonts w:hint="eastAsia" w:ascii="宋体" w:hAnsi="宋体"/>
                <w:szCs w:val="21"/>
              </w:rPr>
              <w:t>00万元（含）至</w:t>
            </w:r>
            <w:r>
              <w:rPr>
                <w:rFonts w:hint="eastAsia" w:ascii="宋体" w:hAnsi="宋体"/>
                <w:szCs w:val="21"/>
                <w:lang w:val="en-US" w:eastAsia="zh-CN"/>
              </w:rPr>
              <w:t>30</w:t>
            </w:r>
            <w:r>
              <w:rPr>
                <w:rFonts w:hint="eastAsia" w:ascii="宋体" w:hAnsi="宋体"/>
                <w:szCs w:val="21"/>
              </w:rPr>
              <w:t>00万元（不含）的，得</w:t>
            </w:r>
            <w:r>
              <w:rPr>
                <w:rFonts w:hint="eastAsia" w:ascii="宋体" w:hAnsi="宋体"/>
                <w:szCs w:val="21"/>
                <w:lang w:val="en-US" w:eastAsia="zh-CN"/>
              </w:rPr>
              <w:t>3</w:t>
            </w:r>
            <w:r>
              <w:rPr>
                <w:rFonts w:hint="eastAsia" w:ascii="宋体" w:hAnsi="宋体"/>
                <w:szCs w:val="21"/>
              </w:rPr>
              <w:t>分；</w:t>
            </w:r>
          </w:p>
          <w:p w14:paraId="332AE0D9">
            <w:pPr>
              <w:spacing w:line="360" w:lineRule="exact"/>
              <w:jc w:val="left"/>
              <w:rPr>
                <w:rFonts w:ascii="宋体"/>
                <w:szCs w:val="21"/>
              </w:rPr>
            </w:pPr>
            <w:r>
              <w:rPr>
                <w:rFonts w:hint="eastAsia" w:ascii="宋体" w:hAnsi="宋体"/>
                <w:szCs w:val="21"/>
              </w:rPr>
              <w:t>纳税在</w:t>
            </w:r>
            <w:r>
              <w:rPr>
                <w:rFonts w:hint="eastAsia" w:ascii="宋体" w:hAnsi="宋体"/>
                <w:szCs w:val="21"/>
                <w:lang w:val="en-US" w:eastAsia="zh-CN"/>
              </w:rPr>
              <w:t>20</w:t>
            </w:r>
            <w:r>
              <w:rPr>
                <w:rFonts w:hint="eastAsia" w:ascii="宋体" w:hAnsi="宋体"/>
                <w:szCs w:val="21"/>
              </w:rPr>
              <w:t>00万元（含）至</w:t>
            </w:r>
            <w:r>
              <w:rPr>
                <w:rFonts w:hint="eastAsia" w:ascii="宋体" w:hAnsi="宋体"/>
                <w:szCs w:val="21"/>
                <w:lang w:val="en-US" w:eastAsia="zh-CN"/>
              </w:rPr>
              <w:t>25</w:t>
            </w:r>
            <w:r>
              <w:rPr>
                <w:rFonts w:ascii="宋体" w:hAnsi="宋体"/>
                <w:szCs w:val="21"/>
              </w:rPr>
              <w:t>00</w:t>
            </w:r>
            <w:r>
              <w:rPr>
                <w:rFonts w:hint="eastAsia" w:ascii="宋体" w:hAnsi="宋体"/>
                <w:szCs w:val="21"/>
              </w:rPr>
              <w:t>万元（不含）的，得</w:t>
            </w:r>
            <w:r>
              <w:rPr>
                <w:rFonts w:hint="eastAsia" w:ascii="宋体" w:hAnsi="宋体"/>
                <w:szCs w:val="21"/>
                <w:lang w:val="en-US" w:eastAsia="zh-CN"/>
              </w:rPr>
              <w:t>2</w:t>
            </w:r>
            <w:r>
              <w:rPr>
                <w:rFonts w:hint="eastAsia" w:ascii="宋体" w:hAnsi="宋体"/>
                <w:szCs w:val="21"/>
              </w:rPr>
              <w:t>分；</w:t>
            </w:r>
          </w:p>
          <w:p w14:paraId="11A269B5">
            <w:pPr>
              <w:spacing w:line="360" w:lineRule="exact"/>
              <w:jc w:val="left"/>
              <w:rPr>
                <w:rFonts w:ascii="宋体"/>
                <w:szCs w:val="21"/>
              </w:rPr>
            </w:pPr>
            <w:r>
              <w:rPr>
                <w:rFonts w:hint="eastAsia" w:ascii="宋体" w:hAnsi="宋体"/>
                <w:szCs w:val="21"/>
              </w:rPr>
              <w:t>纳税在2</w:t>
            </w:r>
            <w:r>
              <w:rPr>
                <w:rFonts w:hint="eastAsia" w:ascii="宋体" w:hAnsi="宋体"/>
                <w:szCs w:val="21"/>
                <w:lang w:val="en-US" w:eastAsia="zh-CN"/>
              </w:rPr>
              <w:t>0</w:t>
            </w:r>
            <w:r>
              <w:rPr>
                <w:rFonts w:hint="eastAsia" w:ascii="宋体" w:hAnsi="宋体"/>
                <w:szCs w:val="21"/>
              </w:rPr>
              <w:t>00万元（不含）以下的，得</w:t>
            </w:r>
            <w:r>
              <w:rPr>
                <w:rFonts w:hint="eastAsia" w:ascii="宋体" w:hAnsi="宋体"/>
                <w:szCs w:val="21"/>
                <w:lang w:val="en-US" w:eastAsia="zh-CN"/>
              </w:rPr>
              <w:t>1</w:t>
            </w:r>
            <w:r>
              <w:rPr>
                <w:rFonts w:hint="eastAsia" w:ascii="宋体" w:hAnsi="宋体"/>
                <w:szCs w:val="21"/>
              </w:rPr>
              <w:t>分；</w:t>
            </w:r>
          </w:p>
          <w:p w14:paraId="47479BD6">
            <w:pPr>
              <w:spacing w:line="360" w:lineRule="exact"/>
              <w:jc w:val="left"/>
              <w:rPr>
                <w:rFonts w:ascii="宋体"/>
                <w:szCs w:val="21"/>
              </w:rPr>
            </w:pPr>
            <w:r>
              <w:rPr>
                <w:rFonts w:hint="eastAsia" w:ascii="宋体" w:hAnsi="宋体"/>
                <w:szCs w:val="21"/>
              </w:rPr>
              <w:t>本项最高得</w:t>
            </w:r>
            <w:r>
              <w:rPr>
                <w:rFonts w:hint="eastAsia" w:ascii="宋体" w:hAnsi="宋体"/>
                <w:szCs w:val="21"/>
                <w:lang w:val="en-US" w:eastAsia="zh-CN"/>
              </w:rPr>
              <w:t>6</w:t>
            </w:r>
            <w:r>
              <w:rPr>
                <w:rFonts w:hint="eastAsia" w:ascii="宋体" w:hAnsi="宋体"/>
                <w:szCs w:val="21"/>
              </w:rPr>
              <w:t>分。</w:t>
            </w:r>
          </w:p>
          <w:p w14:paraId="603D815A">
            <w:pPr>
              <w:spacing w:line="360" w:lineRule="exact"/>
              <w:jc w:val="left"/>
              <w:rPr>
                <w:rFonts w:ascii="宋体"/>
                <w:szCs w:val="21"/>
              </w:rPr>
            </w:pPr>
            <w:r>
              <w:rPr>
                <w:rFonts w:hint="eastAsia" w:ascii="宋体" w:hAnsi="宋体"/>
                <w:szCs w:val="21"/>
              </w:rPr>
              <w:t>无纳税数据资料的，不得分。</w:t>
            </w:r>
          </w:p>
          <w:p w14:paraId="01ECFCC4">
            <w:pPr>
              <w:spacing w:line="360" w:lineRule="exact"/>
              <w:jc w:val="left"/>
              <w:rPr>
                <w:rFonts w:ascii="宋体" w:hAnsi="宋体"/>
                <w:szCs w:val="21"/>
              </w:rPr>
            </w:pPr>
            <w:r>
              <w:rPr>
                <w:rFonts w:hint="eastAsia" w:ascii="宋体" w:hAnsi="宋体"/>
                <w:kern w:val="0"/>
                <w:szCs w:val="21"/>
              </w:rPr>
              <w:t>《纳税证明》和《税收完税证明》上的纳税人名称须与投标人名称一致，否则不予认可。</w:t>
            </w:r>
          </w:p>
        </w:tc>
      </w:tr>
      <w:tr w14:paraId="6F4A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6" w:hRule="atLeast"/>
          <w:jc w:val="center"/>
        </w:trPr>
        <w:tc>
          <w:tcPr>
            <w:tcW w:w="1131" w:type="dxa"/>
            <w:vMerge w:val="continue"/>
            <w:noWrap/>
            <w:vAlign w:val="center"/>
          </w:tcPr>
          <w:p w14:paraId="39BB661F">
            <w:pPr>
              <w:spacing w:line="300" w:lineRule="exact"/>
              <w:jc w:val="center"/>
              <w:rPr>
                <w:rFonts w:ascii="宋体" w:hAnsi="宋体" w:cs="宋体"/>
                <w:b/>
                <w:kern w:val="0"/>
                <w:szCs w:val="21"/>
              </w:rPr>
            </w:pPr>
          </w:p>
        </w:tc>
        <w:tc>
          <w:tcPr>
            <w:tcW w:w="1559" w:type="dxa"/>
            <w:noWrap/>
            <w:vAlign w:val="center"/>
          </w:tcPr>
          <w:p w14:paraId="149279F5">
            <w:pPr>
              <w:spacing w:line="300" w:lineRule="exact"/>
              <w:jc w:val="center"/>
              <w:rPr>
                <w:rFonts w:ascii="宋体"/>
                <w:szCs w:val="21"/>
                <w:highlight w:val="none"/>
              </w:rPr>
            </w:pPr>
            <w:r>
              <w:rPr>
                <w:rFonts w:ascii="宋体" w:hAnsi="宋体"/>
                <w:szCs w:val="21"/>
                <w:highlight w:val="none"/>
              </w:rPr>
              <w:t>2.</w:t>
            </w:r>
            <w:r>
              <w:rPr>
                <w:rFonts w:hint="eastAsia" w:ascii="宋体" w:hAnsi="宋体"/>
                <w:szCs w:val="21"/>
                <w:highlight w:val="none"/>
              </w:rPr>
              <w:t>纳税增幅</w:t>
            </w:r>
          </w:p>
          <w:p w14:paraId="0CD260A8">
            <w:pPr>
              <w:spacing w:line="260" w:lineRule="exact"/>
              <w:jc w:val="center"/>
              <w:rPr>
                <w:rFonts w:ascii="宋体" w:hAnsi="宋体"/>
                <w:szCs w:val="21"/>
              </w:rPr>
            </w:pP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分）</w:t>
            </w:r>
          </w:p>
        </w:tc>
        <w:tc>
          <w:tcPr>
            <w:tcW w:w="6249" w:type="dxa"/>
            <w:noWrap/>
            <w:vAlign w:val="center"/>
          </w:tcPr>
          <w:p w14:paraId="1E7AF769">
            <w:pPr>
              <w:spacing w:line="360" w:lineRule="exact"/>
              <w:jc w:val="left"/>
              <w:rPr>
                <w:rFonts w:ascii="宋体"/>
                <w:szCs w:val="21"/>
                <w:highlight w:val="none"/>
              </w:rPr>
            </w:pPr>
            <w:r>
              <w:rPr>
                <w:rFonts w:hint="eastAsia" w:ascii="宋体" w:hAnsi="宋体" w:cs="宋体"/>
                <w:iCs/>
                <w:kern w:val="0"/>
                <w:szCs w:val="21"/>
                <w:highlight w:val="none"/>
              </w:rPr>
              <w:t>根据投标人</w:t>
            </w:r>
            <w:r>
              <w:rPr>
                <w:rFonts w:ascii="宋体" w:hAnsi="宋体" w:cs="宋体"/>
                <w:iCs/>
                <w:kern w:val="0"/>
                <w:szCs w:val="21"/>
                <w:highlight w:val="none"/>
              </w:rPr>
              <w:t>202</w:t>
            </w:r>
            <w:r>
              <w:rPr>
                <w:rFonts w:hint="eastAsia" w:ascii="宋体" w:hAnsi="宋体" w:cs="宋体"/>
                <w:iCs/>
                <w:kern w:val="0"/>
                <w:szCs w:val="21"/>
                <w:highlight w:val="none"/>
                <w:lang w:val="en-US" w:eastAsia="zh-CN"/>
              </w:rPr>
              <w:t>2</w:t>
            </w:r>
            <w:r>
              <w:rPr>
                <w:rFonts w:hint="eastAsia" w:ascii="宋体" w:hAnsi="宋体" w:cs="宋体"/>
                <w:iCs/>
                <w:kern w:val="0"/>
                <w:szCs w:val="21"/>
                <w:highlight w:val="none"/>
              </w:rPr>
              <w:t>年度</w:t>
            </w:r>
            <w:r>
              <w:rPr>
                <w:rFonts w:hint="eastAsia" w:ascii="宋体" w:hAnsi="宋体"/>
                <w:szCs w:val="21"/>
                <w:highlight w:val="none"/>
              </w:rPr>
              <w:t>与</w:t>
            </w:r>
            <w:r>
              <w:rPr>
                <w:rFonts w:hint="eastAsia" w:ascii="宋体" w:hAnsi="宋体"/>
                <w:szCs w:val="21"/>
                <w:highlight w:val="none"/>
                <w:lang w:eastAsia="zh-CN"/>
              </w:rPr>
              <w:t>2024</w:t>
            </w:r>
            <w:r>
              <w:rPr>
                <w:rFonts w:hint="eastAsia" w:ascii="宋体" w:hAnsi="宋体"/>
                <w:szCs w:val="21"/>
                <w:highlight w:val="none"/>
              </w:rPr>
              <w:t>年度的纳税总额情况进行评审：</w:t>
            </w:r>
          </w:p>
          <w:p w14:paraId="596C2EB6">
            <w:pPr>
              <w:spacing w:line="360" w:lineRule="exact"/>
              <w:jc w:val="left"/>
              <w:rPr>
                <w:rFonts w:ascii="宋体"/>
                <w:szCs w:val="21"/>
                <w:highlight w:val="none"/>
              </w:rPr>
            </w:pPr>
            <w:r>
              <w:rPr>
                <w:rFonts w:hint="eastAsia" w:ascii="宋体" w:hAnsi="宋体"/>
                <w:szCs w:val="21"/>
                <w:highlight w:val="none"/>
              </w:rPr>
              <w:t>纳税增幅为正增长的，得</w:t>
            </w:r>
            <w:r>
              <w:rPr>
                <w:rFonts w:hint="eastAsia" w:ascii="宋体" w:hAnsi="宋体"/>
                <w:szCs w:val="21"/>
                <w:highlight w:val="none"/>
                <w:lang w:val="en-US" w:eastAsia="zh-CN"/>
              </w:rPr>
              <w:t>2</w:t>
            </w:r>
            <w:r>
              <w:rPr>
                <w:rFonts w:hint="eastAsia" w:ascii="宋体" w:hAnsi="宋体"/>
                <w:szCs w:val="21"/>
                <w:highlight w:val="none"/>
              </w:rPr>
              <w:t>分；其余的，得</w:t>
            </w:r>
            <w:r>
              <w:rPr>
                <w:rFonts w:ascii="宋体"/>
                <w:szCs w:val="21"/>
                <w:highlight w:val="none"/>
              </w:rPr>
              <w:t>0</w:t>
            </w:r>
            <w:r>
              <w:rPr>
                <w:rFonts w:hint="eastAsia" w:ascii="宋体" w:hAnsi="宋体"/>
                <w:szCs w:val="21"/>
                <w:highlight w:val="none"/>
              </w:rPr>
              <w:t>分；无相应纳税增幅数据的，不得分。</w:t>
            </w:r>
          </w:p>
          <w:p w14:paraId="139BF244">
            <w:pPr>
              <w:spacing w:line="360" w:lineRule="exact"/>
              <w:jc w:val="left"/>
              <w:rPr>
                <w:rFonts w:ascii="宋体" w:hAnsi="宋体" w:cs="宋体"/>
                <w:iCs/>
                <w:kern w:val="0"/>
                <w:szCs w:val="21"/>
              </w:rPr>
            </w:pPr>
            <w:r>
              <w:rPr>
                <w:rFonts w:hint="eastAsia" w:ascii="宋体" w:hAnsi="宋体"/>
                <w:szCs w:val="21"/>
                <w:highlight w:val="none"/>
              </w:rPr>
              <w:t>以国家税务总局宁波市北仑区（宁波经济技术开发区）税务局出具盖章的</w:t>
            </w:r>
            <w:r>
              <w:rPr>
                <w:rFonts w:hint="eastAsia" w:ascii="宋体" w:hAnsi="宋体"/>
                <w:b/>
                <w:bCs/>
                <w:kern w:val="0"/>
                <w:szCs w:val="21"/>
                <w:highlight w:val="none"/>
              </w:rPr>
              <w:t>入库时间</w:t>
            </w:r>
            <w:r>
              <w:rPr>
                <w:rFonts w:hint="eastAsia" w:ascii="宋体" w:hAnsi="宋体"/>
                <w:szCs w:val="21"/>
                <w:highlight w:val="none"/>
              </w:rPr>
              <w:t>为</w:t>
            </w:r>
            <w:r>
              <w:rPr>
                <w:rFonts w:ascii="宋体" w:hAnsi="宋体"/>
                <w:b/>
                <w:bCs/>
                <w:szCs w:val="21"/>
                <w:highlight w:val="none"/>
              </w:rPr>
              <w:t>202</w:t>
            </w:r>
            <w:r>
              <w:rPr>
                <w:rFonts w:hint="eastAsia" w:ascii="宋体" w:hAnsi="宋体"/>
                <w:b/>
                <w:bCs/>
                <w:szCs w:val="21"/>
                <w:highlight w:val="none"/>
                <w:lang w:val="en-US" w:eastAsia="zh-CN"/>
              </w:rPr>
              <w:t>3</w:t>
            </w:r>
            <w:r>
              <w:rPr>
                <w:rFonts w:hint="eastAsia" w:ascii="宋体" w:hAnsi="宋体"/>
                <w:b/>
                <w:bCs/>
                <w:szCs w:val="21"/>
                <w:highlight w:val="none"/>
              </w:rPr>
              <w:t>年度、</w:t>
            </w:r>
            <w:r>
              <w:rPr>
                <w:rFonts w:hint="eastAsia" w:ascii="宋体" w:hAnsi="宋体"/>
                <w:b/>
                <w:bCs/>
                <w:szCs w:val="21"/>
                <w:highlight w:val="none"/>
                <w:lang w:eastAsia="zh-CN"/>
              </w:rPr>
              <w:t>2024</w:t>
            </w:r>
            <w:r>
              <w:rPr>
                <w:rFonts w:hint="eastAsia" w:ascii="宋体" w:hAnsi="宋体"/>
                <w:b/>
                <w:bCs/>
                <w:szCs w:val="21"/>
                <w:highlight w:val="none"/>
              </w:rPr>
              <w:t>年度</w:t>
            </w:r>
            <w:r>
              <w:rPr>
                <w:rFonts w:hint="eastAsia" w:ascii="宋体" w:hAnsi="宋体"/>
                <w:szCs w:val="21"/>
                <w:highlight w:val="none"/>
              </w:rPr>
              <w:t>纳（完）税证明为准。《纳税证明》和《税收完税证明》上的纳税人名称须与投标人名称一致，否则不予认可。</w:t>
            </w:r>
          </w:p>
        </w:tc>
      </w:tr>
      <w:tr w14:paraId="066F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1131" w:type="dxa"/>
            <w:vMerge w:val="continue"/>
            <w:noWrap/>
            <w:vAlign w:val="center"/>
          </w:tcPr>
          <w:p w14:paraId="542BCEAC">
            <w:pPr>
              <w:spacing w:line="300" w:lineRule="exact"/>
              <w:jc w:val="center"/>
              <w:rPr>
                <w:rFonts w:ascii="宋体" w:hAnsi="宋体" w:cs="宋体"/>
                <w:b/>
                <w:kern w:val="0"/>
                <w:szCs w:val="21"/>
              </w:rPr>
            </w:pPr>
          </w:p>
        </w:tc>
        <w:tc>
          <w:tcPr>
            <w:tcW w:w="1559" w:type="dxa"/>
            <w:noWrap/>
            <w:vAlign w:val="center"/>
          </w:tcPr>
          <w:p w14:paraId="13B5DE80">
            <w:pPr>
              <w:numPr>
                <w:ilvl w:val="0"/>
                <w:numId w:val="3"/>
              </w:numPr>
              <w:spacing w:line="260" w:lineRule="exact"/>
              <w:jc w:val="center"/>
              <w:rPr>
                <w:rFonts w:hint="eastAsia" w:ascii="宋体" w:hAnsi="宋体"/>
                <w:szCs w:val="21"/>
              </w:rPr>
            </w:pPr>
            <w:r>
              <w:rPr>
                <w:rFonts w:hint="eastAsia" w:ascii="宋体" w:hAnsi="宋体"/>
                <w:szCs w:val="21"/>
              </w:rPr>
              <w:t>对本区域重点事业支持情况</w:t>
            </w:r>
          </w:p>
          <w:p w14:paraId="47D911D7">
            <w:pPr>
              <w:spacing w:line="260" w:lineRule="exact"/>
              <w:jc w:val="center"/>
              <w:rPr>
                <w:rFonts w:ascii="宋体" w:hAnsi="宋体"/>
                <w:szCs w:val="21"/>
              </w:rPr>
            </w:pPr>
            <w:r>
              <w:rPr>
                <w:rFonts w:hint="eastAsia" w:ascii="宋体" w:hAnsi="宋体"/>
                <w:szCs w:val="21"/>
              </w:rPr>
              <w:t>（</w:t>
            </w:r>
            <w:r>
              <w:rPr>
                <w:rFonts w:hint="eastAsia" w:ascii="宋体" w:hAnsi="宋体"/>
                <w:szCs w:val="21"/>
                <w:lang w:val="en-US" w:eastAsia="zh-CN"/>
              </w:rPr>
              <w:t>18</w:t>
            </w:r>
            <w:r>
              <w:rPr>
                <w:rFonts w:hint="eastAsia" w:ascii="宋体" w:hAnsi="宋体"/>
                <w:szCs w:val="21"/>
              </w:rPr>
              <w:t>分）</w:t>
            </w:r>
          </w:p>
        </w:tc>
        <w:tc>
          <w:tcPr>
            <w:tcW w:w="6249" w:type="dxa"/>
            <w:noWrap/>
            <w:vAlign w:val="center"/>
          </w:tcPr>
          <w:p w14:paraId="07B76428">
            <w:pPr>
              <w:spacing w:line="360" w:lineRule="exact"/>
              <w:jc w:val="left"/>
              <w:rPr>
                <w:rFonts w:ascii="宋体" w:hAnsi="宋体" w:cs="宋体"/>
                <w:iCs/>
                <w:kern w:val="0"/>
                <w:szCs w:val="21"/>
              </w:rPr>
            </w:pPr>
            <w:r>
              <w:rPr>
                <w:rFonts w:hint="eastAsia" w:ascii="宋体" w:hAnsi="宋体" w:cs="宋体"/>
                <w:kern w:val="0"/>
                <w:szCs w:val="21"/>
                <w:highlight w:val="none"/>
              </w:rPr>
              <w:t>根据各投标人提供的宁波市北仑区政府性债务管理中心出具并盖章的“关于</w:t>
            </w:r>
            <w:r>
              <w:rPr>
                <w:rFonts w:hint="eastAsia" w:ascii="宋体" w:hAnsi="宋体" w:cs="宋体"/>
                <w:kern w:val="0"/>
                <w:szCs w:val="21"/>
                <w:highlight w:val="none"/>
                <w:lang w:eastAsia="zh-CN"/>
              </w:rPr>
              <w:t>2024</w:t>
            </w:r>
            <w:r>
              <w:rPr>
                <w:rFonts w:hint="eastAsia" w:ascii="宋体" w:hAnsi="宋体" w:cs="宋体"/>
                <w:kern w:val="0"/>
                <w:szCs w:val="21"/>
                <w:highlight w:val="none"/>
              </w:rPr>
              <w:t>年度重点</w:t>
            </w:r>
            <w:r>
              <w:rPr>
                <w:rFonts w:hint="eastAsia" w:ascii="宋体" w:hAnsi="宋体"/>
                <w:kern w:val="0"/>
                <w:szCs w:val="21"/>
                <w:highlight w:val="none"/>
              </w:rPr>
              <w:t>事业支持情况得分的通知”中投标人的“得分”为准，按“得分”从高到低进行排序（相同得分的排序相同，且不占用后续的排序名序）进行评审：排序第一名的得</w:t>
            </w:r>
            <w:r>
              <w:rPr>
                <w:rFonts w:hint="eastAsia" w:ascii="宋体" w:hAnsi="宋体"/>
                <w:kern w:val="0"/>
                <w:szCs w:val="21"/>
                <w:highlight w:val="none"/>
                <w:lang w:val="en-US" w:eastAsia="zh-CN"/>
              </w:rPr>
              <w:t>18</w:t>
            </w:r>
            <w:r>
              <w:rPr>
                <w:rFonts w:hint="eastAsia" w:ascii="宋体" w:hAnsi="宋体"/>
                <w:kern w:val="0"/>
                <w:szCs w:val="21"/>
                <w:highlight w:val="none"/>
              </w:rPr>
              <w:t>分；排序第二名的得</w:t>
            </w:r>
            <w:r>
              <w:rPr>
                <w:rFonts w:hint="eastAsia" w:ascii="宋体" w:hAnsi="宋体"/>
                <w:kern w:val="0"/>
                <w:szCs w:val="21"/>
                <w:highlight w:val="none"/>
                <w:lang w:val="en-US" w:eastAsia="zh-CN"/>
              </w:rPr>
              <w:t>17</w:t>
            </w:r>
            <w:r>
              <w:rPr>
                <w:rFonts w:hint="eastAsia" w:ascii="宋体" w:hAnsi="宋体"/>
                <w:kern w:val="0"/>
                <w:szCs w:val="21"/>
                <w:highlight w:val="none"/>
              </w:rPr>
              <w:t>分；排序第三名的得</w:t>
            </w:r>
            <w:r>
              <w:rPr>
                <w:rFonts w:hint="eastAsia" w:ascii="宋体" w:hAnsi="宋体"/>
                <w:kern w:val="0"/>
                <w:szCs w:val="21"/>
                <w:highlight w:val="none"/>
                <w:lang w:val="en-US" w:eastAsia="zh-CN"/>
              </w:rPr>
              <w:t>16</w:t>
            </w:r>
            <w:r>
              <w:rPr>
                <w:rFonts w:hint="eastAsia" w:ascii="宋体" w:hAnsi="宋体"/>
                <w:kern w:val="0"/>
                <w:szCs w:val="21"/>
                <w:highlight w:val="none"/>
              </w:rPr>
              <w:t>分；排序第四名及以后的均得</w:t>
            </w:r>
            <w:r>
              <w:rPr>
                <w:rFonts w:hint="eastAsia" w:ascii="宋体" w:hAnsi="宋体"/>
                <w:kern w:val="0"/>
                <w:szCs w:val="21"/>
                <w:highlight w:val="none"/>
                <w:lang w:val="en-US" w:eastAsia="zh-CN"/>
              </w:rPr>
              <w:t>15</w:t>
            </w:r>
            <w:r>
              <w:rPr>
                <w:rFonts w:hint="eastAsia" w:ascii="宋体" w:hAnsi="宋体"/>
                <w:kern w:val="0"/>
                <w:szCs w:val="21"/>
                <w:highlight w:val="none"/>
              </w:rPr>
              <w:t>分。未提供或不符合的不得分。</w:t>
            </w:r>
          </w:p>
        </w:tc>
      </w:tr>
      <w:tr w14:paraId="163B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1" w:type="dxa"/>
            <w:vMerge w:val="continue"/>
            <w:noWrap/>
            <w:vAlign w:val="center"/>
          </w:tcPr>
          <w:p w14:paraId="107B87B3">
            <w:pPr>
              <w:spacing w:line="300" w:lineRule="exact"/>
              <w:jc w:val="center"/>
              <w:rPr>
                <w:rFonts w:ascii="宋体" w:hAnsi="宋体" w:cs="宋体"/>
                <w:b/>
                <w:kern w:val="0"/>
                <w:szCs w:val="21"/>
              </w:rPr>
            </w:pPr>
          </w:p>
        </w:tc>
        <w:tc>
          <w:tcPr>
            <w:tcW w:w="1559" w:type="dxa"/>
            <w:noWrap/>
            <w:vAlign w:val="center"/>
          </w:tcPr>
          <w:p w14:paraId="534A756D">
            <w:pPr>
              <w:spacing w:line="300" w:lineRule="exact"/>
              <w:jc w:val="center"/>
              <w:rPr>
                <w:rFonts w:ascii="宋体"/>
                <w:szCs w:val="21"/>
              </w:rPr>
            </w:pPr>
            <w:r>
              <w:rPr>
                <w:rFonts w:ascii="宋体" w:hAnsi="宋体"/>
                <w:szCs w:val="21"/>
              </w:rPr>
              <w:t>4.</w:t>
            </w:r>
            <w:r>
              <w:rPr>
                <w:rFonts w:hint="eastAsia" w:ascii="宋体" w:hAnsi="宋体"/>
                <w:szCs w:val="21"/>
              </w:rPr>
              <w:t>本外币贷款余额</w:t>
            </w:r>
          </w:p>
          <w:p w14:paraId="704B406C">
            <w:pPr>
              <w:spacing w:line="300" w:lineRule="exact"/>
              <w:jc w:val="center"/>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分）</w:t>
            </w:r>
          </w:p>
        </w:tc>
        <w:tc>
          <w:tcPr>
            <w:tcW w:w="6249" w:type="dxa"/>
            <w:noWrap/>
            <w:vAlign w:val="center"/>
          </w:tcPr>
          <w:p w14:paraId="18C76987">
            <w:pPr>
              <w:widowControl/>
              <w:spacing w:line="260" w:lineRule="exact"/>
              <w:jc w:val="left"/>
              <w:rPr>
                <w:rFonts w:ascii="宋体" w:cs="宋体"/>
                <w:highlight w:val="none"/>
              </w:rPr>
            </w:pPr>
            <w:r>
              <w:rPr>
                <w:rFonts w:hint="eastAsia" w:ascii="宋体" w:hAnsi="宋体" w:cs="宋体"/>
                <w:highlight w:val="none"/>
              </w:rPr>
              <w:t>根据人民银行北仑支行出具的投标人</w:t>
            </w:r>
            <w:r>
              <w:rPr>
                <w:rFonts w:hint="eastAsia" w:ascii="宋体" w:hAnsi="宋体" w:cs="宋体"/>
                <w:highlight w:val="none"/>
                <w:lang w:eastAsia="zh-CN"/>
              </w:rPr>
              <w:t>2024</w:t>
            </w:r>
            <w:r>
              <w:rPr>
                <w:rFonts w:hint="eastAsia" w:ascii="宋体" w:hAnsi="宋体" w:cs="宋体"/>
                <w:highlight w:val="none"/>
              </w:rPr>
              <w:t>年末数据进行评审：</w:t>
            </w:r>
          </w:p>
          <w:p w14:paraId="1D440ACB">
            <w:pPr>
              <w:widowControl/>
              <w:spacing w:line="260" w:lineRule="exact"/>
              <w:jc w:val="left"/>
              <w:rPr>
                <w:rFonts w:ascii="宋体" w:hAnsi="宋体" w:cs="宋体"/>
              </w:rPr>
            </w:pPr>
            <w:r>
              <w:rPr>
                <w:rFonts w:hint="eastAsia" w:ascii="宋体" w:hAnsi="宋体" w:cs="宋体"/>
                <w:lang w:val="en-US" w:eastAsia="zh-CN"/>
              </w:rPr>
              <w:t>250</w:t>
            </w:r>
            <w:r>
              <w:rPr>
                <w:rFonts w:hint="eastAsia" w:ascii="宋体" w:hAnsi="宋体" w:cs="宋体"/>
              </w:rPr>
              <w:t>亿元及以上的，得5分；</w:t>
            </w:r>
          </w:p>
          <w:p w14:paraId="4CE96B6E">
            <w:pPr>
              <w:widowControl/>
              <w:spacing w:line="260" w:lineRule="exact"/>
              <w:jc w:val="left"/>
              <w:rPr>
                <w:rFonts w:ascii="宋体" w:hAnsi="宋体" w:cs="宋体"/>
              </w:rPr>
            </w:pPr>
            <w:r>
              <w:rPr>
                <w:rFonts w:hint="eastAsia" w:ascii="宋体" w:hAnsi="宋体" w:cs="宋体"/>
                <w:lang w:val="en-US" w:eastAsia="zh-CN"/>
              </w:rPr>
              <w:t>200</w:t>
            </w:r>
            <w:r>
              <w:rPr>
                <w:rFonts w:hint="eastAsia" w:ascii="宋体" w:hAnsi="宋体" w:cs="宋体"/>
              </w:rPr>
              <w:t>亿元</w:t>
            </w:r>
            <w:r>
              <w:rPr>
                <w:rFonts w:hint="eastAsia" w:ascii="宋体" w:hAnsi="宋体"/>
                <w:szCs w:val="21"/>
              </w:rPr>
              <w:t>（含）</w:t>
            </w:r>
            <w:r>
              <w:rPr>
                <w:rFonts w:hint="eastAsia" w:ascii="宋体" w:hAnsi="宋体" w:cs="宋体"/>
              </w:rPr>
              <w:t>-</w:t>
            </w:r>
            <w:r>
              <w:rPr>
                <w:rFonts w:hint="eastAsia" w:ascii="宋体" w:hAnsi="宋体" w:cs="宋体"/>
                <w:lang w:val="en-US" w:eastAsia="zh-CN"/>
              </w:rPr>
              <w:t>250</w:t>
            </w:r>
            <w:r>
              <w:rPr>
                <w:rFonts w:hint="eastAsia" w:ascii="宋体" w:hAnsi="宋体" w:cs="宋体"/>
              </w:rPr>
              <w:t>亿元（不含）的，得4分；</w:t>
            </w:r>
          </w:p>
          <w:p w14:paraId="1330658E">
            <w:pPr>
              <w:widowControl/>
              <w:spacing w:line="260" w:lineRule="exact"/>
              <w:jc w:val="left"/>
              <w:rPr>
                <w:rFonts w:ascii="宋体" w:hAnsi="宋体" w:cs="宋体"/>
              </w:rPr>
            </w:pPr>
            <w:r>
              <w:rPr>
                <w:rFonts w:hint="eastAsia" w:ascii="宋体" w:hAnsi="宋体" w:cs="宋体"/>
                <w:lang w:val="en-US" w:eastAsia="zh-CN"/>
              </w:rPr>
              <w:t>150</w:t>
            </w:r>
            <w:r>
              <w:rPr>
                <w:rFonts w:hint="eastAsia" w:ascii="宋体" w:hAnsi="宋体" w:cs="宋体"/>
              </w:rPr>
              <w:t>亿元</w:t>
            </w:r>
            <w:r>
              <w:rPr>
                <w:rFonts w:hint="eastAsia" w:ascii="宋体" w:hAnsi="宋体"/>
                <w:szCs w:val="21"/>
              </w:rPr>
              <w:t>（含）</w:t>
            </w:r>
            <w:r>
              <w:rPr>
                <w:rFonts w:hint="eastAsia" w:ascii="宋体" w:hAnsi="宋体" w:cs="宋体"/>
              </w:rPr>
              <w:t>-</w:t>
            </w:r>
            <w:r>
              <w:rPr>
                <w:rFonts w:hint="eastAsia" w:ascii="宋体" w:hAnsi="宋体" w:cs="宋体"/>
                <w:lang w:val="en-US" w:eastAsia="zh-CN"/>
              </w:rPr>
              <w:t>20</w:t>
            </w:r>
            <w:r>
              <w:rPr>
                <w:rFonts w:hint="eastAsia" w:ascii="宋体" w:hAnsi="宋体" w:cs="宋体"/>
              </w:rPr>
              <w:t>0亿元（不含）的，得3分；</w:t>
            </w:r>
          </w:p>
          <w:p w14:paraId="178A262C">
            <w:pPr>
              <w:widowControl/>
              <w:spacing w:line="260" w:lineRule="exact"/>
              <w:jc w:val="left"/>
              <w:rPr>
                <w:rFonts w:ascii="宋体" w:hAnsi="宋体" w:cs="宋体"/>
              </w:rPr>
            </w:pPr>
            <w:r>
              <w:rPr>
                <w:rFonts w:hint="eastAsia" w:ascii="宋体" w:hAnsi="宋体" w:cs="宋体"/>
                <w:lang w:val="en-US" w:eastAsia="zh-CN"/>
              </w:rPr>
              <w:t>100</w:t>
            </w:r>
            <w:r>
              <w:rPr>
                <w:rFonts w:hint="eastAsia" w:ascii="宋体" w:hAnsi="宋体" w:cs="宋体"/>
              </w:rPr>
              <w:t>亿元</w:t>
            </w:r>
            <w:r>
              <w:rPr>
                <w:rFonts w:hint="eastAsia" w:ascii="宋体" w:hAnsi="宋体"/>
                <w:szCs w:val="21"/>
              </w:rPr>
              <w:t>（含）</w:t>
            </w:r>
            <w:r>
              <w:rPr>
                <w:rFonts w:hint="eastAsia" w:ascii="宋体" w:hAnsi="宋体" w:cs="宋体"/>
              </w:rPr>
              <w:t>-</w:t>
            </w:r>
            <w:r>
              <w:rPr>
                <w:rFonts w:hint="eastAsia" w:ascii="宋体" w:hAnsi="宋体" w:cs="宋体"/>
                <w:lang w:val="en-US" w:eastAsia="zh-CN"/>
              </w:rPr>
              <w:t>150</w:t>
            </w:r>
            <w:r>
              <w:rPr>
                <w:rFonts w:hint="eastAsia" w:ascii="宋体" w:hAnsi="宋体" w:cs="宋体"/>
              </w:rPr>
              <w:t>亿元（不含）的，得2分；</w:t>
            </w:r>
          </w:p>
          <w:p w14:paraId="19557D52">
            <w:pPr>
              <w:widowControl/>
              <w:spacing w:line="260" w:lineRule="exact"/>
              <w:jc w:val="left"/>
              <w:rPr>
                <w:rFonts w:ascii="宋体" w:hAnsi="宋体" w:cs="宋体"/>
              </w:rPr>
            </w:pPr>
            <w:r>
              <w:rPr>
                <w:rFonts w:hint="eastAsia" w:ascii="宋体" w:hAnsi="宋体" w:cs="宋体"/>
                <w:lang w:val="en-US" w:eastAsia="zh-CN"/>
              </w:rPr>
              <w:t>100</w:t>
            </w:r>
            <w:r>
              <w:rPr>
                <w:rFonts w:hint="eastAsia" w:ascii="宋体" w:hAnsi="宋体" w:cs="宋体"/>
              </w:rPr>
              <w:t>亿元以下的，得1分。</w:t>
            </w:r>
          </w:p>
          <w:p w14:paraId="2185D8B6">
            <w:pPr>
              <w:widowControl/>
              <w:spacing w:line="260" w:lineRule="exact"/>
              <w:jc w:val="left"/>
              <w:rPr>
                <w:rFonts w:ascii="宋体" w:hAnsi="宋体" w:cs="宋体"/>
                <w:iCs/>
                <w:kern w:val="0"/>
                <w:szCs w:val="21"/>
              </w:rPr>
            </w:pPr>
            <w:r>
              <w:rPr>
                <w:rFonts w:hint="eastAsia" w:ascii="宋体" w:hAnsi="宋体" w:cs="宋体"/>
                <w:kern w:val="0"/>
                <w:szCs w:val="21"/>
              </w:rPr>
              <w:t>本项最高5分。</w:t>
            </w:r>
          </w:p>
        </w:tc>
      </w:tr>
      <w:tr w14:paraId="0795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1" w:type="dxa"/>
            <w:vMerge w:val="continue"/>
            <w:noWrap/>
            <w:vAlign w:val="center"/>
          </w:tcPr>
          <w:p w14:paraId="44E98DF7">
            <w:pPr>
              <w:spacing w:line="300" w:lineRule="exact"/>
              <w:jc w:val="center"/>
              <w:rPr>
                <w:rFonts w:ascii="宋体" w:hAnsi="宋体" w:cs="宋体"/>
                <w:b/>
                <w:kern w:val="0"/>
                <w:szCs w:val="21"/>
              </w:rPr>
            </w:pPr>
          </w:p>
        </w:tc>
        <w:tc>
          <w:tcPr>
            <w:tcW w:w="1559" w:type="dxa"/>
            <w:noWrap/>
            <w:vAlign w:val="center"/>
          </w:tcPr>
          <w:p w14:paraId="15343666">
            <w:pPr>
              <w:spacing w:line="300" w:lineRule="exact"/>
              <w:jc w:val="center"/>
              <w:rPr>
                <w:rFonts w:ascii="宋体"/>
                <w:szCs w:val="21"/>
              </w:rPr>
            </w:pPr>
            <w:r>
              <w:rPr>
                <w:rFonts w:ascii="宋体" w:hAnsi="宋体"/>
                <w:szCs w:val="21"/>
              </w:rPr>
              <w:t>5.</w:t>
            </w:r>
            <w:r>
              <w:rPr>
                <w:rFonts w:hint="eastAsia" w:ascii="宋体" w:hAnsi="宋体"/>
                <w:szCs w:val="21"/>
              </w:rPr>
              <w:t>存贷比率</w:t>
            </w:r>
          </w:p>
          <w:p w14:paraId="516A3389">
            <w:pPr>
              <w:spacing w:line="300" w:lineRule="exact"/>
              <w:jc w:val="center"/>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分）</w:t>
            </w:r>
          </w:p>
        </w:tc>
        <w:tc>
          <w:tcPr>
            <w:tcW w:w="6249" w:type="dxa"/>
            <w:noWrap/>
            <w:vAlign w:val="center"/>
          </w:tcPr>
          <w:p w14:paraId="40644072">
            <w:pPr>
              <w:widowControl/>
              <w:spacing w:line="260" w:lineRule="exact"/>
              <w:ind w:left="-71" w:leftChars="-34" w:firstLine="105" w:firstLineChars="50"/>
              <w:jc w:val="left"/>
              <w:rPr>
                <w:rFonts w:ascii="宋体" w:cs="宋体"/>
                <w:kern w:val="0"/>
                <w:szCs w:val="21"/>
              </w:rPr>
            </w:pPr>
            <w:r>
              <w:rPr>
                <w:rFonts w:hint="eastAsia" w:ascii="宋体" w:hAnsi="宋体" w:cs="宋体"/>
                <w:kern w:val="0"/>
                <w:szCs w:val="21"/>
              </w:rPr>
              <w:t>根据人民银行北仑支行出具的投标人</w:t>
            </w:r>
            <w:r>
              <w:rPr>
                <w:rFonts w:hint="eastAsia" w:ascii="宋体" w:hAnsi="宋体" w:cs="宋体"/>
                <w:kern w:val="0"/>
                <w:szCs w:val="21"/>
                <w:lang w:eastAsia="zh-CN"/>
              </w:rPr>
              <w:t>2024</w:t>
            </w:r>
            <w:r>
              <w:rPr>
                <w:rFonts w:hint="eastAsia" w:ascii="宋体" w:hAnsi="宋体" w:cs="宋体"/>
                <w:kern w:val="0"/>
                <w:szCs w:val="21"/>
              </w:rPr>
              <w:t>年末数据进行评审：</w:t>
            </w:r>
          </w:p>
          <w:p w14:paraId="4123D96A">
            <w:pPr>
              <w:widowControl/>
              <w:spacing w:line="260" w:lineRule="exact"/>
              <w:ind w:left="34" w:leftChars="16"/>
              <w:jc w:val="left"/>
              <w:rPr>
                <w:rFonts w:ascii="宋体" w:cs="宋体"/>
                <w:kern w:val="0"/>
                <w:szCs w:val="21"/>
              </w:rPr>
            </w:pPr>
            <w:r>
              <w:rPr>
                <w:rFonts w:ascii="宋体" w:hAnsi="宋体" w:cs="宋体"/>
                <w:kern w:val="0"/>
                <w:szCs w:val="21"/>
              </w:rPr>
              <w:t xml:space="preserve"> </w:t>
            </w:r>
            <w:r>
              <w:rPr>
                <w:rFonts w:hint="eastAsia" w:ascii="宋体" w:hAnsi="宋体" w:cs="宋体"/>
                <w:kern w:val="0"/>
                <w:szCs w:val="21"/>
              </w:rPr>
              <w:t>在</w:t>
            </w:r>
            <w:r>
              <w:rPr>
                <w:rFonts w:hint="eastAsia" w:ascii="宋体" w:hAnsi="宋体" w:cs="宋体"/>
                <w:kern w:val="0"/>
                <w:szCs w:val="21"/>
                <w:lang w:val="en-US" w:eastAsia="zh-CN"/>
              </w:rPr>
              <w:t>50</w:t>
            </w:r>
            <w:r>
              <w:rPr>
                <w:rFonts w:ascii="宋体" w:hAnsi="宋体" w:cs="宋体"/>
                <w:kern w:val="0"/>
                <w:szCs w:val="21"/>
              </w:rPr>
              <w:t>%</w:t>
            </w:r>
            <w:r>
              <w:rPr>
                <w:rFonts w:hint="eastAsia" w:ascii="宋体" w:hAnsi="宋体" w:cs="宋体"/>
                <w:kern w:val="0"/>
                <w:szCs w:val="21"/>
              </w:rPr>
              <w:t>（含）</w:t>
            </w:r>
            <w:r>
              <w:rPr>
                <w:rFonts w:ascii="宋体" w:hAnsi="宋体" w:cs="宋体"/>
                <w:kern w:val="0"/>
                <w:szCs w:val="21"/>
              </w:rPr>
              <w:t>-1</w:t>
            </w:r>
            <w:r>
              <w:rPr>
                <w:rFonts w:hint="eastAsia" w:ascii="宋体" w:hAnsi="宋体" w:cs="宋体"/>
                <w:kern w:val="0"/>
                <w:szCs w:val="21"/>
                <w:lang w:val="en-US" w:eastAsia="zh-CN"/>
              </w:rPr>
              <w:t>0</w:t>
            </w:r>
            <w:r>
              <w:rPr>
                <w:rFonts w:ascii="宋体" w:hAnsi="宋体" w:cs="宋体"/>
                <w:kern w:val="0"/>
                <w:szCs w:val="21"/>
              </w:rPr>
              <w:t>0%</w:t>
            </w:r>
            <w:r>
              <w:rPr>
                <w:rFonts w:hint="eastAsia" w:ascii="宋体" w:hAnsi="宋体" w:cs="宋体"/>
                <w:kern w:val="0"/>
                <w:szCs w:val="21"/>
              </w:rPr>
              <w:t>（含）范围内的，得</w:t>
            </w:r>
            <w:r>
              <w:rPr>
                <w:rFonts w:hint="eastAsia" w:ascii="宋体" w:hAnsi="宋体" w:cs="宋体"/>
                <w:kern w:val="0"/>
                <w:szCs w:val="21"/>
                <w:lang w:val="en-US" w:eastAsia="zh-CN"/>
              </w:rPr>
              <w:t>5</w:t>
            </w:r>
            <w:r>
              <w:rPr>
                <w:rFonts w:hint="eastAsia" w:ascii="宋体" w:hAnsi="宋体" w:cs="宋体"/>
                <w:kern w:val="0"/>
                <w:szCs w:val="21"/>
              </w:rPr>
              <w:t>分。</w:t>
            </w:r>
          </w:p>
          <w:p w14:paraId="405F665D">
            <w:pPr>
              <w:widowControl/>
              <w:spacing w:line="260" w:lineRule="exact"/>
              <w:ind w:left="34" w:leftChars="16"/>
              <w:jc w:val="left"/>
              <w:rPr>
                <w:rFonts w:ascii="宋体" w:cs="宋体"/>
                <w:kern w:val="0"/>
                <w:szCs w:val="21"/>
              </w:rPr>
            </w:pPr>
            <w:r>
              <w:rPr>
                <w:rFonts w:hint="eastAsia" w:ascii="宋体" w:hAnsi="宋体" w:cs="宋体"/>
                <w:kern w:val="0"/>
                <w:szCs w:val="21"/>
              </w:rPr>
              <w:t>①存贷比率＞</w:t>
            </w:r>
            <w:r>
              <w:rPr>
                <w:rFonts w:hint="eastAsia" w:ascii="宋体" w:hAnsi="宋体" w:cs="宋体"/>
                <w:kern w:val="0"/>
                <w:szCs w:val="21"/>
                <w:lang w:val="en-US" w:eastAsia="zh-CN"/>
              </w:rPr>
              <w:t>10</w:t>
            </w:r>
            <w:r>
              <w:rPr>
                <w:rFonts w:ascii="宋体" w:hAnsi="宋体" w:cs="宋体"/>
                <w:kern w:val="0"/>
                <w:szCs w:val="21"/>
              </w:rPr>
              <w:t>0%</w:t>
            </w:r>
            <w:r>
              <w:rPr>
                <w:rFonts w:hint="eastAsia" w:ascii="宋体" w:hAnsi="宋体" w:cs="宋体"/>
                <w:kern w:val="0"/>
                <w:szCs w:val="21"/>
              </w:rPr>
              <w:t>的，得分</w:t>
            </w:r>
            <w:r>
              <w:rPr>
                <w:rFonts w:ascii="宋体" w:hAnsi="宋体" w:cs="宋体"/>
                <w:kern w:val="0"/>
                <w:szCs w:val="21"/>
              </w:rPr>
              <w:t>=</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lang w:val="en-US" w:eastAsia="zh-CN"/>
              </w:rPr>
              <w:t>0</w:t>
            </w:r>
            <w:r>
              <w:rPr>
                <w:rFonts w:ascii="宋体" w:hAnsi="宋体" w:cs="宋体"/>
                <w:kern w:val="0"/>
                <w:szCs w:val="21"/>
              </w:rPr>
              <w:t>0%</w:t>
            </w:r>
            <w:r>
              <w:rPr>
                <w:rFonts w:hint="eastAsia" w:ascii="宋体" w:hAnsi="宋体" w:cs="宋体"/>
                <w:kern w:val="0"/>
                <w:szCs w:val="21"/>
              </w:rPr>
              <w:t>／存贷比率）</w:t>
            </w:r>
            <w:r>
              <w:rPr>
                <w:rFonts w:ascii="宋体" w:hAnsi="宋体" w:cs="宋体"/>
                <w:kern w:val="0"/>
                <w:szCs w:val="21"/>
              </w:rPr>
              <w:t>*</w:t>
            </w:r>
            <w:r>
              <w:rPr>
                <w:rFonts w:hint="eastAsia" w:ascii="宋体" w:hAnsi="宋体" w:cs="宋体"/>
                <w:kern w:val="0"/>
                <w:szCs w:val="21"/>
                <w:lang w:val="en-US" w:eastAsia="zh-CN"/>
              </w:rPr>
              <w:t>5</w:t>
            </w:r>
            <w:r>
              <w:rPr>
                <w:rFonts w:hint="eastAsia" w:ascii="宋体" w:hAnsi="宋体" w:cs="宋体"/>
                <w:kern w:val="0"/>
                <w:szCs w:val="21"/>
              </w:rPr>
              <w:t>分</w:t>
            </w:r>
          </w:p>
          <w:p w14:paraId="49A0D460">
            <w:pPr>
              <w:widowControl/>
              <w:spacing w:line="260" w:lineRule="exact"/>
              <w:ind w:left="34" w:leftChars="16"/>
              <w:jc w:val="left"/>
              <w:rPr>
                <w:rFonts w:ascii="宋体" w:cs="宋体"/>
                <w:kern w:val="0"/>
                <w:szCs w:val="21"/>
              </w:rPr>
            </w:pPr>
            <w:r>
              <w:rPr>
                <w:rFonts w:hint="eastAsia" w:ascii="宋体" w:hAnsi="宋体" w:cs="宋体"/>
                <w:kern w:val="0"/>
                <w:szCs w:val="21"/>
              </w:rPr>
              <w:t>②存贷比例＜</w:t>
            </w:r>
            <w:r>
              <w:rPr>
                <w:rFonts w:hint="eastAsia" w:ascii="宋体" w:hAnsi="宋体" w:cs="宋体"/>
                <w:kern w:val="0"/>
                <w:szCs w:val="21"/>
                <w:lang w:val="en-US" w:eastAsia="zh-CN"/>
              </w:rPr>
              <w:t>5</w:t>
            </w:r>
            <w:r>
              <w:rPr>
                <w:rFonts w:ascii="宋体" w:hAnsi="宋体" w:cs="宋体"/>
                <w:kern w:val="0"/>
                <w:szCs w:val="21"/>
              </w:rPr>
              <w:t>0%</w:t>
            </w:r>
            <w:r>
              <w:rPr>
                <w:rFonts w:hint="eastAsia" w:ascii="宋体" w:hAnsi="宋体" w:cs="宋体"/>
                <w:kern w:val="0"/>
                <w:szCs w:val="21"/>
              </w:rPr>
              <w:t>的，得分</w:t>
            </w:r>
            <w:r>
              <w:rPr>
                <w:rFonts w:ascii="宋体" w:hAnsi="宋体" w:cs="宋体"/>
                <w:kern w:val="0"/>
                <w:szCs w:val="21"/>
              </w:rPr>
              <w:t>=</w:t>
            </w:r>
            <w:r>
              <w:rPr>
                <w:rFonts w:hint="eastAsia" w:ascii="宋体" w:hAnsi="宋体" w:cs="宋体"/>
                <w:kern w:val="0"/>
                <w:szCs w:val="21"/>
              </w:rPr>
              <w:t>（存贷比例</w:t>
            </w:r>
            <w:r>
              <w:rPr>
                <w:rFonts w:ascii="宋体" w:hAnsi="宋体" w:cs="宋体"/>
                <w:kern w:val="0"/>
                <w:szCs w:val="21"/>
              </w:rPr>
              <w:t>/</w:t>
            </w:r>
            <w:r>
              <w:rPr>
                <w:rFonts w:hint="eastAsia" w:ascii="宋体" w:hAnsi="宋体" w:cs="宋体"/>
                <w:kern w:val="0"/>
                <w:szCs w:val="21"/>
                <w:lang w:val="en-US" w:eastAsia="zh-CN"/>
              </w:rPr>
              <w:t>5</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lang w:val="en-US" w:eastAsia="zh-CN"/>
              </w:rPr>
              <w:t>5</w:t>
            </w:r>
            <w:r>
              <w:rPr>
                <w:rFonts w:hint="eastAsia" w:ascii="宋体" w:hAnsi="宋体" w:cs="宋体"/>
                <w:kern w:val="0"/>
                <w:szCs w:val="21"/>
              </w:rPr>
              <w:t>分</w:t>
            </w:r>
          </w:p>
          <w:p w14:paraId="4D19E134">
            <w:pPr>
              <w:widowControl/>
              <w:spacing w:line="260" w:lineRule="exact"/>
              <w:ind w:left="-71" w:leftChars="-34" w:firstLine="105" w:firstLineChars="50"/>
              <w:jc w:val="left"/>
              <w:rPr>
                <w:rFonts w:hint="eastAsia" w:ascii="宋体" w:hAnsi="宋体" w:cs="宋体"/>
                <w:kern w:val="0"/>
                <w:szCs w:val="21"/>
              </w:rPr>
            </w:pPr>
            <w:r>
              <w:rPr>
                <w:rFonts w:hint="eastAsia" w:ascii="宋体" w:hAnsi="宋体" w:cs="宋体"/>
                <w:kern w:val="0"/>
                <w:szCs w:val="21"/>
              </w:rPr>
              <w:t>【存贷比率</w:t>
            </w:r>
            <w:r>
              <w:rPr>
                <w:rFonts w:ascii="宋体" w:hAnsi="宋体" w:cs="宋体"/>
                <w:kern w:val="0"/>
                <w:szCs w:val="21"/>
              </w:rPr>
              <w:t>=</w:t>
            </w:r>
            <w:r>
              <w:rPr>
                <w:rFonts w:hint="eastAsia" w:ascii="宋体" w:hAnsi="宋体" w:cs="宋体"/>
                <w:kern w:val="0"/>
                <w:szCs w:val="21"/>
              </w:rPr>
              <w:t>各项贷款总额／各项存款总额</w:t>
            </w:r>
            <w:r>
              <w:rPr>
                <w:rFonts w:ascii="宋体" w:hAnsi="宋体" w:cs="宋体"/>
                <w:kern w:val="0"/>
                <w:szCs w:val="21"/>
              </w:rPr>
              <w:t>*100%</w:t>
            </w:r>
            <w:r>
              <w:rPr>
                <w:rFonts w:hint="eastAsia" w:ascii="宋体" w:hAnsi="宋体" w:cs="宋体"/>
                <w:kern w:val="0"/>
                <w:szCs w:val="21"/>
              </w:rPr>
              <w:t>】</w:t>
            </w:r>
          </w:p>
          <w:p w14:paraId="01647D0A">
            <w:pPr>
              <w:widowControl/>
              <w:spacing w:line="260" w:lineRule="exact"/>
              <w:ind w:left="-71" w:leftChars="-34" w:firstLine="105" w:firstLineChars="50"/>
              <w:jc w:val="left"/>
              <w:rPr>
                <w:rFonts w:ascii="宋体" w:hAnsi="宋体"/>
                <w:szCs w:val="21"/>
              </w:rPr>
            </w:pPr>
          </w:p>
        </w:tc>
      </w:tr>
      <w:tr w14:paraId="107C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1131" w:type="dxa"/>
            <w:vMerge w:val="continue"/>
            <w:noWrap/>
            <w:vAlign w:val="center"/>
          </w:tcPr>
          <w:p w14:paraId="05D61E99">
            <w:pPr>
              <w:spacing w:line="300" w:lineRule="exact"/>
              <w:jc w:val="center"/>
              <w:rPr>
                <w:rFonts w:ascii="宋体" w:hAnsi="宋体" w:cs="宋体"/>
                <w:b/>
                <w:kern w:val="0"/>
                <w:szCs w:val="21"/>
              </w:rPr>
            </w:pPr>
          </w:p>
        </w:tc>
        <w:tc>
          <w:tcPr>
            <w:tcW w:w="1559" w:type="dxa"/>
            <w:noWrap/>
            <w:vAlign w:val="center"/>
          </w:tcPr>
          <w:p w14:paraId="4EE1F33C">
            <w:pPr>
              <w:spacing w:line="300" w:lineRule="exact"/>
              <w:jc w:val="center"/>
              <w:rPr>
                <w:rFonts w:ascii="宋体"/>
                <w:szCs w:val="21"/>
              </w:rPr>
            </w:pPr>
            <w:r>
              <w:rPr>
                <w:rFonts w:ascii="宋体" w:hAnsi="宋体"/>
                <w:szCs w:val="21"/>
              </w:rPr>
              <w:t>6.</w:t>
            </w:r>
            <w:r>
              <w:rPr>
                <w:rFonts w:hint="eastAsia" w:ascii="宋体" w:hAnsi="宋体"/>
                <w:szCs w:val="21"/>
              </w:rPr>
              <w:t>普惠口径小微企业贷款余额占本外币贷款余额比例</w:t>
            </w:r>
          </w:p>
          <w:p w14:paraId="070C43E4">
            <w:pPr>
              <w:spacing w:line="300" w:lineRule="exact"/>
              <w:jc w:val="center"/>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分）</w:t>
            </w:r>
          </w:p>
        </w:tc>
        <w:tc>
          <w:tcPr>
            <w:tcW w:w="6249" w:type="dxa"/>
            <w:noWrap/>
            <w:vAlign w:val="center"/>
          </w:tcPr>
          <w:p w14:paraId="5BBB947C">
            <w:pPr>
              <w:widowControl/>
              <w:spacing w:line="260" w:lineRule="exact"/>
              <w:jc w:val="left"/>
              <w:rPr>
                <w:rFonts w:ascii="宋体"/>
                <w:kern w:val="0"/>
                <w:szCs w:val="21"/>
              </w:rPr>
            </w:pPr>
            <w:r>
              <w:rPr>
                <w:rFonts w:hint="eastAsia" w:ascii="宋体" w:hAnsi="宋体" w:cs="宋体"/>
                <w:kern w:val="0"/>
                <w:szCs w:val="21"/>
              </w:rPr>
              <w:t>根据人民银行北仑支行出具的投标人</w:t>
            </w:r>
            <w:r>
              <w:rPr>
                <w:rFonts w:hint="eastAsia" w:ascii="宋体" w:hAnsi="宋体" w:cs="宋体"/>
                <w:kern w:val="0"/>
                <w:szCs w:val="21"/>
                <w:lang w:eastAsia="zh-CN"/>
              </w:rPr>
              <w:t>2024</w:t>
            </w:r>
            <w:r>
              <w:rPr>
                <w:rFonts w:hint="eastAsia" w:ascii="宋体" w:hAnsi="宋体" w:cs="宋体"/>
                <w:kern w:val="0"/>
                <w:szCs w:val="21"/>
              </w:rPr>
              <w:t>年末数据进行评审：</w:t>
            </w:r>
          </w:p>
          <w:p w14:paraId="17D13750">
            <w:pPr>
              <w:widowControl/>
              <w:spacing w:line="260" w:lineRule="exact"/>
              <w:jc w:val="left"/>
              <w:rPr>
                <w:rFonts w:ascii="宋体"/>
                <w:kern w:val="0"/>
                <w:szCs w:val="21"/>
              </w:rPr>
            </w:pPr>
            <w:r>
              <w:rPr>
                <w:rFonts w:hint="eastAsia" w:ascii="宋体" w:hAnsi="宋体"/>
                <w:kern w:val="0"/>
                <w:szCs w:val="21"/>
              </w:rPr>
              <w:t>【比例值计算公式：</w:t>
            </w:r>
            <w:r>
              <w:rPr>
                <w:rFonts w:hint="eastAsia" w:ascii="宋体" w:hAnsi="宋体"/>
                <w:kern w:val="0"/>
                <w:szCs w:val="21"/>
                <w:lang w:eastAsia="zh-CN"/>
              </w:rPr>
              <w:t>2024</w:t>
            </w:r>
            <w:r>
              <w:rPr>
                <w:rFonts w:hint="eastAsia" w:ascii="宋体" w:hAnsi="宋体"/>
                <w:kern w:val="0"/>
                <w:szCs w:val="21"/>
              </w:rPr>
              <w:t>年度在北仑区的普惠口径小微贷款余额÷</w:t>
            </w:r>
            <w:r>
              <w:rPr>
                <w:rFonts w:hint="eastAsia" w:ascii="宋体" w:hAnsi="宋体"/>
                <w:kern w:val="0"/>
                <w:szCs w:val="21"/>
                <w:lang w:eastAsia="zh-CN"/>
              </w:rPr>
              <w:t>2024</w:t>
            </w:r>
            <w:r>
              <w:rPr>
                <w:rFonts w:hint="eastAsia" w:ascii="宋体" w:hAnsi="宋体"/>
                <w:kern w:val="0"/>
                <w:szCs w:val="21"/>
              </w:rPr>
              <w:t>年度在北仑区的本外币贷款余额×</w:t>
            </w:r>
            <w:r>
              <w:rPr>
                <w:rFonts w:ascii="宋体" w:hAnsi="宋体"/>
                <w:kern w:val="0"/>
                <w:szCs w:val="21"/>
              </w:rPr>
              <w:t>100%</w:t>
            </w:r>
            <w:r>
              <w:rPr>
                <w:rFonts w:hint="eastAsia" w:ascii="宋体" w:hAnsi="宋体"/>
                <w:kern w:val="0"/>
                <w:szCs w:val="21"/>
              </w:rPr>
              <w:t>】</w:t>
            </w:r>
          </w:p>
          <w:p w14:paraId="1F426F24">
            <w:pPr>
              <w:widowControl/>
              <w:spacing w:line="260" w:lineRule="exact"/>
              <w:jc w:val="left"/>
              <w:rPr>
                <w:rFonts w:ascii="宋体"/>
                <w:kern w:val="0"/>
                <w:szCs w:val="21"/>
              </w:rPr>
            </w:pPr>
            <w:r>
              <w:rPr>
                <w:rFonts w:hint="eastAsia" w:ascii="宋体" w:hAnsi="宋体"/>
                <w:kern w:val="0"/>
                <w:szCs w:val="21"/>
                <w:lang w:val="en-US" w:eastAsia="zh-CN"/>
              </w:rPr>
              <w:t>10</w:t>
            </w:r>
            <w:r>
              <w:rPr>
                <w:rFonts w:ascii="宋体" w:hAnsi="宋体"/>
                <w:kern w:val="0"/>
                <w:szCs w:val="21"/>
              </w:rPr>
              <w:t>%</w:t>
            </w:r>
            <w:r>
              <w:rPr>
                <w:rFonts w:hint="eastAsia" w:ascii="宋体" w:hAnsi="宋体"/>
                <w:kern w:val="0"/>
                <w:szCs w:val="21"/>
              </w:rPr>
              <w:t>及以上得</w:t>
            </w:r>
            <w:r>
              <w:rPr>
                <w:rFonts w:hint="eastAsia" w:ascii="宋体" w:hAnsi="宋体"/>
                <w:kern w:val="0"/>
                <w:szCs w:val="21"/>
                <w:lang w:val="en-US" w:eastAsia="zh-CN"/>
              </w:rPr>
              <w:t>5</w:t>
            </w:r>
            <w:r>
              <w:rPr>
                <w:rFonts w:hint="eastAsia" w:ascii="宋体" w:hAnsi="宋体"/>
                <w:kern w:val="0"/>
                <w:szCs w:val="21"/>
              </w:rPr>
              <w:t>分；</w:t>
            </w:r>
          </w:p>
          <w:p w14:paraId="14C950C8">
            <w:pPr>
              <w:widowControl/>
              <w:spacing w:line="260" w:lineRule="exact"/>
              <w:jc w:val="left"/>
              <w:rPr>
                <w:rFonts w:ascii="宋体"/>
                <w:kern w:val="0"/>
                <w:szCs w:val="21"/>
              </w:rPr>
            </w:pPr>
            <w:r>
              <w:rPr>
                <w:rFonts w:hint="eastAsia" w:ascii="宋体" w:hAnsi="宋体"/>
                <w:kern w:val="0"/>
                <w:szCs w:val="21"/>
                <w:lang w:val="en-US" w:eastAsia="zh-CN"/>
              </w:rPr>
              <w:t>9</w:t>
            </w:r>
            <w:r>
              <w:rPr>
                <w:rFonts w:ascii="宋体" w:hAnsi="宋体"/>
                <w:kern w:val="0"/>
                <w:szCs w:val="21"/>
              </w:rPr>
              <w:t>%</w:t>
            </w:r>
            <w:r>
              <w:rPr>
                <w:rFonts w:hint="eastAsia" w:ascii="宋体" w:hAnsi="宋体"/>
                <w:szCs w:val="21"/>
              </w:rPr>
              <w:t>（含）</w:t>
            </w:r>
            <w:r>
              <w:rPr>
                <w:rFonts w:ascii="宋体"/>
                <w:kern w:val="0"/>
                <w:szCs w:val="21"/>
              </w:rPr>
              <w:t>-</w:t>
            </w:r>
            <w:r>
              <w:rPr>
                <w:rFonts w:hint="eastAsia" w:ascii="宋体" w:hAnsi="宋体"/>
                <w:kern w:val="0"/>
                <w:szCs w:val="21"/>
                <w:lang w:val="en-US" w:eastAsia="zh-CN"/>
              </w:rPr>
              <w:t>10</w:t>
            </w:r>
            <w:r>
              <w:rPr>
                <w:rFonts w:ascii="宋体" w:hAnsi="宋体"/>
                <w:kern w:val="0"/>
                <w:szCs w:val="21"/>
              </w:rPr>
              <w:t>%</w:t>
            </w:r>
            <w:r>
              <w:rPr>
                <w:rFonts w:hint="eastAsia" w:ascii="宋体" w:hAnsi="宋体"/>
                <w:kern w:val="0"/>
                <w:szCs w:val="21"/>
              </w:rPr>
              <w:t>（不含）得</w:t>
            </w:r>
            <w:r>
              <w:rPr>
                <w:rFonts w:hint="eastAsia" w:ascii="宋体" w:hAnsi="宋体"/>
                <w:kern w:val="0"/>
                <w:szCs w:val="21"/>
                <w:lang w:val="en-US" w:eastAsia="zh-CN"/>
              </w:rPr>
              <w:t>4</w:t>
            </w:r>
            <w:r>
              <w:rPr>
                <w:rFonts w:hint="eastAsia" w:ascii="宋体" w:hAnsi="宋体"/>
                <w:kern w:val="0"/>
                <w:szCs w:val="21"/>
              </w:rPr>
              <w:t>分；</w:t>
            </w:r>
          </w:p>
          <w:p w14:paraId="7FFD7E45">
            <w:pPr>
              <w:widowControl/>
              <w:spacing w:line="260" w:lineRule="exact"/>
              <w:jc w:val="left"/>
              <w:rPr>
                <w:rFonts w:ascii="宋体"/>
                <w:kern w:val="0"/>
                <w:szCs w:val="21"/>
              </w:rPr>
            </w:pPr>
            <w:r>
              <w:rPr>
                <w:rFonts w:hint="eastAsia" w:ascii="宋体" w:hAnsi="宋体"/>
                <w:kern w:val="0"/>
                <w:szCs w:val="21"/>
                <w:lang w:val="en-US" w:eastAsia="zh-CN"/>
              </w:rPr>
              <w:t>8</w:t>
            </w:r>
            <w:r>
              <w:rPr>
                <w:rFonts w:ascii="宋体" w:hAnsi="宋体"/>
                <w:kern w:val="0"/>
                <w:szCs w:val="21"/>
              </w:rPr>
              <w:t>%</w:t>
            </w:r>
            <w:r>
              <w:rPr>
                <w:rFonts w:hint="eastAsia" w:ascii="宋体" w:hAnsi="宋体"/>
                <w:szCs w:val="21"/>
              </w:rPr>
              <w:t>（含）</w:t>
            </w:r>
            <w:r>
              <w:rPr>
                <w:rFonts w:ascii="宋体"/>
                <w:kern w:val="0"/>
                <w:szCs w:val="21"/>
              </w:rPr>
              <w:t>-</w:t>
            </w:r>
            <w:r>
              <w:rPr>
                <w:rFonts w:hint="eastAsia" w:ascii="宋体" w:hAnsi="宋体"/>
                <w:kern w:val="0"/>
                <w:szCs w:val="21"/>
                <w:lang w:val="en-US" w:eastAsia="zh-CN"/>
              </w:rPr>
              <w:t>9</w:t>
            </w:r>
            <w:r>
              <w:rPr>
                <w:rFonts w:ascii="宋体" w:hAnsi="宋体"/>
                <w:kern w:val="0"/>
                <w:szCs w:val="21"/>
              </w:rPr>
              <w:t>%</w:t>
            </w:r>
            <w:r>
              <w:rPr>
                <w:rFonts w:hint="eastAsia" w:ascii="宋体" w:hAnsi="宋体"/>
                <w:kern w:val="0"/>
                <w:szCs w:val="21"/>
              </w:rPr>
              <w:t>（不含）得</w:t>
            </w:r>
            <w:r>
              <w:rPr>
                <w:rFonts w:hint="eastAsia" w:ascii="宋体" w:hAnsi="宋体"/>
                <w:kern w:val="0"/>
                <w:szCs w:val="21"/>
                <w:lang w:val="en-US" w:eastAsia="zh-CN"/>
              </w:rPr>
              <w:t>3</w:t>
            </w:r>
            <w:r>
              <w:rPr>
                <w:rFonts w:hint="eastAsia" w:ascii="宋体" w:hAnsi="宋体"/>
                <w:kern w:val="0"/>
                <w:szCs w:val="21"/>
              </w:rPr>
              <w:t>分；</w:t>
            </w:r>
          </w:p>
          <w:p w14:paraId="35350E59">
            <w:pPr>
              <w:widowControl/>
              <w:spacing w:line="260" w:lineRule="exact"/>
              <w:jc w:val="left"/>
            </w:pPr>
            <w:r>
              <w:rPr>
                <w:rFonts w:hint="eastAsia" w:ascii="宋体" w:hAnsi="宋体"/>
                <w:kern w:val="0"/>
                <w:szCs w:val="21"/>
                <w:lang w:val="en-US" w:eastAsia="zh-CN"/>
              </w:rPr>
              <w:t>7</w:t>
            </w:r>
            <w:r>
              <w:rPr>
                <w:rFonts w:ascii="宋体" w:hAnsi="宋体"/>
                <w:kern w:val="0"/>
                <w:szCs w:val="21"/>
              </w:rPr>
              <w:t>%</w:t>
            </w:r>
            <w:r>
              <w:rPr>
                <w:rFonts w:hint="eastAsia" w:ascii="宋体" w:hAnsi="宋体"/>
                <w:szCs w:val="21"/>
              </w:rPr>
              <w:t>（含）</w:t>
            </w:r>
            <w:r>
              <w:rPr>
                <w:rFonts w:ascii="宋体"/>
                <w:kern w:val="0"/>
                <w:szCs w:val="21"/>
              </w:rPr>
              <w:t>-</w:t>
            </w:r>
            <w:r>
              <w:rPr>
                <w:rFonts w:hint="eastAsia" w:ascii="宋体" w:hAnsi="宋体"/>
                <w:kern w:val="0"/>
                <w:szCs w:val="21"/>
                <w:lang w:val="en-US" w:eastAsia="zh-CN"/>
              </w:rPr>
              <w:t>8</w:t>
            </w:r>
            <w:r>
              <w:rPr>
                <w:rFonts w:ascii="宋体" w:hAnsi="宋体"/>
                <w:kern w:val="0"/>
                <w:szCs w:val="21"/>
              </w:rPr>
              <w:t>%</w:t>
            </w:r>
            <w:r>
              <w:rPr>
                <w:rFonts w:hint="eastAsia" w:ascii="宋体" w:hAnsi="宋体"/>
                <w:kern w:val="0"/>
                <w:szCs w:val="21"/>
              </w:rPr>
              <w:t>（不含）得</w:t>
            </w:r>
            <w:r>
              <w:rPr>
                <w:rFonts w:hint="eastAsia" w:ascii="宋体" w:hAnsi="宋体"/>
                <w:kern w:val="0"/>
                <w:szCs w:val="21"/>
                <w:lang w:val="en-US" w:eastAsia="zh-CN"/>
              </w:rPr>
              <w:t>2</w:t>
            </w:r>
            <w:r>
              <w:rPr>
                <w:rFonts w:hint="eastAsia" w:ascii="宋体" w:hAnsi="宋体"/>
                <w:kern w:val="0"/>
                <w:szCs w:val="21"/>
              </w:rPr>
              <w:t>分；</w:t>
            </w:r>
          </w:p>
          <w:p w14:paraId="4A91146F">
            <w:pPr>
              <w:widowControl/>
              <w:spacing w:line="260" w:lineRule="exact"/>
              <w:jc w:val="left"/>
              <w:rPr>
                <w:rFonts w:ascii="宋体"/>
                <w:kern w:val="0"/>
                <w:szCs w:val="21"/>
              </w:rPr>
            </w:pPr>
            <w:r>
              <w:rPr>
                <w:rFonts w:hint="eastAsia" w:ascii="宋体" w:hAnsi="宋体"/>
                <w:kern w:val="0"/>
                <w:szCs w:val="21"/>
                <w:lang w:val="en-US" w:eastAsia="zh-CN"/>
              </w:rPr>
              <w:t>7</w:t>
            </w:r>
            <w:r>
              <w:rPr>
                <w:rFonts w:ascii="宋体" w:hAnsi="宋体"/>
                <w:kern w:val="0"/>
                <w:szCs w:val="21"/>
              </w:rPr>
              <w:t>%</w:t>
            </w:r>
            <w:r>
              <w:rPr>
                <w:rFonts w:hint="eastAsia" w:ascii="宋体" w:hAnsi="宋体"/>
                <w:kern w:val="0"/>
                <w:szCs w:val="21"/>
              </w:rPr>
              <w:t>以下得</w:t>
            </w:r>
            <w:r>
              <w:rPr>
                <w:rFonts w:hint="eastAsia" w:ascii="宋体" w:hAnsi="宋体"/>
                <w:kern w:val="0"/>
                <w:szCs w:val="21"/>
                <w:lang w:val="en-US" w:eastAsia="zh-CN"/>
              </w:rPr>
              <w:t>1</w:t>
            </w:r>
            <w:r>
              <w:rPr>
                <w:rFonts w:hint="eastAsia" w:ascii="宋体" w:hAnsi="宋体"/>
                <w:kern w:val="0"/>
                <w:szCs w:val="21"/>
              </w:rPr>
              <w:t>分。</w:t>
            </w:r>
          </w:p>
          <w:p w14:paraId="22A72A1A">
            <w:pPr>
              <w:widowControl/>
              <w:spacing w:line="260" w:lineRule="exact"/>
              <w:jc w:val="left"/>
              <w:rPr>
                <w:rFonts w:hint="eastAsia" w:ascii="宋体" w:hAnsi="宋体" w:cs="宋体"/>
                <w:kern w:val="0"/>
                <w:szCs w:val="21"/>
              </w:rPr>
            </w:pPr>
            <w:r>
              <w:rPr>
                <w:rFonts w:hint="eastAsia" w:ascii="宋体" w:hAnsi="宋体" w:cs="宋体"/>
                <w:kern w:val="0"/>
                <w:szCs w:val="21"/>
              </w:rPr>
              <w:t>本项最高</w:t>
            </w:r>
            <w:r>
              <w:rPr>
                <w:rFonts w:hint="eastAsia" w:ascii="宋体" w:hAnsi="宋体" w:cs="宋体"/>
                <w:kern w:val="0"/>
                <w:szCs w:val="21"/>
                <w:lang w:val="en-US" w:eastAsia="zh-CN"/>
              </w:rPr>
              <w:t>5</w:t>
            </w:r>
            <w:r>
              <w:rPr>
                <w:rFonts w:hint="eastAsia" w:ascii="宋体" w:hAnsi="宋体" w:cs="宋体"/>
                <w:kern w:val="0"/>
                <w:szCs w:val="21"/>
              </w:rPr>
              <w:t>分。</w:t>
            </w:r>
          </w:p>
          <w:p w14:paraId="07DACF4B">
            <w:pPr>
              <w:widowControl/>
              <w:spacing w:line="260" w:lineRule="exact"/>
              <w:jc w:val="left"/>
              <w:rPr>
                <w:rFonts w:ascii="宋体" w:hAnsi="宋体"/>
                <w:szCs w:val="21"/>
              </w:rPr>
            </w:pPr>
          </w:p>
        </w:tc>
      </w:tr>
      <w:tr w14:paraId="0A43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1131" w:type="dxa"/>
            <w:vMerge w:val="continue"/>
            <w:noWrap/>
            <w:vAlign w:val="center"/>
          </w:tcPr>
          <w:p w14:paraId="2989F684">
            <w:pPr>
              <w:spacing w:line="300" w:lineRule="exact"/>
              <w:jc w:val="center"/>
              <w:rPr>
                <w:rFonts w:ascii="宋体" w:hAnsi="宋体" w:cs="宋体"/>
                <w:b/>
                <w:kern w:val="0"/>
                <w:szCs w:val="21"/>
              </w:rPr>
            </w:pPr>
          </w:p>
        </w:tc>
        <w:tc>
          <w:tcPr>
            <w:tcW w:w="1559" w:type="dxa"/>
            <w:noWrap/>
            <w:vAlign w:val="center"/>
          </w:tcPr>
          <w:p w14:paraId="32DEDBF1">
            <w:pPr>
              <w:spacing w:line="300" w:lineRule="exact"/>
              <w:jc w:val="center"/>
              <w:rPr>
                <w:rFonts w:ascii="宋体"/>
                <w:szCs w:val="21"/>
                <w:highlight w:val="none"/>
              </w:rPr>
            </w:pPr>
            <w:r>
              <w:rPr>
                <w:rFonts w:ascii="宋体" w:hAnsi="宋体"/>
                <w:szCs w:val="21"/>
                <w:highlight w:val="none"/>
              </w:rPr>
              <w:t>7.</w:t>
            </w:r>
            <w:r>
              <w:rPr>
                <w:rFonts w:hint="eastAsia" w:ascii="宋体" w:hAnsi="宋体"/>
                <w:szCs w:val="21"/>
                <w:highlight w:val="none"/>
              </w:rPr>
              <w:t>制造业贷款余额</w:t>
            </w:r>
          </w:p>
          <w:p w14:paraId="59C61091">
            <w:pPr>
              <w:spacing w:line="300" w:lineRule="exact"/>
              <w:jc w:val="center"/>
              <w:rPr>
                <w:rFonts w:ascii="宋体" w:hAnsi="宋体"/>
                <w:szCs w:val="21"/>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分）</w:t>
            </w:r>
          </w:p>
        </w:tc>
        <w:tc>
          <w:tcPr>
            <w:tcW w:w="6249" w:type="dxa"/>
            <w:noWrap/>
            <w:vAlign w:val="center"/>
          </w:tcPr>
          <w:p w14:paraId="641DDB9F">
            <w:pPr>
              <w:widowControl/>
              <w:spacing w:line="260" w:lineRule="exact"/>
              <w:jc w:val="left"/>
              <w:rPr>
                <w:rFonts w:ascii="宋体" w:cs="宋体"/>
                <w:kern w:val="0"/>
                <w:szCs w:val="21"/>
                <w:highlight w:val="none"/>
              </w:rPr>
            </w:pPr>
            <w:r>
              <w:rPr>
                <w:rFonts w:hint="eastAsia" w:ascii="宋体" w:hAnsi="宋体" w:cs="宋体"/>
                <w:kern w:val="0"/>
                <w:szCs w:val="21"/>
                <w:highlight w:val="none"/>
              </w:rPr>
              <w:t>根据人民银行北仑支行出具的投标人</w:t>
            </w:r>
            <w:r>
              <w:rPr>
                <w:rFonts w:hint="eastAsia" w:ascii="宋体" w:hAnsi="宋体" w:cs="宋体"/>
                <w:kern w:val="0"/>
                <w:szCs w:val="21"/>
                <w:highlight w:val="none"/>
                <w:lang w:eastAsia="zh-CN"/>
              </w:rPr>
              <w:t>2024</w:t>
            </w:r>
            <w:r>
              <w:rPr>
                <w:rFonts w:hint="eastAsia" w:ascii="宋体" w:hAnsi="宋体" w:cs="宋体"/>
                <w:kern w:val="0"/>
                <w:szCs w:val="21"/>
                <w:highlight w:val="none"/>
              </w:rPr>
              <w:t>年末数据进行评审：</w:t>
            </w:r>
          </w:p>
          <w:p w14:paraId="4E0269BD">
            <w:pPr>
              <w:widowControl/>
              <w:spacing w:line="260" w:lineRule="exact"/>
              <w:jc w:val="left"/>
              <w:rPr>
                <w:rFonts w:ascii="宋体" w:cs="宋体"/>
                <w:kern w:val="0"/>
                <w:szCs w:val="21"/>
                <w:highlight w:val="none"/>
              </w:rPr>
            </w:pPr>
            <w:r>
              <w:rPr>
                <w:rFonts w:hint="eastAsia" w:ascii="宋体" w:hAnsi="宋体" w:cs="宋体"/>
                <w:kern w:val="0"/>
                <w:szCs w:val="21"/>
                <w:highlight w:val="none"/>
              </w:rPr>
              <w:t>余额在</w:t>
            </w:r>
            <w:r>
              <w:rPr>
                <w:rFonts w:hint="eastAsia" w:ascii="宋体" w:hAnsi="宋体" w:cs="宋体"/>
                <w:kern w:val="0"/>
                <w:szCs w:val="21"/>
                <w:highlight w:val="none"/>
                <w:lang w:val="en-US" w:eastAsia="zh-CN"/>
              </w:rPr>
              <w:t>80</w:t>
            </w:r>
            <w:r>
              <w:rPr>
                <w:rFonts w:hint="eastAsia" w:ascii="宋体" w:hAnsi="宋体" w:cs="宋体"/>
                <w:kern w:val="0"/>
                <w:szCs w:val="21"/>
                <w:highlight w:val="none"/>
              </w:rPr>
              <w:t>亿元及以上的，得</w:t>
            </w:r>
            <w:r>
              <w:rPr>
                <w:rFonts w:hint="eastAsia" w:ascii="宋体" w:hAnsi="宋体" w:cs="宋体"/>
                <w:kern w:val="0"/>
                <w:szCs w:val="21"/>
                <w:highlight w:val="none"/>
                <w:lang w:val="en-US" w:eastAsia="zh-CN"/>
              </w:rPr>
              <w:t>5</w:t>
            </w:r>
            <w:r>
              <w:rPr>
                <w:rFonts w:hint="eastAsia" w:ascii="宋体" w:hAnsi="宋体" w:cs="宋体"/>
                <w:kern w:val="0"/>
                <w:szCs w:val="21"/>
                <w:highlight w:val="none"/>
              </w:rPr>
              <w:t>分；</w:t>
            </w:r>
          </w:p>
          <w:p w14:paraId="1C785EDD">
            <w:pPr>
              <w:widowControl/>
              <w:spacing w:line="260" w:lineRule="exact"/>
              <w:jc w:val="left"/>
              <w:rPr>
                <w:rFonts w:ascii="宋体" w:cs="宋体"/>
                <w:kern w:val="0"/>
                <w:szCs w:val="21"/>
                <w:highlight w:val="none"/>
              </w:rPr>
            </w:pPr>
            <w:r>
              <w:rPr>
                <w:rFonts w:hint="eastAsia" w:ascii="宋体" w:hAnsi="宋体" w:cs="宋体"/>
                <w:kern w:val="0"/>
                <w:szCs w:val="21"/>
                <w:highlight w:val="none"/>
              </w:rPr>
              <w:t>余额在</w:t>
            </w:r>
            <w:r>
              <w:rPr>
                <w:rFonts w:hint="eastAsia" w:ascii="宋体" w:hAnsi="宋体" w:cs="宋体"/>
                <w:kern w:val="0"/>
                <w:szCs w:val="21"/>
                <w:highlight w:val="none"/>
                <w:lang w:val="en-US" w:eastAsia="zh-CN"/>
              </w:rPr>
              <w:t>6</w:t>
            </w:r>
            <w:r>
              <w:rPr>
                <w:rFonts w:ascii="宋体" w:hAnsi="宋体" w:cs="宋体"/>
                <w:kern w:val="0"/>
                <w:szCs w:val="21"/>
                <w:highlight w:val="none"/>
              </w:rPr>
              <w:t>0</w:t>
            </w:r>
            <w:r>
              <w:rPr>
                <w:rFonts w:hint="eastAsia" w:ascii="宋体" w:hAnsi="宋体" w:cs="宋体"/>
                <w:kern w:val="0"/>
                <w:szCs w:val="21"/>
                <w:highlight w:val="none"/>
              </w:rPr>
              <w:t>亿元（含）</w:t>
            </w:r>
            <w:r>
              <w:rPr>
                <w:rFonts w:ascii="宋体" w:cs="宋体"/>
                <w:kern w:val="0"/>
                <w:szCs w:val="21"/>
                <w:highlight w:val="none"/>
              </w:rPr>
              <w:t>-</w:t>
            </w:r>
            <w:r>
              <w:rPr>
                <w:rFonts w:hint="eastAsia" w:ascii="宋体" w:hAnsi="宋体" w:cs="宋体"/>
                <w:kern w:val="0"/>
                <w:szCs w:val="21"/>
                <w:highlight w:val="none"/>
                <w:lang w:val="en-US" w:eastAsia="zh-CN"/>
              </w:rPr>
              <w:t>8</w:t>
            </w:r>
            <w:r>
              <w:rPr>
                <w:rFonts w:ascii="宋体" w:hAnsi="宋体" w:cs="宋体"/>
                <w:kern w:val="0"/>
                <w:szCs w:val="21"/>
                <w:highlight w:val="none"/>
              </w:rPr>
              <w:t>0</w:t>
            </w:r>
            <w:r>
              <w:rPr>
                <w:rFonts w:hint="eastAsia" w:ascii="宋体" w:hAnsi="宋体" w:cs="宋体"/>
                <w:kern w:val="0"/>
                <w:szCs w:val="21"/>
                <w:highlight w:val="none"/>
              </w:rPr>
              <w:t>亿元（不含）的，得</w:t>
            </w:r>
            <w:r>
              <w:rPr>
                <w:rFonts w:hint="eastAsia" w:ascii="宋体" w:hAnsi="宋体" w:cs="宋体"/>
                <w:kern w:val="0"/>
                <w:szCs w:val="21"/>
                <w:highlight w:val="none"/>
                <w:lang w:val="en-US" w:eastAsia="zh-CN"/>
              </w:rPr>
              <w:t>4</w:t>
            </w:r>
            <w:r>
              <w:rPr>
                <w:rFonts w:hint="eastAsia" w:ascii="宋体" w:hAnsi="宋体" w:cs="宋体"/>
                <w:kern w:val="0"/>
                <w:szCs w:val="21"/>
                <w:highlight w:val="none"/>
              </w:rPr>
              <w:t>分；</w:t>
            </w:r>
          </w:p>
          <w:p w14:paraId="16C33147">
            <w:pPr>
              <w:widowControl/>
              <w:spacing w:line="260" w:lineRule="exact"/>
              <w:jc w:val="left"/>
              <w:rPr>
                <w:rFonts w:ascii="宋体" w:hAnsi="宋体" w:cs="宋体"/>
                <w:kern w:val="0"/>
                <w:szCs w:val="21"/>
                <w:highlight w:val="none"/>
              </w:rPr>
            </w:pPr>
            <w:r>
              <w:rPr>
                <w:rFonts w:hint="eastAsia" w:ascii="宋体" w:hAnsi="宋体" w:cs="宋体"/>
                <w:kern w:val="0"/>
                <w:szCs w:val="21"/>
                <w:highlight w:val="none"/>
              </w:rPr>
              <w:t>余额在</w:t>
            </w:r>
            <w:r>
              <w:rPr>
                <w:rFonts w:hint="eastAsia" w:ascii="宋体" w:hAnsi="宋体" w:cs="宋体"/>
                <w:kern w:val="0"/>
                <w:szCs w:val="21"/>
                <w:highlight w:val="none"/>
                <w:lang w:val="en-US" w:eastAsia="zh-CN"/>
              </w:rPr>
              <w:t>4</w:t>
            </w:r>
            <w:r>
              <w:rPr>
                <w:rFonts w:ascii="宋体" w:hAnsi="宋体" w:cs="宋体"/>
                <w:kern w:val="0"/>
                <w:szCs w:val="21"/>
                <w:highlight w:val="none"/>
              </w:rPr>
              <w:t>0</w:t>
            </w:r>
            <w:r>
              <w:rPr>
                <w:rFonts w:hint="eastAsia" w:ascii="宋体" w:hAnsi="宋体" w:cs="宋体"/>
                <w:kern w:val="0"/>
                <w:szCs w:val="21"/>
                <w:highlight w:val="none"/>
              </w:rPr>
              <w:t>亿元（含）</w:t>
            </w:r>
            <w:r>
              <w:rPr>
                <w:rFonts w:ascii="宋体" w:cs="宋体"/>
                <w:kern w:val="0"/>
                <w:szCs w:val="21"/>
                <w:highlight w:val="none"/>
              </w:rPr>
              <w:t>-</w:t>
            </w:r>
            <w:r>
              <w:rPr>
                <w:rFonts w:hint="eastAsia" w:ascii="宋体" w:hAnsi="宋体" w:cs="宋体"/>
                <w:kern w:val="0"/>
                <w:szCs w:val="21"/>
                <w:highlight w:val="none"/>
                <w:lang w:val="en-US" w:eastAsia="zh-CN"/>
              </w:rPr>
              <w:t>6</w:t>
            </w:r>
            <w:r>
              <w:rPr>
                <w:rFonts w:ascii="宋体" w:hAnsi="宋体" w:cs="宋体"/>
                <w:kern w:val="0"/>
                <w:szCs w:val="21"/>
                <w:highlight w:val="none"/>
              </w:rPr>
              <w:t>0</w:t>
            </w:r>
            <w:r>
              <w:rPr>
                <w:rFonts w:hint="eastAsia" w:ascii="宋体" w:hAnsi="宋体" w:cs="宋体"/>
                <w:kern w:val="0"/>
                <w:szCs w:val="21"/>
                <w:highlight w:val="none"/>
              </w:rPr>
              <w:t>亿元（不含）的，得</w:t>
            </w:r>
            <w:r>
              <w:rPr>
                <w:rFonts w:hint="eastAsia" w:ascii="宋体" w:hAnsi="宋体" w:cs="宋体"/>
                <w:kern w:val="0"/>
                <w:szCs w:val="21"/>
                <w:highlight w:val="none"/>
                <w:lang w:val="en-US" w:eastAsia="zh-CN"/>
              </w:rPr>
              <w:t>3</w:t>
            </w:r>
            <w:r>
              <w:rPr>
                <w:rFonts w:hint="eastAsia" w:ascii="宋体" w:hAnsi="宋体" w:cs="宋体"/>
                <w:kern w:val="0"/>
                <w:szCs w:val="21"/>
                <w:highlight w:val="none"/>
              </w:rPr>
              <w:t>分；</w:t>
            </w:r>
          </w:p>
          <w:p w14:paraId="0390DE6E">
            <w:pPr>
              <w:widowControl/>
              <w:spacing w:line="260" w:lineRule="exact"/>
              <w:jc w:val="left"/>
              <w:rPr>
                <w:rFonts w:hint="eastAsia" w:ascii="宋体" w:hAnsi="宋体" w:cs="宋体"/>
                <w:kern w:val="0"/>
                <w:szCs w:val="21"/>
                <w:highlight w:val="none"/>
              </w:rPr>
            </w:pPr>
            <w:r>
              <w:rPr>
                <w:rFonts w:hint="eastAsia" w:ascii="宋体" w:hAnsi="宋体" w:cs="宋体"/>
                <w:kern w:val="0"/>
                <w:szCs w:val="21"/>
                <w:highlight w:val="none"/>
              </w:rPr>
              <w:t>余额在</w:t>
            </w:r>
            <w:r>
              <w:rPr>
                <w:rFonts w:hint="eastAsia" w:ascii="宋体" w:hAnsi="宋体" w:cs="宋体"/>
                <w:kern w:val="0"/>
                <w:szCs w:val="21"/>
                <w:highlight w:val="none"/>
                <w:lang w:val="en-US" w:eastAsia="zh-CN"/>
              </w:rPr>
              <w:t>2</w:t>
            </w:r>
            <w:r>
              <w:rPr>
                <w:rFonts w:ascii="宋体" w:hAnsi="宋体" w:cs="宋体"/>
                <w:kern w:val="0"/>
                <w:szCs w:val="21"/>
                <w:highlight w:val="none"/>
              </w:rPr>
              <w:t>0</w:t>
            </w:r>
            <w:r>
              <w:rPr>
                <w:rFonts w:hint="eastAsia" w:ascii="宋体" w:hAnsi="宋体" w:cs="宋体"/>
                <w:kern w:val="0"/>
                <w:szCs w:val="21"/>
                <w:highlight w:val="none"/>
              </w:rPr>
              <w:t>亿元（含）</w:t>
            </w:r>
            <w:r>
              <w:rPr>
                <w:rFonts w:ascii="宋体" w:cs="宋体"/>
                <w:kern w:val="0"/>
                <w:szCs w:val="21"/>
                <w:highlight w:val="none"/>
              </w:rPr>
              <w:t>-</w:t>
            </w:r>
            <w:r>
              <w:rPr>
                <w:rFonts w:hint="eastAsia" w:ascii="宋体" w:cs="宋体"/>
                <w:kern w:val="0"/>
                <w:szCs w:val="21"/>
                <w:highlight w:val="none"/>
                <w:lang w:val="en-US" w:eastAsia="zh-CN"/>
              </w:rPr>
              <w:t>4</w:t>
            </w:r>
            <w:r>
              <w:rPr>
                <w:rFonts w:ascii="宋体" w:hAnsi="宋体" w:cs="宋体"/>
                <w:kern w:val="0"/>
                <w:szCs w:val="21"/>
                <w:highlight w:val="none"/>
              </w:rPr>
              <w:t>0</w:t>
            </w:r>
            <w:r>
              <w:rPr>
                <w:rFonts w:hint="eastAsia" w:ascii="宋体" w:hAnsi="宋体" w:cs="宋体"/>
                <w:kern w:val="0"/>
                <w:szCs w:val="21"/>
                <w:highlight w:val="none"/>
              </w:rPr>
              <w:t>亿元（不含）的，得</w:t>
            </w:r>
            <w:r>
              <w:rPr>
                <w:rFonts w:hint="eastAsia" w:ascii="宋体" w:hAnsi="宋体" w:cs="宋体"/>
                <w:kern w:val="0"/>
                <w:szCs w:val="21"/>
                <w:highlight w:val="none"/>
                <w:lang w:val="en-US" w:eastAsia="zh-CN"/>
              </w:rPr>
              <w:t>2</w:t>
            </w:r>
            <w:r>
              <w:rPr>
                <w:rFonts w:hint="eastAsia" w:ascii="宋体" w:hAnsi="宋体" w:cs="宋体"/>
                <w:kern w:val="0"/>
                <w:szCs w:val="21"/>
                <w:highlight w:val="none"/>
              </w:rPr>
              <w:t>分；</w:t>
            </w:r>
          </w:p>
          <w:p w14:paraId="1D66BF59">
            <w:pPr>
              <w:widowControl/>
              <w:spacing w:line="260" w:lineRule="exact"/>
              <w:jc w:val="left"/>
              <w:rPr>
                <w:rFonts w:ascii="宋体" w:cs="宋体"/>
                <w:kern w:val="0"/>
                <w:szCs w:val="21"/>
                <w:highlight w:val="none"/>
              </w:rPr>
            </w:pPr>
            <w:r>
              <w:rPr>
                <w:rFonts w:hint="eastAsia" w:ascii="宋体" w:hAnsi="宋体" w:cs="宋体"/>
                <w:kern w:val="0"/>
                <w:szCs w:val="21"/>
                <w:highlight w:val="none"/>
              </w:rPr>
              <w:t>余额在</w:t>
            </w:r>
            <w:r>
              <w:rPr>
                <w:rFonts w:hint="eastAsia" w:ascii="宋体" w:hAnsi="宋体" w:cs="宋体"/>
                <w:kern w:val="0"/>
                <w:szCs w:val="21"/>
                <w:highlight w:val="none"/>
                <w:lang w:val="en-US" w:eastAsia="zh-CN"/>
              </w:rPr>
              <w:t>2</w:t>
            </w:r>
            <w:r>
              <w:rPr>
                <w:rFonts w:ascii="宋体" w:hAnsi="宋体" w:cs="宋体"/>
                <w:kern w:val="0"/>
                <w:szCs w:val="21"/>
                <w:highlight w:val="none"/>
              </w:rPr>
              <w:t>0</w:t>
            </w:r>
            <w:r>
              <w:rPr>
                <w:rFonts w:hint="eastAsia" w:ascii="宋体" w:hAnsi="宋体" w:cs="宋体"/>
                <w:kern w:val="0"/>
                <w:szCs w:val="21"/>
                <w:highlight w:val="none"/>
              </w:rPr>
              <w:t>亿元（不含）以下的，得</w:t>
            </w:r>
            <w:r>
              <w:rPr>
                <w:rFonts w:hint="eastAsia" w:ascii="宋体" w:hAnsi="宋体" w:cs="宋体"/>
                <w:kern w:val="0"/>
                <w:szCs w:val="21"/>
                <w:highlight w:val="none"/>
                <w:lang w:val="en-US" w:eastAsia="zh-CN"/>
              </w:rPr>
              <w:t>1</w:t>
            </w:r>
            <w:r>
              <w:rPr>
                <w:rFonts w:hint="eastAsia" w:ascii="宋体" w:hAnsi="宋体" w:cs="宋体"/>
                <w:kern w:val="0"/>
                <w:szCs w:val="21"/>
                <w:highlight w:val="none"/>
              </w:rPr>
              <w:t>分；</w:t>
            </w:r>
          </w:p>
          <w:p w14:paraId="63A72900">
            <w:pPr>
              <w:widowControl/>
              <w:spacing w:line="260" w:lineRule="exact"/>
              <w:jc w:val="left"/>
              <w:rPr>
                <w:rFonts w:hint="eastAsia" w:ascii="宋体" w:hAnsi="宋体" w:cs="宋体"/>
                <w:kern w:val="0"/>
                <w:szCs w:val="21"/>
                <w:highlight w:val="none"/>
              </w:rPr>
            </w:pPr>
            <w:r>
              <w:rPr>
                <w:rFonts w:hint="eastAsia" w:ascii="宋体" w:hAnsi="宋体" w:cs="宋体"/>
                <w:kern w:val="0"/>
                <w:szCs w:val="21"/>
                <w:highlight w:val="none"/>
              </w:rPr>
              <w:t>本项最高</w:t>
            </w:r>
            <w:r>
              <w:rPr>
                <w:rFonts w:hint="eastAsia" w:ascii="宋体" w:hAnsi="宋体" w:cs="宋体"/>
                <w:kern w:val="0"/>
                <w:szCs w:val="21"/>
                <w:highlight w:val="none"/>
                <w:lang w:val="en-US" w:eastAsia="zh-CN"/>
              </w:rPr>
              <w:t>5</w:t>
            </w:r>
            <w:r>
              <w:rPr>
                <w:rFonts w:hint="eastAsia" w:ascii="宋体" w:hAnsi="宋体" w:cs="宋体"/>
                <w:kern w:val="0"/>
                <w:szCs w:val="21"/>
                <w:highlight w:val="none"/>
              </w:rPr>
              <w:t>分。</w:t>
            </w:r>
          </w:p>
          <w:p w14:paraId="782D6065">
            <w:pPr>
              <w:widowControl/>
              <w:spacing w:line="260" w:lineRule="exact"/>
              <w:jc w:val="left"/>
              <w:rPr>
                <w:rFonts w:ascii="宋体" w:hAnsi="宋体"/>
                <w:szCs w:val="21"/>
              </w:rPr>
            </w:pPr>
          </w:p>
        </w:tc>
      </w:tr>
      <w:tr w14:paraId="3F93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8" w:hRule="atLeast"/>
          <w:jc w:val="center"/>
        </w:trPr>
        <w:tc>
          <w:tcPr>
            <w:tcW w:w="1131" w:type="dxa"/>
            <w:vMerge w:val="continue"/>
            <w:noWrap/>
            <w:vAlign w:val="center"/>
          </w:tcPr>
          <w:p w14:paraId="738EA67F">
            <w:pPr>
              <w:spacing w:line="300" w:lineRule="exact"/>
              <w:jc w:val="center"/>
              <w:rPr>
                <w:rFonts w:ascii="宋体" w:hAnsi="宋体" w:cs="宋体"/>
                <w:b/>
                <w:kern w:val="0"/>
                <w:szCs w:val="21"/>
              </w:rPr>
            </w:pPr>
          </w:p>
        </w:tc>
        <w:tc>
          <w:tcPr>
            <w:tcW w:w="1559" w:type="dxa"/>
            <w:noWrap/>
            <w:vAlign w:val="center"/>
          </w:tcPr>
          <w:p w14:paraId="6CBCDF40">
            <w:pPr>
              <w:spacing w:line="300" w:lineRule="exact"/>
              <w:jc w:val="center"/>
              <w:rPr>
                <w:rFonts w:ascii="宋体" w:hAnsi="宋体"/>
                <w:szCs w:val="21"/>
              </w:rPr>
            </w:pPr>
            <w:r>
              <w:rPr>
                <w:rFonts w:ascii="宋体" w:hAnsi="宋体"/>
                <w:szCs w:val="21"/>
              </w:rPr>
              <w:t>8.</w:t>
            </w:r>
            <w:r>
              <w:rPr>
                <w:rFonts w:hint="eastAsia" w:ascii="宋体" w:hAnsi="宋体"/>
                <w:szCs w:val="21"/>
              </w:rPr>
              <w:t>制造业贷款余额占本外币贷款余额比例（</w:t>
            </w:r>
            <w:r>
              <w:rPr>
                <w:rFonts w:hint="eastAsia" w:ascii="宋体" w:hAnsi="宋体"/>
                <w:szCs w:val="21"/>
                <w:lang w:val="en-US" w:eastAsia="zh-CN"/>
              </w:rPr>
              <w:t>5</w:t>
            </w:r>
            <w:r>
              <w:rPr>
                <w:rFonts w:hint="eastAsia" w:ascii="宋体" w:hAnsi="宋体"/>
                <w:szCs w:val="21"/>
              </w:rPr>
              <w:t>分）</w:t>
            </w:r>
          </w:p>
        </w:tc>
        <w:tc>
          <w:tcPr>
            <w:tcW w:w="6249" w:type="dxa"/>
            <w:noWrap/>
            <w:vAlign w:val="center"/>
          </w:tcPr>
          <w:p w14:paraId="789F734B">
            <w:pPr>
              <w:widowControl/>
              <w:spacing w:line="260" w:lineRule="exact"/>
              <w:jc w:val="left"/>
              <w:rPr>
                <w:rFonts w:ascii="宋体"/>
                <w:kern w:val="0"/>
                <w:szCs w:val="21"/>
              </w:rPr>
            </w:pPr>
            <w:r>
              <w:rPr>
                <w:rFonts w:hint="eastAsia" w:ascii="宋体" w:hAnsi="宋体" w:cs="宋体"/>
                <w:kern w:val="0"/>
                <w:szCs w:val="21"/>
              </w:rPr>
              <w:t>根据人民银行北仑支行出具的投标人</w:t>
            </w:r>
            <w:r>
              <w:rPr>
                <w:rFonts w:hint="eastAsia" w:ascii="宋体" w:hAnsi="宋体" w:cs="宋体"/>
                <w:kern w:val="0"/>
                <w:szCs w:val="21"/>
                <w:lang w:eastAsia="zh-CN"/>
              </w:rPr>
              <w:t>2024</w:t>
            </w:r>
            <w:r>
              <w:rPr>
                <w:rFonts w:hint="eastAsia" w:ascii="宋体" w:hAnsi="宋体" w:cs="宋体"/>
                <w:kern w:val="0"/>
                <w:szCs w:val="21"/>
              </w:rPr>
              <w:t>年末数据进行评审：</w:t>
            </w:r>
          </w:p>
          <w:p w14:paraId="2BCC2CD7">
            <w:pPr>
              <w:widowControl/>
              <w:spacing w:line="260" w:lineRule="exact"/>
              <w:jc w:val="left"/>
              <w:rPr>
                <w:rFonts w:ascii="宋体"/>
                <w:kern w:val="0"/>
                <w:szCs w:val="21"/>
              </w:rPr>
            </w:pPr>
            <w:r>
              <w:rPr>
                <w:rFonts w:hint="eastAsia" w:ascii="宋体" w:hAnsi="宋体"/>
                <w:kern w:val="0"/>
                <w:szCs w:val="21"/>
              </w:rPr>
              <w:t>【比例值计算公式：</w:t>
            </w:r>
            <w:r>
              <w:rPr>
                <w:rFonts w:hint="eastAsia" w:ascii="宋体" w:hAnsi="宋体"/>
                <w:kern w:val="0"/>
                <w:szCs w:val="21"/>
                <w:lang w:eastAsia="zh-CN"/>
              </w:rPr>
              <w:t>2024</w:t>
            </w:r>
            <w:r>
              <w:rPr>
                <w:rFonts w:hint="eastAsia" w:ascii="宋体" w:hAnsi="宋体"/>
                <w:kern w:val="0"/>
                <w:szCs w:val="21"/>
              </w:rPr>
              <w:t>年度在北仑区的制造业贷款余额÷</w:t>
            </w:r>
            <w:r>
              <w:rPr>
                <w:rFonts w:hint="eastAsia" w:ascii="宋体" w:hAnsi="宋体"/>
                <w:kern w:val="0"/>
                <w:szCs w:val="21"/>
                <w:lang w:eastAsia="zh-CN"/>
              </w:rPr>
              <w:t>2024</w:t>
            </w:r>
            <w:r>
              <w:rPr>
                <w:rFonts w:hint="eastAsia" w:ascii="宋体" w:hAnsi="宋体"/>
                <w:kern w:val="0"/>
                <w:szCs w:val="21"/>
              </w:rPr>
              <w:t>年度在北仑区的本外币贷款余额×</w:t>
            </w:r>
            <w:r>
              <w:rPr>
                <w:rFonts w:ascii="宋体" w:hAnsi="宋体"/>
                <w:kern w:val="0"/>
                <w:szCs w:val="21"/>
              </w:rPr>
              <w:t>100%</w:t>
            </w:r>
            <w:r>
              <w:rPr>
                <w:rFonts w:hint="eastAsia" w:ascii="宋体" w:hAnsi="宋体"/>
                <w:kern w:val="0"/>
                <w:szCs w:val="21"/>
              </w:rPr>
              <w:t>】</w:t>
            </w:r>
          </w:p>
          <w:p w14:paraId="4AA80E25">
            <w:pPr>
              <w:widowControl/>
              <w:spacing w:line="260" w:lineRule="exact"/>
              <w:jc w:val="left"/>
              <w:rPr>
                <w:rFonts w:ascii="宋体" w:cs="宋体"/>
                <w:kern w:val="0"/>
                <w:szCs w:val="21"/>
              </w:rPr>
            </w:pPr>
            <w:r>
              <w:rPr>
                <w:rFonts w:hint="eastAsia" w:ascii="宋体" w:hAnsi="宋体" w:cs="宋体"/>
                <w:kern w:val="0"/>
                <w:szCs w:val="21"/>
                <w:lang w:val="en-US" w:eastAsia="zh-CN"/>
              </w:rPr>
              <w:t>30</w:t>
            </w:r>
            <w:r>
              <w:rPr>
                <w:rFonts w:ascii="宋体" w:hAnsi="宋体" w:cs="宋体"/>
                <w:kern w:val="0"/>
                <w:szCs w:val="21"/>
              </w:rPr>
              <w:t>%</w:t>
            </w:r>
            <w:r>
              <w:rPr>
                <w:rFonts w:hint="eastAsia" w:ascii="宋体" w:hAnsi="宋体" w:cs="宋体"/>
                <w:kern w:val="0"/>
                <w:szCs w:val="21"/>
              </w:rPr>
              <w:t>及以上的，得</w:t>
            </w:r>
            <w:r>
              <w:rPr>
                <w:rFonts w:hint="eastAsia" w:ascii="宋体" w:hAnsi="宋体" w:cs="宋体"/>
                <w:kern w:val="0"/>
                <w:szCs w:val="21"/>
                <w:lang w:val="en-US" w:eastAsia="zh-CN"/>
              </w:rPr>
              <w:t>5</w:t>
            </w:r>
            <w:r>
              <w:rPr>
                <w:rFonts w:hint="eastAsia" w:ascii="宋体" w:hAnsi="宋体" w:cs="宋体"/>
                <w:kern w:val="0"/>
                <w:szCs w:val="21"/>
              </w:rPr>
              <w:t>分；</w:t>
            </w:r>
          </w:p>
          <w:p w14:paraId="1DD07478">
            <w:pPr>
              <w:widowControl/>
              <w:spacing w:line="260" w:lineRule="exact"/>
              <w:jc w:val="left"/>
              <w:rPr>
                <w:rFonts w:ascii="宋体" w:cs="宋体"/>
                <w:kern w:val="0"/>
                <w:szCs w:val="21"/>
              </w:rPr>
            </w:pPr>
            <w:r>
              <w:rPr>
                <w:rFonts w:hint="eastAsia" w:ascii="宋体" w:hAnsi="宋体" w:cs="宋体"/>
                <w:kern w:val="0"/>
                <w:szCs w:val="21"/>
                <w:lang w:val="en-US" w:eastAsia="zh-CN"/>
              </w:rPr>
              <w:t>25</w:t>
            </w:r>
            <w:r>
              <w:rPr>
                <w:rFonts w:ascii="宋体" w:hAnsi="宋体" w:cs="宋体"/>
                <w:kern w:val="0"/>
                <w:szCs w:val="21"/>
              </w:rPr>
              <w:t>%</w:t>
            </w:r>
            <w:r>
              <w:rPr>
                <w:rFonts w:hint="eastAsia" w:ascii="宋体" w:hAnsi="宋体" w:cs="宋体"/>
                <w:kern w:val="0"/>
                <w:szCs w:val="21"/>
              </w:rPr>
              <w:t>（含）</w:t>
            </w:r>
            <w:r>
              <w:rPr>
                <w:rFonts w:ascii="宋体" w:cs="宋体"/>
                <w:kern w:val="0"/>
                <w:szCs w:val="21"/>
              </w:rPr>
              <w:t>-</w:t>
            </w:r>
            <w:r>
              <w:rPr>
                <w:rFonts w:hint="eastAsia" w:ascii="宋体" w:hAnsi="宋体" w:cs="宋体"/>
                <w:kern w:val="0"/>
                <w:szCs w:val="21"/>
                <w:lang w:val="en-US" w:eastAsia="zh-CN"/>
              </w:rPr>
              <w:t>30</w:t>
            </w:r>
            <w:r>
              <w:rPr>
                <w:rFonts w:ascii="宋体" w:hAnsi="宋体" w:cs="宋体"/>
                <w:kern w:val="0"/>
                <w:szCs w:val="21"/>
              </w:rPr>
              <w:t>%</w:t>
            </w:r>
            <w:r>
              <w:rPr>
                <w:rFonts w:hint="eastAsia" w:ascii="宋体" w:hAnsi="宋体" w:cs="宋体"/>
                <w:kern w:val="0"/>
                <w:szCs w:val="21"/>
              </w:rPr>
              <w:t>（不含）的，得</w:t>
            </w:r>
            <w:r>
              <w:rPr>
                <w:rFonts w:hint="eastAsia" w:ascii="宋体" w:hAnsi="宋体" w:cs="宋体"/>
                <w:kern w:val="0"/>
                <w:szCs w:val="21"/>
                <w:lang w:val="en-US" w:eastAsia="zh-CN"/>
              </w:rPr>
              <w:t>4</w:t>
            </w:r>
            <w:r>
              <w:rPr>
                <w:rFonts w:hint="eastAsia" w:ascii="宋体" w:hAnsi="宋体" w:cs="宋体"/>
                <w:kern w:val="0"/>
                <w:szCs w:val="21"/>
              </w:rPr>
              <w:t>分；</w:t>
            </w:r>
          </w:p>
          <w:p w14:paraId="6B17B3EE">
            <w:pPr>
              <w:widowControl/>
              <w:spacing w:line="260" w:lineRule="exact"/>
              <w:jc w:val="left"/>
              <w:rPr>
                <w:rFonts w:ascii="宋体" w:cs="宋体"/>
                <w:kern w:val="0"/>
                <w:szCs w:val="21"/>
              </w:rPr>
            </w:pPr>
            <w:r>
              <w:rPr>
                <w:rFonts w:hint="eastAsia" w:ascii="宋体" w:hAnsi="宋体" w:cs="宋体"/>
                <w:kern w:val="0"/>
                <w:szCs w:val="21"/>
                <w:lang w:val="en-US" w:eastAsia="zh-CN"/>
              </w:rPr>
              <w:t>20</w:t>
            </w:r>
            <w:r>
              <w:rPr>
                <w:rFonts w:ascii="宋体" w:hAnsi="宋体" w:cs="宋体"/>
                <w:kern w:val="0"/>
                <w:szCs w:val="21"/>
              </w:rPr>
              <w:t>%</w:t>
            </w:r>
            <w:r>
              <w:rPr>
                <w:rFonts w:hint="eastAsia" w:ascii="宋体" w:hAnsi="宋体" w:cs="宋体"/>
                <w:kern w:val="0"/>
                <w:szCs w:val="21"/>
              </w:rPr>
              <w:t>（含）</w:t>
            </w:r>
            <w:r>
              <w:rPr>
                <w:rFonts w:ascii="宋体" w:cs="宋体"/>
                <w:kern w:val="0"/>
                <w:szCs w:val="21"/>
              </w:rPr>
              <w:t>-</w:t>
            </w:r>
            <w:r>
              <w:rPr>
                <w:rFonts w:hint="eastAsia" w:ascii="宋体" w:hAnsi="宋体" w:cs="宋体"/>
                <w:kern w:val="0"/>
                <w:szCs w:val="21"/>
                <w:lang w:val="en-US" w:eastAsia="zh-CN"/>
              </w:rPr>
              <w:t>25</w:t>
            </w:r>
            <w:r>
              <w:rPr>
                <w:rFonts w:ascii="宋体" w:hAnsi="宋体" w:cs="宋体"/>
                <w:kern w:val="0"/>
                <w:szCs w:val="21"/>
              </w:rPr>
              <w:t>%</w:t>
            </w:r>
            <w:r>
              <w:rPr>
                <w:rFonts w:hint="eastAsia" w:ascii="宋体" w:hAnsi="宋体" w:cs="宋体"/>
                <w:kern w:val="0"/>
                <w:szCs w:val="21"/>
              </w:rPr>
              <w:t>（不含）的，得</w:t>
            </w:r>
            <w:r>
              <w:rPr>
                <w:rFonts w:hint="eastAsia" w:ascii="宋体" w:hAnsi="宋体" w:cs="宋体"/>
                <w:kern w:val="0"/>
                <w:szCs w:val="21"/>
                <w:lang w:val="en-US" w:eastAsia="zh-CN"/>
              </w:rPr>
              <w:t>3</w:t>
            </w:r>
            <w:r>
              <w:rPr>
                <w:rFonts w:hint="eastAsia" w:ascii="宋体" w:hAnsi="宋体" w:cs="宋体"/>
                <w:kern w:val="0"/>
                <w:szCs w:val="21"/>
              </w:rPr>
              <w:t>分；</w:t>
            </w:r>
          </w:p>
          <w:p w14:paraId="43552D3B">
            <w:pPr>
              <w:widowControl/>
              <w:spacing w:line="260" w:lineRule="exact"/>
              <w:jc w:val="left"/>
              <w:rPr>
                <w:rFonts w:ascii="宋体" w:cs="宋体"/>
                <w:kern w:val="0"/>
                <w:szCs w:val="21"/>
              </w:rPr>
            </w:pPr>
            <w:r>
              <w:rPr>
                <w:rFonts w:hint="eastAsia" w:ascii="宋体" w:hAnsi="宋体" w:cs="宋体"/>
                <w:kern w:val="0"/>
                <w:szCs w:val="21"/>
                <w:lang w:val="en-US" w:eastAsia="zh-CN"/>
              </w:rPr>
              <w:t>15</w:t>
            </w:r>
            <w:r>
              <w:rPr>
                <w:rFonts w:ascii="宋体" w:hAnsi="宋体" w:cs="宋体"/>
                <w:kern w:val="0"/>
                <w:szCs w:val="21"/>
              </w:rPr>
              <w:t>%</w:t>
            </w:r>
            <w:r>
              <w:rPr>
                <w:rFonts w:hint="eastAsia" w:ascii="宋体" w:hAnsi="宋体" w:cs="宋体"/>
                <w:kern w:val="0"/>
                <w:szCs w:val="21"/>
              </w:rPr>
              <w:t>（含）</w:t>
            </w:r>
            <w:r>
              <w:rPr>
                <w:rFonts w:ascii="宋体" w:cs="宋体"/>
                <w:kern w:val="0"/>
                <w:szCs w:val="21"/>
              </w:rPr>
              <w:t>-</w:t>
            </w:r>
            <w:r>
              <w:rPr>
                <w:rFonts w:hint="eastAsia" w:ascii="宋体" w:hAnsi="宋体" w:cs="宋体"/>
                <w:kern w:val="0"/>
                <w:szCs w:val="21"/>
                <w:lang w:val="en-US" w:eastAsia="zh-CN"/>
              </w:rPr>
              <w:t>20</w:t>
            </w:r>
            <w:r>
              <w:rPr>
                <w:rFonts w:ascii="宋体" w:hAnsi="宋体" w:cs="宋体"/>
                <w:kern w:val="0"/>
                <w:szCs w:val="21"/>
              </w:rPr>
              <w:t>%</w:t>
            </w:r>
            <w:r>
              <w:rPr>
                <w:rFonts w:hint="eastAsia" w:ascii="宋体" w:hAnsi="宋体" w:cs="宋体"/>
                <w:kern w:val="0"/>
                <w:szCs w:val="21"/>
              </w:rPr>
              <w:t>（不含）的，得</w:t>
            </w:r>
            <w:r>
              <w:rPr>
                <w:rFonts w:hint="eastAsia" w:ascii="宋体" w:hAnsi="宋体" w:cs="宋体"/>
                <w:kern w:val="0"/>
                <w:szCs w:val="21"/>
                <w:lang w:val="en-US" w:eastAsia="zh-CN"/>
              </w:rPr>
              <w:t>2</w:t>
            </w:r>
            <w:r>
              <w:rPr>
                <w:rFonts w:hint="eastAsia" w:ascii="宋体" w:hAnsi="宋体" w:cs="宋体"/>
                <w:kern w:val="0"/>
                <w:szCs w:val="21"/>
              </w:rPr>
              <w:t>分；</w:t>
            </w:r>
          </w:p>
          <w:p w14:paraId="038AD0E3">
            <w:pPr>
              <w:widowControl/>
              <w:spacing w:line="260" w:lineRule="exact"/>
              <w:jc w:val="left"/>
              <w:rPr>
                <w:rFonts w:ascii="宋体" w:cs="宋体"/>
                <w:kern w:val="0"/>
                <w:szCs w:val="21"/>
              </w:rPr>
            </w:pPr>
            <w:r>
              <w:rPr>
                <w:rFonts w:hint="eastAsia" w:ascii="宋体" w:hAnsi="宋体" w:cs="宋体"/>
                <w:kern w:val="0"/>
                <w:szCs w:val="21"/>
                <w:lang w:val="en-US" w:eastAsia="zh-CN"/>
              </w:rPr>
              <w:t>15</w:t>
            </w:r>
            <w:r>
              <w:rPr>
                <w:rFonts w:ascii="宋体" w:hAnsi="宋体" w:cs="宋体"/>
                <w:kern w:val="0"/>
                <w:szCs w:val="21"/>
              </w:rPr>
              <w:t>%</w:t>
            </w:r>
            <w:r>
              <w:rPr>
                <w:rFonts w:hint="eastAsia" w:ascii="宋体" w:hAnsi="宋体" w:cs="宋体"/>
                <w:kern w:val="0"/>
                <w:szCs w:val="21"/>
              </w:rPr>
              <w:t>以下的，得</w:t>
            </w:r>
            <w:r>
              <w:rPr>
                <w:rFonts w:hint="eastAsia" w:ascii="宋体" w:hAnsi="宋体" w:cs="宋体"/>
                <w:kern w:val="0"/>
                <w:szCs w:val="21"/>
                <w:lang w:val="en-US" w:eastAsia="zh-CN"/>
              </w:rPr>
              <w:t>1</w:t>
            </w:r>
            <w:r>
              <w:rPr>
                <w:rFonts w:hint="eastAsia" w:ascii="宋体" w:hAnsi="宋体" w:cs="宋体"/>
                <w:kern w:val="0"/>
                <w:szCs w:val="21"/>
              </w:rPr>
              <w:t>分。</w:t>
            </w:r>
          </w:p>
          <w:p w14:paraId="55845478">
            <w:pPr>
              <w:widowControl/>
              <w:spacing w:line="260" w:lineRule="exact"/>
              <w:jc w:val="left"/>
              <w:rPr>
                <w:rFonts w:ascii="宋体" w:hAnsi="宋体"/>
                <w:szCs w:val="21"/>
              </w:rPr>
            </w:pPr>
            <w:r>
              <w:rPr>
                <w:rFonts w:hint="eastAsia" w:ascii="宋体" w:hAnsi="宋体" w:cs="宋体"/>
                <w:kern w:val="0"/>
                <w:szCs w:val="21"/>
              </w:rPr>
              <w:t>本项最高</w:t>
            </w:r>
            <w:r>
              <w:rPr>
                <w:rFonts w:hint="eastAsia" w:ascii="宋体" w:hAnsi="宋体" w:cs="宋体"/>
                <w:kern w:val="0"/>
                <w:szCs w:val="21"/>
                <w:lang w:val="en-US" w:eastAsia="zh-CN"/>
              </w:rPr>
              <w:t>5</w:t>
            </w:r>
            <w:r>
              <w:rPr>
                <w:rFonts w:hint="eastAsia" w:ascii="宋体" w:hAnsi="宋体" w:cs="宋体"/>
                <w:kern w:val="0"/>
                <w:szCs w:val="21"/>
              </w:rPr>
              <w:t>分。</w:t>
            </w:r>
          </w:p>
        </w:tc>
      </w:tr>
      <w:tr w14:paraId="368C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0" w:hRule="atLeast"/>
          <w:jc w:val="center"/>
        </w:trPr>
        <w:tc>
          <w:tcPr>
            <w:tcW w:w="1131" w:type="dxa"/>
            <w:vMerge w:val="continue"/>
            <w:noWrap/>
            <w:vAlign w:val="center"/>
          </w:tcPr>
          <w:p w14:paraId="3FC71A94">
            <w:pPr>
              <w:spacing w:line="300" w:lineRule="exact"/>
              <w:jc w:val="center"/>
              <w:rPr>
                <w:rFonts w:ascii="宋体" w:hAnsi="宋体" w:cs="宋体"/>
                <w:b/>
                <w:kern w:val="0"/>
                <w:szCs w:val="21"/>
              </w:rPr>
            </w:pPr>
          </w:p>
        </w:tc>
        <w:tc>
          <w:tcPr>
            <w:tcW w:w="1559" w:type="dxa"/>
            <w:noWrap/>
            <w:vAlign w:val="center"/>
          </w:tcPr>
          <w:p w14:paraId="5E674BE4">
            <w:pPr>
              <w:spacing w:line="320" w:lineRule="exact"/>
              <w:jc w:val="center"/>
              <w:rPr>
                <w:rFonts w:ascii="宋体" w:hAnsi="宋体"/>
                <w:szCs w:val="21"/>
              </w:rPr>
            </w:pPr>
            <w:r>
              <w:rPr>
                <w:rFonts w:ascii="宋体" w:hAnsi="宋体"/>
                <w:szCs w:val="21"/>
                <w:highlight w:val="none"/>
              </w:rPr>
              <w:t>9.</w:t>
            </w:r>
            <w:r>
              <w:rPr>
                <w:rFonts w:hint="eastAsia" w:ascii="宋体" w:hAnsi="宋体"/>
                <w:szCs w:val="21"/>
                <w:highlight w:val="none"/>
              </w:rPr>
              <w:t>金融办对金融机构考评情况（4分）</w:t>
            </w:r>
          </w:p>
        </w:tc>
        <w:tc>
          <w:tcPr>
            <w:tcW w:w="6249" w:type="dxa"/>
            <w:noWrap/>
            <w:vAlign w:val="center"/>
          </w:tcPr>
          <w:p w14:paraId="67FD5BDF">
            <w:pPr>
              <w:widowControl/>
              <w:spacing w:line="280" w:lineRule="exact"/>
              <w:jc w:val="left"/>
              <w:rPr>
                <w:rFonts w:ascii="宋体" w:cs="宋体"/>
                <w:kern w:val="0"/>
                <w:szCs w:val="21"/>
                <w:highlight w:val="none"/>
              </w:rPr>
            </w:pPr>
            <w:r>
              <w:rPr>
                <w:rFonts w:hint="eastAsia" w:ascii="宋体" w:hAnsi="宋体" w:cs="宋体"/>
                <w:kern w:val="0"/>
                <w:szCs w:val="21"/>
                <w:highlight w:val="none"/>
              </w:rPr>
              <w:t>根据</w:t>
            </w:r>
            <w:r>
              <w:rPr>
                <w:rFonts w:hint="eastAsia" w:ascii="宋体" w:hAnsi="宋体" w:cs="宋体"/>
                <w:szCs w:val="21"/>
                <w:highlight w:val="none"/>
              </w:rPr>
              <w:t>宁波市</w:t>
            </w:r>
            <w:r>
              <w:rPr>
                <w:rFonts w:hint="eastAsia" w:ascii="宋体" w:hAnsi="宋体"/>
                <w:szCs w:val="21"/>
                <w:highlight w:val="none"/>
              </w:rPr>
              <w:t>北仑区地方金融监管局</w:t>
            </w:r>
            <w:r>
              <w:rPr>
                <w:rFonts w:hint="eastAsia" w:ascii="宋体" w:hAnsi="宋体" w:cs="宋体"/>
                <w:iCs/>
                <w:kern w:val="0"/>
                <w:szCs w:val="21"/>
                <w:highlight w:val="none"/>
              </w:rPr>
              <w:t>最近两年</w:t>
            </w:r>
            <w:r>
              <w:rPr>
                <w:rFonts w:hint="eastAsia" w:ascii="宋体" w:hAnsi="宋体" w:cs="宋体"/>
                <w:kern w:val="0"/>
                <w:szCs w:val="21"/>
                <w:highlight w:val="none"/>
              </w:rPr>
              <w:t>关于北仑区</w:t>
            </w:r>
            <w:r>
              <w:rPr>
                <w:rFonts w:ascii="宋体" w:hAnsi="宋体" w:cs="宋体"/>
                <w:kern w:val="0"/>
                <w:szCs w:val="21"/>
                <w:highlight w:val="none"/>
              </w:rPr>
              <w:t>(</w:t>
            </w:r>
            <w:r>
              <w:rPr>
                <w:rFonts w:hint="eastAsia" w:ascii="宋体" w:hAnsi="宋体" w:cs="宋体"/>
                <w:kern w:val="0"/>
                <w:szCs w:val="21"/>
                <w:highlight w:val="none"/>
              </w:rPr>
              <w:t>开发区</w:t>
            </w:r>
            <w:r>
              <w:rPr>
                <w:rFonts w:ascii="宋体" w:hAnsi="宋体" w:cs="宋体"/>
                <w:kern w:val="0"/>
                <w:szCs w:val="21"/>
                <w:highlight w:val="none"/>
              </w:rPr>
              <w:t>)</w:t>
            </w:r>
            <w:r>
              <w:rPr>
                <w:rFonts w:hint="eastAsia" w:ascii="宋体" w:hAnsi="宋体" w:cs="宋体"/>
                <w:kern w:val="0"/>
                <w:szCs w:val="21"/>
                <w:highlight w:val="none"/>
              </w:rPr>
              <w:t>金融业支持地方经济发展考核情况通报的相关文件进行评审，评审标准为</w:t>
            </w:r>
            <w:r>
              <w:rPr>
                <w:rFonts w:ascii="宋体" w:hAnsi="宋体" w:cs="宋体"/>
                <w:kern w:val="0"/>
                <w:szCs w:val="21"/>
                <w:highlight w:val="none"/>
              </w:rPr>
              <w:t>:</w:t>
            </w:r>
          </w:p>
          <w:p w14:paraId="480F8E89">
            <w:pPr>
              <w:widowControl/>
              <w:spacing w:line="280" w:lineRule="exact"/>
              <w:jc w:val="left"/>
              <w:rPr>
                <w:rFonts w:asci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w:t>
            </w:r>
            <w:r>
              <w:rPr>
                <w:rFonts w:hint="eastAsia" w:ascii="宋体" w:hAnsi="宋体" w:cs="宋体"/>
                <w:kern w:val="0"/>
                <w:szCs w:val="21"/>
                <w:highlight w:val="none"/>
              </w:rPr>
              <w:t>）获得综合先进单位一等奖及以上的，每有一个得2分；</w:t>
            </w:r>
          </w:p>
          <w:p w14:paraId="1DD4741C">
            <w:pPr>
              <w:widowControl/>
              <w:spacing w:line="280" w:lineRule="exact"/>
              <w:jc w:val="left"/>
              <w:rPr>
                <w:rFonts w:asci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）获得综合先进单位二、三等奖和其他奖项的，每有一个得1分；</w:t>
            </w:r>
          </w:p>
          <w:p w14:paraId="59018A75">
            <w:pPr>
              <w:widowControl/>
              <w:spacing w:line="280" w:lineRule="exact"/>
              <w:jc w:val="left"/>
              <w:rPr>
                <w:rFonts w:ascii="宋体" w:hAnsi="宋体" w:cs="宋体"/>
                <w:iCs/>
                <w:kern w:val="0"/>
                <w:szCs w:val="21"/>
              </w:rPr>
            </w:pPr>
            <w:r>
              <w:rPr>
                <w:rFonts w:hint="eastAsia" w:ascii="宋体" w:hAnsi="宋体" w:cs="宋体"/>
                <w:kern w:val="0"/>
                <w:szCs w:val="21"/>
                <w:highlight w:val="none"/>
              </w:rPr>
              <w:t>评审说明：根据投标人获得的奖项情况进行评审统计，得分可以累计，本项最高得4分。</w:t>
            </w:r>
          </w:p>
        </w:tc>
      </w:tr>
      <w:tr w14:paraId="7AA9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4" w:hRule="atLeast"/>
          <w:jc w:val="center"/>
        </w:trPr>
        <w:tc>
          <w:tcPr>
            <w:tcW w:w="1131" w:type="dxa"/>
            <w:vMerge w:val="restart"/>
            <w:noWrap/>
            <w:vAlign w:val="center"/>
          </w:tcPr>
          <w:p w14:paraId="7190103F">
            <w:pPr>
              <w:spacing w:line="300" w:lineRule="exact"/>
              <w:jc w:val="center"/>
              <w:rPr>
                <w:rFonts w:ascii="宋体" w:hAnsi="宋体" w:cs="宋体"/>
                <w:kern w:val="0"/>
                <w:szCs w:val="21"/>
              </w:rPr>
            </w:pPr>
            <w:r>
              <w:rPr>
                <w:rFonts w:hint="eastAsia" w:ascii="宋体" w:hAnsi="宋体" w:cs="宋体"/>
                <w:kern w:val="0"/>
                <w:szCs w:val="21"/>
              </w:rPr>
              <w:t>四、服务水平</w:t>
            </w:r>
          </w:p>
          <w:p w14:paraId="35B0CF0D">
            <w:pPr>
              <w:spacing w:line="300" w:lineRule="exact"/>
              <w:jc w:val="center"/>
              <w:rPr>
                <w:rFonts w:ascii="宋体" w:hAnsi="宋体" w:cs="宋体"/>
                <w:b/>
                <w:kern w:val="0"/>
                <w:szCs w:val="21"/>
              </w:rPr>
            </w:pPr>
            <w:r>
              <w:rPr>
                <w:rFonts w:hint="eastAsia" w:ascii="宋体" w:hAnsi="宋体" w:cs="宋体"/>
                <w:kern w:val="0"/>
                <w:szCs w:val="21"/>
              </w:rPr>
              <w:t>（</w:t>
            </w:r>
            <w:r>
              <w:rPr>
                <w:rFonts w:hint="eastAsia" w:ascii="宋体" w:hAnsi="宋体" w:cs="宋体"/>
                <w:kern w:val="0"/>
                <w:szCs w:val="21"/>
                <w:lang w:val="en-US" w:eastAsia="zh-CN"/>
              </w:rPr>
              <w:t>7</w:t>
            </w:r>
            <w:r>
              <w:rPr>
                <w:rFonts w:hint="eastAsia" w:ascii="宋体" w:hAnsi="宋体" w:cs="宋体"/>
                <w:kern w:val="0"/>
                <w:szCs w:val="21"/>
              </w:rPr>
              <w:t>分）</w:t>
            </w:r>
          </w:p>
        </w:tc>
        <w:tc>
          <w:tcPr>
            <w:tcW w:w="1559" w:type="dxa"/>
            <w:noWrap/>
            <w:vAlign w:val="center"/>
          </w:tcPr>
          <w:p w14:paraId="1A8C8931">
            <w:pPr>
              <w:spacing w:line="320" w:lineRule="exact"/>
              <w:jc w:val="center"/>
              <w:rPr>
                <w:rFonts w:ascii="宋体" w:hAnsi="宋体" w:cs="宋体"/>
                <w:iCs/>
                <w:kern w:val="0"/>
                <w:szCs w:val="21"/>
              </w:rPr>
            </w:pPr>
            <w:r>
              <w:rPr>
                <w:rFonts w:hint="eastAsia" w:ascii="宋体" w:hAnsi="宋体" w:cs="宋体"/>
                <w:iCs/>
                <w:kern w:val="0"/>
                <w:szCs w:val="21"/>
              </w:rPr>
              <w:t>1.服务方案</w:t>
            </w:r>
          </w:p>
          <w:p w14:paraId="4BB30AA9">
            <w:pPr>
              <w:spacing w:line="320" w:lineRule="exact"/>
              <w:ind w:firstLine="420" w:firstLineChars="200"/>
              <w:rPr>
                <w:rFonts w:ascii="宋体" w:hAnsi="宋体" w:cs="宋体"/>
                <w:iCs/>
                <w:kern w:val="0"/>
                <w:szCs w:val="21"/>
              </w:rPr>
            </w:pPr>
            <w:r>
              <w:rPr>
                <w:rFonts w:hint="eastAsia" w:ascii="宋体" w:hAnsi="宋体" w:cs="宋体"/>
                <w:iCs/>
                <w:kern w:val="0"/>
                <w:szCs w:val="21"/>
              </w:rPr>
              <w:t>（5分）</w:t>
            </w:r>
          </w:p>
        </w:tc>
        <w:tc>
          <w:tcPr>
            <w:tcW w:w="6249" w:type="dxa"/>
            <w:noWrap/>
            <w:vAlign w:val="center"/>
          </w:tcPr>
          <w:p w14:paraId="4C39C5BB">
            <w:pPr>
              <w:spacing w:line="300" w:lineRule="exact"/>
              <w:jc w:val="left"/>
              <w:rPr>
                <w:rFonts w:ascii="宋体" w:hAnsi="宋体" w:cs="宋体"/>
                <w:iCs/>
                <w:kern w:val="0"/>
                <w:szCs w:val="21"/>
              </w:rPr>
            </w:pPr>
            <w:r>
              <w:rPr>
                <w:rFonts w:hint="eastAsia" w:ascii="宋体" w:hAnsi="宋体" w:cs="宋体"/>
                <w:iCs/>
                <w:kern w:val="0"/>
                <w:szCs w:val="21"/>
              </w:rPr>
              <w:t>①评委根据投标文件中对项目理念、理解和掌握情况，结合项目的特点，能否提出对本项目有关管理服务的定位、目标及标准等服务方案以及信息系统建设、服务水平、服务特色、服务优势、服务团队及人员配备情况进行评审：评审为好的，得[2-3]分；评审为较好的，得分[1-2)分；评审为一般或差或缺项的，得分[0-1)分。</w:t>
            </w:r>
          </w:p>
          <w:p w14:paraId="562B2FFD">
            <w:pPr>
              <w:spacing w:line="300" w:lineRule="exact"/>
              <w:jc w:val="left"/>
              <w:rPr>
                <w:rFonts w:ascii="宋体" w:hAnsi="宋体" w:cs="宋体"/>
                <w:iCs/>
                <w:kern w:val="0"/>
                <w:szCs w:val="21"/>
              </w:rPr>
            </w:pPr>
            <w:r>
              <w:rPr>
                <w:rFonts w:hint="eastAsia" w:ascii="宋体" w:hAnsi="宋体" w:cs="宋体"/>
                <w:iCs/>
                <w:kern w:val="0"/>
                <w:szCs w:val="21"/>
              </w:rPr>
              <w:t>②评委根据投标文件中对支付结算、对账、分账核算以及相关服务等进行评审：评审为好的，得[1.5-2]分；评审为较好的，得分[1-1.5)分；评审为一般或差或缺项的，得分[0-1)分。</w:t>
            </w:r>
          </w:p>
        </w:tc>
      </w:tr>
      <w:tr w14:paraId="3DD7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1131" w:type="dxa"/>
            <w:vMerge w:val="continue"/>
            <w:noWrap/>
            <w:vAlign w:val="center"/>
          </w:tcPr>
          <w:p w14:paraId="24058F15">
            <w:pPr>
              <w:spacing w:line="300" w:lineRule="exact"/>
              <w:jc w:val="center"/>
              <w:rPr>
                <w:rFonts w:ascii="宋体" w:hAnsi="宋体" w:cs="宋体"/>
                <w:kern w:val="0"/>
                <w:szCs w:val="21"/>
              </w:rPr>
            </w:pPr>
          </w:p>
        </w:tc>
        <w:tc>
          <w:tcPr>
            <w:tcW w:w="1559" w:type="dxa"/>
            <w:noWrap/>
            <w:vAlign w:val="center"/>
          </w:tcPr>
          <w:p w14:paraId="7301DFFF">
            <w:pPr>
              <w:spacing w:line="320" w:lineRule="exact"/>
              <w:jc w:val="center"/>
              <w:rPr>
                <w:rFonts w:hint="default" w:ascii="宋体" w:eastAsia="宋体"/>
                <w:szCs w:val="21"/>
                <w:lang w:val="en-US" w:eastAsia="zh-CN"/>
              </w:rPr>
            </w:pPr>
            <w:r>
              <w:rPr>
                <w:rFonts w:ascii="宋体" w:hAnsi="宋体"/>
                <w:sz w:val="22"/>
                <w:szCs w:val="22"/>
              </w:rPr>
              <w:t>2.</w:t>
            </w:r>
            <w:r>
              <w:rPr>
                <w:rFonts w:hint="eastAsia" w:ascii="宋体" w:hAnsi="宋体"/>
                <w:szCs w:val="21"/>
              </w:rPr>
              <w:t>费用减免</w:t>
            </w:r>
            <w:r>
              <w:rPr>
                <w:rFonts w:hint="eastAsia" w:ascii="宋体" w:hAnsi="宋体"/>
                <w:szCs w:val="21"/>
                <w:lang w:val="en-US" w:eastAsia="zh-CN"/>
              </w:rPr>
              <w:t>及服务承诺</w:t>
            </w:r>
          </w:p>
          <w:p w14:paraId="392FB62C">
            <w:pPr>
              <w:spacing w:line="320" w:lineRule="exact"/>
              <w:jc w:val="center"/>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分）</w:t>
            </w:r>
          </w:p>
        </w:tc>
        <w:tc>
          <w:tcPr>
            <w:tcW w:w="6249" w:type="dxa"/>
            <w:noWrap/>
            <w:vAlign w:val="center"/>
          </w:tcPr>
          <w:p w14:paraId="380266A4">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cs="宋体"/>
                <w:highlight w:val="none"/>
              </w:rPr>
            </w:pPr>
            <w:r>
              <w:rPr>
                <w:rFonts w:hint="eastAsia" w:ascii="宋体" w:hAnsi="宋体" w:cs="宋体"/>
                <w:highlight w:val="none"/>
              </w:rPr>
              <w:t>①</w:t>
            </w:r>
            <w:r>
              <w:rPr>
                <w:rFonts w:hint="eastAsia" w:ascii="宋体" w:hAnsi="宋体" w:cs="宋体"/>
                <w:kern w:val="0"/>
                <w:szCs w:val="21"/>
                <w:highlight w:val="none"/>
              </w:rPr>
              <w:t>投标人承诺账户开户费、账户管理费、支票工本费、支票手续费、网银年费、送回单（对账单）和票据打印、对公跨行柜台转帐汇款手续费等</w:t>
            </w:r>
            <w:r>
              <w:rPr>
                <w:rFonts w:hint="eastAsia" w:ascii="宋体" w:hAnsi="宋体" w:cs="宋体"/>
                <w:kern w:val="0"/>
                <w:szCs w:val="21"/>
                <w:highlight w:val="none"/>
                <w:lang w:val="en-US" w:eastAsia="zh-CN"/>
              </w:rPr>
              <w:t>所有服务费全免的得1分</w:t>
            </w:r>
            <w:r>
              <w:rPr>
                <w:rFonts w:hint="eastAsia" w:ascii="宋体" w:hAnsi="宋体" w:cs="宋体"/>
                <w:highlight w:val="none"/>
              </w:rPr>
              <w:t>，未承诺的不得分。</w:t>
            </w:r>
          </w:p>
          <w:p w14:paraId="57EA7659">
            <w:pPr>
              <w:spacing w:line="300" w:lineRule="exact"/>
              <w:jc w:val="left"/>
              <w:rPr>
                <w:rFonts w:ascii="宋体" w:hAnsi="宋体"/>
                <w:szCs w:val="21"/>
              </w:rPr>
            </w:pPr>
            <w:r>
              <w:rPr>
                <w:rFonts w:hint="eastAsia" w:ascii="宋体" w:hAnsi="宋体" w:cs="宋体"/>
                <w:highlight w:val="none"/>
              </w:rPr>
              <w:t>②投标人承诺根据招标人要求在工作日（法定节假日除外）免费提供上门服务得1分，未承诺的不得分。</w:t>
            </w:r>
          </w:p>
        </w:tc>
      </w:tr>
    </w:tbl>
    <w:p w14:paraId="72276EDF">
      <w:pPr>
        <w:pStyle w:val="13"/>
        <w:jc w:val="both"/>
        <w:rPr>
          <w:rFonts w:ascii="宋体" w:hAnsi="宋体"/>
          <w:sz w:val="21"/>
          <w:szCs w:val="21"/>
        </w:rPr>
      </w:pPr>
      <w:r>
        <w:rPr>
          <w:rFonts w:hint="eastAsia" w:ascii="宋体" w:hAnsi="宋体"/>
          <w:sz w:val="21"/>
          <w:szCs w:val="21"/>
        </w:rPr>
        <w:t>▲注：1.以上投标人所提供的资料必须真实有效，如发现提供的数据作假，取消中标资格。</w:t>
      </w:r>
    </w:p>
    <w:p w14:paraId="7658130A">
      <w:pPr>
        <w:pStyle w:val="6"/>
        <w:snapToGrid w:val="0"/>
        <w:spacing w:beforeLines="0" w:afterLines="0" w:line="360" w:lineRule="auto"/>
        <w:rPr>
          <w:rFonts w:hAnsi="宋体" w:cs="宋体"/>
          <w:b/>
          <w:kern w:val="0"/>
          <w:sz w:val="21"/>
          <w:szCs w:val="21"/>
        </w:rPr>
      </w:pPr>
      <w:r>
        <w:rPr>
          <w:rFonts w:hint="eastAsia" w:hAnsi="宋体"/>
          <w:b/>
          <w:sz w:val="21"/>
          <w:szCs w:val="21"/>
        </w:rPr>
        <w:t xml:space="preserve">      2.上述评标细则表中“%”表述的数据均填写小数，如</w:t>
      </w:r>
      <w:r>
        <w:rPr>
          <w:rFonts w:hint="eastAsia" w:hAnsi="宋体"/>
          <w:b/>
          <w:sz w:val="21"/>
          <w:szCs w:val="21"/>
          <w:lang w:val="en-US" w:eastAsia="zh-CN"/>
        </w:rPr>
        <w:t>12</w:t>
      </w:r>
      <w:r>
        <w:rPr>
          <w:rFonts w:hint="eastAsia" w:hAnsi="宋体"/>
          <w:b/>
          <w:sz w:val="21"/>
          <w:szCs w:val="21"/>
        </w:rPr>
        <w:t>.</w:t>
      </w:r>
      <w:r>
        <w:rPr>
          <w:rFonts w:hint="eastAsia" w:hAnsi="宋体"/>
          <w:b/>
          <w:sz w:val="21"/>
          <w:szCs w:val="21"/>
          <w:lang w:val="en-US" w:eastAsia="zh-CN"/>
        </w:rPr>
        <w:t>12</w:t>
      </w:r>
      <w:r>
        <w:rPr>
          <w:rFonts w:hint="eastAsia" w:hAnsi="宋体"/>
          <w:b/>
          <w:sz w:val="21"/>
          <w:szCs w:val="21"/>
        </w:rPr>
        <w:t>%，填写为0.</w:t>
      </w:r>
      <w:r>
        <w:rPr>
          <w:rFonts w:hint="eastAsia" w:hAnsi="宋体"/>
          <w:b/>
          <w:sz w:val="21"/>
          <w:szCs w:val="21"/>
          <w:lang w:val="en-US" w:eastAsia="zh-CN"/>
        </w:rPr>
        <w:t>1212</w:t>
      </w:r>
      <w:r>
        <w:rPr>
          <w:rFonts w:hint="eastAsia" w:hAnsi="宋体"/>
          <w:b/>
          <w:sz w:val="21"/>
          <w:szCs w:val="21"/>
        </w:rPr>
        <w:t>。</w:t>
      </w:r>
    </w:p>
    <w:p w14:paraId="39912D70">
      <w:pPr>
        <w:pStyle w:val="6"/>
        <w:snapToGrid w:val="0"/>
        <w:spacing w:beforeLines="0" w:afterLines="0" w:line="360" w:lineRule="auto"/>
        <w:rPr>
          <w:rFonts w:hAnsi="宋体" w:cs="宋体"/>
          <w:b/>
          <w:kern w:val="0"/>
          <w:sz w:val="21"/>
          <w:szCs w:val="21"/>
        </w:rPr>
      </w:pPr>
      <w:r>
        <w:rPr>
          <w:rFonts w:hint="eastAsia" w:hAnsi="宋体" w:cs="宋体"/>
          <w:b/>
          <w:kern w:val="0"/>
          <w:sz w:val="21"/>
          <w:szCs w:val="21"/>
        </w:rPr>
        <w:t>评审说明：</w:t>
      </w:r>
    </w:p>
    <w:p w14:paraId="060D5064">
      <w:pPr>
        <w:spacing w:line="360" w:lineRule="auto"/>
        <w:ind w:firstLine="411" w:firstLineChars="196"/>
        <w:rPr>
          <w:rFonts w:ascii="宋体" w:hAnsi="宋体" w:cs="宋体"/>
          <w:bCs/>
          <w:kern w:val="0"/>
          <w:szCs w:val="21"/>
        </w:rPr>
      </w:pPr>
      <w:r>
        <w:rPr>
          <w:rFonts w:hint="eastAsia" w:ascii="宋体" w:hAnsi="宋体" w:cs="宋体"/>
          <w:bCs/>
          <w:kern w:val="0"/>
          <w:szCs w:val="21"/>
        </w:rPr>
        <w:t>1.评审内容中要求提供相关证明材料供评标委员会评审的，投标人应将证明材料做入投标文件中。</w:t>
      </w:r>
    </w:p>
    <w:p w14:paraId="53B938FC">
      <w:pPr>
        <w:spacing w:line="360" w:lineRule="auto"/>
        <w:ind w:firstLine="411" w:firstLineChars="196"/>
        <w:rPr>
          <w:rFonts w:ascii="宋体" w:hAnsi="宋体" w:cs="宋体"/>
          <w:bCs/>
          <w:kern w:val="0"/>
          <w:szCs w:val="21"/>
        </w:rPr>
      </w:pPr>
      <w:r>
        <w:rPr>
          <w:rFonts w:hint="eastAsia" w:ascii="宋体" w:hAnsi="宋体" w:cs="宋体"/>
          <w:bCs/>
          <w:kern w:val="0"/>
          <w:szCs w:val="21"/>
        </w:rPr>
        <w:t>2.投标人提供的证明材料应真实有效，如发现有弄虚作假行为的，招标人将取消其投标资格，已中标的取消其中标资格，并将弄虚作假行为通报给中国银行业监督管理委员会宁波监管局经济技术开发区办事处、中国人民银行北仑支行和北仑区财政局等部门，对招标人造成损失的应相应赔偿，招标人保留依法追究的权利。</w:t>
      </w:r>
    </w:p>
    <w:p w14:paraId="6FA2CE81">
      <w:pPr>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3.评标委员会根据“</w:t>
      </w:r>
      <w:r>
        <w:rPr>
          <w:rFonts w:hint="eastAsia" w:ascii="宋体" w:hAnsi="宋体"/>
          <w:szCs w:val="21"/>
        </w:rPr>
        <w:t>评标细则（兼评委打分表）</w:t>
      </w:r>
      <w:r>
        <w:rPr>
          <w:rFonts w:hint="eastAsia" w:ascii="宋体" w:hAnsi="宋体" w:cs="宋体"/>
          <w:bCs/>
          <w:kern w:val="0"/>
          <w:szCs w:val="21"/>
        </w:rPr>
        <w:t>”对各投标人的“利率水平”、“经济贡献度”、“经营状况”、“服务水平”逐栏打分，每栏分值不得超出本栏规定的分值范围。</w:t>
      </w:r>
    </w:p>
    <w:p w14:paraId="0F79F667">
      <w:pPr>
        <w:spacing w:line="360" w:lineRule="auto"/>
        <w:ind w:firstLine="420" w:firstLineChars="200"/>
        <w:rPr>
          <w:rFonts w:ascii="宋体" w:hAnsi="宋体" w:cs="宋体"/>
          <w:bCs/>
          <w:kern w:val="0"/>
          <w:szCs w:val="21"/>
        </w:rPr>
      </w:pPr>
      <w:r>
        <w:rPr>
          <w:rFonts w:hint="eastAsia" w:ascii="宋体" w:hAnsi="宋体" w:cs="宋体"/>
          <w:bCs/>
          <w:kern w:val="0"/>
          <w:szCs w:val="21"/>
        </w:rPr>
        <w:t>4.评标委员会各成员对各投标人的“服务水平”项除“2.费用减免</w:t>
      </w:r>
      <w:r>
        <w:rPr>
          <w:rFonts w:ascii="宋体" w:hAnsi="宋体" w:cs="宋体"/>
          <w:bCs/>
          <w:kern w:val="0"/>
          <w:szCs w:val="21"/>
        </w:rPr>
        <w:t>”</w:t>
      </w:r>
      <w:r>
        <w:rPr>
          <w:rFonts w:hint="eastAsia" w:ascii="宋体" w:hAnsi="宋体" w:cs="宋体"/>
          <w:bCs/>
          <w:kern w:val="0"/>
          <w:szCs w:val="21"/>
        </w:rPr>
        <w:t>，“1.服务方案”项由评委独立打分，无固定进制，最多保留两位小数，第三位四舍五入。</w:t>
      </w:r>
    </w:p>
    <w:p w14:paraId="51F0E249">
      <w:pPr>
        <w:spacing w:line="360" w:lineRule="auto"/>
        <w:ind w:firstLine="420" w:firstLineChars="200"/>
        <w:rPr>
          <w:rFonts w:ascii="宋体" w:hAnsi="宋体" w:cs="宋体"/>
          <w:bCs/>
          <w:kern w:val="0"/>
          <w:szCs w:val="21"/>
        </w:rPr>
      </w:pPr>
      <w:r>
        <w:rPr>
          <w:rFonts w:hint="eastAsia" w:ascii="宋体" w:hAnsi="宋体" w:cs="宋体"/>
          <w:bCs/>
          <w:kern w:val="0"/>
          <w:szCs w:val="21"/>
        </w:rPr>
        <w:t>5.取所有评委打分的算术平均值即为投标人的最终评审得分。（计算结果保留两位小数，第三位四舍五入）</w:t>
      </w:r>
    </w:p>
    <w:p w14:paraId="0B1E5EF7">
      <w:pPr>
        <w:spacing w:line="360" w:lineRule="auto"/>
        <w:ind w:firstLine="420" w:firstLineChars="200"/>
        <w:rPr>
          <w:rFonts w:ascii="宋体" w:hAnsi="宋体" w:cs="宋体"/>
          <w:bCs/>
          <w:kern w:val="0"/>
          <w:szCs w:val="21"/>
          <w:shd w:val="clear" w:color="auto" w:fill="FFFFFF"/>
        </w:rPr>
      </w:pPr>
      <w:r>
        <w:rPr>
          <w:rFonts w:hint="eastAsia" w:ascii="宋体" w:hAnsi="宋体" w:cs="宋体"/>
          <w:bCs/>
          <w:kern w:val="0"/>
          <w:szCs w:val="21"/>
        </w:rPr>
        <w:t>6.评标过程中如有其他特殊情况，由评标委员会集体讨论决定。</w:t>
      </w:r>
    </w:p>
    <w:p w14:paraId="5266DECC">
      <w:pPr>
        <w:spacing w:line="360" w:lineRule="auto"/>
        <w:jc w:val="center"/>
        <w:outlineLvl w:val="0"/>
        <w:rPr>
          <w:rFonts w:ascii="宋体" w:hAnsi="宋体"/>
          <w:b/>
          <w:sz w:val="30"/>
          <w:szCs w:val="30"/>
        </w:rPr>
      </w:pPr>
      <w:bookmarkStart w:id="15" w:name="_Toc29024"/>
    </w:p>
    <w:p w14:paraId="7B3FF08C">
      <w:pPr>
        <w:pStyle w:val="14"/>
        <w:rPr>
          <w:rFonts w:ascii="宋体" w:hAnsi="宋体"/>
          <w:b/>
          <w:sz w:val="30"/>
          <w:szCs w:val="30"/>
        </w:rPr>
      </w:pPr>
    </w:p>
    <w:p w14:paraId="0867F08F">
      <w:pPr>
        <w:spacing w:line="360" w:lineRule="auto"/>
        <w:jc w:val="center"/>
        <w:outlineLvl w:val="0"/>
        <w:rPr>
          <w:rFonts w:ascii="宋体" w:hAnsi="宋体"/>
          <w:b/>
          <w:bCs/>
          <w:sz w:val="32"/>
          <w:szCs w:val="32"/>
        </w:rPr>
      </w:pPr>
      <w:r>
        <w:rPr>
          <w:rFonts w:hint="eastAsia" w:ascii="宋体" w:hAnsi="宋体"/>
          <w:b/>
          <w:sz w:val="30"/>
          <w:szCs w:val="30"/>
        </w:rPr>
        <w:t>第五章  合同主要条款（参考格式）</w:t>
      </w:r>
      <w:bookmarkEnd w:id="15"/>
    </w:p>
    <w:p w14:paraId="63D2E5FE">
      <w:pPr>
        <w:pStyle w:val="6"/>
        <w:snapToGrid w:val="0"/>
        <w:spacing w:beforeLines="0" w:afterLines="0"/>
        <w:rPr>
          <w:rFonts w:hAnsi="宋体"/>
          <w:sz w:val="21"/>
          <w:szCs w:val="21"/>
        </w:rPr>
      </w:pPr>
    </w:p>
    <w:p w14:paraId="1727F25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招标人（甲方）：</w:t>
      </w:r>
    </w:p>
    <w:p w14:paraId="69ECE15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中标人（乙方）：</w:t>
      </w:r>
    </w:p>
    <w:p w14:paraId="3F640C5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甲方按规定程序对</w:t>
      </w:r>
      <w:r>
        <w:rPr>
          <w:rFonts w:hint="eastAsia" w:ascii="宋体" w:hAnsi="宋体" w:eastAsia="宋体" w:cs="Times New Roman"/>
          <w:sz w:val="21"/>
          <w:szCs w:val="21"/>
          <w:highlight w:val="none"/>
          <w:u w:val="single"/>
          <w:lang w:val="en-US" w:eastAsia="zh-CN"/>
        </w:rPr>
        <w:t xml:space="preserve">                    </w:t>
      </w:r>
      <w:r>
        <w:rPr>
          <w:rFonts w:hint="eastAsia" w:ascii="宋体" w:hAnsi="宋体" w:cs="宋体"/>
          <w:kern w:val="0"/>
          <w:sz w:val="21"/>
          <w:szCs w:val="21"/>
          <w:highlight w:val="none"/>
        </w:rPr>
        <w:t>进行了公开招标，确定乙方为</w:t>
      </w:r>
      <w:r>
        <w:rPr>
          <w:rFonts w:hint="eastAsia" w:ascii="宋体" w:hAnsi="宋体" w:cs="Times New Roman"/>
          <w:kern w:val="0"/>
          <w:szCs w:val="21"/>
          <w:highlight w:val="none"/>
          <w:u w:val="single"/>
          <w:lang w:val="en-US" w:eastAsia="zh-CN"/>
        </w:rPr>
        <w:t xml:space="preserve">                    </w:t>
      </w:r>
      <w:r>
        <w:rPr>
          <w:rFonts w:hint="eastAsia" w:ascii="宋体" w:hAnsi="宋体" w:cs="宋体"/>
          <w:kern w:val="0"/>
          <w:sz w:val="21"/>
          <w:szCs w:val="21"/>
          <w:highlight w:val="none"/>
        </w:rPr>
        <w:t>的中标银行，甲乙双方按照招标文件要求，签订如下协议：</w:t>
      </w:r>
    </w:p>
    <w:p w14:paraId="4793101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kern w:val="0"/>
          <w:sz w:val="21"/>
          <w:szCs w:val="21"/>
          <w:highlight w:val="none"/>
        </w:rPr>
      </w:pPr>
      <w:r>
        <w:rPr>
          <w:rFonts w:hint="eastAsia" w:ascii="宋体" w:hAnsi="宋体" w:cs="宋体"/>
          <w:b/>
          <w:kern w:val="0"/>
          <w:sz w:val="21"/>
          <w:szCs w:val="21"/>
          <w:highlight w:val="none"/>
        </w:rPr>
        <w:t>第一条  服务内容</w:t>
      </w:r>
    </w:p>
    <w:p w14:paraId="5E3E70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（一）乙方应根据甲方</w:t>
      </w:r>
      <w:r>
        <w:rPr>
          <w:rFonts w:hint="eastAsia" w:ascii="宋体" w:hAnsi="宋体" w:cs="Times New Roman"/>
          <w:b/>
          <w:bCs/>
          <w:kern w:val="0"/>
          <w:szCs w:val="21"/>
          <w:highlight w:val="none"/>
          <w:u w:val="single"/>
          <w:lang w:val="en-US" w:eastAsia="zh-CN"/>
        </w:rPr>
        <w:t xml:space="preserve">                           </w:t>
      </w:r>
      <w:r>
        <w:rPr>
          <w:rFonts w:hint="eastAsia" w:ascii="宋体" w:hAnsi="宋体" w:cs="宋体"/>
          <w:kern w:val="0"/>
          <w:sz w:val="21"/>
          <w:szCs w:val="21"/>
          <w:highlight w:val="none"/>
        </w:rPr>
        <w:t>招标文件的要求和投标文件的承诺，及时、无偿向甲方提供</w:t>
      </w:r>
      <w:r>
        <w:rPr>
          <w:rFonts w:hint="eastAsia" w:ascii="宋体" w:hAnsi="宋体" w:eastAsia="宋体" w:cs="Times New Roman"/>
          <w:sz w:val="21"/>
          <w:szCs w:val="21"/>
          <w:highlight w:val="none"/>
          <w:lang w:eastAsia="zh-CN"/>
        </w:rPr>
        <w:t>基本存款账户开立</w:t>
      </w:r>
      <w:r>
        <w:rPr>
          <w:rFonts w:hint="eastAsia" w:ascii="宋体" w:hAnsi="宋体" w:cs="宋体"/>
          <w:kern w:val="0"/>
          <w:sz w:val="21"/>
          <w:szCs w:val="21"/>
          <w:highlight w:val="none"/>
        </w:rPr>
        <w:t>服务等。</w:t>
      </w:r>
    </w:p>
    <w:p w14:paraId="0E8D29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（二）本项目协议期限内，乙方不得向甲方收取任何费用。</w:t>
      </w:r>
    </w:p>
    <w:p w14:paraId="580034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（三）协议期限内，乙方给予甲方的相关款项的利率为：</w:t>
      </w:r>
    </w:p>
    <w:p w14:paraId="602B3D09">
      <w:pPr>
        <w:keepNext w:val="0"/>
        <w:keepLines w:val="0"/>
        <w:pageBreakBefore w:val="0"/>
        <w:widowControl w:val="0"/>
        <w:kinsoku/>
        <w:wordWrap/>
        <w:overflowPunct/>
        <w:topLinePunct w:val="0"/>
        <w:autoSpaceDE/>
        <w:autoSpaceDN/>
        <w:bidi w:val="0"/>
        <w:adjustRightInd/>
        <w:snapToGrid/>
        <w:spacing w:line="360" w:lineRule="auto"/>
        <w:ind w:left="480" w:firstLine="632" w:firstLineChars="300"/>
        <w:textAlignment w:val="auto"/>
        <w:rPr>
          <w:rFonts w:ascii="宋体" w:hAnsi="宋体" w:cs="宋体"/>
          <w:b/>
          <w:bCs/>
          <w:kern w:val="0"/>
          <w:sz w:val="21"/>
          <w:szCs w:val="21"/>
          <w:highlight w:val="none"/>
        </w:rPr>
      </w:pPr>
      <w:r>
        <w:rPr>
          <w:rFonts w:hint="eastAsia" w:ascii="宋体" w:hAnsi="宋体"/>
          <w:b/>
          <w:bCs/>
          <w:sz w:val="21"/>
          <w:szCs w:val="21"/>
          <w:highlight w:val="none"/>
        </w:rPr>
        <w:t>①</w:t>
      </w:r>
      <w:r>
        <w:rPr>
          <w:rFonts w:hint="eastAsia" w:ascii="宋体" w:hAnsi="宋体" w:cs="宋体"/>
          <w:b/>
          <w:bCs/>
          <w:kern w:val="0"/>
          <w:sz w:val="21"/>
          <w:szCs w:val="21"/>
          <w:highlight w:val="none"/>
          <w:lang w:eastAsia="zh-CN"/>
        </w:rPr>
        <w:t>活期</w:t>
      </w:r>
      <w:r>
        <w:rPr>
          <w:rFonts w:hint="eastAsia" w:ascii="宋体" w:hAnsi="宋体" w:cs="宋体"/>
          <w:b/>
          <w:bCs/>
          <w:kern w:val="0"/>
          <w:sz w:val="21"/>
          <w:szCs w:val="21"/>
          <w:highlight w:val="none"/>
        </w:rPr>
        <w:t>存款利率：</w:t>
      </w:r>
      <w:r>
        <w:rPr>
          <w:rFonts w:hint="eastAsia" w:ascii="宋体" w:hAnsi="宋体" w:cs="宋体"/>
          <w:b/>
          <w:bCs/>
          <w:kern w:val="0"/>
          <w:sz w:val="21"/>
          <w:szCs w:val="21"/>
          <w:highlight w:val="none"/>
          <w:u w:val="single"/>
        </w:rPr>
        <w:t xml:space="preserve"> </w:t>
      </w:r>
      <w:r>
        <w:rPr>
          <w:rFonts w:hint="eastAsia" w:ascii="宋体" w:hAnsi="宋体" w:cs="宋体"/>
          <w:b/>
          <w:bCs/>
          <w:kern w:val="0"/>
          <w:sz w:val="21"/>
          <w:szCs w:val="21"/>
          <w:highlight w:val="none"/>
          <w:u w:val="single"/>
          <w:lang w:val="en-US" w:eastAsia="zh-CN"/>
        </w:rPr>
        <w:t xml:space="preserve">    </w:t>
      </w:r>
      <w:r>
        <w:rPr>
          <w:rFonts w:hint="eastAsia" w:ascii="宋体" w:hAnsi="宋体" w:cs="宋体"/>
          <w:b/>
          <w:bCs/>
          <w:kern w:val="0"/>
          <w:sz w:val="21"/>
          <w:szCs w:val="21"/>
          <w:highlight w:val="none"/>
          <w:u w:val="single"/>
        </w:rPr>
        <w:t xml:space="preserve"> </w:t>
      </w:r>
      <w:r>
        <w:rPr>
          <w:rFonts w:hint="eastAsia" w:ascii="宋体" w:hAnsi="宋体" w:cs="宋体"/>
          <w:b/>
          <w:bCs/>
          <w:kern w:val="0"/>
          <w:sz w:val="21"/>
          <w:szCs w:val="21"/>
          <w:highlight w:val="none"/>
        </w:rPr>
        <w:t>；</w:t>
      </w:r>
    </w:p>
    <w:p w14:paraId="3705860C">
      <w:pPr>
        <w:keepNext w:val="0"/>
        <w:keepLines w:val="0"/>
        <w:pageBreakBefore w:val="0"/>
        <w:widowControl w:val="0"/>
        <w:kinsoku/>
        <w:wordWrap/>
        <w:overflowPunct/>
        <w:topLinePunct w:val="0"/>
        <w:autoSpaceDE/>
        <w:autoSpaceDN/>
        <w:bidi w:val="0"/>
        <w:adjustRightInd/>
        <w:snapToGrid/>
        <w:spacing w:line="360" w:lineRule="auto"/>
        <w:ind w:left="480" w:firstLine="632" w:firstLineChars="300"/>
        <w:textAlignment w:val="auto"/>
        <w:rPr>
          <w:rFonts w:ascii="宋体" w:hAnsi="宋体" w:cs="宋体"/>
          <w:b/>
          <w:bCs/>
          <w:kern w:val="0"/>
          <w:sz w:val="21"/>
          <w:szCs w:val="21"/>
          <w:highlight w:val="none"/>
        </w:rPr>
      </w:pPr>
      <w:r>
        <w:rPr>
          <w:rFonts w:hint="eastAsia" w:ascii="宋体" w:hAnsi="宋体"/>
          <w:b/>
          <w:bCs/>
          <w:sz w:val="21"/>
          <w:szCs w:val="21"/>
          <w:highlight w:val="none"/>
        </w:rPr>
        <w:t>②</w:t>
      </w:r>
      <w:r>
        <w:rPr>
          <w:rFonts w:hint="eastAsia" w:ascii="宋体" w:hAnsi="宋体" w:cs="宋体"/>
          <w:b/>
          <w:bCs/>
          <w:kern w:val="0"/>
          <w:sz w:val="21"/>
          <w:szCs w:val="21"/>
          <w:highlight w:val="none"/>
          <w:lang w:eastAsia="zh-CN"/>
        </w:rPr>
        <w:t>协定</w:t>
      </w:r>
      <w:r>
        <w:rPr>
          <w:rFonts w:hint="eastAsia" w:ascii="宋体" w:hAnsi="宋体" w:cs="宋体"/>
          <w:b/>
          <w:bCs/>
          <w:kern w:val="0"/>
          <w:sz w:val="21"/>
          <w:szCs w:val="21"/>
          <w:highlight w:val="none"/>
        </w:rPr>
        <w:t>存款利率：</w:t>
      </w:r>
      <w:r>
        <w:rPr>
          <w:rFonts w:hint="eastAsia" w:ascii="宋体" w:hAnsi="宋体" w:cs="宋体"/>
          <w:b/>
          <w:bCs/>
          <w:kern w:val="0"/>
          <w:sz w:val="21"/>
          <w:szCs w:val="21"/>
          <w:highlight w:val="none"/>
          <w:u w:val="single"/>
        </w:rPr>
        <w:t xml:space="preserve"> </w:t>
      </w:r>
      <w:r>
        <w:rPr>
          <w:rFonts w:hint="eastAsia" w:ascii="宋体" w:hAnsi="宋体" w:cs="宋体"/>
          <w:b/>
          <w:bCs/>
          <w:kern w:val="0"/>
          <w:sz w:val="21"/>
          <w:szCs w:val="21"/>
          <w:highlight w:val="none"/>
          <w:u w:val="single"/>
          <w:lang w:val="en-US" w:eastAsia="zh-CN"/>
        </w:rPr>
        <w:t xml:space="preserve">     </w:t>
      </w:r>
      <w:r>
        <w:rPr>
          <w:rFonts w:hint="eastAsia" w:ascii="宋体" w:hAnsi="宋体" w:cs="宋体"/>
          <w:b/>
          <w:bCs/>
          <w:kern w:val="0"/>
          <w:sz w:val="21"/>
          <w:szCs w:val="21"/>
          <w:highlight w:val="none"/>
          <w:u w:val="single"/>
        </w:rPr>
        <w:t xml:space="preserve"> </w:t>
      </w:r>
      <w:r>
        <w:rPr>
          <w:rFonts w:hint="eastAsia" w:ascii="宋体" w:hAnsi="宋体" w:cs="宋体"/>
          <w:b/>
          <w:bCs/>
          <w:kern w:val="0"/>
          <w:sz w:val="21"/>
          <w:szCs w:val="21"/>
          <w:highlight w:val="none"/>
        </w:rPr>
        <w:t>；</w:t>
      </w:r>
    </w:p>
    <w:p w14:paraId="64E3EA79">
      <w:pPr>
        <w:keepNext w:val="0"/>
        <w:keepLines w:val="0"/>
        <w:pageBreakBefore w:val="0"/>
        <w:widowControl w:val="0"/>
        <w:kinsoku/>
        <w:wordWrap/>
        <w:overflowPunct/>
        <w:topLinePunct w:val="0"/>
        <w:autoSpaceDE/>
        <w:autoSpaceDN/>
        <w:bidi w:val="0"/>
        <w:adjustRightInd/>
        <w:snapToGrid/>
        <w:spacing w:line="360" w:lineRule="auto"/>
        <w:ind w:left="480" w:firstLine="632" w:firstLineChars="300"/>
        <w:textAlignment w:val="auto"/>
        <w:rPr>
          <w:rFonts w:ascii="宋体" w:hAnsi="宋体" w:cs="宋体"/>
          <w:b/>
          <w:bCs/>
          <w:kern w:val="0"/>
          <w:sz w:val="21"/>
          <w:szCs w:val="21"/>
          <w:highlight w:val="none"/>
        </w:rPr>
      </w:pPr>
      <w:r>
        <w:rPr>
          <w:rFonts w:hint="eastAsia" w:ascii="仿宋" w:hAnsi="仿宋" w:eastAsia="仿宋" w:cs="仿宋"/>
          <w:b/>
          <w:bCs/>
          <w:kern w:val="0"/>
          <w:sz w:val="21"/>
          <w:szCs w:val="21"/>
          <w:highlight w:val="none"/>
          <w:lang w:eastAsia="zh-CN"/>
        </w:rPr>
        <w:t>③</w:t>
      </w:r>
      <w:r>
        <w:rPr>
          <w:rFonts w:hint="eastAsia" w:ascii="宋体" w:hAnsi="宋体" w:cs="宋体"/>
          <w:b/>
          <w:bCs/>
          <w:kern w:val="0"/>
          <w:sz w:val="21"/>
          <w:szCs w:val="21"/>
          <w:highlight w:val="none"/>
          <w:lang w:eastAsia="zh-CN"/>
        </w:rPr>
        <w:t>通知</w:t>
      </w:r>
      <w:r>
        <w:rPr>
          <w:rFonts w:hint="eastAsia" w:ascii="宋体" w:hAnsi="宋体" w:cs="宋体"/>
          <w:b/>
          <w:bCs/>
          <w:kern w:val="0"/>
          <w:sz w:val="21"/>
          <w:szCs w:val="21"/>
          <w:highlight w:val="none"/>
        </w:rPr>
        <w:t>存款利率：</w:t>
      </w:r>
      <w:r>
        <w:rPr>
          <w:rFonts w:hint="eastAsia" w:ascii="宋体" w:hAnsi="宋体" w:cs="宋体"/>
          <w:b/>
          <w:bCs/>
          <w:kern w:val="0"/>
          <w:sz w:val="21"/>
          <w:szCs w:val="21"/>
          <w:highlight w:val="none"/>
          <w:u w:val="single"/>
        </w:rPr>
        <w:t xml:space="preserve"> </w:t>
      </w:r>
      <w:r>
        <w:rPr>
          <w:rFonts w:hint="eastAsia" w:ascii="宋体" w:hAnsi="宋体" w:cs="宋体"/>
          <w:b/>
          <w:bCs/>
          <w:kern w:val="0"/>
          <w:sz w:val="21"/>
          <w:szCs w:val="21"/>
          <w:highlight w:val="none"/>
          <w:u w:val="single"/>
          <w:lang w:val="en-US" w:eastAsia="zh-CN"/>
        </w:rPr>
        <w:t xml:space="preserve">       </w:t>
      </w:r>
      <w:r>
        <w:rPr>
          <w:rFonts w:hint="eastAsia" w:ascii="宋体" w:hAnsi="宋体" w:cs="宋体"/>
          <w:b/>
          <w:bCs/>
          <w:kern w:val="0"/>
          <w:sz w:val="21"/>
          <w:szCs w:val="21"/>
          <w:highlight w:val="none"/>
          <w:u w:val="single"/>
        </w:rPr>
        <w:t xml:space="preserve"> </w:t>
      </w:r>
      <w:r>
        <w:rPr>
          <w:rFonts w:hint="eastAsia" w:ascii="宋体" w:hAnsi="宋体" w:cs="宋体"/>
          <w:b/>
          <w:bCs/>
          <w:kern w:val="0"/>
          <w:sz w:val="21"/>
          <w:szCs w:val="21"/>
          <w:highlight w:val="none"/>
        </w:rPr>
        <w:t>；</w:t>
      </w:r>
    </w:p>
    <w:p w14:paraId="6B6BBD6C">
      <w:pPr>
        <w:keepNext w:val="0"/>
        <w:keepLines w:val="0"/>
        <w:pageBreakBefore w:val="0"/>
        <w:widowControl w:val="0"/>
        <w:kinsoku/>
        <w:wordWrap/>
        <w:overflowPunct/>
        <w:topLinePunct w:val="0"/>
        <w:autoSpaceDE/>
        <w:autoSpaceDN/>
        <w:bidi w:val="0"/>
        <w:adjustRightInd/>
        <w:snapToGrid/>
        <w:spacing w:line="360" w:lineRule="auto"/>
        <w:ind w:left="480" w:firstLine="632" w:firstLineChars="300"/>
        <w:textAlignment w:val="auto"/>
        <w:rPr>
          <w:rFonts w:ascii="宋体" w:hAnsi="宋体" w:cs="宋体"/>
          <w:b/>
          <w:bCs/>
          <w:kern w:val="0"/>
          <w:sz w:val="21"/>
          <w:szCs w:val="21"/>
          <w:highlight w:val="none"/>
        </w:rPr>
      </w:pPr>
      <w:r>
        <w:rPr>
          <w:rFonts w:hint="eastAsia" w:ascii="仿宋" w:hAnsi="仿宋" w:eastAsia="仿宋" w:cs="仿宋"/>
          <w:b/>
          <w:bCs/>
          <w:kern w:val="0"/>
          <w:sz w:val="21"/>
          <w:szCs w:val="21"/>
          <w:highlight w:val="none"/>
          <w:lang w:eastAsia="zh-CN"/>
        </w:rPr>
        <w:t>④</w:t>
      </w:r>
      <w:r>
        <w:rPr>
          <w:rFonts w:hint="eastAsia" w:ascii="宋体" w:hAnsi="宋体" w:cs="宋体"/>
          <w:b/>
          <w:bCs/>
          <w:kern w:val="0"/>
          <w:sz w:val="21"/>
          <w:szCs w:val="21"/>
          <w:highlight w:val="none"/>
          <w:lang w:eastAsia="zh-CN"/>
        </w:rPr>
        <w:t>定期</w:t>
      </w:r>
      <w:r>
        <w:rPr>
          <w:rFonts w:hint="eastAsia" w:ascii="宋体" w:hAnsi="宋体" w:cs="宋体"/>
          <w:b/>
          <w:bCs/>
          <w:kern w:val="0"/>
          <w:sz w:val="21"/>
          <w:szCs w:val="21"/>
          <w:highlight w:val="none"/>
        </w:rPr>
        <w:t>存款利率</w:t>
      </w:r>
      <w:r>
        <w:rPr>
          <w:rFonts w:hint="eastAsia" w:ascii="宋体" w:hAnsi="宋体" w:cs="宋体"/>
          <w:b/>
          <w:bCs/>
          <w:kern w:val="0"/>
          <w:sz w:val="21"/>
          <w:szCs w:val="21"/>
          <w:highlight w:val="none"/>
          <w:lang w:eastAsia="zh-CN"/>
        </w:rPr>
        <w:t>（一年期及以内）</w:t>
      </w:r>
      <w:r>
        <w:rPr>
          <w:rFonts w:hint="eastAsia" w:ascii="宋体" w:hAnsi="宋体" w:cs="宋体"/>
          <w:b/>
          <w:bCs/>
          <w:kern w:val="0"/>
          <w:sz w:val="21"/>
          <w:szCs w:val="21"/>
          <w:highlight w:val="none"/>
        </w:rPr>
        <w:t>：</w:t>
      </w:r>
      <w:r>
        <w:rPr>
          <w:rFonts w:hint="eastAsia" w:ascii="宋体" w:hAnsi="宋体" w:cs="宋体"/>
          <w:b/>
          <w:bCs/>
          <w:kern w:val="0"/>
          <w:sz w:val="21"/>
          <w:szCs w:val="21"/>
          <w:highlight w:val="none"/>
          <w:u w:val="single"/>
          <w:lang w:val="en-US" w:eastAsia="zh-CN"/>
        </w:rPr>
        <w:t xml:space="preserve">           </w:t>
      </w:r>
      <w:r>
        <w:rPr>
          <w:rFonts w:hint="eastAsia" w:ascii="宋体" w:hAnsi="宋体" w:cs="宋体"/>
          <w:b/>
          <w:bCs/>
          <w:kern w:val="0"/>
          <w:sz w:val="21"/>
          <w:szCs w:val="21"/>
          <w:highlight w:val="none"/>
          <w:u w:val="single"/>
        </w:rPr>
        <w:t xml:space="preserve"> </w:t>
      </w:r>
      <w:r>
        <w:rPr>
          <w:rFonts w:hint="eastAsia" w:ascii="宋体" w:hAnsi="宋体" w:cs="宋体"/>
          <w:b/>
          <w:bCs/>
          <w:kern w:val="0"/>
          <w:sz w:val="21"/>
          <w:szCs w:val="21"/>
          <w:highlight w:val="none"/>
        </w:rPr>
        <w:t>；</w:t>
      </w:r>
    </w:p>
    <w:p w14:paraId="56818C8C">
      <w:pPr>
        <w:pStyle w:val="4"/>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left"/>
        <w:textAlignment w:val="auto"/>
        <w:rPr>
          <w:rFonts w:hint="eastAsia" w:ascii="宋体" w:hAnsi="宋体" w:cs="宋体"/>
          <w:b/>
          <w:bCs/>
          <w:sz w:val="24"/>
          <w:szCs w:val="24"/>
          <w:highlight w:val="none"/>
        </w:rPr>
      </w:pPr>
      <w:r>
        <w:rPr>
          <w:rFonts w:hint="eastAsia" w:ascii="宋体" w:hAnsi="宋体" w:cs="宋体"/>
          <w:b/>
          <w:bCs/>
          <w:sz w:val="24"/>
          <w:szCs w:val="24"/>
          <w:highlight w:val="none"/>
          <w:lang w:eastAsia="zh-CN"/>
        </w:rPr>
        <w:t>注：</w:t>
      </w:r>
      <w:r>
        <w:rPr>
          <w:rFonts w:hint="eastAsia" w:ascii="宋体" w:hAnsi="宋体" w:cs="宋体"/>
          <w:b/>
          <w:bCs/>
          <w:sz w:val="24"/>
          <w:szCs w:val="24"/>
          <w:highlight w:val="none"/>
        </w:rPr>
        <w:t>利率上浮应符合国家有关利率管理规定，同时符合当地市场利率定价自律机制要求。协议期内，如市场利率定价机制利率上浮上限有调整，存量定期存款自然到期，新增定期存款利率应按调整后的符合自律要求利率上限确定；活期、协定存款利率，自调整日起按最新利率要求执行；存量单笔通知存款,应通知存款人及时支取，新存入通知存款，自调整日起按最新利率要求执行。</w:t>
      </w:r>
    </w:p>
    <w:p w14:paraId="04EF0E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kern w:val="0"/>
          <w:sz w:val="21"/>
          <w:szCs w:val="21"/>
          <w:highlight w:val="none"/>
          <w:u w:val="single"/>
        </w:rPr>
      </w:pPr>
      <w:r>
        <w:rPr>
          <w:rFonts w:hint="eastAsia" w:ascii="宋体" w:hAnsi="宋体" w:cs="宋体"/>
          <w:kern w:val="0"/>
          <w:sz w:val="21"/>
          <w:szCs w:val="21"/>
          <w:highlight w:val="none"/>
        </w:rPr>
        <w:t>（四）其他：</w:t>
      </w:r>
    </w:p>
    <w:p w14:paraId="1CFD945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kern w:val="0"/>
          <w:sz w:val="21"/>
          <w:szCs w:val="21"/>
          <w:highlight w:val="none"/>
        </w:rPr>
      </w:pPr>
      <w:r>
        <w:rPr>
          <w:rFonts w:hint="eastAsia" w:ascii="宋体" w:hAnsi="宋体" w:cs="宋体"/>
          <w:b/>
          <w:kern w:val="0"/>
          <w:sz w:val="21"/>
          <w:szCs w:val="21"/>
          <w:highlight w:val="none"/>
        </w:rPr>
        <w:t>第二条  协议期限</w:t>
      </w:r>
    </w:p>
    <w:p w14:paraId="1FCC2B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Times New Roman"/>
          <w:b/>
          <w:bCs/>
          <w:sz w:val="21"/>
          <w:szCs w:val="21"/>
          <w:highlight w:val="none"/>
        </w:rPr>
      </w:pPr>
      <w:r>
        <w:rPr>
          <w:rFonts w:hint="eastAsia" w:ascii="宋体" w:hAnsi="宋体" w:cs="Times New Roman"/>
          <w:b/>
          <w:bCs/>
          <w:sz w:val="21"/>
          <w:szCs w:val="21"/>
          <w:highlight w:val="none"/>
        </w:rPr>
        <w:t>（一）</w:t>
      </w:r>
      <w:r>
        <w:rPr>
          <w:rFonts w:hint="eastAsia" w:ascii="宋体" w:hAnsi="宋体" w:cs="Times New Roman"/>
          <w:b/>
          <w:bCs/>
          <w:sz w:val="21"/>
          <w:szCs w:val="21"/>
          <w:highlight w:val="none"/>
          <w:lang w:eastAsia="zh-CN"/>
        </w:rPr>
        <w:t>本</w:t>
      </w:r>
      <w:r>
        <w:rPr>
          <w:rFonts w:hint="eastAsia" w:ascii="宋体" w:hAnsi="宋体" w:cs="Times New Roman"/>
          <w:b/>
          <w:bCs/>
          <w:sz w:val="21"/>
          <w:szCs w:val="21"/>
          <w:highlight w:val="none"/>
        </w:rPr>
        <w:t>协议期限为协议生效之日起一年</w:t>
      </w:r>
      <w:r>
        <w:rPr>
          <w:rFonts w:hint="eastAsia" w:ascii="宋体" w:hAnsi="宋体" w:cs="Times New Roman"/>
          <w:b/>
          <w:bCs/>
          <w:sz w:val="21"/>
          <w:szCs w:val="21"/>
          <w:highlight w:val="none"/>
          <w:lang w:eastAsia="zh-CN"/>
        </w:rPr>
        <w:t>（</w:t>
      </w:r>
      <w:r>
        <w:rPr>
          <w:rFonts w:hint="eastAsia" w:ascii="宋体" w:hAnsi="宋体" w:cs="Times New Roman"/>
          <w:b/>
          <w:bCs/>
          <w:sz w:val="21"/>
          <w:szCs w:val="21"/>
          <w:highlight w:val="none"/>
        </w:rPr>
        <w:t>本项目的服务周期六年，</w:t>
      </w:r>
      <w:r>
        <w:rPr>
          <w:rFonts w:hint="eastAsia" w:ascii="宋体" w:hAnsi="宋体" w:cs="Times New Roman"/>
          <w:b/>
          <w:bCs/>
          <w:sz w:val="21"/>
          <w:szCs w:val="21"/>
          <w:highlight w:val="none"/>
          <w:lang w:eastAsia="zh-CN"/>
        </w:rPr>
        <w:t>服务</w:t>
      </w:r>
      <w:r>
        <w:rPr>
          <w:rFonts w:hint="eastAsia" w:ascii="宋体" w:hAnsi="宋体" w:cs="Times New Roman"/>
          <w:b/>
          <w:bCs/>
          <w:sz w:val="21"/>
          <w:szCs w:val="21"/>
          <w:highlight w:val="none"/>
        </w:rPr>
        <w:t>协议为一年一签</w:t>
      </w:r>
      <w:r>
        <w:rPr>
          <w:rFonts w:hint="eastAsia" w:ascii="宋体" w:hAnsi="宋体" w:cs="Times New Roman"/>
          <w:b/>
          <w:bCs/>
          <w:sz w:val="21"/>
          <w:szCs w:val="21"/>
          <w:highlight w:val="none"/>
          <w:lang w:eastAsia="zh-CN"/>
        </w:rPr>
        <w:t>，</w:t>
      </w:r>
      <w:r>
        <w:rPr>
          <w:rFonts w:hint="eastAsia" w:ascii="宋体" w:hAnsi="宋体" w:cs="Times New Roman"/>
          <w:b/>
          <w:bCs/>
          <w:sz w:val="21"/>
          <w:szCs w:val="21"/>
          <w:highlight w:val="none"/>
        </w:rPr>
        <w:t>中标银行的服务</w:t>
      </w:r>
      <w:r>
        <w:rPr>
          <w:rFonts w:hint="eastAsia" w:ascii="宋体" w:hAnsi="宋体" w:cs="Times New Roman"/>
          <w:b/>
          <w:bCs/>
          <w:sz w:val="21"/>
          <w:szCs w:val="21"/>
          <w:highlight w:val="none"/>
          <w:lang w:eastAsia="zh-CN"/>
        </w:rPr>
        <w:t>未</w:t>
      </w:r>
      <w:r>
        <w:rPr>
          <w:rFonts w:hint="eastAsia" w:ascii="宋体" w:hAnsi="宋体" w:cs="Times New Roman"/>
          <w:b/>
          <w:bCs/>
          <w:sz w:val="21"/>
          <w:szCs w:val="21"/>
          <w:highlight w:val="none"/>
        </w:rPr>
        <w:t>达到招标要求和投标响应的，招标人有权终止协议</w:t>
      </w:r>
      <w:r>
        <w:rPr>
          <w:rFonts w:hint="eastAsia" w:ascii="宋体" w:hAnsi="宋体" w:cs="Times New Roman"/>
          <w:b/>
          <w:bCs/>
          <w:sz w:val="21"/>
          <w:szCs w:val="21"/>
          <w:highlight w:val="none"/>
          <w:lang w:eastAsia="zh-CN"/>
        </w:rPr>
        <w:t>）</w:t>
      </w:r>
      <w:r>
        <w:rPr>
          <w:rFonts w:hint="eastAsia" w:ascii="宋体" w:hAnsi="宋体" w:cs="Times New Roman"/>
          <w:b/>
          <w:bCs/>
          <w:sz w:val="21"/>
          <w:szCs w:val="21"/>
          <w:highlight w:val="none"/>
        </w:rPr>
        <w:t>。</w:t>
      </w:r>
    </w:p>
    <w:p w14:paraId="33A7D35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kern w:val="0"/>
          <w:sz w:val="21"/>
          <w:szCs w:val="21"/>
          <w:highlight w:val="none"/>
        </w:rPr>
      </w:pPr>
      <w:r>
        <w:rPr>
          <w:rFonts w:hint="eastAsia" w:ascii="宋体" w:hAnsi="宋体" w:cs="宋体"/>
          <w:b/>
          <w:kern w:val="0"/>
          <w:sz w:val="21"/>
          <w:szCs w:val="21"/>
          <w:highlight w:val="none"/>
        </w:rPr>
        <w:t>第三条  乙方确保账户资金安全的职责</w:t>
      </w:r>
    </w:p>
    <w:p w14:paraId="66C707D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（一）未经甲方指示或授权，乙方不得对甲方存入的全部款项和利息进行任何操作。</w:t>
      </w:r>
    </w:p>
    <w:p w14:paraId="745344B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（二）乙方出现重大违法违规情况、财务状况恶化、挤兑、存款被盗或其他可能妨害</w:t>
      </w:r>
      <w:r>
        <w:rPr>
          <w:rFonts w:hint="eastAsia" w:ascii="宋体" w:hAnsi="宋体" w:cs="宋体"/>
          <w:kern w:val="0"/>
          <w:sz w:val="21"/>
          <w:szCs w:val="21"/>
          <w:highlight w:val="none"/>
          <w:lang w:eastAsia="zh-CN"/>
        </w:rPr>
        <w:t>资金</w:t>
      </w:r>
      <w:r>
        <w:rPr>
          <w:rFonts w:hint="eastAsia" w:ascii="宋体" w:hAnsi="宋体" w:cs="宋体"/>
          <w:kern w:val="0"/>
          <w:sz w:val="21"/>
          <w:szCs w:val="21"/>
          <w:highlight w:val="none"/>
        </w:rPr>
        <w:t>安全的情形及监管部门认为存在较大运营风险的，应立即通知甲方。</w:t>
      </w:r>
    </w:p>
    <w:p w14:paraId="6A2A59F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kern w:val="0"/>
          <w:sz w:val="21"/>
          <w:szCs w:val="21"/>
          <w:highlight w:val="none"/>
        </w:rPr>
      </w:pPr>
      <w:r>
        <w:rPr>
          <w:rFonts w:hint="eastAsia" w:ascii="宋体" w:hAnsi="宋体" w:cs="宋体"/>
          <w:b/>
          <w:kern w:val="0"/>
          <w:sz w:val="21"/>
          <w:szCs w:val="21"/>
          <w:highlight w:val="none"/>
        </w:rPr>
        <w:t>第四条  协议的变更及终止</w:t>
      </w:r>
    </w:p>
    <w:p w14:paraId="5D4B910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（一）协议的变更</w:t>
      </w:r>
    </w:p>
    <w:p w14:paraId="76422C3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1</w:t>
      </w:r>
      <w:r>
        <w:rPr>
          <w:rFonts w:hint="eastAsia" w:ascii="宋体" w:hAnsi="宋体" w:cs="宋体"/>
          <w:kern w:val="0"/>
          <w:sz w:val="21"/>
          <w:szCs w:val="21"/>
          <w:highlight w:val="none"/>
          <w:lang w:val="en-US" w:eastAsia="zh-CN"/>
        </w:rPr>
        <w:t>.</w:t>
      </w:r>
      <w:r>
        <w:rPr>
          <w:rFonts w:hint="eastAsia" w:ascii="宋体" w:hAnsi="宋体" w:cs="宋体"/>
          <w:kern w:val="0"/>
          <w:sz w:val="21"/>
          <w:szCs w:val="21"/>
          <w:highlight w:val="none"/>
        </w:rPr>
        <w:t>经双方协商一致，不违反法律法规规定的，双方可变更本协议内容。</w:t>
      </w:r>
    </w:p>
    <w:p w14:paraId="7DD7522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2</w:t>
      </w:r>
      <w:r>
        <w:rPr>
          <w:rFonts w:hint="eastAsia" w:ascii="宋体" w:hAnsi="宋体" w:cs="宋体"/>
          <w:kern w:val="0"/>
          <w:sz w:val="21"/>
          <w:szCs w:val="21"/>
          <w:highlight w:val="none"/>
          <w:lang w:val="en-US" w:eastAsia="zh-CN"/>
        </w:rPr>
        <w:t>.</w:t>
      </w:r>
      <w:r>
        <w:rPr>
          <w:rFonts w:hint="eastAsia" w:ascii="宋体" w:hAnsi="宋体" w:cs="宋体"/>
          <w:kern w:val="0"/>
          <w:sz w:val="21"/>
          <w:szCs w:val="21"/>
          <w:highlight w:val="none"/>
        </w:rPr>
        <w:t>因法律法规规定或相关政策调整，本协议内容需做调整的，相应内容应作出变更，未变更的条款继续有效。</w:t>
      </w:r>
    </w:p>
    <w:p w14:paraId="1E6C5DC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3</w:t>
      </w:r>
      <w:r>
        <w:rPr>
          <w:rFonts w:hint="eastAsia" w:ascii="宋体" w:hAnsi="宋体" w:cs="宋体"/>
          <w:kern w:val="0"/>
          <w:sz w:val="21"/>
          <w:szCs w:val="21"/>
          <w:highlight w:val="none"/>
          <w:lang w:val="en-US" w:eastAsia="zh-CN"/>
        </w:rPr>
        <w:t>.</w:t>
      </w:r>
      <w:r>
        <w:rPr>
          <w:rFonts w:hint="eastAsia" w:ascii="宋体" w:hAnsi="宋体" w:cs="宋体"/>
          <w:kern w:val="0"/>
          <w:sz w:val="21"/>
          <w:szCs w:val="21"/>
          <w:highlight w:val="none"/>
        </w:rPr>
        <w:t>协议变更的，服务事项标准不得低于双方在招投标过程中确定的中标事项或不得低于法律法规规定或相关政策调整的标准。</w:t>
      </w:r>
    </w:p>
    <w:p w14:paraId="7838D47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（二）出现以下情形之一的，双方终止协议：</w:t>
      </w:r>
    </w:p>
    <w:p w14:paraId="45CE158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1</w:t>
      </w:r>
      <w:r>
        <w:rPr>
          <w:rFonts w:hint="eastAsia" w:ascii="宋体" w:hAnsi="宋体" w:cs="宋体"/>
          <w:kern w:val="0"/>
          <w:sz w:val="21"/>
          <w:szCs w:val="21"/>
          <w:highlight w:val="none"/>
          <w:lang w:val="en-US" w:eastAsia="zh-CN"/>
        </w:rPr>
        <w:t>.</w:t>
      </w:r>
      <w:r>
        <w:rPr>
          <w:rFonts w:hint="eastAsia" w:ascii="宋体" w:hAnsi="宋体" w:cs="宋体"/>
          <w:kern w:val="0"/>
          <w:sz w:val="21"/>
          <w:szCs w:val="21"/>
          <w:highlight w:val="none"/>
        </w:rPr>
        <w:t>执行期间当一方没有按照招标文件的要求和投标文件的承诺履行责任和义务的，经另一方要求拒不改正的，另一方有权终止协议。</w:t>
      </w:r>
    </w:p>
    <w:p w14:paraId="73F06D9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kern w:val="0"/>
          <w:sz w:val="21"/>
          <w:szCs w:val="21"/>
          <w:highlight w:val="none"/>
        </w:rPr>
      </w:pPr>
      <w:r>
        <w:rPr>
          <w:rFonts w:ascii="宋体" w:hAnsi="宋体" w:cs="宋体"/>
          <w:kern w:val="0"/>
          <w:sz w:val="21"/>
          <w:szCs w:val="21"/>
          <w:highlight w:val="none"/>
        </w:rPr>
        <w:t>2</w:t>
      </w:r>
      <w:r>
        <w:rPr>
          <w:rFonts w:hint="eastAsia" w:ascii="宋体" w:hAnsi="宋体" w:cs="宋体"/>
          <w:kern w:val="0"/>
          <w:sz w:val="21"/>
          <w:szCs w:val="21"/>
          <w:highlight w:val="none"/>
          <w:lang w:val="en-US" w:eastAsia="zh-CN"/>
        </w:rPr>
        <w:t>.</w:t>
      </w:r>
      <w:r>
        <w:rPr>
          <w:rFonts w:hint="eastAsia" w:ascii="宋体" w:hAnsi="宋体" w:cs="宋体"/>
          <w:kern w:val="0"/>
          <w:sz w:val="21"/>
          <w:szCs w:val="21"/>
          <w:highlight w:val="none"/>
        </w:rPr>
        <w:t>因乙方过错导致资金错划、漏划、误划等资金安全事故，或故意不执行、迟延执行甲方委托事项，给甲方造成损失的，</w:t>
      </w:r>
      <w:r>
        <w:rPr>
          <w:rFonts w:ascii="宋体" w:hAnsi="宋体" w:cs="宋体"/>
          <w:kern w:val="0"/>
          <w:sz w:val="21"/>
          <w:szCs w:val="21"/>
          <w:highlight w:val="none"/>
        </w:rPr>
        <w:t>甲方</w:t>
      </w:r>
      <w:r>
        <w:rPr>
          <w:rFonts w:hint="eastAsia" w:ascii="宋体" w:hAnsi="宋体" w:cs="宋体"/>
          <w:kern w:val="0"/>
          <w:sz w:val="21"/>
          <w:szCs w:val="21"/>
          <w:highlight w:val="none"/>
        </w:rPr>
        <w:t>有权要求赔偿并终止协议。</w:t>
      </w:r>
    </w:p>
    <w:p w14:paraId="190AA13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kern w:val="0"/>
          <w:sz w:val="21"/>
          <w:szCs w:val="21"/>
          <w:highlight w:val="none"/>
        </w:rPr>
      </w:pPr>
      <w:r>
        <w:rPr>
          <w:rFonts w:ascii="宋体" w:hAnsi="宋体" w:cs="宋体"/>
          <w:kern w:val="0"/>
          <w:sz w:val="21"/>
          <w:szCs w:val="21"/>
          <w:highlight w:val="none"/>
        </w:rPr>
        <w:t>3</w:t>
      </w:r>
      <w:r>
        <w:rPr>
          <w:rFonts w:hint="eastAsia" w:ascii="宋体" w:hAnsi="宋体" w:cs="宋体"/>
          <w:kern w:val="0"/>
          <w:sz w:val="21"/>
          <w:szCs w:val="21"/>
          <w:highlight w:val="none"/>
          <w:lang w:val="en-US" w:eastAsia="zh-CN"/>
        </w:rPr>
        <w:t>.</w:t>
      </w:r>
      <w:r>
        <w:rPr>
          <w:rFonts w:hint="eastAsia" w:ascii="宋体" w:hAnsi="宋体" w:cs="宋体"/>
          <w:kern w:val="0"/>
          <w:sz w:val="21"/>
          <w:szCs w:val="21"/>
          <w:highlight w:val="none"/>
        </w:rPr>
        <w:t>乙方出现重大违法违规情况或财务状况恶化的，或违反本协议第三条约定的，甲方有权终止协议。</w:t>
      </w:r>
    </w:p>
    <w:p w14:paraId="7AB7C84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kern w:val="0"/>
          <w:sz w:val="21"/>
          <w:szCs w:val="21"/>
          <w:highlight w:val="none"/>
        </w:rPr>
      </w:pPr>
      <w:r>
        <w:rPr>
          <w:rFonts w:ascii="宋体" w:hAnsi="宋体" w:cs="宋体"/>
          <w:kern w:val="0"/>
          <w:sz w:val="21"/>
          <w:szCs w:val="21"/>
          <w:highlight w:val="none"/>
        </w:rPr>
        <w:t>4</w:t>
      </w:r>
      <w:r>
        <w:rPr>
          <w:rFonts w:hint="eastAsia" w:ascii="宋体" w:hAnsi="宋体" w:cs="宋体"/>
          <w:kern w:val="0"/>
          <w:sz w:val="21"/>
          <w:szCs w:val="21"/>
          <w:highlight w:val="none"/>
          <w:lang w:val="en-US" w:eastAsia="zh-CN"/>
        </w:rPr>
        <w:t>.</w:t>
      </w:r>
      <w:r>
        <w:rPr>
          <w:rFonts w:hint="eastAsia" w:ascii="宋体" w:hAnsi="宋体" w:cs="宋体"/>
          <w:kern w:val="0"/>
          <w:sz w:val="21"/>
          <w:szCs w:val="21"/>
          <w:highlight w:val="none"/>
        </w:rPr>
        <w:t>出现银行挤兑、存款被盗或其他可能妨害</w:t>
      </w:r>
      <w:r>
        <w:rPr>
          <w:rFonts w:hint="eastAsia" w:ascii="宋体" w:hAnsi="宋体" w:cs="宋体"/>
          <w:kern w:val="0"/>
          <w:sz w:val="21"/>
          <w:szCs w:val="21"/>
          <w:highlight w:val="none"/>
          <w:lang w:eastAsia="zh-CN"/>
        </w:rPr>
        <w:t>资金</w:t>
      </w:r>
      <w:r>
        <w:rPr>
          <w:rFonts w:hint="eastAsia" w:ascii="宋体" w:hAnsi="宋体" w:cs="宋体"/>
          <w:kern w:val="0"/>
          <w:sz w:val="21"/>
          <w:szCs w:val="21"/>
          <w:highlight w:val="none"/>
        </w:rPr>
        <w:t>安全的情形及监管部门认为存在较大运营风险的，甲方有权终止协议。</w:t>
      </w:r>
    </w:p>
    <w:p w14:paraId="5CC98C3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kern w:val="0"/>
          <w:sz w:val="21"/>
          <w:szCs w:val="21"/>
          <w:highlight w:val="none"/>
        </w:rPr>
      </w:pPr>
      <w:r>
        <w:rPr>
          <w:rFonts w:ascii="宋体" w:hAnsi="宋体" w:cs="宋体"/>
          <w:kern w:val="0"/>
          <w:sz w:val="21"/>
          <w:szCs w:val="21"/>
          <w:highlight w:val="none"/>
        </w:rPr>
        <w:t>5</w:t>
      </w:r>
      <w:r>
        <w:rPr>
          <w:rFonts w:hint="eastAsia" w:ascii="宋体" w:hAnsi="宋体" w:cs="宋体"/>
          <w:kern w:val="0"/>
          <w:sz w:val="21"/>
          <w:szCs w:val="21"/>
          <w:highlight w:val="none"/>
          <w:lang w:val="en-US" w:eastAsia="zh-CN"/>
        </w:rPr>
        <w:t>.</w:t>
      </w:r>
      <w:r>
        <w:rPr>
          <w:rFonts w:hint="eastAsia" w:ascii="宋体" w:hAnsi="宋体" w:cs="宋体"/>
          <w:kern w:val="0"/>
          <w:sz w:val="21"/>
          <w:szCs w:val="21"/>
          <w:highlight w:val="none"/>
        </w:rPr>
        <w:t>本协议终止后，甲乙双方应对委托代理期间发生的应尽未尽委托代理事项负责结清，有关承担保密义务的条款对双方仍然继续有效直至</w:t>
      </w:r>
      <w:r>
        <w:rPr>
          <w:rFonts w:ascii="宋体" w:hAnsi="宋体" w:cs="宋体"/>
          <w:kern w:val="0"/>
          <w:sz w:val="21"/>
          <w:szCs w:val="21"/>
          <w:highlight w:val="none"/>
        </w:rPr>
        <w:t>对方</w:t>
      </w:r>
      <w:r>
        <w:rPr>
          <w:rFonts w:hint="eastAsia" w:ascii="宋体" w:hAnsi="宋体" w:cs="宋体"/>
          <w:kern w:val="0"/>
          <w:sz w:val="21"/>
          <w:szCs w:val="21"/>
          <w:highlight w:val="none"/>
        </w:rPr>
        <w:t>自行</w:t>
      </w:r>
      <w:r>
        <w:rPr>
          <w:rFonts w:ascii="宋体" w:hAnsi="宋体" w:cs="宋体"/>
          <w:kern w:val="0"/>
          <w:sz w:val="21"/>
          <w:szCs w:val="21"/>
          <w:highlight w:val="none"/>
        </w:rPr>
        <w:t>公开</w:t>
      </w:r>
      <w:r>
        <w:rPr>
          <w:rFonts w:hint="eastAsia" w:ascii="宋体" w:hAnsi="宋体" w:cs="宋体"/>
          <w:kern w:val="0"/>
          <w:sz w:val="21"/>
          <w:szCs w:val="21"/>
          <w:highlight w:val="none"/>
        </w:rPr>
        <w:t>。</w:t>
      </w:r>
    </w:p>
    <w:p w14:paraId="0432569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kern w:val="0"/>
          <w:sz w:val="21"/>
          <w:szCs w:val="21"/>
          <w:highlight w:val="none"/>
        </w:rPr>
      </w:pPr>
      <w:r>
        <w:rPr>
          <w:rFonts w:ascii="宋体" w:hAnsi="宋体" w:cs="宋体"/>
          <w:kern w:val="0"/>
          <w:sz w:val="21"/>
          <w:szCs w:val="21"/>
          <w:highlight w:val="none"/>
        </w:rPr>
        <w:t>6</w:t>
      </w:r>
      <w:r>
        <w:rPr>
          <w:rFonts w:hint="eastAsia" w:ascii="宋体" w:hAnsi="宋体" w:cs="宋体"/>
          <w:kern w:val="0"/>
          <w:sz w:val="21"/>
          <w:szCs w:val="21"/>
          <w:highlight w:val="none"/>
          <w:lang w:val="en-US" w:eastAsia="zh-CN"/>
        </w:rPr>
        <w:t>.</w:t>
      </w:r>
      <w:r>
        <w:rPr>
          <w:rFonts w:hint="eastAsia" w:ascii="宋体" w:hAnsi="宋体" w:cs="宋体"/>
          <w:kern w:val="0"/>
          <w:sz w:val="21"/>
          <w:szCs w:val="21"/>
          <w:highlight w:val="none"/>
        </w:rPr>
        <w:t>本协议终止后，乙方应于收到甲方返还通知的24小时内，按甲方要求的方式，返还甲方存入的全部款项及利息，乙方未及时归还的，每逾期一日，应支付甲方全部存入款项及利息万分之五的违约金。</w:t>
      </w:r>
    </w:p>
    <w:p w14:paraId="0246F5D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kern w:val="0"/>
          <w:sz w:val="21"/>
          <w:szCs w:val="21"/>
          <w:highlight w:val="none"/>
        </w:rPr>
      </w:pPr>
      <w:r>
        <w:rPr>
          <w:rFonts w:hint="eastAsia" w:ascii="宋体" w:hAnsi="宋体" w:cs="宋体"/>
          <w:b/>
          <w:kern w:val="0"/>
          <w:sz w:val="21"/>
          <w:szCs w:val="21"/>
          <w:highlight w:val="none"/>
        </w:rPr>
        <w:t>第</w:t>
      </w:r>
      <w:r>
        <w:rPr>
          <w:rFonts w:hint="eastAsia" w:ascii="宋体" w:hAnsi="宋体" w:cs="宋体"/>
          <w:b/>
          <w:kern w:val="0"/>
          <w:sz w:val="21"/>
          <w:szCs w:val="21"/>
          <w:highlight w:val="none"/>
          <w:lang w:eastAsia="zh-CN"/>
        </w:rPr>
        <w:t>五</w:t>
      </w:r>
      <w:r>
        <w:rPr>
          <w:rFonts w:hint="eastAsia" w:ascii="宋体" w:hAnsi="宋体" w:cs="宋体"/>
          <w:b/>
          <w:kern w:val="0"/>
          <w:sz w:val="21"/>
          <w:szCs w:val="21"/>
          <w:highlight w:val="none"/>
        </w:rPr>
        <w:t>条  争议的解决</w:t>
      </w:r>
    </w:p>
    <w:p w14:paraId="3E2DBF6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执行期间甲乙双方如遇纠纷，应本着互相信任与合作的原则，共同协商解决。如协商不成，可向甲方住所地人民法院起诉。</w:t>
      </w:r>
    </w:p>
    <w:p w14:paraId="4556370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kern w:val="0"/>
          <w:sz w:val="21"/>
          <w:szCs w:val="21"/>
          <w:highlight w:val="none"/>
        </w:rPr>
      </w:pPr>
      <w:r>
        <w:rPr>
          <w:rFonts w:hint="eastAsia" w:ascii="宋体" w:hAnsi="宋体" w:cs="宋体"/>
          <w:b/>
          <w:kern w:val="0"/>
          <w:sz w:val="21"/>
          <w:szCs w:val="21"/>
          <w:highlight w:val="none"/>
        </w:rPr>
        <w:t>第</w:t>
      </w:r>
      <w:r>
        <w:rPr>
          <w:rFonts w:hint="eastAsia" w:ascii="宋体" w:hAnsi="宋体" w:cs="宋体"/>
          <w:b/>
          <w:kern w:val="0"/>
          <w:sz w:val="21"/>
          <w:szCs w:val="21"/>
          <w:highlight w:val="none"/>
          <w:lang w:eastAsia="zh-CN"/>
        </w:rPr>
        <w:t>六</w:t>
      </w:r>
      <w:r>
        <w:rPr>
          <w:rFonts w:hint="eastAsia" w:ascii="宋体" w:hAnsi="宋体" w:cs="宋体"/>
          <w:b/>
          <w:kern w:val="0"/>
          <w:sz w:val="21"/>
          <w:szCs w:val="21"/>
          <w:highlight w:val="none"/>
        </w:rPr>
        <w:t>条  协议的生效</w:t>
      </w:r>
    </w:p>
    <w:p w14:paraId="0F3865A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（一）本协议经甲乙双方法定代表人（负责人）或授权代表人签字并加盖公章之日起生效。</w:t>
      </w:r>
    </w:p>
    <w:p w14:paraId="572B70C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（二）相关招标文件、投标文件与本协议具有同等法律效力，如上述文件出现矛盾时优先顺序为招标文件、投标文件、本协议。</w:t>
      </w:r>
    </w:p>
    <w:p w14:paraId="7761636A">
      <w:pPr>
        <w:keepNext w:val="0"/>
        <w:keepLines w:val="0"/>
        <w:pageBreakBefore w:val="0"/>
        <w:widowControl w:val="0"/>
        <w:kinsoku/>
        <w:wordWrap/>
        <w:overflowPunct/>
        <w:topLinePunct w:val="0"/>
        <w:autoSpaceDE/>
        <w:autoSpaceDN/>
        <w:bidi w:val="0"/>
        <w:adjustRightInd w:val="0"/>
        <w:snapToGrid w:val="0"/>
        <w:spacing w:line="360" w:lineRule="auto"/>
        <w:ind w:firstLine="415" w:firstLineChars="198"/>
        <w:textAlignment w:val="auto"/>
        <w:rPr>
          <w:rFonts w:ascii="宋体" w:hAnsi="宋体"/>
          <w:snapToGrid w:val="0"/>
          <w:kern w:val="0"/>
          <w:sz w:val="21"/>
          <w:szCs w:val="21"/>
          <w:highlight w:val="none"/>
        </w:rPr>
      </w:pPr>
      <w:r>
        <w:rPr>
          <w:rFonts w:hint="eastAsia" w:ascii="宋体" w:hAnsi="宋体"/>
          <w:snapToGrid w:val="0"/>
          <w:kern w:val="0"/>
          <w:sz w:val="21"/>
          <w:szCs w:val="21"/>
          <w:highlight w:val="none"/>
        </w:rPr>
        <w:t>（三）本合同签订后，双方依法签订的补充协议也是本合同文件的组成部分。</w:t>
      </w:r>
    </w:p>
    <w:p w14:paraId="0B2ACFB8">
      <w:pPr>
        <w:keepNext w:val="0"/>
        <w:keepLines w:val="0"/>
        <w:pageBreakBefore w:val="0"/>
        <w:widowControl w:val="0"/>
        <w:kinsoku/>
        <w:wordWrap/>
        <w:overflowPunct/>
        <w:topLinePunct w:val="0"/>
        <w:autoSpaceDE/>
        <w:autoSpaceDN/>
        <w:bidi w:val="0"/>
        <w:adjustRightInd w:val="0"/>
        <w:snapToGrid w:val="0"/>
        <w:spacing w:line="360" w:lineRule="auto"/>
        <w:ind w:firstLine="415" w:firstLineChars="198"/>
        <w:textAlignment w:val="auto"/>
        <w:rPr>
          <w:rFonts w:ascii="宋体" w:hAnsi="宋体"/>
          <w:snapToGrid w:val="0"/>
          <w:kern w:val="0"/>
          <w:sz w:val="21"/>
          <w:szCs w:val="21"/>
          <w:highlight w:val="none"/>
        </w:rPr>
      </w:pPr>
      <w:r>
        <w:rPr>
          <w:rFonts w:hint="eastAsia" w:ascii="宋体" w:hAnsi="宋体"/>
          <w:snapToGrid w:val="0"/>
          <w:kern w:val="0"/>
          <w:sz w:val="21"/>
          <w:szCs w:val="21"/>
          <w:highlight w:val="none"/>
        </w:rPr>
        <w:t>（四）双方签订的补充协议与其他文件发生矛盾或歧义时，属于同一类内容的文件，应以最新签署的为准。</w:t>
      </w:r>
    </w:p>
    <w:p w14:paraId="5873A9C7">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kern w:val="0"/>
          <w:sz w:val="21"/>
          <w:szCs w:val="21"/>
          <w:highlight w:val="none"/>
        </w:rPr>
      </w:pPr>
      <w:r>
        <w:rPr>
          <w:rFonts w:hint="eastAsia" w:ascii="宋体" w:hAnsi="宋体" w:cs="宋体"/>
          <w:kern w:val="0"/>
          <w:sz w:val="21"/>
          <w:szCs w:val="21"/>
          <w:highlight w:val="none"/>
        </w:rPr>
        <w:t>（五）本协议一式肆份，其中甲方、乙方各执贰份。</w:t>
      </w:r>
    </w:p>
    <w:p w14:paraId="03BEBB5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kern w:val="0"/>
          <w:sz w:val="21"/>
          <w:szCs w:val="21"/>
          <w:highlight w:val="none"/>
        </w:rPr>
      </w:pPr>
      <w:r>
        <w:rPr>
          <w:rFonts w:hint="eastAsia" w:ascii="宋体" w:hAnsi="宋体" w:cs="宋体"/>
          <w:b/>
          <w:kern w:val="0"/>
          <w:sz w:val="21"/>
          <w:szCs w:val="21"/>
          <w:highlight w:val="none"/>
        </w:rPr>
        <w:t>第</w:t>
      </w:r>
      <w:r>
        <w:rPr>
          <w:rFonts w:hint="eastAsia" w:ascii="宋体" w:hAnsi="宋体" w:cs="宋体"/>
          <w:b/>
          <w:kern w:val="0"/>
          <w:sz w:val="21"/>
          <w:szCs w:val="21"/>
          <w:highlight w:val="none"/>
          <w:lang w:eastAsia="zh-CN"/>
        </w:rPr>
        <w:t>七</w:t>
      </w:r>
      <w:r>
        <w:rPr>
          <w:rFonts w:hint="eastAsia" w:ascii="宋体" w:hAnsi="宋体" w:cs="宋体"/>
          <w:b/>
          <w:kern w:val="0"/>
          <w:sz w:val="21"/>
          <w:szCs w:val="21"/>
          <w:highlight w:val="none"/>
        </w:rPr>
        <w:t>条  其他</w:t>
      </w:r>
    </w:p>
    <w:p w14:paraId="561D586E">
      <w:pPr>
        <w:keepNext w:val="0"/>
        <w:keepLines w:val="0"/>
        <w:pageBreakBefore w:val="0"/>
        <w:widowControl w:val="0"/>
        <w:kinsoku/>
        <w:wordWrap/>
        <w:overflowPunct/>
        <w:topLinePunct w:val="0"/>
        <w:autoSpaceDE/>
        <w:autoSpaceDN/>
        <w:bidi w:val="0"/>
        <w:spacing w:line="360" w:lineRule="auto"/>
        <w:ind w:firstLine="480"/>
        <w:textAlignment w:val="auto"/>
        <w:rPr>
          <w:rFonts w:ascii="宋体" w:hAnsi="宋体" w:cs="宋体"/>
          <w:kern w:val="0"/>
          <w:sz w:val="21"/>
          <w:szCs w:val="21"/>
          <w:highlight w:val="none"/>
        </w:rPr>
      </w:pPr>
      <w:r>
        <w:rPr>
          <w:rFonts w:hint="eastAsia" w:ascii="宋体" w:hAnsi="宋体"/>
          <w:sz w:val="21"/>
          <w:szCs w:val="21"/>
          <w:highlight w:val="none"/>
        </w:rPr>
        <w:t>合同期内，甲方因资金使用需要提前支取的，乙方必须无条件积极配合,并按有关规定给予及时办理。</w:t>
      </w:r>
    </w:p>
    <w:p w14:paraId="5445458E">
      <w:pPr>
        <w:keepNext w:val="0"/>
        <w:keepLines w:val="0"/>
        <w:pageBreakBefore w:val="0"/>
        <w:widowControl w:val="0"/>
        <w:kinsoku/>
        <w:wordWrap/>
        <w:overflowPunct/>
        <w:topLinePunct w:val="0"/>
        <w:autoSpaceDE/>
        <w:autoSpaceDN/>
        <w:bidi w:val="0"/>
        <w:spacing w:line="360" w:lineRule="auto"/>
        <w:ind w:firstLine="480"/>
        <w:textAlignment w:val="auto"/>
        <w:rPr>
          <w:rFonts w:ascii="宋体" w:hAnsi="宋体" w:cs="宋体"/>
          <w:kern w:val="0"/>
          <w:sz w:val="21"/>
          <w:szCs w:val="21"/>
          <w:highlight w:val="none"/>
        </w:rPr>
      </w:pPr>
      <w:r>
        <w:rPr>
          <w:rFonts w:hint="eastAsia" w:ascii="宋体" w:hAnsi="宋体" w:cs="宋体"/>
          <w:kern w:val="0"/>
          <w:sz w:val="21"/>
          <w:szCs w:val="21"/>
          <w:highlight w:val="none"/>
        </w:rPr>
        <w:t>本协议中甲方的一切权利和乙方的一切义务（包括但不限于乙方的服务内容、职责等）均及于甲方</w:t>
      </w:r>
      <w:r>
        <w:rPr>
          <w:rFonts w:hint="eastAsia" w:ascii="宋体" w:hAnsi="宋体"/>
          <w:sz w:val="21"/>
          <w:szCs w:val="21"/>
          <w:highlight w:val="none"/>
        </w:rPr>
        <w:t>及其相关单位。</w:t>
      </w:r>
    </w:p>
    <w:p w14:paraId="68C5CD14">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kern w:val="0"/>
          <w:sz w:val="21"/>
          <w:szCs w:val="21"/>
          <w:highlight w:val="none"/>
        </w:rPr>
      </w:pPr>
    </w:p>
    <w:p w14:paraId="7B56CB21">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kern w:val="0"/>
          <w:sz w:val="21"/>
          <w:szCs w:val="21"/>
          <w:highlight w:val="none"/>
        </w:rPr>
      </w:pPr>
      <w:r>
        <w:rPr>
          <w:rFonts w:hint="eastAsia" w:ascii="宋体" w:hAnsi="宋体" w:cs="宋体"/>
          <w:kern w:val="0"/>
          <w:sz w:val="21"/>
          <w:szCs w:val="21"/>
          <w:highlight w:val="none"/>
        </w:rPr>
        <w:t>甲方（盖章）：</w:t>
      </w:r>
    </w:p>
    <w:p w14:paraId="0AA8902A">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kern w:val="0"/>
          <w:sz w:val="21"/>
          <w:szCs w:val="21"/>
          <w:highlight w:val="none"/>
        </w:rPr>
      </w:pPr>
      <w:r>
        <w:rPr>
          <w:rFonts w:hint="eastAsia" w:ascii="宋体" w:hAnsi="宋体" w:cs="宋体"/>
          <w:kern w:val="0"/>
          <w:sz w:val="21"/>
          <w:szCs w:val="21"/>
          <w:highlight w:val="none"/>
        </w:rPr>
        <w:t>法定代表人（或单位负责人）或授权代表人签字：</w:t>
      </w:r>
    </w:p>
    <w:p w14:paraId="06558F6D">
      <w:pPr>
        <w:keepNext w:val="0"/>
        <w:keepLines w:val="0"/>
        <w:pageBreakBefore w:val="0"/>
        <w:widowControl w:val="0"/>
        <w:kinsoku/>
        <w:wordWrap/>
        <w:overflowPunct/>
        <w:topLinePunct w:val="0"/>
        <w:autoSpaceDE/>
        <w:autoSpaceDN/>
        <w:bidi w:val="0"/>
        <w:spacing w:line="360" w:lineRule="auto"/>
        <w:ind w:left="6378"/>
        <w:textAlignment w:val="auto"/>
        <w:rPr>
          <w:rFonts w:ascii="宋体" w:hAnsi="宋体" w:cs="宋体"/>
          <w:kern w:val="0"/>
          <w:sz w:val="21"/>
          <w:szCs w:val="21"/>
          <w:highlight w:val="none"/>
        </w:rPr>
      </w:pPr>
      <w:r>
        <w:rPr>
          <w:rFonts w:hint="eastAsia" w:ascii="宋体" w:hAnsi="宋体" w:cs="宋体"/>
          <w:kern w:val="0"/>
          <w:sz w:val="21"/>
          <w:szCs w:val="21"/>
          <w:highlight w:val="none"/>
          <w:lang w:eastAsia="zh-CN"/>
        </w:rPr>
        <w:t>2024</w:t>
      </w:r>
      <w:r>
        <w:rPr>
          <w:rFonts w:hint="eastAsia" w:ascii="宋体" w:hAnsi="宋体" w:cs="宋体"/>
          <w:kern w:val="0"/>
          <w:sz w:val="21"/>
          <w:szCs w:val="21"/>
          <w:highlight w:val="none"/>
        </w:rPr>
        <w:t>年   月   日</w:t>
      </w:r>
    </w:p>
    <w:p w14:paraId="7C5771E9">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kern w:val="0"/>
          <w:sz w:val="21"/>
          <w:szCs w:val="21"/>
          <w:highlight w:val="none"/>
        </w:rPr>
      </w:pPr>
      <w:r>
        <w:rPr>
          <w:rFonts w:hint="eastAsia" w:ascii="宋体" w:hAnsi="宋体" w:cs="宋体"/>
          <w:kern w:val="0"/>
          <w:sz w:val="21"/>
          <w:szCs w:val="21"/>
          <w:highlight w:val="none"/>
        </w:rPr>
        <w:t>乙方（盖章）：</w:t>
      </w:r>
    </w:p>
    <w:p w14:paraId="189C5019">
      <w:pPr>
        <w:keepNext w:val="0"/>
        <w:keepLines w:val="0"/>
        <w:pageBreakBefore w:val="0"/>
        <w:widowControl w:val="0"/>
        <w:kinsoku/>
        <w:wordWrap/>
        <w:overflowPunct/>
        <w:topLinePunct w:val="0"/>
        <w:autoSpaceDE/>
        <w:autoSpaceDN/>
        <w:bidi w:val="0"/>
        <w:spacing w:line="360" w:lineRule="auto"/>
        <w:textAlignment w:val="auto"/>
        <w:rPr>
          <w:rFonts w:ascii="宋体" w:hAnsi="宋体" w:cs="宋体"/>
          <w:kern w:val="0"/>
          <w:sz w:val="21"/>
          <w:szCs w:val="21"/>
          <w:highlight w:val="none"/>
        </w:rPr>
      </w:pPr>
      <w:r>
        <w:rPr>
          <w:rFonts w:hint="eastAsia" w:ascii="宋体" w:hAnsi="宋体" w:cs="宋体"/>
          <w:kern w:val="0"/>
          <w:sz w:val="21"/>
          <w:szCs w:val="21"/>
          <w:highlight w:val="none"/>
        </w:rPr>
        <w:t>法定代表人（或单位负责人）或授权代表人签字：</w:t>
      </w:r>
    </w:p>
    <w:p w14:paraId="74BC734B">
      <w:pPr>
        <w:keepNext w:val="0"/>
        <w:keepLines w:val="0"/>
        <w:pageBreakBefore w:val="0"/>
        <w:widowControl w:val="0"/>
        <w:kinsoku/>
        <w:wordWrap/>
        <w:overflowPunct/>
        <w:topLinePunct w:val="0"/>
        <w:autoSpaceDE/>
        <w:autoSpaceDN/>
        <w:bidi w:val="0"/>
        <w:spacing w:line="360" w:lineRule="auto"/>
        <w:ind w:firstLine="6405" w:firstLineChars="3050"/>
        <w:textAlignment w:val="auto"/>
        <w:rPr>
          <w:rFonts w:ascii="宋体" w:hAnsi="宋体" w:cs="宋体"/>
          <w:kern w:val="0"/>
          <w:sz w:val="24"/>
          <w:highlight w:val="none"/>
        </w:rPr>
      </w:pPr>
      <w:r>
        <w:rPr>
          <w:rFonts w:hint="eastAsia" w:ascii="宋体" w:hAnsi="宋体" w:cs="宋体"/>
          <w:kern w:val="0"/>
          <w:sz w:val="21"/>
          <w:szCs w:val="21"/>
          <w:highlight w:val="none"/>
          <w:lang w:eastAsia="zh-CN"/>
        </w:rPr>
        <w:t>2024</w:t>
      </w:r>
      <w:r>
        <w:rPr>
          <w:rFonts w:hint="eastAsia" w:ascii="宋体" w:hAnsi="宋体" w:cs="宋体"/>
          <w:kern w:val="0"/>
          <w:sz w:val="21"/>
          <w:szCs w:val="21"/>
          <w:highlight w:val="none"/>
        </w:rPr>
        <w:t>年   月   日</w:t>
      </w:r>
    </w:p>
    <w:p w14:paraId="6BDD9676">
      <w:pPr>
        <w:spacing w:line="360" w:lineRule="auto"/>
        <w:jc w:val="center"/>
        <w:rPr>
          <w:rFonts w:hint="eastAsia" w:ascii="宋体" w:hAnsi="宋体"/>
          <w:szCs w:val="21"/>
          <w:highlight w:val="none"/>
        </w:rPr>
      </w:pPr>
      <w:r>
        <w:rPr>
          <w:rFonts w:hAnsi="宋体"/>
          <w:sz w:val="21"/>
          <w:szCs w:val="21"/>
        </w:rPr>
        <w:br w:type="page"/>
      </w:r>
      <w:bookmarkStart w:id="16" w:name="_Toc21573"/>
    </w:p>
    <w:p w14:paraId="0C30DFD1">
      <w:pPr>
        <w:pStyle w:val="6"/>
        <w:snapToGrid w:val="0"/>
        <w:spacing w:beforeLines="0" w:afterLines="0" w:line="360" w:lineRule="auto"/>
        <w:jc w:val="center"/>
        <w:outlineLvl w:val="0"/>
        <w:rPr>
          <w:rFonts w:hint="eastAsia" w:hAnsi="宋体"/>
          <w:b/>
          <w:sz w:val="30"/>
          <w:szCs w:val="30"/>
        </w:rPr>
      </w:pPr>
    </w:p>
    <w:p w14:paraId="0F8CB3E0">
      <w:pPr>
        <w:pStyle w:val="6"/>
        <w:snapToGrid w:val="0"/>
        <w:spacing w:beforeLines="0" w:afterLines="0" w:line="360" w:lineRule="auto"/>
        <w:jc w:val="center"/>
        <w:outlineLvl w:val="0"/>
        <w:rPr>
          <w:rFonts w:hAnsi="宋体"/>
          <w:sz w:val="28"/>
          <w:szCs w:val="28"/>
        </w:rPr>
      </w:pPr>
      <w:r>
        <w:rPr>
          <w:rFonts w:hint="eastAsia" w:hAnsi="宋体"/>
          <w:b/>
          <w:sz w:val="30"/>
          <w:szCs w:val="30"/>
        </w:rPr>
        <w:t>第六章　投标文件格式</w:t>
      </w:r>
      <w:bookmarkEnd w:id="16"/>
    </w:p>
    <w:p w14:paraId="19EB90DC">
      <w:pPr>
        <w:snapToGrid w:val="0"/>
        <w:spacing w:line="460" w:lineRule="exact"/>
        <w:ind w:firstLine="1193" w:firstLineChars="396"/>
        <w:rPr>
          <w:rFonts w:ascii="宋体" w:hAnsi="宋体"/>
          <w:b/>
          <w:sz w:val="30"/>
          <w:szCs w:val="30"/>
        </w:rPr>
      </w:pPr>
      <w:r>
        <w:rPr>
          <w:rFonts w:hint="eastAsia" w:ascii="宋体" w:hAnsi="宋体"/>
          <w:b/>
          <w:sz w:val="30"/>
          <w:szCs w:val="30"/>
        </w:rPr>
        <w:t xml:space="preserve">                                     </w:t>
      </w:r>
    </w:p>
    <w:p w14:paraId="21812D50">
      <w:pPr>
        <w:pStyle w:val="6"/>
        <w:snapToGrid w:val="0"/>
        <w:spacing w:beforeLines="0" w:afterLines="0" w:line="360" w:lineRule="auto"/>
        <w:jc w:val="center"/>
        <w:rPr>
          <w:rFonts w:ascii="Times New Roman" w:hAnsi="宋体"/>
          <w:b/>
          <w:sz w:val="28"/>
          <w:szCs w:val="28"/>
          <w:lang w:val="zh-CN"/>
        </w:rPr>
      </w:pPr>
    </w:p>
    <w:p w14:paraId="2F7E194F">
      <w:pPr>
        <w:pStyle w:val="6"/>
        <w:snapToGrid w:val="0"/>
        <w:spacing w:beforeLines="0" w:afterLines="0" w:line="360" w:lineRule="auto"/>
        <w:jc w:val="center"/>
        <w:rPr>
          <w:rFonts w:hAnsi="宋体"/>
          <w:spacing w:val="40"/>
          <w:sz w:val="52"/>
          <w:szCs w:val="52"/>
        </w:rPr>
      </w:pPr>
      <w:r>
        <w:rPr>
          <w:rFonts w:hint="eastAsia" w:ascii="Times New Roman" w:hAnsi="宋体"/>
          <w:b/>
          <w:sz w:val="28"/>
          <w:szCs w:val="28"/>
          <w:lang w:val="zh-CN"/>
        </w:rPr>
        <w:t>中国共产党宁波市北仑区委员会春晓街道工作委员会银行专户开立服务机构招标项目</w:t>
      </w:r>
    </w:p>
    <w:p w14:paraId="64DDDBA9">
      <w:pPr>
        <w:spacing w:line="360" w:lineRule="auto"/>
        <w:ind w:right="-108"/>
        <w:jc w:val="center"/>
        <w:rPr>
          <w:rFonts w:hAnsi="宋体"/>
          <w:b/>
          <w:sz w:val="28"/>
          <w:szCs w:val="28"/>
        </w:rPr>
      </w:pPr>
      <w:r>
        <w:rPr>
          <w:rFonts w:hint="eastAsia" w:hAnsi="宋体"/>
          <w:b/>
          <w:sz w:val="28"/>
          <w:szCs w:val="28"/>
          <w:lang w:val="zh-CN"/>
        </w:rPr>
        <w:t>项目编号：</w:t>
      </w:r>
    </w:p>
    <w:p w14:paraId="0BD3D746">
      <w:pPr>
        <w:spacing w:beforeLines="50" w:afterLines="50" w:line="360" w:lineRule="auto"/>
        <w:ind w:right="-108"/>
        <w:jc w:val="center"/>
        <w:rPr>
          <w:rFonts w:ascii="宋体" w:hAnsi="宋体"/>
          <w:sz w:val="36"/>
          <w:szCs w:val="36"/>
        </w:rPr>
      </w:pPr>
    </w:p>
    <w:p w14:paraId="5A0A49C3">
      <w:pPr>
        <w:spacing w:beforeLines="50" w:afterLines="50" w:line="360" w:lineRule="auto"/>
        <w:ind w:right="-108"/>
        <w:jc w:val="center"/>
        <w:rPr>
          <w:rFonts w:ascii="宋体" w:hAnsi="宋体"/>
          <w:b/>
          <w:spacing w:val="40"/>
          <w:sz w:val="84"/>
          <w:szCs w:val="84"/>
        </w:rPr>
      </w:pPr>
      <w:r>
        <w:rPr>
          <w:rFonts w:hint="eastAsia" w:ascii="宋体" w:hAnsi="宋体"/>
          <w:b/>
          <w:spacing w:val="40"/>
          <w:sz w:val="84"/>
          <w:szCs w:val="84"/>
        </w:rPr>
        <w:t>投</w:t>
      </w:r>
    </w:p>
    <w:p w14:paraId="5DF4740F">
      <w:pPr>
        <w:spacing w:beforeLines="50" w:afterLines="50" w:line="360" w:lineRule="auto"/>
        <w:ind w:right="-108"/>
        <w:jc w:val="center"/>
        <w:rPr>
          <w:rFonts w:ascii="宋体" w:hAnsi="宋体"/>
          <w:b/>
          <w:spacing w:val="40"/>
          <w:sz w:val="84"/>
          <w:szCs w:val="84"/>
        </w:rPr>
      </w:pPr>
      <w:r>
        <w:rPr>
          <w:rFonts w:hint="eastAsia" w:ascii="宋体" w:hAnsi="宋体"/>
          <w:b/>
          <w:spacing w:val="40"/>
          <w:sz w:val="84"/>
          <w:szCs w:val="84"/>
        </w:rPr>
        <w:t>标</w:t>
      </w:r>
    </w:p>
    <w:p w14:paraId="01C2CD9C">
      <w:pPr>
        <w:spacing w:beforeLines="50" w:afterLines="50" w:line="360" w:lineRule="auto"/>
        <w:ind w:right="-108"/>
        <w:jc w:val="center"/>
        <w:rPr>
          <w:rFonts w:ascii="宋体" w:hAnsi="宋体"/>
          <w:b/>
          <w:spacing w:val="40"/>
          <w:sz w:val="84"/>
          <w:szCs w:val="84"/>
        </w:rPr>
      </w:pPr>
      <w:r>
        <w:rPr>
          <w:rFonts w:hint="eastAsia" w:ascii="宋体" w:hAnsi="宋体"/>
          <w:b/>
          <w:spacing w:val="40"/>
          <w:sz w:val="84"/>
          <w:szCs w:val="84"/>
        </w:rPr>
        <w:t>文</w:t>
      </w:r>
    </w:p>
    <w:p w14:paraId="28F67A75">
      <w:pPr>
        <w:spacing w:beforeLines="50" w:afterLines="50" w:line="360" w:lineRule="auto"/>
        <w:ind w:right="-108"/>
        <w:jc w:val="center"/>
        <w:rPr>
          <w:rFonts w:ascii="宋体" w:hAnsi="宋体"/>
          <w:b/>
          <w:spacing w:val="40"/>
          <w:sz w:val="84"/>
          <w:szCs w:val="84"/>
        </w:rPr>
      </w:pPr>
      <w:r>
        <w:rPr>
          <w:rFonts w:hint="eastAsia" w:ascii="宋体" w:hAnsi="宋体"/>
          <w:b/>
          <w:spacing w:val="40"/>
          <w:sz w:val="84"/>
          <w:szCs w:val="84"/>
        </w:rPr>
        <w:t>件</w:t>
      </w:r>
    </w:p>
    <w:p w14:paraId="42154F1B">
      <w:pPr>
        <w:spacing w:beforeLines="50" w:afterLines="50" w:line="360" w:lineRule="auto"/>
        <w:ind w:right="532" w:firstLine="720" w:firstLineChars="200"/>
        <w:rPr>
          <w:rFonts w:ascii="宋体" w:hAnsi="宋体"/>
          <w:sz w:val="36"/>
          <w:szCs w:val="36"/>
        </w:rPr>
      </w:pPr>
    </w:p>
    <w:p w14:paraId="6B68F1FF">
      <w:pPr>
        <w:spacing w:line="360" w:lineRule="auto"/>
        <w:ind w:right="-108" w:firstLine="1687" w:firstLineChars="600"/>
        <w:jc w:val="left"/>
        <w:rPr>
          <w:rFonts w:hAnsi="宋体"/>
          <w:b/>
          <w:sz w:val="28"/>
          <w:szCs w:val="28"/>
          <w:lang w:val="zh-CN"/>
        </w:rPr>
      </w:pPr>
      <w:r>
        <w:rPr>
          <w:rFonts w:hint="eastAsia" w:hAnsi="宋体"/>
          <w:b/>
          <w:sz w:val="28"/>
          <w:szCs w:val="28"/>
          <w:lang w:val="zh-CN"/>
        </w:rPr>
        <w:t>投标人全称（</w:t>
      </w:r>
      <w:r>
        <w:rPr>
          <w:rFonts w:hint="eastAsia" w:hAnsi="宋体"/>
          <w:b/>
          <w:sz w:val="28"/>
          <w:szCs w:val="28"/>
        </w:rPr>
        <w:t>盖</w:t>
      </w:r>
      <w:r>
        <w:rPr>
          <w:rFonts w:hint="eastAsia" w:hAnsi="宋体"/>
          <w:b/>
          <w:sz w:val="28"/>
          <w:szCs w:val="28"/>
          <w:lang w:val="zh-CN"/>
        </w:rPr>
        <w:t>章）：</w:t>
      </w:r>
    </w:p>
    <w:p w14:paraId="0478BD9E">
      <w:pPr>
        <w:spacing w:line="360" w:lineRule="auto"/>
        <w:ind w:right="-108" w:firstLine="1687" w:firstLineChars="600"/>
        <w:jc w:val="left"/>
        <w:rPr>
          <w:rFonts w:hAnsi="宋体"/>
          <w:b/>
          <w:sz w:val="28"/>
          <w:szCs w:val="28"/>
          <w:lang w:val="zh-CN"/>
        </w:rPr>
      </w:pPr>
      <w:r>
        <w:rPr>
          <w:rFonts w:hint="eastAsia" w:hAnsi="宋体"/>
          <w:b/>
          <w:sz w:val="28"/>
          <w:szCs w:val="28"/>
          <w:lang w:val="zh-CN"/>
        </w:rPr>
        <w:t>地    址：</w:t>
      </w:r>
    </w:p>
    <w:p w14:paraId="3E1FA7B7">
      <w:pPr>
        <w:spacing w:line="360" w:lineRule="auto"/>
        <w:ind w:right="-108" w:firstLine="1687" w:firstLineChars="600"/>
        <w:jc w:val="left"/>
        <w:rPr>
          <w:rFonts w:hAnsi="宋体"/>
          <w:b/>
          <w:sz w:val="28"/>
          <w:szCs w:val="28"/>
          <w:lang w:val="zh-CN"/>
        </w:rPr>
      </w:pPr>
      <w:r>
        <w:rPr>
          <w:rFonts w:hint="eastAsia" w:hAnsi="宋体"/>
          <w:b/>
          <w:sz w:val="28"/>
          <w:szCs w:val="28"/>
          <w:lang w:val="zh-CN"/>
        </w:rPr>
        <w:t>时    间：</w:t>
      </w:r>
    </w:p>
    <w:p w14:paraId="403DA863">
      <w:pPr>
        <w:snapToGrid w:val="0"/>
        <w:spacing w:line="360" w:lineRule="auto"/>
        <w:rPr>
          <w:rFonts w:ascii="宋体" w:hAnsi="宋体"/>
          <w:szCs w:val="21"/>
        </w:rPr>
      </w:pPr>
      <w:r>
        <w:rPr>
          <w:rFonts w:ascii="宋体" w:hAnsi="宋体"/>
          <w:b/>
          <w:sz w:val="36"/>
          <w:szCs w:val="36"/>
        </w:rPr>
        <w:br w:type="page"/>
      </w:r>
      <w:r>
        <w:rPr>
          <w:rFonts w:hint="eastAsia" w:ascii="宋体" w:hAnsi="宋体"/>
          <w:szCs w:val="21"/>
        </w:rPr>
        <w:t>附件一</w:t>
      </w:r>
    </w:p>
    <w:p w14:paraId="3E97E4BC">
      <w:pPr>
        <w:snapToGrid w:val="0"/>
        <w:jc w:val="center"/>
        <w:rPr>
          <w:rFonts w:ascii="宋体" w:hAnsi="宋体"/>
          <w:b/>
          <w:szCs w:val="21"/>
        </w:rPr>
      </w:pPr>
      <w:r>
        <w:rPr>
          <w:rFonts w:hint="eastAsia" w:ascii="宋体" w:hAnsi="宋体"/>
          <w:b/>
          <w:szCs w:val="21"/>
        </w:rPr>
        <w:t>投标声明书</w:t>
      </w:r>
    </w:p>
    <w:p w14:paraId="7F56E044">
      <w:pPr>
        <w:spacing w:line="360" w:lineRule="auto"/>
        <w:rPr>
          <w:rFonts w:ascii="宋体" w:hAnsi="宋体"/>
          <w:szCs w:val="21"/>
        </w:rPr>
      </w:pPr>
      <w:r>
        <w:rPr>
          <w:rFonts w:hint="eastAsia" w:ascii="宋体" w:hAnsi="宋体"/>
          <w:szCs w:val="21"/>
          <w:u w:val="single"/>
        </w:rPr>
        <w:t>（招标人）名称</w:t>
      </w:r>
      <w:r>
        <w:rPr>
          <w:rFonts w:hint="eastAsia" w:ascii="宋体" w:hAnsi="宋体"/>
          <w:szCs w:val="21"/>
        </w:rPr>
        <w:t xml:space="preserve">：    </w:t>
      </w:r>
    </w:p>
    <w:p w14:paraId="3B297177">
      <w:pPr>
        <w:spacing w:line="360" w:lineRule="auto"/>
        <w:ind w:firstLine="630" w:firstLineChars="300"/>
        <w:rPr>
          <w:rFonts w:ascii="宋体" w:hAnsi="宋体"/>
          <w:szCs w:val="21"/>
        </w:rPr>
      </w:pPr>
      <w:r>
        <w:rPr>
          <w:rFonts w:hint="eastAsia" w:ascii="宋体" w:hAnsi="宋体"/>
          <w:szCs w:val="21"/>
          <w:u w:val="single"/>
        </w:rPr>
        <w:t xml:space="preserve">      </w:t>
      </w:r>
      <w:r>
        <w:rPr>
          <w:rFonts w:hint="eastAsia" w:ascii="宋体" w:hAnsi="宋体"/>
          <w:szCs w:val="21"/>
        </w:rPr>
        <w:t>(投标人全称)授权</w:t>
      </w:r>
      <w:r>
        <w:rPr>
          <w:rFonts w:hint="eastAsia" w:ascii="宋体" w:hAnsi="宋体"/>
          <w:szCs w:val="21"/>
          <w:u w:val="single"/>
        </w:rPr>
        <w:t xml:space="preserve">      </w:t>
      </w:r>
      <w:r>
        <w:rPr>
          <w:rFonts w:hint="eastAsia" w:ascii="宋体" w:hAnsi="宋体"/>
          <w:szCs w:val="21"/>
        </w:rPr>
        <w:t>(投标人代表姓名)</w:t>
      </w:r>
      <w:r>
        <w:rPr>
          <w:rFonts w:hint="eastAsia" w:ascii="宋体" w:hAnsi="宋体"/>
          <w:szCs w:val="21"/>
          <w:u w:val="single"/>
        </w:rPr>
        <w:t xml:space="preserve">      </w:t>
      </w:r>
      <w:r>
        <w:rPr>
          <w:rFonts w:hint="eastAsia" w:ascii="宋体" w:hAnsi="宋体"/>
          <w:szCs w:val="21"/>
        </w:rPr>
        <w:t>(职务、职称)为我方代表，参加贵方组织的</w:t>
      </w:r>
      <w:r>
        <w:rPr>
          <w:rFonts w:hint="eastAsia" w:ascii="宋体" w:hAnsi="宋体"/>
          <w:szCs w:val="21"/>
          <w:u w:val="single"/>
        </w:rPr>
        <w:t xml:space="preserve">        </w:t>
      </w:r>
      <w:r>
        <w:rPr>
          <w:rFonts w:hint="eastAsia" w:ascii="宋体" w:hAnsi="宋体"/>
          <w:szCs w:val="21"/>
        </w:rPr>
        <w:t>(项目名称、招标编号)招标的有关活动，并对此项目进行投标。为此：</w:t>
      </w:r>
    </w:p>
    <w:p w14:paraId="0758F8E5">
      <w:pPr>
        <w:pStyle w:val="21"/>
        <w:keepNext w:val="0"/>
        <w:keepLines w:val="0"/>
        <w:tabs>
          <w:tab w:val="left" w:pos="-3600"/>
        </w:tabs>
        <w:adjustRightInd w:val="0"/>
        <w:spacing w:before="0" w:after="0" w:line="360" w:lineRule="auto"/>
        <w:ind w:firstLine="422" w:firstLineChars="200"/>
        <w:textAlignment w:val="baseline"/>
        <w:rPr>
          <w:rFonts w:ascii="宋体" w:hAnsi="宋体"/>
          <w:sz w:val="21"/>
          <w:szCs w:val="21"/>
        </w:rPr>
      </w:pPr>
      <w:r>
        <w:rPr>
          <w:rFonts w:hint="eastAsia" w:ascii="宋体" w:hAnsi="宋体"/>
          <w:sz w:val="21"/>
          <w:szCs w:val="21"/>
        </w:rPr>
        <w:t>1.我方同意在本项目招标文件中规定的开标日起</w:t>
      </w:r>
      <w:r>
        <w:rPr>
          <w:rFonts w:hint="eastAsia" w:ascii="宋体" w:hAnsi="宋体"/>
          <w:sz w:val="21"/>
          <w:szCs w:val="21"/>
          <w:u w:val="single"/>
        </w:rPr>
        <w:t xml:space="preserve"> 90 </w:t>
      </w:r>
      <w:r>
        <w:rPr>
          <w:rFonts w:hint="eastAsia" w:ascii="宋体" w:hAnsi="宋体"/>
          <w:sz w:val="21"/>
          <w:szCs w:val="21"/>
        </w:rPr>
        <w:t>天内遵守本投标文件中的承诺且在此期限期满之前均具有约束力。</w:t>
      </w:r>
    </w:p>
    <w:p w14:paraId="25C1A35A">
      <w:pPr>
        <w:pStyle w:val="21"/>
        <w:keepNext w:val="0"/>
        <w:keepLines w:val="0"/>
        <w:numPr>
          <w:ilvl w:val="0"/>
          <w:numId w:val="4"/>
        </w:numPr>
        <w:tabs>
          <w:tab w:val="left" w:pos="-1980"/>
        </w:tabs>
        <w:adjustRightInd w:val="0"/>
        <w:spacing w:before="0" w:after="0" w:line="360" w:lineRule="auto"/>
        <w:ind w:left="448" w:hanging="448"/>
        <w:textAlignment w:val="baseline"/>
        <w:rPr>
          <w:rFonts w:ascii="宋体" w:hAnsi="宋体"/>
          <w:sz w:val="21"/>
          <w:szCs w:val="21"/>
        </w:rPr>
      </w:pPr>
      <w:r>
        <w:rPr>
          <w:rFonts w:hint="eastAsia" w:ascii="宋体" w:hAnsi="宋体"/>
          <w:sz w:val="21"/>
          <w:szCs w:val="21"/>
        </w:rPr>
        <w:t xml:space="preserve">    2.我方承诺已经具备参加投标的投标人应当具备的条件；</w:t>
      </w:r>
    </w:p>
    <w:p w14:paraId="6D2B3CB1">
      <w:pPr>
        <w:pStyle w:val="21"/>
        <w:keepNext w:val="0"/>
        <w:keepLines w:val="0"/>
        <w:tabs>
          <w:tab w:val="left" w:pos="-1980"/>
        </w:tabs>
        <w:adjustRightInd w:val="0"/>
        <w:spacing w:before="0" w:after="0" w:line="360" w:lineRule="auto"/>
        <w:ind w:firstLine="422" w:firstLineChars="200"/>
        <w:textAlignment w:val="baseline"/>
        <w:rPr>
          <w:rFonts w:ascii="宋体" w:hAnsi="宋体"/>
          <w:sz w:val="21"/>
          <w:szCs w:val="21"/>
        </w:rPr>
      </w:pPr>
      <w:r>
        <w:rPr>
          <w:rFonts w:hint="eastAsia" w:ascii="宋体" w:hAnsi="宋体"/>
          <w:sz w:val="21"/>
          <w:szCs w:val="21"/>
        </w:rPr>
        <w:t>3.我方不是招标人的附属机构；在获知本项目招标信息后，与招标人聘请的为此项目提供咨询服务的公司及其附属机构没有任何联系。</w:t>
      </w:r>
    </w:p>
    <w:p w14:paraId="3B55B25C">
      <w:pPr>
        <w:pStyle w:val="21"/>
        <w:keepNext w:val="0"/>
        <w:keepLines w:val="0"/>
        <w:numPr>
          <w:ilvl w:val="0"/>
          <w:numId w:val="4"/>
        </w:numPr>
        <w:tabs>
          <w:tab w:val="left" w:pos="-2340"/>
        </w:tabs>
        <w:adjustRightInd w:val="0"/>
        <w:spacing w:before="0" w:after="0" w:line="360" w:lineRule="auto"/>
        <w:ind w:left="448" w:hanging="448"/>
        <w:textAlignment w:val="baseline"/>
        <w:rPr>
          <w:rFonts w:ascii="宋体" w:hAnsi="宋体"/>
          <w:sz w:val="21"/>
          <w:szCs w:val="21"/>
        </w:rPr>
      </w:pPr>
      <w:r>
        <w:rPr>
          <w:rFonts w:hint="eastAsia" w:ascii="宋体" w:hAnsi="宋体"/>
          <w:sz w:val="21"/>
          <w:szCs w:val="21"/>
        </w:rPr>
        <w:t xml:space="preserve">    4.提供投标须知规定的全部投标文件。</w:t>
      </w:r>
    </w:p>
    <w:p w14:paraId="5C8E2F7C">
      <w:pPr>
        <w:pStyle w:val="21"/>
        <w:keepNext w:val="0"/>
        <w:keepLines w:val="0"/>
        <w:numPr>
          <w:ilvl w:val="0"/>
          <w:numId w:val="4"/>
        </w:numPr>
        <w:tabs>
          <w:tab w:val="left" w:pos="448"/>
        </w:tabs>
        <w:adjustRightInd w:val="0"/>
        <w:spacing w:before="0" w:after="0" w:line="360" w:lineRule="auto"/>
        <w:ind w:left="709" w:hanging="709"/>
        <w:textAlignment w:val="baseline"/>
        <w:rPr>
          <w:rFonts w:ascii="宋体" w:hAnsi="宋体"/>
          <w:sz w:val="21"/>
          <w:szCs w:val="21"/>
        </w:rPr>
      </w:pPr>
      <w:r>
        <w:rPr>
          <w:rFonts w:hint="eastAsia" w:ascii="宋体" w:hAnsi="宋体"/>
          <w:sz w:val="21"/>
          <w:szCs w:val="21"/>
        </w:rPr>
        <w:t xml:space="preserve">    5.按招标文件要求提供服务的投标报价详见投标一览表。</w:t>
      </w:r>
    </w:p>
    <w:p w14:paraId="70A35D3D">
      <w:pPr>
        <w:pStyle w:val="21"/>
        <w:keepNext w:val="0"/>
        <w:keepLines w:val="0"/>
        <w:numPr>
          <w:ilvl w:val="0"/>
          <w:numId w:val="4"/>
        </w:numPr>
        <w:tabs>
          <w:tab w:val="left" w:pos="448"/>
        </w:tabs>
        <w:adjustRightInd w:val="0"/>
        <w:spacing w:before="0" w:after="0" w:line="360" w:lineRule="auto"/>
        <w:ind w:left="709" w:hanging="709"/>
        <w:textAlignment w:val="baseline"/>
        <w:rPr>
          <w:rFonts w:ascii="宋体" w:hAnsi="宋体"/>
          <w:sz w:val="21"/>
          <w:szCs w:val="21"/>
        </w:rPr>
      </w:pPr>
      <w:r>
        <w:rPr>
          <w:rFonts w:hint="eastAsia" w:ascii="宋体" w:hAnsi="宋体"/>
          <w:sz w:val="21"/>
          <w:szCs w:val="21"/>
        </w:rPr>
        <w:t xml:space="preserve">    6.保证遵守招标文件的规定。</w:t>
      </w:r>
    </w:p>
    <w:p w14:paraId="23523EC7">
      <w:pPr>
        <w:pStyle w:val="21"/>
        <w:keepNext w:val="0"/>
        <w:keepLines w:val="0"/>
        <w:numPr>
          <w:ilvl w:val="0"/>
          <w:numId w:val="4"/>
        </w:numPr>
        <w:tabs>
          <w:tab w:val="left" w:pos="448"/>
        </w:tabs>
        <w:adjustRightInd w:val="0"/>
        <w:spacing w:before="0" w:after="0" w:line="360" w:lineRule="auto"/>
        <w:ind w:left="709" w:hanging="709"/>
        <w:textAlignment w:val="baseline"/>
        <w:rPr>
          <w:rFonts w:ascii="宋体" w:hAnsi="宋体"/>
          <w:sz w:val="21"/>
          <w:szCs w:val="21"/>
        </w:rPr>
      </w:pPr>
      <w:r>
        <w:rPr>
          <w:rFonts w:hint="eastAsia" w:ascii="宋体" w:hAnsi="宋体"/>
          <w:sz w:val="21"/>
          <w:szCs w:val="21"/>
        </w:rPr>
        <w:t xml:space="preserve">    7.如果在开标后规定的投标有效期内撤销投标，我方的投标保证金可被贵方没收。</w:t>
      </w:r>
    </w:p>
    <w:p w14:paraId="0DBEA42C">
      <w:pPr>
        <w:pStyle w:val="21"/>
        <w:keepNext w:val="0"/>
        <w:keepLines w:val="0"/>
        <w:numPr>
          <w:ilvl w:val="0"/>
          <w:numId w:val="4"/>
        </w:numPr>
        <w:tabs>
          <w:tab w:val="left" w:pos="448"/>
        </w:tabs>
        <w:adjustRightInd w:val="0"/>
        <w:spacing w:before="0" w:after="0" w:line="360" w:lineRule="auto"/>
        <w:ind w:left="709" w:hanging="709"/>
        <w:textAlignment w:val="baseline"/>
        <w:rPr>
          <w:rFonts w:ascii="宋体" w:hAnsi="宋体"/>
          <w:sz w:val="21"/>
          <w:szCs w:val="21"/>
        </w:rPr>
      </w:pPr>
      <w:r>
        <w:rPr>
          <w:rFonts w:hint="eastAsia" w:ascii="宋体" w:hAnsi="宋体"/>
          <w:sz w:val="21"/>
          <w:szCs w:val="21"/>
        </w:rPr>
        <w:t xml:space="preserve">    8.我方完全理解最高上浮率不一定中标。</w:t>
      </w:r>
    </w:p>
    <w:p w14:paraId="31C9581C">
      <w:pPr>
        <w:pStyle w:val="21"/>
        <w:keepNext w:val="0"/>
        <w:keepLines w:val="0"/>
        <w:tabs>
          <w:tab w:val="left" w:pos="-1980"/>
        </w:tabs>
        <w:adjustRightInd w:val="0"/>
        <w:spacing w:before="0" w:after="0" w:line="360" w:lineRule="auto"/>
        <w:ind w:firstLine="422" w:firstLineChars="200"/>
        <w:textAlignment w:val="baseline"/>
        <w:rPr>
          <w:rFonts w:ascii="宋体" w:hAnsi="宋体"/>
          <w:sz w:val="21"/>
          <w:szCs w:val="21"/>
        </w:rPr>
      </w:pPr>
      <w:r>
        <w:rPr>
          <w:rFonts w:hint="eastAsia" w:ascii="宋体" w:hAnsi="宋体"/>
          <w:sz w:val="21"/>
          <w:szCs w:val="21"/>
        </w:rPr>
        <w:t>9.我方愿意向贵方提供任何与本项投标有关的数据、情况和技术资料。若贵方需要，我方愿意提供我方作出的一切承诺的证明材料。</w:t>
      </w:r>
    </w:p>
    <w:p w14:paraId="3329D127">
      <w:pPr>
        <w:pStyle w:val="21"/>
        <w:keepNext w:val="0"/>
        <w:keepLines w:val="0"/>
        <w:adjustRightInd w:val="0"/>
        <w:spacing w:before="0" w:after="0" w:line="360" w:lineRule="auto"/>
        <w:ind w:firstLine="422" w:firstLineChars="200"/>
        <w:textAlignment w:val="baseline"/>
        <w:rPr>
          <w:rFonts w:ascii="宋体" w:hAnsi="宋体"/>
          <w:sz w:val="21"/>
          <w:szCs w:val="21"/>
        </w:rPr>
      </w:pPr>
      <w:r>
        <w:rPr>
          <w:rFonts w:hint="eastAsia" w:ascii="宋体" w:hAnsi="宋体"/>
          <w:sz w:val="21"/>
          <w:szCs w:val="21"/>
        </w:rPr>
        <w:t>10.我方已详细审核全部投标文件，包括投标文件修改书（如有的话）、参考资料及有关附件，确认无误。</w:t>
      </w:r>
    </w:p>
    <w:p w14:paraId="78EB84F2">
      <w:pPr>
        <w:spacing w:line="360" w:lineRule="auto"/>
        <w:rPr>
          <w:rFonts w:ascii="宋体" w:hAnsi="宋体"/>
          <w:szCs w:val="21"/>
        </w:rPr>
      </w:pPr>
      <w:r>
        <w:rPr>
          <w:rFonts w:hint="eastAsia" w:ascii="宋体" w:hAnsi="宋体"/>
          <w:szCs w:val="21"/>
        </w:rPr>
        <w:t>与本投标有关的一切往来通讯请寄：</w:t>
      </w:r>
      <w:r>
        <w:rPr>
          <w:rFonts w:hint="eastAsia" w:ascii="宋体" w:hAnsi="宋体"/>
          <w:szCs w:val="21"/>
        </w:rPr>
        <w:tab/>
      </w:r>
    </w:p>
    <w:p w14:paraId="601D9CCC">
      <w:pPr>
        <w:spacing w:line="360" w:lineRule="auto"/>
        <w:rPr>
          <w:rFonts w:ascii="宋体" w:hAnsi="宋体"/>
          <w:szCs w:val="21"/>
        </w:rPr>
      </w:pPr>
      <w:r>
        <w:rPr>
          <w:rFonts w:hint="eastAsia" w:ascii="宋体" w:hAnsi="宋体"/>
          <w:szCs w:val="21"/>
        </w:rPr>
        <w:t>地址：____________________</w:t>
      </w:r>
    </w:p>
    <w:p w14:paraId="1A6208BC">
      <w:pPr>
        <w:spacing w:line="360" w:lineRule="auto"/>
        <w:rPr>
          <w:rFonts w:ascii="宋体" w:hAnsi="宋体"/>
          <w:szCs w:val="21"/>
        </w:rPr>
      </w:pPr>
      <w:r>
        <w:rPr>
          <w:rFonts w:hint="eastAsia" w:ascii="宋体" w:hAnsi="宋体"/>
          <w:szCs w:val="21"/>
        </w:rPr>
        <w:t>邮编：____________　</w:t>
      </w:r>
    </w:p>
    <w:p w14:paraId="55221988">
      <w:pPr>
        <w:tabs>
          <w:tab w:val="left" w:pos="-1260"/>
        </w:tabs>
        <w:spacing w:line="360" w:lineRule="auto"/>
        <w:rPr>
          <w:rFonts w:ascii="宋体" w:hAnsi="宋体"/>
          <w:szCs w:val="21"/>
        </w:rPr>
      </w:pPr>
      <w:r>
        <w:rPr>
          <w:rFonts w:hint="eastAsia" w:ascii="宋体" w:hAnsi="宋体"/>
          <w:szCs w:val="21"/>
        </w:rPr>
        <w:t>电话：____________　</w:t>
      </w:r>
    </w:p>
    <w:p w14:paraId="3F49B3CB">
      <w:pPr>
        <w:spacing w:line="360" w:lineRule="auto"/>
        <w:rPr>
          <w:rFonts w:ascii="宋体" w:hAnsi="宋体"/>
          <w:szCs w:val="21"/>
          <w:u w:val="single"/>
        </w:rPr>
      </w:pPr>
      <w:r>
        <w:rPr>
          <w:rFonts w:hint="eastAsia" w:ascii="宋体" w:hAnsi="宋体"/>
          <w:szCs w:val="21"/>
        </w:rPr>
        <w:t>投标人代表姓名：</w:t>
      </w:r>
      <w:r>
        <w:rPr>
          <w:rFonts w:hint="eastAsia" w:ascii="宋体" w:hAnsi="宋体"/>
          <w:szCs w:val="21"/>
          <w:u w:val="single"/>
        </w:rPr>
        <w:t xml:space="preserve">              </w:t>
      </w:r>
    </w:p>
    <w:p w14:paraId="50A62AB5">
      <w:pPr>
        <w:spacing w:line="360" w:lineRule="auto"/>
        <w:rPr>
          <w:rFonts w:ascii="宋体" w:hAnsi="宋体"/>
          <w:szCs w:val="21"/>
          <w:u w:val="single"/>
        </w:rPr>
      </w:pPr>
      <w:r>
        <w:rPr>
          <w:rFonts w:hint="eastAsia" w:ascii="宋体" w:hAnsi="宋体"/>
          <w:szCs w:val="21"/>
        </w:rPr>
        <w:t>投标人代表联系电话</w:t>
      </w:r>
      <w:r>
        <w:rPr>
          <w:rFonts w:hint="eastAsia" w:ascii="宋体" w:hAnsi="宋体"/>
          <w:szCs w:val="21"/>
          <w:u w:val="single"/>
        </w:rPr>
        <w:t xml:space="preserve">              </w:t>
      </w:r>
    </w:p>
    <w:p w14:paraId="6E05A57F">
      <w:pPr>
        <w:spacing w:line="360" w:lineRule="auto"/>
        <w:ind w:firstLine="3960"/>
        <w:rPr>
          <w:rFonts w:ascii="宋体" w:hAnsi="宋体"/>
          <w:szCs w:val="21"/>
        </w:rPr>
      </w:pPr>
    </w:p>
    <w:p w14:paraId="47CAF133">
      <w:pPr>
        <w:tabs>
          <w:tab w:val="left" w:pos="-2520"/>
        </w:tabs>
        <w:spacing w:line="360" w:lineRule="auto"/>
        <w:rPr>
          <w:rFonts w:ascii="宋体" w:hAnsi="宋体"/>
          <w:szCs w:val="21"/>
        </w:rPr>
      </w:pPr>
      <w:r>
        <w:rPr>
          <w:rFonts w:hint="eastAsia" w:ascii="宋体" w:hAnsi="宋体"/>
          <w:szCs w:val="21"/>
        </w:rPr>
        <w:t>投标人(盖章)：</w:t>
      </w:r>
    </w:p>
    <w:p w14:paraId="306420CD">
      <w:pPr>
        <w:spacing w:line="360" w:lineRule="auto"/>
        <w:rPr>
          <w:rFonts w:ascii="宋体" w:hAnsi="宋体"/>
          <w:szCs w:val="21"/>
        </w:rPr>
      </w:pPr>
      <w:r>
        <w:rPr>
          <w:rFonts w:hint="eastAsia" w:ascii="宋体" w:hAnsi="宋体"/>
          <w:szCs w:val="21"/>
        </w:rPr>
        <w:t>投标人代表(签字)：</w:t>
      </w:r>
    </w:p>
    <w:p w14:paraId="76FEC5B3">
      <w:pPr>
        <w:spacing w:line="360" w:lineRule="auto"/>
        <w:rPr>
          <w:rFonts w:ascii="宋体" w:hAnsi="宋体"/>
          <w:szCs w:val="21"/>
        </w:rPr>
      </w:pPr>
      <w:r>
        <w:rPr>
          <w:rFonts w:hint="eastAsia" w:ascii="宋体" w:hAnsi="宋体"/>
          <w:szCs w:val="21"/>
        </w:rPr>
        <w:t>日　期：</w:t>
      </w:r>
    </w:p>
    <w:p w14:paraId="28D22D4E">
      <w:pPr>
        <w:tabs>
          <w:tab w:val="left" w:pos="0"/>
        </w:tabs>
        <w:spacing w:line="360" w:lineRule="auto"/>
        <w:rPr>
          <w:rFonts w:ascii="宋体" w:hAnsi="宋体"/>
          <w:b/>
          <w:szCs w:val="21"/>
        </w:rPr>
      </w:pPr>
      <w:r>
        <w:rPr>
          <w:rFonts w:hint="eastAsia" w:ascii="宋体" w:hAnsi="宋体"/>
          <w:szCs w:val="21"/>
        </w:rPr>
        <w:t>注：除可填报项目外，对本投标函的任何修改将被视为非实质性响应投标，从而导致该投标被拒绝。</w:t>
      </w:r>
      <w:r>
        <w:rPr>
          <w:rFonts w:ascii="宋体" w:hAnsi="宋体"/>
          <w:szCs w:val="21"/>
        </w:rPr>
        <w:br w:type="page"/>
      </w:r>
      <w:r>
        <w:rPr>
          <w:rFonts w:hint="eastAsia" w:ascii="宋体" w:hAnsi="宋体"/>
          <w:szCs w:val="21"/>
        </w:rPr>
        <w:t>附件二</w:t>
      </w:r>
    </w:p>
    <w:p w14:paraId="6E382231">
      <w:pPr>
        <w:snapToGrid w:val="0"/>
        <w:jc w:val="center"/>
        <w:rPr>
          <w:rFonts w:ascii="宋体" w:hAnsi="宋体"/>
          <w:b/>
          <w:szCs w:val="21"/>
        </w:rPr>
      </w:pPr>
      <w:r>
        <w:rPr>
          <w:rFonts w:hint="eastAsia" w:ascii="宋体" w:hAnsi="宋体"/>
          <w:b/>
          <w:szCs w:val="21"/>
        </w:rPr>
        <w:t>投标报价一览表</w:t>
      </w:r>
    </w:p>
    <w:p w14:paraId="75A3AA5C">
      <w:pPr>
        <w:tabs>
          <w:tab w:val="left" w:pos="0"/>
        </w:tabs>
        <w:spacing w:line="300" w:lineRule="exact"/>
        <w:rPr>
          <w:rFonts w:ascii="宋体" w:hAnsi="宋体"/>
          <w:b/>
          <w:szCs w:val="21"/>
        </w:rPr>
      </w:pPr>
    </w:p>
    <w:p w14:paraId="11E5EB2C">
      <w:pPr>
        <w:spacing w:line="360" w:lineRule="auto"/>
        <w:rPr>
          <w:rFonts w:hint="eastAsia" w:ascii="宋体" w:hAnsi="宋体" w:eastAsia="宋体"/>
          <w:szCs w:val="21"/>
          <w:u w:val="single"/>
          <w:lang w:eastAsia="zh-CN"/>
        </w:rPr>
      </w:pPr>
      <w:r>
        <w:rPr>
          <w:rFonts w:hint="eastAsia" w:ascii="宋体" w:hAnsi="宋体"/>
          <w:szCs w:val="21"/>
        </w:rPr>
        <w:t>项目名称：</w:t>
      </w:r>
      <w:r>
        <w:rPr>
          <w:rFonts w:hint="eastAsia" w:ascii="宋体" w:hAnsi="宋体"/>
          <w:szCs w:val="21"/>
          <w:u w:val="single"/>
          <w:lang w:eastAsia="zh-CN"/>
        </w:rPr>
        <w:t>中国共产党宁波市北仑区委员会春晓街道工作委员会银行专户开立服务机构招标项目</w:t>
      </w:r>
    </w:p>
    <w:p w14:paraId="655477A6">
      <w:pPr>
        <w:spacing w:line="360" w:lineRule="auto"/>
        <w:rPr>
          <w:rFonts w:hint="default" w:ascii="宋体" w:hAnsi="宋体" w:eastAsia="宋体"/>
          <w:szCs w:val="21"/>
          <w:u w:val="single"/>
          <w:lang w:val="en-US" w:eastAsia="zh-CN"/>
        </w:rPr>
      </w:pPr>
      <w:r>
        <w:rPr>
          <w:rFonts w:ascii="宋体" w:hAnsi="宋体"/>
          <w:szCs w:val="21"/>
        </w:rPr>
        <w:t>招标编号：</w:t>
      </w:r>
      <w:r>
        <w:rPr>
          <w:rFonts w:hint="eastAsia" w:ascii="宋体" w:hAnsi="宋体"/>
          <w:szCs w:val="21"/>
          <w:u w:val="single"/>
          <w:lang w:val="en-US" w:eastAsia="zh-CN"/>
        </w:rPr>
        <w:t xml:space="preserve">               </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3225"/>
        <w:gridCol w:w="3484"/>
      </w:tblGrid>
      <w:tr w14:paraId="63DAF9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670" w:type="dxa"/>
            <w:noWrap w:val="0"/>
            <w:vAlign w:val="center"/>
          </w:tcPr>
          <w:p w14:paraId="6FE37BD8">
            <w:pPr>
              <w:tabs>
                <w:tab w:val="left" w:pos="2670"/>
              </w:tabs>
              <w:adjustRightInd w:val="0"/>
              <w:jc w:val="center"/>
              <w:rPr>
                <w:rFonts w:hint="eastAsia" w:ascii="宋体" w:hAnsi="宋体"/>
                <w:b/>
                <w:bCs/>
                <w:szCs w:val="21"/>
                <w:highlight w:val="none"/>
                <w:lang w:val="zh-CN"/>
              </w:rPr>
            </w:pPr>
            <w:r>
              <w:rPr>
                <w:rFonts w:hint="eastAsia" w:ascii="宋体" w:hAnsi="宋体"/>
                <w:b/>
                <w:bCs/>
                <w:szCs w:val="21"/>
                <w:highlight w:val="none"/>
                <w:lang w:val="zh-CN"/>
              </w:rPr>
              <w:t>服务内容</w:t>
            </w:r>
          </w:p>
        </w:tc>
        <w:tc>
          <w:tcPr>
            <w:tcW w:w="3225" w:type="dxa"/>
            <w:noWrap w:val="0"/>
            <w:vAlign w:val="center"/>
          </w:tcPr>
          <w:p w14:paraId="562D850E">
            <w:pPr>
              <w:tabs>
                <w:tab w:val="left" w:pos="2670"/>
              </w:tabs>
              <w:adjustRightInd w:val="0"/>
              <w:jc w:val="center"/>
              <w:rPr>
                <w:rFonts w:hint="eastAsia" w:ascii="宋体" w:hAnsi="宋体"/>
                <w:b/>
                <w:bCs/>
                <w:szCs w:val="21"/>
                <w:highlight w:val="none"/>
              </w:rPr>
            </w:pPr>
            <w:r>
              <w:rPr>
                <w:rFonts w:hint="eastAsia" w:ascii="宋体" w:hAnsi="宋体"/>
                <w:b/>
                <w:bCs/>
                <w:szCs w:val="21"/>
                <w:highlight w:val="none"/>
              </w:rPr>
              <w:t>存款利率水平</w:t>
            </w:r>
          </w:p>
        </w:tc>
        <w:tc>
          <w:tcPr>
            <w:tcW w:w="3484" w:type="dxa"/>
            <w:noWrap w:val="0"/>
            <w:vAlign w:val="center"/>
          </w:tcPr>
          <w:p w14:paraId="549FB693">
            <w:pPr>
              <w:tabs>
                <w:tab w:val="left" w:pos="2670"/>
              </w:tabs>
              <w:adjustRightInd w:val="0"/>
              <w:jc w:val="center"/>
              <w:rPr>
                <w:rFonts w:hint="default" w:ascii="宋体" w:hAnsi="宋体" w:eastAsia="宋体"/>
                <w:b/>
                <w:bCs/>
                <w:szCs w:val="21"/>
                <w:highlight w:val="none"/>
                <w:lang w:val="en-US" w:eastAsia="zh-CN"/>
              </w:rPr>
            </w:pPr>
            <w:r>
              <w:rPr>
                <w:rFonts w:hint="eastAsia" w:ascii="宋体" w:hAnsi="宋体"/>
                <w:b/>
                <w:bCs/>
                <w:szCs w:val="21"/>
                <w:highlight w:val="none"/>
                <w:lang w:val="en-US" w:eastAsia="zh-CN"/>
              </w:rPr>
              <w:t>报价</w:t>
            </w:r>
          </w:p>
        </w:tc>
      </w:tr>
      <w:tr w14:paraId="724813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670" w:type="dxa"/>
            <w:vMerge w:val="restart"/>
            <w:noWrap w:val="0"/>
            <w:vAlign w:val="center"/>
          </w:tcPr>
          <w:p w14:paraId="1482DBB1">
            <w:pPr>
              <w:tabs>
                <w:tab w:val="left" w:pos="2670"/>
              </w:tabs>
              <w:adjustRightInd w:val="0"/>
              <w:spacing w:line="360" w:lineRule="auto"/>
              <w:jc w:val="center"/>
              <w:rPr>
                <w:rFonts w:hint="eastAsia" w:ascii="宋体" w:hAnsi="宋体"/>
                <w:szCs w:val="21"/>
                <w:highlight w:val="none"/>
              </w:rPr>
            </w:pPr>
            <w:r>
              <w:rPr>
                <w:rFonts w:hint="eastAsia" w:ascii="宋体" w:hAnsi="宋体" w:cs="Times New Roman"/>
                <w:b/>
                <w:bCs/>
                <w:szCs w:val="21"/>
                <w:highlight w:val="none"/>
                <w:lang w:eastAsia="zh-CN"/>
              </w:rPr>
              <w:t>中国共产党宁波市北仑区委员会春晓街道工作委员会银行专户开立服务机构招标项目</w:t>
            </w:r>
          </w:p>
        </w:tc>
        <w:tc>
          <w:tcPr>
            <w:tcW w:w="3225" w:type="dxa"/>
            <w:noWrap w:val="0"/>
            <w:vAlign w:val="center"/>
          </w:tcPr>
          <w:p w14:paraId="484D42E7">
            <w:pPr>
              <w:tabs>
                <w:tab w:val="left" w:pos="2670"/>
              </w:tabs>
              <w:adjustRightInd w:val="0"/>
              <w:spacing w:line="360" w:lineRule="auto"/>
              <w:jc w:val="center"/>
              <w:rPr>
                <w:rFonts w:hint="eastAsia" w:ascii="宋体" w:hAnsi="宋体" w:cs="宋体"/>
                <w:szCs w:val="21"/>
                <w:highlight w:val="none"/>
                <w:lang w:val="zh-CN"/>
              </w:rPr>
            </w:pPr>
            <w:r>
              <w:rPr>
                <w:rFonts w:hint="eastAsia" w:ascii="宋体" w:hAnsi="宋体"/>
                <w:b/>
                <w:bCs/>
                <w:szCs w:val="21"/>
                <w:highlight w:val="none"/>
                <w:lang w:eastAsia="zh-CN"/>
              </w:rPr>
              <w:t>活期</w:t>
            </w:r>
            <w:r>
              <w:rPr>
                <w:rFonts w:hint="eastAsia" w:ascii="宋体" w:hAnsi="宋体"/>
                <w:b/>
                <w:bCs/>
                <w:szCs w:val="21"/>
                <w:highlight w:val="none"/>
              </w:rPr>
              <w:t>存款利率</w:t>
            </w:r>
          </w:p>
        </w:tc>
        <w:tc>
          <w:tcPr>
            <w:tcW w:w="3484" w:type="dxa"/>
            <w:noWrap w:val="0"/>
            <w:vAlign w:val="center"/>
          </w:tcPr>
          <w:p w14:paraId="3B67C127">
            <w:pPr>
              <w:tabs>
                <w:tab w:val="left" w:pos="2670"/>
              </w:tabs>
              <w:adjustRightInd w:val="0"/>
              <w:jc w:val="center"/>
              <w:rPr>
                <w:rFonts w:hint="eastAsia" w:ascii="宋体" w:hAnsi="宋体"/>
                <w:b/>
                <w:szCs w:val="21"/>
                <w:highlight w:val="none"/>
              </w:rPr>
            </w:pPr>
            <w:r>
              <w:rPr>
                <w:rFonts w:ascii="宋体" w:hAnsi="宋体" w:cs="宋体"/>
                <w:b/>
                <w:bCs/>
                <w:szCs w:val="21"/>
              </w:rPr>
              <w:t>承诺按最新自律管理机制上限结合人民银行最新规定上限提供</w:t>
            </w:r>
          </w:p>
        </w:tc>
      </w:tr>
      <w:tr w14:paraId="267A8D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670" w:type="dxa"/>
            <w:vMerge w:val="continue"/>
            <w:noWrap w:val="0"/>
            <w:vAlign w:val="center"/>
          </w:tcPr>
          <w:p w14:paraId="451E8739">
            <w:pPr>
              <w:tabs>
                <w:tab w:val="left" w:pos="2670"/>
              </w:tabs>
              <w:adjustRightInd w:val="0"/>
              <w:spacing w:line="360" w:lineRule="auto"/>
              <w:jc w:val="center"/>
              <w:rPr>
                <w:rFonts w:hint="eastAsia" w:ascii="宋体" w:hAnsi="宋体"/>
                <w:bCs/>
                <w:szCs w:val="21"/>
                <w:highlight w:val="none"/>
                <w:lang w:val="zh-CN"/>
              </w:rPr>
            </w:pPr>
          </w:p>
        </w:tc>
        <w:tc>
          <w:tcPr>
            <w:tcW w:w="3225" w:type="dxa"/>
            <w:noWrap w:val="0"/>
            <w:vAlign w:val="center"/>
          </w:tcPr>
          <w:p w14:paraId="4F841427">
            <w:pPr>
              <w:tabs>
                <w:tab w:val="left" w:pos="2670"/>
              </w:tabs>
              <w:adjustRightInd w:val="0"/>
              <w:spacing w:line="360" w:lineRule="auto"/>
              <w:jc w:val="center"/>
              <w:rPr>
                <w:rFonts w:hint="eastAsia" w:ascii="宋体" w:hAnsi="宋体" w:cs="宋体"/>
                <w:szCs w:val="21"/>
                <w:highlight w:val="none"/>
                <w:lang w:val="zh-CN"/>
              </w:rPr>
            </w:pPr>
            <w:r>
              <w:rPr>
                <w:rFonts w:hint="eastAsia" w:ascii="宋体" w:hAnsi="宋体"/>
                <w:b/>
                <w:bCs/>
                <w:szCs w:val="21"/>
                <w:highlight w:val="none"/>
                <w:lang w:eastAsia="zh-CN"/>
              </w:rPr>
              <w:t>协定</w:t>
            </w:r>
            <w:r>
              <w:rPr>
                <w:rFonts w:hint="eastAsia" w:ascii="宋体" w:hAnsi="宋体"/>
                <w:b/>
                <w:bCs/>
                <w:szCs w:val="21"/>
                <w:highlight w:val="none"/>
              </w:rPr>
              <w:t>存款利率</w:t>
            </w:r>
          </w:p>
        </w:tc>
        <w:tc>
          <w:tcPr>
            <w:tcW w:w="3484" w:type="dxa"/>
            <w:noWrap w:val="0"/>
            <w:vAlign w:val="center"/>
          </w:tcPr>
          <w:p w14:paraId="758A039E">
            <w:pPr>
              <w:tabs>
                <w:tab w:val="left" w:pos="2670"/>
              </w:tabs>
              <w:adjustRightInd w:val="0"/>
              <w:jc w:val="center"/>
              <w:rPr>
                <w:rFonts w:hint="eastAsia" w:ascii="宋体" w:hAnsi="宋体"/>
                <w:b/>
                <w:szCs w:val="21"/>
                <w:highlight w:val="none"/>
                <w:u w:val="single"/>
              </w:rPr>
            </w:pPr>
            <w:r>
              <w:rPr>
                <w:rFonts w:ascii="宋体" w:hAnsi="宋体" w:cs="宋体"/>
                <w:b/>
                <w:bCs/>
                <w:szCs w:val="21"/>
              </w:rPr>
              <w:t>承诺按最新自律管理机制上限结合人民银行最新规定上限提供</w:t>
            </w:r>
          </w:p>
        </w:tc>
      </w:tr>
      <w:tr w14:paraId="3858A0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670" w:type="dxa"/>
            <w:vMerge w:val="continue"/>
            <w:noWrap w:val="0"/>
            <w:vAlign w:val="center"/>
          </w:tcPr>
          <w:p w14:paraId="26FA018A">
            <w:pPr>
              <w:tabs>
                <w:tab w:val="left" w:pos="2670"/>
              </w:tabs>
              <w:adjustRightInd w:val="0"/>
              <w:spacing w:line="360" w:lineRule="auto"/>
              <w:jc w:val="center"/>
              <w:rPr>
                <w:rFonts w:hint="eastAsia" w:ascii="宋体" w:hAnsi="宋体"/>
                <w:bCs/>
                <w:szCs w:val="21"/>
                <w:highlight w:val="none"/>
                <w:lang w:val="zh-CN"/>
              </w:rPr>
            </w:pPr>
          </w:p>
        </w:tc>
        <w:tc>
          <w:tcPr>
            <w:tcW w:w="3225" w:type="dxa"/>
            <w:noWrap w:val="0"/>
            <w:vAlign w:val="center"/>
          </w:tcPr>
          <w:p w14:paraId="1BBA3882">
            <w:pPr>
              <w:tabs>
                <w:tab w:val="left" w:pos="2670"/>
              </w:tabs>
              <w:adjustRightInd w:val="0"/>
              <w:spacing w:line="360" w:lineRule="auto"/>
              <w:jc w:val="center"/>
              <w:rPr>
                <w:rFonts w:hint="eastAsia" w:ascii="宋体" w:hAnsi="宋体"/>
                <w:b/>
                <w:bCs/>
                <w:szCs w:val="21"/>
                <w:highlight w:val="none"/>
              </w:rPr>
            </w:pPr>
            <w:r>
              <w:rPr>
                <w:rFonts w:hint="eastAsia" w:ascii="宋体" w:hAnsi="宋体"/>
                <w:b/>
                <w:bCs/>
                <w:szCs w:val="21"/>
                <w:highlight w:val="none"/>
                <w:lang w:eastAsia="zh-CN"/>
              </w:rPr>
              <w:t>通知</w:t>
            </w:r>
            <w:r>
              <w:rPr>
                <w:rFonts w:hint="eastAsia" w:ascii="宋体" w:hAnsi="宋体"/>
                <w:b/>
                <w:bCs/>
                <w:szCs w:val="21"/>
                <w:highlight w:val="none"/>
              </w:rPr>
              <w:t>存款利率</w:t>
            </w:r>
          </w:p>
        </w:tc>
        <w:tc>
          <w:tcPr>
            <w:tcW w:w="3484" w:type="dxa"/>
            <w:noWrap w:val="0"/>
            <w:vAlign w:val="center"/>
          </w:tcPr>
          <w:p w14:paraId="2247ECD3">
            <w:pPr>
              <w:tabs>
                <w:tab w:val="left" w:pos="2670"/>
              </w:tabs>
              <w:adjustRightInd w:val="0"/>
              <w:jc w:val="center"/>
              <w:rPr>
                <w:rFonts w:hint="eastAsia" w:hAnsi="宋体"/>
                <w:b/>
                <w:bCs/>
                <w:szCs w:val="21"/>
                <w:highlight w:val="none"/>
              </w:rPr>
            </w:pPr>
            <w:r>
              <w:rPr>
                <w:rFonts w:ascii="宋体" w:hAnsi="宋体" w:cs="宋体"/>
                <w:b/>
                <w:bCs/>
                <w:szCs w:val="21"/>
              </w:rPr>
              <w:t>承诺按最新自律管理机制上限结合人民银行最新规定上限提供</w:t>
            </w:r>
          </w:p>
        </w:tc>
      </w:tr>
      <w:tr w14:paraId="4CF72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670" w:type="dxa"/>
            <w:vMerge w:val="continue"/>
            <w:noWrap w:val="0"/>
            <w:vAlign w:val="center"/>
          </w:tcPr>
          <w:p w14:paraId="4E4C2123">
            <w:pPr>
              <w:tabs>
                <w:tab w:val="left" w:pos="2670"/>
              </w:tabs>
              <w:adjustRightInd w:val="0"/>
              <w:spacing w:line="360" w:lineRule="auto"/>
              <w:jc w:val="center"/>
              <w:rPr>
                <w:rFonts w:hint="eastAsia" w:ascii="宋体" w:hAnsi="宋体"/>
                <w:bCs/>
                <w:szCs w:val="21"/>
                <w:highlight w:val="none"/>
                <w:lang w:val="zh-CN"/>
              </w:rPr>
            </w:pPr>
          </w:p>
        </w:tc>
        <w:tc>
          <w:tcPr>
            <w:tcW w:w="3225" w:type="dxa"/>
            <w:noWrap w:val="0"/>
            <w:vAlign w:val="center"/>
          </w:tcPr>
          <w:p w14:paraId="35FF486E">
            <w:pPr>
              <w:tabs>
                <w:tab w:val="left" w:pos="2670"/>
              </w:tabs>
              <w:adjustRightInd w:val="0"/>
              <w:spacing w:line="360" w:lineRule="auto"/>
              <w:jc w:val="center"/>
              <w:rPr>
                <w:rFonts w:hint="eastAsia" w:ascii="宋体" w:hAnsi="宋体" w:eastAsia="宋体" w:cs="宋体"/>
                <w:szCs w:val="21"/>
                <w:highlight w:val="none"/>
                <w:lang w:val="zh-CN" w:eastAsia="zh-CN"/>
              </w:rPr>
            </w:pPr>
            <w:r>
              <w:rPr>
                <w:rFonts w:hint="eastAsia" w:ascii="宋体" w:hAnsi="宋体"/>
                <w:b/>
                <w:bCs/>
                <w:szCs w:val="21"/>
                <w:highlight w:val="none"/>
                <w:lang w:eastAsia="zh-CN"/>
              </w:rPr>
              <w:t>定期</w:t>
            </w:r>
            <w:r>
              <w:rPr>
                <w:rFonts w:hint="eastAsia" w:ascii="宋体" w:hAnsi="宋体"/>
                <w:b/>
                <w:bCs/>
                <w:szCs w:val="21"/>
                <w:highlight w:val="none"/>
              </w:rPr>
              <w:t>存款利率</w:t>
            </w:r>
            <w:r>
              <w:rPr>
                <w:rFonts w:hint="eastAsia" w:ascii="宋体" w:hAnsi="宋体"/>
                <w:b/>
                <w:bCs/>
                <w:szCs w:val="21"/>
                <w:highlight w:val="none"/>
                <w:lang w:eastAsia="zh-CN"/>
              </w:rPr>
              <w:t>（一年期及以内）</w:t>
            </w:r>
          </w:p>
        </w:tc>
        <w:tc>
          <w:tcPr>
            <w:tcW w:w="3484" w:type="dxa"/>
            <w:noWrap w:val="0"/>
            <w:vAlign w:val="center"/>
          </w:tcPr>
          <w:p w14:paraId="004219F3">
            <w:pPr>
              <w:tabs>
                <w:tab w:val="left" w:pos="2670"/>
              </w:tabs>
              <w:adjustRightInd w:val="0"/>
              <w:jc w:val="center"/>
              <w:rPr>
                <w:rFonts w:hint="eastAsia" w:ascii="宋体" w:hAnsi="宋体"/>
                <w:b/>
                <w:szCs w:val="21"/>
                <w:highlight w:val="none"/>
                <w:u w:val="single"/>
              </w:rPr>
            </w:pPr>
            <w:r>
              <w:rPr>
                <w:rFonts w:ascii="宋体" w:hAnsi="宋体" w:cs="宋体"/>
                <w:b/>
                <w:bCs/>
                <w:szCs w:val="21"/>
              </w:rPr>
              <w:t>承诺按最新自律管理机制上限结合人民银行最新规定上限提供</w:t>
            </w:r>
          </w:p>
        </w:tc>
      </w:tr>
    </w:tbl>
    <w:p w14:paraId="2833033B">
      <w:pPr>
        <w:spacing w:beforeLines="50"/>
        <w:rPr>
          <w:rFonts w:ascii="宋体" w:hAnsi="宋体"/>
          <w:szCs w:val="21"/>
        </w:rPr>
      </w:pPr>
    </w:p>
    <w:p w14:paraId="5E718741">
      <w:pPr>
        <w:spacing w:line="400" w:lineRule="exact"/>
        <w:ind w:firstLine="315" w:firstLineChars="150"/>
        <w:rPr>
          <w:rFonts w:ascii="宋体" w:hAnsi="宋体"/>
          <w:szCs w:val="21"/>
        </w:rPr>
      </w:pPr>
      <w:r>
        <w:rPr>
          <w:rFonts w:hint="eastAsia" w:ascii="宋体" w:hAnsi="宋体"/>
          <w:szCs w:val="21"/>
        </w:rPr>
        <w:t>说明：</w:t>
      </w:r>
      <w:r>
        <w:rPr>
          <w:rFonts w:hint="eastAsia" w:ascii="宋体" w:hAnsi="宋体" w:cs="宋体"/>
          <w:iCs/>
          <w:kern w:val="0"/>
          <w:szCs w:val="21"/>
          <w:highlight w:val="none"/>
          <w:lang w:val="en-US" w:eastAsia="zh-CN"/>
        </w:rPr>
        <w:t>利率报价应符合</w:t>
      </w:r>
      <w:r>
        <w:rPr>
          <w:rFonts w:hint="eastAsia" w:ascii="宋体" w:hAnsi="宋体" w:cs="宋体"/>
          <w:iCs/>
          <w:kern w:val="0"/>
          <w:szCs w:val="21"/>
          <w:highlight w:val="none"/>
        </w:rPr>
        <w:t>最新自律管理机制</w:t>
      </w:r>
      <w:r>
        <w:rPr>
          <w:rFonts w:hint="eastAsia" w:ascii="宋体" w:hAnsi="宋体" w:cs="宋体"/>
          <w:iCs/>
          <w:kern w:val="0"/>
          <w:szCs w:val="21"/>
          <w:highlight w:val="none"/>
          <w:lang w:eastAsia="zh-CN"/>
        </w:rPr>
        <w:t>和</w:t>
      </w:r>
      <w:r>
        <w:rPr>
          <w:rFonts w:hint="eastAsia" w:ascii="宋体" w:hAnsi="宋体" w:cs="宋体"/>
          <w:iCs/>
          <w:kern w:val="0"/>
          <w:szCs w:val="21"/>
          <w:highlight w:val="none"/>
        </w:rPr>
        <w:t>人民银行最新规定，</w:t>
      </w:r>
      <w:r>
        <w:rPr>
          <w:rFonts w:hint="eastAsia" w:ascii="宋体" w:hAnsi="宋体" w:cs="宋体"/>
          <w:iCs/>
          <w:kern w:val="0"/>
          <w:szCs w:val="21"/>
          <w:highlight w:val="none"/>
          <w:lang w:val="en-US" w:eastAsia="zh-CN"/>
        </w:rPr>
        <w:t>可采用承诺制</w:t>
      </w:r>
      <w:r>
        <w:rPr>
          <w:rFonts w:hint="eastAsia" w:ascii="宋体" w:hAnsi="宋体"/>
          <w:szCs w:val="21"/>
          <w:highlight w:val="none"/>
        </w:rPr>
        <w:t>。</w:t>
      </w:r>
    </w:p>
    <w:p w14:paraId="6AB52E99">
      <w:pPr>
        <w:spacing w:line="360" w:lineRule="auto"/>
        <w:rPr>
          <w:rFonts w:ascii="宋体" w:hAnsi="宋体"/>
          <w:szCs w:val="21"/>
        </w:rPr>
      </w:pPr>
    </w:p>
    <w:p w14:paraId="45B522B8">
      <w:pPr>
        <w:spacing w:line="400" w:lineRule="exact"/>
        <w:rPr>
          <w:rFonts w:ascii="宋体" w:hAnsi="宋体"/>
          <w:szCs w:val="21"/>
          <w:u w:val="single"/>
        </w:rPr>
      </w:pPr>
      <w:r>
        <w:rPr>
          <w:rFonts w:ascii="宋体" w:hAnsi="宋体"/>
          <w:szCs w:val="21"/>
        </w:rPr>
        <w:t>投标人</w:t>
      </w:r>
      <w:r>
        <w:rPr>
          <w:rFonts w:ascii="宋体" w:hAnsi="宋体"/>
          <w:szCs w:val="21"/>
          <w:u w:val="single"/>
        </w:rPr>
        <w:t xml:space="preserve">                               </w:t>
      </w:r>
      <w:r>
        <w:rPr>
          <w:rFonts w:ascii="宋体" w:hAnsi="宋体"/>
          <w:szCs w:val="21"/>
        </w:rPr>
        <w:t>（盖</w:t>
      </w:r>
      <w:r>
        <w:rPr>
          <w:rFonts w:hint="eastAsia" w:ascii="宋体" w:hAnsi="宋体"/>
          <w:szCs w:val="21"/>
        </w:rPr>
        <w:t>公</w:t>
      </w:r>
      <w:r>
        <w:rPr>
          <w:rFonts w:ascii="宋体" w:hAnsi="宋体"/>
          <w:szCs w:val="21"/>
        </w:rPr>
        <w:t>章）</w:t>
      </w:r>
    </w:p>
    <w:p w14:paraId="2C87EE90">
      <w:pPr>
        <w:spacing w:line="400" w:lineRule="exact"/>
        <w:rPr>
          <w:rFonts w:ascii="宋体" w:hAnsi="宋体"/>
          <w:szCs w:val="21"/>
        </w:rPr>
      </w:pPr>
    </w:p>
    <w:p w14:paraId="323234CE">
      <w:pPr>
        <w:spacing w:line="400" w:lineRule="exact"/>
        <w:rPr>
          <w:rFonts w:ascii="宋体" w:hAnsi="宋体"/>
          <w:szCs w:val="21"/>
          <w:u w:val="single"/>
        </w:rPr>
      </w:pPr>
      <w:r>
        <w:rPr>
          <w:rFonts w:ascii="宋体" w:hAnsi="宋体"/>
          <w:szCs w:val="21"/>
        </w:rPr>
        <w:t>法定代表人</w:t>
      </w:r>
      <w:r>
        <w:rPr>
          <w:rFonts w:hint="eastAsia" w:ascii="宋体" w:hAnsi="宋体"/>
          <w:szCs w:val="21"/>
        </w:rPr>
        <w:t>（或单位负责人）</w:t>
      </w:r>
      <w:r>
        <w:rPr>
          <w:rFonts w:ascii="宋体" w:hAnsi="宋体"/>
          <w:szCs w:val="21"/>
        </w:rPr>
        <w:t>或</w:t>
      </w:r>
      <w:r>
        <w:rPr>
          <w:rFonts w:hint="eastAsia" w:ascii="宋体" w:hAnsi="宋体"/>
          <w:szCs w:val="21"/>
        </w:rPr>
        <w:t>其</w:t>
      </w:r>
      <w:r>
        <w:rPr>
          <w:rFonts w:ascii="宋体" w:hAnsi="宋体"/>
          <w:szCs w:val="21"/>
        </w:rPr>
        <w:t>授权</w:t>
      </w:r>
      <w:r>
        <w:rPr>
          <w:rFonts w:hint="eastAsia" w:ascii="宋体" w:hAnsi="宋体"/>
          <w:szCs w:val="21"/>
        </w:rPr>
        <w:t>代理</w:t>
      </w:r>
      <w:r>
        <w:rPr>
          <w:rFonts w:ascii="宋体" w:hAnsi="宋体"/>
          <w:szCs w:val="21"/>
        </w:rPr>
        <w:t>人</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14:paraId="60BB961A">
      <w:pPr>
        <w:spacing w:line="400" w:lineRule="exact"/>
        <w:jc w:val="left"/>
        <w:rPr>
          <w:rFonts w:ascii="宋体" w:hAnsi="宋体"/>
          <w:szCs w:val="21"/>
        </w:rPr>
      </w:pPr>
    </w:p>
    <w:p w14:paraId="44BB088A">
      <w:pPr>
        <w:spacing w:line="400" w:lineRule="exact"/>
        <w:jc w:val="left"/>
        <w:rPr>
          <w:rFonts w:ascii="宋体" w:hAnsi="宋体"/>
          <w:szCs w:val="21"/>
        </w:rPr>
      </w:pPr>
      <w:r>
        <w:rPr>
          <w:rFonts w:ascii="宋体" w:hAnsi="宋体"/>
          <w:szCs w:val="21"/>
        </w:rPr>
        <w:t>日期：    年    月    日</w:t>
      </w:r>
    </w:p>
    <w:p w14:paraId="5A5EF3EF">
      <w:pPr>
        <w:spacing w:line="360" w:lineRule="auto"/>
        <w:rPr>
          <w:rFonts w:ascii="宋体" w:hAnsi="宋体"/>
          <w:b/>
          <w:szCs w:val="21"/>
        </w:rPr>
      </w:pPr>
      <w:r>
        <w:rPr>
          <w:rFonts w:ascii="宋体" w:hAnsi="宋体"/>
          <w:szCs w:val="21"/>
        </w:rPr>
        <w:br w:type="page"/>
      </w:r>
      <w:r>
        <w:rPr>
          <w:rFonts w:hint="eastAsia" w:ascii="宋体" w:hAnsi="宋体"/>
          <w:szCs w:val="21"/>
        </w:rPr>
        <w:t>附件三</w:t>
      </w:r>
    </w:p>
    <w:p w14:paraId="664D450A">
      <w:pPr>
        <w:spacing w:line="360" w:lineRule="auto"/>
        <w:rPr>
          <w:rFonts w:ascii="宋体" w:hAnsi="宋体"/>
          <w:szCs w:val="21"/>
        </w:rPr>
      </w:pPr>
    </w:p>
    <w:p w14:paraId="025F2ED5">
      <w:pPr>
        <w:spacing w:line="360" w:lineRule="auto"/>
        <w:rPr>
          <w:rFonts w:ascii="宋体" w:hAnsi="宋体"/>
          <w:szCs w:val="21"/>
        </w:rPr>
      </w:pPr>
    </w:p>
    <w:p w14:paraId="0AE85088">
      <w:pPr>
        <w:snapToGrid w:val="0"/>
        <w:jc w:val="center"/>
        <w:rPr>
          <w:rFonts w:ascii="宋体" w:hAnsi="宋体"/>
          <w:b/>
          <w:szCs w:val="21"/>
        </w:rPr>
      </w:pPr>
      <w:r>
        <w:rPr>
          <w:rFonts w:hint="eastAsia" w:ascii="宋体" w:hAnsi="宋体"/>
          <w:b/>
          <w:szCs w:val="21"/>
        </w:rPr>
        <w:t>法定代表人（或单位负责人）身份证明书</w:t>
      </w:r>
    </w:p>
    <w:p w14:paraId="21FB75E0">
      <w:pPr>
        <w:spacing w:line="360" w:lineRule="auto"/>
        <w:rPr>
          <w:rFonts w:ascii="宋体" w:hAnsi="宋体"/>
          <w:szCs w:val="21"/>
        </w:rPr>
      </w:pPr>
    </w:p>
    <w:p w14:paraId="4072625D">
      <w:pPr>
        <w:spacing w:line="360" w:lineRule="auto"/>
        <w:rPr>
          <w:rFonts w:ascii="宋体" w:hAnsi="宋体"/>
          <w:szCs w:val="21"/>
        </w:rPr>
      </w:pPr>
    </w:p>
    <w:p w14:paraId="43FADED2">
      <w:pPr>
        <w:spacing w:line="360" w:lineRule="auto"/>
        <w:ind w:firstLine="210" w:firstLineChars="100"/>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14:paraId="52004C83">
      <w:pPr>
        <w:spacing w:line="360" w:lineRule="auto"/>
        <w:ind w:firstLine="210" w:firstLineChars="100"/>
        <w:rPr>
          <w:rFonts w:ascii="宋体" w:hAnsi="宋体"/>
          <w:szCs w:val="21"/>
        </w:rPr>
      </w:pPr>
      <w:r>
        <w:rPr>
          <w:rFonts w:hint="eastAsia" w:ascii="宋体" w:hAnsi="宋体"/>
          <w:szCs w:val="21"/>
        </w:rPr>
        <w:t>单位性质：</w:t>
      </w:r>
      <w:r>
        <w:rPr>
          <w:rFonts w:hint="eastAsia" w:ascii="宋体" w:hAnsi="宋体"/>
          <w:szCs w:val="21"/>
          <w:u w:val="single"/>
        </w:rPr>
        <w:t xml:space="preserve">                                                    </w:t>
      </w:r>
    </w:p>
    <w:p w14:paraId="25B28D0D">
      <w:pPr>
        <w:spacing w:line="360" w:lineRule="auto"/>
        <w:ind w:firstLine="210" w:firstLineChars="100"/>
        <w:rPr>
          <w:rFonts w:ascii="宋体" w:hAnsi="宋体"/>
          <w:szCs w:val="21"/>
        </w:rPr>
      </w:pPr>
      <w:r>
        <w:rPr>
          <w:rFonts w:hint="eastAsia" w:ascii="宋体" w:hAnsi="宋体"/>
          <w:szCs w:val="21"/>
        </w:rPr>
        <w:t>成立时间：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14:paraId="45D9AF89">
      <w:pPr>
        <w:spacing w:line="360" w:lineRule="auto"/>
        <w:ind w:firstLine="210" w:firstLineChars="100"/>
        <w:rPr>
          <w:rFonts w:ascii="宋体" w:hAnsi="宋体"/>
          <w:szCs w:val="21"/>
          <w:u w:val="single"/>
        </w:rPr>
      </w:pPr>
      <w:r>
        <w:rPr>
          <w:rFonts w:hint="eastAsia" w:ascii="宋体" w:hAnsi="宋体"/>
          <w:szCs w:val="21"/>
        </w:rPr>
        <w:t>经营期限：</w:t>
      </w:r>
      <w:r>
        <w:rPr>
          <w:rFonts w:hint="eastAsia" w:ascii="宋体" w:hAnsi="宋体"/>
          <w:szCs w:val="21"/>
          <w:u w:val="single"/>
        </w:rPr>
        <w:t xml:space="preserve">                                                    </w:t>
      </w:r>
    </w:p>
    <w:p w14:paraId="39449D90">
      <w:pPr>
        <w:spacing w:line="360" w:lineRule="auto"/>
        <w:ind w:firstLine="210" w:firstLineChars="1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rPr>
        <w:t>性别：</w:t>
      </w:r>
      <w:r>
        <w:rPr>
          <w:rFonts w:ascii="宋体" w:hAnsi="宋体"/>
          <w:szCs w:val="21"/>
          <w:u w:val="single"/>
        </w:rPr>
        <w:t xml:space="preserve">      </w:t>
      </w:r>
      <w:r>
        <w:rPr>
          <w:rFonts w:hint="eastAsia" w:ascii="宋体" w:hAnsi="宋体"/>
          <w:szCs w:val="21"/>
        </w:rPr>
        <w:t>年龄：</w:t>
      </w:r>
      <w:r>
        <w:rPr>
          <w:rFonts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14:paraId="34B05190">
      <w:pPr>
        <w:spacing w:line="360" w:lineRule="auto"/>
        <w:ind w:firstLine="210" w:firstLineChars="100"/>
        <w:rPr>
          <w:rFonts w:ascii="宋体" w:hAnsi="宋体"/>
          <w:szCs w:val="21"/>
        </w:rPr>
      </w:pPr>
      <w:r>
        <w:rPr>
          <w:rFonts w:hint="eastAsia" w:ascii="宋体" w:hAnsi="宋体"/>
          <w:szCs w:val="21"/>
        </w:rPr>
        <w:t>系</w:t>
      </w:r>
      <w:r>
        <w:rPr>
          <w:rFonts w:ascii="宋体" w:hAnsi="宋体"/>
          <w:szCs w:val="21"/>
          <w:u w:val="single"/>
        </w:rPr>
        <w:t xml:space="preserve">                       </w:t>
      </w:r>
      <w:r>
        <w:rPr>
          <w:rFonts w:ascii="宋体" w:hAnsi="宋体"/>
          <w:szCs w:val="21"/>
        </w:rPr>
        <w:t>(</w:t>
      </w:r>
      <w:r>
        <w:rPr>
          <w:rFonts w:hint="eastAsia" w:ascii="宋体" w:hAnsi="宋体"/>
          <w:szCs w:val="21"/>
        </w:rPr>
        <w:t>投标人名称</w:t>
      </w:r>
      <w:r>
        <w:rPr>
          <w:rFonts w:ascii="宋体" w:hAnsi="宋体"/>
          <w:szCs w:val="21"/>
        </w:rPr>
        <w:t>)</w:t>
      </w:r>
      <w:r>
        <w:rPr>
          <w:rFonts w:hint="eastAsia" w:ascii="宋体" w:hAnsi="宋体"/>
          <w:szCs w:val="21"/>
        </w:rPr>
        <w:t>的法定代表人（或单位负责人）。</w:t>
      </w:r>
    </w:p>
    <w:p w14:paraId="09BB4FFE">
      <w:pPr>
        <w:spacing w:line="360" w:lineRule="auto"/>
        <w:rPr>
          <w:rFonts w:ascii="宋体" w:hAnsi="宋体"/>
          <w:szCs w:val="21"/>
        </w:rPr>
      </w:pPr>
    </w:p>
    <w:p w14:paraId="1BF22D67">
      <w:pPr>
        <w:spacing w:line="360" w:lineRule="auto"/>
        <w:rPr>
          <w:rFonts w:ascii="宋体" w:hAnsi="宋体"/>
          <w:szCs w:val="21"/>
        </w:rPr>
      </w:pPr>
    </w:p>
    <w:p w14:paraId="32D9F9E7">
      <w:pPr>
        <w:spacing w:line="360" w:lineRule="auto"/>
        <w:rPr>
          <w:rFonts w:ascii="宋体" w:hAnsi="宋体"/>
          <w:szCs w:val="21"/>
        </w:rPr>
      </w:pPr>
    </w:p>
    <w:p w14:paraId="24DFD981">
      <w:pPr>
        <w:spacing w:line="360" w:lineRule="auto"/>
        <w:ind w:firstLine="749" w:firstLineChars="357"/>
        <w:rPr>
          <w:rFonts w:ascii="宋体" w:hAnsi="宋体"/>
          <w:szCs w:val="21"/>
        </w:rPr>
      </w:pPr>
      <w:r>
        <w:rPr>
          <w:rFonts w:hint="eastAsia" w:ascii="宋体" w:hAnsi="宋体"/>
          <w:szCs w:val="21"/>
        </w:rPr>
        <w:t>特此证明。</w:t>
      </w:r>
    </w:p>
    <w:p w14:paraId="70D81CD9">
      <w:pPr>
        <w:spacing w:line="360" w:lineRule="auto"/>
        <w:rPr>
          <w:rFonts w:ascii="宋体" w:hAnsi="宋体"/>
          <w:szCs w:val="21"/>
        </w:rPr>
      </w:pPr>
    </w:p>
    <w:p w14:paraId="57C9CDA4">
      <w:pPr>
        <w:spacing w:line="360" w:lineRule="auto"/>
        <w:rPr>
          <w:rFonts w:ascii="宋体" w:hAnsi="宋体"/>
          <w:szCs w:val="21"/>
        </w:rPr>
      </w:pPr>
    </w:p>
    <w:p w14:paraId="1ECE08F8">
      <w:pPr>
        <w:spacing w:line="360" w:lineRule="auto"/>
        <w:rPr>
          <w:rFonts w:ascii="宋体" w:hAnsi="宋体"/>
          <w:szCs w:val="21"/>
        </w:rPr>
      </w:pPr>
    </w:p>
    <w:p w14:paraId="4BDB7981">
      <w:pPr>
        <w:spacing w:line="360" w:lineRule="auto"/>
        <w:rPr>
          <w:rFonts w:ascii="宋体" w:hAnsi="宋体"/>
          <w:szCs w:val="21"/>
        </w:rPr>
      </w:pPr>
    </w:p>
    <w:p w14:paraId="73813046">
      <w:pPr>
        <w:spacing w:line="360" w:lineRule="auto"/>
        <w:ind w:right="120" w:firstLine="435"/>
        <w:jc w:val="right"/>
        <w:rPr>
          <w:rFonts w:ascii="宋体" w:hAnsi="宋体"/>
          <w:szCs w:val="21"/>
        </w:rPr>
      </w:pPr>
      <w:r>
        <w:rPr>
          <w:rFonts w:ascii="宋体" w:hAnsi="宋体"/>
          <w:szCs w:val="21"/>
        </w:rPr>
        <w:t xml:space="preserve"> </w:t>
      </w:r>
      <w:r>
        <w:rPr>
          <w:rFonts w:hint="eastAsia" w:ascii="宋体" w:hAnsi="宋体"/>
          <w:szCs w:val="21"/>
        </w:rPr>
        <w:t>投标人：</w:t>
      </w:r>
      <w:r>
        <w:rPr>
          <w:rFonts w:ascii="宋体" w:hAnsi="宋体"/>
          <w:szCs w:val="21"/>
          <w:u w:val="single"/>
        </w:rPr>
        <w:t xml:space="preserve">             </w:t>
      </w:r>
      <w:r>
        <w:rPr>
          <w:rFonts w:ascii="宋体" w:hAnsi="宋体"/>
          <w:szCs w:val="21"/>
        </w:rPr>
        <w:t xml:space="preserve"> (</w:t>
      </w:r>
      <w:r>
        <w:rPr>
          <w:rFonts w:hint="eastAsia" w:ascii="宋体" w:hAnsi="宋体"/>
          <w:szCs w:val="21"/>
        </w:rPr>
        <w:t>盖公章</w:t>
      </w:r>
      <w:r>
        <w:rPr>
          <w:rFonts w:ascii="宋体" w:hAnsi="宋体"/>
          <w:szCs w:val="21"/>
        </w:rPr>
        <w:t>)</w:t>
      </w:r>
    </w:p>
    <w:p w14:paraId="049F48CC">
      <w:pPr>
        <w:spacing w:line="360" w:lineRule="auto"/>
        <w:ind w:right="480"/>
        <w:rPr>
          <w:rFonts w:ascii="宋体" w:hAnsi="宋体"/>
          <w:szCs w:val="21"/>
        </w:rPr>
      </w:pPr>
    </w:p>
    <w:p w14:paraId="1E909398">
      <w:pPr>
        <w:spacing w:line="360" w:lineRule="auto"/>
        <w:ind w:firstLine="6300" w:firstLineChars="3000"/>
        <w:rPr>
          <w:rFonts w:ascii="宋体" w:hAnsi="宋体"/>
          <w:szCs w:val="21"/>
        </w:rPr>
      </w:pPr>
      <w:r>
        <w:rPr>
          <w:rFonts w:ascii="宋体" w:hAnsi="宋体"/>
          <w:szCs w:val="21"/>
        </w:rPr>
        <w:t>日期：    年    月    日</w:t>
      </w:r>
    </w:p>
    <w:p w14:paraId="25F21EC0">
      <w:pPr>
        <w:tabs>
          <w:tab w:val="left" w:pos="0"/>
        </w:tabs>
        <w:spacing w:line="300" w:lineRule="exact"/>
        <w:rPr>
          <w:rFonts w:ascii="宋体" w:hAnsi="宋体"/>
          <w:b/>
          <w:szCs w:val="21"/>
        </w:rPr>
      </w:pPr>
      <w:r>
        <w:rPr>
          <w:rFonts w:ascii="宋体" w:hAnsi="宋体"/>
          <w:b/>
          <w:szCs w:val="21"/>
        </w:rPr>
        <w:br w:type="page"/>
      </w:r>
      <w:r>
        <w:rPr>
          <w:rFonts w:hint="eastAsia" w:ascii="宋体" w:hAnsi="宋体"/>
          <w:szCs w:val="21"/>
        </w:rPr>
        <w:t>附件四</w:t>
      </w:r>
    </w:p>
    <w:p w14:paraId="2D33C945">
      <w:pPr>
        <w:spacing w:line="360" w:lineRule="auto"/>
        <w:rPr>
          <w:rFonts w:ascii="宋体" w:hAnsi="宋体"/>
          <w:b/>
          <w:szCs w:val="21"/>
        </w:rPr>
      </w:pPr>
    </w:p>
    <w:p w14:paraId="16B263A5">
      <w:pPr>
        <w:spacing w:line="360" w:lineRule="auto"/>
        <w:jc w:val="center"/>
        <w:rPr>
          <w:rFonts w:ascii="宋体" w:hAnsi="宋体"/>
          <w:b/>
          <w:szCs w:val="21"/>
        </w:rPr>
      </w:pPr>
      <w:r>
        <w:rPr>
          <w:rFonts w:hint="eastAsia" w:ascii="宋体" w:hAnsi="宋体"/>
          <w:b/>
          <w:szCs w:val="21"/>
        </w:rPr>
        <w:t>法定代表人（或单位负责人）的授权委托书</w:t>
      </w:r>
    </w:p>
    <w:p w14:paraId="7222E06E">
      <w:pPr>
        <w:spacing w:line="360" w:lineRule="auto"/>
        <w:rPr>
          <w:rFonts w:ascii="宋体" w:hAnsi="宋体"/>
          <w:szCs w:val="21"/>
        </w:rPr>
      </w:pPr>
    </w:p>
    <w:p w14:paraId="3DFC421E">
      <w:pPr>
        <w:spacing w:line="360" w:lineRule="auto"/>
        <w:ind w:firstLine="420" w:firstLineChars="200"/>
        <w:rPr>
          <w:rFonts w:ascii="宋体" w:hAnsi="宋体"/>
          <w:szCs w:val="21"/>
        </w:rPr>
      </w:pPr>
      <w:r>
        <w:rPr>
          <w:rFonts w:hint="eastAsia" w:ascii="宋体" w:hAnsi="宋体"/>
          <w:szCs w:val="21"/>
        </w:rPr>
        <w:t>本授权书声明：我</w:t>
      </w:r>
      <w:r>
        <w:rPr>
          <w:rFonts w:hint="eastAsia" w:ascii="宋体" w:hAnsi="宋体"/>
          <w:szCs w:val="21"/>
          <w:u w:val="single"/>
        </w:rPr>
        <w:t>（姓名）</w:t>
      </w:r>
      <w:r>
        <w:rPr>
          <w:rFonts w:hint="eastAsia" w:ascii="宋体" w:hAnsi="宋体"/>
          <w:szCs w:val="21"/>
        </w:rPr>
        <w:t>系注册于</w:t>
      </w:r>
      <w:r>
        <w:rPr>
          <w:rFonts w:hint="eastAsia" w:ascii="宋体" w:hAnsi="宋体"/>
          <w:szCs w:val="21"/>
          <w:u w:val="single"/>
        </w:rPr>
        <w:t>（单位地址）</w:t>
      </w:r>
      <w:r>
        <w:rPr>
          <w:rFonts w:hint="eastAsia" w:ascii="宋体" w:hAnsi="宋体"/>
          <w:szCs w:val="21"/>
        </w:rPr>
        <w:t>的</w:t>
      </w:r>
      <w:r>
        <w:rPr>
          <w:rFonts w:hint="eastAsia" w:ascii="宋体" w:hAnsi="宋体"/>
          <w:szCs w:val="21"/>
          <w:u w:val="single"/>
        </w:rPr>
        <w:t>（投标人名称）</w:t>
      </w:r>
      <w:r>
        <w:rPr>
          <w:rFonts w:hint="eastAsia" w:ascii="宋体" w:hAnsi="宋体"/>
          <w:szCs w:val="21"/>
        </w:rPr>
        <w:t>的法定代表人（或单位负责人），现授权委托</w:t>
      </w:r>
      <w:r>
        <w:rPr>
          <w:rFonts w:hint="eastAsia" w:ascii="宋体" w:hAnsi="宋体"/>
          <w:szCs w:val="21"/>
          <w:u w:val="single"/>
        </w:rPr>
        <w:t>（被授权人姓名、职务）</w:t>
      </w:r>
      <w:r>
        <w:rPr>
          <w:rFonts w:hint="eastAsia" w:ascii="宋体" w:hAnsi="宋体"/>
          <w:szCs w:val="21"/>
        </w:rPr>
        <w:t>为我行的合法代理人，以本行的名义参加</w:t>
      </w:r>
      <w:r>
        <w:rPr>
          <w:rFonts w:hint="eastAsia" w:ascii="宋体" w:hAnsi="宋体"/>
          <w:szCs w:val="21"/>
          <w:u w:val="single"/>
        </w:rPr>
        <w:t>（项目名称）</w:t>
      </w:r>
      <w:r>
        <w:rPr>
          <w:rFonts w:hint="eastAsia" w:ascii="宋体" w:hAnsi="宋体"/>
          <w:szCs w:val="21"/>
        </w:rPr>
        <w:t>的投标活动。代理人在参与投标过程中所签署的一切文件和处理与之有关的一切事务，我行均予以承认。</w:t>
      </w:r>
    </w:p>
    <w:p w14:paraId="3F7A0DC5">
      <w:pPr>
        <w:spacing w:line="360" w:lineRule="auto"/>
        <w:ind w:firstLine="420" w:firstLineChars="200"/>
        <w:rPr>
          <w:rFonts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w:t>
      </w:r>
    </w:p>
    <w:p w14:paraId="07BEDEFF">
      <w:pPr>
        <w:spacing w:line="360" w:lineRule="auto"/>
        <w:ind w:firstLine="420" w:firstLineChars="200"/>
        <w:rPr>
          <w:rFonts w:ascii="宋体" w:hAnsi="宋体"/>
          <w:szCs w:val="21"/>
        </w:rPr>
      </w:pPr>
      <w:r>
        <w:rPr>
          <w:rFonts w:hint="eastAsia" w:ascii="宋体" w:hAnsi="宋体"/>
          <w:szCs w:val="21"/>
        </w:rPr>
        <w:t>特此声明</w:t>
      </w:r>
    </w:p>
    <w:p w14:paraId="3767DD3D">
      <w:pPr>
        <w:spacing w:line="360" w:lineRule="auto"/>
        <w:rPr>
          <w:rFonts w:ascii="宋体" w:hAnsi="宋体"/>
          <w:szCs w:val="21"/>
        </w:rPr>
      </w:pPr>
    </w:p>
    <w:p w14:paraId="360D75E0">
      <w:pPr>
        <w:spacing w:line="360" w:lineRule="auto"/>
        <w:rPr>
          <w:rFonts w:ascii="宋体" w:hAnsi="宋体"/>
          <w:szCs w:val="21"/>
        </w:rPr>
      </w:pPr>
    </w:p>
    <w:p w14:paraId="6CCE0F9E">
      <w:pPr>
        <w:spacing w:line="360" w:lineRule="auto"/>
        <w:rPr>
          <w:rFonts w:ascii="宋体" w:hAnsi="宋体"/>
          <w:szCs w:val="21"/>
        </w:rPr>
      </w:pPr>
    </w:p>
    <w:p w14:paraId="0EFC404D">
      <w:pPr>
        <w:spacing w:line="360" w:lineRule="auto"/>
        <w:rPr>
          <w:rFonts w:ascii="宋体" w:hAnsi="宋体"/>
          <w:szCs w:val="21"/>
        </w:rPr>
      </w:pPr>
      <w:r>
        <w:rPr>
          <w:rFonts w:hint="eastAsia" w:ascii="宋体" w:hAnsi="宋体"/>
          <w:szCs w:val="21"/>
        </w:rPr>
        <w:t>投标人（盖公章）：</w:t>
      </w:r>
      <w:r>
        <w:rPr>
          <w:rFonts w:hint="eastAsia" w:ascii="宋体" w:hAnsi="宋体"/>
          <w:szCs w:val="21"/>
          <w:u w:val="single"/>
        </w:rPr>
        <w:t xml:space="preserve">                                           </w:t>
      </w:r>
    </w:p>
    <w:p w14:paraId="503F79C5">
      <w:pPr>
        <w:spacing w:line="360" w:lineRule="auto"/>
        <w:rPr>
          <w:rFonts w:ascii="宋体" w:hAnsi="宋体"/>
          <w:szCs w:val="21"/>
        </w:rPr>
      </w:pPr>
      <w:r>
        <w:rPr>
          <w:rFonts w:hint="eastAsia" w:ascii="宋体" w:hAnsi="宋体"/>
          <w:szCs w:val="21"/>
        </w:rPr>
        <w:t>法定代表人（或单位负责人）签字或盖章：</w:t>
      </w:r>
      <w:r>
        <w:rPr>
          <w:rFonts w:hint="eastAsia" w:ascii="宋体" w:hAnsi="宋体"/>
          <w:szCs w:val="21"/>
          <w:u w:val="single"/>
        </w:rPr>
        <w:t xml:space="preserve">                       </w:t>
      </w:r>
    </w:p>
    <w:p w14:paraId="45A26CDB">
      <w:pPr>
        <w:spacing w:line="360" w:lineRule="auto"/>
        <w:rPr>
          <w:rFonts w:ascii="宋体" w:hAnsi="宋体"/>
          <w:szCs w:val="21"/>
        </w:rPr>
      </w:pPr>
      <w:r>
        <w:rPr>
          <w:rFonts w:hint="eastAsia" w:ascii="宋体" w:hAnsi="宋体"/>
          <w:szCs w:val="21"/>
        </w:rPr>
        <w:t>授权代理人签字：</w:t>
      </w:r>
      <w:r>
        <w:rPr>
          <w:rFonts w:hint="eastAsia" w:ascii="宋体" w:hAnsi="宋体"/>
          <w:szCs w:val="21"/>
          <w:u w:val="single"/>
        </w:rPr>
        <w:t xml:space="preserve">                                             </w:t>
      </w:r>
    </w:p>
    <w:p w14:paraId="3BD2DE05">
      <w:pPr>
        <w:spacing w:line="360" w:lineRule="auto"/>
        <w:rPr>
          <w:rFonts w:ascii="宋体" w:hAnsi="宋体"/>
          <w:b/>
          <w:szCs w:val="21"/>
        </w:rPr>
      </w:pPr>
      <w:r>
        <w:rPr>
          <w:rFonts w:ascii="宋体" w:hAnsi="宋体"/>
          <w:b/>
          <w:szCs w:val="21"/>
        </w:rPr>
        <w:br w:type="column"/>
      </w:r>
      <w:r>
        <w:rPr>
          <w:rFonts w:hint="eastAsia" w:ascii="宋体" w:hAnsi="宋体"/>
          <w:szCs w:val="21"/>
        </w:rPr>
        <w:t>附件五</w:t>
      </w:r>
    </w:p>
    <w:p w14:paraId="10F851D3">
      <w:pPr>
        <w:spacing w:line="360" w:lineRule="auto"/>
        <w:jc w:val="center"/>
        <w:rPr>
          <w:rFonts w:ascii="宋体" w:hAnsi="宋体"/>
          <w:b/>
          <w:szCs w:val="21"/>
        </w:rPr>
      </w:pPr>
      <w:r>
        <w:rPr>
          <w:rFonts w:hint="eastAsia" w:ascii="宋体" w:hAnsi="宋体"/>
          <w:b/>
          <w:szCs w:val="21"/>
        </w:rPr>
        <w:t>投标人基本情况声明</w:t>
      </w:r>
    </w:p>
    <w:p w14:paraId="1BEEC8F4">
      <w:pPr>
        <w:spacing w:line="340" w:lineRule="exact"/>
        <w:rPr>
          <w:rFonts w:ascii="宋体" w:hAnsi="宋体"/>
          <w:b/>
          <w:bCs/>
          <w:szCs w:val="21"/>
        </w:rPr>
      </w:pPr>
      <w:r>
        <w:rPr>
          <w:rFonts w:hint="eastAsia" w:ascii="宋体" w:hAnsi="宋体"/>
          <w:b/>
          <w:bCs/>
          <w:szCs w:val="21"/>
        </w:rPr>
        <w:t>一、名称及其它资料：</w:t>
      </w:r>
    </w:p>
    <w:p w14:paraId="05F95870">
      <w:pPr>
        <w:tabs>
          <w:tab w:val="left" w:pos="360"/>
        </w:tabs>
        <w:spacing w:line="340" w:lineRule="exact"/>
        <w:ind w:firstLine="210" w:firstLineChars="100"/>
        <w:rPr>
          <w:rFonts w:ascii="宋体" w:hAnsi="宋体"/>
          <w:szCs w:val="21"/>
        </w:rPr>
      </w:pPr>
      <w:r>
        <w:rPr>
          <w:rFonts w:hint="eastAsia" w:ascii="宋体" w:hAnsi="宋体"/>
          <w:szCs w:val="21"/>
        </w:rPr>
        <w:t>1、银行名称：</w:t>
      </w:r>
      <w:r>
        <w:rPr>
          <w:rFonts w:hint="eastAsia" w:ascii="宋体" w:hAnsi="宋体"/>
          <w:szCs w:val="21"/>
          <w:u w:val="single"/>
        </w:rPr>
        <w:t xml:space="preserve">                                        </w:t>
      </w:r>
    </w:p>
    <w:p w14:paraId="3A7E3031">
      <w:pPr>
        <w:tabs>
          <w:tab w:val="left" w:pos="360"/>
        </w:tabs>
        <w:spacing w:line="340" w:lineRule="exact"/>
        <w:ind w:firstLine="210" w:firstLineChars="100"/>
        <w:rPr>
          <w:rFonts w:ascii="宋体" w:hAnsi="宋体"/>
          <w:szCs w:val="21"/>
        </w:rPr>
      </w:pPr>
      <w:r>
        <w:rPr>
          <w:rFonts w:hint="eastAsia" w:ascii="宋体" w:hAnsi="宋体"/>
          <w:szCs w:val="21"/>
        </w:rPr>
        <w:t>2、地址：</w:t>
      </w:r>
      <w:r>
        <w:rPr>
          <w:rFonts w:hint="eastAsia" w:ascii="宋体" w:hAnsi="宋体"/>
          <w:szCs w:val="21"/>
          <w:u w:val="single"/>
        </w:rPr>
        <w:t xml:space="preserve">                                            </w:t>
      </w:r>
    </w:p>
    <w:p w14:paraId="09FD39DB">
      <w:pPr>
        <w:tabs>
          <w:tab w:val="left" w:pos="360"/>
        </w:tabs>
        <w:spacing w:line="340" w:lineRule="exact"/>
        <w:ind w:firstLine="210" w:firstLineChars="100"/>
        <w:rPr>
          <w:rFonts w:ascii="宋体" w:hAnsi="宋体"/>
          <w:szCs w:val="21"/>
        </w:rPr>
      </w:pPr>
      <w:r>
        <w:rPr>
          <w:rFonts w:hint="eastAsia" w:ascii="宋体" w:hAnsi="宋体"/>
          <w:szCs w:val="21"/>
        </w:rPr>
        <w:t>3、邮编：</w:t>
      </w:r>
      <w:r>
        <w:rPr>
          <w:rFonts w:hint="eastAsia" w:ascii="宋体" w:hAnsi="宋体"/>
          <w:szCs w:val="21"/>
          <w:u w:val="single"/>
        </w:rPr>
        <w:t xml:space="preserve">                                            </w:t>
      </w:r>
    </w:p>
    <w:p w14:paraId="1166793D">
      <w:pPr>
        <w:tabs>
          <w:tab w:val="left" w:pos="360"/>
        </w:tabs>
        <w:spacing w:line="340" w:lineRule="exact"/>
        <w:ind w:firstLine="210" w:firstLineChars="100"/>
        <w:rPr>
          <w:rFonts w:ascii="宋体" w:hAnsi="宋体"/>
          <w:szCs w:val="21"/>
        </w:rPr>
      </w:pPr>
      <w:r>
        <w:rPr>
          <w:rFonts w:hint="eastAsia" w:ascii="宋体" w:hAnsi="宋体"/>
          <w:szCs w:val="21"/>
        </w:rPr>
        <w:t>4、电话/传真：</w:t>
      </w:r>
      <w:r>
        <w:rPr>
          <w:rFonts w:hint="eastAsia" w:ascii="宋体" w:hAnsi="宋体"/>
          <w:szCs w:val="21"/>
          <w:u w:val="single"/>
        </w:rPr>
        <w:t xml:space="preserve">                                       </w:t>
      </w:r>
    </w:p>
    <w:p w14:paraId="1E0EBD42">
      <w:pPr>
        <w:tabs>
          <w:tab w:val="left" w:pos="360"/>
        </w:tabs>
        <w:spacing w:line="340" w:lineRule="exact"/>
        <w:ind w:firstLine="210" w:firstLineChars="100"/>
        <w:rPr>
          <w:rFonts w:ascii="宋体" w:hAnsi="宋体"/>
          <w:szCs w:val="21"/>
        </w:rPr>
      </w:pPr>
      <w:r>
        <w:rPr>
          <w:rFonts w:hint="eastAsia" w:ascii="宋体" w:hAnsi="宋体"/>
          <w:szCs w:val="21"/>
        </w:rPr>
        <w:t>5、成立日期或注册日期：</w:t>
      </w:r>
      <w:r>
        <w:rPr>
          <w:rFonts w:hint="eastAsia" w:ascii="宋体" w:hAnsi="宋体"/>
          <w:szCs w:val="21"/>
          <w:u w:val="single"/>
        </w:rPr>
        <w:t xml:space="preserve">                              </w:t>
      </w:r>
    </w:p>
    <w:p w14:paraId="07FA70B1">
      <w:pPr>
        <w:tabs>
          <w:tab w:val="left" w:pos="360"/>
        </w:tabs>
        <w:spacing w:line="340" w:lineRule="exact"/>
        <w:ind w:firstLine="210" w:firstLineChars="100"/>
        <w:rPr>
          <w:rFonts w:ascii="宋体" w:hAnsi="宋体"/>
          <w:szCs w:val="21"/>
        </w:rPr>
      </w:pPr>
      <w:r>
        <w:rPr>
          <w:rFonts w:hint="eastAsia" w:ascii="宋体" w:hAnsi="宋体"/>
          <w:szCs w:val="21"/>
        </w:rPr>
        <w:t>6、</w:t>
      </w:r>
      <w:r>
        <w:rPr>
          <w:rFonts w:hint="eastAsia" w:ascii="宋体" w:hAnsi="宋体"/>
          <w:szCs w:val="21"/>
          <w:lang w:val="en-US" w:eastAsia="zh-CN"/>
        </w:rPr>
        <w:t>最新年度</w:t>
      </w:r>
      <w:r>
        <w:rPr>
          <w:rFonts w:hint="eastAsia" w:ascii="宋体" w:hAnsi="宋体"/>
          <w:szCs w:val="21"/>
        </w:rPr>
        <w:t>资产负债表</w:t>
      </w:r>
    </w:p>
    <w:p w14:paraId="28858626">
      <w:pPr>
        <w:tabs>
          <w:tab w:val="left" w:pos="360"/>
          <w:tab w:val="left" w:pos="720"/>
        </w:tabs>
        <w:spacing w:line="340" w:lineRule="exact"/>
        <w:ind w:firstLine="420" w:firstLineChars="200"/>
        <w:rPr>
          <w:rFonts w:ascii="宋体" w:hAnsi="宋体"/>
          <w:szCs w:val="21"/>
        </w:rPr>
      </w:pPr>
      <w:r>
        <w:rPr>
          <w:rFonts w:hint="eastAsia" w:ascii="宋体" w:hAnsi="宋体"/>
          <w:szCs w:val="21"/>
        </w:rPr>
        <w:t>(1)固定资产：</w:t>
      </w:r>
      <w:r>
        <w:rPr>
          <w:rFonts w:hint="eastAsia" w:ascii="宋体" w:hAnsi="宋体"/>
          <w:szCs w:val="21"/>
          <w:u w:val="single"/>
        </w:rPr>
        <w:t xml:space="preserve">                                     </w:t>
      </w:r>
    </w:p>
    <w:p w14:paraId="63496519">
      <w:pPr>
        <w:tabs>
          <w:tab w:val="left" w:pos="360"/>
          <w:tab w:val="left" w:pos="720"/>
        </w:tabs>
        <w:spacing w:line="340" w:lineRule="exact"/>
        <w:ind w:firstLine="420" w:firstLineChars="200"/>
        <w:rPr>
          <w:rFonts w:ascii="宋体" w:hAnsi="宋体"/>
          <w:szCs w:val="21"/>
        </w:rPr>
      </w:pPr>
      <w:r>
        <w:rPr>
          <w:rFonts w:hint="eastAsia" w:ascii="宋体" w:hAnsi="宋体"/>
          <w:szCs w:val="21"/>
        </w:rPr>
        <w:t>(2)流动资产：</w:t>
      </w:r>
      <w:r>
        <w:rPr>
          <w:rFonts w:hint="eastAsia" w:ascii="宋体" w:hAnsi="宋体"/>
          <w:szCs w:val="21"/>
          <w:u w:val="single"/>
        </w:rPr>
        <w:t xml:space="preserve">                                     </w:t>
      </w:r>
    </w:p>
    <w:p w14:paraId="35039975">
      <w:pPr>
        <w:tabs>
          <w:tab w:val="left" w:pos="360"/>
          <w:tab w:val="left" w:pos="720"/>
        </w:tabs>
        <w:spacing w:line="340" w:lineRule="exact"/>
        <w:ind w:firstLine="420" w:firstLineChars="200"/>
        <w:rPr>
          <w:rFonts w:ascii="宋体" w:hAnsi="宋体"/>
          <w:szCs w:val="21"/>
        </w:rPr>
      </w:pPr>
      <w:r>
        <w:rPr>
          <w:rFonts w:hint="eastAsia" w:ascii="宋体" w:hAnsi="宋体"/>
          <w:szCs w:val="21"/>
        </w:rPr>
        <w:t>(3)长期债务：</w:t>
      </w:r>
      <w:r>
        <w:rPr>
          <w:rFonts w:hint="eastAsia" w:ascii="宋体" w:hAnsi="宋体"/>
          <w:szCs w:val="21"/>
          <w:u w:val="single"/>
        </w:rPr>
        <w:t xml:space="preserve">                                     </w:t>
      </w:r>
    </w:p>
    <w:p w14:paraId="07B094C3">
      <w:pPr>
        <w:tabs>
          <w:tab w:val="left" w:pos="360"/>
          <w:tab w:val="left" w:pos="720"/>
        </w:tabs>
        <w:spacing w:line="340" w:lineRule="exact"/>
        <w:ind w:firstLine="420" w:firstLineChars="200"/>
        <w:rPr>
          <w:rFonts w:ascii="宋体" w:hAnsi="宋体"/>
          <w:szCs w:val="21"/>
        </w:rPr>
      </w:pPr>
      <w:r>
        <w:rPr>
          <w:rFonts w:hint="eastAsia" w:ascii="宋体" w:hAnsi="宋体"/>
          <w:szCs w:val="21"/>
        </w:rPr>
        <w:t>(4)流动债务：</w:t>
      </w:r>
      <w:r>
        <w:rPr>
          <w:rFonts w:hint="eastAsia" w:ascii="宋体" w:hAnsi="宋体"/>
          <w:szCs w:val="21"/>
          <w:u w:val="single"/>
        </w:rPr>
        <w:t xml:space="preserve">                                     </w:t>
      </w:r>
    </w:p>
    <w:p w14:paraId="208E03F8">
      <w:pPr>
        <w:tabs>
          <w:tab w:val="left" w:pos="360"/>
          <w:tab w:val="left" w:pos="720"/>
        </w:tabs>
        <w:spacing w:line="340" w:lineRule="exact"/>
        <w:ind w:firstLine="420" w:firstLineChars="200"/>
        <w:rPr>
          <w:rFonts w:ascii="宋体" w:hAnsi="宋体"/>
          <w:szCs w:val="21"/>
        </w:rPr>
      </w:pPr>
      <w:r>
        <w:rPr>
          <w:rFonts w:hint="eastAsia" w:ascii="宋体" w:hAnsi="宋体"/>
          <w:szCs w:val="21"/>
        </w:rPr>
        <w:t>(5)净    值：</w:t>
      </w:r>
      <w:r>
        <w:rPr>
          <w:rFonts w:hint="eastAsia" w:ascii="宋体" w:hAnsi="宋体"/>
          <w:szCs w:val="21"/>
          <w:u w:val="single"/>
        </w:rPr>
        <w:t xml:space="preserve">                                     </w:t>
      </w:r>
    </w:p>
    <w:p w14:paraId="4FAC5179">
      <w:pPr>
        <w:tabs>
          <w:tab w:val="left" w:pos="360"/>
        </w:tabs>
        <w:spacing w:line="340" w:lineRule="exact"/>
        <w:ind w:firstLine="210" w:firstLineChars="100"/>
        <w:rPr>
          <w:rFonts w:ascii="宋体" w:hAnsi="宋体"/>
          <w:szCs w:val="21"/>
        </w:rPr>
      </w:pPr>
      <w:r>
        <w:rPr>
          <w:rFonts w:hint="eastAsia" w:ascii="宋体" w:hAnsi="宋体"/>
          <w:szCs w:val="21"/>
        </w:rPr>
        <w:t>7、法定代表人或单位负责人姓名：</w:t>
      </w:r>
      <w:r>
        <w:rPr>
          <w:rFonts w:hint="eastAsia" w:ascii="宋体" w:hAnsi="宋体"/>
          <w:szCs w:val="21"/>
          <w:u w:val="single"/>
        </w:rPr>
        <w:t xml:space="preserve">                      </w:t>
      </w:r>
    </w:p>
    <w:p w14:paraId="7B3DD3D8">
      <w:pPr>
        <w:tabs>
          <w:tab w:val="left" w:pos="360"/>
        </w:tabs>
        <w:spacing w:line="340" w:lineRule="exact"/>
        <w:ind w:firstLine="210" w:firstLineChars="100"/>
        <w:rPr>
          <w:rFonts w:ascii="宋体" w:hAnsi="宋体"/>
          <w:szCs w:val="21"/>
        </w:rPr>
      </w:pPr>
      <w:r>
        <w:rPr>
          <w:rFonts w:hint="eastAsia" w:ascii="宋体" w:hAnsi="宋体"/>
          <w:szCs w:val="21"/>
        </w:rPr>
        <w:t>8、经营特色：</w:t>
      </w:r>
      <w:r>
        <w:rPr>
          <w:rFonts w:hint="eastAsia" w:ascii="宋体" w:hAnsi="宋体"/>
          <w:szCs w:val="21"/>
          <w:u w:val="single"/>
        </w:rPr>
        <w:t xml:space="preserve">                                         </w:t>
      </w:r>
    </w:p>
    <w:p w14:paraId="082B6992">
      <w:pPr>
        <w:spacing w:line="340" w:lineRule="exact"/>
        <w:rPr>
          <w:rFonts w:ascii="宋体" w:hAnsi="宋体"/>
          <w:b/>
          <w:bCs/>
          <w:szCs w:val="21"/>
        </w:rPr>
      </w:pPr>
      <w:r>
        <w:rPr>
          <w:rFonts w:hint="eastAsia" w:ascii="宋体" w:hAnsi="宋体"/>
          <w:b/>
          <w:bCs/>
          <w:szCs w:val="21"/>
        </w:rPr>
        <w:t>二、银行的信息化建设状况：</w:t>
      </w:r>
    </w:p>
    <w:p w14:paraId="77E8A9D2">
      <w:pPr>
        <w:spacing w:line="340" w:lineRule="exact"/>
        <w:ind w:firstLine="210" w:firstLineChars="100"/>
        <w:rPr>
          <w:rFonts w:ascii="宋体" w:hAnsi="宋体"/>
          <w:szCs w:val="21"/>
        </w:rPr>
      </w:pPr>
      <w:r>
        <w:rPr>
          <w:rFonts w:hint="eastAsia" w:ascii="宋体" w:hAnsi="宋体"/>
          <w:szCs w:val="21"/>
        </w:rPr>
        <w:t>1、已具备的功能；</w:t>
      </w:r>
    </w:p>
    <w:p w14:paraId="4B8354DF">
      <w:pPr>
        <w:spacing w:line="340" w:lineRule="exact"/>
        <w:ind w:firstLine="210" w:firstLineChars="100"/>
        <w:rPr>
          <w:rFonts w:ascii="宋体" w:hAnsi="宋体"/>
          <w:szCs w:val="21"/>
        </w:rPr>
      </w:pPr>
      <w:r>
        <w:rPr>
          <w:rFonts w:hint="eastAsia" w:ascii="宋体" w:hAnsi="宋体"/>
          <w:szCs w:val="21"/>
        </w:rPr>
        <w:t>2、软件开发能力；</w:t>
      </w:r>
    </w:p>
    <w:p w14:paraId="0710F430">
      <w:pPr>
        <w:spacing w:line="340" w:lineRule="exact"/>
        <w:ind w:firstLine="210" w:firstLineChars="100"/>
        <w:rPr>
          <w:rFonts w:ascii="宋体" w:hAnsi="宋体"/>
          <w:szCs w:val="21"/>
        </w:rPr>
      </w:pPr>
      <w:r>
        <w:rPr>
          <w:rFonts w:hint="eastAsia" w:ascii="宋体" w:hAnsi="宋体"/>
          <w:szCs w:val="21"/>
        </w:rPr>
        <w:t>3、已有硬件设施（包括小型机、PC服务器、计算机等）</w:t>
      </w:r>
    </w:p>
    <w:p w14:paraId="2F85CF70">
      <w:pPr>
        <w:spacing w:line="340" w:lineRule="exact"/>
        <w:ind w:firstLine="420" w:firstLineChars="200"/>
        <w:rPr>
          <w:rFonts w:ascii="宋体" w:hAnsi="宋体"/>
          <w:szCs w:val="21"/>
        </w:rPr>
      </w:pPr>
      <w:r>
        <w:rPr>
          <w:rFonts w:hint="eastAsia" w:ascii="宋体" w:hAnsi="宋体"/>
          <w:szCs w:val="21"/>
        </w:rPr>
        <w:t>总数</w:t>
      </w:r>
      <w:r>
        <w:rPr>
          <w:rFonts w:hint="eastAsia" w:ascii="宋体" w:hAnsi="宋体"/>
          <w:szCs w:val="21"/>
          <w:u w:val="single"/>
        </w:rPr>
        <w:t xml:space="preserve">             </w:t>
      </w:r>
      <w:r>
        <w:rPr>
          <w:rFonts w:hint="eastAsia" w:ascii="宋体" w:hAnsi="宋体"/>
          <w:szCs w:val="21"/>
        </w:rPr>
        <w:t>台（套）</w:t>
      </w:r>
    </w:p>
    <w:p w14:paraId="006645CB">
      <w:pPr>
        <w:spacing w:line="340" w:lineRule="exact"/>
        <w:ind w:firstLine="420" w:firstLineChars="200"/>
        <w:rPr>
          <w:rFonts w:ascii="宋体" w:hAnsi="宋体"/>
          <w:szCs w:val="21"/>
        </w:rPr>
      </w:pPr>
      <w:r>
        <w:rPr>
          <w:rFonts w:hint="eastAsia" w:ascii="宋体" w:hAnsi="宋体"/>
          <w:szCs w:val="21"/>
        </w:rPr>
        <w:t>综合性营业网点（平均）</w:t>
      </w:r>
      <w:r>
        <w:rPr>
          <w:rFonts w:hint="eastAsia" w:ascii="宋体" w:hAnsi="宋体"/>
          <w:szCs w:val="21"/>
          <w:u w:val="single"/>
        </w:rPr>
        <w:t xml:space="preserve">           </w:t>
      </w:r>
      <w:r>
        <w:rPr>
          <w:rFonts w:hint="eastAsia" w:ascii="宋体" w:hAnsi="宋体"/>
          <w:szCs w:val="21"/>
        </w:rPr>
        <w:t>台（套）</w:t>
      </w:r>
    </w:p>
    <w:p w14:paraId="4BF9FC2C">
      <w:pPr>
        <w:spacing w:line="340" w:lineRule="exact"/>
        <w:ind w:firstLine="210" w:firstLineChars="100"/>
        <w:rPr>
          <w:rFonts w:ascii="宋体" w:hAnsi="宋体"/>
          <w:szCs w:val="21"/>
        </w:rPr>
      </w:pPr>
      <w:r>
        <w:rPr>
          <w:rFonts w:hint="eastAsia" w:ascii="宋体" w:hAnsi="宋体"/>
          <w:szCs w:val="21"/>
        </w:rPr>
        <w:t>4、从事信息化管理、开发、运行的人数量；</w:t>
      </w:r>
    </w:p>
    <w:p w14:paraId="5DB3AA6B">
      <w:pPr>
        <w:spacing w:line="340" w:lineRule="exact"/>
        <w:ind w:firstLine="420" w:firstLineChars="200"/>
        <w:rPr>
          <w:rFonts w:ascii="宋体" w:hAnsi="宋体"/>
          <w:szCs w:val="21"/>
        </w:rPr>
      </w:pPr>
      <w:r>
        <w:rPr>
          <w:rFonts w:hint="eastAsia" w:ascii="宋体" w:hAnsi="宋体"/>
          <w:szCs w:val="21"/>
        </w:rPr>
        <w:t>总人数</w:t>
      </w:r>
      <w:r>
        <w:rPr>
          <w:rFonts w:hint="eastAsia" w:ascii="宋体" w:hAnsi="宋体"/>
          <w:szCs w:val="21"/>
          <w:u w:val="single"/>
        </w:rPr>
        <w:t xml:space="preserve">                      </w:t>
      </w:r>
      <w:r>
        <w:rPr>
          <w:rFonts w:hint="eastAsia" w:ascii="宋体" w:hAnsi="宋体"/>
          <w:szCs w:val="21"/>
        </w:rPr>
        <w:t>人</w:t>
      </w:r>
    </w:p>
    <w:p w14:paraId="2DD9A3C4">
      <w:pPr>
        <w:spacing w:line="340" w:lineRule="exact"/>
        <w:ind w:firstLine="420" w:firstLineChars="200"/>
        <w:rPr>
          <w:rFonts w:ascii="宋体" w:hAnsi="宋体"/>
          <w:szCs w:val="21"/>
        </w:rPr>
      </w:pPr>
      <w:r>
        <w:rPr>
          <w:rFonts w:hint="eastAsia" w:ascii="宋体" w:hAnsi="宋体"/>
          <w:szCs w:val="21"/>
        </w:rPr>
        <w:t>其中：硬件</w:t>
      </w:r>
      <w:r>
        <w:rPr>
          <w:rFonts w:hint="eastAsia" w:ascii="宋体" w:hAnsi="宋体"/>
          <w:szCs w:val="21"/>
          <w:u w:val="single"/>
        </w:rPr>
        <w:t xml:space="preserve">                  </w:t>
      </w:r>
      <w:r>
        <w:rPr>
          <w:rFonts w:hint="eastAsia" w:ascii="宋体" w:hAnsi="宋体"/>
          <w:szCs w:val="21"/>
        </w:rPr>
        <w:t>人</w:t>
      </w:r>
    </w:p>
    <w:p w14:paraId="54FEE945">
      <w:pPr>
        <w:spacing w:line="340" w:lineRule="exact"/>
        <w:ind w:firstLine="1050" w:firstLineChars="500"/>
        <w:rPr>
          <w:rFonts w:ascii="宋体" w:hAnsi="宋体"/>
          <w:szCs w:val="21"/>
        </w:rPr>
      </w:pPr>
      <w:r>
        <w:rPr>
          <w:rFonts w:hint="eastAsia" w:ascii="宋体" w:hAnsi="宋体"/>
          <w:szCs w:val="21"/>
        </w:rPr>
        <w:t>软件</w:t>
      </w:r>
      <w:r>
        <w:rPr>
          <w:rFonts w:hint="eastAsia" w:ascii="宋体" w:hAnsi="宋体"/>
          <w:szCs w:val="21"/>
          <w:u w:val="single"/>
        </w:rPr>
        <w:t xml:space="preserve">                  </w:t>
      </w:r>
      <w:r>
        <w:rPr>
          <w:rFonts w:hint="eastAsia" w:ascii="宋体" w:hAnsi="宋体"/>
          <w:szCs w:val="21"/>
        </w:rPr>
        <w:t>人</w:t>
      </w:r>
    </w:p>
    <w:p w14:paraId="2305E3DD">
      <w:pPr>
        <w:spacing w:line="340" w:lineRule="exact"/>
        <w:ind w:firstLine="1050" w:firstLineChars="500"/>
        <w:rPr>
          <w:rFonts w:ascii="宋体" w:hAnsi="宋体"/>
          <w:szCs w:val="21"/>
        </w:rPr>
      </w:pPr>
      <w:r>
        <w:rPr>
          <w:rFonts w:hint="eastAsia" w:ascii="宋体" w:hAnsi="宋体"/>
          <w:szCs w:val="21"/>
        </w:rPr>
        <w:t>高级工程师</w:t>
      </w:r>
      <w:r>
        <w:rPr>
          <w:rFonts w:hint="eastAsia" w:ascii="宋体" w:hAnsi="宋体"/>
          <w:szCs w:val="21"/>
          <w:u w:val="single"/>
        </w:rPr>
        <w:t xml:space="preserve">            </w:t>
      </w:r>
      <w:r>
        <w:rPr>
          <w:rFonts w:hint="eastAsia" w:ascii="宋体" w:hAnsi="宋体"/>
          <w:szCs w:val="21"/>
        </w:rPr>
        <w:t>人</w:t>
      </w:r>
    </w:p>
    <w:p w14:paraId="518C2811">
      <w:pPr>
        <w:spacing w:line="340" w:lineRule="exact"/>
        <w:ind w:firstLine="210" w:firstLineChars="100"/>
        <w:rPr>
          <w:rFonts w:ascii="宋体" w:hAnsi="宋体"/>
          <w:szCs w:val="21"/>
        </w:rPr>
      </w:pPr>
      <w:r>
        <w:rPr>
          <w:rFonts w:hint="eastAsia" w:ascii="宋体" w:hAnsi="宋体"/>
          <w:szCs w:val="21"/>
        </w:rPr>
        <w:t>5、综合性营业网点所具备的能力；</w:t>
      </w:r>
    </w:p>
    <w:p w14:paraId="5046C866">
      <w:pPr>
        <w:spacing w:line="340" w:lineRule="exact"/>
        <w:ind w:firstLine="210" w:firstLineChars="100"/>
        <w:rPr>
          <w:rFonts w:ascii="宋体" w:hAnsi="宋体"/>
          <w:szCs w:val="21"/>
        </w:rPr>
      </w:pPr>
      <w:r>
        <w:rPr>
          <w:rFonts w:hint="eastAsia" w:ascii="宋体" w:hAnsi="宋体"/>
          <w:szCs w:val="21"/>
        </w:rPr>
        <w:t>6、客户服务系统的工作情况。</w:t>
      </w:r>
    </w:p>
    <w:p w14:paraId="2F9D4F22">
      <w:pPr>
        <w:spacing w:line="340" w:lineRule="exact"/>
        <w:ind w:firstLine="315" w:firstLineChars="150"/>
        <w:rPr>
          <w:rFonts w:ascii="宋体" w:hAnsi="宋体"/>
          <w:szCs w:val="21"/>
        </w:rPr>
      </w:pPr>
      <w:r>
        <w:rPr>
          <w:rFonts w:hint="eastAsia" w:ascii="宋体" w:hAnsi="宋体"/>
          <w:szCs w:val="21"/>
        </w:rPr>
        <w:t>说明：软件系统、硬件设施需从系统的安全性、实用性、成熟性、先进性和可扩展性进行详细描述；综合性营业网点所具备的能力指营业网点最起码的服务能力；客户服务系统的工作情况需从系统的构成、工作程序等方面进行描述。</w:t>
      </w:r>
    </w:p>
    <w:p w14:paraId="2E58E273">
      <w:pPr>
        <w:spacing w:line="340" w:lineRule="exact"/>
        <w:rPr>
          <w:rFonts w:ascii="宋体" w:hAnsi="宋体"/>
          <w:szCs w:val="21"/>
        </w:rPr>
      </w:pPr>
      <w:r>
        <w:rPr>
          <w:rFonts w:hint="eastAsia" w:ascii="宋体" w:hAnsi="宋体"/>
          <w:szCs w:val="21"/>
        </w:rPr>
        <w:t>三、近三年银行代理的主要政府部门业务。</w:t>
      </w:r>
    </w:p>
    <w:p w14:paraId="46A35556">
      <w:pPr>
        <w:spacing w:line="340" w:lineRule="exact"/>
        <w:rPr>
          <w:rFonts w:ascii="宋体" w:hAnsi="宋体"/>
          <w:szCs w:val="21"/>
        </w:rPr>
      </w:pPr>
      <w:r>
        <w:rPr>
          <w:rFonts w:hint="eastAsia" w:ascii="宋体" w:hAnsi="宋体"/>
          <w:szCs w:val="21"/>
        </w:rPr>
        <w:t>四、其他情况（年表、组织、机构等）。</w:t>
      </w:r>
    </w:p>
    <w:p w14:paraId="68C98716">
      <w:pPr>
        <w:spacing w:line="340" w:lineRule="exact"/>
        <w:ind w:firstLine="420" w:firstLineChars="200"/>
        <w:rPr>
          <w:rFonts w:ascii="宋体" w:hAnsi="宋体"/>
          <w:szCs w:val="21"/>
        </w:rPr>
      </w:pPr>
      <w:r>
        <w:rPr>
          <w:rFonts w:hint="eastAsia" w:ascii="宋体" w:hAnsi="宋体"/>
          <w:szCs w:val="21"/>
        </w:rPr>
        <w:t>就我方全部所知，兹证明上述声明是真实、准确的，并已提供了全部现有资料和数据，我方同意根据招标人要求出示文件予以证实。</w:t>
      </w:r>
    </w:p>
    <w:p w14:paraId="30BE6B65">
      <w:pPr>
        <w:spacing w:line="340" w:lineRule="exact"/>
        <w:rPr>
          <w:rFonts w:ascii="宋体" w:hAnsi="宋体"/>
          <w:szCs w:val="21"/>
        </w:rPr>
      </w:pPr>
    </w:p>
    <w:p w14:paraId="66EE87D0">
      <w:pPr>
        <w:spacing w:line="340" w:lineRule="exact"/>
        <w:rPr>
          <w:rFonts w:ascii="宋体" w:hAnsi="宋体"/>
          <w:szCs w:val="21"/>
          <w:u w:val="single"/>
        </w:rPr>
      </w:pPr>
      <w:r>
        <w:rPr>
          <w:rFonts w:ascii="宋体" w:hAnsi="宋体"/>
          <w:szCs w:val="21"/>
        </w:rPr>
        <w:t>投标人</w:t>
      </w:r>
      <w:r>
        <w:rPr>
          <w:rFonts w:ascii="宋体" w:hAnsi="宋体"/>
          <w:szCs w:val="21"/>
          <w:u w:val="single"/>
        </w:rPr>
        <w:t xml:space="preserve">                               </w:t>
      </w:r>
      <w:r>
        <w:rPr>
          <w:rFonts w:ascii="宋体" w:hAnsi="宋体"/>
          <w:szCs w:val="21"/>
        </w:rPr>
        <w:t>（盖</w:t>
      </w:r>
      <w:r>
        <w:rPr>
          <w:rFonts w:hint="eastAsia" w:ascii="宋体" w:hAnsi="宋体"/>
          <w:szCs w:val="21"/>
        </w:rPr>
        <w:t>公</w:t>
      </w:r>
      <w:r>
        <w:rPr>
          <w:rFonts w:ascii="宋体" w:hAnsi="宋体"/>
          <w:szCs w:val="21"/>
        </w:rPr>
        <w:t>章）</w:t>
      </w:r>
    </w:p>
    <w:p w14:paraId="5AD21C72">
      <w:pPr>
        <w:spacing w:line="340" w:lineRule="exact"/>
        <w:rPr>
          <w:rFonts w:ascii="宋体" w:hAnsi="宋体"/>
          <w:szCs w:val="21"/>
          <w:u w:val="single"/>
        </w:rPr>
      </w:pPr>
      <w:r>
        <w:rPr>
          <w:rFonts w:ascii="宋体" w:hAnsi="宋体"/>
          <w:szCs w:val="21"/>
        </w:rPr>
        <w:t>法定代表人</w:t>
      </w:r>
      <w:r>
        <w:rPr>
          <w:rFonts w:hint="eastAsia" w:ascii="宋体" w:hAnsi="宋体"/>
          <w:szCs w:val="21"/>
        </w:rPr>
        <w:t>（或单位负责人）</w:t>
      </w:r>
      <w:r>
        <w:rPr>
          <w:rFonts w:ascii="宋体" w:hAnsi="宋体"/>
          <w:szCs w:val="21"/>
        </w:rPr>
        <w:t>或</w:t>
      </w:r>
      <w:r>
        <w:rPr>
          <w:rFonts w:hint="eastAsia" w:ascii="宋体" w:hAnsi="宋体"/>
          <w:szCs w:val="21"/>
        </w:rPr>
        <w:t>其</w:t>
      </w:r>
      <w:r>
        <w:rPr>
          <w:rFonts w:ascii="宋体" w:hAnsi="宋体"/>
          <w:szCs w:val="21"/>
        </w:rPr>
        <w:t>授权</w:t>
      </w:r>
      <w:r>
        <w:rPr>
          <w:rFonts w:hint="eastAsia" w:ascii="宋体" w:hAnsi="宋体"/>
          <w:szCs w:val="21"/>
        </w:rPr>
        <w:t>代理</w:t>
      </w:r>
      <w:r>
        <w:rPr>
          <w:rFonts w:ascii="宋体" w:hAnsi="宋体"/>
          <w:szCs w:val="21"/>
        </w:rPr>
        <w:t>人</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14:paraId="616555C7">
      <w:pPr>
        <w:spacing w:line="340" w:lineRule="exact"/>
        <w:rPr>
          <w:rFonts w:ascii="宋体" w:hAnsi="宋体"/>
          <w:szCs w:val="21"/>
        </w:rPr>
      </w:pPr>
      <w:r>
        <w:rPr>
          <w:rFonts w:ascii="宋体" w:hAnsi="宋体"/>
          <w:szCs w:val="21"/>
        </w:rPr>
        <w:t>日</w:t>
      </w:r>
      <w:r>
        <w:rPr>
          <w:rFonts w:hint="eastAsia" w:ascii="宋体" w:hAnsi="宋体"/>
          <w:szCs w:val="21"/>
        </w:rPr>
        <w:t xml:space="preserve">  </w:t>
      </w:r>
      <w:r>
        <w:rPr>
          <w:rFonts w:ascii="宋体" w:hAnsi="宋体"/>
          <w:szCs w:val="21"/>
        </w:rPr>
        <w:t>期：    年    月    日</w:t>
      </w:r>
    </w:p>
    <w:p w14:paraId="155526D8">
      <w:pPr>
        <w:spacing w:line="360" w:lineRule="auto"/>
        <w:rPr>
          <w:rFonts w:ascii="宋体" w:hAnsi="宋体"/>
          <w:b/>
          <w:szCs w:val="21"/>
        </w:rPr>
      </w:pPr>
      <w:r>
        <w:rPr>
          <w:rFonts w:ascii="宋体" w:hAnsi="宋体"/>
          <w:b/>
          <w:szCs w:val="21"/>
        </w:rPr>
        <w:br w:type="column"/>
      </w:r>
      <w:r>
        <w:rPr>
          <w:rFonts w:hint="eastAsia" w:ascii="宋体" w:hAnsi="宋体"/>
          <w:szCs w:val="21"/>
        </w:rPr>
        <w:t>附件六</w:t>
      </w:r>
    </w:p>
    <w:p w14:paraId="66E1143D">
      <w:pPr>
        <w:spacing w:line="360" w:lineRule="auto"/>
        <w:jc w:val="center"/>
        <w:rPr>
          <w:rFonts w:ascii="宋体" w:hAnsi="宋体"/>
          <w:b/>
          <w:szCs w:val="21"/>
        </w:rPr>
      </w:pPr>
      <w:r>
        <w:rPr>
          <w:rFonts w:hint="eastAsia" w:ascii="宋体" w:hAnsi="宋体"/>
          <w:b/>
          <w:szCs w:val="21"/>
        </w:rPr>
        <w:t>投标人资格证明文件</w:t>
      </w:r>
    </w:p>
    <w:p w14:paraId="38CC503A">
      <w:pPr>
        <w:spacing w:line="360" w:lineRule="auto"/>
        <w:rPr>
          <w:rFonts w:ascii="宋体" w:hAnsi="宋体"/>
          <w:b/>
          <w:szCs w:val="21"/>
        </w:rPr>
      </w:pPr>
    </w:p>
    <w:p w14:paraId="6A6C2A44">
      <w:pPr>
        <w:spacing w:line="360" w:lineRule="auto"/>
        <w:ind w:firstLine="422" w:firstLineChars="200"/>
        <w:rPr>
          <w:rFonts w:ascii="宋体" w:hAnsi="宋体"/>
          <w:b/>
          <w:szCs w:val="21"/>
        </w:rPr>
      </w:pPr>
      <w:r>
        <w:rPr>
          <w:rFonts w:hint="eastAsia" w:ascii="宋体" w:hAnsi="宋体"/>
          <w:b/>
          <w:szCs w:val="21"/>
        </w:rPr>
        <w:t>投标人应提供下列证书或资料的复印件并加盖投标人公章做入投标文件中：</w:t>
      </w:r>
    </w:p>
    <w:p w14:paraId="668332E6">
      <w:pPr>
        <w:spacing w:line="360" w:lineRule="auto"/>
        <w:ind w:firstLine="420" w:firstLineChars="200"/>
        <w:rPr>
          <w:rFonts w:ascii="宋体" w:hAnsi="宋体"/>
          <w:szCs w:val="21"/>
        </w:rPr>
      </w:pPr>
      <w:r>
        <w:rPr>
          <w:rFonts w:hint="eastAsia" w:ascii="宋体" w:hAnsi="宋体"/>
          <w:szCs w:val="21"/>
        </w:rPr>
        <w:t>1.中国银行业监督管理委员会宁波监管局核发有效的《中华人民共和国金融许可证》</w:t>
      </w:r>
    </w:p>
    <w:p w14:paraId="0A3FB4D8">
      <w:pPr>
        <w:spacing w:line="360" w:lineRule="auto"/>
        <w:ind w:firstLine="420" w:firstLineChars="200"/>
        <w:rPr>
          <w:rFonts w:ascii="宋体" w:hAnsi="宋体"/>
          <w:szCs w:val="21"/>
        </w:rPr>
      </w:pPr>
      <w:r>
        <w:rPr>
          <w:rFonts w:hint="eastAsia" w:ascii="宋体" w:hAnsi="宋体"/>
          <w:szCs w:val="21"/>
        </w:rPr>
        <w:t>2.市场监督管理部门核发有效的《营业执照》</w:t>
      </w:r>
    </w:p>
    <w:p w14:paraId="7F9E811A">
      <w:pPr>
        <w:spacing w:line="360" w:lineRule="auto"/>
        <w:ind w:firstLine="420" w:firstLineChars="200"/>
        <w:rPr>
          <w:rFonts w:ascii="宋体" w:hAnsi="宋体"/>
          <w:szCs w:val="21"/>
        </w:rPr>
      </w:pPr>
      <w:r>
        <w:rPr>
          <w:rFonts w:hint="eastAsia" w:ascii="宋体" w:hAnsi="宋体"/>
          <w:szCs w:val="21"/>
        </w:rPr>
        <w:t>3.无行贿犯罪记录承诺书（格式见后附）</w:t>
      </w:r>
    </w:p>
    <w:p w14:paraId="691F56D7">
      <w:pPr>
        <w:spacing w:line="360" w:lineRule="auto"/>
        <w:ind w:firstLine="420" w:firstLineChars="200"/>
        <w:rPr>
          <w:rFonts w:ascii="宋体" w:hAnsi="宋体"/>
          <w:szCs w:val="21"/>
        </w:rPr>
      </w:pPr>
      <w:r>
        <w:rPr>
          <w:rFonts w:hint="eastAsia" w:ascii="宋体" w:hAnsi="宋体"/>
          <w:szCs w:val="21"/>
        </w:rPr>
        <w:t>4.无</w:t>
      </w:r>
      <w:r>
        <w:rPr>
          <w:rFonts w:ascii="宋体" w:hAnsi="宋体"/>
          <w:szCs w:val="21"/>
        </w:rPr>
        <w:t>重大违</w:t>
      </w:r>
      <w:r>
        <w:rPr>
          <w:rFonts w:hint="eastAsia" w:ascii="宋体" w:hAnsi="宋体"/>
          <w:szCs w:val="21"/>
        </w:rPr>
        <w:t>法违规记录及重大违约的承诺书（格式见后附）</w:t>
      </w:r>
    </w:p>
    <w:p w14:paraId="052EE41C">
      <w:pPr>
        <w:spacing w:line="360" w:lineRule="auto"/>
        <w:ind w:firstLine="420" w:firstLineChars="200"/>
        <w:rPr>
          <w:rFonts w:ascii="宋体" w:hAnsi="宋体"/>
          <w:szCs w:val="21"/>
        </w:rPr>
      </w:pPr>
      <w:r>
        <w:rPr>
          <w:rFonts w:hint="eastAsia" w:ascii="宋体" w:hAnsi="宋体"/>
          <w:szCs w:val="21"/>
        </w:rPr>
        <w:t>5.具有履行合同所必需的设备和专业技术能力,资信状况和经营业绩优良，具有较强的风险控制能力的承诺书（格式见后附）。</w:t>
      </w:r>
    </w:p>
    <w:p w14:paraId="35DDF8F3">
      <w:pPr>
        <w:pStyle w:val="12"/>
        <w:adjustRightInd w:val="0"/>
        <w:snapToGrid w:val="0"/>
        <w:spacing w:line="360" w:lineRule="auto"/>
        <w:jc w:val="center"/>
        <w:rPr>
          <w:rStyle w:val="17"/>
          <w:rFonts w:hint="default"/>
          <w:sz w:val="21"/>
          <w:szCs w:val="21"/>
        </w:rPr>
      </w:pPr>
      <w:r>
        <w:rPr>
          <w:rFonts w:ascii="宋体" w:hAnsi="宋体"/>
          <w:b/>
        </w:rPr>
        <w:br w:type="column"/>
      </w:r>
      <w:r>
        <w:rPr>
          <w:rStyle w:val="17"/>
          <w:sz w:val="21"/>
          <w:szCs w:val="21"/>
        </w:rPr>
        <w:t>（1）金融许可证</w:t>
      </w:r>
    </w:p>
    <w:p w14:paraId="13A50D4E">
      <w:pPr>
        <w:rPr>
          <w:rFonts w:ascii="宋体" w:hAnsi="宋体"/>
          <w:b/>
          <w:szCs w:val="21"/>
        </w:rPr>
      </w:pPr>
    </w:p>
    <w:p w14:paraId="22F4955B">
      <w:pPr>
        <w:ind w:firstLine="210" w:firstLineChars="100"/>
        <w:rPr>
          <w:rStyle w:val="17"/>
          <w:b w:val="0"/>
          <w:bCs w:val="0"/>
          <w:szCs w:val="21"/>
        </w:rPr>
      </w:pPr>
      <w:r>
        <w:rPr>
          <w:rFonts w:hint="eastAsia" w:ascii="宋体" w:hAnsi="宋体"/>
          <w:szCs w:val="21"/>
        </w:rPr>
        <w:t>附：中国银行业监督管理委员会宁波监管局核发有效的《中华人民共和国金融许可证》复印件并加盖投标人公章。</w:t>
      </w:r>
    </w:p>
    <w:p w14:paraId="742AF355">
      <w:pPr>
        <w:pStyle w:val="12"/>
        <w:adjustRightInd w:val="0"/>
        <w:snapToGrid w:val="0"/>
        <w:spacing w:line="360" w:lineRule="auto"/>
        <w:jc w:val="center"/>
        <w:rPr>
          <w:rStyle w:val="17"/>
          <w:rFonts w:hint="default"/>
          <w:sz w:val="21"/>
          <w:szCs w:val="21"/>
        </w:rPr>
      </w:pPr>
      <w:r>
        <w:rPr>
          <w:rStyle w:val="17"/>
        </w:rPr>
        <w:br w:type="page"/>
      </w:r>
      <w:r>
        <w:rPr>
          <w:rStyle w:val="17"/>
          <w:sz w:val="21"/>
          <w:szCs w:val="21"/>
        </w:rPr>
        <w:t>（2）营业执照</w:t>
      </w:r>
    </w:p>
    <w:p w14:paraId="50077F99">
      <w:pPr>
        <w:rPr>
          <w:rFonts w:ascii="宋体" w:hAnsi="宋体"/>
          <w:b/>
          <w:szCs w:val="21"/>
        </w:rPr>
      </w:pPr>
    </w:p>
    <w:p w14:paraId="21A50641">
      <w:pPr>
        <w:pStyle w:val="12"/>
        <w:adjustRightInd w:val="0"/>
        <w:snapToGrid w:val="0"/>
        <w:spacing w:line="360" w:lineRule="auto"/>
        <w:jc w:val="center"/>
        <w:rPr>
          <w:rFonts w:hint="default" w:ascii="宋体" w:hAnsi="宋体" w:eastAsia="宋体"/>
          <w:kern w:val="2"/>
          <w:sz w:val="21"/>
          <w:szCs w:val="21"/>
        </w:rPr>
      </w:pPr>
      <w:r>
        <w:rPr>
          <w:rFonts w:ascii="宋体" w:hAnsi="宋体" w:eastAsia="宋体"/>
          <w:kern w:val="2"/>
          <w:sz w:val="21"/>
          <w:szCs w:val="21"/>
        </w:rPr>
        <w:t>附：市场监督管理部门核发有效的《营业执照》复印件并加盖投标人公章。</w:t>
      </w:r>
    </w:p>
    <w:p w14:paraId="04B62D8F">
      <w:pPr>
        <w:pStyle w:val="12"/>
        <w:adjustRightInd w:val="0"/>
        <w:snapToGrid w:val="0"/>
        <w:spacing w:line="360" w:lineRule="auto"/>
        <w:jc w:val="center"/>
        <w:rPr>
          <w:rStyle w:val="17"/>
          <w:rFonts w:hint="default"/>
          <w:sz w:val="21"/>
          <w:szCs w:val="21"/>
        </w:rPr>
      </w:pPr>
      <w:r>
        <w:rPr>
          <w:rStyle w:val="17"/>
          <w:b w:val="0"/>
        </w:rPr>
        <w:br w:type="page"/>
      </w:r>
      <w:r>
        <w:rPr>
          <w:rStyle w:val="17"/>
          <w:sz w:val="21"/>
          <w:szCs w:val="21"/>
        </w:rPr>
        <w:t>（3）无行贿犯罪记录承诺书</w:t>
      </w:r>
    </w:p>
    <w:p w14:paraId="40C39EE1">
      <w:pPr>
        <w:spacing w:line="360" w:lineRule="auto"/>
        <w:rPr>
          <w:rFonts w:ascii="宋体" w:hAnsi="宋体"/>
          <w:szCs w:val="21"/>
        </w:rPr>
      </w:pPr>
    </w:p>
    <w:p w14:paraId="31060365">
      <w:pPr>
        <w:spacing w:line="360" w:lineRule="auto"/>
        <w:rPr>
          <w:rFonts w:ascii="宋体" w:hAnsi="宋体"/>
          <w:szCs w:val="21"/>
          <w:u w:val="single"/>
        </w:rPr>
      </w:pPr>
      <w:r>
        <w:rPr>
          <w:rFonts w:hint="eastAsia" w:ascii="宋体" w:hAnsi="宋体"/>
          <w:szCs w:val="21"/>
        </w:rPr>
        <w:t>致：</w:t>
      </w:r>
      <w:r>
        <w:rPr>
          <w:rFonts w:hint="eastAsia" w:ascii="宋体" w:hAnsi="宋体"/>
          <w:szCs w:val="21"/>
          <w:u w:val="single"/>
        </w:rPr>
        <w:t xml:space="preserve">      （招标人）     </w:t>
      </w:r>
    </w:p>
    <w:p w14:paraId="5669769E">
      <w:pPr>
        <w:spacing w:line="360" w:lineRule="auto"/>
        <w:ind w:firstLine="420" w:firstLineChars="200"/>
        <w:rPr>
          <w:rFonts w:ascii="宋体" w:hAnsi="宋体"/>
          <w:szCs w:val="21"/>
        </w:rPr>
      </w:pPr>
      <w:r>
        <w:rPr>
          <w:rFonts w:hint="eastAsia" w:ascii="宋体" w:hAnsi="宋体"/>
          <w:szCs w:val="21"/>
        </w:rPr>
        <w:t>我行已</w:t>
      </w:r>
      <w:r>
        <w:rPr>
          <w:rFonts w:hint="eastAsia" w:ascii="宋体" w:hAnsi="宋体"/>
          <w:bCs/>
          <w:szCs w:val="21"/>
        </w:rPr>
        <w:t>参加</w:t>
      </w:r>
      <w:r>
        <w:rPr>
          <w:rFonts w:hint="eastAsia" w:ascii="宋体" w:hAnsi="宋体"/>
          <w:kern w:val="0"/>
          <w:szCs w:val="21"/>
          <w:u w:val="single"/>
          <w:lang w:eastAsia="zh-CN"/>
        </w:rPr>
        <w:t>中国共产党宁波市北仑区委员会春晓街道工作委员会银行专户开立服务机构招标项目</w:t>
      </w:r>
      <w:r>
        <w:rPr>
          <w:rFonts w:hint="eastAsia" w:ascii="宋体" w:hAnsi="宋体"/>
          <w:bCs/>
          <w:szCs w:val="21"/>
        </w:rPr>
        <w:t>的投标，在此承</w:t>
      </w:r>
      <w:r>
        <w:rPr>
          <w:rFonts w:hint="eastAsia" w:ascii="宋体" w:hAnsi="宋体"/>
          <w:szCs w:val="21"/>
        </w:rPr>
        <w:t>诺：</w:t>
      </w:r>
    </w:p>
    <w:p w14:paraId="0695FB91">
      <w:pPr>
        <w:spacing w:line="360" w:lineRule="auto"/>
        <w:ind w:firstLine="420" w:firstLineChars="200"/>
        <w:rPr>
          <w:rFonts w:ascii="宋体" w:hAnsi="宋体"/>
          <w:bCs/>
          <w:szCs w:val="21"/>
        </w:rPr>
      </w:pPr>
      <w:r>
        <w:rPr>
          <w:rFonts w:hint="eastAsia" w:ascii="宋体" w:hAnsi="宋体"/>
          <w:szCs w:val="21"/>
        </w:rPr>
        <w:t>我行及法定代表人（或单位负责人）在近五年内(含五年，从开标日之前一日倒算，不含开标日)无行贿犯罪记录。</w:t>
      </w:r>
    </w:p>
    <w:p w14:paraId="78FB4061">
      <w:pPr>
        <w:spacing w:line="360" w:lineRule="auto"/>
        <w:rPr>
          <w:rFonts w:ascii="宋体" w:hAnsi="宋体"/>
          <w:bCs/>
          <w:szCs w:val="21"/>
        </w:rPr>
      </w:pPr>
    </w:p>
    <w:p w14:paraId="39873BC1">
      <w:pPr>
        <w:spacing w:line="360" w:lineRule="auto"/>
        <w:ind w:firstLine="5040" w:firstLineChars="2400"/>
        <w:rPr>
          <w:rFonts w:ascii="宋体" w:hAnsi="宋体"/>
          <w:bCs/>
          <w:szCs w:val="21"/>
        </w:rPr>
      </w:pPr>
      <w:r>
        <w:rPr>
          <w:rFonts w:hint="eastAsia" w:ascii="宋体" w:hAnsi="宋体"/>
          <w:bCs/>
          <w:szCs w:val="21"/>
        </w:rPr>
        <w:t>投标人（盖公章）：</w:t>
      </w:r>
    </w:p>
    <w:p w14:paraId="46FA4769">
      <w:pPr>
        <w:spacing w:line="360" w:lineRule="auto"/>
        <w:ind w:firstLine="5040" w:firstLineChars="2400"/>
        <w:rPr>
          <w:rStyle w:val="17"/>
          <w:b w:val="0"/>
          <w:bCs w:val="0"/>
          <w:szCs w:val="21"/>
        </w:rPr>
      </w:pPr>
      <w:r>
        <w:rPr>
          <w:rFonts w:ascii="宋体" w:hAnsi="宋体"/>
          <w:szCs w:val="21"/>
        </w:rPr>
        <w:t>日期：    年    月    日</w:t>
      </w:r>
    </w:p>
    <w:p w14:paraId="7DBA0BDD">
      <w:pPr>
        <w:pStyle w:val="12"/>
        <w:adjustRightInd w:val="0"/>
        <w:snapToGrid w:val="0"/>
        <w:spacing w:line="360" w:lineRule="auto"/>
        <w:jc w:val="center"/>
        <w:rPr>
          <w:rStyle w:val="17"/>
          <w:rFonts w:hint="default"/>
          <w:sz w:val="21"/>
          <w:szCs w:val="21"/>
        </w:rPr>
      </w:pPr>
      <w:r>
        <w:rPr>
          <w:rStyle w:val="17"/>
          <w:b w:val="0"/>
        </w:rPr>
        <w:br w:type="page"/>
      </w:r>
      <w:r>
        <w:rPr>
          <w:rStyle w:val="17"/>
          <w:sz w:val="21"/>
          <w:szCs w:val="21"/>
        </w:rPr>
        <w:t>（4）无重大违法违规记录及重大违约的承诺书</w:t>
      </w:r>
    </w:p>
    <w:p w14:paraId="109E9DC6">
      <w:pPr>
        <w:pStyle w:val="12"/>
        <w:adjustRightInd w:val="0"/>
        <w:snapToGrid w:val="0"/>
        <w:spacing w:line="360" w:lineRule="auto"/>
        <w:rPr>
          <w:rFonts w:hint="default" w:ascii="宋体" w:hAnsi="宋体" w:cs="宋体"/>
        </w:rPr>
      </w:pPr>
    </w:p>
    <w:p w14:paraId="2FB2E6B7">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（招标人）   </w:t>
      </w:r>
    </w:p>
    <w:p w14:paraId="5DCEDFCC">
      <w:pPr>
        <w:pStyle w:val="12"/>
        <w:adjustRightInd w:val="0"/>
        <w:snapToGrid w:val="0"/>
        <w:spacing w:line="360" w:lineRule="auto"/>
        <w:ind w:firstLine="420" w:firstLineChars="200"/>
        <w:rPr>
          <w:rFonts w:hint="default" w:ascii="宋体" w:hAnsi="宋体" w:eastAsia="宋体"/>
          <w:kern w:val="2"/>
          <w:sz w:val="21"/>
          <w:szCs w:val="21"/>
        </w:rPr>
      </w:pPr>
      <w:r>
        <w:rPr>
          <w:rFonts w:ascii="宋体" w:hAnsi="宋体" w:eastAsia="宋体"/>
          <w:kern w:val="2"/>
          <w:sz w:val="21"/>
          <w:szCs w:val="21"/>
        </w:rPr>
        <w:t>我行近3年内在经营活动中无重大违法违规记录及重大违约。</w:t>
      </w:r>
    </w:p>
    <w:p w14:paraId="28E0BEC6">
      <w:pPr>
        <w:pStyle w:val="12"/>
        <w:adjustRightInd w:val="0"/>
        <w:snapToGrid w:val="0"/>
        <w:spacing w:line="360" w:lineRule="auto"/>
        <w:ind w:firstLine="420" w:firstLineChars="200"/>
        <w:rPr>
          <w:rFonts w:hint="default" w:ascii="宋体" w:hAnsi="宋体" w:eastAsia="宋体"/>
          <w:kern w:val="2"/>
          <w:sz w:val="21"/>
          <w:szCs w:val="21"/>
        </w:rPr>
      </w:pPr>
      <w:r>
        <w:rPr>
          <w:rFonts w:ascii="宋体" w:hAnsi="宋体" w:eastAsia="宋体"/>
          <w:kern w:val="2"/>
          <w:sz w:val="21"/>
          <w:szCs w:val="21"/>
        </w:rPr>
        <w:t>特此承诺</w:t>
      </w:r>
    </w:p>
    <w:p w14:paraId="4738692F">
      <w:pPr>
        <w:pStyle w:val="12"/>
        <w:adjustRightInd w:val="0"/>
        <w:snapToGrid w:val="0"/>
        <w:spacing w:line="360" w:lineRule="auto"/>
        <w:rPr>
          <w:rFonts w:hint="default" w:ascii="宋体" w:hAnsi="宋体" w:cs="宋体"/>
        </w:rPr>
      </w:pPr>
    </w:p>
    <w:p w14:paraId="196A7055">
      <w:pPr>
        <w:pStyle w:val="12"/>
        <w:adjustRightInd w:val="0"/>
        <w:snapToGrid w:val="0"/>
        <w:spacing w:line="360" w:lineRule="auto"/>
        <w:rPr>
          <w:rFonts w:hint="default" w:ascii="宋体" w:hAnsi="宋体" w:cs="宋体"/>
        </w:rPr>
      </w:pPr>
    </w:p>
    <w:p w14:paraId="43735B90">
      <w:pPr>
        <w:spacing w:line="360" w:lineRule="auto"/>
        <w:rPr>
          <w:rFonts w:ascii="宋体" w:hAnsi="宋体"/>
          <w:bCs/>
          <w:szCs w:val="21"/>
        </w:rPr>
      </w:pPr>
      <w:r>
        <w:rPr>
          <w:rFonts w:hint="eastAsia" w:ascii="宋体" w:hAnsi="宋体"/>
          <w:bCs/>
          <w:szCs w:val="21"/>
        </w:rPr>
        <w:t>投标人（盖公章）：</w:t>
      </w:r>
    </w:p>
    <w:p w14:paraId="7E1CE3E9">
      <w:pPr>
        <w:spacing w:line="360" w:lineRule="auto"/>
        <w:rPr>
          <w:rFonts w:ascii="宋体" w:hAnsi="宋体"/>
          <w:bCs/>
          <w:szCs w:val="21"/>
        </w:rPr>
      </w:pPr>
    </w:p>
    <w:p w14:paraId="52002AB3">
      <w:pPr>
        <w:spacing w:line="360" w:lineRule="auto"/>
        <w:rPr>
          <w:rFonts w:ascii="宋体" w:hAnsi="宋体"/>
          <w:bCs/>
          <w:szCs w:val="21"/>
        </w:rPr>
      </w:pPr>
      <w:r>
        <w:rPr>
          <w:rFonts w:ascii="宋体" w:hAnsi="宋体"/>
          <w:szCs w:val="21"/>
        </w:rPr>
        <w:t>法定代表人</w:t>
      </w:r>
      <w:r>
        <w:rPr>
          <w:rFonts w:hint="eastAsia" w:ascii="宋体" w:hAnsi="宋体"/>
          <w:szCs w:val="21"/>
        </w:rPr>
        <w:t>（或单位负责人）</w:t>
      </w:r>
      <w:r>
        <w:rPr>
          <w:rFonts w:ascii="宋体" w:hAnsi="宋体"/>
          <w:szCs w:val="21"/>
        </w:rPr>
        <w:t>或</w:t>
      </w:r>
      <w:r>
        <w:rPr>
          <w:rFonts w:hint="eastAsia" w:ascii="宋体" w:hAnsi="宋体"/>
          <w:szCs w:val="21"/>
        </w:rPr>
        <w:t>其</w:t>
      </w:r>
      <w:r>
        <w:rPr>
          <w:rFonts w:ascii="宋体" w:hAnsi="宋体"/>
          <w:szCs w:val="21"/>
        </w:rPr>
        <w:t>授权</w:t>
      </w:r>
      <w:r>
        <w:rPr>
          <w:rFonts w:hint="eastAsia" w:ascii="宋体" w:hAnsi="宋体"/>
          <w:szCs w:val="21"/>
        </w:rPr>
        <w:t>代理</w:t>
      </w:r>
      <w:r>
        <w:rPr>
          <w:rFonts w:ascii="宋体" w:hAnsi="宋体"/>
          <w:szCs w:val="21"/>
        </w:rPr>
        <w:t>人</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14:paraId="20FE2798">
      <w:pPr>
        <w:spacing w:line="360" w:lineRule="auto"/>
        <w:rPr>
          <w:rFonts w:ascii="宋体" w:hAnsi="宋体"/>
          <w:szCs w:val="21"/>
        </w:rPr>
      </w:pPr>
    </w:p>
    <w:p w14:paraId="38FF56BF">
      <w:pPr>
        <w:spacing w:line="360" w:lineRule="auto"/>
        <w:rPr>
          <w:rFonts w:ascii="宋体" w:hAnsi="宋体"/>
          <w:szCs w:val="21"/>
        </w:rPr>
      </w:pPr>
    </w:p>
    <w:p w14:paraId="597076D7">
      <w:pPr>
        <w:spacing w:line="360" w:lineRule="auto"/>
        <w:rPr>
          <w:rFonts w:ascii="宋体" w:hAnsi="宋体"/>
          <w:szCs w:val="21"/>
        </w:rPr>
      </w:pPr>
    </w:p>
    <w:p w14:paraId="2737A0DA">
      <w:pPr>
        <w:spacing w:line="360" w:lineRule="auto"/>
        <w:rPr>
          <w:rFonts w:ascii="宋体" w:hAnsi="宋体"/>
          <w:szCs w:val="21"/>
        </w:rPr>
      </w:pPr>
    </w:p>
    <w:p w14:paraId="0703B91F">
      <w:pPr>
        <w:spacing w:line="360" w:lineRule="auto"/>
        <w:rPr>
          <w:rFonts w:ascii="宋体" w:hAnsi="宋体"/>
          <w:szCs w:val="21"/>
        </w:rPr>
      </w:pPr>
    </w:p>
    <w:p w14:paraId="12854968">
      <w:pPr>
        <w:spacing w:line="360" w:lineRule="auto"/>
        <w:rPr>
          <w:rFonts w:ascii="宋体" w:hAnsi="宋体"/>
          <w:szCs w:val="21"/>
        </w:rPr>
      </w:pPr>
    </w:p>
    <w:p w14:paraId="23EBD0DC">
      <w:pPr>
        <w:spacing w:line="360" w:lineRule="auto"/>
        <w:ind w:firstLine="3990" w:firstLineChars="1900"/>
        <w:rPr>
          <w:rFonts w:ascii="宋体" w:hAnsi="宋体"/>
          <w:szCs w:val="21"/>
        </w:rPr>
      </w:pPr>
      <w:r>
        <w:rPr>
          <w:rFonts w:ascii="宋体" w:hAnsi="宋体"/>
          <w:szCs w:val="21"/>
        </w:rPr>
        <w:t>日期：    年    月    日</w:t>
      </w:r>
    </w:p>
    <w:p w14:paraId="53AF3112">
      <w:pPr>
        <w:pStyle w:val="12"/>
        <w:adjustRightInd w:val="0"/>
        <w:snapToGrid w:val="0"/>
        <w:spacing w:line="360" w:lineRule="auto"/>
        <w:rPr>
          <w:rFonts w:hint="default" w:ascii="宋体" w:hAnsi="宋体" w:cs="宋体"/>
        </w:rPr>
      </w:pPr>
      <w:r>
        <w:rPr>
          <w:rFonts w:ascii="宋体" w:hAnsi="宋体" w:cs="宋体"/>
        </w:rPr>
        <w:br w:type="page"/>
      </w:r>
    </w:p>
    <w:p w14:paraId="7D4F11E9">
      <w:pPr>
        <w:pStyle w:val="12"/>
        <w:adjustRightInd w:val="0"/>
        <w:snapToGrid w:val="0"/>
        <w:spacing w:line="360" w:lineRule="auto"/>
        <w:jc w:val="center"/>
        <w:rPr>
          <w:rStyle w:val="17"/>
          <w:rFonts w:hint="default"/>
          <w:sz w:val="21"/>
          <w:szCs w:val="21"/>
        </w:rPr>
      </w:pPr>
      <w:r>
        <w:rPr>
          <w:rStyle w:val="17"/>
          <w:sz w:val="21"/>
          <w:szCs w:val="21"/>
        </w:rPr>
        <w:t>（5）具有履行合同所必需的设备和专业技术能力,资信状况和经营业绩优良，具有较强的风险控制能力的承诺书</w:t>
      </w:r>
    </w:p>
    <w:p w14:paraId="75157EA5">
      <w:pPr>
        <w:pStyle w:val="12"/>
        <w:adjustRightInd w:val="0"/>
        <w:snapToGrid w:val="0"/>
        <w:spacing w:line="360" w:lineRule="auto"/>
        <w:rPr>
          <w:rFonts w:hint="default" w:ascii="宋体" w:hAnsi="宋体" w:cs="宋体"/>
        </w:rPr>
      </w:pPr>
    </w:p>
    <w:p w14:paraId="2CF93716">
      <w:pPr>
        <w:spacing w:line="480" w:lineRule="auto"/>
        <w:rPr>
          <w:rFonts w:ascii="宋体" w:hAnsi="宋体"/>
          <w:szCs w:val="21"/>
        </w:rPr>
      </w:pPr>
      <w:r>
        <w:rPr>
          <w:rFonts w:hint="eastAsia" w:ascii="宋体" w:hAnsi="宋体"/>
          <w:szCs w:val="21"/>
        </w:rPr>
        <w:t>致：</w:t>
      </w:r>
      <w:r>
        <w:rPr>
          <w:rFonts w:hint="eastAsia" w:ascii="宋体" w:hAnsi="宋体"/>
          <w:szCs w:val="21"/>
          <w:u w:val="single"/>
        </w:rPr>
        <w:t xml:space="preserve">    （招标人）    </w:t>
      </w:r>
    </w:p>
    <w:p w14:paraId="1430E22E">
      <w:pPr>
        <w:pStyle w:val="12"/>
        <w:adjustRightInd w:val="0"/>
        <w:snapToGrid w:val="0"/>
        <w:spacing w:line="480" w:lineRule="auto"/>
        <w:ind w:firstLine="420" w:firstLineChars="200"/>
        <w:rPr>
          <w:rFonts w:hint="default" w:ascii="宋体" w:hAnsi="宋体" w:cs="宋体"/>
          <w:sz w:val="21"/>
          <w:szCs w:val="21"/>
        </w:rPr>
      </w:pPr>
      <w:r>
        <w:rPr>
          <w:rFonts w:ascii="宋体" w:hAnsi="宋体" w:cs="宋体"/>
          <w:sz w:val="21"/>
          <w:szCs w:val="21"/>
        </w:rPr>
        <w:t>我行具有履行合同所必需的设备和专业技术能力,资信状况和经营业绩优良，具有较强的风险控制能力。</w:t>
      </w:r>
    </w:p>
    <w:p w14:paraId="6BCA1647">
      <w:pPr>
        <w:pStyle w:val="12"/>
        <w:adjustRightInd w:val="0"/>
        <w:snapToGrid w:val="0"/>
        <w:spacing w:line="480" w:lineRule="auto"/>
        <w:ind w:firstLine="420" w:firstLineChars="200"/>
        <w:rPr>
          <w:rFonts w:hint="default" w:ascii="宋体" w:hAnsi="宋体" w:cs="宋体"/>
          <w:sz w:val="21"/>
          <w:szCs w:val="21"/>
        </w:rPr>
      </w:pPr>
      <w:r>
        <w:rPr>
          <w:rFonts w:ascii="宋体" w:hAnsi="宋体" w:cs="宋体"/>
          <w:sz w:val="21"/>
          <w:szCs w:val="21"/>
        </w:rPr>
        <w:t>特此承诺</w:t>
      </w:r>
    </w:p>
    <w:p w14:paraId="1669041A">
      <w:pPr>
        <w:pStyle w:val="12"/>
        <w:adjustRightInd w:val="0"/>
        <w:snapToGrid w:val="0"/>
        <w:spacing w:line="360" w:lineRule="auto"/>
        <w:rPr>
          <w:rFonts w:hint="default" w:ascii="宋体" w:hAnsi="宋体" w:cs="宋体"/>
        </w:rPr>
      </w:pPr>
    </w:p>
    <w:p w14:paraId="13C939E3">
      <w:pPr>
        <w:pStyle w:val="12"/>
        <w:adjustRightInd w:val="0"/>
        <w:snapToGrid w:val="0"/>
        <w:spacing w:line="360" w:lineRule="auto"/>
        <w:rPr>
          <w:rFonts w:hint="default" w:ascii="宋体" w:hAnsi="宋体" w:cs="宋体"/>
        </w:rPr>
      </w:pPr>
    </w:p>
    <w:p w14:paraId="30DB0034">
      <w:pPr>
        <w:pStyle w:val="12"/>
        <w:adjustRightInd w:val="0"/>
        <w:snapToGrid w:val="0"/>
        <w:spacing w:line="360" w:lineRule="auto"/>
        <w:rPr>
          <w:rFonts w:hint="default" w:ascii="宋体" w:hAnsi="宋体" w:cs="宋体"/>
        </w:rPr>
      </w:pPr>
    </w:p>
    <w:p w14:paraId="002BC9F9">
      <w:pPr>
        <w:pStyle w:val="12"/>
        <w:adjustRightInd w:val="0"/>
        <w:snapToGrid w:val="0"/>
        <w:spacing w:line="360" w:lineRule="auto"/>
        <w:rPr>
          <w:rFonts w:hint="default" w:ascii="宋体" w:hAnsi="宋体" w:cs="宋体"/>
        </w:rPr>
      </w:pPr>
    </w:p>
    <w:p w14:paraId="354A5EA6">
      <w:pPr>
        <w:spacing w:line="360" w:lineRule="auto"/>
        <w:rPr>
          <w:rFonts w:ascii="宋体" w:hAnsi="宋体"/>
          <w:bCs/>
          <w:szCs w:val="21"/>
        </w:rPr>
      </w:pPr>
      <w:r>
        <w:rPr>
          <w:rFonts w:hint="eastAsia" w:ascii="宋体" w:hAnsi="宋体"/>
          <w:bCs/>
          <w:szCs w:val="21"/>
        </w:rPr>
        <w:t>投标人（盖公章）：</w:t>
      </w:r>
    </w:p>
    <w:p w14:paraId="26B017E7">
      <w:pPr>
        <w:spacing w:line="360" w:lineRule="auto"/>
        <w:rPr>
          <w:rFonts w:ascii="宋体" w:hAnsi="宋体"/>
          <w:bCs/>
          <w:szCs w:val="21"/>
        </w:rPr>
      </w:pPr>
    </w:p>
    <w:p w14:paraId="777DC8D8">
      <w:pPr>
        <w:spacing w:line="360" w:lineRule="auto"/>
        <w:rPr>
          <w:rFonts w:ascii="宋体" w:hAnsi="宋体"/>
          <w:szCs w:val="21"/>
          <w:u w:val="single"/>
        </w:rPr>
      </w:pPr>
      <w:r>
        <w:rPr>
          <w:rFonts w:ascii="宋体" w:hAnsi="宋体"/>
          <w:szCs w:val="21"/>
        </w:rPr>
        <w:t>法定代表人</w:t>
      </w:r>
      <w:r>
        <w:rPr>
          <w:rFonts w:hint="eastAsia" w:ascii="宋体" w:hAnsi="宋体"/>
          <w:szCs w:val="21"/>
        </w:rPr>
        <w:t>（或单位负责人）</w:t>
      </w:r>
      <w:r>
        <w:rPr>
          <w:rFonts w:ascii="宋体" w:hAnsi="宋体"/>
          <w:szCs w:val="21"/>
        </w:rPr>
        <w:t>或</w:t>
      </w:r>
      <w:r>
        <w:rPr>
          <w:rFonts w:hint="eastAsia" w:ascii="宋体" w:hAnsi="宋体"/>
          <w:szCs w:val="21"/>
        </w:rPr>
        <w:t>其</w:t>
      </w:r>
      <w:r>
        <w:rPr>
          <w:rFonts w:ascii="宋体" w:hAnsi="宋体"/>
          <w:szCs w:val="21"/>
        </w:rPr>
        <w:t>授权</w:t>
      </w:r>
      <w:r>
        <w:rPr>
          <w:rFonts w:hint="eastAsia" w:ascii="宋体" w:hAnsi="宋体"/>
          <w:szCs w:val="21"/>
        </w:rPr>
        <w:t>代理</w:t>
      </w:r>
      <w:r>
        <w:rPr>
          <w:rFonts w:ascii="宋体" w:hAnsi="宋体"/>
          <w:szCs w:val="21"/>
        </w:rPr>
        <w:t>人</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14:paraId="48EC93A5">
      <w:pPr>
        <w:spacing w:line="360" w:lineRule="auto"/>
        <w:rPr>
          <w:rFonts w:ascii="宋体" w:hAnsi="宋体"/>
          <w:szCs w:val="21"/>
        </w:rPr>
      </w:pPr>
    </w:p>
    <w:p w14:paraId="14B1B706">
      <w:pPr>
        <w:spacing w:line="360" w:lineRule="auto"/>
        <w:jc w:val="left"/>
        <w:rPr>
          <w:rFonts w:ascii="宋体" w:hAnsi="宋体"/>
          <w:szCs w:val="21"/>
        </w:rPr>
      </w:pPr>
      <w:r>
        <w:rPr>
          <w:rFonts w:ascii="宋体" w:hAnsi="宋体"/>
          <w:szCs w:val="21"/>
        </w:rPr>
        <w:t>日期：    年    月    日</w:t>
      </w:r>
    </w:p>
    <w:p w14:paraId="475976DA">
      <w:pPr>
        <w:spacing w:line="360" w:lineRule="auto"/>
        <w:rPr>
          <w:rFonts w:ascii="宋体" w:hAnsi="宋体"/>
          <w:b/>
          <w:szCs w:val="21"/>
        </w:rPr>
      </w:pPr>
      <w:r>
        <w:rPr>
          <w:rFonts w:hint="eastAsia" w:ascii="宋体" w:hAnsi="宋体"/>
          <w:b/>
          <w:spacing w:val="-4"/>
          <w:szCs w:val="21"/>
        </w:rPr>
        <w:br w:type="page"/>
      </w:r>
      <w:r>
        <w:rPr>
          <w:rFonts w:hint="eastAsia" w:ascii="宋体" w:hAnsi="宋体"/>
          <w:szCs w:val="21"/>
        </w:rPr>
        <w:t>附件七</w:t>
      </w:r>
    </w:p>
    <w:p w14:paraId="787ED553">
      <w:pPr>
        <w:spacing w:line="360" w:lineRule="auto"/>
        <w:rPr>
          <w:rFonts w:ascii="宋体" w:hAnsi="宋体"/>
          <w:b/>
          <w:szCs w:val="21"/>
        </w:rPr>
      </w:pPr>
    </w:p>
    <w:p w14:paraId="7C9F6FCF">
      <w:pPr>
        <w:spacing w:line="360" w:lineRule="auto"/>
        <w:jc w:val="center"/>
        <w:rPr>
          <w:rStyle w:val="17"/>
          <w:rFonts w:ascii="宋体" w:hAnsi="宋体" w:cs="Courier New"/>
          <w:kern w:val="0"/>
          <w:szCs w:val="21"/>
        </w:rPr>
      </w:pPr>
      <w:r>
        <w:rPr>
          <w:rStyle w:val="17"/>
          <w:rFonts w:hint="eastAsia" w:ascii="宋体" w:hAnsi="宋体" w:cs="Courier New"/>
          <w:kern w:val="0"/>
          <w:szCs w:val="21"/>
          <w:lang w:val="en-US" w:eastAsia="zh-CN"/>
        </w:rPr>
        <w:t>最新</w:t>
      </w:r>
      <w:r>
        <w:rPr>
          <w:rStyle w:val="17"/>
          <w:rFonts w:hint="eastAsia" w:ascii="宋体" w:hAnsi="宋体" w:cs="Courier New"/>
          <w:kern w:val="0"/>
          <w:szCs w:val="21"/>
        </w:rPr>
        <w:t>年度资产负债表和损益表</w:t>
      </w:r>
    </w:p>
    <w:p w14:paraId="66CEFA4A">
      <w:pPr>
        <w:spacing w:line="360" w:lineRule="auto"/>
        <w:rPr>
          <w:rFonts w:ascii="宋体" w:hAnsi="宋体"/>
          <w:szCs w:val="21"/>
        </w:rPr>
      </w:pPr>
    </w:p>
    <w:p w14:paraId="4D0C8111">
      <w:pPr>
        <w:spacing w:line="360" w:lineRule="auto"/>
        <w:rPr>
          <w:rFonts w:ascii="宋体" w:hAnsi="宋体"/>
          <w:szCs w:val="21"/>
        </w:rPr>
      </w:pPr>
      <w:r>
        <w:rPr>
          <w:rFonts w:hint="eastAsia" w:ascii="宋体" w:hAnsi="宋体"/>
          <w:b/>
          <w:szCs w:val="21"/>
        </w:rPr>
        <w:t>注：</w:t>
      </w:r>
      <w:r>
        <w:rPr>
          <w:rFonts w:hint="eastAsia" w:ascii="宋体" w:hAnsi="宋体"/>
          <w:b/>
          <w:szCs w:val="21"/>
          <w:lang w:val="en-US" w:eastAsia="zh-CN"/>
        </w:rPr>
        <w:t>最新</w:t>
      </w:r>
      <w:r>
        <w:rPr>
          <w:rFonts w:hint="eastAsia" w:ascii="宋体" w:hAnsi="宋体"/>
          <w:b/>
          <w:szCs w:val="21"/>
        </w:rPr>
        <w:t>年度资产负债表和损益表均应加盖投标人公章。</w:t>
      </w:r>
    </w:p>
    <w:p w14:paraId="1C341F27">
      <w:pPr>
        <w:spacing w:line="360" w:lineRule="auto"/>
        <w:rPr>
          <w:rFonts w:ascii="宋体" w:hAnsi="宋体"/>
          <w:b/>
          <w:szCs w:val="21"/>
        </w:rPr>
      </w:pPr>
      <w:r>
        <w:rPr>
          <w:rFonts w:ascii="宋体" w:hAnsi="宋体"/>
          <w:b/>
          <w:szCs w:val="21"/>
        </w:rPr>
        <w:br w:type="column"/>
      </w:r>
      <w:r>
        <w:rPr>
          <w:rFonts w:hint="eastAsia" w:ascii="宋体" w:hAnsi="宋体"/>
          <w:szCs w:val="21"/>
        </w:rPr>
        <w:t>附件八</w:t>
      </w:r>
    </w:p>
    <w:p w14:paraId="2D33C649">
      <w:pPr>
        <w:spacing w:line="440" w:lineRule="exact"/>
        <w:jc w:val="center"/>
        <w:rPr>
          <w:rFonts w:ascii="宋体" w:hAnsi="宋体"/>
          <w:szCs w:val="21"/>
        </w:rPr>
      </w:pPr>
      <w:r>
        <w:rPr>
          <w:rStyle w:val="17"/>
          <w:rFonts w:hint="eastAsia" w:cs="Courier New"/>
          <w:kern w:val="0"/>
          <w:szCs w:val="21"/>
        </w:rPr>
        <w:t>指标数据响应表</w:t>
      </w:r>
    </w:p>
    <w:tbl>
      <w:tblPr>
        <w:tblStyle w:val="15"/>
        <w:tblW w:w="9498"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5929"/>
        <w:gridCol w:w="2437"/>
      </w:tblGrid>
      <w:tr w14:paraId="472DF9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trPr>
        <w:tc>
          <w:tcPr>
            <w:tcW w:w="1132" w:type="dxa"/>
            <w:noWrap/>
            <w:vAlign w:val="center"/>
          </w:tcPr>
          <w:p w14:paraId="45B745EE">
            <w:pPr>
              <w:spacing w:line="240" w:lineRule="exact"/>
              <w:jc w:val="center"/>
              <w:rPr>
                <w:rFonts w:ascii="宋体" w:hAnsi="宋体" w:cs="宋体"/>
                <w:b/>
                <w:szCs w:val="21"/>
              </w:rPr>
            </w:pPr>
            <w:r>
              <w:rPr>
                <w:rFonts w:hint="eastAsia" w:ascii="宋体" w:hAnsi="宋体" w:cs="宋体"/>
                <w:b/>
                <w:szCs w:val="21"/>
              </w:rPr>
              <w:t>项目</w:t>
            </w:r>
          </w:p>
        </w:tc>
        <w:tc>
          <w:tcPr>
            <w:tcW w:w="5929" w:type="dxa"/>
            <w:noWrap/>
            <w:vAlign w:val="center"/>
          </w:tcPr>
          <w:p w14:paraId="5769ED1B">
            <w:pPr>
              <w:spacing w:line="240" w:lineRule="exact"/>
              <w:jc w:val="center"/>
              <w:rPr>
                <w:rFonts w:ascii="宋体" w:hAnsi="宋体" w:cs="宋体"/>
                <w:b/>
                <w:szCs w:val="21"/>
              </w:rPr>
            </w:pPr>
            <w:r>
              <w:rPr>
                <w:rFonts w:hint="eastAsia" w:ascii="宋体" w:hAnsi="宋体" w:cs="宋体"/>
                <w:b/>
                <w:szCs w:val="21"/>
              </w:rPr>
              <w:t>指标内容</w:t>
            </w:r>
          </w:p>
        </w:tc>
        <w:tc>
          <w:tcPr>
            <w:tcW w:w="2437" w:type="dxa"/>
            <w:noWrap/>
            <w:vAlign w:val="center"/>
          </w:tcPr>
          <w:p w14:paraId="7E9BA35C">
            <w:pPr>
              <w:spacing w:line="240" w:lineRule="exact"/>
              <w:jc w:val="center"/>
              <w:rPr>
                <w:rFonts w:ascii="宋体" w:hAnsi="宋体" w:cs="宋体"/>
                <w:b/>
                <w:szCs w:val="21"/>
              </w:rPr>
            </w:pPr>
            <w:r>
              <w:rPr>
                <w:rFonts w:hint="eastAsia" w:ascii="宋体" w:hAnsi="宋体" w:cs="宋体"/>
                <w:b/>
                <w:szCs w:val="21"/>
              </w:rPr>
              <w:t>数据</w:t>
            </w:r>
          </w:p>
        </w:tc>
      </w:tr>
      <w:tr w14:paraId="5933AA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trPr>
        <w:tc>
          <w:tcPr>
            <w:tcW w:w="1132" w:type="dxa"/>
            <w:vMerge w:val="restart"/>
            <w:noWrap/>
            <w:vAlign w:val="center"/>
          </w:tcPr>
          <w:p w14:paraId="1F55C80B">
            <w:pPr>
              <w:jc w:val="center"/>
              <w:rPr>
                <w:rFonts w:ascii="宋体" w:hAnsi="宋体"/>
                <w:b/>
                <w:bCs/>
                <w:szCs w:val="21"/>
                <w:lang w:val="zh-CN"/>
              </w:rPr>
            </w:pPr>
            <w:r>
              <w:rPr>
                <w:rFonts w:hint="eastAsia" w:ascii="宋体" w:hAnsi="宋体"/>
                <w:b/>
                <w:bCs/>
                <w:szCs w:val="21"/>
                <w:lang w:val="zh-CN"/>
              </w:rPr>
              <w:t>一、经营状况</w:t>
            </w:r>
          </w:p>
        </w:tc>
        <w:tc>
          <w:tcPr>
            <w:tcW w:w="5929" w:type="dxa"/>
            <w:noWrap/>
            <w:vAlign w:val="center"/>
          </w:tcPr>
          <w:p w14:paraId="3F175A00">
            <w:pPr>
              <w:spacing w:line="240" w:lineRule="exact"/>
              <w:rPr>
                <w:rFonts w:ascii="宋体" w:hAnsi="宋体" w:cs="宋体"/>
                <w:b/>
                <w:iCs/>
                <w:kern w:val="0"/>
                <w:szCs w:val="21"/>
              </w:rPr>
            </w:pPr>
            <w:r>
              <w:rPr>
                <w:rFonts w:hint="eastAsia" w:ascii="宋体" w:hAnsi="宋体" w:cs="宋体"/>
                <w:b/>
                <w:iCs/>
                <w:kern w:val="0"/>
                <w:szCs w:val="21"/>
              </w:rPr>
              <w:t>资本充足率：（要求详见《评标细则》）</w:t>
            </w:r>
          </w:p>
        </w:tc>
        <w:tc>
          <w:tcPr>
            <w:tcW w:w="2437" w:type="dxa"/>
            <w:noWrap/>
            <w:vAlign w:val="center"/>
          </w:tcPr>
          <w:p w14:paraId="669AA997">
            <w:pPr>
              <w:spacing w:line="240" w:lineRule="exact"/>
              <w:ind w:firstLine="316" w:firstLineChars="150"/>
              <w:jc w:val="left"/>
              <w:rPr>
                <w:rFonts w:ascii="宋体" w:hAnsi="宋体" w:cs="宋体"/>
                <w:b/>
                <w:szCs w:val="21"/>
              </w:rPr>
            </w:pPr>
          </w:p>
        </w:tc>
      </w:tr>
      <w:tr w14:paraId="286FC2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trPr>
        <w:tc>
          <w:tcPr>
            <w:tcW w:w="1132" w:type="dxa"/>
            <w:vMerge w:val="continue"/>
            <w:noWrap/>
            <w:vAlign w:val="center"/>
          </w:tcPr>
          <w:p w14:paraId="3A7BDA77">
            <w:pPr>
              <w:spacing w:line="460" w:lineRule="exact"/>
              <w:jc w:val="center"/>
              <w:rPr>
                <w:rFonts w:ascii="宋体" w:hAnsi="宋体" w:cs="宋体"/>
                <w:b/>
                <w:szCs w:val="21"/>
              </w:rPr>
            </w:pPr>
          </w:p>
        </w:tc>
        <w:tc>
          <w:tcPr>
            <w:tcW w:w="5929" w:type="dxa"/>
            <w:noWrap/>
            <w:vAlign w:val="center"/>
          </w:tcPr>
          <w:p w14:paraId="03CEBA24">
            <w:pPr>
              <w:spacing w:line="240" w:lineRule="exact"/>
              <w:rPr>
                <w:rFonts w:ascii="宋体" w:hAnsi="宋体" w:cs="宋体"/>
                <w:b/>
                <w:iCs/>
                <w:kern w:val="0"/>
                <w:szCs w:val="21"/>
              </w:rPr>
            </w:pPr>
            <w:r>
              <w:rPr>
                <w:rFonts w:hint="eastAsia" w:ascii="宋体" w:hAnsi="宋体" w:cs="宋体"/>
                <w:b/>
                <w:iCs/>
                <w:kern w:val="0"/>
                <w:szCs w:val="21"/>
              </w:rPr>
              <w:t>不良贷款率：（要求详见《评标细则》）</w:t>
            </w:r>
          </w:p>
        </w:tc>
        <w:tc>
          <w:tcPr>
            <w:tcW w:w="2437" w:type="dxa"/>
            <w:noWrap/>
            <w:vAlign w:val="center"/>
          </w:tcPr>
          <w:p w14:paraId="1780AC6F">
            <w:pPr>
              <w:spacing w:line="240" w:lineRule="exact"/>
              <w:ind w:firstLine="316" w:firstLineChars="150"/>
              <w:jc w:val="left"/>
              <w:rPr>
                <w:rFonts w:ascii="宋体" w:hAnsi="宋体" w:cs="宋体"/>
                <w:b/>
                <w:szCs w:val="21"/>
              </w:rPr>
            </w:pPr>
          </w:p>
        </w:tc>
      </w:tr>
      <w:tr w14:paraId="67BCCE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trPr>
        <w:tc>
          <w:tcPr>
            <w:tcW w:w="1132" w:type="dxa"/>
            <w:vMerge w:val="continue"/>
            <w:noWrap/>
            <w:vAlign w:val="center"/>
          </w:tcPr>
          <w:p w14:paraId="160247FE">
            <w:pPr>
              <w:spacing w:line="460" w:lineRule="exact"/>
              <w:jc w:val="center"/>
              <w:rPr>
                <w:rFonts w:ascii="宋体" w:hAnsi="宋体" w:cs="宋体"/>
                <w:b/>
                <w:szCs w:val="21"/>
              </w:rPr>
            </w:pPr>
          </w:p>
        </w:tc>
        <w:tc>
          <w:tcPr>
            <w:tcW w:w="5929" w:type="dxa"/>
            <w:noWrap/>
            <w:vAlign w:val="center"/>
          </w:tcPr>
          <w:p w14:paraId="3529A50D">
            <w:pPr>
              <w:spacing w:line="240" w:lineRule="exact"/>
              <w:rPr>
                <w:rFonts w:ascii="宋体" w:hAnsi="宋体" w:cs="宋体"/>
                <w:b/>
                <w:iCs/>
                <w:kern w:val="0"/>
                <w:szCs w:val="21"/>
              </w:rPr>
            </w:pPr>
            <w:r>
              <w:rPr>
                <w:rFonts w:hint="eastAsia" w:ascii="宋体" w:hAnsi="宋体" w:cs="宋体"/>
                <w:b/>
                <w:iCs/>
                <w:kern w:val="0"/>
                <w:szCs w:val="21"/>
              </w:rPr>
              <w:t>拨备覆盖率：（要求详见《评标细则》）</w:t>
            </w:r>
          </w:p>
        </w:tc>
        <w:tc>
          <w:tcPr>
            <w:tcW w:w="2437" w:type="dxa"/>
            <w:noWrap/>
            <w:vAlign w:val="center"/>
          </w:tcPr>
          <w:p w14:paraId="59141ABB">
            <w:pPr>
              <w:spacing w:line="240" w:lineRule="exact"/>
              <w:ind w:firstLine="175" w:firstLineChars="83"/>
              <w:jc w:val="left"/>
              <w:rPr>
                <w:rFonts w:ascii="宋体" w:hAnsi="宋体" w:cs="宋体"/>
                <w:b/>
                <w:szCs w:val="21"/>
              </w:rPr>
            </w:pPr>
            <w:r>
              <w:rPr>
                <w:rFonts w:hint="eastAsia" w:ascii="宋体" w:hAnsi="宋体" w:cs="宋体"/>
                <w:b/>
                <w:szCs w:val="21"/>
              </w:rPr>
              <w:t xml:space="preserve"> </w:t>
            </w:r>
          </w:p>
        </w:tc>
      </w:tr>
      <w:tr w14:paraId="5DF101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trPr>
        <w:tc>
          <w:tcPr>
            <w:tcW w:w="1132" w:type="dxa"/>
            <w:vMerge w:val="continue"/>
            <w:noWrap/>
            <w:vAlign w:val="center"/>
          </w:tcPr>
          <w:p w14:paraId="073102D1">
            <w:pPr>
              <w:spacing w:line="460" w:lineRule="exact"/>
              <w:jc w:val="center"/>
              <w:rPr>
                <w:rFonts w:ascii="宋体" w:hAnsi="宋体" w:cs="宋体"/>
                <w:b/>
                <w:szCs w:val="21"/>
              </w:rPr>
            </w:pPr>
          </w:p>
        </w:tc>
        <w:tc>
          <w:tcPr>
            <w:tcW w:w="5929" w:type="dxa"/>
            <w:noWrap/>
            <w:vAlign w:val="center"/>
          </w:tcPr>
          <w:p w14:paraId="36C92322">
            <w:pPr>
              <w:spacing w:line="240" w:lineRule="exact"/>
              <w:rPr>
                <w:rFonts w:ascii="宋体" w:hAnsi="宋体" w:cs="宋体"/>
                <w:b/>
                <w:iCs/>
                <w:kern w:val="0"/>
                <w:szCs w:val="21"/>
              </w:rPr>
            </w:pPr>
            <w:r>
              <w:rPr>
                <w:rFonts w:hint="eastAsia" w:ascii="宋体" w:hAnsi="宋体" w:cs="宋体"/>
                <w:b/>
                <w:iCs/>
                <w:kern w:val="0"/>
                <w:szCs w:val="21"/>
              </w:rPr>
              <w:t>流动性比率：（要求详见《评标细则》）</w:t>
            </w:r>
          </w:p>
        </w:tc>
        <w:tc>
          <w:tcPr>
            <w:tcW w:w="2437" w:type="dxa"/>
            <w:noWrap/>
            <w:vAlign w:val="center"/>
          </w:tcPr>
          <w:p w14:paraId="128AB2BB">
            <w:pPr>
              <w:spacing w:line="240" w:lineRule="exact"/>
              <w:ind w:firstLine="316" w:firstLineChars="150"/>
              <w:jc w:val="left"/>
              <w:rPr>
                <w:rFonts w:ascii="宋体" w:hAnsi="宋体" w:cs="宋体"/>
                <w:b/>
                <w:szCs w:val="21"/>
              </w:rPr>
            </w:pPr>
          </w:p>
        </w:tc>
      </w:tr>
      <w:tr w14:paraId="6F9DB1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trPr>
        <w:tc>
          <w:tcPr>
            <w:tcW w:w="1132" w:type="dxa"/>
            <w:vMerge w:val="continue"/>
            <w:noWrap/>
            <w:vAlign w:val="center"/>
          </w:tcPr>
          <w:p w14:paraId="2D93BCF6">
            <w:pPr>
              <w:spacing w:line="460" w:lineRule="exact"/>
              <w:jc w:val="center"/>
              <w:rPr>
                <w:rFonts w:ascii="宋体" w:hAnsi="宋体" w:cs="宋体"/>
                <w:b/>
                <w:szCs w:val="21"/>
              </w:rPr>
            </w:pPr>
          </w:p>
        </w:tc>
        <w:tc>
          <w:tcPr>
            <w:tcW w:w="5929" w:type="dxa"/>
            <w:noWrap/>
            <w:vAlign w:val="center"/>
          </w:tcPr>
          <w:p w14:paraId="4EABC611">
            <w:pPr>
              <w:spacing w:line="240" w:lineRule="exact"/>
              <w:rPr>
                <w:rFonts w:ascii="宋体" w:hAnsi="宋体" w:cs="宋体"/>
                <w:b/>
                <w:iCs/>
                <w:kern w:val="0"/>
                <w:szCs w:val="21"/>
              </w:rPr>
            </w:pPr>
            <w:r>
              <w:rPr>
                <w:rFonts w:hint="eastAsia" w:ascii="宋体" w:hAnsi="宋体" w:cs="宋体"/>
                <w:b/>
                <w:iCs/>
                <w:kern w:val="0"/>
                <w:szCs w:val="21"/>
              </w:rPr>
              <w:t>人行对金融机构考评情况：（要求详见《评标细则》）</w:t>
            </w:r>
          </w:p>
        </w:tc>
        <w:tc>
          <w:tcPr>
            <w:tcW w:w="2437" w:type="dxa"/>
            <w:noWrap/>
            <w:vAlign w:val="center"/>
          </w:tcPr>
          <w:p w14:paraId="05FDC359">
            <w:pPr>
              <w:spacing w:line="240" w:lineRule="exact"/>
              <w:ind w:firstLine="316" w:firstLineChars="150"/>
              <w:jc w:val="left"/>
              <w:rPr>
                <w:rFonts w:ascii="宋体" w:hAnsi="宋体" w:cs="宋体"/>
                <w:b/>
                <w:szCs w:val="21"/>
              </w:rPr>
            </w:pPr>
          </w:p>
        </w:tc>
      </w:tr>
      <w:tr w14:paraId="5C9BC3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trPr>
        <w:tc>
          <w:tcPr>
            <w:tcW w:w="1132" w:type="dxa"/>
            <w:vMerge w:val="restart"/>
            <w:noWrap/>
            <w:vAlign w:val="center"/>
          </w:tcPr>
          <w:p w14:paraId="3E9F357C">
            <w:pPr>
              <w:spacing w:line="300" w:lineRule="exact"/>
              <w:jc w:val="center"/>
              <w:rPr>
                <w:rFonts w:ascii="宋体" w:hAnsi="宋体" w:cs="宋体"/>
                <w:b/>
                <w:szCs w:val="21"/>
              </w:rPr>
            </w:pPr>
            <w:r>
              <w:rPr>
                <w:rFonts w:hint="eastAsia" w:ascii="宋体" w:hAnsi="宋体"/>
                <w:b/>
                <w:bCs/>
                <w:szCs w:val="21"/>
                <w:lang w:val="zh-CN"/>
              </w:rPr>
              <w:t>二、利率水平</w:t>
            </w:r>
          </w:p>
        </w:tc>
        <w:tc>
          <w:tcPr>
            <w:tcW w:w="5929" w:type="dxa"/>
            <w:noWrap/>
            <w:vAlign w:val="center"/>
          </w:tcPr>
          <w:p w14:paraId="369CD197">
            <w:pPr>
              <w:widowControl/>
              <w:tabs>
                <w:tab w:val="left" w:pos="2670"/>
              </w:tabs>
              <w:spacing w:line="240" w:lineRule="exact"/>
              <w:jc w:val="left"/>
              <w:rPr>
                <w:rFonts w:ascii="宋体" w:hAnsi="宋体" w:cs="宋体"/>
                <w:b/>
                <w:iCs/>
                <w:kern w:val="0"/>
                <w:szCs w:val="21"/>
              </w:rPr>
            </w:pPr>
            <w:r>
              <w:rPr>
                <w:rFonts w:hint="eastAsia" w:ascii="宋体" w:hAnsi="宋体" w:cs="宋体"/>
                <w:b/>
                <w:iCs/>
                <w:kern w:val="0"/>
                <w:szCs w:val="21"/>
                <w:highlight w:val="none"/>
                <w:lang w:eastAsia="zh-CN"/>
              </w:rPr>
              <w:t>活期</w:t>
            </w:r>
            <w:r>
              <w:rPr>
                <w:rFonts w:hint="eastAsia" w:ascii="宋体" w:hAnsi="宋体" w:cs="宋体"/>
                <w:b/>
                <w:iCs/>
                <w:kern w:val="0"/>
                <w:szCs w:val="21"/>
                <w:highlight w:val="none"/>
              </w:rPr>
              <w:t>存款利率</w:t>
            </w:r>
          </w:p>
        </w:tc>
        <w:tc>
          <w:tcPr>
            <w:tcW w:w="2437" w:type="dxa"/>
            <w:noWrap/>
            <w:vAlign w:val="center"/>
          </w:tcPr>
          <w:p w14:paraId="44B08356">
            <w:pPr>
              <w:spacing w:line="240" w:lineRule="exact"/>
              <w:ind w:firstLine="316" w:firstLineChars="150"/>
              <w:jc w:val="left"/>
              <w:rPr>
                <w:rFonts w:ascii="宋体" w:hAnsi="宋体" w:cs="宋体"/>
                <w:b/>
                <w:szCs w:val="21"/>
              </w:rPr>
            </w:pPr>
          </w:p>
        </w:tc>
      </w:tr>
      <w:tr w14:paraId="05A67B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trPr>
        <w:tc>
          <w:tcPr>
            <w:tcW w:w="1132" w:type="dxa"/>
            <w:vMerge w:val="continue"/>
            <w:noWrap/>
            <w:vAlign w:val="center"/>
          </w:tcPr>
          <w:p w14:paraId="36CB3334">
            <w:pPr>
              <w:spacing w:line="460" w:lineRule="exact"/>
              <w:jc w:val="center"/>
              <w:rPr>
                <w:rFonts w:ascii="宋体" w:hAnsi="宋体" w:cs="宋体"/>
                <w:b/>
                <w:szCs w:val="21"/>
              </w:rPr>
            </w:pPr>
          </w:p>
        </w:tc>
        <w:tc>
          <w:tcPr>
            <w:tcW w:w="5929" w:type="dxa"/>
            <w:noWrap/>
            <w:vAlign w:val="center"/>
          </w:tcPr>
          <w:p w14:paraId="65FD5BE9">
            <w:pPr>
              <w:widowControl/>
              <w:tabs>
                <w:tab w:val="left" w:pos="2670"/>
              </w:tabs>
              <w:spacing w:line="240" w:lineRule="exact"/>
              <w:jc w:val="left"/>
              <w:rPr>
                <w:rFonts w:ascii="宋体" w:hAnsi="宋体" w:cs="宋体"/>
                <w:b/>
                <w:iCs/>
                <w:kern w:val="0"/>
                <w:szCs w:val="21"/>
              </w:rPr>
            </w:pPr>
            <w:r>
              <w:rPr>
                <w:rFonts w:hint="eastAsia" w:ascii="宋体" w:hAnsi="宋体" w:cs="宋体"/>
                <w:b/>
                <w:iCs/>
                <w:kern w:val="0"/>
                <w:szCs w:val="21"/>
                <w:highlight w:val="none"/>
                <w:lang w:eastAsia="zh-CN"/>
              </w:rPr>
              <w:t>协定</w:t>
            </w:r>
            <w:r>
              <w:rPr>
                <w:rFonts w:hint="eastAsia" w:ascii="宋体" w:hAnsi="宋体" w:cs="宋体"/>
                <w:b/>
                <w:iCs/>
                <w:kern w:val="0"/>
                <w:szCs w:val="21"/>
                <w:highlight w:val="none"/>
              </w:rPr>
              <w:t>存款利率</w:t>
            </w:r>
          </w:p>
        </w:tc>
        <w:tc>
          <w:tcPr>
            <w:tcW w:w="2437" w:type="dxa"/>
            <w:noWrap/>
            <w:vAlign w:val="center"/>
          </w:tcPr>
          <w:p w14:paraId="5FC539EC">
            <w:pPr>
              <w:spacing w:line="240" w:lineRule="exact"/>
              <w:ind w:firstLine="316" w:firstLineChars="150"/>
              <w:jc w:val="left"/>
              <w:rPr>
                <w:rFonts w:ascii="宋体" w:hAnsi="宋体" w:cs="宋体"/>
                <w:b/>
                <w:szCs w:val="21"/>
              </w:rPr>
            </w:pPr>
          </w:p>
        </w:tc>
      </w:tr>
      <w:tr w14:paraId="351A5C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trPr>
        <w:tc>
          <w:tcPr>
            <w:tcW w:w="1132" w:type="dxa"/>
            <w:vMerge w:val="continue"/>
            <w:noWrap/>
            <w:vAlign w:val="center"/>
          </w:tcPr>
          <w:p w14:paraId="404DD17D">
            <w:pPr>
              <w:spacing w:line="460" w:lineRule="exact"/>
              <w:jc w:val="center"/>
              <w:rPr>
                <w:rFonts w:ascii="宋体" w:hAnsi="宋体" w:cs="宋体"/>
                <w:b/>
                <w:szCs w:val="21"/>
              </w:rPr>
            </w:pPr>
          </w:p>
        </w:tc>
        <w:tc>
          <w:tcPr>
            <w:tcW w:w="5929" w:type="dxa"/>
            <w:noWrap/>
            <w:vAlign w:val="center"/>
          </w:tcPr>
          <w:p w14:paraId="074CA3FF">
            <w:pPr>
              <w:widowControl/>
              <w:tabs>
                <w:tab w:val="left" w:pos="2670"/>
              </w:tabs>
              <w:spacing w:line="240" w:lineRule="exact"/>
              <w:jc w:val="left"/>
              <w:rPr>
                <w:rFonts w:hint="eastAsia" w:ascii="宋体" w:hAnsi="宋体" w:cs="宋体"/>
                <w:b/>
                <w:iCs/>
                <w:kern w:val="0"/>
                <w:szCs w:val="21"/>
              </w:rPr>
            </w:pPr>
            <w:r>
              <w:rPr>
                <w:rFonts w:hint="eastAsia" w:ascii="宋体" w:hAnsi="宋体" w:cs="宋体"/>
                <w:b/>
                <w:iCs/>
                <w:kern w:val="0"/>
                <w:szCs w:val="21"/>
                <w:highlight w:val="none"/>
                <w:lang w:eastAsia="zh-CN"/>
              </w:rPr>
              <w:t>通知存款利率</w:t>
            </w:r>
          </w:p>
        </w:tc>
        <w:tc>
          <w:tcPr>
            <w:tcW w:w="2437" w:type="dxa"/>
            <w:noWrap/>
            <w:vAlign w:val="center"/>
          </w:tcPr>
          <w:p w14:paraId="5A9E616D">
            <w:pPr>
              <w:spacing w:line="240" w:lineRule="exact"/>
              <w:ind w:firstLine="316" w:firstLineChars="150"/>
              <w:jc w:val="left"/>
              <w:rPr>
                <w:rFonts w:ascii="宋体" w:hAnsi="宋体" w:cs="宋体"/>
                <w:b/>
                <w:szCs w:val="21"/>
              </w:rPr>
            </w:pPr>
          </w:p>
        </w:tc>
      </w:tr>
      <w:tr w14:paraId="67D918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trPr>
        <w:tc>
          <w:tcPr>
            <w:tcW w:w="1132" w:type="dxa"/>
            <w:vMerge w:val="continue"/>
            <w:noWrap/>
            <w:vAlign w:val="center"/>
          </w:tcPr>
          <w:p w14:paraId="603D079F">
            <w:pPr>
              <w:spacing w:line="460" w:lineRule="exact"/>
              <w:jc w:val="center"/>
              <w:rPr>
                <w:rFonts w:ascii="宋体" w:hAnsi="宋体" w:cs="宋体"/>
                <w:b/>
                <w:szCs w:val="21"/>
              </w:rPr>
            </w:pPr>
          </w:p>
        </w:tc>
        <w:tc>
          <w:tcPr>
            <w:tcW w:w="5929" w:type="dxa"/>
            <w:noWrap/>
            <w:vAlign w:val="center"/>
          </w:tcPr>
          <w:p w14:paraId="5ECFE816">
            <w:pPr>
              <w:widowControl/>
              <w:tabs>
                <w:tab w:val="left" w:pos="2670"/>
              </w:tabs>
              <w:spacing w:line="240" w:lineRule="exact"/>
              <w:jc w:val="left"/>
              <w:rPr>
                <w:rFonts w:ascii="宋体" w:hAnsi="宋体" w:cs="宋体"/>
                <w:b/>
                <w:iCs/>
                <w:kern w:val="0"/>
                <w:szCs w:val="21"/>
              </w:rPr>
            </w:pPr>
            <w:r>
              <w:rPr>
                <w:rFonts w:hint="eastAsia" w:ascii="宋体" w:hAnsi="宋体" w:cs="宋体"/>
                <w:b/>
                <w:iCs/>
                <w:kern w:val="0"/>
                <w:szCs w:val="21"/>
                <w:highlight w:val="none"/>
                <w:lang w:eastAsia="zh-CN"/>
              </w:rPr>
              <w:t>定期存款利率（一年期及以内）</w:t>
            </w:r>
          </w:p>
        </w:tc>
        <w:tc>
          <w:tcPr>
            <w:tcW w:w="2437" w:type="dxa"/>
            <w:noWrap/>
            <w:vAlign w:val="center"/>
          </w:tcPr>
          <w:p w14:paraId="1D68977E">
            <w:pPr>
              <w:spacing w:line="240" w:lineRule="exact"/>
              <w:ind w:firstLine="316" w:firstLineChars="150"/>
              <w:jc w:val="left"/>
              <w:rPr>
                <w:rFonts w:ascii="宋体" w:hAnsi="宋体" w:cs="宋体"/>
                <w:b/>
                <w:szCs w:val="21"/>
              </w:rPr>
            </w:pPr>
          </w:p>
        </w:tc>
      </w:tr>
      <w:tr w14:paraId="60CA4E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132" w:type="dxa"/>
            <w:vMerge w:val="restart"/>
            <w:noWrap/>
            <w:vAlign w:val="center"/>
          </w:tcPr>
          <w:p w14:paraId="4FBDFC64">
            <w:pPr>
              <w:spacing w:line="300" w:lineRule="exact"/>
              <w:jc w:val="left"/>
              <w:rPr>
                <w:rFonts w:ascii="宋体" w:hAnsi="宋体"/>
                <w:b/>
                <w:bCs/>
                <w:szCs w:val="21"/>
                <w:lang w:val="zh-CN"/>
              </w:rPr>
            </w:pPr>
            <w:r>
              <w:rPr>
                <w:rFonts w:hint="eastAsia" w:ascii="宋体" w:hAnsi="宋体"/>
                <w:b/>
                <w:bCs/>
                <w:szCs w:val="21"/>
                <w:lang w:val="zh-CN"/>
              </w:rPr>
              <w:t>三、经济贡献度</w:t>
            </w:r>
          </w:p>
        </w:tc>
        <w:tc>
          <w:tcPr>
            <w:tcW w:w="5929" w:type="dxa"/>
            <w:noWrap/>
            <w:vAlign w:val="center"/>
          </w:tcPr>
          <w:p w14:paraId="2400DC0B">
            <w:pPr>
              <w:spacing w:line="240" w:lineRule="exact"/>
              <w:rPr>
                <w:rFonts w:ascii="宋体" w:hAnsi="宋体" w:cs="宋体"/>
                <w:b/>
                <w:iCs/>
                <w:kern w:val="0"/>
                <w:szCs w:val="21"/>
              </w:rPr>
            </w:pPr>
            <w:r>
              <w:rPr>
                <w:rFonts w:hint="eastAsia" w:ascii="宋体" w:hAnsi="宋体"/>
                <w:b/>
                <w:szCs w:val="21"/>
              </w:rPr>
              <w:t>纳税总额：</w:t>
            </w:r>
            <w:r>
              <w:rPr>
                <w:rFonts w:hint="eastAsia" w:ascii="宋体" w:hAnsi="宋体" w:cs="宋体"/>
                <w:b/>
                <w:iCs/>
                <w:kern w:val="0"/>
                <w:szCs w:val="21"/>
              </w:rPr>
              <w:t>（要求详见《评标细则》）</w:t>
            </w:r>
          </w:p>
        </w:tc>
        <w:tc>
          <w:tcPr>
            <w:tcW w:w="2437" w:type="dxa"/>
            <w:noWrap/>
            <w:vAlign w:val="center"/>
          </w:tcPr>
          <w:p w14:paraId="4F9BF76D">
            <w:pPr>
              <w:spacing w:line="240" w:lineRule="exact"/>
              <w:ind w:firstLine="211" w:firstLineChars="100"/>
              <w:rPr>
                <w:rFonts w:ascii="宋体" w:hAnsi="宋体" w:cs="宋体"/>
                <w:b/>
                <w:szCs w:val="21"/>
                <w:u w:val="single"/>
              </w:rPr>
            </w:pPr>
          </w:p>
        </w:tc>
      </w:tr>
      <w:tr w14:paraId="3E7B48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132" w:type="dxa"/>
            <w:vMerge w:val="continue"/>
            <w:noWrap/>
            <w:vAlign w:val="center"/>
          </w:tcPr>
          <w:p w14:paraId="490BFC5E">
            <w:pPr>
              <w:spacing w:line="300" w:lineRule="exact"/>
              <w:jc w:val="center"/>
              <w:rPr>
                <w:rFonts w:ascii="宋体" w:hAnsi="宋体"/>
                <w:b/>
                <w:bCs/>
                <w:szCs w:val="21"/>
                <w:lang w:val="zh-CN"/>
              </w:rPr>
            </w:pPr>
          </w:p>
        </w:tc>
        <w:tc>
          <w:tcPr>
            <w:tcW w:w="5929" w:type="dxa"/>
            <w:noWrap/>
            <w:vAlign w:val="center"/>
          </w:tcPr>
          <w:p w14:paraId="55AFB078">
            <w:pPr>
              <w:spacing w:line="240" w:lineRule="exact"/>
              <w:rPr>
                <w:rFonts w:ascii="宋体" w:hAnsi="宋体" w:cs="宋体"/>
                <w:b/>
                <w:iCs/>
                <w:kern w:val="0"/>
                <w:szCs w:val="21"/>
              </w:rPr>
            </w:pPr>
            <w:r>
              <w:rPr>
                <w:rFonts w:hint="eastAsia" w:ascii="宋体" w:hAnsi="宋体"/>
                <w:b/>
                <w:szCs w:val="21"/>
              </w:rPr>
              <w:t>纳税增幅：</w:t>
            </w:r>
            <w:r>
              <w:rPr>
                <w:rFonts w:hint="eastAsia" w:ascii="宋体" w:hAnsi="宋体" w:cs="宋体"/>
                <w:b/>
                <w:iCs/>
                <w:kern w:val="0"/>
                <w:szCs w:val="21"/>
              </w:rPr>
              <w:t>（要求详见《评标细则》）</w:t>
            </w:r>
          </w:p>
        </w:tc>
        <w:tc>
          <w:tcPr>
            <w:tcW w:w="2437" w:type="dxa"/>
            <w:noWrap/>
            <w:vAlign w:val="center"/>
          </w:tcPr>
          <w:p w14:paraId="35AF2B0A">
            <w:pPr>
              <w:spacing w:line="240" w:lineRule="exact"/>
              <w:ind w:firstLine="211" w:firstLineChars="100"/>
              <w:rPr>
                <w:rFonts w:ascii="宋体" w:hAnsi="宋体" w:cs="宋体"/>
                <w:b/>
                <w:szCs w:val="21"/>
                <w:u w:val="single"/>
              </w:rPr>
            </w:pPr>
          </w:p>
        </w:tc>
      </w:tr>
      <w:tr w14:paraId="545869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132" w:type="dxa"/>
            <w:vMerge w:val="continue"/>
            <w:noWrap/>
            <w:vAlign w:val="center"/>
          </w:tcPr>
          <w:p w14:paraId="460D87C6">
            <w:pPr>
              <w:spacing w:line="300" w:lineRule="exact"/>
              <w:jc w:val="center"/>
              <w:rPr>
                <w:rFonts w:ascii="宋体" w:hAnsi="宋体"/>
                <w:b/>
                <w:bCs/>
                <w:szCs w:val="21"/>
                <w:lang w:val="zh-CN"/>
              </w:rPr>
            </w:pPr>
          </w:p>
        </w:tc>
        <w:tc>
          <w:tcPr>
            <w:tcW w:w="5929" w:type="dxa"/>
            <w:noWrap/>
            <w:vAlign w:val="center"/>
          </w:tcPr>
          <w:p w14:paraId="6016E001">
            <w:pPr>
              <w:spacing w:line="240" w:lineRule="exact"/>
              <w:rPr>
                <w:rFonts w:ascii="宋体" w:hAnsi="宋体" w:cs="宋体"/>
                <w:b/>
                <w:iCs/>
                <w:kern w:val="0"/>
                <w:szCs w:val="21"/>
              </w:rPr>
            </w:pPr>
            <w:r>
              <w:rPr>
                <w:rFonts w:hint="eastAsia" w:ascii="宋体" w:hAnsi="宋体"/>
                <w:b/>
                <w:szCs w:val="21"/>
              </w:rPr>
              <w:t>对本区域重点事业支持情况：</w:t>
            </w:r>
            <w:r>
              <w:rPr>
                <w:rFonts w:hint="eastAsia" w:ascii="宋体" w:hAnsi="宋体" w:cs="宋体"/>
                <w:b/>
                <w:iCs/>
                <w:kern w:val="0"/>
                <w:szCs w:val="21"/>
              </w:rPr>
              <w:t>（要求详见《评标细则》）</w:t>
            </w:r>
          </w:p>
        </w:tc>
        <w:tc>
          <w:tcPr>
            <w:tcW w:w="2437" w:type="dxa"/>
            <w:noWrap/>
            <w:vAlign w:val="center"/>
          </w:tcPr>
          <w:p w14:paraId="06B976D4">
            <w:pPr>
              <w:spacing w:line="240" w:lineRule="exact"/>
              <w:ind w:firstLine="211" w:firstLineChars="100"/>
              <w:rPr>
                <w:rFonts w:ascii="宋体" w:hAnsi="宋体" w:cs="宋体"/>
                <w:b/>
                <w:szCs w:val="21"/>
                <w:u w:val="single"/>
              </w:rPr>
            </w:pPr>
          </w:p>
        </w:tc>
      </w:tr>
      <w:tr w14:paraId="117A36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132" w:type="dxa"/>
            <w:vMerge w:val="continue"/>
            <w:noWrap/>
            <w:vAlign w:val="center"/>
          </w:tcPr>
          <w:p w14:paraId="67DC3D60">
            <w:pPr>
              <w:spacing w:line="300" w:lineRule="exact"/>
              <w:jc w:val="center"/>
              <w:rPr>
                <w:rFonts w:ascii="宋体" w:hAnsi="宋体"/>
                <w:b/>
                <w:bCs/>
                <w:szCs w:val="21"/>
                <w:lang w:val="zh-CN"/>
              </w:rPr>
            </w:pPr>
          </w:p>
        </w:tc>
        <w:tc>
          <w:tcPr>
            <w:tcW w:w="5929" w:type="dxa"/>
            <w:noWrap/>
            <w:vAlign w:val="center"/>
          </w:tcPr>
          <w:p w14:paraId="4A9167F1">
            <w:pPr>
              <w:spacing w:line="240" w:lineRule="exact"/>
              <w:rPr>
                <w:rFonts w:ascii="宋体" w:hAnsi="宋体" w:cs="宋体"/>
                <w:b/>
                <w:iCs/>
                <w:kern w:val="0"/>
                <w:szCs w:val="21"/>
              </w:rPr>
            </w:pPr>
            <w:r>
              <w:rPr>
                <w:rFonts w:hint="eastAsia" w:ascii="宋体" w:hAnsi="宋体"/>
                <w:b/>
                <w:szCs w:val="21"/>
              </w:rPr>
              <w:t>本外币贷款余额：</w:t>
            </w:r>
            <w:r>
              <w:rPr>
                <w:rFonts w:hint="eastAsia" w:ascii="宋体" w:hAnsi="宋体" w:cs="宋体"/>
                <w:b/>
                <w:iCs/>
                <w:kern w:val="0"/>
                <w:szCs w:val="21"/>
              </w:rPr>
              <w:t>（要求详见《评标细则》）</w:t>
            </w:r>
          </w:p>
        </w:tc>
        <w:tc>
          <w:tcPr>
            <w:tcW w:w="2437" w:type="dxa"/>
            <w:noWrap/>
            <w:vAlign w:val="center"/>
          </w:tcPr>
          <w:p w14:paraId="5F640875">
            <w:pPr>
              <w:spacing w:line="240" w:lineRule="exact"/>
              <w:ind w:firstLine="211" w:firstLineChars="100"/>
              <w:rPr>
                <w:rFonts w:ascii="宋体" w:hAnsi="宋体" w:cs="宋体"/>
                <w:b/>
                <w:szCs w:val="21"/>
                <w:u w:val="single"/>
              </w:rPr>
            </w:pPr>
          </w:p>
        </w:tc>
      </w:tr>
      <w:tr w14:paraId="3765CF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132" w:type="dxa"/>
            <w:vMerge w:val="continue"/>
            <w:noWrap/>
            <w:vAlign w:val="center"/>
          </w:tcPr>
          <w:p w14:paraId="62EF7A23">
            <w:pPr>
              <w:spacing w:line="300" w:lineRule="exact"/>
              <w:jc w:val="center"/>
              <w:rPr>
                <w:rFonts w:ascii="宋体" w:hAnsi="宋体"/>
                <w:b/>
                <w:bCs/>
                <w:szCs w:val="21"/>
                <w:lang w:val="zh-CN"/>
              </w:rPr>
            </w:pPr>
          </w:p>
        </w:tc>
        <w:tc>
          <w:tcPr>
            <w:tcW w:w="5929" w:type="dxa"/>
            <w:noWrap/>
            <w:vAlign w:val="center"/>
          </w:tcPr>
          <w:p w14:paraId="1346CAF8">
            <w:pPr>
              <w:spacing w:line="240" w:lineRule="exact"/>
              <w:rPr>
                <w:rFonts w:ascii="宋体" w:hAnsi="宋体" w:cs="宋体"/>
                <w:b/>
                <w:iCs/>
                <w:kern w:val="0"/>
                <w:szCs w:val="21"/>
              </w:rPr>
            </w:pPr>
            <w:r>
              <w:rPr>
                <w:rFonts w:hint="eastAsia" w:ascii="宋体" w:hAnsi="宋体"/>
                <w:b/>
                <w:szCs w:val="21"/>
              </w:rPr>
              <w:t>存贷率：</w:t>
            </w:r>
            <w:r>
              <w:rPr>
                <w:rFonts w:hint="eastAsia" w:ascii="宋体" w:hAnsi="宋体" w:cs="宋体"/>
                <w:b/>
                <w:iCs/>
                <w:kern w:val="0"/>
                <w:szCs w:val="21"/>
              </w:rPr>
              <w:t>（要求详见《评标细则》）</w:t>
            </w:r>
          </w:p>
        </w:tc>
        <w:tc>
          <w:tcPr>
            <w:tcW w:w="2437" w:type="dxa"/>
            <w:noWrap/>
            <w:vAlign w:val="center"/>
          </w:tcPr>
          <w:p w14:paraId="2EFB0AFE">
            <w:pPr>
              <w:spacing w:line="240" w:lineRule="exact"/>
              <w:ind w:firstLine="211" w:firstLineChars="100"/>
              <w:rPr>
                <w:rFonts w:ascii="宋体" w:hAnsi="宋体" w:cs="宋体"/>
                <w:b/>
                <w:szCs w:val="21"/>
                <w:u w:val="single"/>
              </w:rPr>
            </w:pPr>
          </w:p>
        </w:tc>
      </w:tr>
      <w:tr w14:paraId="0E83EF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1132" w:type="dxa"/>
            <w:vMerge w:val="continue"/>
            <w:noWrap/>
            <w:vAlign w:val="center"/>
          </w:tcPr>
          <w:p w14:paraId="63BFEC85">
            <w:pPr>
              <w:spacing w:line="300" w:lineRule="exact"/>
              <w:jc w:val="center"/>
              <w:rPr>
                <w:rFonts w:ascii="宋体" w:hAnsi="宋体"/>
                <w:b/>
                <w:bCs/>
                <w:szCs w:val="21"/>
                <w:lang w:val="zh-CN"/>
              </w:rPr>
            </w:pPr>
          </w:p>
        </w:tc>
        <w:tc>
          <w:tcPr>
            <w:tcW w:w="5929" w:type="dxa"/>
            <w:noWrap/>
            <w:vAlign w:val="center"/>
          </w:tcPr>
          <w:p w14:paraId="2C38A1EE">
            <w:pPr>
              <w:spacing w:line="240" w:lineRule="exact"/>
              <w:rPr>
                <w:rFonts w:ascii="宋体" w:hAnsi="宋体" w:cs="宋体"/>
                <w:b/>
                <w:iCs/>
                <w:kern w:val="0"/>
                <w:szCs w:val="21"/>
              </w:rPr>
            </w:pPr>
            <w:r>
              <w:rPr>
                <w:rFonts w:hint="eastAsia" w:ascii="宋体" w:hAnsi="宋体"/>
                <w:b/>
                <w:szCs w:val="21"/>
              </w:rPr>
              <w:t>普惠口径小微企业贷款余额占本外币贷款余额比例：</w:t>
            </w:r>
            <w:r>
              <w:rPr>
                <w:rFonts w:hint="eastAsia" w:ascii="宋体" w:hAnsi="宋体" w:cs="宋体"/>
                <w:b/>
                <w:iCs/>
                <w:kern w:val="0"/>
                <w:szCs w:val="21"/>
              </w:rPr>
              <w:t>（要求详见《评标细则》）</w:t>
            </w:r>
          </w:p>
        </w:tc>
        <w:tc>
          <w:tcPr>
            <w:tcW w:w="2437" w:type="dxa"/>
            <w:noWrap/>
            <w:vAlign w:val="center"/>
          </w:tcPr>
          <w:p w14:paraId="3BD74BE6">
            <w:pPr>
              <w:spacing w:line="240" w:lineRule="exact"/>
              <w:ind w:firstLine="211" w:firstLineChars="100"/>
              <w:rPr>
                <w:rFonts w:ascii="宋体" w:hAnsi="宋体" w:cs="宋体"/>
                <w:b/>
                <w:szCs w:val="21"/>
                <w:u w:val="single"/>
              </w:rPr>
            </w:pPr>
          </w:p>
        </w:tc>
      </w:tr>
      <w:tr w14:paraId="23B9EA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132" w:type="dxa"/>
            <w:vMerge w:val="continue"/>
            <w:noWrap/>
            <w:vAlign w:val="center"/>
          </w:tcPr>
          <w:p w14:paraId="684917B2">
            <w:pPr>
              <w:spacing w:line="300" w:lineRule="exact"/>
              <w:jc w:val="center"/>
              <w:rPr>
                <w:rFonts w:ascii="宋体" w:hAnsi="宋体"/>
                <w:b/>
                <w:bCs/>
                <w:szCs w:val="21"/>
                <w:lang w:val="zh-CN"/>
              </w:rPr>
            </w:pPr>
          </w:p>
        </w:tc>
        <w:tc>
          <w:tcPr>
            <w:tcW w:w="5929" w:type="dxa"/>
            <w:noWrap/>
            <w:vAlign w:val="center"/>
          </w:tcPr>
          <w:p w14:paraId="383AD773">
            <w:pPr>
              <w:spacing w:line="240" w:lineRule="exact"/>
              <w:rPr>
                <w:rFonts w:ascii="宋体" w:hAnsi="宋体" w:cs="宋体"/>
                <w:b/>
                <w:iCs/>
                <w:kern w:val="0"/>
                <w:szCs w:val="21"/>
              </w:rPr>
            </w:pPr>
            <w:r>
              <w:rPr>
                <w:rFonts w:hint="eastAsia" w:ascii="宋体" w:hAnsi="宋体"/>
                <w:b/>
                <w:szCs w:val="21"/>
              </w:rPr>
              <w:t>制造业贷款余额：</w:t>
            </w:r>
            <w:r>
              <w:rPr>
                <w:rFonts w:hint="eastAsia" w:ascii="宋体" w:hAnsi="宋体" w:cs="宋体"/>
                <w:b/>
                <w:iCs/>
                <w:kern w:val="0"/>
                <w:szCs w:val="21"/>
              </w:rPr>
              <w:t>（要求详见《评标细则》）</w:t>
            </w:r>
          </w:p>
        </w:tc>
        <w:tc>
          <w:tcPr>
            <w:tcW w:w="2437" w:type="dxa"/>
            <w:noWrap/>
            <w:vAlign w:val="center"/>
          </w:tcPr>
          <w:p w14:paraId="07C0F478">
            <w:pPr>
              <w:spacing w:line="240" w:lineRule="exact"/>
              <w:ind w:firstLine="211" w:firstLineChars="100"/>
              <w:rPr>
                <w:rFonts w:ascii="宋体" w:hAnsi="宋体" w:cs="宋体"/>
                <w:b/>
                <w:szCs w:val="21"/>
                <w:u w:val="single"/>
              </w:rPr>
            </w:pPr>
          </w:p>
        </w:tc>
      </w:tr>
      <w:tr w14:paraId="5E04DC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132" w:type="dxa"/>
            <w:vMerge w:val="continue"/>
            <w:noWrap/>
            <w:vAlign w:val="center"/>
          </w:tcPr>
          <w:p w14:paraId="692B632F">
            <w:pPr>
              <w:spacing w:line="300" w:lineRule="exact"/>
              <w:jc w:val="center"/>
              <w:rPr>
                <w:rFonts w:ascii="宋体" w:hAnsi="宋体"/>
                <w:b/>
                <w:bCs/>
                <w:szCs w:val="21"/>
                <w:lang w:val="zh-CN"/>
              </w:rPr>
            </w:pPr>
          </w:p>
        </w:tc>
        <w:tc>
          <w:tcPr>
            <w:tcW w:w="5929" w:type="dxa"/>
            <w:noWrap/>
            <w:vAlign w:val="center"/>
          </w:tcPr>
          <w:p w14:paraId="456DF492">
            <w:pPr>
              <w:spacing w:line="240" w:lineRule="exact"/>
              <w:rPr>
                <w:rFonts w:ascii="宋体" w:hAnsi="宋体"/>
                <w:b/>
                <w:szCs w:val="21"/>
              </w:rPr>
            </w:pPr>
            <w:r>
              <w:rPr>
                <w:rFonts w:hint="eastAsia" w:ascii="宋体" w:hAnsi="宋体"/>
                <w:b/>
                <w:szCs w:val="21"/>
              </w:rPr>
              <w:t>制造业贷款余额占本外币贷款余额比例：</w:t>
            </w:r>
            <w:r>
              <w:rPr>
                <w:rFonts w:hint="eastAsia" w:ascii="宋体" w:hAnsi="宋体" w:cs="宋体"/>
                <w:b/>
                <w:iCs/>
                <w:kern w:val="0"/>
                <w:szCs w:val="21"/>
              </w:rPr>
              <w:t>（要求详见《评标细则》）</w:t>
            </w:r>
          </w:p>
        </w:tc>
        <w:tc>
          <w:tcPr>
            <w:tcW w:w="2437" w:type="dxa"/>
            <w:noWrap/>
            <w:vAlign w:val="center"/>
          </w:tcPr>
          <w:p w14:paraId="28F02B00">
            <w:pPr>
              <w:spacing w:line="240" w:lineRule="exact"/>
              <w:ind w:firstLine="211" w:firstLineChars="100"/>
              <w:rPr>
                <w:rFonts w:ascii="宋体" w:hAnsi="宋体" w:cs="宋体"/>
                <w:b/>
                <w:szCs w:val="21"/>
                <w:u w:val="single"/>
              </w:rPr>
            </w:pPr>
          </w:p>
        </w:tc>
      </w:tr>
      <w:tr w14:paraId="78B9FD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132" w:type="dxa"/>
            <w:vMerge w:val="continue"/>
            <w:noWrap/>
            <w:vAlign w:val="center"/>
          </w:tcPr>
          <w:p w14:paraId="07C29671">
            <w:pPr>
              <w:spacing w:line="300" w:lineRule="exact"/>
              <w:jc w:val="center"/>
              <w:rPr>
                <w:rFonts w:ascii="宋体" w:hAnsi="宋体"/>
                <w:b/>
                <w:bCs/>
                <w:szCs w:val="21"/>
                <w:lang w:val="zh-CN"/>
              </w:rPr>
            </w:pPr>
          </w:p>
        </w:tc>
        <w:tc>
          <w:tcPr>
            <w:tcW w:w="5929" w:type="dxa"/>
            <w:noWrap/>
            <w:vAlign w:val="center"/>
          </w:tcPr>
          <w:p w14:paraId="799F0D38">
            <w:pPr>
              <w:spacing w:line="240" w:lineRule="exact"/>
              <w:rPr>
                <w:rFonts w:ascii="宋体" w:hAnsi="宋体"/>
                <w:b/>
                <w:szCs w:val="21"/>
              </w:rPr>
            </w:pPr>
            <w:r>
              <w:rPr>
                <w:rFonts w:hint="eastAsia" w:ascii="宋体" w:hAnsi="宋体"/>
                <w:b/>
                <w:szCs w:val="21"/>
              </w:rPr>
              <w:t>金融办对金融机构考评情况：</w:t>
            </w:r>
            <w:r>
              <w:rPr>
                <w:rFonts w:hint="eastAsia" w:ascii="宋体" w:hAnsi="宋体" w:cs="宋体"/>
                <w:b/>
                <w:iCs/>
                <w:kern w:val="0"/>
                <w:szCs w:val="21"/>
              </w:rPr>
              <w:t>（要求详见《评标细则》）</w:t>
            </w:r>
          </w:p>
        </w:tc>
        <w:tc>
          <w:tcPr>
            <w:tcW w:w="2437" w:type="dxa"/>
            <w:noWrap/>
            <w:vAlign w:val="center"/>
          </w:tcPr>
          <w:p w14:paraId="5D57234B">
            <w:pPr>
              <w:spacing w:line="240" w:lineRule="exact"/>
              <w:ind w:firstLine="211" w:firstLineChars="100"/>
              <w:rPr>
                <w:rFonts w:ascii="宋体" w:hAnsi="宋体" w:cs="宋体"/>
                <w:b/>
                <w:szCs w:val="21"/>
                <w:u w:val="single"/>
              </w:rPr>
            </w:pPr>
          </w:p>
        </w:tc>
      </w:tr>
      <w:tr w14:paraId="24405C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132" w:type="dxa"/>
            <w:vMerge w:val="restart"/>
            <w:noWrap/>
            <w:vAlign w:val="center"/>
          </w:tcPr>
          <w:p w14:paraId="7CB9E6CE">
            <w:pPr>
              <w:spacing w:line="300" w:lineRule="exact"/>
              <w:jc w:val="center"/>
              <w:rPr>
                <w:rFonts w:ascii="宋体" w:hAnsi="宋体"/>
                <w:b/>
                <w:bCs/>
                <w:szCs w:val="21"/>
                <w:lang w:val="zh-CN"/>
              </w:rPr>
            </w:pPr>
            <w:r>
              <w:rPr>
                <w:rFonts w:hint="eastAsia" w:ascii="宋体" w:hAnsi="宋体"/>
                <w:b/>
                <w:bCs/>
                <w:szCs w:val="21"/>
                <w:lang w:val="zh-CN"/>
              </w:rPr>
              <w:t>四、服务水平</w:t>
            </w:r>
          </w:p>
        </w:tc>
        <w:tc>
          <w:tcPr>
            <w:tcW w:w="5929" w:type="dxa"/>
            <w:noWrap/>
            <w:vAlign w:val="center"/>
          </w:tcPr>
          <w:p w14:paraId="5E5FF3FA">
            <w:pPr>
              <w:spacing w:line="240" w:lineRule="exact"/>
              <w:rPr>
                <w:rFonts w:ascii="宋体" w:hAnsi="宋体"/>
                <w:b/>
                <w:szCs w:val="21"/>
              </w:rPr>
            </w:pPr>
            <w:r>
              <w:rPr>
                <w:rFonts w:hint="eastAsia" w:ascii="宋体" w:hAnsi="宋体"/>
                <w:b/>
                <w:szCs w:val="21"/>
              </w:rPr>
              <w:t>服务方案：</w:t>
            </w:r>
            <w:r>
              <w:rPr>
                <w:rFonts w:hint="eastAsia" w:ascii="宋体" w:hAnsi="宋体" w:cs="宋体"/>
                <w:b/>
                <w:iCs/>
                <w:kern w:val="0"/>
                <w:szCs w:val="21"/>
              </w:rPr>
              <w:t>（要求详见《评标细则》）</w:t>
            </w:r>
          </w:p>
        </w:tc>
        <w:tc>
          <w:tcPr>
            <w:tcW w:w="2437" w:type="dxa"/>
            <w:noWrap/>
            <w:vAlign w:val="center"/>
          </w:tcPr>
          <w:p w14:paraId="4AD1AC98">
            <w:pPr>
              <w:spacing w:line="240" w:lineRule="exact"/>
              <w:ind w:firstLine="211" w:firstLineChars="100"/>
              <w:rPr>
                <w:rFonts w:ascii="宋体" w:hAnsi="宋体" w:cs="宋体"/>
                <w:b/>
                <w:szCs w:val="21"/>
                <w:u w:val="single"/>
              </w:rPr>
            </w:pPr>
          </w:p>
        </w:tc>
      </w:tr>
      <w:tr w14:paraId="318F25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1132" w:type="dxa"/>
            <w:vMerge w:val="continue"/>
            <w:noWrap/>
            <w:vAlign w:val="center"/>
          </w:tcPr>
          <w:p w14:paraId="240FF6DF">
            <w:pPr>
              <w:spacing w:line="300" w:lineRule="exact"/>
              <w:jc w:val="center"/>
              <w:rPr>
                <w:rFonts w:ascii="宋体" w:hAnsi="宋体"/>
                <w:b/>
                <w:bCs/>
                <w:szCs w:val="21"/>
                <w:lang w:val="zh-CN"/>
              </w:rPr>
            </w:pPr>
          </w:p>
        </w:tc>
        <w:tc>
          <w:tcPr>
            <w:tcW w:w="5929" w:type="dxa"/>
            <w:noWrap/>
            <w:vAlign w:val="center"/>
          </w:tcPr>
          <w:p w14:paraId="5E748728">
            <w:pPr>
              <w:spacing w:line="300" w:lineRule="exact"/>
              <w:jc w:val="left"/>
              <w:rPr>
                <w:rFonts w:ascii="宋体" w:hAnsi="宋体"/>
                <w:b/>
                <w:szCs w:val="21"/>
              </w:rPr>
            </w:pPr>
            <w:r>
              <w:rPr>
                <w:rFonts w:hint="eastAsia" w:ascii="宋体" w:hAnsi="宋体"/>
                <w:b/>
                <w:szCs w:val="21"/>
              </w:rPr>
              <w:t>费用减免及服务承诺：</w:t>
            </w:r>
            <w:r>
              <w:rPr>
                <w:rFonts w:hint="eastAsia" w:ascii="宋体" w:hAnsi="宋体" w:cs="宋体"/>
                <w:b/>
                <w:iCs/>
                <w:kern w:val="0"/>
                <w:szCs w:val="21"/>
              </w:rPr>
              <w:t>（要求详见《评标细则》）</w:t>
            </w:r>
          </w:p>
        </w:tc>
        <w:tc>
          <w:tcPr>
            <w:tcW w:w="2437" w:type="dxa"/>
            <w:noWrap/>
            <w:vAlign w:val="center"/>
          </w:tcPr>
          <w:p w14:paraId="2D6ACD44">
            <w:pPr>
              <w:spacing w:line="240" w:lineRule="exact"/>
              <w:ind w:firstLine="211" w:firstLineChars="100"/>
              <w:rPr>
                <w:rFonts w:ascii="宋体" w:hAnsi="宋体" w:cs="宋体"/>
                <w:b/>
                <w:szCs w:val="21"/>
                <w:u w:val="single"/>
              </w:rPr>
            </w:pPr>
          </w:p>
        </w:tc>
      </w:tr>
    </w:tbl>
    <w:p w14:paraId="5DE94BEF">
      <w:pPr>
        <w:spacing w:line="320" w:lineRule="exact"/>
        <w:rPr>
          <w:rFonts w:ascii="宋体" w:hAnsi="宋体"/>
          <w:szCs w:val="21"/>
        </w:rPr>
      </w:pPr>
      <w:r>
        <w:rPr>
          <w:rFonts w:hint="eastAsia" w:ascii="宋体" w:hAnsi="宋体"/>
          <w:b/>
          <w:szCs w:val="21"/>
        </w:rPr>
        <w:t>说明：除招标文件已明确不需要相关证明资料外，本表后需附以上相关评审的资料或文件供评标委员会评审。</w:t>
      </w:r>
    </w:p>
    <w:p w14:paraId="1ED9FF37">
      <w:pPr>
        <w:spacing w:line="320" w:lineRule="exact"/>
        <w:rPr>
          <w:rFonts w:ascii="宋体" w:hAnsi="宋体"/>
          <w:szCs w:val="21"/>
        </w:rPr>
      </w:pPr>
    </w:p>
    <w:p w14:paraId="661BC232">
      <w:pPr>
        <w:spacing w:line="320" w:lineRule="exact"/>
        <w:rPr>
          <w:rFonts w:ascii="宋体" w:hAnsi="宋体"/>
          <w:szCs w:val="21"/>
          <w:u w:val="single"/>
        </w:rPr>
      </w:pPr>
      <w:r>
        <w:rPr>
          <w:rFonts w:ascii="宋体" w:hAnsi="宋体"/>
          <w:szCs w:val="21"/>
        </w:rPr>
        <w:t>投标人</w:t>
      </w:r>
      <w:r>
        <w:rPr>
          <w:rFonts w:ascii="宋体" w:hAnsi="宋体"/>
          <w:szCs w:val="21"/>
          <w:u w:val="single"/>
        </w:rPr>
        <w:t xml:space="preserve">                               </w:t>
      </w:r>
      <w:r>
        <w:rPr>
          <w:rFonts w:ascii="宋体" w:hAnsi="宋体"/>
          <w:szCs w:val="21"/>
        </w:rPr>
        <w:t>（盖</w:t>
      </w:r>
      <w:r>
        <w:rPr>
          <w:rFonts w:hint="eastAsia" w:ascii="宋体" w:hAnsi="宋体"/>
          <w:szCs w:val="21"/>
        </w:rPr>
        <w:t>公</w:t>
      </w:r>
      <w:r>
        <w:rPr>
          <w:rFonts w:ascii="宋体" w:hAnsi="宋体"/>
          <w:szCs w:val="21"/>
        </w:rPr>
        <w:t>章）</w:t>
      </w:r>
    </w:p>
    <w:p w14:paraId="1E040F03">
      <w:pPr>
        <w:spacing w:line="320" w:lineRule="exact"/>
        <w:rPr>
          <w:rFonts w:ascii="宋体" w:hAnsi="宋体"/>
          <w:szCs w:val="21"/>
          <w:u w:val="single"/>
        </w:rPr>
      </w:pPr>
      <w:r>
        <w:rPr>
          <w:rFonts w:ascii="宋体" w:hAnsi="宋体"/>
          <w:szCs w:val="21"/>
        </w:rPr>
        <w:t>法定代表人</w:t>
      </w:r>
      <w:r>
        <w:rPr>
          <w:rFonts w:hint="eastAsia" w:ascii="宋体" w:hAnsi="宋体"/>
          <w:szCs w:val="21"/>
        </w:rPr>
        <w:t>（或单位负责人）</w:t>
      </w:r>
      <w:r>
        <w:rPr>
          <w:rFonts w:ascii="宋体" w:hAnsi="宋体"/>
          <w:szCs w:val="21"/>
        </w:rPr>
        <w:t>或</w:t>
      </w:r>
      <w:r>
        <w:rPr>
          <w:rFonts w:hint="eastAsia" w:ascii="宋体" w:hAnsi="宋体"/>
          <w:szCs w:val="21"/>
        </w:rPr>
        <w:t>其</w:t>
      </w:r>
      <w:r>
        <w:rPr>
          <w:rFonts w:ascii="宋体" w:hAnsi="宋体"/>
          <w:szCs w:val="21"/>
        </w:rPr>
        <w:t>授权代理人</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14:paraId="091E25A1">
      <w:pPr>
        <w:jc w:val="left"/>
        <w:rPr>
          <w:rFonts w:ascii="宋体" w:hAnsi="宋体"/>
          <w:szCs w:val="21"/>
        </w:rPr>
      </w:pPr>
      <w:r>
        <w:rPr>
          <w:rFonts w:ascii="宋体" w:hAnsi="宋体"/>
          <w:szCs w:val="21"/>
        </w:rPr>
        <w:t>日</w:t>
      </w:r>
      <w:r>
        <w:rPr>
          <w:rFonts w:hint="eastAsia" w:ascii="宋体" w:hAnsi="宋体"/>
          <w:szCs w:val="21"/>
        </w:rPr>
        <w:t xml:space="preserve">  </w:t>
      </w:r>
      <w:r>
        <w:rPr>
          <w:rFonts w:ascii="宋体" w:hAnsi="宋体"/>
          <w:szCs w:val="21"/>
        </w:rPr>
        <w:t>期：    年    月    日</w:t>
      </w:r>
    </w:p>
    <w:p w14:paraId="54BCE970">
      <w:pPr>
        <w:jc w:val="left"/>
        <w:rPr>
          <w:rFonts w:ascii="宋体" w:hAnsi="宋体"/>
          <w:szCs w:val="21"/>
        </w:rPr>
      </w:pPr>
    </w:p>
    <w:p w14:paraId="480FB3E4">
      <w:pPr>
        <w:pStyle w:val="11"/>
        <w:rPr>
          <w:rFonts w:ascii="宋体" w:hAnsi="宋体"/>
          <w:szCs w:val="21"/>
        </w:rPr>
      </w:pPr>
    </w:p>
    <w:p w14:paraId="5E4031A4"/>
    <w:p w14:paraId="47F2352C">
      <w:pPr>
        <w:jc w:val="left"/>
        <w:rPr>
          <w:rFonts w:ascii="宋体" w:hAnsi="宋体"/>
          <w:szCs w:val="21"/>
        </w:rPr>
      </w:pPr>
    </w:p>
    <w:p w14:paraId="644DA3C5">
      <w:pPr>
        <w:jc w:val="left"/>
        <w:rPr>
          <w:rFonts w:ascii="宋体" w:hAnsi="宋体"/>
          <w:szCs w:val="21"/>
        </w:rPr>
      </w:pPr>
    </w:p>
    <w:p w14:paraId="6D1AD956">
      <w:pPr>
        <w:spacing w:line="480" w:lineRule="auto"/>
        <w:jc w:val="left"/>
        <w:rPr>
          <w:rFonts w:ascii="宋体" w:hAnsi="宋体"/>
          <w:b/>
          <w:sz w:val="18"/>
          <w:szCs w:val="18"/>
        </w:rPr>
      </w:pPr>
      <w:r>
        <w:rPr>
          <w:rFonts w:hint="eastAsia" w:ascii="宋体" w:hAnsi="宋体"/>
          <w:szCs w:val="21"/>
        </w:rPr>
        <w:t>附件九</w:t>
      </w:r>
    </w:p>
    <w:p w14:paraId="4B4AA785">
      <w:pPr>
        <w:jc w:val="center"/>
        <w:rPr>
          <w:b/>
          <w:szCs w:val="21"/>
          <w:highlight w:val="none"/>
        </w:rPr>
      </w:pPr>
      <w:r>
        <w:rPr>
          <w:rFonts w:hint="eastAsia"/>
          <w:b/>
          <w:szCs w:val="21"/>
          <w:highlight w:val="none"/>
        </w:rPr>
        <w:t>服务条款偏离表</w:t>
      </w:r>
    </w:p>
    <w:p w14:paraId="1AE872FE">
      <w:pPr>
        <w:rPr>
          <w:szCs w:val="21"/>
          <w:highlight w:val="none"/>
          <w:u w:val="single"/>
        </w:rPr>
      </w:pP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3338"/>
        <w:gridCol w:w="3014"/>
        <w:gridCol w:w="1712"/>
      </w:tblGrid>
      <w:tr w14:paraId="1F0C57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57" w:type="dxa"/>
            <w:vAlign w:val="center"/>
          </w:tcPr>
          <w:p w14:paraId="2605E1D3">
            <w:pPr>
              <w:jc w:val="center"/>
              <w:rPr>
                <w:b/>
                <w:szCs w:val="21"/>
                <w:highlight w:val="none"/>
              </w:rPr>
            </w:pPr>
            <w:r>
              <w:rPr>
                <w:rFonts w:hint="eastAsia" w:ascii="宋体" w:hAnsi="宋体"/>
                <w:b/>
                <w:szCs w:val="21"/>
                <w:highlight w:val="none"/>
              </w:rPr>
              <w:t>序号</w:t>
            </w:r>
          </w:p>
        </w:tc>
        <w:tc>
          <w:tcPr>
            <w:tcW w:w="3338" w:type="dxa"/>
            <w:vAlign w:val="center"/>
          </w:tcPr>
          <w:p w14:paraId="45DAF71E">
            <w:pPr>
              <w:jc w:val="center"/>
              <w:rPr>
                <w:b/>
                <w:szCs w:val="21"/>
                <w:highlight w:val="none"/>
              </w:rPr>
            </w:pPr>
            <w:r>
              <w:rPr>
                <w:rFonts w:hint="eastAsia" w:ascii="宋体" w:hAnsi="宋体"/>
                <w:b/>
                <w:szCs w:val="21"/>
                <w:highlight w:val="none"/>
              </w:rPr>
              <w:t>招标文件的服务条款</w:t>
            </w:r>
          </w:p>
        </w:tc>
        <w:tc>
          <w:tcPr>
            <w:tcW w:w="3014" w:type="dxa"/>
            <w:vAlign w:val="center"/>
          </w:tcPr>
          <w:p w14:paraId="6363FC98">
            <w:pPr>
              <w:jc w:val="center"/>
              <w:rPr>
                <w:b/>
                <w:szCs w:val="21"/>
                <w:highlight w:val="none"/>
              </w:rPr>
            </w:pPr>
            <w:r>
              <w:rPr>
                <w:rFonts w:hint="eastAsia" w:ascii="宋体" w:hAnsi="宋体"/>
                <w:b/>
                <w:szCs w:val="21"/>
                <w:highlight w:val="none"/>
              </w:rPr>
              <w:t>投标文件的服务条款</w:t>
            </w:r>
          </w:p>
        </w:tc>
        <w:tc>
          <w:tcPr>
            <w:tcW w:w="1712" w:type="dxa"/>
            <w:vAlign w:val="center"/>
          </w:tcPr>
          <w:p w14:paraId="05DE0B6A">
            <w:pPr>
              <w:jc w:val="center"/>
              <w:rPr>
                <w:b/>
                <w:szCs w:val="21"/>
                <w:highlight w:val="none"/>
              </w:rPr>
            </w:pPr>
            <w:r>
              <w:rPr>
                <w:rFonts w:hint="eastAsia" w:ascii="宋体" w:hAnsi="宋体"/>
                <w:b/>
                <w:szCs w:val="21"/>
                <w:highlight w:val="none"/>
              </w:rPr>
              <w:t>说明</w:t>
            </w:r>
          </w:p>
        </w:tc>
      </w:tr>
      <w:tr w14:paraId="02194D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57" w:type="dxa"/>
            <w:vAlign w:val="center"/>
          </w:tcPr>
          <w:p w14:paraId="194937B4">
            <w:pPr>
              <w:ind w:left="-59" w:leftChars="-222" w:hanging="407" w:hangingChars="194"/>
              <w:jc w:val="center"/>
              <w:rPr>
                <w:rFonts w:ascii="楷体_GB2312" w:eastAsia="楷体_GB2312"/>
                <w:szCs w:val="21"/>
                <w:highlight w:val="none"/>
              </w:rPr>
            </w:pPr>
            <w:r>
              <w:rPr>
                <w:rFonts w:hint="eastAsia" w:ascii="楷体_GB2312" w:eastAsia="楷体_GB2312"/>
                <w:szCs w:val="21"/>
                <w:highlight w:val="none"/>
              </w:rPr>
              <w:t xml:space="preserve">  </w:t>
            </w:r>
          </w:p>
        </w:tc>
        <w:tc>
          <w:tcPr>
            <w:tcW w:w="3338" w:type="dxa"/>
            <w:vAlign w:val="center"/>
          </w:tcPr>
          <w:p w14:paraId="7740AAC7">
            <w:pPr>
              <w:jc w:val="center"/>
              <w:rPr>
                <w:rFonts w:ascii="楷体_GB2312" w:eastAsia="楷体_GB2312"/>
                <w:szCs w:val="21"/>
                <w:highlight w:val="none"/>
              </w:rPr>
            </w:pPr>
          </w:p>
        </w:tc>
        <w:tc>
          <w:tcPr>
            <w:tcW w:w="3014" w:type="dxa"/>
            <w:vAlign w:val="center"/>
          </w:tcPr>
          <w:p w14:paraId="3F6B86A9">
            <w:pPr>
              <w:jc w:val="center"/>
              <w:rPr>
                <w:rFonts w:ascii="楷体_GB2312" w:eastAsia="楷体_GB2312"/>
                <w:szCs w:val="21"/>
                <w:highlight w:val="none"/>
              </w:rPr>
            </w:pPr>
          </w:p>
        </w:tc>
        <w:tc>
          <w:tcPr>
            <w:tcW w:w="1712" w:type="dxa"/>
            <w:vAlign w:val="center"/>
          </w:tcPr>
          <w:p w14:paraId="4D6B5483">
            <w:pPr>
              <w:jc w:val="center"/>
              <w:rPr>
                <w:rFonts w:ascii="楷体_GB2312" w:eastAsia="楷体_GB2312"/>
                <w:szCs w:val="21"/>
                <w:highlight w:val="none"/>
              </w:rPr>
            </w:pPr>
          </w:p>
        </w:tc>
      </w:tr>
      <w:tr w14:paraId="0FDD4D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57" w:type="dxa"/>
            <w:vAlign w:val="center"/>
          </w:tcPr>
          <w:p w14:paraId="1ECDFA36">
            <w:pPr>
              <w:jc w:val="center"/>
              <w:rPr>
                <w:rFonts w:ascii="楷体_GB2312" w:eastAsia="楷体_GB2312"/>
                <w:szCs w:val="21"/>
                <w:highlight w:val="none"/>
              </w:rPr>
            </w:pPr>
          </w:p>
        </w:tc>
        <w:tc>
          <w:tcPr>
            <w:tcW w:w="3338" w:type="dxa"/>
            <w:vAlign w:val="center"/>
          </w:tcPr>
          <w:p w14:paraId="36E49552">
            <w:pPr>
              <w:jc w:val="center"/>
              <w:rPr>
                <w:rFonts w:ascii="楷体_GB2312" w:eastAsia="楷体_GB2312"/>
                <w:szCs w:val="21"/>
                <w:highlight w:val="none"/>
              </w:rPr>
            </w:pPr>
          </w:p>
        </w:tc>
        <w:tc>
          <w:tcPr>
            <w:tcW w:w="3014" w:type="dxa"/>
            <w:vAlign w:val="center"/>
          </w:tcPr>
          <w:p w14:paraId="0D7FD54B">
            <w:pPr>
              <w:jc w:val="center"/>
              <w:rPr>
                <w:rFonts w:ascii="楷体_GB2312" w:eastAsia="楷体_GB2312"/>
                <w:szCs w:val="21"/>
                <w:highlight w:val="none"/>
              </w:rPr>
            </w:pPr>
          </w:p>
        </w:tc>
        <w:tc>
          <w:tcPr>
            <w:tcW w:w="1712" w:type="dxa"/>
            <w:vAlign w:val="center"/>
          </w:tcPr>
          <w:p w14:paraId="3B38664B">
            <w:pPr>
              <w:jc w:val="center"/>
              <w:rPr>
                <w:rFonts w:ascii="楷体_GB2312" w:eastAsia="楷体_GB2312"/>
                <w:szCs w:val="21"/>
                <w:highlight w:val="none"/>
              </w:rPr>
            </w:pPr>
          </w:p>
        </w:tc>
      </w:tr>
      <w:tr w14:paraId="45ACC0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57" w:type="dxa"/>
            <w:vAlign w:val="center"/>
          </w:tcPr>
          <w:p w14:paraId="14E8AB32">
            <w:pPr>
              <w:jc w:val="center"/>
              <w:rPr>
                <w:rFonts w:ascii="楷体_GB2312" w:eastAsia="楷体_GB2312"/>
                <w:szCs w:val="21"/>
                <w:highlight w:val="none"/>
              </w:rPr>
            </w:pPr>
          </w:p>
        </w:tc>
        <w:tc>
          <w:tcPr>
            <w:tcW w:w="3338" w:type="dxa"/>
            <w:vAlign w:val="center"/>
          </w:tcPr>
          <w:p w14:paraId="208E4339">
            <w:pPr>
              <w:jc w:val="center"/>
              <w:rPr>
                <w:rFonts w:ascii="楷体_GB2312" w:eastAsia="楷体_GB2312"/>
                <w:szCs w:val="21"/>
                <w:highlight w:val="none"/>
              </w:rPr>
            </w:pPr>
          </w:p>
        </w:tc>
        <w:tc>
          <w:tcPr>
            <w:tcW w:w="3014" w:type="dxa"/>
            <w:vAlign w:val="center"/>
          </w:tcPr>
          <w:p w14:paraId="5FA6BA26">
            <w:pPr>
              <w:jc w:val="center"/>
              <w:rPr>
                <w:rFonts w:ascii="楷体_GB2312" w:eastAsia="楷体_GB2312"/>
                <w:szCs w:val="21"/>
                <w:highlight w:val="none"/>
              </w:rPr>
            </w:pPr>
          </w:p>
        </w:tc>
        <w:tc>
          <w:tcPr>
            <w:tcW w:w="1712" w:type="dxa"/>
            <w:vAlign w:val="center"/>
          </w:tcPr>
          <w:p w14:paraId="64655934">
            <w:pPr>
              <w:jc w:val="center"/>
              <w:rPr>
                <w:rFonts w:ascii="楷体_GB2312" w:eastAsia="楷体_GB2312"/>
                <w:szCs w:val="21"/>
                <w:highlight w:val="none"/>
              </w:rPr>
            </w:pPr>
          </w:p>
        </w:tc>
      </w:tr>
      <w:tr w14:paraId="7F9964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57" w:type="dxa"/>
            <w:vAlign w:val="center"/>
          </w:tcPr>
          <w:p w14:paraId="4F05AB13">
            <w:pPr>
              <w:jc w:val="center"/>
              <w:rPr>
                <w:rFonts w:ascii="楷体_GB2312" w:eastAsia="楷体_GB2312"/>
                <w:szCs w:val="21"/>
                <w:highlight w:val="none"/>
              </w:rPr>
            </w:pPr>
          </w:p>
        </w:tc>
        <w:tc>
          <w:tcPr>
            <w:tcW w:w="3338" w:type="dxa"/>
            <w:vAlign w:val="center"/>
          </w:tcPr>
          <w:p w14:paraId="59315C1E">
            <w:pPr>
              <w:jc w:val="center"/>
              <w:rPr>
                <w:rFonts w:ascii="楷体_GB2312" w:eastAsia="楷体_GB2312"/>
                <w:szCs w:val="21"/>
                <w:highlight w:val="none"/>
              </w:rPr>
            </w:pPr>
          </w:p>
        </w:tc>
        <w:tc>
          <w:tcPr>
            <w:tcW w:w="3014" w:type="dxa"/>
            <w:vAlign w:val="center"/>
          </w:tcPr>
          <w:p w14:paraId="2C63E795">
            <w:pPr>
              <w:jc w:val="center"/>
              <w:rPr>
                <w:rFonts w:ascii="楷体_GB2312" w:eastAsia="楷体_GB2312"/>
                <w:szCs w:val="21"/>
                <w:highlight w:val="none"/>
              </w:rPr>
            </w:pPr>
          </w:p>
        </w:tc>
        <w:tc>
          <w:tcPr>
            <w:tcW w:w="1712" w:type="dxa"/>
            <w:vAlign w:val="center"/>
          </w:tcPr>
          <w:p w14:paraId="7BECAB00">
            <w:pPr>
              <w:jc w:val="center"/>
              <w:rPr>
                <w:rFonts w:ascii="楷体_GB2312" w:eastAsia="楷体_GB2312"/>
                <w:szCs w:val="21"/>
                <w:highlight w:val="none"/>
              </w:rPr>
            </w:pPr>
          </w:p>
        </w:tc>
      </w:tr>
      <w:tr w14:paraId="201E1C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57" w:type="dxa"/>
            <w:vAlign w:val="center"/>
          </w:tcPr>
          <w:p w14:paraId="465DD8C4">
            <w:pPr>
              <w:jc w:val="center"/>
              <w:rPr>
                <w:rFonts w:ascii="楷体_GB2312" w:eastAsia="楷体_GB2312"/>
                <w:szCs w:val="21"/>
                <w:highlight w:val="none"/>
              </w:rPr>
            </w:pPr>
          </w:p>
        </w:tc>
        <w:tc>
          <w:tcPr>
            <w:tcW w:w="3338" w:type="dxa"/>
            <w:vAlign w:val="center"/>
          </w:tcPr>
          <w:p w14:paraId="615F2713">
            <w:pPr>
              <w:jc w:val="center"/>
              <w:rPr>
                <w:rFonts w:ascii="楷体_GB2312" w:eastAsia="楷体_GB2312"/>
                <w:szCs w:val="21"/>
                <w:highlight w:val="none"/>
              </w:rPr>
            </w:pPr>
          </w:p>
        </w:tc>
        <w:tc>
          <w:tcPr>
            <w:tcW w:w="3014" w:type="dxa"/>
            <w:vAlign w:val="center"/>
          </w:tcPr>
          <w:p w14:paraId="4B21F511">
            <w:pPr>
              <w:jc w:val="center"/>
              <w:rPr>
                <w:rFonts w:ascii="楷体_GB2312" w:eastAsia="楷体_GB2312"/>
                <w:szCs w:val="21"/>
                <w:highlight w:val="none"/>
              </w:rPr>
            </w:pPr>
          </w:p>
        </w:tc>
        <w:tc>
          <w:tcPr>
            <w:tcW w:w="1712" w:type="dxa"/>
            <w:vAlign w:val="center"/>
          </w:tcPr>
          <w:p w14:paraId="3C4170A6">
            <w:pPr>
              <w:jc w:val="center"/>
              <w:rPr>
                <w:rFonts w:ascii="楷体_GB2312" w:eastAsia="楷体_GB2312"/>
                <w:szCs w:val="21"/>
                <w:highlight w:val="none"/>
              </w:rPr>
            </w:pPr>
          </w:p>
        </w:tc>
      </w:tr>
      <w:tr w14:paraId="7747EB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57" w:type="dxa"/>
            <w:vAlign w:val="center"/>
          </w:tcPr>
          <w:p w14:paraId="5464FD4A">
            <w:pPr>
              <w:jc w:val="center"/>
              <w:rPr>
                <w:rFonts w:ascii="楷体_GB2312" w:eastAsia="楷体_GB2312"/>
                <w:szCs w:val="21"/>
                <w:highlight w:val="none"/>
              </w:rPr>
            </w:pPr>
          </w:p>
        </w:tc>
        <w:tc>
          <w:tcPr>
            <w:tcW w:w="3338" w:type="dxa"/>
            <w:vAlign w:val="center"/>
          </w:tcPr>
          <w:p w14:paraId="3D61D267">
            <w:pPr>
              <w:jc w:val="center"/>
              <w:rPr>
                <w:rFonts w:ascii="楷体_GB2312" w:eastAsia="楷体_GB2312"/>
                <w:szCs w:val="21"/>
                <w:highlight w:val="none"/>
              </w:rPr>
            </w:pPr>
          </w:p>
        </w:tc>
        <w:tc>
          <w:tcPr>
            <w:tcW w:w="3014" w:type="dxa"/>
            <w:vAlign w:val="center"/>
          </w:tcPr>
          <w:p w14:paraId="19ED6A47">
            <w:pPr>
              <w:jc w:val="center"/>
              <w:rPr>
                <w:rFonts w:ascii="楷体_GB2312" w:eastAsia="楷体_GB2312"/>
                <w:szCs w:val="21"/>
                <w:highlight w:val="none"/>
              </w:rPr>
            </w:pPr>
          </w:p>
        </w:tc>
        <w:tc>
          <w:tcPr>
            <w:tcW w:w="1712" w:type="dxa"/>
            <w:vAlign w:val="center"/>
          </w:tcPr>
          <w:p w14:paraId="56E95A4F">
            <w:pPr>
              <w:jc w:val="center"/>
              <w:rPr>
                <w:rFonts w:ascii="楷体_GB2312" w:eastAsia="楷体_GB2312"/>
                <w:szCs w:val="21"/>
                <w:highlight w:val="none"/>
              </w:rPr>
            </w:pPr>
          </w:p>
        </w:tc>
      </w:tr>
      <w:tr w14:paraId="6624C6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57" w:type="dxa"/>
            <w:vAlign w:val="center"/>
          </w:tcPr>
          <w:p w14:paraId="23B7CE4E">
            <w:pPr>
              <w:jc w:val="center"/>
              <w:rPr>
                <w:rFonts w:ascii="楷体_GB2312" w:eastAsia="楷体_GB2312"/>
                <w:szCs w:val="21"/>
                <w:highlight w:val="none"/>
              </w:rPr>
            </w:pPr>
          </w:p>
        </w:tc>
        <w:tc>
          <w:tcPr>
            <w:tcW w:w="3338" w:type="dxa"/>
            <w:vAlign w:val="center"/>
          </w:tcPr>
          <w:p w14:paraId="0B033880">
            <w:pPr>
              <w:jc w:val="center"/>
              <w:rPr>
                <w:rFonts w:ascii="楷体_GB2312" w:eastAsia="楷体_GB2312"/>
                <w:szCs w:val="21"/>
                <w:highlight w:val="none"/>
              </w:rPr>
            </w:pPr>
          </w:p>
        </w:tc>
        <w:tc>
          <w:tcPr>
            <w:tcW w:w="3014" w:type="dxa"/>
            <w:vAlign w:val="center"/>
          </w:tcPr>
          <w:p w14:paraId="4D246B25">
            <w:pPr>
              <w:jc w:val="center"/>
              <w:rPr>
                <w:rFonts w:ascii="楷体_GB2312" w:eastAsia="楷体_GB2312"/>
                <w:szCs w:val="21"/>
                <w:highlight w:val="none"/>
              </w:rPr>
            </w:pPr>
          </w:p>
        </w:tc>
        <w:tc>
          <w:tcPr>
            <w:tcW w:w="1712" w:type="dxa"/>
            <w:vAlign w:val="center"/>
          </w:tcPr>
          <w:p w14:paraId="7B700DC2">
            <w:pPr>
              <w:jc w:val="center"/>
              <w:rPr>
                <w:rFonts w:ascii="楷体_GB2312" w:eastAsia="楷体_GB2312"/>
                <w:szCs w:val="21"/>
                <w:highlight w:val="none"/>
              </w:rPr>
            </w:pPr>
          </w:p>
        </w:tc>
      </w:tr>
      <w:tr w14:paraId="20D3DE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57" w:type="dxa"/>
            <w:vAlign w:val="center"/>
          </w:tcPr>
          <w:p w14:paraId="66680E3D">
            <w:pPr>
              <w:jc w:val="center"/>
              <w:rPr>
                <w:rFonts w:ascii="楷体_GB2312" w:eastAsia="楷体_GB2312"/>
                <w:szCs w:val="21"/>
                <w:highlight w:val="none"/>
              </w:rPr>
            </w:pPr>
          </w:p>
        </w:tc>
        <w:tc>
          <w:tcPr>
            <w:tcW w:w="3338" w:type="dxa"/>
            <w:vAlign w:val="center"/>
          </w:tcPr>
          <w:p w14:paraId="554A7075">
            <w:pPr>
              <w:jc w:val="center"/>
              <w:rPr>
                <w:rFonts w:ascii="楷体_GB2312" w:eastAsia="楷体_GB2312"/>
                <w:szCs w:val="21"/>
                <w:highlight w:val="none"/>
              </w:rPr>
            </w:pPr>
          </w:p>
        </w:tc>
        <w:tc>
          <w:tcPr>
            <w:tcW w:w="3014" w:type="dxa"/>
            <w:vAlign w:val="center"/>
          </w:tcPr>
          <w:p w14:paraId="106405D9">
            <w:pPr>
              <w:jc w:val="center"/>
              <w:rPr>
                <w:rFonts w:ascii="楷体_GB2312" w:eastAsia="楷体_GB2312"/>
                <w:szCs w:val="21"/>
                <w:highlight w:val="none"/>
              </w:rPr>
            </w:pPr>
          </w:p>
        </w:tc>
        <w:tc>
          <w:tcPr>
            <w:tcW w:w="1712" w:type="dxa"/>
            <w:vAlign w:val="center"/>
          </w:tcPr>
          <w:p w14:paraId="126DBC9C">
            <w:pPr>
              <w:jc w:val="center"/>
              <w:rPr>
                <w:rFonts w:ascii="楷体_GB2312" w:eastAsia="楷体_GB2312"/>
                <w:szCs w:val="21"/>
                <w:highlight w:val="none"/>
              </w:rPr>
            </w:pPr>
          </w:p>
        </w:tc>
      </w:tr>
      <w:tr w14:paraId="2E5A78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57" w:type="dxa"/>
            <w:vAlign w:val="center"/>
          </w:tcPr>
          <w:p w14:paraId="1EE7D9D8">
            <w:pPr>
              <w:jc w:val="center"/>
              <w:rPr>
                <w:rFonts w:ascii="楷体_GB2312" w:eastAsia="楷体_GB2312"/>
                <w:szCs w:val="21"/>
                <w:highlight w:val="none"/>
              </w:rPr>
            </w:pPr>
          </w:p>
        </w:tc>
        <w:tc>
          <w:tcPr>
            <w:tcW w:w="3338" w:type="dxa"/>
            <w:vAlign w:val="center"/>
          </w:tcPr>
          <w:p w14:paraId="2B7B1170">
            <w:pPr>
              <w:jc w:val="center"/>
              <w:rPr>
                <w:rFonts w:ascii="楷体_GB2312" w:eastAsia="楷体_GB2312"/>
                <w:szCs w:val="21"/>
                <w:highlight w:val="none"/>
              </w:rPr>
            </w:pPr>
          </w:p>
        </w:tc>
        <w:tc>
          <w:tcPr>
            <w:tcW w:w="3014" w:type="dxa"/>
            <w:vAlign w:val="center"/>
          </w:tcPr>
          <w:p w14:paraId="18484575">
            <w:pPr>
              <w:jc w:val="center"/>
              <w:rPr>
                <w:rFonts w:ascii="楷体_GB2312" w:eastAsia="楷体_GB2312"/>
                <w:szCs w:val="21"/>
                <w:highlight w:val="none"/>
              </w:rPr>
            </w:pPr>
          </w:p>
        </w:tc>
        <w:tc>
          <w:tcPr>
            <w:tcW w:w="1712" w:type="dxa"/>
            <w:vAlign w:val="center"/>
          </w:tcPr>
          <w:p w14:paraId="41985327">
            <w:pPr>
              <w:jc w:val="center"/>
              <w:rPr>
                <w:rFonts w:ascii="楷体_GB2312" w:eastAsia="楷体_GB2312"/>
                <w:szCs w:val="21"/>
                <w:highlight w:val="none"/>
              </w:rPr>
            </w:pPr>
          </w:p>
        </w:tc>
      </w:tr>
      <w:tr w14:paraId="647FA4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57" w:type="dxa"/>
            <w:vAlign w:val="center"/>
          </w:tcPr>
          <w:p w14:paraId="28F24A09">
            <w:pPr>
              <w:jc w:val="center"/>
              <w:rPr>
                <w:rFonts w:ascii="楷体_GB2312" w:eastAsia="楷体_GB2312"/>
                <w:szCs w:val="21"/>
                <w:highlight w:val="none"/>
              </w:rPr>
            </w:pPr>
          </w:p>
        </w:tc>
        <w:tc>
          <w:tcPr>
            <w:tcW w:w="3338" w:type="dxa"/>
            <w:vAlign w:val="center"/>
          </w:tcPr>
          <w:p w14:paraId="48C416FB">
            <w:pPr>
              <w:jc w:val="center"/>
              <w:rPr>
                <w:rFonts w:ascii="楷体_GB2312" w:eastAsia="楷体_GB2312"/>
                <w:szCs w:val="21"/>
                <w:highlight w:val="none"/>
              </w:rPr>
            </w:pPr>
          </w:p>
        </w:tc>
        <w:tc>
          <w:tcPr>
            <w:tcW w:w="3014" w:type="dxa"/>
            <w:vAlign w:val="center"/>
          </w:tcPr>
          <w:p w14:paraId="6640F55C">
            <w:pPr>
              <w:jc w:val="center"/>
              <w:rPr>
                <w:rFonts w:ascii="楷体_GB2312" w:eastAsia="楷体_GB2312"/>
                <w:szCs w:val="21"/>
                <w:highlight w:val="none"/>
              </w:rPr>
            </w:pPr>
          </w:p>
        </w:tc>
        <w:tc>
          <w:tcPr>
            <w:tcW w:w="1712" w:type="dxa"/>
            <w:vAlign w:val="center"/>
          </w:tcPr>
          <w:p w14:paraId="429D9D24">
            <w:pPr>
              <w:jc w:val="center"/>
              <w:rPr>
                <w:rFonts w:ascii="楷体_GB2312" w:eastAsia="楷体_GB2312"/>
                <w:szCs w:val="21"/>
                <w:highlight w:val="none"/>
              </w:rPr>
            </w:pPr>
          </w:p>
        </w:tc>
      </w:tr>
      <w:tr w14:paraId="5C54F8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57" w:type="dxa"/>
            <w:vAlign w:val="center"/>
          </w:tcPr>
          <w:p w14:paraId="21642D4A">
            <w:pPr>
              <w:jc w:val="center"/>
              <w:rPr>
                <w:rFonts w:ascii="楷体_GB2312" w:eastAsia="楷体_GB2312"/>
                <w:szCs w:val="21"/>
                <w:highlight w:val="none"/>
              </w:rPr>
            </w:pPr>
          </w:p>
        </w:tc>
        <w:tc>
          <w:tcPr>
            <w:tcW w:w="3338" w:type="dxa"/>
            <w:vAlign w:val="center"/>
          </w:tcPr>
          <w:p w14:paraId="1CB27B8F">
            <w:pPr>
              <w:jc w:val="center"/>
              <w:rPr>
                <w:rFonts w:ascii="楷体_GB2312" w:eastAsia="楷体_GB2312"/>
                <w:szCs w:val="21"/>
                <w:highlight w:val="none"/>
              </w:rPr>
            </w:pPr>
          </w:p>
        </w:tc>
        <w:tc>
          <w:tcPr>
            <w:tcW w:w="3014" w:type="dxa"/>
            <w:vAlign w:val="center"/>
          </w:tcPr>
          <w:p w14:paraId="75B4C8C2">
            <w:pPr>
              <w:jc w:val="center"/>
              <w:rPr>
                <w:rFonts w:ascii="楷体_GB2312" w:eastAsia="楷体_GB2312"/>
                <w:szCs w:val="21"/>
                <w:highlight w:val="none"/>
              </w:rPr>
            </w:pPr>
          </w:p>
        </w:tc>
        <w:tc>
          <w:tcPr>
            <w:tcW w:w="1712" w:type="dxa"/>
            <w:vAlign w:val="center"/>
          </w:tcPr>
          <w:p w14:paraId="7133256F">
            <w:pPr>
              <w:jc w:val="center"/>
              <w:rPr>
                <w:rFonts w:ascii="楷体_GB2312" w:eastAsia="楷体_GB2312"/>
                <w:szCs w:val="21"/>
                <w:highlight w:val="none"/>
              </w:rPr>
            </w:pPr>
          </w:p>
        </w:tc>
      </w:tr>
    </w:tbl>
    <w:p w14:paraId="26D25F32">
      <w:pPr>
        <w:spacing w:line="480" w:lineRule="auto"/>
        <w:rPr>
          <w:rFonts w:ascii="宋体" w:hAnsi="宋体"/>
          <w:szCs w:val="21"/>
          <w:highlight w:val="none"/>
        </w:rPr>
      </w:pPr>
      <w:r>
        <w:rPr>
          <w:rFonts w:hint="eastAsia" w:ascii="宋体" w:hAnsi="宋体"/>
          <w:szCs w:val="21"/>
          <w:highlight w:val="none"/>
        </w:rPr>
        <w:t>注：服务条款无偏离的，本表填写</w:t>
      </w:r>
      <w:r>
        <w:rPr>
          <w:rFonts w:hint="eastAsia" w:ascii="宋体" w:hAnsi="宋体"/>
          <w:b/>
          <w:szCs w:val="21"/>
          <w:highlight w:val="none"/>
        </w:rPr>
        <w:t>“无偏离”</w:t>
      </w:r>
    </w:p>
    <w:p w14:paraId="2981BDF0">
      <w:pPr>
        <w:rPr>
          <w:rFonts w:ascii="宋体" w:hAnsi="宋体"/>
          <w:szCs w:val="21"/>
          <w:highlight w:val="none"/>
        </w:rPr>
      </w:pPr>
    </w:p>
    <w:p w14:paraId="725E8006">
      <w:pPr>
        <w:spacing w:line="480" w:lineRule="auto"/>
        <w:rPr>
          <w:rFonts w:ascii="宋体" w:hAnsi="宋体"/>
          <w:szCs w:val="21"/>
          <w:highlight w:val="none"/>
          <w:u w:val="single"/>
        </w:rPr>
      </w:pPr>
      <w:r>
        <w:rPr>
          <w:rFonts w:ascii="宋体" w:hAnsi="宋体"/>
          <w:szCs w:val="21"/>
          <w:highlight w:val="none"/>
        </w:rPr>
        <w:t>投标人</w:t>
      </w:r>
      <w:r>
        <w:rPr>
          <w:rFonts w:ascii="宋体" w:hAnsi="宋体"/>
          <w:szCs w:val="21"/>
          <w:highlight w:val="none"/>
          <w:u w:val="single"/>
        </w:rPr>
        <w:t xml:space="preserve">                               </w:t>
      </w:r>
      <w:r>
        <w:rPr>
          <w:rFonts w:ascii="宋体" w:hAnsi="宋体"/>
          <w:szCs w:val="21"/>
          <w:highlight w:val="none"/>
        </w:rPr>
        <w:t>（盖</w:t>
      </w:r>
      <w:r>
        <w:rPr>
          <w:rFonts w:hint="eastAsia" w:ascii="宋体" w:hAnsi="宋体"/>
          <w:szCs w:val="21"/>
          <w:highlight w:val="none"/>
        </w:rPr>
        <w:t>公</w:t>
      </w:r>
      <w:r>
        <w:rPr>
          <w:rFonts w:ascii="宋体" w:hAnsi="宋体"/>
          <w:szCs w:val="21"/>
          <w:highlight w:val="none"/>
        </w:rPr>
        <w:t>章）</w:t>
      </w:r>
    </w:p>
    <w:p w14:paraId="2DA05041">
      <w:pPr>
        <w:spacing w:line="480" w:lineRule="auto"/>
        <w:jc w:val="left"/>
        <w:rPr>
          <w:rFonts w:ascii="宋体" w:hAnsi="宋体"/>
          <w:szCs w:val="21"/>
          <w:highlight w:val="none"/>
        </w:rPr>
      </w:pPr>
      <w:r>
        <w:rPr>
          <w:rFonts w:ascii="宋体" w:hAnsi="宋体"/>
          <w:szCs w:val="21"/>
          <w:highlight w:val="none"/>
        </w:rPr>
        <w:t>日</w:t>
      </w:r>
      <w:r>
        <w:rPr>
          <w:rFonts w:hint="eastAsia" w:ascii="宋体" w:hAnsi="宋体"/>
          <w:szCs w:val="21"/>
          <w:highlight w:val="none"/>
        </w:rPr>
        <w:t xml:space="preserve">  </w:t>
      </w:r>
      <w:r>
        <w:rPr>
          <w:rFonts w:ascii="宋体" w:hAnsi="宋体"/>
          <w:szCs w:val="21"/>
          <w:highlight w:val="none"/>
        </w:rPr>
        <w:t>期：    年    月    日</w:t>
      </w:r>
    </w:p>
    <w:p w14:paraId="7159BBDA">
      <w:pPr>
        <w:spacing w:line="480" w:lineRule="auto"/>
        <w:jc w:val="center"/>
        <w:rPr>
          <w:rFonts w:hint="eastAsia" w:ascii="宋体" w:hAnsi="宋体"/>
          <w:b/>
          <w:szCs w:val="21"/>
        </w:rPr>
      </w:pPr>
    </w:p>
    <w:p w14:paraId="7E463AD7">
      <w:pPr>
        <w:spacing w:line="480" w:lineRule="auto"/>
        <w:jc w:val="center"/>
        <w:rPr>
          <w:rFonts w:hint="eastAsia" w:ascii="宋体" w:hAnsi="宋体"/>
          <w:b/>
          <w:szCs w:val="21"/>
        </w:rPr>
      </w:pPr>
    </w:p>
    <w:p w14:paraId="47C88C58">
      <w:pPr>
        <w:spacing w:line="480" w:lineRule="auto"/>
        <w:jc w:val="left"/>
        <w:rPr>
          <w:rFonts w:hint="eastAsia" w:ascii="宋体" w:hAnsi="宋体" w:eastAsia="宋体"/>
          <w:b/>
          <w:szCs w:val="21"/>
          <w:lang w:eastAsia="zh-CN"/>
        </w:rPr>
      </w:pPr>
      <w:r>
        <w:rPr>
          <w:rFonts w:hint="eastAsia" w:ascii="宋体" w:hAnsi="宋体"/>
          <w:szCs w:val="21"/>
        </w:rPr>
        <w:t>附件</w:t>
      </w:r>
      <w:r>
        <w:rPr>
          <w:rFonts w:hint="eastAsia" w:ascii="宋体" w:hAnsi="宋体"/>
          <w:szCs w:val="21"/>
          <w:lang w:val="en-US" w:eastAsia="zh-CN"/>
        </w:rPr>
        <w:t>十</w:t>
      </w:r>
    </w:p>
    <w:p w14:paraId="4C95E156">
      <w:pPr>
        <w:spacing w:line="480" w:lineRule="auto"/>
        <w:jc w:val="center"/>
        <w:rPr>
          <w:rFonts w:ascii="宋体" w:hAnsi="宋体"/>
          <w:b/>
          <w:szCs w:val="21"/>
        </w:rPr>
      </w:pPr>
      <w:r>
        <w:rPr>
          <w:rFonts w:hint="eastAsia" w:ascii="宋体" w:hAnsi="宋体"/>
          <w:b/>
          <w:szCs w:val="21"/>
        </w:rPr>
        <w:t>廉政承诺书</w:t>
      </w:r>
    </w:p>
    <w:p w14:paraId="70550C00">
      <w:pPr>
        <w:jc w:val="center"/>
        <w:rPr>
          <w:rFonts w:ascii="宋体" w:hAnsi="宋体"/>
          <w:szCs w:val="21"/>
        </w:rPr>
      </w:pPr>
    </w:p>
    <w:p w14:paraId="56B62E85">
      <w:pPr>
        <w:spacing w:line="360" w:lineRule="auto"/>
        <w:rPr>
          <w:rFonts w:ascii="宋体" w:hAnsi="宋体"/>
          <w:szCs w:val="21"/>
        </w:rPr>
      </w:pPr>
      <w:r>
        <w:rPr>
          <w:rFonts w:hint="eastAsia" w:ascii="宋体" w:hAnsi="宋体"/>
          <w:b/>
          <w:bCs/>
          <w:szCs w:val="21"/>
          <w:u w:val="single"/>
        </w:rPr>
        <w:t xml:space="preserve">       （招标人）  ：</w:t>
      </w:r>
    </w:p>
    <w:p w14:paraId="1A7DA41C">
      <w:pPr>
        <w:spacing w:line="500" w:lineRule="exact"/>
        <w:ind w:firstLine="420" w:firstLineChars="200"/>
        <w:rPr>
          <w:rFonts w:hint="eastAsia" w:ascii="宋体" w:hAnsi="宋体" w:cs="仿宋_GB2312"/>
          <w:szCs w:val="21"/>
          <w:highlight w:val="none"/>
        </w:rPr>
      </w:pPr>
      <w:r>
        <w:rPr>
          <w:rFonts w:hint="eastAsia" w:ascii="宋体" w:hAnsi="宋体"/>
          <w:szCs w:val="21"/>
          <w:highlight w:val="none"/>
        </w:rPr>
        <w:t>根据《</w:t>
      </w:r>
      <w:r>
        <w:rPr>
          <w:rFonts w:hint="eastAsia" w:ascii="宋体" w:hAnsi="宋体"/>
          <w:szCs w:val="21"/>
          <w:highlight w:val="none"/>
          <w:lang w:eastAsia="zh-CN"/>
        </w:rPr>
        <w:t>宁波市市级预算单位银行账户和公款存放管理暂行办法补充事项的通知</w:t>
      </w:r>
      <w:r>
        <w:rPr>
          <w:rFonts w:hint="eastAsia" w:ascii="宋体" w:hAnsi="宋体"/>
          <w:szCs w:val="21"/>
          <w:highlight w:val="none"/>
        </w:rPr>
        <w:t>》（</w:t>
      </w:r>
      <w:r>
        <w:rPr>
          <w:rFonts w:hint="eastAsia" w:ascii="宋体" w:hAnsi="宋体"/>
          <w:szCs w:val="21"/>
          <w:highlight w:val="none"/>
          <w:lang w:eastAsia="zh-CN"/>
        </w:rPr>
        <w:t>甬财政发【</w:t>
      </w:r>
      <w:r>
        <w:rPr>
          <w:rFonts w:hint="eastAsia" w:ascii="宋体" w:hAnsi="宋体"/>
          <w:szCs w:val="21"/>
          <w:highlight w:val="none"/>
          <w:lang w:val="en-US" w:eastAsia="zh-CN"/>
        </w:rPr>
        <w:t>2021</w:t>
      </w:r>
      <w:r>
        <w:rPr>
          <w:rFonts w:hint="eastAsia" w:ascii="宋体" w:hAnsi="宋体"/>
          <w:szCs w:val="21"/>
          <w:highlight w:val="none"/>
          <w:lang w:eastAsia="zh-CN"/>
        </w:rPr>
        <w:t>】</w:t>
      </w:r>
      <w:r>
        <w:rPr>
          <w:rFonts w:hint="eastAsia" w:ascii="宋体" w:hAnsi="宋体"/>
          <w:szCs w:val="21"/>
          <w:highlight w:val="none"/>
          <w:lang w:val="en-US" w:eastAsia="zh-CN"/>
        </w:rPr>
        <w:t>70号</w:t>
      </w:r>
      <w:r>
        <w:rPr>
          <w:rFonts w:hint="eastAsia" w:ascii="宋体" w:hAnsi="宋体"/>
          <w:szCs w:val="21"/>
          <w:highlight w:val="none"/>
        </w:rPr>
        <w:t>）等有关文件规定</w:t>
      </w:r>
      <w:r>
        <w:rPr>
          <w:rFonts w:hint="eastAsia" w:ascii="宋体" w:hAnsi="宋体" w:cs="仿宋_GB2312"/>
          <w:szCs w:val="21"/>
          <w:highlight w:val="none"/>
        </w:rPr>
        <w:t>，现就本行参加贵单位</w:t>
      </w:r>
      <w:r>
        <w:rPr>
          <w:rFonts w:hint="eastAsia" w:ascii="宋体" w:hAnsi="宋体" w:cs="Times New Roman"/>
          <w:kern w:val="0"/>
          <w:szCs w:val="21"/>
          <w:highlight w:val="none"/>
          <w:u w:val="single"/>
          <w:lang w:eastAsia="zh-CN"/>
        </w:rPr>
        <w:t>中国共产党宁波市北仑区委员会春晓街道工作委员会银行专户开立服务机构招标项目</w:t>
      </w:r>
      <w:r>
        <w:rPr>
          <w:rFonts w:hint="eastAsia" w:ascii="宋体" w:hAnsi="宋体" w:cs="仿宋_GB2312"/>
          <w:szCs w:val="21"/>
          <w:highlight w:val="none"/>
        </w:rPr>
        <w:t>（项目名称）投标作出如下承诺：</w:t>
      </w:r>
    </w:p>
    <w:p w14:paraId="460CF96B">
      <w:pPr>
        <w:spacing w:line="500" w:lineRule="exact"/>
        <w:ind w:firstLine="420" w:firstLineChars="200"/>
        <w:rPr>
          <w:rFonts w:hint="eastAsia" w:ascii="宋体" w:hAnsi="宋体" w:cs="仿宋_GB2312"/>
          <w:szCs w:val="21"/>
          <w:highlight w:val="none"/>
        </w:rPr>
      </w:pPr>
      <w:r>
        <w:rPr>
          <w:rFonts w:hint="eastAsia" w:ascii="宋体" w:hAnsi="宋体" w:cs="仿宋_GB2312"/>
          <w:szCs w:val="21"/>
          <w:highlight w:val="none"/>
        </w:rPr>
        <w:t>1.不向贵单位负责资金存放管理的领导及相关人员进行利益输送；</w:t>
      </w:r>
    </w:p>
    <w:p w14:paraId="5F034E18">
      <w:pPr>
        <w:spacing w:line="500" w:lineRule="exact"/>
        <w:ind w:firstLine="420" w:firstLineChars="200"/>
        <w:rPr>
          <w:rFonts w:hint="eastAsia" w:ascii="宋体" w:hAnsi="宋体" w:cs="仿宋_GB2312"/>
          <w:szCs w:val="21"/>
          <w:highlight w:val="none"/>
        </w:rPr>
      </w:pPr>
      <w:r>
        <w:rPr>
          <w:rFonts w:hint="eastAsia" w:ascii="宋体" w:hAnsi="宋体" w:cs="仿宋_GB2312"/>
          <w:szCs w:val="21"/>
          <w:highlight w:val="none"/>
        </w:rPr>
        <w:t>2.不将</w:t>
      </w:r>
      <w:r>
        <w:rPr>
          <w:rFonts w:hint="eastAsia" w:ascii="宋体" w:hAnsi="宋体" w:cs="仿宋_GB2312"/>
          <w:szCs w:val="21"/>
          <w:highlight w:val="none"/>
          <w:lang w:eastAsia="zh-CN"/>
        </w:rPr>
        <w:t>资金</w:t>
      </w:r>
      <w:r>
        <w:rPr>
          <w:rFonts w:hint="eastAsia" w:ascii="宋体" w:hAnsi="宋体" w:cs="仿宋_GB2312"/>
          <w:szCs w:val="21"/>
          <w:highlight w:val="none"/>
        </w:rPr>
        <w:t>存放与贵单位负责资金存放管理的领导及相关人员在本行的配偶、子女及其配偶和其他直接利益相关人员的业绩、收入、晋升等利益挂钩；</w:t>
      </w:r>
    </w:p>
    <w:p w14:paraId="16051974">
      <w:pPr>
        <w:spacing w:line="500" w:lineRule="exact"/>
        <w:ind w:firstLine="420" w:firstLineChars="200"/>
        <w:rPr>
          <w:rFonts w:hint="eastAsia" w:ascii="宋体" w:hAnsi="宋体" w:cs="仿宋_GB2312"/>
          <w:szCs w:val="21"/>
          <w:highlight w:val="none"/>
        </w:rPr>
      </w:pPr>
      <w:r>
        <w:rPr>
          <w:rFonts w:hint="eastAsia" w:ascii="宋体" w:hAnsi="宋体" w:cs="仿宋_GB2312"/>
          <w:szCs w:val="21"/>
          <w:highlight w:val="none"/>
        </w:rPr>
        <w:t>3. 严格执行利益回避制度，贵单位负责</w:t>
      </w:r>
      <w:r>
        <w:rPr>
          <w:rFonts w:hint="eastAsia" w:ascii="宋体" w:hAnsi="宋体" w:cs="仿宋_GB2312"/>
          <w:szCs w:val="21"/>
          <w:highlight w:val="none"/>
          <w:lang w:eastAsia="zh-CN"/>
        </w:rPr>
        <w:t>资金</w:t>
      </w:r>
      <w:r>
        <w:rPr>
          <w:rFonts w:hint="eastAsia" w:ascii="宋体" w:hAnsi="宋体" w:cs="仿宋_GB2312"/>
          <w:szCs w:val="21"/>
          <w:highlight w:val="none"/>
        </w:rPr>
        <w:t>存放相关人员的配偶、子女及其配偶和其他直接利益相关人员为本行工作人员的，不参与</w:t>
      </w:r>
      <w:r>
        <w:rPr>
          <w:rFonts w:hint="eastAsia" w:ascii="宋体" w:hAnsi="宋体" w:cs="仿宋_GB2312"/>
          <w:szCs w:val="21"/>
          <w:highlight w:val="none"/>
          <w:lang w:eastAsia="zh-CN"/>
        </w:rPr>
        <w:t>资金</w:t>
      </w:r>
      <w:r>
        <w:rPr>
          <w:rFonts w:hint="eastAsia" w:ascii="宋体" w:hAnsi="宋体" w:cs="仿宋_GB2312"/>
          <w:szCs w:val="21"/>
          <w:highlight w:val="none"/>
        </w:rPr>
        <w:t>存放招投标工作；</w:t>
      </w:r>
    </w:p>
    <w:p w14:paraId="35F47A8D">
      <w:pPr>
        <w:spacing w:line="500" w:lineRule="exact"/>
        <w:ind w:firstLine="420" w:firstLineChars="200"/>
        <w:rPr>
          <w:rFonts w:hint="eastAsia" w:ascii="宋体" w:hAnsi="宋体" w:cs="仿宋_GB2312"/>
          <w:szCs w:val="21"/>
          <w:highlight w:val="none"/>
        </w:rPr>
      </w:pPr>
      <w:r>
        <w:rPr>
          <w:rFonts w:hint="eastAsia" w:ascii="宋体" w:hAnsi="宋体" w:cs="仿宋_GB2312"/>
          <w:szCs w:val="21"/>
          <w:highlight w:val="none"/>
        </w:rPr>
        <w:t>4.不发生除上述行为之外的其他任何利益输送行为。</w:t>
      </w:r>
    </w:p>
    <w:p w14:paraId="3954DBE1">
      <w:pPr>
        <w:spacing w:line="500" w:lineRule="exact"/>
        <w:ind w:firstLine="420" w:firstLineChars="200"/>
        <w:rPr>
          <w:rFonts w:hint="eastAsia" w:ascii="宋体" w:hAnsi="宋体" w:cs="仿宋_GB2312"/>
          <w:szCs w:val="21"/>
          <w:highlight w:val="none"/>
        </w:rPr>
      </w:pPr>
      <w:r>
        <w:rPr>
          <w:rFonts w:hint="eastAsia" w:ascii="宋体" w:hAnsi="宋体" w:cs="仿宋_GB2312"/>
          <w:szCs w:val="21"/>
          <w:highlight w:val="none"/>
        </w:rPr>
        <w:t>未遵守以上承诺的，本行自愿接受相关部门通报和处理，承担相应的一切后果。</w:t>
      </w:r>
    </w:p>
    <w:p w14:paraId="0445E48B">
      <w:pPr>
        <w:spacing w:line="360" w:lineRule="auto"/>
        <w:rPr>
          <w:rFonts w:ascii="宋体" w:hAnsi="宋体"/>
          <w:szCs w:val="21"/>
        </w:rPr>
      </w:pPr>
      <w:r>
        <w:rPr>
          <w:rFonts w:hint="eastAsia" w:ascii="宋体" w:hAnsi="宋体"/>
          <w:szCs w:val="21"/>
        </w:rPr>
        <w:t xml:space="preserve">                                       </w:t>
      </w:r>
    </w:p>
    <w:p w14:paraId="59EFC8EF">
      <w:pPr>
        <w:spacing w:line="360" w:lineRule="auto"/>
        <w:rPr>
          <w:rFonts w:ascii="宋体" w:hAnsi="宋体"/>
          <w:szCs w:val="21"/>
        </w:rPr>
      </w:pPr>
    </w:p>
    <w:p w14:paraId="2BA8D71E">
      <w:pPr>
        <w:spacing w:line="360" w:lineRule="auto"/>
        <w:ind w:firstLine="5460" w:firstLineChars="2600"/>
        <w:rPr>
          <w:rFonts w:ascii="宋体" w:hAnsi="宋体"/>
          <w:szCs w:val="21"/>
        </w:rPr>
      </w:pPr>
      <w:r>
        <w:rPr>
          <w:rFonts w:hint="eastAsia" w:ascii="宋体" w:hAnsi="宋体"/>
          <w:szCs w:val="21"/>
        </w:rPr>
        <w:t>投标人（公章）</w:t>
      </w:r>
    </w:p>
    <w:p w14:paraId="50B4EFA1">
      <w:pPr>
        <w:spacing w:line="360" w:lineRule="auto"/>
        <w:jc w:val="center"/>
        <w:rPr>
          <w:rFonts w:ascii="宋体" w:hAnsi="宋体"/>
          <w:szCs w:val="21"/>
        </w:rPr>
      </w:pPr>
      <w:r>
        <w:rPr>
          <w:rFonts w:hint="eastAsia" w:ascii="宋体" w:hAnsi="宋体"/>
          <w:szCs w:val="21"/>
        </w:rPr>
        <w:t xml:space="preserve">                         年   月   日</w:t>
      </w:r>
    </w:p>
    <w:p w14:paraId="6B0FFE69">
      <w:pPr>
        <w:spacing w:line="360" w:lineRule="auto"/>
        <w:rPr>
          <w:rFonts w:ascii="宋体" w:hAnsi="宋体"/>
          <w:szCs w:val="21"/>
        </w:rPr>
      </w:pPr>
    </w:p>
    <w:p w14:paraId="4B0E86DB">
      <w:pPr>
        <w:spacing w:line="360" w:lineRule="auto"/>
        <w:jc w:val="center"/>
        <w:rPr>
          <w:rFonts w:ascii="新宋体" w:hAnsi="新宋体" w:eastAsia="新宋体"/>
          <w:b/>
          <w:szCs w:val="21"/>
        </w:rPr>
      </w:pPr>
    </w:p>
    <w:p w14:paraId="7BEF8316">
      <w:pPr>
        <w:spacing w:line="360" w:lineRule="auto"/>
        <w:jc w:val="center"/>
        <w:rPr>
          <w:rFonts w:ascii="新宋体" w:hAnsi="新宋体" w:eastAsia="新宋体"/>
          <w:b/>
          <w:szCs w:val="21"/>
        </w:rPr>
      </w:pPr>
    </w:p>
    <w:p w14:paraId="53D5269B">
      <w:pPr>
        <w:spacing w:line="360" w:lineRule="auto"/>
        <w:jc w:val="center"/>
        <w:rPr>
          <w:rFonts w:ascii="新宋体" w:hAnsi="新宋体" w:eastAsia="新宋体"/>
          <w:b/>
          <w:szCs w:val="21"/>
        </w:rPr>
      </w:pPr>
    </w:p>
    <w:p w14:paraId="3DE8F4EE">
      <w:pPr>
        <w:spacing w:line="360" w:lineRule="auto"/>
        <w:jc w:val="center"/>
        <w:rPr>
          <w:rFonts w:ascii="新宋体" w:hAnsi="新宋体" w:eastAsia="新宋体"/>
          <w:b/>
          <w:szCs w:val="21"/>
        </w:rPr>
      </w:pPr>
    </w:p>
    <w:p w14:paraId="355E225F">
      <w:pPr>
        <w:spacing w:line="360" w:lineRule="auto"/>
        <w:jc w:val="left"/>
        <w:rPr>
          <w:rFonts w:hint="eastAsia" w:eastAsia="宋体"/>
          <w:b/>
          <w:szCs w:val="21"/>
          <w:lang w:val="en-US" w:eastAsia="zh-CN"/>
        </w:rPr>
      </w:pPr>
      <w:r>
        <w:rPr>
          <w:rFonts w:ascii="新宋体" w:hAnsi="新宋体" w:eastAsia="新宋体"/>
          <w:b/>
          <w:szCs w:val="21"/>
        </w:rPr>
        <w:br w:type="page"/>
      </w:r>
      <w:r>
        <w:rPr>
          <w:rFonts w:hint="eastAsia" w:ascii="宋体" w:hAnsi="宋体"/>
          <w:szCs w:val="21"/>
        </w:rPr>
        <w:t>附件十</w:t>
      </w:r>
      <w:r>
        <w:rPr>
          <w:rFonts w:hint="eastAsia" w:ascii="宋体" w:hAnsi="宋体"/>
          <w:szCs w:val="21"/>
          <w:lang w:val="en-US" w:eastAsia="zh-CN"/>
        </w:rPr>
        <w:t>一</w:t>
      </w:r>
    </w:p>
    <w:p w14:paraId="25F92209">
      <w:pPr>
        <w:jc w:val="left"/>
        <w:rPr>
          <w:b/>
          <w:szCs w:val="21"/>
        </w:rPr>
      </w:pPr>
    </w:p>
    <w:p w14:paraId="1F1B5CCD">
      <w:pPr>
        <w:jc w:val="center"/>
        <w:rPr>
          <w:b/>
          <w:szCs w:val="21"/>
        </w:rPr>
      </w:pPr>
      <w:r>
        <w:rPr>
          <w:rFonts w:hint="eastAsia"/>
          <w:b/>
          <w:szCs w:val="21"/>
        </w:rPr>
        <w:t>费用减免及服务承诺书</w:t>
      </w:r>
    </w:p>
    <w:p w14:paraId="24645D26">
      <w:pPr>
        <w:spacing w:line="360" w:lineRule="auto"/>
        <w:ind w:right="480"/>
        <w:jc w:val="left"/>
        <w:rPr>
          <w:rFonts w:ascii="宋体" w:hAnsi="宋体"/>
          <w:szCs w:val="21"/>
        </w:rPr>
      </w:pPr>
    </w:p>
    <w:p w14:paraId="74F0549E">
      <w:pPr>
        <w:spacing w:line="360" w:lineRule="auto"/>
        <w:rPr>
          <w:rFonts w:ascii="宋体" w:hAnsi="宋体"/>
          <w:szCs w:val="21"/>
        </w:rPr>
      </w:pPr>
      <w:r>
        <w:rPr>
          <w:rFonts w:hint="eastAsia" w:ascii="宋体" w:hAnsi="宋体"/>
          <w:b/>
          <w:bCs/>
          <w:szCs w:val="21"/>
          <w:u w:val="single"/>
        </w:rPr>
        <w:t xml:space="preserve">       （招标人）  ：</w:t>
      </w:r>
    </w:p>
    <w:p w14:paraId="1C5E1746">
      <w:pPr>
        <w:spacing w:line="360" w:lineRule="auto"/>
        <w:ind w:right="482" w:firstLine="420" w:firstLineChars="200"/>
        <w:jc w:val="left"/>
        <w:rPr>
          <w:rFonts w:ascii="宋体" w:hAnsi="宋体"/>
          <w:szCs w:val="21"/>
        </w:rPr>
      </w:pPr>
      <w:r>
        <w:rPr>
          <w:rFonts w:hint="eastAsia" w:ascii="宋体" w:hAnsi="宋体"/>
          <w:szCs w:val="21"/>
        </w:rPr>
        <w:t>我行已参加</w:t>
      </w:r>
      <w:r>
        <w:rPr>
          <w:rFonts w:hint="eastAsia" w:ascii="宋体" w:hAnsi="宋体"/>
          <w:kern w:val="0"/>
          <w:szCs w:val="21"/>
          <w:u w:val="single"/>
          <w:lang w:eastAsia="zh-CN"/>
        </w:rPr>
        <w:t>中国共产党宁波市北仑区委员会春晓街道工作委员会银行专户开立服务机构招标项目</w:t>
      </w:r>
      <w:r>
        <w:rPr>
          <w:rFonts w:hint="eastAsia" w:ascii="宋体" w:hAnsi="宋体"/>
          <w:szCs w:val="21"/>
        </w:rPr>
        <w:t>的投标，在此承诺:</w:t>
      </w:r>
    </w:p>
    <w:p w14:paraId="0892CA4B">
      <w:pPr>
        <w:keepNext w:val="0"/>
        <w:keepLines w:val="0"/>
        <w:pageBreakBefore w:val="0"/>
        <w:widowControl w:val="0"/>
        <w:kinsoku/>
        <w:wordWrap/>
        <w:overflowPunct/>
        <w:topLinePunct w:val="0"/>
        <w:autoSpaceDE/>
        <w:autoSpaceDN/>
        <w:bidi w:val="0"/>
        <w:adjustRightInd/>
        <w:snapToGrid/>
        <w:spacing w:line="480" w:lineRule="auto"/>
        <w:ind w:right="482" w:firstLine="420" w:firstLineChars="200"/>
        <w:jc w:val="left"/>
        <w:textAlignment w:val="auto"/>
        <w:rPr>
          <w:rFonts w:hint="eastAsia" w:ascii="宋体" w:hAnsi="宋体"/>
          <w:szCs w:val="21"/>
          <w:highlight w:val="none"/>
          <w:lang w:eastAsia="zh-CN"/>
        </w:rPr>
      </w:pPr>
      <w:r>
        <w:rPr>
          <w:rFonts w:hint="eastAsia" w:ascii="宋体" w:hAnsi="宋体"/>
          <w:szCs w:val="21"/>
          <w:highlight w:val="none"/>
          <w:lang w:val="en-US" w:eastAsia="zh-CN"/>
        </w:rPr>
        <w:t>1、</w:t>
      </w:r>
      <w:r>
        <w:rPr>
          <w:rFonts w:hint="eastAsia" w:ascii="宋体" w:hAnsi="宋体"/>
          <w:szCs w:val="21"/>
          <w:highlight w:val="none"/>
        </w:rPr>
        <w:t>我行承诺本项目</w:t>
      </w:r>
      <w:r>
        <w:rPr>
          <w:rFonts w:hint="eastAsia" w:ascii="宋体" w:hAnsi="宋体"/>
          <w:szCs w:val="21"/>
          <w:highlight w:val="none"/>
          <w:u w:val="single"/>
        </w:rPr>
        <w:t>本项目账户开户费、账户管理费、支票工本费、支票手续费、网银年费、送回单（对账单）和票据打印、对公跨行柜台转帐汇款手续费等所有服务费用全免</w:t>
      </w:r>
      <w:r>
        <w:rPr>
          <w:rFonts w:hint="eastAsia" w:ascii="宋体" w:hAnsi="宋体"/>
          <w:szCs w:val="21"/>
          <w:highlight w:val="none"/>
          <w:lang w:eastAsia="zh-CN"/>
        </w:rPr>
        <w:t>；</w:t>
      </w:r>
    </w:p>
    <w:p w14:paraId="08D8B678">
      <w:pPr>
        <w:spacing w:line="360" w:lineRule="auto"/>
        <w:ind w:right="482" w:firstLine="420" w:firstLineChars="200"/>
        <w:jc w:val="left"/>
        <w:rPr>
          <w:rFonts w:hint="eastAsia" w:ascii="宋体" w:hAnsi="宋体"/>
          <w:szCs w:val="21"/>
          <w:highlight w:val="none"/>
        </w:rPr>
      </w:pPr>
      <w:r>
        <w:rPr>
          <w:rFonts w:hint="eastAsia" w:ascii="宋体" w:hAnsi="宋体"/>
          <w:szCs w:val="21"/>
          <w:highlight w:val="none"/>
          <w:lang w:val="en-US" w:eastAsia="zh-CN"/>
        </w:rPr>
        <w:t>2、我行承诺</w:t>
      </w:r>
      <w:r>
        <w:rPr>
          <w:rFonts w:hint="eastAsia" w:ascii="宋体" w:hAnsi="宋体"/>
          <w:szCs w:val="21"/>
          <w:highlight w:val="none"/>
        </w:rPr>
        <w:t>根据招标人要求在工作日(法定节假日除外)免费提供上门服务。</w:t>
      </w:r>
    </w:p>
    <w:p w14:paraId="6EB02B3A">
      <w:pPr>
        <w:spacing w:line="360" w:lineRule="auto"/>
        <w:ind w:right="482" w:firstLine="420" w:firstLineChars="200"/>
        <w:jc w:val="left"/>
        <w:rPr>
          <w:rFonts w:ascii="宋体" w:hAnsi="宋体"/>
          <w:szCs w:val="21"/>
        </w:rPr>
      </w:pPr>
      <w:r>
        <w:rPr>
          <w:rFonts w:hint="eastAsia" w:ascii="宋体" w:hAnsi="宋体"/>
          <w:szCs w:val="21"/>
        </w:rPr>
        <w:t>特此承诺</w:t>
      </w:r>
    </w:p>
    <w:p w14:paraId="46C00BE2">
      <w:pPr>
        <w:spacing w:line="360" w:lineRule="auto"/>
        <w:ind w:right="480"/>
        <w:jc w:val="left"/>
        <w:rPr>
          <w:rFonts w:ascii="宋体" w:hAnsi="宋体"/>
          <w:szCs w:val="21"/>
        </w:rPr>
      </w:pPr>
    </w:p>
    <w:p w14:paraId="322CCCD7">
      <w:pPr>
        <w:spacing w:line="360" w:lineRule="auto"/>
        <w:ind w:right="480"/>
        <w:jc w:val="right"/>
        <w:rPr>
          <w:rFonts w:ascii="宋体" w:hAnsi="宋体"/>
          <w:szCs w:val="21"/>
        </w:rPr>
      </w:pPr>
    </w:p>
    <w:p w14:paraId="18730EAA">
      <w:pPr>
        <w:spacing w:line="360" w:lineRule="auto"/>
        <w:ind w:right="480"/>
        <w:jc w:val="right"/>
        <w:rPr>
          <w:rFonts w:ascii="宋体" w:hAnsi="宋体"/>
          <w:szCs w:val="21"/>
        </w:rPr>
      </w:pPr>
    </w:p>
    <w:p w14:paraId="7B68010F">
      <w:pPr>
        <w:spacing w:line="360" w:lineRule="auto"/>
        <w:ind w:right="960"/>
        <w:jc w:val="right"/>
        <w:rPr>
          <w:rFonts w:ascii="宋体" w:hAnsi="宋体"/>
          <w:szCs w:val="21"/>
        </w:rPr>
      </w:pPr>
      <w:r>
        <w:rPr>
          <w:rFonts w:hint="eastAsia" w:ascii="宋体" w:hAnsi="宋体"/>
          <w:szCs w:val="21"/>
        </w:rPr>
        <w:t>投标人(盖公章) :</w:t>
      </w:r>
    </w:p>
    <w:p w14:paraId="2F86AD9C">
      <w:pPr>
        <w:spacing w:line="360" w:lineRule="auto"/>
        <w:jc w:val="center"/>
        <w:rPr>
          <w:rFonts w:ascii="新宋体" w:hAnsi="新宋体" w:eastAsia="新宋体"/>
          <w:b/>
          <w:szCs w:val="21"/>
        </w:rPr>
      </w:pPr>
      <w:r>
        <w:rPr>
          <w:rFonts w:hint="eastAsia" w:ascii="宋体" w:hAnsi="宋体"/>
          <w:szCs w:val="21"/>
        </w:rPr>
        <w:t xml:space="preserve">                                                  日期:   年   月    日</w:t>
      </w:r>
    </w:p>
    <w:p w14:paraId="3F4C7C29">
      <w:pPr>
        <w:snapToGrid w:val="0"/>
        <w:spacing w:beforeLines="50" w:after="50"/>
      </w:pPr>
    </w:p>
    <w:p w14:paraId="3454DAE9"/>
    <w:sectPr>
      <w:footerReference r:id="rId5" w:type="default"/>
      <w:pgSz w:w="11906" w:h="16838"/>
      <w:pgMar w:top="1247" w:right="1287" w:bottom="1247" w:left="1287"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86"/>
    <w:family w:val="swiss"/>
    <w:pitch w:val="default"/>
    <w:sig w:usb0="80000287" w:usb1="2ACF001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A2AF5">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70478">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14:paraId="188D395E">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5AA33">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6</w:t>
    </w:r>
    <w:r>
      <w:fldChar w:fldCharType="end"/>
    </w:r>
  </w:p>
  <w:p w14:paraId="260A44F7">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CF4C5"/>
    <w:multiLevelType w:val="singleLevel"/>
    <w:tmpl w:val="983CF4C5"/>
    <w:lvl w:ilvl="0" w:tentative="0">
      <w:start w:val="1"/>
      <w:numFmt w:val="decimal"/>
      <w:pStyle w:val="3"/>
      <w:lvlText w:val="%1."/>
      <w:lvlJc w:val="left"/>
      <w:pPr>
        <w:tabs>
          <w:tab w:val="left" w:pos="360"/>
        </w:tabs>
        <w:ind w:left="360" w:hanging="360"/>
      </w:pPr>
    </w:lvl>
  </w:abstractNum>
  <w:abstractNum w:abstractNumId="1">
    <w:nsid w:val="A69521CB"/>
    <w:multiLevelType w:val="singleLevel"/>
    <w:tmpl w:val="A69521CB"/>
    <w:lvl w:ilvl="0" w:tentative="0">
      <w:start w:val="3"/>
      <w:numFmt w:val="decimal"/>
      <w:lvlText w:val="%1."/>
      <w:lvlJc w:val="left"/>
      <w:pPr>
        <w:tabs>
          <w:tab w:val="left" w:pos="312"/>
        </w:tabs>
      </w:pPr>
    </w:lvl>
  </w:abstractNum>
  <w:abstractNum w:abstractNumId="2">
    <w:nsid w:val="B5AE86EA"/>
    <w:multiLevelType w:val="singleLevel"/>
    <w:tmpl w:val="B5AE86EA"/>
    <w:lvl w:ilvl="0" w:tentative="0">
      <w:start w:val="5"/>
      <w:numFmt w:val="decimal"/>
      <w:lvlText w:val="%1."/>
      <w:lvlJc w:val="left"/>
      <w:pPr>
        <w:tabs>
          <w:tab w:val="left" w:pos="312"/>
        </w:tabs>
      </w:pPr>
    </w:lvl>
  </w:abstractNum>
  <w:abstractNum w:abstractNumId="3">
    <w:nsid w:val="5369D20B"/>
    <w:multiLevelType w:val="multilevel"/>
    <w:tmpl w:val="5369D20B"/>
    <w:lvl w:ilvl="0" w:tentative="0">
      <w:start w:val="1"/>
      <w:numFmt w:val="decimal"/>
      <w:lvlText w:val=""/>
      <w:lvlJc w:val="left"/>
      <w:pPr>
        <w:tabs>
          <w:tab w:val="left" w:pos="0"/>
        </w:tabs>
        <w:ind w:left="0" w:firstLine="0"/>
      </w:p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568B7C73"/>
    <w:rsid w:val="00274073"/>
    <w:rsid w:val="004803D7"/>
    <w:rsid w:val="00607E45"/>
    <w:rsid w:val="00780F3E"/>
    <w:rsid w:val="007871A4"/>
    <w:rsid w:val="00844058"/>
    <w:rsid w:val="00965CB3"/>
    <w:rsid w:val="00994373"/>
    <w:rsid w:val="00BA0ABC"/>
    <w:rsid w:val="00BE35D9"/>
    <w:rsid w:val="00D039CB"/>
    <w:rsid w:val="00DA3947"/>
    <w:rsid w:val="00E6092A"/>
    <w:rsid w:val="00F23FC3"/>
    <w:rsid w:val="00FD6813"/>
    <w:rsid w:val="0108582B"/>
    <w:rsid w:val="014409E2"/>
    <w:rsid w:val="04CF3E50"/>
    <w:rsid w:val="074402CA"/>
    <w:rsid w:val="07D17DB0"/>
    <w:rsid w:val="08534C69"/>
    <w:rsid w:val="08F973D0"/>
    <w:rsid w:val="0B1251CC"/>
    <w:rsid w:val="147D24B7"/>
    <w:rsid w:val="14D2509A"/>
    <w:rsid w:val="156B7992"/>
    <w:rsid w:val="158664F1"/>
    <w:rsid w:val="18C71A31"/>
    <w:rsid w:val="1DB51661"/>
    <w:rsid w:val="1DF26FE9"/>
    <w:rsid w:val="200A7EAB"/>
    <w:rsid w:val="20B15D97"/>
    <w:rsid w:val="22E913A8"/>
    <w:rsid w:val="247D0A93"/>
    <w:rsid w:val="24F00B42"/>
    <w:rsid w:val="272B4D25"/>
    <w:rsid w:val="274F0899"/>
    <w:rsid w:val="2819147E"/>
    <w:rsid w:val="28963912"/>
    <w:rsid w:val="298E38FB"/>
    <w:rsid w:val="29B82BBF"/>
    <w:rsid w:val="29F83840"/>
    <w:rsid w:val="2A040389"/>
    <w:rsid w:val="2A054968"/>
    <w:rsid w:val="2AC20695"/>
    <w:rsid w:val="2E69139F"/>
    <w:rsid w:val="2E9C2616"/>
    <w:rsid w:val="2FA566AE"/>
    <w:rsid w:val="307D0225"/>
    <w:rsid w:val="32693EDD"/>
    <w:rsid w:val="375B0C5C"/>
    <w:rsid w:val="377731CB"/>
    <w:rsid w:val="395A0647"/>
    <w:rsid w:val="3A997047"/>
    <w:rsid w:val="3BB6090A"/>
    <w:rsid w:val="3CB945FE"/>
    <w:rsid w:val="3EA10759"/>
    <w:rsid w:val="3EB9233A"/>
    <w:rsid w:val="3F1F3BAE"/>
    <w:rsid w:val="40285B22"/>
    <w:rsid w:val="43100A85"/>
    <w:rsid w:val="44F52628"/>
    <w:rsid w:val="475336CA"/>
    <w:rsid w:val="47D44A44"/>
    <w:rsid w:val="482F0C24"/>
    <w:rsid w:val="4B4D655C"/>
    <w:rsid w:val="4DCD4DD6"/>
    <w:rsid w:val="4E2342E8"/>
    <w:rsid w:val="4F6D2AEE"/>
    <w:rsid w:val="512B6237"/>
    <w:rsid w:val="51ED39F1"/>
    <w:rsid w:val="52F3691E"/>
    <w:rsid w:val="546025ED"/>
    <w:rsid w:val="55325544"/>
    <w:rsid w:val="55FA2FB5"/>
    <w:rsid w:val="568B7C73"/>
    <w:rsid w:val="579A3A91"/>
    <w:rsid w:val="58512BCB"/>
    <w:rsid w:val="58DF6089"/>
    <w:rsid w:val="596300F4"/>
    <w:rsid w:val="5CD14E17"/>
    <w:rsid w:val="5DF27A14"/>
    <w:rsid w:val="5E397045"/>
    <w:rsid w:val="5F1E1CE0"/>
    <w:rsid w:val="60CB64FA"/>
    <w:rsid w:val="61D24C62"/>
    <w:rsid w:val="642110E5"/>
    <w:rsid w:val="659F4206"/>
    <w:rsid w:val="662B7222"/>
    <w:rsid w:val="6749721C"/>
    <w:rsid w:val="67DE0541"/>
    <w:rsid w:val="69CC36FA"/>
    <w:rsid w:val="6A2E58D2"/>
    <w:rsid w:val="6B1455B9"/>
    <w:rsid w:val="6C70234C"/>
    <w:rsid w:val="6CEB16D2"/>
    <w:rsid w:val="6CFF1655"/>
    <w:rsid w:val="6E262703"/>
    <w:rsid w:val="6E917CD4"/>
    <w:rsid w:val="6F0532E4"/>
    <w:rsid w:val="6FAA3E8C"/>
    <w:rsid w:val="72CB421D"/>
    <w:rsid w:val="746617E4"/>
    <w:rsid w:val="770F1025"/>
    <w:rsid w:val="78503E3B"/>
    <w:rsid w:val="79FF36E3"/>
    <w:rsid w:val="7B563BCB"/>
    <w:rsid w:val="7EB73E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List Number"/>
    <w:basedOn w:val="1"/>
    <w:qFormat/>
    <w:uiPriority w:val="0"/>
    <w:pPr>
      <w:numPr>
        <w:ilvl w:val="0"/>
        <w:numId w:val="1"/>
      </w:numPr>
    </w:pPr>
  </w:style>
  <w:style w:type="paragraph" w:styleId="4">
    <w:name w:val="Body Text"/>
    <w:basedOn w:val="1"/>
    <w:next w:val="1"/>
    <w:qFormat/>
    <w:uiPriority w:val="0"/>
    <w:pPr>
      <w:spacing w:after="120"/>
    </w:pPr>
    <w:rPr>
      <w:sz w:val="28"/>
    </w:rPr>
  </w:style>
  <w:style w:type="paragraph" w:styleId="5">
    <w:name w:val="Body Text Indent"/>
    <w:basedOn w:val="1"/>
    <w:qFormat/>
    <w:uiPriority w:val="0"/>
    <w:pPr>
      <w:spacing w:line="200" w:lineRule="exact"/>
      <w:ind w:firstLine="301"/>
    </w:pPr>
    <w:rPr>
      <w:rFonts w:ascii="宋体" w:hAnsi="Courier New"/>
      <w:spacing w:val="-4"/>
      <w:sz w:val="18"/>
      <w:szCs w:val="20"/>
    </w:rPr>
  </w:style>
  <w:style w:type="paragraph" w:styleId="6">
    <w:name w:val="Plain Text"/>
    <w:basedOn w:val="1"/>
    <w:next w:val="7"/>
    <w:qFormat/>
    <w:uiPriority w:val="0"/>
    <w:pPr>
      <w:spacing w:beforeLines="50" w:afterLines="50" w:line="400" w:lineRule="exact"/>
    </w:pPr>
    <w:rPr>
      <w:rFonts w:ascii="宋体"/>
      <w:sz w:val="24"/>
    </w:rPr>
  </w:style>
  <w:style w:type="paragraph" w:customStyle="1" w:styleId="7">
    <w:name w:val="List Paragraph1"/>
    <w:basedOn w:val="1"/>
    <w:next w:val="8"/>
    <w:qFormat/>
    <w:uiPriority w:val="0"/>
    <w:pPr>
      <w:ind w:firstLine="200" w:firstLineChars="200"/>
    </w:pPr>
    <w:rPr>
      <w:rFonts w:ascii="Calibri" w:hAnsi="Calibri"/>
      <w:szCs w:val="22"/>
    </w:rPr>
  </w:style>
  <w:style w:type="paragraph" w:customStyle="1" w:styleId="8">
    <w:name w:val="xl8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0"/>
    </w:rPr>
  </w:style>
  <w:style w:type="paragraph" w:styleId="9">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kern w:val="0"/>
      <w:sz w:val="24"/>
      <w:szCs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paragraph" w:styleId="14">
    <w:name w:val="Body Text First Indent 2"/>
    <w:basedOn w:val="5"/>
    <w:qFormat/>
    <w:uiPriority w:val="0"/>
    <w:pPr>
      <w:spacing w:after="120" w:afterLines="0" w:line="240" w:lineRule="auto"/>
      <w:ind w:left="420" w:leftChars="200" w:firstLine="420" w:firstLineChars="200"/>
    </w:pPr>
    <w:rPr>
      <w:rFonts w:ascii="Times New Roman" w:hAnsi="Times New Roman"/>
      <w:spacing w:val="0"/>
      <w:sz w:val="21"/>
      <w:szCs w:val="24"/>
    </w:rPr>
  </w:style>
  <w:style w:type="character" w:styleId="17">
    <w:name w:val="Strong"/>
    <w:qFormat/>
    <w:uiPriority w:val="0"/>
    <w:rPr>
      <w:b/>
      <w:bCs/>
    </w:rPr>
  </w:style>
  <w:style w:type="character" w:styleId="18">
    <w:name w:val="page number"/>
    <w:basedOn w:val="16"/>
    <w:qFormat/>
    <w:uiPriority w:val="0"/>
  </w:style>
  <w:style w:type="paragraph" w:customStyle="1" w:styleId="19">
    <w:name w:val="无间距1"/>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20">
    <w:name w:val="正文2"/>
    <w:basedOn w:val="1"/>
    <w:qFormat/>
    <w:uiPriority w:val="0"/>
    <w:pPr>
      <w:ind w:firstLine="200" w:firstLineChars="200"/>
    </w:pPr>
    <w:rPr>
      <w:rFonts w:eastAsia="华文仿宋"/>
      <w:sz w:val="28"/>
    </w:rPr>
  </w:style>
  <w:style w:type="paragraph" w:customStyle="1" w:styleId="21">
    <w:name w:val="样式1"/>
    <w:basedOn w:val="2"/>
    <w:qFormat/>
    <w:uiPriority w:val="0"/>
  </w:style>
  <w:style w:type="character" w:customStyle="1" w:styleId="22">
    <w:name w:val="页眉 Char"/>
    <w:basedOn w:val="16"/>
    <w:link w:val="10"/>
    <w:qFormat/>
    <w:uiPriority w:val="0"/>
    <w:rPr>
      <w:rFonts w:ascii="Times New Roman" w:hAnsi="Times New Roman" w:eastAsia="宋体" w:cs="Times New Roman"/>
      <w:kern w:val="2"/>
      <w:sz w:val="18"/>
      <w:szCs w:val="18"/>
    </w:rPr>
  </w:style>
  <w:style w:type="paragraph" w:customStyle="1" w:styleId="23">
    <w:name w:val="Plain Text"/>
    <w:basedOn w:val="1"/>
    <w:qFormat/>
    <w:uiPriority w:val="0"/>
    <w:rPr>
      <w:rFonts w:ascii="宋体" w:hAnsi="Courier New"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20995</Words>
  <Characters>21882</Characters>
  <Lines>185</Lines>
  <Paragraphs>52</Paragraphs>
  <TotalTime>45</TotalTime>
  <ScaleCrop>false</ScaleCrop>
  <LinksUpToDate>false</LinksUpToDate>
  <CharactersWithSpaces>23922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2022-11-15T07:18:00Z</dcterms:created>
  <dc:creator>梁丽萍</dc:creator>
  <cp:lastModifiedBy>DW</cp:lastModifiedBy>
  <cp:lastPrinted>2025-06-30T06:51:42Z</cp:lastPrinted>
  <dcterms:modified xsi:type="dcterms:W3CDTF">2025-06-30T07:33:57Z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1182288E7351455C8DB05FBE8A4FCD8A_13</vt:lpwstr>
  </property>
  <property fmtid="{D5CDD505-2E9C-101B-9397-08002B2CF9AE}" pid="4" name="KSOTemplateDocerSaveRecord">
    <vt:lpwstr>eyJoZGlkIjoiMzEwNTM5NzYwMDRjMzkwZTVkZjY2ODkwMGIxNGU0OTUiLCJ1c2VySWQiOiI3MDM5NTM2NDkifQ==</vt:lpwstr>
  </property>
</Properties>
</file>