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76B061">
      <w:pPr>
        <w:jc w:val="center"/>
        <w:rPr>
          <w:rFonts w:ascii="宋体" w:hAnsi="宋体" w:cs="Arial"/>
          <w:b/>
          <w:bCs/>
          <w:color w:val="auto"/>
          <w:sz w:val="72"/>
          <w:szCs w:val="72"/>
          <w:highlight w:val="none"/>
        </w:rPr>
      </w:pPr>
    </w:p>
    <w:p w14:paraId="24357FB2">
      <w:pPr>
        <w:jc w:val="center"/>
        <w:rPr>
          <w:rFonts w:ascii="宋体" w:hAnsi="宋体" w:cs="Arial"/>
          <w:b/>
          <w:bCs/>
          <w:color w:val="auto"/>
          <w:sz w:val="72"/>
          <w:szCs w:val="72"/>
          <w:highlight w:val="none"/>
        </w:rPr>
      </w:pPr>
    </w:p>
    <w:p w14:paraId="10030F73">
      <w:pPr>
        <w:jc w:val="center"/>
        <w:rPr>
          <w:rFonts w:ascii="宋体" w:hAnsi="宋体" w:cs="Arial"/>
          <w:b/>
          <w:bCs/>
          <w:color w:val="auto"/>
          <w:sz w:val="72"/>
          <w:szCs w:val="72"/>
          <w:highlight w:val="none"/>
        </w:rPr>
      </w:pPr>
      <w:r>
        <w:rPr>
          <w:rFonts w:hint="eastAsia" w:ascii="宋体" w:hAnsi="宋体" w:cs="Arial"/>
          <w:b/>
          <w:bCs/>
          <w:color w:val="auto"/>
          <w:sz w:val="72"/>
          <w:szCs w:val="72"/>
          <w:highlight w:val="none"/>
        </w:rPr>
        <w:t>国内公开招标</w:t>
      </w:r>
      <w:r>
        <w:rPr>
          <w:rFonts w:ascii="宋体" w:hAnsi="宋体" w:cs="Arial"/>
          <w:b/>
          <w:bCs/>
          <w:color w:val="auto"/>
          <w:sz w:val="72"/>
          <w:szCs w:val="72"/>
          <w:highlight w:val="none"/>
        </w:rPr>
        <w:t>文件</w:t>
      </w:r>
    </w:p>
    <w:p w14:paraId="648E5C22">
      <w:pPr>
        <w:spacing w:beforeLines="50"/>
        <w:jc w:val="center"/>
        <w:rPr>
          <w:rFonts w:ascii="宋体" w:hAnsi="宋体" w:cs="Arial"/>
          <w:b/>
          <w:bCs/>
          <w:color w:val="auto"/>
          <w:sz w:val="36"/>
          <w:szCs w:val="36"/>
          <w:highlight w:val="none"/>
        </w:rPr>
      </w:pPr>
    </w:p>
    <w:p w14:paraId="57496A0D">
      <w:pPr>
        <w:widowControl/>
        <w:spacing w:line="780" w:lineRule="exact"/>
        <w:ind w:right="62"/>
        <w:jc w:val="left"/>
        <w:rPr>
          <w:rFonts w:ascii="宋体" w:hAnsi="宋体" w:cs="Arial"/>
          <w:b/>
          <w:bCs/>
          <w:color w:val="auto"/>
          <w:sz w:val="100"/>
          <w:highlight w:val="none"/>
        </w:rPr>
      </w:pPr>
    </w:p>
    <w:p w14:paraId="7C3D41C1">
      <w:pPr>
        <w:widowControl/>
        <w:spacing w:line="780" w:lineRule="exact"/>
        <w:ind w:right="62"/>
        <w:jc w:val="left"/>
        <w:rPr>
          <w:rFonts w:ascii="宋体" w:hAnsi="宋体" w:cs="Arial"/>
          <w:b/>
          <w:bCs/>
          <w:color w:val="auto"/>
          <w:sz w:val="100"/>
          <w:highlight w:val="none"/>
        </w:rPr>
      </w:pPr>
    </w:p>
    <w:p w14:paraId="0F9B963C">
      <w:pPr>
        <w:widowControl/>
        <w:spacing w:line="780" w:lineRule="exact"/>
        <w:ind w:right="62"/>
        <w:jc w:val="left"/>
        <w:rPr>
          <w:rFonts w:ascii="宋体" w:hAnsi="宋体" w:cs="Arial"/>
          <w:b/>
          <w:bCs/>
          <w:color w:val="auto"/>
          <w:sz w:val="100"/>
          <w:highlight w:val="none"/>
        </w:rPr>
      </w:pPr>
    </w:p>
    <w:p w14:paraId="780D14D0">
      <w:pPr>
        <w:widowControl/>
        <w:spacing w:line="780" w:lineRule="exact"/>
        <w:ind w:left="1988" w:right="276" w:hanging="1988" w:hangingChars="550"/>
        <w:jc w:val="left"/>
        <w:rPr>
          <w:rFonts w:hint="eastAsia" w:ascii="宋体" w:hAnsi="宋体" w:eastAsia="宋体"/>
          <w:b/>
          <w:color w:val="auto"/>
          <w:sz w:val="36"/>
          <w:szCs w:val="36"/>
          <w:highlight w:val="none"/>
          <w:u w:val="single"/>
          <w:lang w:eastAsia="zh-CN"/>
        </w:rPr>
      </w:pPr>
      <w:r>
        <w:rPr>
          <w:rFonts w:ascii="宋体" w:hAnsi="宋体"/>
          <w:b/>
          <w:bCs/>
          <w:color w:val="auto"/>
          <w:sz w:val="36"/>
          <w:szCs w:val="36"/>
          <w:highlight w:val="none"/>
        </w:rPr>
        <w:t>招标项目：</w:t>
      </w:r>
      <w:r>
        <w:rPr>
          <w:rFonts w:hint="eastAsia" w:ascii="宋体" w:hAnsi="宋体"/>
          <w:b/>
          <w:bCs/>
          <w:color w:val="auto"/>
          <w:sz w:val="36"/>
          <w:szCs w:val="36"/>
          <w:highlight w:val="none"/>
          <w:u w:val="single"/>
          <w:lang w:eastAsia="zh-CN"/>
        </w:rPr>
        <w:t>宁波市本级住房公积金定期存款竞争性存放（2025年第一期）银行招标项目</w:t>
      </w:r>
    </w:p>
    <w:p w14:paraId="4E2E4A52">
      <w:pPr>
        <w:widowControl/>
        <w:spacing w:line="780" w:lineRule="exact"/>
        <w:ind w:right="62"/>
        <w:jc w:val="left"/>
        <w:rPr>
          <w:rFonts w:hint="eastAsia" w:ascii="宋体" w:hAnsi="宋体" w:eastAsia="宋体"/>
          <w:b/>
          <w:bCs/>
          <w:color w:val="auto"/>
          <w:sz w:val="36"/>
          <w:szCs w:val="36"/>
          <w:highlight w:val="none"/>
          <w:lang w:eastAsia="zh-CN"/>
        </w:rPr>
      </w:pPr>
      <w:r>
        <w:rPr>
          <w:rFonts w:ascii="宋体" w:hAnsi="宋体"/>
          <w:b/>
          <w:bCs/>
          <w:color w:val="auto"/>
          <w:sz w:val="36"/>
          <w:szCs w:val="36"/>
          <w:highlight w:val="none"/>
        </w:rPr>
        <w:t>项目编号：</w:t>
      </w:r>
      <w:r>
        <w:rPr>
          <w:rFonts w:hint="eastAsia" w:ascii="宋体" w:hAnsi="宋体"/>
          <w:b/>
          <w:color w:val="auto"/>
          <w:sz w:val="36"/>
          <w:szCs w:val="36"/>
          <w:highlight w:val="none"/>
          <w:u w:val="single"/>
          <w:lang w:eastAsia="zh-CN"/>
        </w:rPr>
        <w:t>NBGZZB225008</w:t>
      </w:r>
    </w:p>
    <w:p w14:paraId="65CA9C38">
      <w:pPr>
        <w:widowControl/>
        <w:spacing w:line="780" w:lineRule="exact"/>
        <w:ind w:right="62"/>
        <w:jc w:val="left"/>
        <w:rPr>
          <w:rFonts w:ascii="宋体" w:hAnsi="宋体"/>
          <w:b/>
          <w:bCs/>
          <w:color w:val="auto"/>
          <w:sz w:val="36"/>
          <w:szCs w:val="36"/>
          <w:highlight w:val="none"/>
          <w:u w:val="single"/>
        </w:rPr>
      </w:pPr>
      <w:r>
        <w:rPr>
          <w:rFonts w:ascii="宋体" w:hAnsi="宋体"/>
          <w:b/>
          <w:bCs/>
          <w:color w:val="auto"/>
          <w:sz w:val="36"/>
          <w:szCs w:val="36"/>
          <w:highlight w:val="none"/>
        </w:rPr>
        <w:t>招标单位：</w:t>
      </w:r>
      <w:r>
        <w:rPr>
          <w:rFonts w:hint="eastAsia" w:ascii="宋体" w:hAnsi="宋体"/>
          <w:b/>
          <w:color w:val="auto"/>
          <w:sz w:val="36"/>
          <w:szCs w:val="36"/>
          <w:highlight w:val="none"/>
          <w:u w:val="single"/>
        </w:rPr>
        <w:t>宁波市住房公积金管理中心</w:t>
      </w:r>
    </w:p>
    <w:p w14:paraId="052CC05B">
      <w:pPr>
        <w:ind w:left="60" w:firstLine="640" w:firstLineChars="145"/>
        <w:rPr>
          <w:rFonts w:ascii="宋体" w:hAnsi="宋体" w:cs="Arial"/>
          <w:b/>
          <w:bCs/>
          <w:color w:val="auto"/>
          <w:sz w:val="44"/>
          <w:highlight w:val="none"/>
        </w:rPr>
      </w:pPr>
    </w:p>
    <w:p w14:paraId="1E9E72C0">
      <w:pPr>
        <w:jc w:val="center"/>
        <w:rPr>
          <w:rFonts w:ascii="宋体" w:hAnsi="宋体" w:cs="Arial"/>
          <w:b/>
          <w:bCs/>
          <w:color w:val="auto"/>
          <w:sz w:val="44"/>
          <w:highlight w:val="none"/>
          <w:u w:val="single"/>
        </w:rPr>
      </w:pPr>
    </w:p>
    <w:p w14:paraId="42C66B41">
      <w:pPr>
        <w:jc w:val="center"/>
        <w:rPr>
          <w:rFonts w:ascii="宋体" w:hAnsi="宋体" w:cs="Arial"/>
          <w:b/>
          <w:bCs/>
          <w:color w:val="auto"/>
          <w:sz w:val="44"/>
          <w:highlight w:val="none"/>
          <w:u w:val="single"/>
        </w:rPr>
      </w:pPr>
    </w:p>
    <w:p w14:paraId="66D3FA4A">
      <w:pPr>
        <w:jc w:val="center"/>
        <w:rPr>
          <w:rFonts w:ascii="宋体" w:hAnsi="宋体" w:cs="Arial"/>
          <w:b/>
          <w:bCs/>
          <w:color w:val="auto"/>
          <w:sz w:val="44"/>
          <w:highlight w:val="none"/>
          <w:u w:val="single"/>
        </w:rPr>
      </w:pPr>
    </w:p>
    <w:p w14:paraId="26184DFD">
      <w:pPr>
        <w:jc w:val="center"/>
        <w:rPr>
          <w:rFonts w:ascii="宋体" w:hAnsi="宋体" w:cs="Arial"/>
          <w:b/>
          <w:bCs/>
          <w:color w:val="auto"/>
          <w:sz w:val="44"/>
          <w:highlight w:val="none"/>
          <w:u w:val="single"/>
        </w:rPr>
      </w:pPr>
    </w:p>
    <w:p w14:paraId="396C5795">
      <w:pPr>
        <w:jc w:val="center"/>
        <w:rPr>
          <w:rFonts w:ascii="宋体" w:hAnsi="宋体" w:cs="Arial"/>
          <w:b/>
          <w:bCs/>
          <w:color w:val="auto"/>
          <w:sz w:val="44"/>
          <w:highlight w:val="none"/>
          <w:u w:val="single"/>
        </w:rPr>
      </w:pPr>
    </w:p>
    <w:p w14:paraId="2CE5FED3">
      <w:pPr>
        <w:jc w:val="center"/>
        <w:rPr>
          <w:rFonts w:ascii="宋体" w:hAnsi="宋体" w:cs="Arial"/>
          <w:b/>
          <w:bCs/>
          <w:color w:val="auto"/>
          <w:sz w:val="36"/>
          <w:szCs w:val="36"/>
          <w:highlight w:val="none"/>
        </w:rPr>
      </w:pPr>
      <w:r>
        <w:rPr>
          <w:rFonts w:hint="eastAsia" w:ascii="宋体" w:hAnsi="宋体" w:cs="Arial"/>
          <w:b/>
          <w:bCs/>
          <w:color w:val="auto"/>
          <w:sz w:val="36"/>
          <w:szCs w:val="36"/>
          <w:highlight w:val="none"/>
        </w:rPr>
        <w:t>宁波国咨工程造价咨询有限公司</w:t>
      </w:r>
    </w:p>
    <w:p w14:paraId="5295FA4F">
      <w:pPr>
        <w:jc w:val="center"/>
        <w:rPr>
          <w:rFonts w:ascii="宋体" w:hAnsi="宋体" w:cs="Arial"/>
          <w:b/>
          <w:bCs/>
          <w:color w:val="auto"/>
          <w:sz w:val="36"/>
          <w:szCs w:val="36"/>
          <w:highlight w:val="none"/>
        </w:rPr>
      </w:pPr>
      <w:r>
        <w:rPr>
          <w:rFonts w:hint="eastAsia" w:ascii="宋体" w:hAnsi="宋体" w:cs="Arial"/>
          <w:b/>
          <w:bCs/>
          <w:color w:val="auto"/>
          <w:sz w:val="36"/>
          <w:szCs w:val="36"/>
          <w:highlight w:val="none"/>
        </w:rPr>
        <w:t>二〇二</w:t>
      </w:r>
      <w:r>
        <w:rPr>
          <w:rFonts w:hint="eastAsia" w:ascii="宋体" w:hAnsi="宋体" w:cs="Arial"/>
          <w:b/>
          <w:bCs/>
          <w:color w:val="auto"/>
          <w:sz w:val="36"/>
          <w:szCs w:val="36"/>
          <w:highlight w:val="none"/>
          <w:lang w:val="en-US" w:eastAsia="zh-CN"/>
        </w:rPr>
        <w:t>五</w:t>
      </w:r>
      <w:r>
        <w:rPr>
          <w:rFonts w:hint="eastAsia" w:ascii="宋体" w:hAnsi="宋体" w:cs="Arial"/>
          <w:b/>
          <w:bCs/>
          <w:color w:val="auto"/>
          <w:sz w:val="36"/>
          <w:szCs w:val="36"/>
          <w:highlight w:val="none"/>
        </w:rPr>
        <w:t>年</w:t>
      </w:r>
      <w:r>
        <w:rPr>
          <w:rFonts w:hint="eastAsia" w:ascii="宋体" w:hAnsi="宋体" w:cs="Arial"/>
          <w:b/>
          <w:bCs/>
          <w:color w:val="auto"/>
          <w:sz w:val="36"/>
          <w:szCs w:val="36"/>
          <w:highlight w:val="none"/>
          <w:lang w:val="en-US" w:eastAsia="zh-CN"/>
        </w:rPr>
        <w:t>四</w:t>
      </w:r>
      <w:r>
        <w:rPr>
          <w:rFonts w:hint="eastAsia" w:ascii="宋体" w:hAnsi="宋体" w:cs="Arial"/>
          <w:b/>
          <w:bCs/>
          <w:color w:val="auto"/>
          <w:sz w:val="36"/>
          <w:szCs w:val="36"/>
          <w:highlight w:val="none"/>
        </w:rPr>
        <w:t>月</w:t>
      </w:r>
    </w:p>
    <w:p w14:paraId="6D8717C4">
      <w:pPr>
        <w:jc w:val="center"/>
        <w:rPr>
          <w:rFonts w:ascii="宋体" w:hAnsi="宋体" w:cs="Arial"/>
          <w:b/>
          <w:bCs/>
          <w:color w:val="auto"/>
          <w:sz w:val="36"/>
          <w:szCs w:val="36"/>
          <w:highlight w:val="none"/>
        </w:rPr>
        <w:sectPr>
          <w:footerReference r:id="rId5" w:type="first"/>
          <w:headerReference r:id="rId3" w:type="default"/>
          <w:footerReference r:id="rId4" w:type="even"/>
          <w:pgSz w:w="11906" w:h="16838"/>
          <w:pgMar w:top="1440" w:right="1469" w:bottom="1440" w:left="1797" w:header="851" w:footer="992" w:gutter="0"/>
          <w:cols w:space="720" w:num="1"/>
          <w:docGrid w:linePitch="312" w:charSpace="0"/>
        </w:sectPr>
      </w:pPr>
    </w:p>
    <w:p w14:paraId="3B3D6770">
      <w:pPr>
        <w:jc w:val="center"/>
        <w:rPr>
          <w:rFonts w:ascii="宋体" w:hAnsi="宋体"/>
          <w:color w:val="auto"/>
          <w:highlight w:val="none"/>
        </w:rPr>
      </w:pPr>
    </w:p>
    <w:p w14:paraId="0155EB32">
      <w:pPr>
        <w:pStyle w:val="15"/>
        <w:spacing w:beforeLines="0" w:afterLines="0" w:line="240" w:lineRule="auto"/>
        <w:jc w:val="center"/>
        <w:rPr>
          <w:rFonts w:hAnsi="宋体"/>
          <w:b/>
          <w:color w:val="auto"/>
          <w:sz w:val="44"/>
          <w:szCs w:val="44"/>
          <w:highlight w:val="none"/>
        </w:rPr>
      </w:pPr>
      <w:r>
        <w:rPr>
          <w:rFonts w:hint="eastAsia" w:hAnsi="宋体"/>
          <w:b/>
          <w:color w:val="auto"/>
          <w:sz w:val="44"/>
          <w:szCs w:val="44"/>
          <w:highlight w:val="none"/>
        </w:rPr>
        <w:t>目    录</w:t>
      </w:r>
    </w:p>
    <w:p w14:paraId="4A3182ED">
      <w:pPr>
        <w:pStyle w:val="15"/>
        <w:spacing w:beforeLines="0" w:afterLines="0" w:line="240" w:lineRule="auto"/>
        <w:jc w:val="center"/>
        <w:rPr>
          <w:rFonts w:hAnsi="宋体"/>
          <w:color w:val="auto"/>
          <w:sz w:val="44"/>
          <w:szCs w:val="44"/>
          <w:highlight w:val="none"/>
        </w:rPr>
      </w:pPr>
    </w:p>
    <w:p w14:paraId="633044B4">
      <w:pPr>
        <w:pStyle w:val="21"/>
        <w:rPr>
          <w:rFonts w:ascii="宋体" w:hAnsi="宋体"/>
          <w:b/>
          <w:color w:val="auto"/>
          <w:sz w:val="28"/>
          <w:szCs w:val="28"/>
          <w:highlight w:val="none"/>
        </w:rPr>
      </w:pPr>
      <w:r>
        <w:rPr>
          <w:rFonts w:ascii="宋体" w:hAnsi="宋体" w:cs="Arial"/>
          <w:b/>
          <w:i/>
          <w:iCs/>
          <w:color w:val="auto"/>
          <w:sz w:val="28"/>
          <w:szCs w:val="28"/>
          <w:highlight w:val="none"/>
        </w:rPr>
        <w:fldChar w:fldCharType="begin"/>
      </w:r>
      <w:r>
        <w:rPr>
          <w:rFonts w:ascii="宋体" w:hAnsi="宋体" w:cs="Arial"/>
          <w:b/>
          <w:i/>
          <w:iCs/>
          <w:color w:val="auto"/>
          <w:sz w:val="28"/>
          <w:szCs w:val="28"/>
          <w:highlight w:val="none"/>
        </w:rPr>
        <w:instrText xml:space="preserve"> TOC \o "1-3" \h \z \u </w:instrText>
      </w:r>
      <w:r>
        <w:rPr>
          <w:rFonts w:ascii="宋体" w:hAnsi="宋体" w:cs="Arial"/>
          <w:b/>
          <w:i/>
          <w:iCs/>
          <w:color w:val="auto"/>
          <w:sz w:val="28"/>
          <w:szCs w:val="28"/>
          <w:highlight w:val="none"/>
        </w:rPr>
        <w:fldChar w:fldCharType="separate"/>
      </w:r>
      <w:r>
        <w:rPr>
          <w:color w:val="auto"/>
          <w:highlight w:val="none"/>
        </w:rPr>
        <w:fldChar w:fldCharType="begin"/>
      </w:r>
      <w:r>
        <w:rPr>
          <w:color w:val="auto"/>
          <w:highlight w:val="none"/>
        </w:rPr>
        <w:instrText xml:space="preserve"> HYPERLINK \l "_Toc454551063" </w:instrText>
      </w:r>
      <w:r>
        <w:rPr>
          <w:color w:val="auto"/>
          <w:highlight w:val="none"/>
        </w:rPr>
        <w:fldChar w:fldCharType="separate"/>
      </w:r>
      <w:r>
        <w:rPr>
          <w:rStyle w:val="32"/>
          <w:rFonts w:hint="eastAsia" w:ascii="宋体" w:hAnsi="宋体"/>
          <w:b/>
          <w:color w:val="auto"/>
          <w:sz w:val="28"/>
          <w:szCs w:val="28"/>
          <w:highlight w:val="none"/>
        </w:rPr>
        <w:t>第一章 招标公告</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_Toc454551063 \h </w:instrText>
      </w:r>
      <w:r>
        <w:rPr>
          <w:rFonts w:ascii="宋体" w:hAnsi="宋体"/>
          <w:b/>
          <w:color w:val="auto"/>
          <w:sz w:val="28"/>
          <w:szCs w:val="28"/>
          <w:highlight w:val="none"/>
        </w:rPr>
        <w:fldChar w:fldCharType="separate"/>
      </w:r>
      <w:r>
        <w:rPr>
          <w:rFonts w:ascii="宋体" w:hAnsi="宋体"/>
          <w:b/>
          <w:color w:val="auto"/>
          <w:sz w:val="28"/>
          <w:szCs w:val="28"/>
          <w:highlight w:val="none"/>
        </w:rPr>
        <w:t>1</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7E623438">
      <w:pPr>
        <w:pStyle w:val="21"/>
        <w:rPr>
          <w:rFonts w:ascii="宋体" w:hAnsi="宋体"/>
          <w:b/>
          <w:color w:val="auto"/>
          <w:sz w:val="28"/>
          <w:szCs w:val="28"/>
          <w:highlight w:val="none"/>
        </w:rPr>
      </w:pPr>
      <w:r>
        <w:rPr>
          <w:color w:val="auto"/>
          <w:highlight w:val="none"/>
        </w:rPr>
        <w:fldChar w:fldCharType="begin"/>
      </w:r>
      <w:r>
        <w:rPr>
          <w:color w:val="auto"/>
          <w:highlight w:val="none"/>
        </w:rPr>
        <w:instrText xml:space="preserve"> HYPERLINK \l "_Toc454551064" </w:instrText>
      </w:r>
      <w:r>
        <w:rPr>
          <w:color w:val="auto"/>
          <w:highlight w:val="none"/>
        </w:rPr>
        <w:fldChar w:fldCharType="separate"/>
      </w:r>
      <w:r>
        <w:rPr>
          <w:rStyle w:val="32"/>
          <w:rFonts w:hint="eastAsia" w:ascii="宋体" w:hAnsi="宋体"/>
          <w:b/>
          <w:color w:val="auto"/>
          <w:sz w:val="28"/>
          <w:szCs w:val="28"/>
          <w:highlight w:val="none"/>
        </w:rPr>
        <w:t>第二章 招标项目需求</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_Toc454551064 \h </w:instrText>
      </w:r>
      <w:r>
        <w:rPr>
          <w:rFonts w:ascii="宋体" w:hAnsi="宋体"/>
          <w:b/>
          <w:color w:val="auto"/>
          <w:sz w:val="28"/>
          <w:szCs w:val="28"/>
          <w:highlight w:val="none"/>
        </w:rPr>
        <w:fldChar w:fldCharType="separate"/>
      </w:r>
      <w:r>
        <w:rPr>
          <w:rFonts w:ascii="宋体" w:hAnsi="宋体"/>
          <w:b/>
          <w:color w:val="auto"/>
          <w:sz w:val="28"/>
          <w:szCs w:val="28"/>
          <w:highlight w:val="none"/>
        </w:rPr>
        <w:t>5</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3FE0FCE9">
      <w:pPr>
        <w:pStyle w:val="21"/>
        <w:rPr>
          <w:rFonts w:ascii="宋体" w:hAnsi="宋体"/>
          <w:b/>
          <w:color w:val="auto"/>
          <w:sz w:val="28"/>
          <w:szCs w:val="28"/>
          <w:highlight w:val="none"/>
        </w:rPr>
      </w:pPr>
      <w:r>
        <w:rPr>
          <w:color w:val="auto"/>
          <w:highlight w:val="none"/>
        </w:rPr>
        <w:fldChar w:fldCharType="begin"/>
      </w:r>
      <w:r>
        <w:rPr>
          <w:color w:val="auto"/>
          <w:highlight w:val="none"/>
        </w:rPr>
        <w:instrText xml:space="preserve"> HYPERLINK \l "_Toc454551065" </w:instrText>
      </w:r>
      <w:r>
        <w:rPr>
          <w:color w:val="auto"/>
          <w:highlight w:val="none"/>
        </w:rPr>
        <w:fldChar w:fldCharType="separate"/>
      </w:r>
      <w:r>
        <w:rPr>
          <w:rStyle w:val="32"/>
          <w:rFonts w:hint="eastAsia" w:ascii="宋体" w:hAnsi="宋体"/>
          <w:b/>
          <w:color w:val="auto"/>
          <w:sz w:val="28"/>
          <w:szCs w:val="28"/>
          <w:highlight w:val="none"/>
        </w:rPr>
        <w:t>第三章 投标人资料表</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_Toc454551065 \h </w:instrText>
      </w:r>
      <w:r>
        <w:rPr>
          <w:rFonts w:ascii="宋体" w:hAnsi="宋体"/>
          <w:b/>
          <w:color w:val="auto"/>
          <w:sz w:val="28"/>
          <w:szCs w:val="28"/>
          <w:highlight w:val="none"/>
        </w:rPr>
        <w:fldChar w:fldCharType="separate"/>
      </w:r>
      <w:r>
        <w:rPr>
          <w:rFonts w:ascii="宋体" w:hAnsi="宋体"/>
          <w:b/>
          <w:color w:val="auto"/>
          <w:sz w:val="28"/>
          <w:szCs w:val="28"/>
          <w:highlight w:val="none"/>
        </w:rPr>
        <w:t>7</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64D0B471">
      <w:pPr>
        <w:pStyle w:val="21"/>
        <w:rPr>
          <w:rFonts w:ascii="宋体" w:hAnsi="宋体"/>
          <w:b/>
          <w:color w:val="auto"/>
          <w:sz w:val="28"/>
          <w:szCs w:val="28"/>
          <w:highlight w:val="none"/>
        </w:rPr>
      </w:pPr>
      <w:r>
        <w:rPr>
          <w:color w:val="auto"/>
          <w:highlight w:val="none"/>
        </w:rPr>
        <w:fldChar w:fldCharType="begin"/>
      </w:r>
      <w:r>
        <w:rPr>
          <w:color w:val="auto"/>
          <w:highlight w:val="none"/>
        </w:rPr>
        <w:instrText xml:space="preserve"> HYPERLINK \l "_Toc454551081" </w:instrText>
      </w:r>
      <w:r>
        <w:rPr>
          <w:color w:val="auto"/>
          <w:highlight w:val="none"/>
        </w:rPr>
        <w:fldChar w:fldCharType="separate"/>
      </w:r>
      <w:r>
        <w:rPr>
          <w:rStyle w:val="32"/>
          <w:rFonts w:hint="eastAsia" w:ascii="宋体" w:hAnsi="宋体"/>
          <w:b/>
          <w:color w:val="auto"/>
          <w:sz w:val="28"/>
          <w:szCs w:val="28"/>
          <w:highlight w:val="none"/>
        </w:rPr>
        <w:t>第四章 开标及评标办法</w:t>
      </w:r>
      <w:bookmarkStart w:id="144" w:name="_GoBack"/>
      <w:bookmarkEnd w:id="144"/>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_Toc454551081 \h </w:instrText>
      </w:r>
      <w:r>
        <w:rPr>
          <w:rFonts w:ascii="宋体" w:hAnsi="宋体"/>
          <w:b/>
          <w:color w:val="auto"/>
          <w:sz w:val="28"/>
          <w:szCs w:val="28"/>
          <w:highlight w:val="none"/>
        </w:rPr>
        <w:fldChar w:fldCharType="separate"/>
      </w:r>
      <w:r>
        <w:rPr>
          <w:rFonts w:ascii="宋体" w:hAnsi="宋体"/>
          <w:b/>
          <w:color w:val="auto"/>
          <w:sz w:val="28"/>
          <w:szCs w:val="28"/>
          <w:highlight w:val="none"/>
        </w:rPr>
        <w:t>20</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4AE4A199">
      <w:pPr>
        <w:pStyle w:val="21"/>
        <w:rPr>
          <w:rFonts w:ascii="宋体" w:hAnsi="宋体"/>
          <w:b/>
          <w:color w:val="auto"/>
          <w:sz w:val="28"/>
          <w:szCs w:val="28"/>
          <w:highlight w:val="none"/>
        </w:rPr>
      </w:pPr>
      <w:r>
        <w:rPr>
          <w:color w:val="auto"/>
          <w:highlight w:val="none"/>
        </w:rPr>
        <w:fldChar w:fldCharType="begin"/>
      </w:r>
      <w:r>
        <w:rPr>
          <w:color w:val="auto"/>
          <w:highlight w:val="none"/>
        </w:rPr>
        <w:instrText xml:space="preserve"> HYPERLINK \l "_Toc454551084" </w:instrText>
      </w:r>
      <w:r>
        <w:rPr>
          <w:color w:val="auto"/>
          <w:highlight w:val="none"/>
        </w:rPr>
        <w:fldChar w:fldCharType="separate"/>
      </w:r>
      <w:r>
        <w:rPr>
          <w:rStyle w:val="32"/>
          <w:rFonts w:hint="eastAsia" w:ascii="宋体" w:hAnsi="宋体"/>
          <w:b/>
          <w:color w:val="auto"/>
          <w:sz w:val="28"/>
          <w:szCs w:val="28"/>
          <w:highlight w:val="none"/>
        </w:rPr>
        <w:t>第五章 定期存款存放协议</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_Toc454551084 \h </w:instrText>
      </w:r>
      <w:r>
        <w:rPr>
          <w:rFonts w:ascii="宋体" w:hAnsi="宋体"/>
          <w:b/>
          <w:color w:val="auto"/>
          <w:sz w:val="28"/>
          <w:szCs w:val="28"/>
          <w:highlight w:val="none"/>
        </w:rPr>
        <w:fldChar w:fldCharType="separate"/>
      </w:r>
      <w:r>
        <w:rPr>
          <w:rFonts w:ascii="宋体" w:hAnsi="宋体"/>
          <w:b/>
          <w:color w:val="auto"/>
          <w:sz w:val="28"/>
          <w:szCs w:val="28"/>
          <w:highlight w:val="none"/>
        </w:rPr>
        <w:t>29</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285A843E">
      <w:pPr>
        <w:pStyle w:val="21"/>
        <w:rPr>
          <w:rFonts w:ascii="Calibri" w:hAnsi="Calibri"/>
          <w:color w:val="auto"/>
          <w:szCs w:val="22"/>
          <w:highlight w:val="none"/>
        </w:rPr>
      </w:pPr>
      <w:r>
        <w:rPr>
          <w:color w:val="auto"/>
          <w:highlight w:val="none"/>
        </w:rPr>
        <w:fldChar w:fldCharType="begin"/>
      </w:r>
      <w:r>
        <w:rPr>
          <w:color w:val="auto"/>
          <w:highlight w:val="none"/>
        </w:rPr>
        <w:instrText xml:space="preserve"> HYPERLINK \l "_Toc454551086" </w:instrText>
      </w:r>
      <w:r>
        <w:rPr>
          <w:color w:val="auto"/>
          <w:highlight w:val="none"/>
        </w:rPr>
        <w:fldChar w:fldCharType="separate"/>
      </w:r>
      <w:r>
        <w:rPr>
          <w:rStyle w:val="32"/>
          <w:rFonts w:hint="eastAsia" w:ascii="宋体" w:hAnsi="宋体"/>
          <w:b/>
          <w:color w:val="auto"/>
          <w:sz w:val="28"/>
          <w:szCs w:val="28"/>
          <w:highlight w:val="none"/>
        </w:rPr>
        <w:t>第六章 投标文件格式</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_Toc454551086 \h </w:instrText>
      </w:r>
      <w:r>
        <w:rPr>
          <w:rFonts w:ascii="宋体" w:hAnsi="宋体"/>
          <w:b/>
          <w:color w:val="auto"/>
          <w:sz w:val="28"/>
          <w:szCs w:val="28"/>
          <w:highlight w:val="none"/>
        </w:rPr>
        <w:fldChar w:fldCharType="separate"/>
      </w:r>
      <w:r>
        <w:rPr>
          <w:rFonts w:ascii="宋体" w:hAnsi="宋体"/>
          <w:b/>
          <w:color w:val="auto"/>
          <w:sz w:val="28"/>
          <w:szCs w:val="28"/>
          <w:highlight w:val="none"/>
        </w:rPr>
        <w:t>32</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2EA4A93B">
      <w:pPr>
        <w:rPr>
          <w:rFonts w:ascii="宋体" w:hAnsi="宋体" w:cs="Arial"/>
          <w:b/>
          <w:i/>
          <w:iCs/>
          <w:color w:val="auto"/>
          <w:sz w:val="28"/>
          <w:szCs w:val="28"/>
          <w:highlight w:val="none"/>
        </w:rPr>
      </w:pPr>
      <w:r>
        <w:rPr>
          <w:rFonts w:ascii="宋体" w:hAnsi="宋体" w:cs="Arial"/>
          <w:b/>
          <w:i/>
          <w:iCs/>
          <w:color w:val="auto"/>
          <w:sz w:val="28"/>
          <w:szCs w:val="28"/>
          <w:highlight w:val="none"/>
        </w:rPr>
        <w:fldChar w:fldCharType="end"/>
      </w:r>
    </w:p>
    <w:p w14:paraId="0235230C">
      <w:pPr>
        <w:pStyle w:val="2"/>
        <w:ind w:firstLine="0"/>
        <w:jc w:val="center"/>
        <w:rPr>
          <w:rFonts w:ascii="宋体" w:hAnsi="宋体" w:cs="Arial"/>
          <w:b w:val="0"/>
          <w:i w:val="0"/>
          <w:iCs w:val="0"/>
          <w:color w:val="auto"/>
          <w:sz w:val="28"/>
          <w:szCs w:val="28"/>
          <w:highlight w:val="none"/>
        </w:rPr>
        <w:sectPr>
          <w:footerReference r:id="rId6" w:type="default"/>
          <w:pgSz w:w="11906" w:h="16838"/>
          <w:pgMar w:top="1440" w:right="1469" w:bottom="1440" w:left="1797" w:header="851" w:footer="992" w:gutter="0"/>
          <w:pgNumType w:start="1"/>
          <w:cols w:space="720" w:num="1"/>
          <w:docGrid w:linePitch="312" w:charSpace="0"/>
        </w:sectPr>
      </w:pPr>
    </w:p>
    <w:p w14:paraId="67AE25B8">
      <w:pPr>
        <w:pStyle w:val="2"/>
        <w:ind w:firstLine="0"/>
        <w:jc w:val="center"/>
        <w:rPr>
          <w:rFonts w:ascii="宋体" w:hAnsi="宋体"/>
          <w:i w:val="0"/>
          <w:color w:val="auto"/>
          <w:sz w:val="32"/>
          <w:szCs w:val="32"/>
          <w:highlight w:val="none"/>
        </w:rPr>
      </w:pPr>
      <w:bookmarkStart w:id="0" w:name="_Toc454551063"/>
      <w:r>
        <w:rPr>
          <w:rFonts w:hint="eastAsia" w:ascii="宋体" w:hAnsi="宋体"/>
          <w:bCs w:val="0"/>
          <w:i w:val="0"/>
          <w:iCs w:val="0"/>
          <w:color w:val="auto"/>
          <w:sz w:val="32"/>
          <w:szCs w:val="32"/>
          <w:highlight w:val="none"/>
        </w:rPr>
        <w:t xml:space="preserve">第一章 </w:t>
      </w:r>
      <w:r>
        <w:rPr>
          <w:rFonts w:hint="eastAsia" w:ascii="宋体" w:hAnsi="宋体"/>
          <w:i w:val="0"/>
          <w:color w:val="auto"/>
          <w:sz w:val="32"/>
          <w:szCs w:val="32"/>
          <w:highlight w:val="none"/>
        </w:rPr>
        <w:t>招标公告</w:t>
      </w:r>
      <w:bookmarkEnd w:id="0"/>
    </w:p>
    <w:p w14:paraId="066B9BCB">
      <w:pPr>
        <w:spacing w:line="340" w:lineRule="exact"/>
        <w:ind w:firstLine="420" w:firstLineChars="200"/>
        <w:jc w:val="center"/>
        <w:rPr>
          <w:rFonts w:ascii="宋体" w:hAnsi="宋体"/>
          <w:color w:val="auto"/>
          <w:highlight w:val="none"/>
        </w:rPr>
      </w:pPr>
    </w:p>
    <w:p w14:paraId="13EFC2DD">
      <w:pPr>
        <w:spacing w:line="360" w:lineRule="auto"/>
        <w:rPr>
          <w:rFonts w:hint="eastAsia" w:ascii="宋体" w:hAnsi="宋体" w:eastAsia="宋体"/>
          <w:color w:val="auto"/>
          <w:sz w:val="28"/>
          <w:szCs w:val="28"/>
          <w:highlight w:val="none"/>
          <w:u w:val="single"/>
          <w:lang w:eastAsia="zh-CN"/>
        </w:rPr>
      </w:pPr>
      <w:r>
        <w:rPr>
          <w:rFonts w:hint="eastAsia" w:ascii="宋体" w:hAnsi="宋体"/>
          <w:b/>
          <w:color w:val="auto"/>
          <w:sz w:val="28"/>
          <w:szCs w:val="28"/>
          <w:highlight w:val="none"/>
        </w:rPr>
        <w:t>项目编号：</w:t>
      </w:r>
      <w:r>
        <w:rPr>
          <w:rFonts w:hint="eastAsia" w:ascii="宋体" w:hAnsi="宋体"/>
          <w:color w:val="auto"/>
          <w:sz w:val="28"/>
          <w:szCs w:val="28"/>
          <w:highlight w:val="none"/>
          <w:u w:val="single"/>
          <w:lang w:eastAsia="zh-CN"/>
        </w:rPr>
        <w:t>NBGZZB225008</w:t>
      </w:r>
    </w:p>
    <w:p w14:paraId="1B79C106">
      <w:pPr>
        <w:spacing w:line="360" w:lineRule="auto"/>
        <w:rPr>
          <w:rFonts w:ascii="宋体" w:hAnsi="宋体"/>
          <w:color w:val="auto"/>
          <w:sz w:val="28"/>
          <w:szCs w:val="28"/>
          <w:highlight w:val="none"/>
        </w:rPr>
      </w:pPr>
      <w:r>
        <w:rPr>
          <w:rFonts w:hint="eastAsia" w:ascii="宋体" w:hAnsi="宋体"/>
          <w:b/>
          <w:color w:val="auto"/>
          <w:sz w:val="28"/>
          <w:szCs w:val="28"/>
          <w:highlight w:val="none"/>
        </w:rPr>
        <w:t>发布日期</w:t>
      </w:r>
      <w:r>
        <w:rPr>
          <w:rFonts w:hint="eastAsia" w:ascii="宋体" w:hAnsi="宋体"/>
          <w:color w:val="auto"/>
          <w:sz w:val="28"/>
          <w:szCs w:val="28"/>
          <w:highlight w:val="none"/>
        </w:rPr>
        <w:t>：</w:t>
      </w:r>
      <w:r>
        <w:rPr>
          <w:rFonts w:hint="eastAsia" w:ascii="宋体" w:hAnsi="宋体"/>
          <w:color w:val="auto"/>
          <w:sz w:val="28"/>
          <w:szCs w:val="28"/>
          <w:highlight w:val="none"/>
          <w:u w:val="single"/>
        </w:rPr>
        <w:t>202</w:t>
      </w:r>
      <w:r>
        <w:rPr>
          <w:rFonts w:hint="eastAsia" w:ascii="宋体" w:hAnsi="宋体"/>
          <w:color w:val="auto"/>
          <w:sz w:val="28"/>
          <w:szCs w:val="28"/>
          <w:highlight w:val="none"/>
          <w:u w:val="single"/>
          <w:lang w:val="en-US" w:eastAsia="zh-CN"/>
        </w:rPr>
        <w:t>5</w:t>
      </w:r>
      <w:r>
        <w:rPr>
          <w:rFonts w:hint="eastAsia" w:ascii="宋体" w:hAnsi="宋体"/>
          <w:color w:val="auto"/>
          <w:sz w:val="28"/>
          <w:szCs w:val="28"/>
          <w:highlight w:val="none"/>
          <w:u w:val="single"/>
        </w:rPr>
        <w:t>年</w:t>
      </w:r>
      <w:r>
        <w:rPr>
          <w:rFonts w:hint="eastAsia" w:ascii="宋体" w:hAnsi="宋体"/>
          <w:color w:val="auto"/>
          <w:sz w:val="28"/>
          <w:szCs w:val="28"/>
          <w:highlight w:val="none"/>
          <w:u w:val="single"/>
          <w:lang w:val="en-US" w:eastAsia="zh-CN"/>
        </w:rPr>
        <w:t>4</w:t>
      </w:r>
      <w:r>
        <w:rPr>
          <w:rFonts w:hint="eastAsia" w:ascii="宋体" w:hAnsi="宋体"/>
          <w:color w:val="auto"/>
          <w:sz w:val="28"/>
          <w:szCs w:val="28"/>
          <w:highlight w:val="none"/>
          <w:u w:val="single"/>
        </w:rPr>
        <w:t>月</w:t>
      </w:r>
      <w:r>
        <w:rPr>
          <w:rFonts w:hint="eastAsia" w:ascii="宋体" w:hAnsi="宋体"/>
          <w:color w:val="auto"/>
          <w:sz w:val="28"/>
          <w:szCs w:val="28"/>
          <w:highlight w:val="none"/>
          <w:u w:val="single"/>
          <w:lang w:val="en-US" w:eastAsia="zh-CN"/>
        </w:rPr>
        <w:t>1</w:t>
      </w:r>
      <w:r>
        <w:rPr>
          <w:rFonts w:hint="eastAsia" w:ascii="宋体" w:hAnsi="宋体"/>
          <w:color w:val="auto"/>
          <w:sz w:val="28"/>
          <w:szCs w:val="28"/>
          <w:highlight w:val="none"/>
          <w:u w:val="single"/>
        </w:rPr>
        <w:t>日</w:t>
      </w:r>
    </w:p>
    <w:p w14:paraId="3BC8AF32">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根据《宁波市市级预算单位银行账户和资金存放管理暂行办法》（甬财政发〔2015〕894号）、《关于〈宁波市市级预算单位银行账户和资金存放管理暂行办法〉补充事项的通知》（甬财政发〔2016〕70号）、《宁波市财政局关于进一步加强财政部门和市级预算单位资金存放管理的通知》（甬财政发〔2018〕725号）、《宁波市财政局关于进一步加强财政部门和实际预算单位资金存放管理的补充通知》（甬财库〔2021〕986号）和《宁波市住房公积金管理中心关于印发银行账户和公款存放管理暂行办法的通知》（甬房金管〔2024〕6号）规定，受宁波市住房公积金管理中心的委托，宁波国咨工程造价咨询有限公司对</w:t>
      </w:r>
      <w:r>
        <w:rPr>
          <w:rFonts w:hint="eastAsia" w:ascii="宋体" w:hAnsi="宋体"/>
          <w:color w:val="auto"/>
          <w:sz w:val="28"/>
          <w:szCs w:val="28"/>
          <w:highlight w:val="none"/>
          <w:lang w:eastAsia="zh-CN"/>
        </w:rPr>
        <w:t>宁波市本级住房公积金定期存款竞争性存放（2025年第一期）银行招标项目</w:t>
      </w:r>
      <w:r>
        <w:rPr>
          <w:rFonts w:hint="eastAsia" w:ascii="宋体" w:hAnsi="宋体"/>
          <w:color w:val="auto"/>
          <w:sz w:val="28"/>
          <w:szCs w:val="28"/>
          <w:highlight w:val="none"/>
        </w:rPr>
        <w:t>进行公开招标，现邀请合格的投标人参加投标。</w:t>
      </w:r>
    </w:p>
    <w:p w14:paraId="693D9FBB">
      <w:pPr>
        <w:spacing w:line="360" w:lineRule="auto"/>
        <w:rPr>
          <w:rFonts w:ascii="宋体" w:hAnsi="宋体"/>
          <w:color w:val="auto"/>
          <w:sz w:val="28"/>
          <w:szCs w:val="28"/>
          <w:highlight w:val="none"/>
          <w:u w:val="single"/>
        </w:rPr>
      </w:pPr>
      <w:r>
        <w:rPr>
          <w:rFonts w:hint="eastAsia" w:ascii="宋体" w:hAnsi="宋体"/>
          <w:b/>
          <w:color w:val="auto"/>
          <w:sz w:val="28"/>
          <w:szCs w:val="28"/>
          <w:highlight w:val="none"/>
        </w:rPr>
        <w:t>1、招标项目名称：</w:t>
      </w:r>
      <w:r>
        <w:rPr>
          <w:rFonts w:hint="eastAsia" w:ascii="宋体" w:hAnsi="宋体"/>
          <w:color w:val="auto"/>
          <w:sz w:val="28"/>
          <w:szCs w:val="28"/>
          <w:highlight w:val="none"/>
          <w:u w:val="single"/>
          <w:lang w:eastAsia="zh-CN"/>
        </w:rPr>
        <w:t>宁波市本级住房公积金定期存款竞争性存放（2025年第一期）银行招标项目</w:t>
      </w:r>
      <w:r>
        <w:rPr>
          <w:rFonts w:hint="eastAsia" w:ascii="宋体" w:hAnsi="宋体"/>
          <w:color w:val="auto"/>
          <w:sz w:val="28"/>
          <w:szCs w:val="28"/>
          <w:highlight w:val="none"/>
          <w:u w:val="single"/>
        </w:rPr>
        <w:t>。</w:t>
      </w:r>
    </w:p>
    <w:p w14:paraId="11A0DDE0">
      <w:pPr>
        <w:spacing w:line="360" w:lineRule="auto"/>
        <w:rPr>
          <w:rFonts w:hint="default" w:ascii="宋体" w:hAnsi="宋体"/>
          <w:color w:val="auto"/>
          <w:sz w:val="28"/>
          <w:szCs w:val="28"/>
          <w:highlight w:val="none"/>
          <w:lang w:val="en-US"/>
        </w:rPr>
      </w:pPr>
      <w:r>
        <w:rPr>
          <w:rFonts w:hint="eastAsia" w:ascii="宋体" w:hAnsi="宋体"/>
          <w:b/>
          <w:color w:val="auto"/>
          <w:sz w:val="28"/>
          <w:szCs w:val="28"/>
          <w:highlight w:val="none"/>
        </w:rPr>
        <w:t>2、招标范围：</w:t>
      </w:r>
      <w:r>
        <w:rPr>
          <w:rFonts w:hint="eastAsia" w:ascii="宋体" w:hAnsi="宋体"/>
          <w:color w:val="auto"/>
          <w:sz w:val="28"/>
          <w:szCs w:val="28"/>
          <w:highlight w:val="none"/>
        </w:rPr>
        <w:t>资金定期存放服务，资金规模为</w:t>
      </w:r>
      <w:r>
        <w:rPr>
          <w:rFonts w:hint="eastAsia" w:ascii="宋体" w:hAnsi="宋体"/>
          <w:color w:val="auto"/>
          <w:sz w:val="28"/>
          <w:szCs w:val="28"/>
          <w:highlight w:val="none"/>
          <w:lang w:val="en-US" w:eastAsia="zh-CN"/>
        </w:rPr>
        <w:t>10</w:t>
      </w:r>
      <w:r>
        <w:rPr>
          <w:rFonts w:hint="eastAsia" w:ascii="宋体" w:hAnsi="宋体"/>
          <w:color w:val="auto"/>
          <w:sz w:val="28"/>
          <w:szCs w:val="28"/>
          <w:highlight w:val="none"/>
        </w:rPr>
        <w:t>亿元，设置</w:t>
      </w:r>
      <w:r>
        <w:rPr>
          <w:rFonts w:hint="eastAsia" w:ascii="宋体" w:hAnsi="宋体"/>
          <w:color w:val="auto"/>
          <w:sz w:val="28"/>
          <w:szCs w:val="28"/>
          <w:highlight w:val="none"/>
          <w:lang w:val="en-US" w:eastAsia="zh-CN"/>
        </w:rPr>
        <w:t>14</w:t>
      </w:r>
      <w:r>
        <w:rPr>
          <w:rFonts w:hint="eastAsia" w:ascii="宋体" w:hAnsi="宋体"/>
          <w:color w:val="auto"/>
          <w:sz w:val="28"/>
          <w:szCs w:val="28"/>
          <w:highlight w:val="none"/>
        </w:rPr>
        <w:t>个存放标段。标段一</w:t>
      </w:r>
      <w:r>
        <w:rPr>
          <w:rFonts w:hint="eastAsia" w:ascii="宋体" w:hAnsi="宋体"/>
          <w:color w:val="auto"/>
          <w:sz w:val="28"/>
          <w:szCs w:val="28"/>
          <w:highlight w:val="none"/>
          <w:lang w:val="en-US" w:eastAsia="zh-CN"/>
        </w:rPr>
        <w:t>19000</w:t>
      </w:r>
      <w:r>
        <w:rPr>
          <w:rFonts w:hint="eastAsia" w:ascii="宋体" w:hAnsi="宋体"/>
          <w:color w:val="auto"/>
          <w:sz w:val="28"/>
          <w:szCs w:val="28"/>
          <w:highlight w:val="none"/>
        </w:rPr>
        <w:t>万元、标段二</w:t>
      </w:r>
      <w:r>
        <w:rPr>
          <w:rFonts w:hint="eastAsia" w:ascii="宋体" w:hAnsi="宋体"/>
          <w:color w:val="auto"/>
          <w:sz w:val="28"/>
          <w:szCs w:val="28"/>
          <w:highlight w:val="none"/>
          <w:lang w:val="en-US" w:eastAsia="zh-CN"/>
        </w:rPr>
        <w:t>16000</w:t>
      </w:r>
      <w:r>
        <w:rPr>
          <w:rFonts w:hint="eastAsia" w:ascii="宋体" w:hAnsi="宋体"/>
          <w:color w:val="auto"/>
          <w:sz w:val="28"/>
          <w:szCs w:val="28"/>
          <w:highlight w:val="none"/>
        </w:rPr>
        <w:t>万元、标段三</w:t>
      </w:r>
      <w:r>
        <w:rPr>
          <w:rFonts w:hint="eastAsia" w:ascii="宋体" w:hAnsi="宋体"/>
          <w:color w:val="auto"/>
          <w:sz w:val="28"/>
          <w:szCs w:val="28"/>
          <w:highlight w:val="none"/>
          <w:lang w:val="en-US" w:eastAsia="zh-CN"/>
        </w:rPr>
        <w:t>13000</w:t>
      </w:r>
      <w:r>
        <w:rPr>
          <w:rFonts w:hint="eastAsia" w:ascii="宋体" w:hAnsi="宋体"/>
          <w:color w:val="auto"/>
          <w:sz w:val="28"/>
          <w:szCs w:val="28"/>
          <w:highlight w:val="none"/>
        </w:rPr>
        <w:t>万元、标段四</w:t>
      </w:r>
      <w:r>
        <w:rPr>
          <w:rFonts w:hint="eastAsia" w:ascii="宋体" w:hAnsi="宋体"/>
          <w:color w:val="auto"/>
          <w:sz w:val="28"/>
          <w:szCs w:val="28"/>
          <w:highlight w:val="none"/>
          <w:lang w:val="en-US" w:eastAsia="zh-CN"/>
        </w:rPr>
        <w:t>11000</w:t>
      </w:r>
      <w:r>
        <w:rPr>
          <w:rFonts w:hint="eastAsia" w:ascii="宋体" w:hAnsi="宋体"/>
          <w:color w:val="auto"/>
          <w:sz w:val="28"/>
          <w:szCs w:val="28"/>
          <w:highlight w:val="none"/>
        </w:rPr>
        <w:t>万元、标段五</w:t>
      </w:r>
      <w:r>
        <w:rPr>
          <w:rFonts w:hint="eastAsia" w:ascii="宋体" w:hAnsi="宋体"/>
          <w:color w:val="auto"/>
          <w:sz w:val="28"/>
          <w:szCs w:val="28"/>
          <w:highlight w:val="none"/>
          <w:lang w:val="en-US" w:eastAsia="zh-CN"/>
        </w:rPr>
        <w:t>9000</w:t>
      </w:r>
      <w:r>
        <w:rPr>
          <w:rFonts w:hint="eastAsia" w:ascii="宋体" w:hAnsi="宋体"/>
          <w:color w:val="auto"/>
          <w:sz w:val="28"/>
          <w:szCs w:val="28"/>
          <w:highlight w:val="none"/>
        </w:rPr>
        <w:t>万元、标段六</w:t>
      </w:r>
      <w:r>
        <w:rPr>
          <w:rFonts w:hint="eastAsia" w:ascii="宋体" w:hAnsi="宋体"/>
          <w:color w:val="auto"/>
          <w:sz w:val="28"/>
          <w:szCs w:val="28"/>
          <w:highlight w:val="none"/>
          <w:lang w:val="en-US" w:eastAsia="zh-CN"/>
        </w:rPr>
        <w:t>7000</w:t>
      </w:r>
      <w:r>
        <w:rPr>
          <w:rFonts w:hint="eastAsia" w:ascii="宋体" w:hAnsi="宋体"/>
          <w:color w:val="auto"/>
          <w:sz w:val="28"/>
          <w:szCs w:val="28"/>
          <w:highlight w:val="none"/>
        </w:rPr>
        <w:t>万元、标段七</w:t>
      </w:r>
      <w:r>
        <w:rPr>
          <w:rFonts w:hint="eastAsia" w:ascii="宋体" w:hAnsi="宋体"/>
          <w:color w:val="auto"/>
          <w:sz w:val="28"/>
          <w:szCs w:val="28"/>
          <w:highlight w:val="none"/>
          <w:lang w:val="en-US" w:eastAsia="zh-CN"/>
        </w:rPr>
        <w:t>6000</w:t>
      </w:r>
      <w:r>
        <w:rPr>
          <w:rFonts w:hint="eastAsia" w:ascii="宋体" w:hAnsi="宋体"/>
          <w:color w:val="auto"/>
          <w:sz w:val="28"/>
          <w:szCs w:val="28"/>
          <w:highlight w:val="none"/>
        </w:rPr>
        <w:t>万元、标段八</w:t>
      </w:r>
      <w:r>
        <w:rPr>
          <w:rFonts w:hint="eastAsia" w:ascii="宋体" w:hAnsi="宋体"/>
          <w:color w:val="auto"/>
          <w:sz w:val="28"/>
          <w:szCs w:val="28"/>
          <w:highlight w:val="none"/>
          <w:lang w:val="en-US" w:eastAsia="zh-CN"/>
        </w:rPr>
        <w:t>5000</w:t>
      </w:r>
      <w:r>
        <w:rPr>
          <w:rFonts w:hint="eastAsia" w:ascii="宋体" w:hAnsi="宋体"/>
          <w:color w:val="auto"/>
          <w:sz w:val="28"/>
          <w:szCs w:val="28"/>
          <w:highlight w:val="none"/>
        </w:rPr>
        <w:t>万元、标段九</w:t>
      </w:r>
      <w:r>
        <w:rPr>
          <w:rFonts w:hint="eastAsia" w:ascii="宋体" w:hAnsi="宋体"/>
          <w:color w:val="auto"/>
          <w:sz w:val="28"/>
          <w:szCs w:val="28"/>
          <w:highlight w:val="none"/>
          <w:lang w:val="en-US" w:eastAsia="zh-CN"/>
        </w:rPr>
        <w:t>4000</w:t>
      </w:r>
      <w:r>
        <w:rPr>
          <w:rFonts w:hint="eastAsia" w:ascii="宋体" w:hAnsi="宋体"/>
          <w:color w:val="auto"/>
          <w:sz w:val="28"/>
          <w:szCs w:val="28"/>
          <w:highlight w:val="none"/>
        </w:rPr>
        <w:t>万元 、标段十</w:t>
      </w:r>
      <w:r>
        <w:rPr>
          <w:rFonts w:hint="eastAsia" w:ascii="宋体" w:hAnsi="宋体"/>
          <w:color w:val="auto"/>
          <w:sz w:val="28"/>
          <w:szCs w:val="28"/>
          <w:highlight w:val="none"/>
          <w:lang w:val="en-US" w:eastAsia="zh-CN"/>
        </w:rPr>
        <w:t>3000</w:t>
      </w:r>
      <w:r>
        <w:rPr>
          <w:rFonts w:hint="eastAsia" w:ascii="宋体" w:hAnsi="宋体"/>
          <w:color w:val="auto"/>
          <w:sz w:val="28"/>
          <w:szCs w:val="28"/>
          <w:highlight w:val="none"/>
        </w:rPr>
        <w:t>万元、标段十一</w:t>
      </w:r>
      <w:r>
        <w:rPr>
          <w:rFonts w:hint="eastAsia" w:ascii="宋体" w:hAnsi="宋体"/>
          <w:color w:val="auto"/>
          <w:sz w:val="28"/>
          <w:szCs w:val="28"/>
          <w:highlight w:val="none"/>
          <w:lang w:val="en-US" w:eastAsia="zh-CN"/>
        </w:rPr>
        <w:t>2500</w:t>
      </w:r>
      <w:r>
        <w:rPr>
          <w:rFonts w:hint="eastAsia" w:ascii="宋体" w:hAnsi="宋体"/>
          <w:color w:val="auto"/>
          <w:sz w:val="28"/>
          <w:szCs w:val="28"/>
          <w:highlight w:val="none"/>
        </w:rPr>
        <w:t>万元、标段十二</w:t>
      </w:r>
      <w:r>
        <w:rPr>
          <w:rFonts w:hint="eastAsia" w:ascii="宋体" w:hAnsi="宋体"/>
          <w:color w:val="auto"/>
          <w:sz w:val="28"/>
          <w:szCs w:val="28"/>
          <w:highlight w:val="none"/>
          <w:lang w:val="en-US" w:eastAsia="zh-CN"/>
        </w:rPr>
        <w:t>2000</w:t>
      </w:r>
      <w:r>
        <w:rPr>
          <w:rFonts w:hint="eastAsia" w:ascii="宋体" w:hAnsi="宋体"/>
          <w:color w:val="auto"/>
          <w:sz w:val="28"/>
          <w:szCs w:val="28"/>
          <w:highlight w:val="none"/>
        </w:rPr>
        <w:t>万元、标段十三</w:t>
      </w:r>
      <w:r>
        <w:rPr>
          <w:rFonts w:hint="eastAsia" w:ascii="宋体" w:hAnsi="宋体"/>
          <w:color w:val="auto"/>
          <w:sz w:val="28"/>
          <w:szCs w:val="28"/>
          <w:highlight w:val="none"/>
          <w:lang w:val="en-US" w:eastAsia="zh-CN"/>
        </w:rPr>
        <w:t>1500</w:t>
      </w:r>
      <w:r>
        <w:rPr>
          <w:rFonts w:hint="eastAsia" w:ascii="宋体" w:hAnsi="宋体"/>
          <w:color w:val="auto"/>
          <w:sz w:val="28"/>
          <w:szCs w:val="28"/>
          <w:highlight w:val="none"/>
        </w:rPr>
        <w:t>万元、标段十四</w:t>
      </w:r>
      <w:r>
        <w:rPr>
          <w:rFonts w:hint="eastAsia" w:ascii="宋体" w:hAnsi="宋体"/>
          <w:color w:val="auto"/>
          <w:sz w:val="28"/>
          <w:szCs w:val="28"/>
          <w:highlight w:val="none"/>
          <w:lang w:val="en-US" w:eastAsia="zh-CN"/>
        </w:rPr>
        <w:t>1000</w:t>
      </w:r>
      <w:r>
        <w:rPr>
          <w:rFonts w:hint="eastAsia" w:ascii="宋体" w:hAnsi="宋体"/>
          <w:color w:val="auto"/>
          <w:sz w:val="28"/>
          <w:szCs w:val="28"/>
          <w:highlight w:val="none"/>
        </w:rPr>
        <w:t>万元</w:t>
      </w: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以上各标段50%资金的存放周期为一年，各标段剩余50%资金的存放周期为六个月，详见第二章“招标项目需求”。</w:t>
      </w:r>
    </w:p>
    <w:p w14:paraId="2718867B">
      <w:pPr>
        <w:spacing w:line="360" w:lineRule="auto"/>
        <w:rPr>
          <w:rFonts w:ascii="宋体" w:hAnsi="宋体"/>
          <w:b/>
          <w:color w:val="auto"/>
          <w:sz w:val="28"/>
          <w:szCs w:val="28"/>
          <w:highlight w:val="none"/>
        </w:rPr>
      </w:pPr>
      <w:r>
        <w:rPr>
          <w:rFonts w:hint="eastAsia" w:ascii="宋体" w:hAnsi="宋体"/>
          <w:b/>
          <w:color w:val="auto"/>
          <w:sz w:val="28"/>
          <w:szCs w:val="28"/>
          <w:highlight w:val="none"/>
        </w:rPr>
        <w:t>3、投标人资格条件：</w:t>
      </w:r>
    </w:p>
    <w:p w14:paraId="2A1D56A2">
      <w:pPr>
        <w:spacing w:line="360" w:lineRule="auto"/>
        <w:rPr>
          <w:rFonts w:ascii="宋体" w:hAnsi="宋体"/>
          <w:color w:val="auto"/>
          <w:sz w:val="28"/>
          <w:szCs w:val="28"/>
          <w:highlight w:val="none"/>
        </w:rPr>
      </w:pPr>
      <w:r>
        <w:rPr>
          <w:rFonts w:hint="eastAsia" w:ascii="宋体" w:hAnsi="宋体"/>
          <w:color w:val="auto"/>
          <w:sz w:val="28"/>
          <w:szCs w:val="28"/>
          <w:highlight w:val="none"/>
        </w:rPr>
        <w:t>（1）符合《宁波市市级预算单位银行账户和资金存放管理暂行办法》规定，在宁波地区设有分支机构，且为宁波市住房公积金管理中心市本级住房公积金账户开设定点银行；</w:t>
      </w:r>
    </w:p>
    <w:p w14:paraId="1F3E1637">
      <w:pPr>
        <w:spacing w:line="360" w:lineRule="auto"/>
        <w:rPr>
          <w:rFonts w:ascii="宋体" w:hAnsi="宋体"/>
          <w:color w:val="auto"/>
          <w:sz w:val="28"/>
          <w:szCs w:val="28"/>
          <w:highlight w:val="none"/>
        </w:rPr>
      </w:pPr>
      <w:r>
        <w:rPr>
          <w:rFonts w:hint="eastAsia" w:ascii="宋体" w:hAnsi="宋体"/>
          <w:color w:val="auto"/>
          <w:sz w:val="28"/>
          <w:szCs w:val="28"/>
          <w:highlight w:val="none"/>
        </w:rPr>
        <w:t>（2）依法开展经营活动，近3年内在经营活动中无重大违法违纪记录；</w:t>
      </w:r>
    </w:p>
    <w:p w14:paraId="114C0E21">
      <w:pPr>
        <w:spacing w:line="360" w:lineRule="auto"/>
        <w:rPr>
          <w:rFonts w:ascii="宋体" w:hAnsi="宋体"/>
          <w:color w:val="auto"/>
          <w:sz w:val="28"/>
          <w:szCs w:val="28"/>
          <w:highlight w:val="none"/>
        </w:rPr>
      </w:pPr>
      <w:r>
        <w:rPr>
          <w:rFonts w:hint="eastAsia" w:ascii="宋体" w:hAnsi="宋体"/>
          <w:color w:val="auto"/>
          <w:sz w:val="28"/>
          <w:szCs w:val="28"/>
          <w:highlight w:val="none"/>
        </w:rPr>
        <w:t>（3）财务稳健，资金充足率、不良贷款率、拨备覆盖率、流动性覆盖率、流动性比例等指标达到监管标准；</w:t>
      </w:r>
    </w:p>
    <w:p w14:paraId="09A67569">
      <w:pPr>
        <w:spacing w:line="360" w:lineRule="auto"/>
        <w:rPr>
          <w:rFonts w:ascii="宋体" w:hAnsi="宋体"/>
          <w:color w:val="auto"/>
          <w:sz w:val="28"/>
          <w:szCs w:val="28"/>
          <w:highlight w:val="none"/>
        </w:rPr>
      </w:pPr>
      <w:r>
        <w:rPr>
          <w:rFonts w:hint="eastAsia" w:ascii="宋体" w:hAnsi="宋体"/>
          <w:color w:val="auto"/>
          <w:sz w:val="28"/>
          <w:szCs w:val="28"/>
          <w:highlight w:val="none"/>
        </w:rPr>
        <w:t>（4）内部管理机制健全，具有较强的风险控制能力，近三年内未发生重大违约事件。</w:t>
      </w:r>
    </w:p>
    <w:p w14:paraId="0DD61FAE">
      <w:pPr>
        <w:spacing w:line="360" w:lineRule="auto"/>
        <w:rPr>
          <w:rFonts w:ascii="宋体" w:hAnsi="宋体"/>
          <w:color w:val="auto"/>
          <w:sz w:val="28"/>
          <w:szCs w:val="28"/>
          <w:highlight w:val="none"/>
        </w:rPr>
      </w:pPr>
      <w:r>
        <w:rPr>
          <w:rFonts w:hint="eastAsia" w:ascii="宋体" w:hAnsi="宋体"/>
          <w:color w:val="auto"/>
          <w:sz w:val="28"/>
          <w:szCs w:val="28"/>
          <w:highlight w:val="none"/>
        </w:rPr>
        <w:t>（5）本项目不接受联合体投标。</w:t>
      </w:r>
    </w:p>
    <w:p w14:paraId="37007D9D">
      <w:pPr>
        <w:spacing w:line="360" w:lineRule="auto"/>
        <w:ind w:left="15" w:leftChars="7"/>
        <w:rPr>
          <w:rFonts w:ascii="宋体" w:hAnsi="宋体"/>
          <w:b/>
          <w:color w:val="auto"/>
          <w:sz w:val="28"/>
          <w:szCs w:val="28"/>
          <w:highlight w:val="none"/>
        </w:rPr>
      </w:pPr>
      <w:r>
        <w:rPr>
          <w:rFonts w:hint="eastAsia" w:ascii="宋体" w:hAnsi="宋体"/>
          <w:b/>
          <w:color w:val="auto"/>
          <w:sz w:val="28"/>
          <w:szCs w:val="28"/>
          <w:highlight w:val="none"/>
        </w:rPr>
        <w:t>4、获取招标文件</w:t>
      </w:r>
    </w:p>
    <w:p w14:paraId="2359ED8B">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时间：2025年4月1日至2025年4月9日，每天上午00:00至12:00，下午12:00至23:59（北京时间）</w:t>
      </w:r>
    </w:p>
    <w:p w14:paraId="3EC722E4">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地点（网址）：政府采购云平台（http://www.zcygov.cn/）。</w:t>
      </w:r>
    </w:p>
    <w:p w14:paraId="3C007E52">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 xml:space="preserve">（1）本项目招标文件实行“政府采购云平台”在线获取，不提供招标文件纸质版。投标人获取招标文件前应先完成“政府采购云平台”的账号注册； </w:t>
      </w:r>
    </w:p>
    <w:p w14:paraId="3F251092">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 xml:space="preserve">（2）潜在投标人登陆政采云平台，在线申请获取招标文件（进入“公款竞争性存放”应用，在获取招标文件菜单中选择项目，申请获取招标文件；仅需浏览招标文件的投标人可点击“游客，浏览招标文件”直接下载招标文件浏览）； </w:t>
      </w:r>
    </w:p>
    <w:p w14:paraId="370D873D">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3）招标公告附件内的招标文件仅供阅览使用，投标人只有在“政府采购云平台”完成获取招标文件申请并下载了招标文件且通过审核后才视作依法获取招标文件（法律法规所指的投标人获取招标文件时间以投标人完成获取招标文件申请后下载招标文件且通过审核后的时间为准）。未按照招标文件规定程序依法获取招标文件的潜在投标人，对招标文件提起质疑的，按照无效质疑处理。采购代理机构拒绝接收未依法获取本项目招标文件的投标人提交的投标文件。</w:t>
      </w:r>
    </w:p>
    <w:p w14:paraId="6D3DA939">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 xml:space="preserve">注：请投标人按上述要求获取招标文件，如未在“政采云”系统内完成相关流程，引起的投标无效责任自负。  </w:t>
      </w:r>
    </w:p>
    <w:p w14:paraId="2EDEA93B">
      <w:pPr>
        <w:spacing w:line="360" w:lineRule="auto"/>
        <w:ind w:left="15" w:leftChars="7"/>
        <w:rPr>
          <w:rFonts w:ascii="宋体" w:hAnsi="宋体"/>
          <w:color w:val="auto"/>
          <w:sz w:val="28"/>
          <w:szCs w:val="28"/>
          <w:highlight w:val="none"/>
        </w:rPr>
      </w:pPr>
      <w:r>
        <w:rPr>
          <w:rFonts w:hint="eastAsia" w:ascii="宋体" w:hAnsi="宋体"/>
          <w:color w:val="auto"/>
          <w:sz w:val="28"/>
          <w:szCs w:val="28"/>
          <w:highlight w:val="none"/>
        </w:rPr>
        <w:t>售价：400元。购买标书时请附上投标人为</w:t>
      </w:r>
      <w:r>
        <w:rPr>
          <w:rFonts w:hint="eastAsia" w:ascii="宋体" w:hAnsi="宋体"/>
          <w:b/>
          <w:color w:val="auto"/>
          <w:sz w:val="28"/>
          <w:szCs w:val="28"/>
          <w:highlight w:val="none"/>
        </w:rPr>
        <w:t>宁波市住房公积金管理中心市本级住房公积金账户开设定点银行的佐证材料、</w:t>
      </w:r>
      <w:r>
        <w:rPr>
          <w:rFonts w:hint="eastAsia" w:ascii="宋体" w:hAnsi="宋体"/>
          <w:color w:val="auto"/>
          <w:sz w:val="28"/>
          <w:szCs w:val="28"/>
          <w:highlight w:val="none"/>
        </w:rPr>
        <w:t>投标人开票信息、项目联系人、联系电话、电子邮箱和汇款凭证。</w:t>
      </w:r>
    </w:p>
    <w:p w14:paraId="3FCDABBB">
      <w:pPr>
        <w:spacing w:line="360" w:lineRule="auto"/>
        <w:ind w:left="15" w:leftChars="7"/>
        <w:rPr>
          <w:rFonts w:ascii="宋体" w:hAnsi="宋体"/>
          <w:b/>
          <w:color w:val="auto"/>
          <w:sz w:val="28"/>
          <w:szCs w:val="28"/>
          <w:highlight w:val="none"/>
        </w:rPr>
      </w:pPr>
      <w:r>
        <w:rPr>
          <w:rFonts w:hint="eastAsia" w:ascii="宋体" w:hAnsi="宋体"/>
          <w:b/>
          <w:color w:val="auto"/>
          <w:sz w:val="28"/>
          <w:szCs w:val="28"/>
          <w:highlight w:val="none"/>
        </w:rPr>
        <w:t>户名：宁波国咨工程造价咨询有限公司</w:t>
      </w:r>
    </w:p>
    <w:p w14:paraId="081F1F2B">
      <w:pPr>
        <w:spacing w:line="360" w:lineRule="auto"/>
        <w:ind w:left="15" w:leftChars="7"/>
        <w:rPr>
          <w:rFonts w:ascii="宋体" w:hAnsi="宋体"/>
          <w:b/>
          <w:color w:val="auto"/>
          <w:sz w:val="28"/>
          <w:szCs w:val="28"/>
          <w:highlight w:val="none"/>
        </w:rPr>
      </w:pPr>
      <w:r>
        <w:rPr>
          <w:rFonts w:hint="eastAsia" w:ascii="宋体" w:hAnsi="宋体"/>
          <w:b/>
          <w:color w:val="auto"/>
          <w:sz w:val="28"/>
          <w:szCs w:val="28"/>
          <w:highlight w:val="none"/>
        </w:rPr>
        <w:t>开户银行：上海浦东发展银行宁波东部新城支行</w:t>
      </w:r>
    </w:p>
    <w:p w14:paraId="219B1EAE">
      <w:pPr>
        <w:spacing w:line="360" w:lineRule="auto"/>
        <w:ind w:left="15" w:leftChars="7"/>
        <w:rPr>
          <w:rFonts w:ascii="宋体" w:hAnsi="宋体"/>
          <w:b/>
          <w:color w:val="auto"/>
          <w:sz w:val="28"/>
          <w:szCs w:val="28"/>
          <w:highlight w:val="none"/>
        </w:rPr>
      </w:pPr>
      <w:r>
        <w:rPr>
          <w:rFonts w:hint="eastAsia" w:ascii="宋体" w:hAnsi="宋体"/>
          <w:b/>
          <w:color w:val="auto"/>
          <w:sz w:val="28"/>
          <w:szCs w:val="28"/>
          <w:highlight w:val="none"/>
        </w:rPr>
        <w:t>账号：94160154800002563</w:t>
      </w:r>
    </w:p>
    <w:p w14:paraId="5907E939">
      <w:pPr>
        <w:spacing w:line="360" w:lineRule="auto"/>
        <w:rPr>
          <w:rFonts w:ascii="宋体" w:hAnsi="宋体"/>
          <w:b/>
          <w:color w:val="auto"/>
          <w:sz w:val="28"/>
          <w:szCs w:val="28"/>
          <w:highlight w:val="none"/>
        </w:rPr>
      </w:pPr>
      <w:r>
        <w:rPr>
          <w:rFonts w:hint="eastAsia" w:ascii="宋体" w:hAnsi="宋体"/>
          <w:b/>
          <w:color w:val="auto"/>
          <w:sz w:val="28"/>
          <w:szCs w:val="28"/>
          <w:highlight w:val="none"/>
        </w:rPr>
        <w:t>5、提交投标文件截止时间、开标时间和地点</w:t>
      </w:r>
    </w:p>
    <w:p w14:paraId="327E7E60">
      <w:pPr>
        <w:spacing w:line="360" w:lineRule="auto"/>
        <w:rPr>
          <w:rFonts w:ascii="宋体" w:hAnsi="宋体"/>
          <w:color w:val="auto"/>
          <w:sz w:val="28"/>
          <w:szCs w:val="28"/>
          <w:highlight w:val="none"/>
        </w:rPr>
      </w:pPr>
      <w:r>
        <w:rPr>
          <w:rFonts w:hint="eastAsia" w:ascii="宋体" w:hAnsi="宋体"/>
          <w:color w:val="auto"/>
          <w:sz w:val="28"/>
          <w:szCs w:val="28"/>
          <w:highlight w:val="none"/>
        </w:rPr>
        <w:t>提交投标文件截止时间：202</w:t>
      </w:r>
      <w:r>
        <w:rPr>
          <w:rFonts w:hint="eastAsia" w:ascii="宋体" w:hAnsi="宋体"/>
          <w:color w:val="auto"/>
          <w:sz w:val="28"/>
          <w:szCs w:val="28"/>
          <w:highlight w:val="none"/>
          <w:lang w:val="en-US" w:eastAsia="zh-CN"/>
        </w:rPr>
        <w:t>5</w:t>
      </w:r>
      <w:r>
        <w:rPr>
          <w:rFonts w:hint="eastAsia" w:ascii="宋体" w:hAnsi="宋体"/>
          <w:color w:val="auto"/>
          <w:sz w:val="28"/>
          <w:szCs w:val="28"/>
          <w:highlight w:val="none"/>
        </w:rPr>
        <w:t>年</w:t>
      </w:r>
      <w:r>
        <w:rPr>
          <w:rFonts w:hint="eastAsia" w:ascii="宋体" w:hAnsi="宋体"/>
          <w:color w:val="auto"/>
          <w:sz w:val="28"/>
          <w:szCs w:val="28"/>
          <w:highlight w:val="none"/>
          <w:lang w:val="en-US" w:eastAsia="zh-CN"/>
        </w:rPr>
        <w:t>4</w:t>
      </w:r>
      <w:r>
        <w:rPr>
          <w:rFonts w:hint="eastAsia" w:ascii="宋体" w:hAnsi="宋体"/>
          <w:color w:val="auto"/>
          <w:sz w:val="28"/>
          <w:szCs w:val="28"/>
          <w:highlight w:val="none"/>
        </w:rPr>
        <w:t>月</w:t>
      </w:r>
      <w:r>
        <w:rPr>
          <w:rFonts w:hint="eastAsia" w:ascii="宋体" w:hAnsi="宋体"/>
          <w:color w:val="auto"/>
          <w:sz w:val="28"/>
          <w:szCs w:val="28"/>
          <w:highlight w:val="none"/>
          <w:lang w:val="en-US" w:eastAsia="zh-CN"/>
        </w:rPr>
        <w:t>21</w:t>
      </w:r>
      <w:r>
        <w:rPr>
          <w:rFonts w:hint="eastAsia" w:ascii="宋体" w:hAnsi="宋体"/>
          <w:color w:val="auto"/>
          <w:sz w:val="28"/>
          <w:szCs w:val="28"/>
          <w:highlight w:val="none"/>
        </w:rPr>
        <w:t>日09点30分（北京时间）。</w:t>
      </w:r>
    </w:p>
    <w:p w14:paraId="1DADD6FB">
      <w:pPr>
        <w:spacing w:line="360" w:lineRule="auto"/>
        <w:rPr>
          <w:rFonts w:ascii="宋体" w:hAnsi="宋体"/>
          <w:color w:val="auto"/>
          <w:sz w:val="28"/>
          <w:szCs w:val="28"/>
          <w:highlight w:val="none"/>
        </w:rPr>
      </w:pPr>
      <w:r>
        <w:rPr>
          <w:rFonts w:hint="eastAsia" w:ascii="宋体" w:hAnsi="宋体"/>
          <w:color w:val="auto"/>
          <w:sz w:val="28"/>
          <w:szCs w:val="28"/>
          <w:highlight w:val="none"/>
        </w:rPr>
        <w:t>投标地点（网址）：政府采购云平台（www.zcygov.cn）（线上）</w:t>
      </w:r>
    </w:p>
    <w:p w14:paraId="4D94096D">
      <w:pPr>
        <w:spacing w:line="360" w:lineRule="auto"/>
        <w:rPr>
          <w:rFonts w:ascii="宋体" w:hAnsi="宋体"/>
          <w:color w:val="auto"/>
          <w:sz w:val="28"/>
          <w:szCs w:val="28"/>
          <w:highlight w:val="none"/>
        </w:rPr>
      </w:pPr>
      <w:r>
        <w:rPr>
          <w:rFonts w:hint="eastAsia" w:ascii="宋体" w:hAnsi="宋体"/>
          <w:color w:val="auto"/>
          <w:sz w:val="28"/>
          <w:szCs w:val="28"/>
          <w:highlight w:val="none"/>
        </w:rPr>
        <w:t>开标时间：202</w:t>
      </w:r>
      <w:r>
        <w:rPr>
          <w:rFonts w:hint="eastAsia" w:ascii="宋体" w:hAnsi="宋体"/>
          <w:color w:val="auto"/>
          <w:sz w:val="28"/>
          <w:szCs w:val="28"/>
          <w:highlight w:val="none"/>
          <w:lang w:val="en-US" w:eastAsia="zh-CN"/>
        </w:rPr>
        <w:t>5</w:t>
      </w:r>
      <w:r>
        <w:rPr>
          <w:rFonts w:hint="eastAsia" w:ascii="宋体" w:hAnsi="宋体"/>
          <w:color w:val="auto"/>
          <w:sz w:val="28"/>
          <w:szCs w:val="28"/>
          <w:highlight w:val="none"/>
        </w:rPr>
        <w:t>年</w:t>
      </w:r>
      <w:r>
        <w:rPr>
          <w:rFonts w:hint="eastAsia" w:ascii="宋体" w:hAnsi="宋体"/>
          <w:color w:val="auto"/>
          <w:sz w:val="28"/>
          <w:szCs w:val="28"/>
          <w:highlight w:val="none"/>
          <w:lang w:val="en-US" w:eastAsia="zh-CN"/>
        </w:rPr>
        <w:t>4</w:t>
      </w:r>
      <w:r>
        <w:rPr>
          <w:rFonts w:hint="eastAsia" w:ascii="宋体" w:hAnsi="宋体"/>
          <w:color w:val="auto"/>
          <w:sz w:val="28"/>
          <w:szCs w:val="28"/>
          <w:highlight w:val="none"/>
        </w:rPr>
        <w:t>月</w:t>
      </w:r>
      <w:r>
        <w:rPr>
          <w:rFonts w:hint="eastAsia" w:ascii="宋体" w:hAnsi="宋体"/>
          <w:color w:val="auto"/>
          <w:sz w:val="28"/>
          <w:szCs w:val="28"/>
          <w:highlight w:val="none"/>
          <w:lang w:val="en-US" w:eastAsia="zh-CN"/>
        </w:rPr>
        <w:t>21</w:t>
      </w:r>
      <w:r>
        <w:rPr>
          <w:rFonts w:hint="eastAsia" w:ascii="宋体" w:hAnsi="宋体"/>
          <w:color w:val="auto"/>
          <w:sz w:val="28"/>
          <w:szCs w:val="28"/>
          <w:highlight w:val="none"/>
        </w:rPr>
        <w:t>日09 :30 （北京时间）</w:t>
      </w:r>
    </w:p>
    <w:p w14:paraId="741491CD">
      <w:pPr>
        <w:spacing w:line="360" w:lineRule="auto"/>
        <w:rPr>
          <w:rFonts w:ascii="宋体" w:hAnsi="宋体"/>
          <w:color w:val="auto"/>
          <w:sz w:val="28"/>
          <w:szCs w:val="28"/>
          <w:highlight w:val="none"/>
        </w:rPr>
      </w:pPr>
      <w:r>
        <w:rPr>
          <w:rFonts w:hint="eastAsia" w:ascii="宋体" w:hAnsi="宋体"/>
          <w:color w:val="auto"/>
          <w:sz w:val="28"/>
          <w:szCs w:val="28"/>
          <w:highlight w:val="none"/>
        </w:rPr>
        <w:t>开标地点（网址）：宁波国咨工程造价咨询有限公司，本项目通过“政府采购云平台”实行在线电子评标，投标人可在线参加开标。</w:t>
      </w:r>
    </w:p>
    <w:p w14:paraId="701C34C2">
      <w:pPr>
        <w:spacing w:line="360" w:lineRule="auto"/>
        <w:rPr>
          <w:rFonts w:ascii="宋体" w:hAnsi="宋体"/>
          <w:b/>
          <w:color w:val="auto"/>
          <w:sz w:val="28"/>
          <w:szCs w:val="28"/>
          <w:highlight w:val="none"/>
        </w:rPr>
      </w:pPr>
      <w:r>
        <w:rPr>
          <w:rFonts w:hint="eastAsia" w:ascii="宋体" w:hAnsi="宋体"/>
          <w:b/>
          <w:color w:val="auto"/>
          <w:sz w:val="28"/>
          <w:szCs w:val="28"/>
          <w:highlight w:val="none"/>
        </w:rPr>
        <w:t>6、其他注意事项</w:t>
      </w:r>
    </w:p>
    <w:p w14:paraId="7BFF5D45">
      <w:pPr>
        <w:spacing w:line="360" w:lineRule="auto"/>
        <w:jc w:val="left"/>
        <w:rPr>
          <w:rFonts w:ascii="宋体" w:hAnsi="宋体"/>
          <w:color w:val="auto"/>
          <w:sz w:val="28"/>
          <w:szCs w:val="28"/>
          <w:highlight w:val="none"/>
        </w:rPr>
      </w:pPr>
      <w:r>
        <w:rPr>
          <w:rFonts w:hint="eastAsia" w:ascii="宋体" w:hAnsi="宋体"/>
          <w:color w:val="auto"/>
          <w:sz w:val="28"/>
          <w:szCs w:val="28"/>
          <w:highlight w:val="none"/>
        </w:rPr>
        <w:t xml:space="preserve">（1）各投标人应在开标前确保成为浙江省政府采购网正式注册入库投标人，并完成CA数字证书办理。因未注册入库、未办理CA数字证书等原因造成无法投标或投标失败等后果由投标人自行承担。（具体操作详见电子交易操作指南：https://helpcenter.zcygov.cn/document/#/document/dashboard?siteCode=beijing）。 </w:t>
      </w:r>
    </w:p>
    <w:p w14:paraId="3B74740E">
      <w:pPr>
        <w:spacing w:line="360" w:lineRule="auto"/>
        <w:rPr>
          <w:rFonts w:ascii="宋体" w:hAnsi="宋体"/>
          <w:color w:val="auto"/>
          <w:sz w:val="28"/>
          <w:szCs w:val="28"/>
          <w:highlight w:val="none"/>
        </w:rPr>
      </w:pPr>
      <w:r>
        <w:rPr>
          <w:rFonts w:hint="eastAsia" w:ascii="宋体" w:hAnsi="宋体"/>
          <w:color w:val="auto"/>
          <w:sz w:val="28"/>
          <w:szCs w:val="28"/>
          <w:highlight w:val="none"/>
        </w:rPr>
        <w:t>（2）本次采购活动有关信息在“浙江政府采购网（http://zfcg.czt.zj.gov.cn/）”、“宁波市政府采购网（https://zfcg.czj.ningbo.gov.cn/）”网站上公布，公布信息视同送达所有潜在投标人。</w:t>
      </w:r>
    </w:p>
    <w:p w14:paraId="513B91BB">
      <w:pPr>
        <w:spacing w:line="360" w:lineRule="auto"/>
        <w:rPr>
          <w:rFonts w:ascii="宋体" w:hAnsi="宋体"/>
          <w:b/>
          <w:color w:val="auto"/>
          <w:sz w:val="28"/>
          <w:szCs w:val="28"/>
          <w:highlight w:val="none"/>
        </w:rPr>
      </w:pPr>
      <w:r>
        <w:rPr>
          <w:rFonts w:hint="eastAsia" w:ascii="宋体" w:hAnsi="宋体"/>
          <w:b/>
          <w:color w:val="auto"/>
          <w:sz w:val="28"/>
          <w:szCs w:val="28"/>
          <w:highlight w:val="none"/>
        </w:rPr>
        <w:t>7、联系方式</w:t>
      </w:r>
    </w:p>
    <w:p w14:paraId="143BD175">
      <w:pPr>
        <w:spacing w:line="360" w:lineRule="auto"/>
        <w:rPr>
          <w:rFonts w:ascii="宋体" w:hAnsi="宋体"/>
          <w:color w:val="auto"/>
          <w:sz w:val="28"/>
          <w:szCs w:val="28"/>
          <w:highlight w:val="none"/>
        </w:rPr>
      </w:pPr>
      <w:r>
        <w:rPr>
          <w:rFonts w:hint="eastAsia" w:ascii="宋体" w:hAnsi="宋体"/>
          <w:color w:val="auto"/>
          <w:sz w:val="28"/>
          <w:szCs w:val="28"/>
          <w:highlight w:val="none"/>
        </w:rPr>
        <w:t>招标人名称：宁波市住房公积金管理中心</w:t>
      </w:r>
    </w:p>
    <w:p w14:paraId="2B9263D8">
      <w:pPr>
        <w:spacing w:line="360" w:lineRule="auto"/>
        <w:rPr>
          <w:rFonts w:ascii="宋体" w:hAnsi="宋体"/>
          <w:color w:val="auto"/>
          <w:sz w:val="28"/>
          <w:szCs w:val="28"/>
          <w:highlight w:val="none"/>
        </w:rPr>
      </w:pPr>
      <w:r>
        <w:rPr>
          <w:rFonts w:hint="eastAsia" w:ascii="宋体" w:hAnsi="宋体"/>
          <w:color w:val="auto"/>
          <w:sz w:val="28"/>
          <w:szCs w:val="28"/>
          <w:highlight w:val="none"/>
        </w:rPr>
        <w:t>电    话：0574-</w:t>
      </w:r>
      <w:r>
        <w:rPr>
          <w:rFonts w:ascii="宋体" w:hAnsi="宋体"/>
          <w:color w:val="auto"/>
          <w:sz w:val="28"/>
          <w:szCs w:val="28"/>
          <w:highlight w:val="none"/>
        </w:rPr>
        <w:t>891807</w:t>
      </w:r>
      <w:r>
        <w:rPr>
          <w:rFonts w:hint="eastAsia" w:ascii="宋体" w:hAnsi="宋体"/>
          <w:color w:val="auto"/>
          <w:sz w:val="28"/>
          <w:szCs w:val="28"/>
          <w:highlight w:val="none"/>
        </w:rPr>
        <w:t>22</w:t>
      </w:r>
    </w:p>
    <w:p w14:paraId="19231C0E">
      <w:pPr>
        <w:spacing w:line="360" w:lineRule="auto"/>
        <w:rPr>
          <w:rFonts w:ascii="宋体" w:hAnsi="宋体"/>
          <w:color w:val="auto"/>
          <w:sz w:val="28"/>
          <w:szCs w:val="28"/>
          <w:highlight w:val="none"/>
        </w:rPr>
      </w:pPr>
      <w:r>
        <w:rPr>
          <w:rFonts w:hint="eastAsia" w:ascii="宋体" w:hAnsi="宋体"/>
          <w:color w:val="auto"/>
          <w:sz w:val="28"/>
          <w:szCs w:val="28"/>
          <w:highlight w:val="none"/>
        </w:rPr>
        <w:t>联 系 人：陈老师</w:t>
      </w:r>
    </w:p>
    <w:p w14:paraId="049A1095">
      <w:pPr>
        <w:spacing w:line="360" w:lineRule="auto"/>
        <w:rPr>
          <w:rFonts w:ascii="宋体" w:hAnsi="宋体"/>
          <w:b/>
          <w:color w:val="auto"/>
          <w:sz w:val="28"/>
          <w:szCs w:val="28"/>
          <w:highlight w:val="none"/>
        </w:rPr>
      </w:pPr>
    </w:p>
    <w:p w14:paraId="4E4364A6">
      <w:pPr>
        <w:spacing w:line="360" w:lineRule="auto"/>
        <w:rPr>
          <w:rFonts w:ascii="宋体" w:hAnsi="宋体"/>
          <w:color w:val="auto"/>
          <w:sz w:val="28"/>
          <w:szCs w:val="28"/>
          <w:highlight w:val="none"/>
        </w:rPr>
      </w:pPr>
      <w:r>
        <w:rPr>
          <w:rFonts w:hint="eastAsia" w:ascii="宋体" w:hAnsi="宋体"/>
          <w:color w:val="auto"/>
          <w:sz w:val="28"/>
          <w:szCs w:val="28"/>
          <w:highlight w:val="none"/>
        </w:rPr>
        <w:t>招标代理机构名称：宁波国咨工程造价咨询有限公司</w:t>
      </w:r>
    </w:p>
    <w:p w14:paraId="286D1B0F">
      <w:pPr>
        <w:spacing w:line="360" w:lineRule="auto"/>
        <w:rPr>
          <w:rFonts w:ascii="宋体" w:hAnsi="宋体"/>
          <w:color w:val="auto"/>
          <w:sz w:val="28"/>
          <w:szCs w:val="28"/>
          <w:highlight w:val="none"/>
        </w:rPr>
      </w:pPr>
      <w:r>
        <w:rPr>
          <w:rFonts w:hint="eastAsia" w:ascii="宋体" w:hAnsi="宋体"/>
          <w:color w:val="auto"/>
          <w:sz w:val="28"/>
          <w:szCs w:val="28"/>
          <w:highlight w:val="none"/>
        </w:rPr>
        <w:t>地    址：  宁波市鄞州区世纪大道北段555号名汇东方19楼1920室</w:t>
      </w:r>
    </w:p>
    <w:p w14:paraId="6FB5FFCB">
      <w:pPr>
        <w:spacing w:line="360" w:lineRule="auto"/>
        <w:rPr>
          <w:rFonts w:ascii="宋体" w:hAnsi="宋体"/>
          <w:color w:val="auto"/>
          <w:sz w:val="28"/>
          <w:szCs w:val="28"/>
          <w:highlight w:val="none"/>
        </w:rPr>
      </w:pPr>
      <w:r>
        <w:rPr>
          <w:rFonts w:hint="eastAsia" w:ascii="宋体" w:hAnsi="宋体"/>
          <w:color w:val="auto"/>
          <w:sz w:val="28"/>
          <w:szCs w:val="28"/>
          <w:highlight w:val="none"/>
        </w:rPr>
        <w:t>邮    编：  315040</w:t>
      </w:r>
    </w:p>
    <w:p w14:paraId="0A3A9367">
      <w:pPr>
        <w:spacing w:line="360" w:lineRule="auto"/>
        <w:rPr>
          <w:rFonts w:ascii="宋体" w:hAnsi="宋体"/>
          <w:color w:val="auto"/>
          <w:sz w:val="28"/>
          <w:szCs w:val="28"/>
          <w:highlight w:val="none"/>
        </w:rPr>
      </w:pPr>
      <w:r>
        <w:rPr>
          <w:rFonts w:hint="eastAsia" w:ascii="宋体" w:hAnsi="宋体"/>
          <w:color w:val="auto"/>
          <w:sz w:val="28"/>
          <w:szCs w:val="28"/>
          <w:highlight w:val="none"/>
        </w:rPr>
        <w:t>电    话：  0574－55717459</w:t>
      </w:r>
    </w:p>
    <w:p w14:paraId="340BFA6A">
      <w:pPr>
        <w:spacing w:line="360" w:lineRule="auto"/>
        <w:rPr>
          <w:rFonts w:ascii="宋体" w:hAnsi="宋体"/>
          <w:color w:val="auto"/>
          <w:sz w:val="28"/>
          <w:szCs w:val="28"/>
          <w:highlight w:val="none"/>
        </w:rPr>
      </w:pPr>
      <w:r>
        <w:rPr>
          <w:rFonts w:hint="eastAsia" w:ascii="宋体" w:hAnsi="宋体"/>
          <w:color w:val="auto"/>
          <w:sz w:val="28"/>
          <w:szCs w:val="28"/>
          <w:highlight w:val="none"/>
        </w:rPr>
        <w:t>传    真：  0574－87863400</w:t>
      </w:r>
    </w:p>
    <w:p w14:paraId="156CC65D">
      <w:pPr>
        <w:spacing w:line="360" w:lineRule="auto"/>
        <w:rPr>
          <w:rFonts w:ascii="宋体" w:hAnsi="宋体"/>
          <w:color w:val="auto"/>
          <w:sz w:val="28"/>
          <w:szCs w:val="28"/>
          <w:highlight w:val="none"/>
        </w:rPr>
      </w:pPr>
      <w:r>
        <w:rPr>
          <w:rFonts w:hint="eastAsia" w:ascii="宋体" w:hAnsi="宋体"/>
          <w:color w:val="auto"/>
          <w:sz w:val="28"/>
          <w:szCs w:val="28"/>
          <w:highlight w:val="none"/>
        </w:rPr>
        <w:t xml:space="preserve">电子邮件：  </w:t>
      </w:r>
      <w:r>
        <w:rPr>
          <w:rFonts w:hint="eastAsia" w:ascii="宋体" w:hAnsi="宋体"/>
          <w:color w:val="auto"/>
          <w:sz w:val="28"/>
          <w:szCs w:val="28"/>
          <w:highlight w:val="none"/>
          <w:lang w:val="en-US" w:eastAsia="zh-CN"/>
        </w:rPr>
        <w:t>287950116</w:t>
      </w:r>
      <w:r>
        <w:rPr>
          <w:rFonts w:hint="eastAsia" w:ascii="宋体" w:hAnsi="宋体"/>
          <w:color w:val="auto"/>
          <w:sz w:val="28"/>
          <w:szCs w:val="28"/>
          <w:highlight w:val="none"/>
        </w:rPr>
        <w:t>@</w:t>
      </w:r>
      <w:r>
        <w:rPr>
          <w:rFonts w:hint="eastAsia" w:ascii="宋体" w:hAnsi="宋体"/>
          <w:color w:val="auto"/>
          <w:sz w:val="28"/>
          <w:szCs w:val="28"/>
          <w:highlight w:val="none"/>
          <w:lang w:val="en-US" w:eastAsia="zh-CN"/>
        </w:rPr>
        <w:t>qq</w:t>
      </w:r>
      <w:r>
        <w:rPr>
          <w:rFonts w:hint="eastAsia" w:ascii="宋体" w:hAnsi="宋体"/>
          <w:color w:val="auto"/>
          <w:sz w:val="28"/>
          <w:szCs w:val="28"/>
          <w:highlight w:val="none"/>
        </w:rPr>
        <w:t>.com</w:t>
      </w:r>
    </w:p>
    <w:p w14:paraId="06AA21E2">
      <w:pPr>
        <w:spacing w:line="360" w:lineRule="auto"/>
        <w:rPr>
          <w:rFonts w:hint="default" w:ascii="宋体" w:hAnsi="宋体" w:eastAsia="宋体"/>
          <w:color w:val="auto"/>
          <w:sz w:val="24"/>
          <w:highlight w:val="none"/>
          <w:lang w:val="en-US" w:eastAsia="zh-CN"/>
        </w:rPr>
      </w:pPr>
      <w:r>
        <w:rPr>
          <w:rFonts w:hint="eastAsia" w:ascii="宋体" w:hAnsi="宋体"/>
          <w:color w:val="auto"/>
          <w:sz w:val="28"/>
          <w:szCs w:val="28"/>
          <w:highlight w:val="none"/>
        </w:rPr>
        <w:t>联 系 人：  袁航、华光</w:t>
      </w: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王雯倩</w:t>
      </w:r>
    </w:p>
    <w:p w14:paraId="46B452B7">
      <w:pPr>
        <w:pStyle w:val="2"/>
        <w:ind w:firstLine="0"/>
        <w:jc w:val="center"/>
        <w:rPr>
          <w:rFonts w:ascii="宋体" w:hAnsi="宋体"/>
          <w:bCs w:val="0"/>
          <w:i w:val="0"/>
          <w:iCs w:val="0"/>
          <w:color w:val="auto"/>
          <w:sz w:val="32"/>
          <w:szCs w:val="32"/>
          <w:highlight w:val="none"/>
        </w:rPr>
      </w:pPr>
      <w:r>
        <w:rPr>
          <w:rFonts w:ascii="宋体" w:hAnsi="宋体"/>
          <w:i w:val="0"/>
          <w:color w:val="auto"/>
          <w:sz w:val="32"/>
          <w:szCs w:val="32"/>
          <w:highlight w:val="none"/>
        </w:rPr>
        <w:br w:type="column"/>
      </w:r>
      <w:bookmarkStart w:id="1" w:name="_Toc427442450"/>
      <w:bookmarkStart w:id="2" w:name="_Toc454551064"/>
      <w:r>
        <w:rPr>
          <w:rFonts w:hint="eastAsia" w:ascii="宋体" w:hAnsi="宋体"/>
          <w:bCs w:val="0"/>
          <w:i w:val="0"/>
          <w:iCs w:val="0"/>
          <w:color w:val="auto"/>
          <w:sz w:val="32"/>
          <w:szCs w:val="32"/>
          <w:highlight w:val="none"/>
        </w:rPr>
        <w:t>第二章 招标项目需求</w:t>
      </w:r>
      <w:bookmarkEnd w:id="1"/>
      <w:bookmarkEnd w:id="2"/>
    </w:p>
    <w:p w14:paraId="20172C01">
      <w:pPr>
        <w:widowControl/>
        <w:spacing w:line="360" w:lineRule="auto"/>
        <w:ind w:left="61" w:leftChars="29" w:right="-540" w:rightChars="-257" w:firstLine="480" w:firstLineChars="200"/>
        <w:jc w:val="left"/>
        <w:rPr>
          <w:rFonts w:ascii="宋体" w:hAnsi="宋体"/>
          <w:color w:val="auto"/>
          <w:sz w:val="24"/>
          <w:highlight w:val="none"/>
        </w:rPr>
      </w:pPr>
    </w:p>
    <w:p w14:paraId="6DB51AAA">
      <w:pPr>
        <w:widowControl/>
        <w:spacing w:line="360" w:lineRule="auto"/>
        <w:ind w:right="-540" w:rightChars="-257" w:firstLine="560" w:firstLineChars="200"/>
        <w:jc w:val="left"/>
        <w:rPr>
          <w:rFonts w:ascii="宋体" w:hAnsi="宋体"/>
          <w:color w:val="auto"/>
          <w:sz w:val="28"/>
          <w:szCs w:val="28"/>
          <w:highlight w:val="none"/>
        </w:rPr>
      </w:pPr>
      <w:r>
        <w:rPr>
          <w:rFonts w:hint="eastAsia" w:ascii="宋体" w:hAnsi="宋体"/>
          <w:color w:val="auto"/>
          <w:sz w:val="28"/>
          <w:szCs w:val="28"/>
          <w:highlight w:val="none"/>
        </w:rPr>
        <w:t>为了进一步规范宁波市住房公积金管理中心的资金存放行为，强化单位资金监管，提高资金效率，从源头上预防和治理腐败的资金存放机制，防止利益冲突和利益输送，根据《宁波市市级预算单位银行账户和资金存放管理暂行办法》（甬财政发〔2015〕894号）、《关于〈宁波市市级预算单位银行账户和资金存放管理暂行办法〉补充事项的通知》（甬财政发〔2016〕70号）、《宁波市财政局关于进一步加强财政部门和市级预算单位资金存放管理的通知》（甬财政发〔2018〕725号）、《宁波市财政局关于进一步加强财政部门和实际预算单位资金存放管理的补充通知》（甬财库〔2021〕986号）和《宁波市住房公积金管理中心关于印发银行账户和公款存放管理暂行办法的通知》（甬房金管〔2024〕6号）规定，</w:t>
      </w:r>
      <w:r>
        <w:rPr>
          <w:rFonts w:hint="eastAsia" w:ascii="宋体" w:hAnsi="宋体"/>
          <w:color w:val="auto"/>
          <w:sz w:val="28"/>
          <w:szCs w:val="28"/>
          <w:highlight w:val="none"/>
          <w:lang w:eastAsia="zh-CN"/>
        </w:rPr>
        <w:t>宁波市本级住房公积金定期存款竞争性存放（2025年第一期）银行招标项目</w:t>
      </w:r>
      <w:r>
        <w:rPr>
          <w:rFonts w:hint="eastAsia" w:ascii="宋体" w:hAnsi="宋体"/>
          <w:color w:val="auto"/>
          <w:sz w:val="28"/>
          <w:szCs w:val="28"/>
          <w:highlight w:val="none"/>
        </w:rPr>
        <w:t>开展定期存款竞争性存放，实现资金保值增值。</w:t>
      </w:r>
    </w:p>
    <w:p w14:paraId="31BCF79F">
      <w:pPr>
        <w:widowControl/>
        <w:spacing w:line="360" w:lineRule="auto"/>
        <w:ind w:right="-540" w:rightChars="-257" w:firstLine="560" w:firstLineChars="200"/>
        <w:jc w:val="left"/>
        <w:rPr>
          <w:rFonts w:ascii="宋体" w:hAnsi="宋体"/>
          <w:color w:val="auto"/>
          <w:sz w:val="28"/>
          <w:szCs w:val="28"/>
          <w:highlight w:val="none"/>
        </w:rPr>
      </w:pPr>
      <w:r>
        <w:rPr>
          <w:rFonts w:hint="eastAsia" w:ascii="宋体" w:hAnsi="宋体"/>
          <w:color w:val="auto"/>
          <w:sz w:val="28"/>
          <w:szCs w:val="28"/>
          <w:highlight w:val="none"/>
        </w:rPr>
        <w:t>招标人拟按定期存款方式存放的资金不包括预测用于日常提取、贷款及其他合法合规用途的住房公积金，确保住房公积金业务正常开展。定期存款预测存放量根据住房公积金专用账户余额、计划提取、计划放贷、计划公转商转回等情况综合考虑。</w:t>
      </w:r>
    </w:p>
    <w:p w14:paraId="1EDF60B5">
      <w:pPr>
        <w:widowControl/>
        <w:spacing w:line="360" w:lineRule="auto"/>
        <w:ind w:right="-540" w:rightChars="-257" w:firstLine="560" w:firstLineChars="200"/>
        <w:jc w:val="left"/>
        <w:rPr>
          <w:rFonts w:hint="eastAsia" w:ascii="宋体" w:hAnsi="宋体"/>
          <w:color w:val="auto"/>
          <w:sz w:val="28"/>
          <w:szCs w:val="28"/>
          <w:highlight w:val="none"/>
          <w:lang w:eastAsia="zh-CN"/>
        </w:rPr>
      </w:pPr>
      <w:r>
        <w:rPr>
          <w:rFonts w:hint="eastAsia" w:ascii="宋体" w:hAnsi="宋体"/>
          <w:color w:val="auto"/>
          <w:sz w:val="28"/>
          <w:szCs w:val="28"/>
          <w:highlight w:val="none"/>
        </w:rPr>
        <w:t>资金定期存放服务，资金规模为10亿元，其中半年期5亿元、一年期5亿元</w:t>
      </w:r>
      <w:r>
        <w:rPr>
          <w:rFonts w:hint="eastAsia" w:ascii="宋体" w:hAnsi="宋体"/>
          <w:color w:val="auto"/>
          <w:sz w:val="28"/>
          <w:szCs w:val="28"/>
          <w:highlight w:val="none"/>
          <w:lang w:eastAsia="zh-CN"/>
        </w:rPr>
        <w:t>。</w:t>
      </w:r>
      <w:r>
        <w:rPr>
          <w:rFonts w:hint="eastAsia" w:ascii="宋体" w:hAnsi="宋体"/>
          <w:color w:val="auto"/>
          <w:sz w:val="28"/>
          <w:szCs w:val="28"/>
          <w:highlight w:val="none"/>
        </w:rPr>
        <w:t>设置</w:t>
      </w:r>
      <w:r>
        <w:rPr>
          <w:rFonts w:hint="eastAsia" w:ascii="宋体" w:hAnsi="宋体"/>
          <w:color w:val="auto"/>
          <w:sz w:val="28"/>
          <w:szCs w:val="28"/>
          <w:highlight w:val="none"/>
          <w:lang w:val="en-US" w:eastAsia="zh-CN"/>
        </w:rPr>
        <w:t>14</w:t>
      </w:r>
      <w:r>
        <w:rPr>
          <w:rFonts w:hint="eastAsia" w:ascii="宋体" w:hAnsi="宋体"/>
          <w:color w:val="auto"/>
          <w:sz w:val="28"/>
          <w:szCs w:val="28"/>
          <w:highlight w:val="none"/>
        </w:rPr>
        <w:t>个存放标段。标段一19000万元、标段二16000万元、标段三13000万元、标段四11000万元、标段五9000万元、标段六7000万元、标段七6000万元、标段八5000万元、标段九4000万元 、标段十3000万元、标段十一2500万元、标段十二2000万元、标段十三1500万元、标段十四1000万元，各标段50%资金的存放周期为一年，各标段剩余50%资金的存放周期为六个月</w:t>
      </w:r>
      <w:r>
        <w:rPr>
          <w:rFonts w:hint="eastAsia" w:ascii="宋体" w:hAnsi="宋体"/>
          <w:color w:val="auto"/>
          <w:sz w:val="28"/>
          <w:szCs w:val="28"/>
          <w:highlight w:val="none"/>
          <w:lang w:eastAsia="zh-CN"/>
        </w:rPr>
        <w:t>。</w:t>
      </w:r>
    </w:p>
    <w:p w14:paraId="2C5040AB">
      <w:pPr>
        <w:widowControl/>
        <w:spacing w:line="360" w:lineRule="auto"/>
        <w:ind w:right="-540" w:rightChars="-257" w:firstLine="560" w:firstLineChars="200"/>
        <w:jc w:val="left"/>
        <w:rPr>
          <w:rFonts w:hint="eastAsia" w:ascii="宋体" w:hAnsi="宋体"/>
          <w:color w:val="auto"/>
          <w:sz w:val="28"/>
          <w:szCs w:val="28"/>
          <w:highlight w:val="none"/>
          <w:lang w:eastAsia="zh-CN"/>
        </w:rPr>
      </w:pPr>
      <w:r>
        <w:rPr>
          <w:rFonts w:hint="eastAsia" w:ascii="宋体" w:hAnsi="宋体"/>
          <w:color w:val="auto"/>
          <w:sz w:val="28"/>
          <w:szCs w:val="28"/>
          <w:highlight w:val="none"/>
          <w:lang w:eastAsia="zh-CN"/>
        </w:rPr>
        <w:t>本次单笔资金存放大于1000万元的，将采用大额存单存放。若中标单位无法按投标要求进行大额存单存放的，需出具无法存放的情况说明，未按大额存单存放的资金暂时作为预留资金，纳入次月资金计划安排存放使用。</w:t>
      </w:r>
    </w:p>
    <w:p w14:paraId="50DE8810">
      <w:pPr>
        <w:widowControl/>
        <w:spacing w:line="360" w:lineRule="auto"/>
        <w:ind w:right="-540" w:rightChars="-257"/>
        <w:jc w:val="left"/>
        <w:rPr>
          <w:rFonts w:ascii="宋体" w:hAnsi="宋体"/>
          <w:color w:val="auto"/>
          <w:sz w:val="28"/>
          <w:szCs w:val="28"/>
          <w:highlight w:val="none"/>
        </w:rPr>
      </w:pPr>
      <w:r>
        <w:rPr>
          <w:rFonts w:hint="eastAsia" w:ascii="宋体" w:hAnsi="宋体"/>
          <w:color w:val="auto"/>
          <w:sz w:val="28"/>
          <w:szCs w:val="28"/>
          <w:highlight w:val="none"/>
        </w:rPr>
        <w:t>定期存款应按以下原则进行：</w:t>
      </w:r>
    </w:p>
    <w:p w14:paraId="07C12D06">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rPr>
        <w:t>（一）公开公平公正。竞争性存放应公开、公平、公正开展，防范廉政风险。</w:t>
      </w:r>
    </w:p>
    <w:p w14:paraId="6058C299">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rPr>
        <w:t>（二）安全性、流动性、收益性相统一。科学测算现金流量，在确保资金安全和日常支付需求基础上，实现资金保值增值。</w:t>
      </w:r>
    </w:p>
    <w:p w14:paraId="42FB2094">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rPr>
        <w:t>（三）突出重点、兼顾效率。重点做好住房公积金及其增值收益大额资金的竞争性存放工作，效益优先同时确保工作效率。</w:t>
      </w:r>
    </w:p>
    <w:p w14:paraId="38729C81">
      <w:pPr>
        <w:widowControl/>
        <w:spacing w:line="360" w:lineRule="auto"/>
        <w:ind w:right="-540" w:rightChars="-257" w:firstLine="560" w:firstLineChars="200"/>
        <w:jc w:val="left"/>
        <w:rPr>
          <w:rFonts w:hint="default" w:ascii="宋体" w:hAnsi="宋体" w:eastAsia="宋体"/>
          <w:color w:val="auto"/>
          <w:sz w:val="28"/>
          <w:szCs w:val="28"/>
          <w:highlight w:val="none"/>
          <w:lang w:val="en-US" w:eastAsia="zh-CN"/>
        </w:rPr>
      </w:pPr>
      <w:r>
        <w:rPr>
          <w:rFonts w:hint="eastAsia" w:ascii="宋体" w:hAnsi="宋体"/>
          <w:color w:val="auto"/>
          <w:sz w:val="28"/>
          <w:szCs w:val="28"/>
          <w:highlight w:val="none"/>
          <w:lang w:val="en-US" w:eastAsia="zh-CN"/>
        </w:rPr>
        <w:t>招标后公款存放按照中心住房公积金及其增值收益资金管理和银行有关规定执行。但遇国家和省市有关政策调整原因，或由于中心业务资金需求，需提前支取定期存款的，存放银行应积极予以办理。提前支取部分，银行按支取时国家有关利率规定计付利息。</w:t>
      </w:r>
    </w:p>
    <w:p w14:paraId="2A24C8BB">
      <w:pPr>
        <w:widowControl/>
        <w:spacing w:line="360" w:lineRule="auto"/>
        <w:ind w:right="-540" w:rightChars="-257" w:firstLine="560" w:firstLineChars="200"/>
        <w:jc w:val="left"/>
        <w:rPr>
          <w:rFonts w:ascii="宋体" w:hAnsi="宋体"/>
          <w:color w:val="auto"/>
          <w:sz w:val="28"/>
          <w:szCs w:val="28"/>
          <w:highlight w:val="none"/>
        </w:rPr>
      </w:pPr>
      <w:r>
        <w:rPr>
          <w:rFonts w:hint="eastAsia" w:ascii="宋体" w:hAnsi="宋体"/>
          <w:color w:val="auto"/>
          <w:sz w:val="28"/>
          <w:szCs w:val="28"/>
          <w:highlight w:val="none"/>
        </w:rPr>
        <w:t>遇以下情形的，中心有权提前收回存放银行的存款，并在不利因素消除前取消该银行的存放资格:</w:t>
      </w:r>
    </w:p>
    <w:p w14:paraId="21F0310F">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1</w:t>
      </w:r>
      <w:r>
        <w:rPr>
          <w:rFonts w:hint="eastAsia" w:ascii="宋体" w:hAnsi="宋体"/>
          <w:color w:val="auto"/>
          <w:sz w:val="28"/>
          <w:szCs w:val="28"/>
          <w:highlight w:val="none"/>
          <w:lang w:eastAsia="zh-CN"/>
        </w:rPr>
        <w:t>）</w:t>
      </w:r>
      <w:r>
        <w:rPr>
          <w:rFonts w:hint="eastAsia" w:ascii="宋体" w:hAnsi="宋体"/>
          <w:color w:val="auto"/>
          <w:sz w:val="28"/>
          <w:szCs w:val="28"/>
          <w:highlight w:val="none"/>
        </w:rPr>
        <w:t>在资金存放期间出现资金安全事故和重大违规违约行为的；</w:t>
      </w:r>
    </w:p>
    <w:p w14:paraId="278C3A26">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2</w:t>
      </w:r>
      <w:r>
        <w:rPr>
          <w:rFonts w:hint="eastAsia" w:ascii="宋体" w:hAnsi="宋体"/>
          <w:color w:val="auto"/>
          <w:sz w:val="28"/>
          <w:szCs w:val="28"/>
          <w:highlight w:val="none"/>
          <w:lang w:eastAsia="zh-CN"/>
        </w:rPr>
        <w:t>）</w:t>
      </w:r>
      <w:r>
        <w:rPr>
          <w:rFonts w:hint="eastAsia" w:ascii="宋体" w:hAnsi="宋体"/>
          <w:color w:val="auto"/>
          <w:sz w:val="28"/>
          <w:szCs w:val="28"/>
          <w:highlight w:val="none"/>
        </w:rPr>
        <w:t>人民银行、金融监管等部门认定存在较大运营风险的；</w:t>
      </w:r>
    </w:p>
    <w:p w14:paraId="3FC54E6B">
      <w:pPr>
        <w:widowControl/>
        <w:spacing w:line="360" w:lineRule="auto"/>
        <w:ind w:right="-540" w:rightChars="-257"/>
        <w:jc w:val="left"/>
        <w:rPr>
          <w:rFonts w:hint="eastAsia" w:ascii="宋体" w:hAnsi="宋体"/>
          <w:color w:val="auto"/>
          <w:sz w:val="28"/>
          <w:szCs w:val="28"/>
          <w:highlight w:val="none"/>
        </w:rPr>
      </w:pP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3</w:t>
      </w:r>
      <w:r>
        <w:rPr>
          <w:rFonts w:hint="eastAsia" w:ascii="宋体" w:hAnsi="宋体"/>
          <w:color w:val="auto"/>
          <w:sz w:val="28"/>
          <w:szCs w:val="28"/>
          <w:highlight w:val="none"/>
          <w:lang w:eastAsia="zh-CN"/>
        </w:rPr>
        <w:t>）</w:t>
      </w:r>
      <w:r>
        <w:rPr>
          <w:rFonts w:hint="eastAsia" w:ascii="宋体" w:hAnsi="宋体"/>
          <w:color w:val="auto"/>
          <w:sz w:val="28"/>
          <w:szCs w:val="28"/>
          <w:highlight w:val="none"/>
        </w:rPr>
        <w:t>未履行与中心签订的协议（承诺）相应责任义务的；</w:t>
      </w:r>
    </w:p>
    <w:p w14:paraId="739660DC">
      <w:pPr>
        <w:widowControl/>
        <w:spacing w:line="360" w:lineRule="auto"/>
        <w:ind w:right="-540" w:rightChars="-257"/>
        <w:jc w:val="left"/>
        <w:rPr>
          <w:rFonts w:hint="eastAsia" w:ascii="宋体" w:hAnsi="宋体" w:eastAsia="宋体"/>
          <w:color w:val="auto"/>
          <w:sz w:val="28"/>
          <w:szCs w:val="28"/>
          <w:highlight w:val="none"/>
          <w:lang w:val="en-US" w:eastAsia="zh-CN"/>
        </w:rPr>
      </w:pP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4</w:t>
      </w:r>
      <w:r>
        <w:rPr>
          <w:rFonts w:hint="eastAsia" w:ascii="宋体" w:hAnsi="宋体"/>
          <w:color w:val="auto"/>
          <w:sz w:val="28"/>
          <w:szCs w:val="28"/>
          <w:highlight w:val="none"/>
          <w:lang w:eastAsia="zh-CN"/>
        </w:rPr>
        <w:t>）</w:t>
      </w:r>
      <w:r>
        <w:rPr>
          <w:rFonts w:hint="eastAsia" w:ascii="宋体" w:hAnsi="宋体"/>
          <w:color w:val="auto"/>
          <w:sz w:val="28"/>
          <w:szCs w:val="28"/>
          <w:highlight w:val="none"/>
        </w:rPr>
        <w:t>未按时结算本息并划转至对应专户的</w:t>
      </w:r>
      <w:r>
        <w:rPr>
          <w:rFonts w:hint="eastAsia" w:ascii="宋体" w:hAnsi="宋体"/>
          <w:color w:val="auto"/>
          <w:sz w:val="28"/>
          <w:szCs w:val="28"/>
          <w:highlight w:val="none"/>
          <w:lang w:eastAsia="zh-CN"/>
        </w:rPr>
        <w:t>。</w:t>
      </w:r>
    </w:p>
    <w:p w14:paraId="43D0EC13">
      <w:pPr>
        <w:widowControl/>
        <w:spacing w:line="360" w:lineRule="auto"/>
        <w:ind w:left="61" w:leftChars="29" w:right="-540" w:rightChars="-257" w:firstLine="560" w:firstLineChars="200"/>
        <w:jc w:val="left"/>
        <w:rPr>
          <w:rFonts w:ascii="宋体" w:hAnsi="宋体"/>
          <w:color w:val="auto"/>
          <w:sz w:val="28"/>
          <w:szCs w:val="28"/>
          <w:highlight w:val="none"/>
        </w:rPr>
      </w:pPr>
    </w:p>
    <w:p w14:paraId="1EF59763">
      <w:pPr>
        <w:widowControl/>
        <w:spacing w:line="360" w:lineRule="auto"/>
        <w:ind w:left="61" w:leftChars="29" w:right="-540" w:rightChars="-257" w:firstLine="560" w:firstLineChars="200"/>
        <w:jc w:val="left"/>
        <w:rPr>
          <w:rFonts w:ascii="宋体" w:hAnsi="宋体"/>
          <w:color w:val="auto"/>
          <w:sz w:val="28"/>
          <w:szCs w:val="28"/>
          <w:highlight w:val="none"/>
        </w:rPr>
      </w:pPr>
    </w:p>
    <w:p w14:paraId="14C1FBB9">
      <w:pPr>
        <w:widowControl/>
        <w:spacing w:line="360" w:lineRule="auto"/>
        <w:ind w:left="61" w:leftChars="29" w:right="-540" w:rightChars="-257" w:firstLine="480" w:firstLineChars="200"/>
        <w:jc w:val="left"/>
        <w:rPr>
          <w:rFonts w:ascii="宋体" w:hAnsi="宋体"/>
          <w:color w:val="auto"/>
          <w:sz w:val="24"/>
          <w:highlight w:val="none"/>
        </w:rPr>
      </w:pPr>
    </w:p>
    <w:p w14:paraId="5D0FA235">
      <w:pPr>
        <w:pStyle w:val="2"/>
        <w:ind w:firstLine="0"/>
        <w:jc w:val="center"/>
        <w:rPr>
          <w:rFonts w:ascii="宋体" w:hAnsi="宋体"/>
          <w:color w:val="auto"/>
          <w:sz w:val="32"/>
          <w:szCs w:val="32"/>
          <w:highlight w:val="none"/>
        </w:rPr>
      </w:pPr>
      <w:bookmarkStart w:id="3" w:name="_Toc429406698"/>
      <w:r>
        <w:rPr>
          <w:rFonts w:ascii="宋体" w:hAnsi="宋体"/>
          <w:color w:val="auto"/>
          <w:sz w:val="24"/>
          <w:szCs w:val="24"/>
          <w:highlight w:val="none"/>
        </w:rPr>
        <w:br w:type="page"/>
      </w:r>
      <w:bookmarkStart w:id="4" w:name="_Toc454551065"/>
      <w:r>
        <w:rPr>
          <w:rFonts w:hint="eastAsia" w:ascii="宋体" w:hAnsi="宋体"/>
          <w:bCs w:val="0"/>
          <w:i w:val="0"/>
          <w:iCs w:val="0"/>
          <w:color w:val="auto"/>
          <w:sz w:val="32"/>
          <w:szCs w:val="32"/>
          <w:highlight w:val="none"/>
        </w:rPr>
        <w:t>第三章  投标人资料表</w:t>
      </w:r>
      <w:bookmarkEnd w:id="3"/>
      <w:bookmarkEnd w:id="4"/>
    </w:p>
    <w:p w14:paraId="6B5DEA43">
      <w:pPr>
        <w:pStyle w:val="2"/>
        <w:ind w:firstLine="0"/>
        <w:jc w:val="center"/>
        <w:rPr>
          <w:rFonts w:ascii="宋体" w:hAnsi="宋体"/>
          <w:i w:val="0"/>
          <w:color w:val="auto"/>
          <w:sz w:val="28"/>
          <w:szCs w:val="28"/>
          <w:highlight w:val="none"/>
        </w:rPr>
      </w:pPr>
    </w:p>
    <w:p w14:paraId="69052D72">
      <w:pPr>
        <w:pStyle w:val="2"/>
        <w:ind w:firstLine="0"/>
        <w:jc w:val="center"/>
        <w:rPr>
          <w:rFonts w:ascii="宋体" w:hAnsi="宋体"/>
          <w:i w:val="0"/>
          <w:color w:val="auto"/>
          <w:sz w:val="28"/>
          <w:szCs w:val="28"/>
          <w:highlight w:val="none"/>
        </w:rPr>
      </w:pPr>
      <w:bookmarkStart w:id="5" w:name="_Toc444597088"/>
      <w:bookmarkStart w:id="6" w:name="_Toc436314537"/>
      <w:bookmarkStart w:id="7" w:name="_Toc427442449"/>
      <w:bookmarkStart w:id="8" w:name="_Toc429406700"/>
      <w:bookmarkStart w:id="9" w:name="_Toc454551066"/>
      <w:r>
        <w:rPr>
          <w:rFonts w:hint="eastAsia" w:ascii="宋体" w:hAnsi="宋体"/>
          <w:i w:val="0"/>
          <w:color w:val="auto"/>
          <w:sz w:val="28"/>
          <w:szCs w:val="28"/>
          <w:highlight w:val="none"/>
        </w:rPr>
        <w:t>第一部分</w:t>
      </w:r>
      <w:bookmarkStart w:id="10" w:name="_Toc355117095"/>
      <w:bookmarkStart w:id="11" w:name="_Toc259108308"/>
      <w:bookmarkStart w:id="12" w:name="_Toc249866750"/>
      <w:r>
        <w:rPr>
          <w:rFonts w:hint="eastAsia" w:ascii="宋体" w:hAnsi="宋体"/>
          <w:i w:val="0"/>
          <w:color w:val="auto"/>
          <w:sz w:val="28"/>
          <w:szCs w:val="28"/>
          <w:highlight w:val="none"/>
        </w:rPr>
        <w:t xml:space="preserve">  前附表</w:t>
      </w:r>
      <w:bookmarkEnd w:id="5"/>
      <w:bookmarkEnd w:id="6"/>
      <w:bookmarkEnd w:id="7"/>
      <w:bookmarkEnd w:id="8"/>
      <w:bookmarkEnd w:id="9"/>
      <w:bookmarkEnd w:id="10"/>
      <w:bookmarkEnd w:id="11"/>
      <w:bookmarkEnd w:id="12"/>
    </w:p>
    <w:tbl>
      <w:tblPr>
        <w:tblStyle w:val="29"/>
        <w:tblW w:w="946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599"/>
      </w:tblGrid>
      <w:tr w14:paraId="74E36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3AAEEC16">
            <w:pPr>
              <w:snapToGrid w:val="0"/>
              <w:spacing w:line="360" w:lineRule="auto"/>
              <w:jc w:val="center"/>
              <w:rPr>
                <w:rFonts w:ascii="宋体" w:hAnsi="宋体"/>
                <w:b/>
                <w:color w:val="auto"/>
                <w:sz w:val="28"/>
                <w:szCs w:val="28"/>
                <w:highlight w:val="none"/>
              </w:rPr>
            </w:pPr>
            <w:r>
              <w:rPr>
                <w:rFonts w:ascii="宋体" w:hAnsi="宋体"/>
                <w:b/>
                <w:color w:val="auto"/>
                <w:sz w:val="28"/>
                <w:szCs w:val="28"/>
                <w:highlight w:val="none"/>
              </w:rPr>
              <w:t>序号</w:t>
            </w:r>
          </w:p>
        </w:tc>
        <w:tc>
          <w:tcPr>
            <w:tcW w:w="8599" w:type="dxa"/>
            <w:tcBorders>
              <w:top w:val="single" w:color="auto" w:sz="4" w:space="0"/>
              <w:left w:val="single" w:color="auto" w:sz="4" w:space="0"/>
              <w:bottom w:val="single" w:color="auto" w:sz="4" w:space="0"/>
              <w:right w:val="single" w:color="auto" w:sz="4" w:space="0"/>
            </w:tcBorders>
            <w:vAlign w:val="center"/>
          </w:tcPr>
          <w:p w14:paraId="032ED81A">
            <w:pPr>
              <w:snapToGrid w:val="0"/>
              <w:spacing w:line="360" w:lineRule="auto"/>
              <w:jc w:val="center"/>
              <w:rPr>
                <w:rFonts w:ascii="宋体" w:hAnsi="宋体"/>
                <w:b/>
                <w:color w:val="auto"/>
                <w:sz w:val="28"/>
                <w:szCs w:val="28"/>
                <w:highlight w:val="none"/>
              </w:rPr>
            </w:pPr>
            <w:r>
              <w:rPr>
                <w:rFonts w:ascii="宋体" w:hAnsi="宋体"/>
                <w:b/>
                <w:color w:val="auto"/>
                <w:sz w:val="28"/>
                <w:szCs w:val="28"/>
                <w:highlight w:val="none"/>
              </w:rPr>
              <w:t>内容、要求</w:t>
            </w:r>
          </w:p>
        </w:tc>
      </w:tr>
      <w:tr w14:paraId="392BDD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5360818">
            <w:pPr>
              <w:snapToGrid w:val="0"/>
              <w:spacing w:line="360" w:lineRule="auto"/>
              <w:jc w:val="center"/>
              <w:rPr>
                <w:rFonts w:ascii="宋体" w:hAnsi="宋体"/>
                <w:b/>
                <w:color w:val="auto"/>
                <w:sz w:val="28"/>
                <w:szCs w:val="28"/>
                <w:highlight w:val="none"/>
              </w:rPr>
            </w:pPr>
            <w:r>
              <w:rPr>
                <w:rFonts w:ascii="宋体" w:hAnsi="宋体"/>
                <w:b/>
                <w:color w:val="auto"/>
                <w:sz w:val="28"/>
                <w:szCs w:val="28"/>
                <w:highlight w:val="none"/>
              </w:rPr>
              <w:t>1</w:t>
            </w:r>
          </w:p>
        </w:tc>
        <w:tc>
          <w:tcPr>
            <w:tcW w:w="8599" w:type="dxa"/>
            <w:tcBorders>
              <w:top w:val="single" w:color="auto" w:sz="4" w:space="0"/>
              <w:left w:val="single" w:color="auto" w:sz="4" w:space="0"/>
              <w:bottom w:val="single" w:color="auto" w:sz="4" w:space="0"/>
              <w:right w:val="single" w:color="auto" w:sz="4" w:space="0"/>
            </w:tcBorders>
            <w:vAlign w:val="center"/>
          </w:tcPr>
          <w:p w14:paraId="63B7FCCD">
            <w:pPr>
              <w:widowControl/>
              <w:spacing w:line="360" w:lineRule="auto"/>
              <w:ind w:right="62"/>
              <w:jc w:val="left"/>
              <w:rPr>
                <w:rFonts w:hint="eastAsia" w:ascii="宋体" w:hAnsi="宋体" w:eastAsia="宋体"/>
                <w:b/>
                <w:color w:val="auto"/>
                <w:sz w:val="28"/>
                <w:szCs w:val="28"/>
                <w:highlight w:val="none"/>
                <w:lang w:eastAsia="zh-CN"/>
              </w:rPr>
            </w:pPr>
            <w:r>
              <w:rPr>
                <w:rFonts w:ascii="宋体" w:hAnsi="宋体"/>
                <w:b/>
                <w:color w:val="auto"/>
                <w:sz w:val="28"/>
                <w:szCs w:val="28"/>
                <w:highlight w:val="none"/>
              </w:rPr>
              <w:t>项目名称：</w:t>
            </w:r>
            <w:r>
              <w:rPr>
                <w:rFonts w:hint="eastAsia" w:ascii="宋体" w:hAnsi="宋体"/>
                <w:color w:val="auto"/>
                <w:sz w:val="28"/>
                <w:szCs w:val="28"/>
                <w:highlight w:val="none"/>
                <w:lang w:eastAsia="zh-CN"/>
              </w:rPr>
              <w:t>宁波市本级住房公积金定期存款竞争性存放（2025年第一期）银行招标项目</w:t>
            </w:r>
          </w:p>
        </w:tc>
      </w:tr>
      <w:tr w14:paraId="5CC75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466BBEC1">
            <w:pPr>
              <w:snapToGrid w:val="0"/>
              <w:spacing w:line="360" w:lineRule="auto"/>
              <w:jc w:val="center"/>
              <w:rPr>
                <w:rFonts w:ascii="宋体" w:hAnsi="宋体"/>
                <w:color w:val="auto"/>
                <w:sz w:val="28"/>
                <w:szCs w:val="28"/>
                <w:highlight w:val="none"/>
              </w:rPr>
            </w:pPr>
            <w:r>
              <w:rPr>
                <w:rFonts w:ascii="宋体" w:hAnsi="宋体"/>
                <w:color w:val="auto"/>
                <w:sz w:val="28"/>
                <w:szCs w:val="28"/>
                <w:highlight w:val="none"/>
              </w:rPr>
              <w:t>2</w:t>
            </w:r>
          </w:p>
        </w:tc>
        <w:tc>
          <w:tcPr>
            <w:tcW w:w="8599" w:type="dxa"/>
            <w:tcBorders>
              <w:top w:val="single" w:color="auto" w:sz="4" w:space="0"/>
              <w:left w:val="single" w:color="auto" w:sz="4" w:space="0"/>
              <w:bottom w:val="single" w:color="auto" w:sz="4" w:space="0"/>
              <w:right w:val="single" w:color="auto" w:sz="4" w:space="0"/>
            </w:tcBorders>
            <w:vAlign w:val="center"/>
          </w:tcPr>
          <w:p w14:paraId="09D0CA28">
            <w:pPr>
              <w:spacing w:line="360" w:lineRule="auto"/>
              <w:rPr>
                <w:rFonts w:ascii="宋体" w:hAnsi="宋体"/>
                <w:color w:val="auto"/>
                <w:sz w:val="28"/>
                <w:szCs w:val="28"/>
                <w:highlight w:val="none"/>
              </w:rPr>
            </w:pPr>
            <w:r>
              <w:rPr>
                <w:rFonts w:ascii="宋体" w:hAnsi="宋体"/>
                <w:b/>
                <w:color w:val="auto"/>
                <w:sz w:val="28"/>
                <w:szCs w:val="28"/>
                <w:highlight w:val="none"/>
              </w:rPr>
              <w:t>招标</w:t>
            </w:r>
            <w:r>
              <w:rPr>
                <w:rFonts w:hint="eastAsia" w:ascii="宋体" w:hAnsi="宋体"/>
                <w:b/>
                <w:color w:val="auto"/>
                <w:sz w:val="28"/>
                <w:szCs w:val="28"/>
                <w:highlight w:val="none"/>
              </w:rPr>
              <w:t>额度</w:t>
            </w:r>
            <w:r>
              <w:rPr>
                <w:rFonts w:ascii="宋体" w:hAnsi="宋体"/>
                <w:b/>
                <w:color w:val="auto"/>
                <w:sz w:val="28"/>
                <w:szCs w:val="28"/>
                <w:highlight w:val="none"/>
              </w:rPr>
              <w:t>：</w:t>
            </w:r>
            <w:r>
              <w:rPr>
                <w:rFonts w:hint="eastAsia" w:ascii="宋体" w:hAnsi="宋体"/>
                <w:color w:val="auto"/>
                <w:sz w:val="28"/>
                <w:szCs w:val="28"/>
                <w:highlight w:val="none"/>
              </w:rPr>
              <w:t>宁波市本级住房公积金定期存款竞争性存放（</w:t>
            </w:r>
            <w:r>
              <w:rPr>
                <w:rFonts w:hint="eastAsia" w:ascii="宋体" w:hAnsi="宋体"/>
                <w:color w:val="auto"/>
                <w:sz w:val="28"/>
                <w:szCs w:val="28"/>
                <w:highlight w:val="none"/>
                <w:lang w:eastAsia="zh-CN"/>
              </w:rPr>
              <w:t>2024年第一期</w:t>
            </w:r>
            <w:r>
              <w:rPr>
                <w:rFonts w:hint="eastAsia" w:ascii="宋体" w:hAnsi="宋体"/>
                <w:color w:val="auto"/>
                <w:sz w:val="28"/>
                <w:szCs w:val="28"/>
                <w:highlight w:val="none"/>
              </w:rPr>
              <w:t>）的资金规模为</w:t>
            </w:r>
            <w:r>
              <w:rPr>
                <w:rFonts w:hint="eastAsia" w:ascii="宋体" w:hAnsi="宋体"/>
                <w:color w:val="auto"/>
                <w:sz w:val="28"/>
                <w:szCs w:val="28"/>
                <w:highlight w:val="none"/>
                <w:lang w:val="en-US" w:eastAsia="zh-CN"/>
              </w:rPr>
              <w:t>10</w:t>
            </w:r>
            <w:r>
              <w:rPr>
                <w:rFonts w:hint="eastAsia" w:ascii="宋体" w:hAnsi="宋体"/>
                <w:color w:val="auto"/>
                <w:sz w:val="28"/>
                <w:szCs w:val="28"/>
                <w:highlight w:val="none"/>
              </w:rPr>
              <w:t>亿元，设置</w:t>
            </w:r>
            <w:r>
              <w:rPr>
                <w:rFonts w:hint="eastAsia" w:ascii="宋体" w:hAnsi="宋体"/>
                <w:color w:val="auto"/>
                <w:sz w:val="28"/>
                <w:szCs w:val="28"/>
                <w:highlight w:val="none"/>
                <w:lang w:val="en-US" w:eastAsia="zh-CN"/>
              </w:rPr>
              <w:t>14</w:t>
            </w:r>
            <w:r>
              <w:rPr>
                <w:rFonts w:hint="eastAsia" w:ascii="宋体" w:hAnsi="宋体"/>
                <w:color w:val="auto"/>
                <w:sz w:val="28"/>
                <w:szCs w:val="28"/>
                <w:highlight w:val="none"/>
              </w:rPr>
              <w:t>个存放标段。标段一</w:t>
            </w:r>
            <w:r>
              <w:rPr>
                <w:rFonts w:hint="eastAsia" w:ascii="宋体" w:hAnsi="宋体"/>
                <w:color w:val="auto"/>
                <w:sz w:val="28"/>
                <w:szCs w:val="28"/>
                <w:highlight w:val="none"/>
                <w:lang w:val="en-US" w:eastAsia="zh-CN"/>
              </w:rPr>
              <w:t>19000</w:t>
            </w:r>
            <w:r>
              <w:rPr>
                <w:rFonts w:hint="eastAsia" w:ascii="宋体" w:hAnsi="宋体"/>
                <w:color w:val="auto"/>
                <w:sz w:val="28"/>
                <w:szCs w:val="28"/>
                <w:highlight w:val="none"/>
              </w:rPr>
              <w:t>万元、标段二</w:t>
            </w:r>
            <w:r>
              <w:rPr>
                <w:rFonts w:hint="eastAsia" w:ascii="宋体" w:hAnsi="宋体"/>
                <w:color w:val="auto"/>
                <w:sz w:val="28"/>
                <w:szCs w:val="28"/>
                <w:highlight w:val="none"/>
                <w:lang w:val="en-US" w:eastAsia="zh-CN"/>
              </w:rPr>
              <w:t>16000</w:t>
            </w:r>
            <w:r>
              <w:rPr>
                <w:rFonts w:hint="eastAsia" w:ascii="宋体" w:hAnsi="宋体"/>
                <w:color w:val="auto"/>
                <w:sz w:val="28"/>
                <w:szCs w:val="28"/>
                <w:highlight w:val="none"/>
              </w:rPr>
              <w:t>万元、标段三</w:t>
            </w:r>
            <w:r>
              <w:rPr>
                <w:rFonts w:hint="eastAsia" w:ascii="宋体" w:hAnsi="宋体"/>
                <w:color w:val="auto"/>
                <w:sz w:val="28"/>
                <w:szCs w:val="28"/>
                <w:highlight w:val="none"/>
                <w:lang w:val="en-US" w:eastAsia="zh-CN"/>
              </w:rPr>
              <w:t>13000</w:t>
            </w:r>
            <w:r>
              <w:rPr>
                <w:rFonts w:hint="eastAsia" w:ascii="宋体" w:hAnsi="宋体"/>
                <w:color w:val="auto"/>
                <w:sz w:val="28"/>
                <w:szCs w:val="28"/>
                <w:highlight w:val="none"/>
              </w:rPr>
              <w:t>万元、标段四</w:t>
            </w:r>
            <w:r>
              <w:rPr>
                <w:rFonts w:hint="eastAsia" w:ascii="宋体" w:hAnsi="宋体"/>
                <w:color w:val="auto"/>
                <w:sz w:val="28"/>
                <w:szCs w:val="28"/>
                <w:highlight w:val="none"/>
                <w:lang w:val="en-US" w:eastAsia="zh-CN"/>
              </w:rPr>
              <w:t>11000</w:t>
            </w:r>
            <w:r>
              <w:rPr>
                <w:rFonts w:hint="eastAsia" w:ascii="宋体" w:hAnsi="宋体"/>
                <w:color w:val="auto"/>
                <w:sz w:val="28"/>
                <w:szCs w:val="28"/>
                <w:highlight w:val="none"/>
              </w:rPr>
              <w:t>万元、标段五</w:t>
            </w:r>
            <w:r>
              <w:rPr>
                <w:rFonts w:hint="eastAsia" w:ascii="宋体" w:hAnsi="宋体"/>
                <w:color w:val="auto"/>
                <w:sz w:val="28"/>
                <w:szCs w:val="28"/>
                <w:highlight w:val="none"/>
                <w:lang w:val="en-US" w:eastAsia="zh-CN"/>
              </w:rPr>
              <w:t>9000</w:t>
            </w:r>
            <w:r>
              <w:rPr>
                <w:rFonts w:hint="eastAsia" w:ascii="宋体" w:hAnsi="宋体"/>
                <w:color w:val="auto"/>
                <w:sz w:val="28"/>
                <w:szCs w:val="28"/>
                <w:highlight w:val="none"/>
              </w:rPr>
              <w:t>万元、标段六</w:t>
            </w:r>
            <w:r>
              <w:rPr>
                <w:rFonts w:hint="eastAsia" w:ascii="宋体" w:hAnsi="宋体"/>
                <w:color w:val="auto"/>
                <w:sz w:val="28"/>
                <w:szCs w:val="28"/>
                <w:highlight w:val="none"/>
                <w:lang w:val="en-US" w:eastAsia="zh-CN"/>
              </w:rPr>
              <w:t>7000</w:t>
            </w:r>
            <w:r>
              <w:rPr>
                <w:rFonts w:hint="eastAsia" w:ascii="宋体" w:hAnsi="宋体"/>
                <w:color w:val="auto"/>
                <w:sz w:val="28"/>
                <w:szCs w:val="28"/>
                <w:highlight w:val="none"/>
              </w:rPr>
              <w:t>万元、标段七</w:t>
            </w:r>
            <w:r>
              <w:rPr>
                <w:rFonts w:hint="eastAsia" w:ascii="宋体" w:hAnsi="宋体"/>
                <w:color w:val="auto"/>
                <w:sz w:val="28"/>
                <w:szCs w:val="28"/>
                <w:highlight w:val="none"/>
                <w:lang w:val="en-US" w:eastAsia="zh-CN"/>
              </w:rPr>
              <w:t>6000</w:t>
            </w:r>
            <w:r>
              <w:rPr>
                <w:rFonts w:hint="eastAsia" w:ascii="宋体" w:hAnsi="宋体"/>
                <w:color w:val="auto"/>
                <w:sz w:val="28"/>
                <w:szCs w:val="28"/>
                <w:highlight w:val="none"/>
              </w:rPr>
              <w:t>万元、标段八</w:t>
            </w:r>
            <w:r>
              <w:rPr>
                <w:rFonts w:hint="eastAsia" w:ascii="宋体" w:hAnsi="宋体"/>
                <w:color w:val="auto"/>
                <w:sz w:val="28"/>
                <w:szCs w:val="28"/>
                <w:highlight w:val="none"/>
                <w:lang w:val="en-US" w:eastAsia="zh-CN"/>
              </w:rPr>
              <w:t>5000</w:t>
            </w:r>
            <w:r>
              <w:rPr>
                <w:rFonts w:hint="eastAsia" w:ascii="宋体" w:hAnsi="宋体"/>
                <w:color w:val="auto"/>
                <w:sz w:val="28"/>
                <w:szCs w:val="28"/>
                <w:highlight w:val="none"/>
              </w:rPr>
              <w:t>万元、标段九</w:t>
            </w:r>
            <w:r>
              <w:rPr>
                <w:rFonts w:hint="eastAsia" w:ascii="宋体" w:hAnsi="宋体"/>
                <w:color w:val="auto"/>
                <w:sz w:val="28"/>
                <w:szCs w:val="28"/>
                <w:highlight w:val="none"/>
                <w:lang w:val="en-US" w:eastAsia="zh-CN"/>
              </w:rPr>
              <w:t>4000</w:t>
            </w:r>
            <w:r>
              <w:rPr>
                <w:rFonts w:hint="eastAsia" w:ascii="宋体" w:hAnsi="宋体"/>
                <w:color w:val="auto"/>
                <w:sz w:val="28"/>
                <w:szCs w:val="28"/>
                <w:highlight w:val="none"/>
              </w:rPr>
              <w:t>万元 、标段十</w:t>
            </w:r>
            <w:r>
              <w:rPr>
                <w:rFonts w:hint="eastAsia" w:ascii="宋体" w:hAnsi="宋体"/>
                <w:color w:val="auto"/>
                <w:sz w:val="28"/>
                <w:szCs w:val="28"/>
                <w:highlight w:val="none"/>
                <w:lang w:val="en-US" w:eastAsia="zh-CN"/>
              </w:rPr>
              <w:t>3000</w:t>
            </w:r>
            <w:r>
              <w:rPr>
                <w:rFonts w:hint="eastAsia" w:ascii="宋体" w:hAnsi="宋体"/>
                <w:color w:val="auto"/>
                <w:sz w:val="28"/>
                <w:szCs w:val="28"/>
                <w:highlight w:val="none"/>
              </w:rPr>
              <w:t>万元、标段十一</w:t>
            </w:r>
            <w:r>
              <w:rPr>
                <w:rFonts w:hint="eastAsia" w:ascii="宋体" w:hAnsi="宋体"/>
                <w:color w:val="auto"/>
                <w:sz w:val="28"/>
                <w:szCs w:val="28"/>
                <w:highlight w:val="none"/>
                <w:lang w:val="en-US" w:eastAsia="zh-CN"/>
              </w:rPr>
              <w:t>2500</w:t>
            </w:r>
            <w:r>
              <w:rPr>
                <w:rFonts w:hint="eastAsia" w:ascii="宋体" w:hAnsi="宋体"/>
                <w:color w:val="auto"/>
                <w:sz w:val="28"/>
                <w:szCs w:val="28"/>
                <w:highlight w:val="none"/>
              </w:rPr>
              <w:t>万元、标段十二</w:t>
            </w:r>
            <w:r>
              <w:rPr>
                <w:rFonts w:hint="eastAsia" w:ascii="宋体" w:hAnsi="宋体"/>
                <w:color w:val="auto"/>
                <w:sz w:val="28"/>
                <w:szCs w:val="28"/>
                <w:highlight w:val="none"/>
                <w:lang w:val="en-US" w:eastAsia="zh-CN"/>
              </w:rPr>
              <w:t>2000</w:t>
            </w:r>
            <w:r>
              <w:rPr>
                <w:rFonts w:hint="eastAsia" w:ascii="宋体" w:hAnsi="宋体"/>
                <w:color w:val="auto"/>
                <w:sz w:val="28"/>
                <w:szCs w:val="28"/>
                <w:highlight w:val="none"/>
              </w:rPr>
              <w:t>万元、标段十三</w:t>
            </w:r>
            <w:r>
              <w:rPr>
                <w:rFonts w:hint="eastAsia" w:ascii="宋体" w:hAnsi="宋体"/>
                <w:color w:val="auto"/>
                <w:sz w:val="28"/>
                <w:szCs w:val="28"/>
                <w:highlight w:val="none"/>
                <w:lang w:val="en-US" w:eastAsia="zh-CN"/>
              </w:rPr>
              <w:t>1500</w:t>
            </w:r>
            <w:r>
              <w:rPr>
                <w:rFonts w:hint="eastAsia" w:ascii="宋体" w:hAnsi="宋体"/>
                <w:color w:val="auto"/>
                <w:sz w:val="28"/>
                <w:szCs w:val="28"/>
                <w:highlight w:val="none"/>
              </w:rPr>
              <w:t>万元、标段十四</w:t>
            </w:r>
            <w:r>
              <w:rPr>
                <w:rFonts w:hint="eastAsia" w:ascii="宋体" w:hAnsi="宋体"/>
                <w:color w:val="auto"/>
                <w:sz w:val="28"/>
                <w:szCs w:val="28"/>
                <w:highlight w:val="none"/>
                <w:lang w:val="en-US" w:eastAsia="zh-CN"/>
              </w:rPr>
              <w:t>1000</w:t>
            </w:r>
            <w:r>
              <w:rPr>
                <w:rFonts w:hint="eastAsia" w:ascii="宋体" w:hAnsi="宋体"/>
                <w:color w:val="auto"/>
                <w:sz w:val="28"/>
                <w:szCs w:val="28"/>
                <w:highlight w:val="none"/>
              </w:rPr>
              <w:t>万元</w:t>
            </w:r>
            <w:r>
              <w:rPr>
                <w:rFonts w:hint="eastAsia" w:ascii="宋体" w:hAnsi="宋体"/>
                <w:color w:val="auto"/>
                <w:sz w:val="28"/>
                <w:szCs w:val="28"/>
                <w:highlight w:val="none"/>
                <w:lang w:eastAsia="zh-CN"/>
              </w:rPr>
              <w:t>，</w:t>
            </w:r>
            <w:r>
              <w:rPr>
                <w:rFonts w:hint="eastAsia" w:ascii="宋体" w:hAnsi="宋体"/>
                <w:color w:val="auto"/>
                <w:sz w:val="28"/>
                <w:szCs w:val="28"/>
                <w:highlight w:val="none"/>
                <w:lang w:val="en-US" w:eastAsia="zh-CN"/>
              </w:rPr>
              <w:t>以上各标段50%资金的存放周期为一年，各标段剩余50%资金的存放周期为六个月</w:t>
            </w:r>
            <w:r>
              <w:rPr>
                <w:rFonts w:hint="eastAsia" w:ascii="宋体" w:hAnsi="宋体"/>
                <w:color w:val="auto"/>
                <w:sz w:val="28"/>
                <w:szCs w:val="28"/>
                <w:highlight w:val="none"/>
                <w:lang w:eastAsia="zh-CN"/>
              </w:rPr>
              <w:t>。</w:t>
            </w:r>
          </w:p>
        </w:tc>
      </w:tr>
      <w:tr w14:paraId="53359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154D2844">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3</w:t>
            </w:r>
          </w:p>
        </w:tc>
        <w:tc>
          <w:tcPr>
            <w:tcW w:w="8599" w:type="dxa"/>
            <w:tcBorders>
              <w:top w:val="single" w:color="auto" w:sz="4" w:space="0"/>
              <w:left w:val="single" w:color="auto" w:sz="4" w:space="0"/>
              <w:bottom w:val="single" w:color="auto" w:sz="4" w:space="0"/>
              <w:right w:val="single" w:color="auto" w:sz="4" w:space="0"/>
            </w:tcBorders>
            <w:vAlign w:val="center"/>
          </w:tcPr>
          <w:p w14:paraId="33E845EA">
            <w:pPr>
              <w:snapToGrid w:val="0"/>
              <w:spacing w:line="360" w:lineRule="auto"/>
              <w:rPr>
                <w:rFonts w:ascii="宋体" w:hAnsi="宋体"/>
                <w:color w:val="auto"/>
                <w:sz w:val="28"/>
                <w:szCs w:val="28"/>
                <w:highlight w:val="none"/>
              </w:rPr>
            </w:pPr>
            <w:r>
              <w:rPr>
                <w:rFonts w:ascii="宋体" w:hAnsi="宋体"/>
                <w:b/>
                <w:color w:val="auto"/>
                <w:sz w:val="28"/>
                <w:szCs w:val="28"/>
                <w:highlight w:val="none"/>
              </w:rPr>
              <w:t>答疑与澄清：</w:t>
            </w:r>
            <w:r>
              <w:rPr>
                <w:rFonts w:hint="eastAsia" w:ascii="宋体" w:hAnsi="宋体"/>
                <w:color w:val="auto"/>
                <w:sz w:val="28"/>
                <w:szCs w:val="28"/>
                <w:highlight w:val="none"/>
              </w:rPr>
              <w:t>投标人如认为招标文件表述不清晰、存在歧视性或者其他违法内容的，应当在投标截止时间15日前，以书面形式要求招标单位做出书面解释、澄清或者向招标单位提出书面质疑。招标单位将不专门组织答疑；如有答疑，答疑内容是招标文件的组成部分，并将以书面形式通知所有已报名的投标人；如有澄清，澄清内容是招标文件的组成部分，并将以书面形式或在规定的信息发布网站上通知所有已报名的投标人；因其他紧急情况影响本项目正常招标活动的，招标单位将于投标截止日期3天前书面通知所有已报名的投标人。</w:t>
            </w:r>
          </w:p>
        </w:tc>
      </w:tr>
      <w:tr w14:paraId="781BF8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4A01BC0">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▲4</w:t>
            </w:r>
          </w:p>
        </w:tc>
        <w:tc>
          <w:tcPr>
            <w:tcW w:w="8599" w:type="dxa"/>
            <w:tcBorders>
              <w:top w:val="single" w:color="auto" w:sz="4" w:space="0"/>
              <w:left w:val="single" w:color="auto" w:sz="4" w:space="0"/>
              <w:bottom w:val="single" w:color="auto" w:sz="4" w:space="0"/>
              <w:right w:val="single" w:color="auto" w:sz="4" w:space="0"/>
            </w:tcBorders>
            <w:vAlign w:val="center"/>
          </w:tcPr>
          <w:p w14:paraId="09F0283F">
            <w:pPr>
              <w:autoSpaceDE w:val="0"/>
              <w:autoSpaceDN w:val="0"/>
              <w:snapToGrid w:val="0"/>
              <w:spacing w:line="360" w:lineRule="auto"/>
              <w:textAlignment w:val="bottom"/>
              <w:rPr>
                <w:rFonts w:ascii="宋体" w:hAnsi="宋体"/>
                <w:color w:val="auto"/>
                <w:sz w:val="28"/>
                <w:szCs w:val="28"/>
                <w:highlight w:val="none"/>
              </w:rPr>
            </w:pPr>
            <w:r>
              <w:rPr>
                <w:rFonts w:ascii="宋体" w:hAnsi="宋体"/>
                <w:b/>
                <w:color w:val="auto"/>
                <w:sz w:val="28"/>
                <w:szCs w:val="28"/>
                <w:highlight w:val="none"/>
              </w:rPr>
              <w:t>投标文件组成：</w:t>
            </w:r>
            <w:r>
              <w:rPr>
                <w:rFonts w:hint="eastAsia" w:ascii="宋体" w:hAnsi="宋体"/>
                <w:b/>
                <w:color w:val="auto"/>
                <w:sz w:val="28"/>
                <w:szCs w:val="28"/>
                <w:highlight w:val="none"/>
              </w:rPr>
              <w:t>本项目实行网上投标，投标人应准备以下投标文件：</w:t>
            </w:r>
          </w:p>
          <w:p w14:paraId="2A9B3F93">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（1）投标声明书；</w:t>
            </w:r>
          </w:p>
          <w:p w14:paraId="6E940426">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（2）投标报价一览表；</w:t>
            </w:r>
          </w:p>
          <w:p w14:paraId="5C755338">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（3）法定代表人身份证明书或法定代表人/分行负责人授权委托书；</w:t>
            </w:r>
          </w:p>
          <w:p w14:paraId="31B58C47">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（4）投标人基本情况声明；</w:t>
            </w:r>
          </w:p>
          <w:p w14:paraId="4A3A33A4">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（5）投标人资格证明文件；</w:t>
            </w:r>
          </w:p>
          <w:p w14:paraId="4A83648E">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（6）202</w:t>
            </w:r>
            <w:r>
              <w:rPr>
                <w:rFonts w:hint="eastAsia" w:ascii="宋体" w:hAnsi="宋体"/>
                <w:color w:val="auto"/>
                <w:sz w:val="28"/>
                <w:szCs w:val="28"/>
                <w:highlight w:val="none"/>
                <w:lang w:val="en-US" w:eastAsia="zh-CN"/>
              </w:rPr>
              <w:t>3</w:t>
            </w:r>
            <w:r>
              <w:rPr>
                <w:rFonts w:hint="eastAsia" w:ascii="宋体" w:hAnsi="宋体"/>
                <w:color w:val="auto"/>
                <w:sz w:val="28"/>
                <w:szCs w:val="28"/>
                <w:highlight w:val="none"/>
              </w:rPr>
              <w:t>年度资产负债表和损益表；</w:t>
            </w:r>
          </w:p>
          <w:p w14:paraId="45ED432F">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（7）根据第四章评分标准中的内容提供相应的资料；</w:t>
            </w:r>
          </w:p>
          <w:p w14:paraId="3B215D16">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（8）投标人认为需提供的其他资料。</w:t>
            </w:r>
          </w:p>
          <w:p w14:paraId="5F16BD25">
            <w:pPr>
              <w:autoSpaceDE w:val="0"/>
              <w:autoSpaceDN w:val="0"/>
              <w:snapToGrid w:val="0"/>
              <w:spacing w:line="360" w:lineRule="auto"/>
              <w:textAlignment w:val="bottom"/>
              <w:rPr>
                <w:rFonts w:ascii="宋体" w:hAnsi="宋体"/>
                <w:b/>
                <w:color w:val="auto"/>
                <w:sz w:val="28"/>
                <w:szCs w:val="28"/>
                <w:highlight w:val="none"/>
              </w:rPr>
            </w:pPr>
            <w:r>
              <w:rPr>
                <w:rFonts w:hint="eastAsia" w:ascii="宋体" w:hAnsi="宋体"/>
                <w:b/>
                <w:color w:val="auto"/>
                <w:sz w:val="28"/>
                <w:szCs w:val="28"/>
                <w:highlight w:val="none"/>
              </w:rPr>
              <w:t xml:space="preserve">注意事项 </w:t>
            </w:r>
          </w:p>
          <w:p w14:paraId="7F95B0E8">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 xml:space="preserve">（1）电子投标文件中所须加盖公章部分均采用 CA 签章。 </w:t>
            </w:r>
          </w:p>
          <w:p w14:paraId="04C17D96">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（2）上述组成投标文件的各项资料中本招标文件的有规定格式的，应统一按本招标文件的规定格式填写。未有规定格式的资料，投标人应自行编制，但至少要包含以上要求的内容。</w:t>
            </w:r>
          </w:p>
        </w:tc>
      </w:tr>
      <w:tr w14:paraId="1304A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3CCC3E78">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5</w:t>
            </w:r>
          </w:p>
        </w:tc>
        <w:tc>
          <w:tcPr>
            <w:tcW w:w="8599" w:type="dxa"/>
            <w:tcBorders>
              <w:top w:val="single" w:color="auto" w:sz="4" w:space="0"/>
              <w:left w:val="single" w:color="auto" w:sz="4" w:space="0"/>
              <w:bottom w:val="single" w:color="auto" w:sz="4" w:space="0"/>
              <w:right w:val="single" w:color="auto" w:sz="4" w:space="0"/>
            </w:tcBorders>
            <w:vAlign w:val="center"/>
          </w:tcPr>
          <w:p w14:paraId="0CD0C6AF">
            <w:pPr>
              <w:snapToGrid w:val="0"/>
              <w:spacing w:line="360" w:lineRule="auto"/>
              <w:rPr>
                <w:rFonts w:ascii="宋体" w:hAnsi="宋体"/>
                <w:color w:val="auto"/>
                <w:sz w:val="28"/>
                <w:szCs w:val="28"/>
                <w:highlight w:val="none"/>
              </w:rPr>
            </w:pPr>
            <w:r>
              <w:rPr>
                <w:rFonts w:ascii="宋体" w:hAnsi="宋体"/>
                <w:b/>
                <w:color w:val="auto"/>
                <w:sz w:val="28"/>
                <w:szCs w:val="28"/>
                <w:highlight w:val="none"/>
              </w:rPr>
              <w:t>投标截止时间及地点：</w:t>
            </w:r>
            <w:r>
              <w:rPr>
                <w:rFonts w:hint="eastAsia" w:ascii="宋体" w:hAnsi="宋体"/>
                <w:color w:val="auto"/>
                <w:sz w:val="28"/>
                <w:szCs w:val="28"/>
                <w:highlight w:val="none"/>
                <w:u w:val="single"/>
              </w:rPr>
              <w:t>见招标公告</w:t>
            </w:r>
          </w:p>
        </w:tc>
      </w:tr>
      <w:tr w14:paraId="1072E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5BA7490D">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6</w:t>
            </w:r>
          </w:p>
        </w:tc>
        <w:tc>
          <w:tcPr>
            <w:tcW w:w="8599" w:type="dxa"/>
            <w:tcBorders>
              <w:top w:val="single" w:color="auto" w:sz="4" w:space="0"/>
              <w:left w:val="single" w:color="auto" w:sz="4" w:space="0"/>
              <w:bottom w:val="single" w:color="auto" w:sz="4" w:space="0"/>
              <w:right w:val="single" w:color="auto" w:sz="4" w:space="0"/>
            </w:tcBorders>
            <w:vAlign w:val="center"/>
          </w:tcPr>
          <w:p w14:paraId="08FB8D2C">
            <w:pPr>
              <w:snapToGrid w:val="0"/>
              <w:spacing w:line="360" w:lineRule="auto"/>
              <w:rPr>
                <w:rFonts w:ascii="宋体" w:hAnsi="宋体"/>
                <w:color w:val="auto"/>
                <w:sz w:val="28"/>
                <w:szCs w:val="28"/>
                <w:highlight w:val="none"/>
              </w:rPr>
            </w:pPr>
            <w:r>
              <w:rPr>
                <w:rFonts w:ascii="宋体" w:hAnsi="宋体"/>
                <w:b/>
                <w:color w:val="auto"/>
                <w:sz w:val="28"/>
                <w:szCs w:val="28"/>
                <w:highlight w:val="none"/>
              </w:rPr>
              <w:t>开标时间及地点：</w:t>
            </w:r>
            <w:r>
              <w:rPr>
                <w:rFonts w:hint="eastAsia" w:ascii="宋体" w:hAnsi="宋体"/>
                <w:color w:val="auto"/>
                <w:sz w:val="28"/>
                <w:szCs w:val="28"/>
                <w:highlight w:val="none"/>
                <w:u w:val="single"/>
              </w:rPr>
              <w:t>见招标公告</w:t>
            </w:r>
          </w:p>
        </w:tc>
      </w:tr>
      <w:tr w14:paraId="116C9E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2A330132">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7</w:t>
            </w:r>
          </w:p>
        </w:tc>
        <w:tc>
          <w:tcPr>
            <w:tcW w:w="8599" w:type="dxa"/>
            <w:tcBorders>
              <w:top w:val="single" w:color="auto" w:sz="4" w:space="0"/>
              <w:left w:val="single" w:color="auto" w:sz="4" w:space="0"/>
              <w:bottom w:val="single" w:color="auto" w:sz="4" w:space="0"/>
              <w:right w:val="single" w:color="auto" w:sz="4" w:space="0"/>
            </w:tcBorders>
            <w:vAlign w:val="center"/>
          </w:tcPr>
          <w:p w14:paraId="039C0EA4">
            <w:pPr>
              <w:autoSpaceDE w:val="0"/>
              <w:autoSpaceDN w:val="0"/>
              <w:snapToGrid w:val="0"/>
              <w:spacing w:line="360" w:lineRule="auto"/>
              <w:textAlignment w:val="bottom"/>
              <w:rPr>
                <w:rFonts w:ascii="宋体" w:hAnsi="宋体"/>
                <w:color w:val="auto"/>
                <w:sz w:val="28"/>
                <w:szCs w:val="28"/>
                <w:highlight w:val="none"/>
              </w:rPr>
            </w:pPr>
            <w:r>
              <w:rPr>
                <w:rFonts w:ascii="宋体" w:hAnsi="宋体"/>
                <w:b/>
                <w:color w:val="auto"/>
                <w:sz w:val="28"/>
                <w:szCs w:val="28"/>
                <w:highlight w:val="none"/>
              </w:rPr>
              <w:t>评标办法：</w:t>
            </w:r>
            <w:r>
              <w:rPr>
                <w:rFonts w:ascii="宋体" w:hAnsi="宋体"/>
                <w:color w:val="auto"/>
                <w:sz w:val="28"/>
                <w:szCs w:val="28"/>
                <w:highlight w:val="none"/>
                <w:u w:val="single"/>
              </w:rPr>
              <w:t>综合评分法</w:t>
            </w:r>
          </w:p>
        </w:tc>
      </w:tr>
      <w:tr w14:paraId="090283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6F31C695">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8</w:t>
            </w:r>
          </w:p>
        </w:tc>
        <w:tc>
          <w:tcPr>
            <w:tcW w:w="8599" w:type="dxa"/>
            <w:tcBorders>
              <w:top w:val="single" w:color="auto" w:sz="4" w:space="0"/>
              <w:left w:val="single" w:color="auto" w:sz="4" w:space="0"/>
              <w:bottom w:val="single" w:color="auto" w:sz="4" w:space="0"/>
              <w:right w:val="single" w:color="auto" w:sz="4" w:space="0"/>
            </w:tcBorders>
            <w:vAlign w:val="center"/>
          </w:tcPr>
          <w:p w14:paraId="0ECB456E">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b/>
                <w:color w:val="auto"/>
                <w:sz w:val="28"/>
                <w:szCs w:val="28"/>
                <w:highlight w:val="none"/>
              </w:rPr>
              <w:t>招标信息</w:t>
            </w:r>
            <w:r>
              <w:rPr>
                <w:rFonts w:ascii="宋体" w:hAnsi="宋体"/>
                <w:b/>
                <w:color w:val="auto"/>
                <w:sz w:val="28"/>
                <w:szCs w:val="28"/>
                <w:highlight w:val="none"/>
              </w:rPr>
              <w:t>公示：</w:t>
            </w:r>
            <w:r>
              <w:rPr>
                <w:rFonts w:hint="eastAsia" w:ascii="宋体" w:hAnsi="宋体"/>
                <w:color w:val="auto"/>
                <w:sz w:val="28"/>
                <w:szCs w:val="28"/>
                <w:highlight w:val="none"/>
              </w:rPr>
              <w:t>招标公告和中标结果将在浙江政府采购网、宁波政府采购网和宁波市住房和城乡建设局网站</w:t>
            </w:r>
            <w:r>
              <w:rPr>
                <w:rFonts w:ascii="宋体" w:hAnsi="宋体"/>
                <w:color w:val="auto"/>
                <w:sz w:val="28"/>
                <w:szCs w:val="28"/>
                <w:highlight w:val="none"/>
              </w:rPr>
              <w:t>上</w:t>
            </w:r>
            <w:r>
              <w:rPr>
                <w:rFonts w:hint="eastAsia" w:ascii="宋体" w:hAnsi="宋体"/>
                <w:color w:val="auto"/>
                <w:sz w:val="28"/>
                <w:szCs w:val="28"/>
                <w:highlight w:val="none"/>
              </w:rPr>
              <w:t>予以公示</w:t>
            </w:r>
            <w:r>
              <w:rPr>
                <w:rFonts w:ascii="宋体" w:hAnsi="宋体"/>
                <w:color w:val="auto"/>
                <w:sz w:val="28"/>
                <w:szCs w:val="28"/>
                <w:highlight w:val="none"/>
              </w:rPr>
              <w:t>。</w:t>
            </w:r>
          </w:p>
        </w:tc>
      </w:tr>
      <w:tr w14:paraId="49DC13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20D5BB32">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9</w:t>
            </w:r>
          </w:p>
        </w:tc>
        <w:tc>
          <w:tcPr>
            <w:tcW w:w="8599" w:type="dxa"/>
            <w:tcBorders>
              <w:top w:val="single" w:color="auto" w:sz="4" w:space="0"/>
              <w:left w:val="single" w:color="auto" w:sz="4" w:space="0"/>
              <w:bottom w:val="single" w:color="auto" w:sz="4" w:space="0"/>
              <w:right w:val="single" w:color="auto" w:sz="4" w:space="0"/>
            </w:tcBorders>
            <w:vAlign w:val="center"/>
          </w:tcPr>
          <w:p w14:paraId="21FE913A">
            <w:pPr>
              <w:autoSpaceDE w:val="0"/>
              <w:autoSpaceDN w:val="0"/>
              <w:snapToGrid w:val="0"/>
              <w:spacing w:line="360" w:lineRule="auto"/>
              <w:textAlignment w:val="bottom"/>
              <w:rPr>
                <w:rFonts w:ascii="宋体" w:hAnsi="宋体"/>
                <w:b/>
                <w:color w:val="auto"/>
                <w:sz w:val="28"/>
                <w:szCs w:val="28"/>
                <w:highlight w:val="none"/>
              </w:rPr>
            </w:pPr>
            <w:r>
              <w:rPr>
                <w:rFonts w:hint="eastAsia" w:ascii="宋体" w:hAnsi="宋体"/>
                <w:b/>
                <w:color w:val="auto"/>
                <w:sz w:val="28"/>
                <w:szCs w:val="28"/>
                <w:highlight w:val="none"/>
              </w:rPr>
              <w:t>投标文件数量要求：</w:t>
            </w:r>
          </w:p>
          <w:p w14:paraId="45209AB5">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color w:val="auto"/>
                <w:sz w:val="28"/>
                <w:szCs w:val="28"/>
                <w:highlight w:val="none"/>
              </w:rPr>
              <w:t>▲1、上传到政府采购云平台的电子投标文件。</w:t>
            </w:r>
          </w:p>
          <w:p w14:paraId="5BC0F75D">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b/>
                <w:color w:val="auto"/>
                <w:sz w:val="28"/>
                <w:szCs w:val="28"/>
                <w:highlight w:val="none"/>
              </w:rPr>
              <w:t>注：（1）投标人需在202</w:t>
            </w:r>
            <w:r>
              <w:rPr>
                <w:rFonts w:hint="eastAsia" w:ascii="宋体" w:hAnsi="宋体"/>
                <w:b/>
                <w:color w:val="auto"/>
                <w:sz w:val="28"/>
                <w:szCs w:val="28"/>
                <w:highlight w:val="none"/>
                <w:lang w:val="en-US" w:eastAsia="zh-CN"/>
              </w:rPr>
              <w:t>5</w:t>
            </w:r>
            <w:r>
              <w:rPr>
                <w:rFonts w:hint="eastAsia" w:ascii="宋体" w:hAnsi="宋体"/>
                <w:b/>
                <w:color w:val="auto"/>
                <w:sz w:val="28"/>
                <w:szCs w:val="28"/>
                <w:highlight w:val="none"/>
              </w:rPr>
              <w:t>年</w:t>
            </w:r>
            <w:r>
              <w:rPr>
                <w:rFonts w:hint="eastAsia" w:ascii="宋体" w:hAnsi="宋体"/>
                <w:b/>
                <w:color w:val="auto"/>
                <w:sz w:val="28"/>
                <w:szCs w:val="28"/>
                <w:highlight w:val="none"/>
                <w:lang w:val="en-US" w:eastAsia="zh-CN"/>
              </w:rPr>
              <w:t>4</w:t>
            </w:r>
            <w:r>
              <w:rPr>
                <w:rFonts w:hint="eastAsia" w:ascii="宋体" w:hAnsi="宋体"/>
                <w:b/>
                <w:color w:val="auto"/>
                <w:sz w:val="28"/>
                <w:szCs w:val="28"/>
                <w:highlight w:val="none"/>
              </w:rPr>
              <w:t>月</w:t>
            </w:r>
            <w:r>
              <w:rPr>
                <w:rFonts w:hint="eastAsia" w:ascii="宋体" w:hAnsi="宋体"/>
                <w:b/>
                <w:color w:val="auto"/>
                <w:sz w:val="28"/>
                <w:szCs w:val="28"/>
                <w:highlight w:val="none"/>
                <w:lang w:val="en-US" w:eastAsia="zh-CN"/>
              </w:rPr>
              <w:t>20</w:t>
            </w:r>
            <w:r>
              <w:rPr>
                <w:rFonts w:hint="eastAsia" w:ascii="宋体" w:hAnsi="宋体"/>
                <w:b/>
                <w:color w:val="auto"/>
                <w:sz w:val="28"/>
                <w:szCs w:val="28"/>
                <w:highlight w:val="none"/>
              </w:rPr>
              <w:t>日17:00前向采购代理机构提供通过电子投标文件全套打印装订成册的纸质投标文件2份（加盖公章）。</w:t>
            </w:r>
          </w:p>
        </w:tc>
      </w:tr>
      <w:tr w14:paraId="12D977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0675D85">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▲10</w:t>
            </w:r>
          </w:p>
        </w:tc>
        <w:tc>
          <w:tcPr>
            <w:tcW w:w="8599" w:type="dxa"/>
            <w:tcBorders>
              <w:top w:val="single" w:color="auto" w:sz="4" w:space="0"/>
              <w:left w:val="single" w:color="auto" w:sz="4" w:space="0"/>
              <w:bottom w:val="single" w:color="auto" w:sz="4" w:space="0"/>
              <w:right w:val="single" w:color="auto" w:sz="4" w:space="0"/>
            </w:tcBorders>
            <w:vAlign w:val="center"/>
          </w:tcPr>
          <w:p w14:paraId="202320ED">
            <w:pPr>
              <w:autoSpaceDE w:val="0"/>
              <w:autoSpaceDN w:val="0"/>
              <w:snapToGrid w:val="0"/>
              <w:spacing w:line="360" w:lineRule="auto"/>
              <w:textAlignment w:val="bottom"/>
              <w:rPr>
                <w:rFonts w:ascii="宋体" w:hAnsi="宋体"/>
                <w:color w:val="auto"/>
                <w:sz w:val="28"/>
                <w:szCs w:val="28"/>
                <w:highlight w:val="none"/>
              </w:rPr>
            </w:pPr>
            <w:r>
              <w:rPr>
                <w:rFonts w:hint="eastAsia" w:ascii="宋体" w:hAnsi="宋体"/>
                <w:b/>
                <w:color w:val="auto"/>
                <w:sz w:val="28"/>
                <w:szCs w:val="28"/>
                <w:highlight w:val="none"/>
              </w:rPr>
              <w:t>存放期限：</w:t>
            </w:r>
            <w:r>
              <w:rPr>
                <w:rFonts w:hint="eastAsia" w:ascii="宋体" w:hAnsi="宋体"/>
                <w:b/>
                <w:color w:val="auto"/>
                <w:sz w:val="28"/>
                <w:szCs w:val="28"/>
                <w:highlight w:val="none"/>
                <w:u w:val="single"/>
                <w:lang w:val="en-US" w:eastAsia="zh-CN"/>
              </w:rPr>
              <w:t>六个月或</w:t>
            </w:r>
            <w:r>
              <w:rPr>
                <w:rFonts w:hint="eastAsia" w:ascii="宋体" w:hAnsi="宋体"/>
                <w:b/>
                <w:bCs w:val="0"/>
                <w:color w:val="auto"/>
                <w:sz w:val="28"/>
                <w:szCs w:val="28"/>
                <w:highlight w:val="none"/>
                <w:u w:val="single"/>
                <w:lang w:val="en-US" w:eastAsia="zh-CN"/>
              </w:rPr>
              <w:t>一年</w:t>
            </w:r>
            <w:r>
              <w:rPr>
                <w:rFonts w:hint="eastAsia" w:ascii="宋体" w:hAnsi="宋体"/>
                <w:b w:val="0"/>
                <w:bCs/>
                <w:color w:val="auto"/>
                <w:sz w:val="28"/>
                <w:szCs w:val="28"/>
                <w:highlight w:val="none"/>
                <w:u w:val="single"/>
              </w:rPr>
              <w:t>。</w:t>
            </w:r>
          </w:p>
        </w:tc>
      </w:tr>
      <w:tr w14:paraId="5D44AC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FC3708E">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▲11</w:t>
            </w:r>
          </w:p>
        </w:tc>
        <w:tc>
          <w:tcPr>
            <w:tcW w:w="8599" w:type="dxa"/>
            <w:tcBorders>
              <w:top w:val="single" w:color="auto" w:sz="4" w:space="0"/>
              <w:left w:val="single" w:color="auto" w:sz="4" w:space="0"/>
              <w:bottom w:val="single" w:color="auto" w:sz="4" w:space="0"/>
              <w:right w:val="single" w:color="auto" w:sz="4" w:space="0"/>
            </w:tcBorders>
            <w:vAlign w:val="center"/>
          </w:tcPr>
          <w:p w14:paraId="79797490">
            <w:pPr>
              <w:spacing w:line="360" w:lineRule="auto"/>
              <w:rPr>
                <w:rFonts w:ascii="宋体" w:hAnsi="宋体"/>
                <w:color w:val="auto"/>
                <w:sz w:val="28"/>
                <w:szCs w:val="28"/>
                <w:highlight w:val="none"/>
              </w:rPr>
            </w:pPr>
            <w:r>
              <w:rPr>
                <w:rFonts w:hint="eastAsia" w:ascii="宋体" w:hAnsi="宋体"/>
                <w:b/>
                <w:color w:val="auto"/>
                <w:sz w:val="28"/>
                <w:szCs w:val="28"/>
                <w:highlight w:val="none"/>
              </w:rPr>
              <w:t>合同终止：</w:t>
            </w:r>
            <w:r>
              <w:rPr>
                <w:rFonts w:hint="eastAsia" w:ascii="宋体" w:hAnsi="宋体"/>
                <w:color w:val="auto"/>
                <w:sz w:val="28"/>
                <w:szCs w:val="28"/>
                <w:highlight w:val="none"/>
              </w:rPr>
              <w:t>中标人在合同有效期内，不得以任何理由终止合同，确有特殊情况的，须提前两个月向招标人提出书面申请，经招标人同意后，方可终止合同。因中标人</w:t>
            </w:r>
            <w:r>
              <w:rPr>
                <w:rFonts w:ascii="宋体" w:hAnsi="宋体"/>
                <w:color w:val="auto"/>
                <w:sz w:val="28"/>
                <w:szCs w:val="28"/>
                <w:highlight w:val="none"/>
              </w:rPr>
              <w:t>出现资金安全事故、重大违法违规情况或财务恶化；监管评级降低，监管部门认为存在较大运营风险；没有按照中标协议承诺履行相应的责任和义务；擅自降低服务条件和服务内容的；出现银行挤兑、存款被盗或其他可能妨害公款安全的情形等上述情况</w:t>
            </w:r>
            <w:r>
              <w:rPr>
                <w:rFonts w:hint="eastAsia" w:ascii="宋体" w:hAnsi="宋体"/>
                <w:color w:val="auto"/>
                <w:sz w:val="28"/>
                <w:szCs w:val="28"/>
                <w:highlight w:val="none"/>
              </w:rPr>
              <w:t>，招标人有权终止协议，中标人承担全部责任。</w:t>
            </w:r>
          </w:p>
        </w:tc>
      </w:tr>
      <w:tr w14:paraId="693D7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51461138">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12</w:t>
            </w:r>
          </w:p>
        </w:tc>
        <w:tc>
          <w:tcPr>
            <w:tcW w:w="8599" w:type="dxa"/>
            <w:tcBorders>
              <w:top w:val="single" w:color="auto" w:sz="4" w:space="0"/>
              <w:left w:val="single" w:color="auto" w:sz="4" w:space="0"/>
              <w:bottom w:val="single" w:color="auto" w:sz="4" w:space="0"/>
              <w:right w:val="single" w:color="auto" w:sz="4" w:space="0"/>
            </w:tcBorders>
            <w:vAlign w:val="center"/>
          </w:tcPr>
          <w:p w14:paraId="395E64D1">
            <w:pPr>
              <w:spacing w:line="360" w:lineRule="auto"/>
              <w:rPr>
                <w:rFonts w:ascii="宋体" w:hAnsi="宋体"/>
                <w:color w:val="auto"/>
                <w:sz w:val="28"/>
                <w:szCs w:val="28"/>
                <w:highlight w:val="none"/>
              </w:rPr>
            </w:pPr>
            <w:r>
              <w:rPr>
                <w:rFonts w:ascii="宋体" w:hAnsi="宋体"/>
                <w:b/>
                <w:color w:val="auto"/>
                <w:sz w:val="28"/>
                <w:szCs w:val="28"/>
                <w:highlight w:val="none"/>
              </w:rPr>
              <w:t>投标有效期：</w:t>
            </w:r>
            <w:r>
              <w:rPr>
                <w:rFonts w:hint="eastAsia" w:ascii="宋体" w:hAnsi="宋体"/>
                <w:color w:val="auto"/>
                <w:sz w:val="28"/>
                <w:szCs w:val="28"/>
                <w:highlight w:val="none"/>
              </w:rPr>
              <w:t>自开标之日起</w:t>
            </w:r>
            <w:r>
              <w:rPr>
                <w:rFonts w:ascii="宋体" w:hAnsi="宋体"/>
                <w:color w:val="auto"/>
                <w:sz w:val="28"/>
                <w:szCs w:val="28"/>
                <w:highlight w:val="none"/>
                <w:u w:val="single"/>
              </w:rPr>
              <w:t xml:space="preserve"> 90 </w:t>
            </w:r>
            <w:r>
              <w:rPr>
                <w:rFonts w:ascii="宋体" w:hAnsi="宋体"/>
                <w:color w:val="auto"/>
                <w:sz w:val="28"/>
                <w:szCs w:val="28"/>
                <w:highlight w:val="none"/>
              </w:rPr>
              <w:t>天</w:t>
            </w:r>
            <w:r>
              <w:rPr>
                <w:rFonts w:hint="eastAsia" w:ascii="宋体" w:hAnsi="宋体"/>
                <w:color w:val="auto"/>
                <w:sz w:val="28"/>
                <w:szCs w:val="28"/>
                <w:highlight w:val="none"/>
              </w:rPr>
              <w:t>。</w:t>
            </w:r>
          </w:p>
        </w:tc>
      </w:tr>
      <w:tr w14:paraId="6D627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23D0DC89">
            <w:pPr>
              <w:snapToGrid w:val="0"/>
              <w:spacing w:line="360" w:lineRule="auto"/>
              <w:jc w:val="center"/>
              <w:rPr>
                <w:rFonts w:ascii="宋体" w:hAnsi="宋体"/>
                <w:color w:val="auto"/>
                <w:sz w:val="28"/>
                <w:szCs w:val="28"/>
                <w:highlight w:val="none"/>
              </w:rPr>
            </w:pPr>
            <w:r>
              <w:rPr>
                <w:rFonts w:hint="eastAsia" w:ascii="宋体" w:hAnsi="宋体"/>
                <w:color w:val="auto"/>
                <w:sz w:val="28"/>
                <w:szCs w:val="28"/>
                <w:highlight w:val="none"/>
              </w:rPr>
              <w:t>▲13</w:t>
            </w:r>
          </w:p>
        </w:tc>
        <w:tc>
          <w:tcPr>
            <w:tcW w:w="8599" w:type="dxa"/>
            <w:tcBorders>
              <w:top w:val="single" w:color="auto" w:sz="4" w:space="0"/>
              <w:left w:val="single" w:color="auto" w:sz="4" w:space="0"/>
              <w:bottom w:val="single" w:color="auto" w:sz="4" w:space="0"/>
              <w:right w:val="single" w:color="auto" w:sz="4" w:space="0"/>
            </w:tcBorders>
            <w:vAlign w:val="center"/>
          </w:tcPr>
          <w:p w14:paraId="79C81BAC">
            <w:pPr>
              <w:spacing w:line="360" w:lineRule="auto"/>
              <w:rPr>
                <w:rFonts w:ascii="宋体" w:hAnsi="宋体"/>
                <w:color w:val="auto"/>
                <w:sz w:val="28"/>
                <w:szCs w:val="28"/>
                <w:highlight w:val="none"/>
              </w:rPr>
            </w:pPr>
            <w:r>
              <w:rPr>
                <w:rFonts w:hint="eastAsia" w:ascii="宋体" w:hAnsi="宋体"/>
                <w:b/>
                <w:color w:val="auto"/>
                <w:sz w:val="28"/>
                <w:szCs w:val="28"/>
                <w:highlight w:val="none"/>
              </w:rPr>
              <w:t>中标服务费：本项目的招标代理服务费由招标代理机构向各标段中标单位收取,收取金额为存放资金的万分之0.5。</w:t>
            </w:r>
          </w:p>
          <w:p w14:paraId="5AE25DE3">
            <w:pPr>
              <w:spacing w:line="360" w:lineRule="auto"/>
              <w:rPr>
                <w:rFonts w:ascii="宋体" w:hAnsi="宋体"/>
                <w:b/>
                <w:color w:val="auto"/>
                <w:sz w:val="28"/>
                <w:szCs w:val="28"/>
                <w:highlight w:val="none"/>
              </w:rPr>
            </w:pPr>
            <w:r>
              <w:rPr>
                <w:rFonts w:hint="eastAsia" w:ascii="宋体" w:hAnsi="宋体"/>
                <w:b/>
                <w:color w:val="auto"/>
                <w:sz w:val="28"/>
                <w:szCs w:val="28"/>
                <w:highlight w:val="none"/>
              </w:rPr>
              <w:t>户名：宁波国咨工程造价咨询有限公司</w:t>
            </w:r>
          </w:p>
          <w:p w14:paraId="674AB1B6">
            <w:pPr>
              <w:spacing w:line="360" w:lineRule="auto"/>
              <w:rPr>
                <w:rFonts w:ascii="宋体" w:hAnsi="宋体"/>
                <w:b/>
                <w:color w:val="auto"/>
                <w:sz w:val="28"/>
                <w:szCs w:val="28"/>
                <w:highlight w:val="none"/>
              </w:rPr>
            </w:pPr>
            <w:r>
              <w:rPr>
                <w:rFonts w:hint="eastAsia" w:ascii="宋体" w:hAnsi="宋体"/>
                <w:b/>
                <w:color w:val="auto"/>
                <w:sz w:val="28"/>
                <w:szCs w:val="28"/>
                <w:highlight w:val="none"/>
              </w:rPr>
              <w:t>开户银行：上海浦东发展银行宁波东部新城支行</w:t>
            </w:r>
          </w:p>
          <w:p w14:paraId="0D40DE78">
            <w:pPr>
              <w:spacing w:line="360" w:lineRule="auto"/>
              <w:rPr>
                <w:rFonts w:ascii="宋体" w:hAnsi="宋体"/>
                <w:b/>
                <w:color w:val="auto"/>
                <w:sz w:val="28"/>
                <w:szCs w:val="28"/>
                <w:highlight w:val="none"/>
              </w:rPr>
            </w:pPr>
            <w:r>
              <w:rPr>
                <w:rFonts w:hint="eastAsia" w:ascii="宋体" w:hAnsi="宋体"/>
                <w:b/>
                <w:color w:val="auto"/>
                <w:sz w:val="28"/>
                <w:szCs w:val="28"/>
                <w:highlight w:val="none"/>
              </w:rPr>
              <w:t>账号：94160154800002563</w:t>
            </w:r>
          </w:p>
        </w:tc>
      </w:tr>
    </w:tbl>
    <w:p w14:paraId="700E726B">
      <w:pPr>
        <w:snapToGrid w:val="0"/>
        <w:ind w:left="238"/>
        <w:jc w:val="center"/>
        <w:outlineLvl w:val="1"/>
        <w:rPr>
          <w:rFonts w:ascii="宋体" w:hAnsi="宋体"/>
          <w:b/>
          <w:bCs/>
          <w:iCs/>
          <w:color w:val="auto"/>
          <w:sz w:val="32"/>
          <w:szCs w:val="32"/>
          <w:highlight w:val="none"/>
        </w:rPr>
      </w:pPr>
      <w:r>
        <w:rPr>
          <w:rFonts w:ascii="宋体" w:hAnsi="宋体"/>
          <w:color w:val="auto"/>
          <w:highlight w:val="none"/>
        </w:rPr>
        <w:br w:type="page"/>
      </w:r>
      <w:bookmarkStart w:id="13" w:name="_Toc436314538"/>
      <w:bookmarkStart w:id="14" w:name="_Toc444597089"/>
      <w:bookmarkStart w:id="15" w:name="_Toc429406701"/>
      <w:bookmarkStart w:id="16" w:name="_Toc355117096"/>
      <w:bookmarkStart w:id="17" w:name="_Toc454551067"/>
      <w:r>
        <w:rPr>
          <w:rFonts w:hint="eastAsia" w:ascii="宋体" w:hAnsi="宋体"/>
          <w:b/>
          <w:bCs/>
          <w:iCs/>
          <w:color w:val="auto"/>
          <w:sz w:val="32"/>
          <w:szCs w:val="32"/>
          <w:highlight w:val="none"/>
        </w:rPr>
        <w:t>第二部分 投标人须知</w:t>
      </w:r>
      <w:bookmarkEnd w:id="13"/>
      <w:bookmarkEnd w:id="14"/>
      <w:bookmarkEnd w:id="15"/>
      <w:bookmarkEnd w:id="16"/>
      <w:bookmarkEnd w:id="17"/>
    </w:p>
    <w:p w14:paraId="7D33A0FC">
      <w:pPr>
        <w:pStyle w:val="15"/>
        <w:snapToGrid w:val="0"/>
        <w:spacing w:beforeLines="0" w:afterLines="0" w:line="360" w:lineRule="auto"/>
        <w:rPr>
          <w:rFonts w:hAnsi="宋体"/>
          <w:b/>
          <w:color w:val="auto"/>
          <w:sz w:val="28"/>
          <w:szCs w:val="28"/>
          <w:highlight w:val="none"/>
        </w:rPr>
      </w:pPr>
      <w:r>
        <w:rPr>
          <w:rFonts w:hint="eastAsia" w:hAnsi="宋体"/>
          <w:b/>
          <w:color w:val="auto"/>
          <w:sz w:val="28"/>
          <w:szCs w:val="28"/>
          <w:highlight w:val="none"/>
        </w:rPr>
        <w:t>一、总  则</w:t>
      </w:r>
    </w:p>
    <w:p w14:paraId="43A53A7C">
      <w:pPr>
        <w:snapToGrid w:val="0"/>
        <w:spacing w:line="360" w:lineRule="auto"/>
        <w:jc w:val="left"/>
        <w:outlineLvl w:val="1"/>
        <w:rPr>
          <w:rFonts w:ascii="宋体" w:hAnsi="宋体"/>
          <w:b/>
          <w:color w:val="auto"/>
          <w:sz w:val="28"/>
          <w:szCs w:val="28"/>
          <w:highlight w:val="none"/>
        </w:rPr>
      </w:pPr>
      <w:bookmarkStart w:id="18" w:name="_Toc427442452"/>
      <w:bookmarkStart w:id="19" w:name="_Toc429406702"/>
      <w:bookmarkStart w:id="20" w:name="_Toc454551068"/>
      <w:bookmarkStart w:id="21" w:name="_Toc436314539"/>
      <w:bookmarkStart w:id="22" w:name="_Toc259108309"/>
      <w:bookmarkStart w:id="23" w:name="_Toc444597090"/>
      <w:bookmarkStart w:id="24" w:name="_Toc355117097"/>
      <w:bookmarkStart w:id="25" w:name="_Toc249866751"/>
      <w:r>
        <w:rPr>
          <w:rFonts w:hint="eastAsia" w:ascii="宋体" w:hAnsi="宋体"/>
          <w:b/>
          <w:color w:val="auto"/>
          <w:sz w:val="28"/>
          <w:szCs w:val="28"/>
          <w:highlight w:val="none"/>
        </w:rPr>
        <w:t>（一）</w:t>
      </w:r>
      <w:r>
        <w:rPr>
          <w:rFonts w:ascii="宋体" w:hAnsi="宋体"/>
          <w:b/>
          <w:color w:val="auto"/>
          <w:sz w:val="28"/>
          <w:szCs w:val="28"/>
          <w:highlight w:val="none"/>
        </w:rPr>
        <w:t xml:space="preserve"> 适用范围</w:t>
      </w:r>
      <w:bookmarkEnd w:id="18"/>
      <w:bookmarkEnd w:id="19"/>
      <w:bookmarkEnd w:id="20"/>
      <w:bookmarkEnd w:id="21"/>
      <w:bookmarkEnd w:id="22"/>
      <w:bookmarkEnd w:id="23"/>
      <w:bookmarkEnd w:id="24"/>
      <w:bookmarkEnd w:id="25"/>
    </w:p>
    <w:p w14:paraId="52B93977">
      <w:pPr>
        <w:widowControl/>
        <w:spacing w:line="360" w:lineRule="auto"/>
        <w:ind w:left="60" w:firstLine="540"/>
        <w:jc w:val="left"/>
        <w:rPr>
          <w:rFonts w:ascii="宋体" w:hAnsi="宋体" w:cs="宋体"/>
          <w:color w:val="auto"/>
          <w:kern w:val="0"/>
          <w:sz w:val="28"/>
          <w:szCs w:val="28"/>
          <w:highlight w:val="none"/>
        </w:rPr>
      </w:pPr>
      <w:r>
        <w:rPr>
          <w:rFonts w:hint="eastAsia" w:ascii="宋体" w:hAnsi="宋体"/>
          <w:color w:val="auto"/>
          <w:sz w:val="28"/>
          <w:szCs w:val="28"/>
          <w:highlight w:val="none"/>
        </w:rPr>
        <w:t>本招标文件适用于本项目的招标、投标、评标、定标、合同履约、付款等行为（法律、法规另有规定的，从其规定）。</w:t>
      </w:r>
    </w:p>
    <w:p w14:paraId="76EC0AE7">
      <w:pPr>
        <w:snapToGrid w:val="0"/>
        <w:spacing w:line="360" w:lineRule="auto"/>
        <w:jc w:val="left"/>
        <w:outlineLvl w:val="1"/>
        <w:rPr>
          <w:rFonts w:ascii="宋体" w:hAnsi="宋体"/>
          <w:b/>
          <w:color w:val="auto"/>
          <w:sz w:val="28"/>
          <w:szCs w:val="28"/>
          <w:highlight w:val="none"/>
        </w:rPr>
      </w:pPr>
      <w:bookmarkStart w:id="26" w:name="_Toc259108310"/>
      <w:bookmarkStart w:id="27" w:name="_Toc427442453"/>
      <w:bookmarkStart w:id="28" w:name="_Toc429406703"/>
      <w:bookmarkStart w:id="29" w:name="_Toc355117098"/>
      <w:bookmarkStart w:id="30" w:name="_Toc454551069"/>
      <w:bookmarkStart w:id="31" w:name="_Toc249866752"/>
      <w:bookmarkStart w:id="32" w:name="_Toc436314540"/>
      <w:bookmarkStart w:id="33" w:name="_Toc444597091"/>
      <w:r>
        <w:rPr>
          <w:rFonts w:hint="eastAsia" w:ascii="宋体" w:hAnsi="宋体"/>
          <w:b/>
          <w:color w:val="auto"/>
          <w:sz w:val="28"/>
          <w:szCs w:val="28"/>
          <w:highlight w:val="none"/>
        </w:rPr>
        <w:t>（二）定义</w:t>
      </w:r>
      <w:bookmarkEnd w:id="26"/>
      <w:bookmarkEnd w:id="27"/>
      <w:bookmarkEnd w:id="28"/>
      <w:bookmarkEnd w:id="29"/>
      <w:bookmarkEnd w:id="30"/>
      <w:bookmarkEnd w:id="31"/>
      <w:bookmarkEnd w:id="32"/>
      <w:bookmarkEnd w:id="33"/>
    </w:p>
    <w:p w14:paraId="66A96DC5">
      <w:pPr>
        <w:widowControl/>
        <w:spacing w:line="360" w:lineRule="auto"/>
        <w:ind w:left="60" w:firstLine="540"/>
        <w:jc w:val="left"/>
        <w:rPr>
          <w:rFonts w:ascii="宋体" w:hAnsi="宋体"/>
          <w:color w:val="auto"/>
          <w:sz w:val="28"/>
          <w:szCs w:val="28"/>
          <w:highlight w:val="none"/>
        </w:rPr>
      </w:pPr>
      <w:r>
        <w:rPr>
          <w:rFonts w:ascii="宋体" w:hAnsi="宋体"/>
          <w:color w:val="auto"/>
          <w:sz w:val="28"/>
          <w:szCs w:val="28"/>
          <w:highlight w:val="none"/>
        </w:rPr>
        <w:t>1</w:t>
      </w:r>
      <w:r>
        <w:rPr>
          <w:rFonts w:hint="eastAsia" w:ascii="宋体" w:hAnsi="宋体"/>
          <w:color w:val="auto"/>
          <w:sz w:val="28"/>
          <w:szCs w:val="28"/>
          <w:highlight w:val="none"/>
        </w:rPr>
        <w:t>.“招标人”</w:t>
      </w:r>
      <w:r>
        <w:rPr>
          <w:rFonts w:ascii="宋体" w:hAnsi="宋体"/>
          <w:color w:val="auto"/>
          <w:sz w:val="28"/>
          <w:szCs w:val="28"/>
          <w:highlight w:val="none"/>
        </w:rPr>
        <w:t>系指组织本次招标的代理机构和招标单位。</w:t>
      </w:r>
    </w:p>
    <w:p w14:paraId="67A81BF8">
      <w:pPr>
        <w:widowControl/>
        <w:spacing w:line="360" w:lineRule="auto"/>
        <w:ind w:left="60" w:firstLine="540"/>
        <w:jc w:val="left"/>
        <w:rPr>
          <w:rFonts w:ascii="宋体" w:hAnsi="宋体"/>
          <w:color w:val="auto"/>
          <w:sz w:val="28"/>
          <w:szCs w:val="28"/>
          <w:highlight w:val="none"/>
        </w:rPr>
      </w:pPr>
      <w:r>
        <w:rPr>
          <w:rFonts w:ascii="宋体" w:hAnsi="宋体"/>
          <w:color w:val="auto"/>
          <w:sz w:val="28"/>
          <w:szCs w:val="28"/>
          <w:highlight w:val="none"/>
        </w:rPr>
        <w:t>2</w:t>
      </w:r>
      <w:r>
        <w:rPr>
          <w:rFonts w:hint="eastAsia" w:ascii="宋体" w:hAnsi="宋体"/>
          <w:color w:val="auto"/>
          <w:sz w:val="28"/>
          <w:szCs w:val="28"/>
          <w:highlight w:val="none"/>
        </w:rPr>
        <w:t>.“</w:t>
      </w:r>
      <w:r>
        <w:rPr>
          <w:rFonts w:ascii="宋体" w:hAnsi="宋体"/>
          <w:color w:val="auto"/>
          <w:sz w:val="28"/>
          <w:szCs w:val="28"/>
          <w:highlight w:val="none"/>
        </w:rPr>
        <w:t>投标人”系指向</w:t>
      </w:r>
      <w:r>
        <w:rPr>
          <w:rFonts w:hint="eastAsia" w:ascii="宋体" w:hAnsi="宋体"/>
          <w:color w:val="auto"/>
          <w:sz w:val="28"/>
          <w:szCs w:val="28"/>
          <w:highlight w:val="none"/>
        </w:rPr>
        <w:t>招标人</w:t>
      </w:r>
      <w:r>
        <w:rPr>
          <w:rFonts w:ascii="宋体" w:hAnsi="宋体"/>
          <w:color w:val="auto"/>
          <w:sz w:val="28"/>
          <w:szCs w:val="28"/>
          <w:highlight w:val="none"/>
        </w:rPr>
        <w:t>提交投标文件的单位。</w:t>
      </w:r>
    </w:p>
    <w:p w14:paraId="1A17CA19">
      <w:pPr>
        <w:widowControl/>
        <w:spacing w:line="360" w:lineRule="auto"/>
        <w:ind w:left="60" w:firstLine="540"/>
        <w:jc w:val="left"/>
        <w:rPr>
          <w:rFonts w:ascii="宋体" w:hAnsi="宋体"/>
          <w:color w:val="auto"/>
          <w:sz w:val="28"/>
          <w:szCs w:val="28"/>
          <w:highlight w:val="none"/>
        </w:rPr>
      </w:pPr>
      <w:r>
        <w:rPr>
          <w:rFonts w:hint="eastAsia" w:ascii="宋体" w:hAnsi="宋体"/>
          <w:color w:val="auto"/>
          <w:sz w:val="28"/>
          <w:szCs w:val="28"/>
          <w:highlight w:val="none"/>
        </w:rPr>
        <w:t>3.</w:t>
      </w:r>
      <w:r>
        <w:rPr>
          <w:rFonts w:ascii="宋体" w:hAnsi="宋体"/>
          <w:color w:val="auto"/>
          <w:sz w:val="28"/>
          <w:szCs w:val="28"/>
          <w:highlight w:val="none"/>
        </w:rPr>
        <w:t>“服务”系指招标文件规定投标人须承担</w:t>
      </w:r>
      <w:r>
        <w:rPr>
          <w:rFonts w:hint="eastAsia" w:ascii="宋体" w:hAnsi="宋体"/>
          <w:color w:val="auto"/>
          <w:sz w:val="28"/>
          <w:szCs w:val="28"/>
          <w:highlight w:val="none"/>
        </w:rPr>
        <w:t>本项目的资金存放定点服务。</w:t>
      </w:r>
    </w:p>
    <w:p w14:paraId="40CC370D">
      <w:pPr>
        <w:widowControl/>
        <w:spacing w:line="360" w:lineRule="auto"/>
        <w:ind w:left="60" w:firstLine="540"/>
        <w:jc w:val="left"/>
        <w:rPr>
          <w:rFonts w:ascii="宋体" w:hAnsi="宋体"/>
          <w:color w:val="auto"/>
          <w:sz w:val="28"/>
          <w:szCs w:val="28"/>
          <w:highlight w:val="none"/>
        </w:rPr>
      </w:pPr>
      <w:r>
        <w:rPr>
          <w:rFonts w:hint="eastAsia" w:ascii="宋体" w:hAnsi="宋体"/>
          <w:color w:val="auto"/>
          <w:sz w:val="28"/>
          <w:szCs w:val="28"/>
          <w:highlight w:val="none"/>
        </w:rPr>
        <w:t>4.</w:t>
      </w:r>
      <w:r>
        <w:rPr>
          <w:rFonts w:ascii="宋体" w:hAnsi="宋体"/>
          <w:color w:val="auto"/>
          <w:sz w:val="28"/>
          <w:szCs w:val="28"/>
          <w:highlight w:val="none"/>
        </w:rPr>
        <w:t>“项目”系指投标人按招标文件规定向招标</w:t>
      </w:r>
      <w:r>
        <w:rPr>
          <w:rFonts w:hint="eastAsia" w:ascii="宋体" w:hAnsi="宋体"/>
          <w:color w:val="auto"/>
          <w:sz w:val="28"/>
          <w:szCs w:val="28"/>
          <w:highlight w:val="none"/>
        </w:rPr>
        <w:t>人</w:t>
      </w:r>
      <w:r>
        <w:rPr>
          <w:rFonts w:ascii="宋体" w:hAnsi="宋体"/>
          <w:color w:val="auto"/>
          <w:sz w:val="28"/>
          <w:szCs w:val="28"/>
          <w:highlight w:val="none"/>
        </w:rPr>
        <w:t>提供的服务。</w:t>
      </w:r>
    </w:p>
    <w:p w14:paraId="58151E19">
      <w:pPr>
        <w:widowControl/>
        <w:spacing w:line="360" w:lineRule="auto"/>
        <w:ind w:left="60" w:firstLine="540"/>
        <w:jc w:val="left"/>
        <w:rPr>
          <w:rFonts w:ascii="宋体" w:hAnsi="宋体"/>
          <w:color w:val="auto"/>
          <w:sz w:val="28"/>
          <w:szCs w:val="28"/>
          <w:highlight w:val="none"/>
        </w:rPr>
      </w:pPr>
      <w:r>
        <w:rPr>
          <w:rFonts w:hint="eastAsia" w:ascii="宋体" w:hAnsi="宋体"/>
          <w:color w:val="auto"/>
          <w:sz w:val="28"/>
          <w:szCs w:val="28"/>
          <w:highlight w:val="none"/>
        </w:rPr>
        <w:t>5.</w:t>
      </w:r>
      <w:r>
        <w:rPr>
          <w:rFonts w:ascii="宋体" w:hAnsi="宋体"/>
          <w:color w:val="auto"/>
          <w:sz w:val="28"/>
          <w:szCs w:val="28"/>
          <w:highlight w:val="none"/>
        </w:rPr>
        <w:t>“书面形式”包括信函、传真、</w:t>
      </w:r>
      <w:r>
        <w:rPr>
          <w:rFonts w:hint="eastAsia" w:ascii="宋体" w:hAnsi="宋体"/>
          <w:color w:val="auto"/>
          <w:sz w:val="28"/>
          <w:szCs w:val="28"/>
          <w:highlight w:val="none"/>
        </w:rPr>
        <w:t>电子邮件</w:t>
      </w:r>
      <w:r>
        <w:rPr>
          <w:rFonts w:ascii="宋体" w:hAnsi="宋体"/>
          <w:color w:val="auto"/>
          <w:sz w:val="28"/>
          <w:szCs w:val="28"/>
          <w:highlight w:val="none"/>
        </w:rPr>
        <w:t>等。</w:t>
      </w:r>
    </w:p>
    <w:p w14:paraId="199EB4FD">
      <w:pPr>
        <w:widowControl/>
        <w:spacing w:line="360" w:lineRule="auto"/>
        <w:ind w:left="60" w:firstLine="540"/>
        <w:jc w:val="left"/>
        <w:rPr>
          <w:rFonts w:ascii="宋体" w:hAnsi="宋体"/>
          <w:color w:val="auto"/>
          <w:sz w:val="28"/>
          <w:szCs w:val="28"/>
          <w:highlight w:val="none"/>
        </w:rPr>
      </w:pPr>
      <w:r>
        <w:rPr>
          <w:rFonts w:hint="eastAsia" w:ascii="宋体" w:hAnsi="宋体"/>
          <w:color w:val="auto"/>
          <w:sz w:val="28"/>
          <w:szCs w:val="28"/>
          <w:highlight w:val="none"/>
        </w:rPr>
        <w:t>6.</w:t>
      </w:r>
      <w:r>
        <w:rPr>
          <w:rFonts w:ascii="宋体" w:hAnsi="宋体"/>
          <w:color w:val="auto"/>
          <w:sz w:val="28"/>
          <w:szCs w:val="28"/>
          <w:highlight w:val="none"/>
        </w:rPr>
        <w:t>“▲”系指实质性要求条款</w:t>
      </w:r>
      <w:r>
        <w:rPr>
          <w:rFonts w:hint="eastAsia" w:ascii="宋体" w:hAnsi="宋体"/>
          <w:color w:val="auto"/>
          <w:sz w:val="28"/>
          <w:szCs w:val="28"/>
          <w:highlight w:val="none"/>
        </w:rPr>
        <w:t>(对</w:t>
      </w:r>
      <w:r>
        <w:rPr>
          <w:rFonts w:ascii="宋体" w:hAnsi="宋体"/>
          <w:color w:val="auto"/>
          <w:sz w:val="28"/>
          <w:szCs w:val="28"/>
          <w:highlight w:val="none"/>
        </w:rPr>
        <w:t>“▲”</w:t>
      </w:r>
      <w:r>
        <w:rPr>
          <w:rFonts w:hint="eastAsia" w:ascii="宋体" w:hAnsi="宋体"/>
          <w:color w:val="auto"/>
          <w:sz w:val="28"/>
          <w:szCs w:val="28"/>
          <w:highlight w:val="none"/>
        </w:rPr>
        <w:t>条款的偏离将导致投标无效)</w:t>
      </w:r>
      <w:r>
        <w:rPr>
          <w:rFonts w:ascii="宋体" w:hAnsi="宋体"/>
          <w:color w:val="auto"/>
          <w:sz w:val="28"/>
          <w:szCs w:val="28"/>
          <w:highlight w:val="none"/>
        </w:rPr>
        <w:t>。</w:t>
      </w:r>
    </w:p>
    <w:p w14:paraId="360C8F06">
      <w:pPr>
        <w:snapToGrid w:val="0"/>
        <w:spacing w:line="360" w:lineRule="auto"/>
        <w:jc w:val="left"/>
        <w:outlineLvl w:val="1"/>
        <w:rPr>
          <w:rFonts w:ascii="宋体" w:hAnsi="宋体"/>
          <w:b/>
          <w:color w:val="auto"/>
          <w:sz w:val="28"/>
          <w:szCs w:val="28"/>
          <w:highlight w:val="none"/>
        </w:rPr>
      </w:pPr>
      <w:bookmarkStart w:id="34" w:name="_Toc427442454"/>
      <w:bookmarkStart w:id="35" w:name="_Toc259108311"/>
      <w:bookmarkStart w:id="36" w:name="_Toc355117099"/>
      <w:bookmarkStart w:id="37" w:name="_Toc444597092"/>
      <w:bookmarkStart w:id="38" w:name="_Toc454551070"/>
      <w:bookmarkStart w:id="39" w:name="_Toc436314541"/>
      <w:bookmarkStart w:id="40" w:name="_Toc429406704"/>
      <w:bookmarkStart w:id="41" w:name="_Toc249866753"/>
      <w:r>
        <w:rPr>
          <w:rFonts w:hint="eastAsia" w:ascii="宋体" w:hAnsi="宋体"/>
          <w:b/>
          <w:color w:val="auto"/>
          <w:sz w:val="28"/>
          <w:szCs w:val="28"/>
          <w:highlight w:val="none"/>
        </w:rPr>
        <w:t>（三）招标方式</w:t>
      </w:r>
      <w:bookmarkEnd w:id="34"/>
      <w:bookmarkEnd w:id="35"/>
      <w:bookmarkEnd w:id="36"/>
      <w:bookmarkEnd w:id="37"/>
      <w:bookmarkEnd w:id="38"/>
      <w:bookmarkEnd w:id="39"/>
      <w:bookmarkEnd w:id="40"/>
      <w:bookmarkEnd w:id="41"/>
    </w:p>
    <w:p w14:paraId="57351B2A">
      <w:pPr>
        <w:snapToGrid w:val="0"/>
        <w:spacing w:line="360" w:lineRule="auto"/>
        <w:ind w:firstLine="546" w:firstLineChars="195"/>
        <w:jc w:val="left"/>
        <w:rPr>
          <w:rFonts w:ascii="宋体" w:hAnsi="宋体"/>
          <w:color w:val="auto"/>
          <w:sz w:val="28"/>
          <w:szCs w:val="28"/>
          <w:highlight w:val="none"/>
        </w:rPr>
      </w:pPr>
      <w:r>
        <w:rPr>
          <w:rFonts w:ascii="宋体" w:hAnsi="宋体"/>
          <w:color w:val="auto"/>
          <w:sz w:val="28"/>
          <w:szCs w:val="28"/>
          <w:highlight w:val="none"/>
        </w:rPr>
        <w:t>采用</w:t>
      </w:r>
      <w:r>
        <w:rPr>
          <w:rFonts w:hint="eastAsia" w:ascii="宋体" w:hAnsi="宋体"/>
          <w:color w:val="auto"/>
          <w:sz w:val="28"/>
          <w:szCs w:val="28"/>
          <w:highlight w:val="none"/>
        </w:rPr>
        <w:t>公开</w:t>
      </w:r>
      <w:r>
        <w:rPr>
          <w:rFonts w:ascii="宋体" w:hAnsi="宋体"/>
          <w:color w:val="auto"/>
          <w:sz w:val="28"/>
          <w:szCs w:val="28"/>
          <w:highlight w:val="none"/>
        </w:rPr>
        <w:t>招标方式进行。</w:t>
      </w:r>
    </w:p>
    <w:p w14:paraId="39C0CC4E">
      <w:pPr>
        <w:snapToGrid w:val="0"/>
        <w:spacing w:line="360" w:lineRule="auto"/>
        <w:jc w:val="left"/>
        <w:outlineLvl w:val="1"/>
        <w:rPr>
          <w:rFonts w:ascii="宋体" w:hAnsi="宋体"/>
          <w:b/>
          <w:color w:val="auto"/>
          <w:sz w:val="28"/>
          <w:szCs w:val="28"/>
          <w:highlight w:val="none"/>
        </w:rPr>
      </w:pPr>
      <w:bookmarkStart w:id="42" w:name="_Toc436314542"/>
      <w:bookmarkStart w:id="43" w:name="_Toc355117100"/>
      <w:bookmarkStart w:id="44" w:name="_Toc429406705"/>
      <w:bookmarkStart w:id="45" w:name="_Toc249866754"/>
      <w:bookmarkStart w:id="46" w:name="_Toc444597093"/>
      <w:bookmarkStart w:id="47" w:name="_Toc454551071"/>
      <w:bookmarkStart w:id="48" w:name="_Toc427442455"/>
      <w:bookmarkStart w:id="49" w:name="_Toc259108312"/>
      <w:r>
        <w:rPr>
          <w:rFonts w:hint="eastAsia" w:ascii="宋体" w:hAnsi="宋体"/>
          <w:b/>
          <w:color w:val="auto"/>
          <w:sz w:val="28"/>
          <w:szCs w:val="28"/>
          <w:highlight w:val="none"/>
        </w:rPr>
        <w:t>（四）投标委托</w:t>
      </w:r>
      <w:bookmarkEnd w:id="42"/>
      <w:bookmarkEnd w:id="43"/>
      <w:bookmarkEnd w:id="44"/>
      <w:bookmarkEnd w:id="45"/>
      <w:bookmarkEnd w:id="46"/>
      <w:bookmarkEnd w:id="47"/>
      <w:bookmarkEnd w:id="48"/>
      <w:bookmarkEnd w:id="49"/>
    </w:p>
    <w:p w14:paraId="057B20F4">
      <w:pPr>
        <w:pStyle w:val="11"/>
        <w:snapToGrid w:val="0"/>
        <w:ind w:firstLine="546" w:firstLineChars="195"/>
        <w:jc w:val="left"/>
        <w:rPr>
          <w:rFonts w:ascii="宋体" w:hAnsi="宋体"/>
          <w:color w:val="auto"/>
          <w:sz w:val="28"/>
          <w:szCs w:val="28"/>
          <w:highlight w:val="none"/>
        </w:rPr>
      </w:pPr>
      <w:r>
        <w:rPr>
          <w:rFonts w:ascii="宋体" w:hAnsi="宋体"/>
          <w:color w:val="auto"/>
          <w:sz w:val="28"/>
          <w:szCs w:val="28"/>
          <w:highlight w:val="none"/>
        </w:rPr>
        <w:t>如投标人代表不是法定代表人，须有法定代表人出具的授权委托书（格式见第</w:t>
      </w:r>
      <w:r>
        <w:rPr>
          <w:rFonts w:hint="eastAsia" w:ascii="宋体" w:hAnsi="宋体"/>
          <w:color w:val="auto"/>
          <w:sz w:val="28"/>
          <w:szCs w:val="28"/>
          <w:highlight w:val="none"/>
        </w:rPr>
        <w:t>六章</w:t>
      </w:r>
      <w:r>
        <w:rPr>
          <w:rFonts w:ascii="宋体" w:hAnsi="宋体"/>
          <w:color w:val="auto"/>
          <w:sz w:val="28"/>
          <w:szCs w:val="28"/>
          <w:highlight w:val="none"/>
        </w:rPr>
        <w:t>）。</w:t>
      </w:r>
    </w:p>
    <w:p w14:paraId="56501E01">
      <w:pPr>
        <w:snapToGrid w:val="0"/>
        <w:spacing w:line="360" w:lineRule="auto"/>
        <w:jc w:val="left"/>
        <w:outlineLvl w:val="1"/>
        <w:rPr>
          <w:rFonts w:ascii="宋体" w:hAnsi="宋体"/>
          <w:b/>
          <w:color w:val="auto"/>
          <w:sz w:val="28"/>
          <w:szCs w:val="28"/>
          <w:highlight w:val="none"/>
        </w:rPr>
      </w:pPr>
      <w:bookmarkStart w:id="50" w:name="_Toc355117101"/>
      <w:bookmarkStart w:id="51" w:name="_Toc427442456"/>
      <w:bookmarkStart w:id="52" w:name="_Toc259108313"/>
      <w:bookmarkStart w:id="53" w:name="_Toc429406706"/>
      <w:bookmarkStart w:id="54" w:name="_Toc444597094"/>
      <w:bookmarkStart w:id="55" w:name="_Toc436314543"/>
      <w:bookmarkStart w:id="56" w:name="_Toc454551072"/>
      <w:bookmarkStart w:id="57" w:name="_Toc249866755"/>
      <w:r>
        <w:rPr>
          <w:rFonts w:hint="eastAsia" w:ascii="宋体" w:hAnsi="宋体"/>
          <w:b/>
          <w:color w:val="auto"/>
          <w:sz w:val="28"/>
          <w:szCs w:val="28"/>
          <w:highlight w:val="none"/>
        </w:rPr>
        <w:t>（五）投标费用</w:t>
      </w:r>
      <w:bookmarkEnd w:id="50"/>
      <w:bookmarkEnd w:id="51"/>
      <w:bookmarkEnd w:id="52"/>
      <w:bookmarkEnd w:id="53"/>
      <w:bookmarkEnd w:id="54"/>
      <w:bookmarkEnd w:id="55"/>
      <w:bookmarkEnd w:id="56"/>
      <w:bookmarkEnd w:id="57"/>
    </w:p>
    <w:p w14:paraId="37ED543E">
      <w:pPr>
        <w:snapToGrid w:val="0"/>
        <w:spacing w:line="360" w:lineRule="auto"/>
        <w:ind w:firstLine="546" w:firstLineChars="195"/>
        <w:jc w:val="left"/>
        <w:rPr>
          <w:rFonts w:ascii="宋体" w:hAnsi="宋体"/>
          <w:color w:val="auto"/>
          <w:sz w:val="28"/>
          <w:szCs w:val="28"/>
          <w:highlight w:val="none"/>
        </w:rPr>
      </w:pPr>
      <w:r>
        <w:rPr>
          <w:rFonts w:hint="eastAsia" w:ascii="宋体" w:hAnsi="宋体"/>
          <w:color w:val="auto"/>
          <w:sz w:val="28"/>
          <w:szCs w:val="28"/>
          <w:highlight w:val="none"/>
        </w:rPr>
        <w:t>不论投标结果如何，投标人均应自行承担所有与投标有关的全部费用。</w:t>
      </w:r>
    </w:p>
    <w:p w14:paraId="0B5F4035">
      <w:pPr>
        <w:snapToGrid w:val="0"/>
        <w:spacing w:line="360" w:lineRule="auto"/>
        <w:jc w:val="left"/>
        <w:rPr>
          <w:rFonts w:ascii="宋体" w:hAnsi="宋体"/>
          <w:b/>
          <w:color w:val="auto"/>
          <w:sz w:val="28"/>
          <w:szCs w:val="28"/>
          <w:highlight w:val="none"/>
        </w:rPr>
      </w:pPr>
      <w:r>
        <w:rPr>
          <w:rFonts w:hint="eastAsia" w:ascii="宋体" w:hAnsi="宋体"/>
          <w:b/>
          <w:color w:val="auto"/>
          <w:sz w:val="28"/>
          <w:szCs w:val="28"/>
          <w:highlight w:val="none"/>
        </w:rPr>
        <w:t>（六）联合体投标</w:t>
      </w:r>
    </w:p>
    <w:p w14:paraId="11325969">
      <w:pPr>
        <w:snapToGrid w:val="0"/>
        <w:spacing w:line="360" w:lineRule="auto"/>
        <w:ind w:firstLine="546" w:firstLineChars="195"/>
        <w:jc w:val="left"/>
        <w:rPr>
          <w:rFonts w:ascii="宋体" w:hAnsi="宋体" w:cs="Arial"/>
          <w:color w:val="auto"/>
          <w:sz w:val="28"/>
          <w:szCs w:val="28"/>
          <w:highlight w:val="none"/>
        </w:rPr>
      </w:pPr>
      <w:r>
        <w:rPr>
          <w:rFonts w:hint="eastAsia" w:ascii="宋体" w:hAnsi="宋体" w:cs="Arial"/>
          <w:color w:val="auto"/>
          <w:sz w:val="28"/>
          <w:szCs w:val="28"/>
          <w:highlight w:val="none"/>
        </w:rPr>
        <w:t>本项目不接受联合体投标。</w:t>
      </w:r>
    </w:p>
    <w:p w14:paraId="7012C12B">
      <w:pPr>
        <w:snapToGrid w:val="0"/>
        <w:spacing w:line="360" w:lineRule="auto"/>
        <w:rPr>
          <w:rFonts w:ascii="宋体" w:hAnsi="宋体" w:cs="宋体"/>
          <w:b/>
          <w:color w:val="auto"/>
          <w:kern w:val="0"/>
          <w:sz w:val="28"/>
          <w:szCs w:val="28"/>
          <w:highlight w:val="none"/>
        </w:rPr>
      </w:pPr>
      <w:r>
        <w:rPr>
          <w:rFonts w:hint="eastAsia" w:ascii="宋体" w:hAnsi="宋体"/>
          <w:b/>
          <w:color w:val="auto"/>
          <w:sz w:val="28"/>
          <w:szCs w:val="28"/>
          <w:highlight w:val="none"/>
        </w:rPr>
        <w:t>（七）</w:t>
      </w:r>
      <w:r>
        <w:rPr>
          <w:rFonts w:hint="eastAsia" w:ascii="宋体" w:hAnsi="宋体" w:cs="宋体"/>
          <w:b/>
          <w:color w:val="auto"/>
          <w:kern w:val="0"/>
          <w:sz w:val="28"/>
          <w:szCs w:val="28"/>
          <w:highlight w:val="none"/>
        </w:rPr>
        <w:t>转包与分包</w:t>
      </w:r>
    </w:p>
    <w:p w14:paraId="4FC8E627">
      <w:pPr>
        <w:snapToGrid w:val="0"/>
        <w:spacing w:line="360" w:lineRule="auto"/>
        <w:ind w:firstLine="546" w:firstLineChars="195"/>
        <w:rPr>
          <w:rFonts w:ascii="宋体" w:hAnsi="宋体"/>
          <w:color w:val="auto"/>
          <w:kern w:val="0"/>
          <w:sz w:val="28"/>
          <w:szCs w:val="28"/>
          <w:highlight w:val="none"/>
        </w:rPr>
      </w:pPr>
      <w:r>
        <w:rPr>
          <w:rFonts w:ascii="宋体" w:hAnsi="宋体"/>
          <w:color w:val="auto"/>
          <w:kern w:val="0"/>
          <w:sz w:val="28"/>
          <w:szCs w:val="28"/>
          <w:highlight w:val="none"/>
        </w:rPr>
        <w:t>1.本项目不允许转包。</w:t>
      </w:r>
    </w:p>
    <w:p w14:paraId="239BE35B">
      <w:pPr>
        <w:snapToGrid w:val="0"/>
        <w:spacing w:line="360" w:lineRule="auto"/>
        <w:ind w:firstLine="546" w:firstLineChars="195"/>
        <w:jc w:val="left"/>
        <w:rPr>
          <w:rFonts w:ascii="宋体" w:hAnsi="宋体"/>
          <w:color w:val="auto"/>
          <w:sz w:val="28"/>
          <w:szCs w:val="28"/>
          <w:highlight w:val="none"/>
        </w:rPr>
      </w:pPr>
      <w:r>
        <w:rPr>
          <w:rFonts w:ascii="宋体" w:hAnsi="宋体"/>
          <w:color w:val="auto"/>
          <w:kern w:val="0"/>
          <w:sz w:val="28"/>
          <w:szCs w:val="28"/>
          <w:highlight w:val="none"/>
        </w:rPr>
        <w:t>2.本项目不可以分包。</w:t>
      </w:r>
    </w:p>
    <w:p w14:paraId="572745DB">
      <w:pPr>
        <w:snapToGrid w:val="0"/>
        <w:spacing w:line="360" w:lineRule="auto"/>
        <w:jc w:val="left"/>
        <w:outlineLvl w:val="1"/>
        <w:rPr>
          <w:rFonts w:ascii="宋体" w:hAnsi="宋体"/>
          <w:b/>
          <w:color w:val="auto"/>
          <w:sz w:val="28"/>
          <w:szCs w:val="28"/>
          <w:highlight w:val="none"/>
        </w:rPr>
      </w:pPr>
      <w:bookmarkStart w:id="58" w:name="_Toc355117102"/>
      <w:bookmarkStart w:id="59" w:name="_Toc444597095"/>
      <w:bookmarkStart w:id="60" w:name="_Toc436314544"/>
      <w:bookmarkStart w:id="61" w:name="_Toc427442457"/>
      <w:bookmarkStart w:id="62" w:name="_Toc454551073"/>
      <w:bookmarkStart w:id="63" w:name="_Toc249866756"/>
      <w:bookmarkStart w:id="64" w:name="_Toc429406707"/>
      <w:bookmarkStart w:id="65" w:name="_Toc259108314"/>
      <w:r>
        <w:rPr>
          <w:rFonts w:ascii="宋体" w:hAnsi="宋体"/>
          <w:b/>
          <w:color w:val="auto"/>
          <w:sz w:val="28"/>
          <w:szCs w:val="28"/>
          <w:highlight w:val="none"/>
        </w:rPr>
        <w:t>（八）特别说明：</w:t>
      </w:r>
      <w:bookmarkEnd w:id="58"/>
      <w:bookmarkEnd w:id="59"/>
      <w:bookmarkEnd w:id="60"/>
      <w:bookmarkEnd w:id="61"/>
      <w:bookmarkEnd w:id="62"/>
      <w:bookmarkEnd w:id="63"/>
      <w:bookmarkEnd w:id="64"/>
      <w:bookmarkEnd w:id="65"/>
    </w:p>
    <w:p w14:paraId="1B5DE4F3">
      <w:pPr>
        <w:pStyle w:val="15"/>
        <w:snapToGrid w:val="0"/>
        <w:spacing w:beforeLines="0" w:afterLines="0" w:line="360" w:lineRule="auto"/>
        <w:ind w:left="2" w:leftChars="1" w:firstLine="560" w:firstLineChars="200"/>
        <w:rPr>
          <w:rFonts w:hAnsi="宋体"/>
          <w:color w:val="auto"/>
          <w:sz w:val="28"/>
          <w:szCs w:val="28"/>
          <w:highlight w:val="none"/>
        </w:rPr>
      </w:pPr>
      <w:bookmarkStart w:id="66" w:name="_Toc249866757"/>
      <w:bookmarkStart w:id="67" w:name="_Toc259108315"/>
      <w:r>
        <w:rPr>
          <w:rFonts w:hAnsi="宋体"/>
          <w:color w:val="auto"/>
          <w:sz w:val="28"/>
          <w:szCs w:val="28"/>
          <w:highlight w:val="none"/>
        </w:rPr>
        <w:t>1.投标人投标所使用的资格、信誉、荣誉、业绩与企业认证必须为本法人所拥有。投标人投标所使用的招标项目实施人员必须为本法人员工（或必须为本法人或控股公司正式员工）。</w:t>
      </w:r>
    </w:p>
    <w:p w14:paraId="3BBFB164">
      <w:pPr>
        <w:pStyle w:val="15"/>
        <w:snapToGrid w:val="0"/>
        <w:spacing w:beforeLines="0" w:afterLines="0" w:line="360" w:lineRule="auto"/>
        <w:ind w:left="2" w:leftChars="1" w:firstLine="420" w:firstLineChars="150"/>
        <w:rPr>
          <w:rFonts w:hAnsi="宋体"/>
          <w:color w:val="auto"/>
          <w:sz w:val="28"/>
          <w:szCs w:val="28"/>
          <w:highlight w:val="none"/>
        </w:rPr>
      </w:pPr>
      <w:r>
        <w:rPr>
          <w:rFonts w:hAnsi="宋体"/>
          <w:color w:val="auto"/>
          <w:sz w:val="28"/>
          <w:szCs w:val="28"/>
          <w:highlight w:val="none"/>
        </w:rPr>
        <w:t>2.投标人应仔细阅读招标文件的所有内容，按照招标文件的要求提交投标文件，并对所提供的全部资料的真实性承担法律责任。</w:t>
      </w:r>
    </w:p>
    <w:p w14:paraId="14CBF7D1">
      <w:pPr>
        <w:pStyle w:val="15"/>
        <w:snapToGrid w:val="0"/>
        <w:spacing w:beforeLines="0" w:afterLines="0" w:line="360" w:lineRule="auto"/>
        <w:ind w:firstLine="548" w:firstLineChars="195"/>
        <w:rPr>
          <w:rFonts w:hAnsi="宋体"/>
          <w:bCs/>
          <w:color w:val="auto"/>
          <w:sz w:val="28"/>
          <w:szCs w:val="28"/>
          <w:highlight w:val="none"/>
        </w:rPr>
      </w:pPr>
      <w:r>
        <w:rPr>
          <w:rFonts w:hint="eastAsia" w:hAnsi="宋体"/>
          <w:b/>
          <w:color w:val="auto"/>
          <w:sz w:val="28"/>
          <w:szCs w:val="28"/>
          <w:highlight w:val="none"/>
        </w:rPr>
        <w:t>如认为招标文件存在含糊不清、相互矛盾、多种含义、歧视性不公正条款或违法违规等内容时，请最迟在投标截止日十五天前向招标代理机构书面反映，逾期不得再对招标文件的条款或内容提出质疑。对招标文件的异议应有法定代表人或其委托代理人签字，并盖投标人公章和注明日期。没有提出异议且又参与了该项目投标的投标人将被视为完全认同招标文件。</w:t>
      </w:r>
    </w:p>
    <w:p w14:paraId="7649F7AA">
      <w:pPr>
        <w:pStyle w:val="15"/>
        <w:snapToGrid w:val="0"/>
        <w:spacing w:beforeLines="0" w:afterLines="0" w:line="360" w:lineRule="auto"/>
        <w:ind w:left="2" w:leftChars="1" w:firstLine="420" w:firstLineChars="150"/>
        <w:rPr>
          <w:rFonts w:hAnsi="宋体"/>
          <w:b/>
          <w:color w:val="auto"/>
          <w:sz w:val="28"/>
          <w:szCs w:val="28"/>
          <w:highlight w:val="none"/>
        </w:rPr>
      </w:pPr>
      <w:r>
        <w:rPr>
          <w:rFonts w:hAnsi="宋体"/>
          <w:color w:val="auto"/>
          <w:sz w:val="28"/>
          <w:szCs w:val="28"/>
          <w:highlight w:val="none"/>
        </w:rPr>
        <w:t>3.</w:t>
      </w:r>
      <w:r>
        <w:rPr>
          <w:rFonts w:hint="eastAsia" w:hAnsi="宋体"/>
          <w:color w:val="auto"/>
          <w:sz w:val="28"/>
          <w:szCs w:val="28"/>
          <w:highlight w:val="none"/>
        </w:rPr>
        <w:t xml:space="preserve"> 经查询，投标人及法人代表或单位负责人，若有行贿犯罪的记录，将取消中标资格。</w:t>
      </w:r>
    </w:p>
    <w:p w14:paraId="288BFC0D">
      <w:pPr>
        <w:pStyle w:val="15"/>
        <w:snapToGrid w:val="0"/>
        <w:spacing w:beforeLines="0" w:afterLines="0" w:line="360" w:lineRule="auto"/>
        <w:outlineLvl w:val="1"/>
        <w:rPr>
          <w:rFonts w:hAnsi="宋体"/>
          <w:b/>
          <w:bCs/>
          <w:color w:val="auto"/>
          <w:sz w:val="28"/>
          <w:szCs w:val="28"/>
          <w:highlight w:val="none"/>
        </w:rPr>
      </w:pPr>
      <w:bookmarkStart w:id="68" w:name="_Toc444597096"/>
      <w:bookmarkStart w:id="69" w:name="_Toc454551074"/>
      <w:bookmarkStart w:id="70" w:name="_Toc429406708"/>
      <w:bookmarkStart w:id="71" w:name="_Toc427442458"/>
      <w:bookmarkStart w:id="72" w:name="_Toc436314545"/>
      <w:bookmarkStart w:id="73" w:name="_Toc355117103"/>
      <w:r>
        <w:rPr>
          <w:rFonts w:hAnsi="宋体"/>
          <w:b/>
          <w:bCs/>
          <w:color w:val="auto"/>
          <w:sz w:val="28"/>
          <w:szCs w:val="28"/>
          <w:highlight w:val="none"/>
        </w:rPr>
        <w:t>（九）质疑和投诉</w:t>
      </w:r>
      <w:bookmarkEnd w:id="66"/>
      <w:bookmarkEnd w:id="67"/>
      <w:bookmarkEnd w:id="68"/>
      <w:bookmarkEnd w:id="69"/>
      <w:bookmarkEnd w:id="70"/>
      <w:bookmarkEnd w:id="71"/>
      <w:bookmarkEnd w:id="72"/>
      <w:bookmarkEnd w:id="73"/>
    </w:p>
    <w:p w14:paraId="7B753CDD">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1.投标人认为招标文件、招标过程或中标结果使自己的合法权益受到损害的，应当在知道或者应知其权益受到损害之日起</w:t>
      </w:r>
      <w:r>
        <w:rPr>
          <w:rFonts w:hint="eastAsia" w:hAnsi="宋体"/>
          <w:bCs/>
          <w:color w:val="auto"/>
          <w:sz w:val="28"/>
          <w:szCs w:val="28"/>
          <w:highlight w:val="none"/>
        </w:rPr>
        <w:t>3</w:t>
      </w:r>
      <w:r>
        <w:rPr>
          <w:rFonts w:hAnsi="宋体"/>
          <w:bCs/>
          <w:color w:val="auto"/>
          <w:sz w:val="28"/>
          <w:szCs w:val="28"/>
          <w:highlight w:val="none"/>
        </w:rPr>
        <w:t>个工作日内，以书面形式向招标人、招标代理机构提出质疑。</w:t>
      </w:r>
      <w:r>
        <w:rPr>
          <w:rFonts w:hint="eastAsia" w:hAnsi="宋体"/>
          <w:bCs/>
          <w:color w:val="auto"/>
          <w:sz w:val="28"/>
          <w:szCs w:val="28"/>
          <w:highlight w:val="none"/>
        </w:rPr>
        <w:t>书面质疑文件应该有质疑单位的名称、公章、联系人姓名、联系电话、传真，否则视为无效质疑。</w:t>
      </w:r>
    </w:p>
    <w:p w14:paraId="0D656632">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bookmarkStart w:id="74" w:name="_Toc249866758"/>
    </w:p>
    <w:p w14:paraId="7676555F">
      <w:pPr>
        <w:pStyle w:val="15"/>
        <w:snapToGrid w:val="0"/>
        <w:spacing w:beforeLines="0" w:afterLines="0" w:line="360" w:lineRule="auto"/>
        <w:ind w:firstLine="546" w:firstLineChars="195"/>
        <w:rPr>
          <w:rFonts w:hAnsi="宋体"/>
          <w:bCs/>
          <w:color w:val="auto"/>
          <w:sz w:val="28"/>
          <w:szCs w:val="28"/>
          <w:highlight w:val="none"/>
        </w:rPr>
      </w:pPr>
    </w:p>
    <w:p w14:paraId="046A2BAE">
      <w:pPr>
        <w:pStyle w:val="15"/>
        <w:snapToGrid w:val="0"/>
        <w:spacing w:beforeLines="0" w:afterLines="0" w:line="360" w:lineRule="auto"/>
        <w:rPr>
          <w:rFonts w:hAnsi="宋体"/>
          <w:b/>
          <w:color w:val="auto"/>
          <w:sz w:val="28"/>
          <w:szCs w:val="28"/>
          <w:highlight w:val="none"/>
        </w:rPr>
      </w:pPr>
      <w:r>
        <w:rPr>
          <w:rFonts w:hAnsi="宋体"/>
          <w:b/>
          <w:color w:val="auto"/>
          <w:sz w:val="28"/>
          <w:szCs w:val="28"/>
          <w:highlight w:val="none"/>
        </w:rPr>
        <w:t>二</w:t>
      </w:r>
      <w:r>
        <w:rPr>
          <w:rFonts w:hint="eastAsia" w:hAnsi="宋体"/>
          <w:b/>
          <w:color w:val="auto"/>
          <w:sz w:val="28"/>
          <w:szCs w:val="28"/>
          <w:highlight w:val="none"/>
        </w:rPr>
        <w:t>、招标</w:t>
      </w:r>
      <w:r>
        <w:rPr>
          <w:rFonts w:hAnsi="宋体"/>
          <w:b/>
          <w:color w:val="auto"/>
          <w:sz w:val="28"/>
          <w:szCs w:val="28"/>
          <w:highlight w:val="none"/>
        </w:rPr>
        <w:t>文件</w:t>
      </w:r>
      <w:bookmarkEnd w:id="74"/>
    </w:p>
    <w:p w14:paraId="138A8889">
      <w:pPr>
        <w:snapToGrid w:val="0"/>
        <w:spacing w:line="360" w:lineRule="auto"/>
        <w:ind w:firstLine="551" w:firstLineChars="196"/>
        <w:jc w:val="left"/>
        <w:rPr>
          <w:rFonts w:ascii="宋体" w:hAnsi="宋体"/>
          <w:b/>
          <w:color w:val="auto"/>
          <w:sz w:val="28"/>
          <w:szCs w:val="28"/>
          <w:highlight w:val="none"/>
        </w:rPr>
      </w:pPr>
      <w:r>
        <w:rPr>
          <w:rFonts w:hint="eastAsia" w:ascii="宋体" w:hAnsi="宋体"/>
          <w:b/>
          <w:color w:val="auto"/>
          <w:sz w:val="28"/>
          <w:szCs w:val="28"/>
          <w:highlight w:val="none"/>
        </w:rPr>
        <w:t>（一）招标文件的构成。本招标文件由以下部份组成：</w:t>
      </w:r>
    </w:p>
    <w:p w14:paraId="66408315">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第一章 招标公告</w:t>
      </w:r>
    </w:p>
    <w:p w14:paraId="03A17D99">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第二章 招标项目要求</w:t>
      </w:r>
    </w:p>
    <w:p w14:paraId="7D1429B5">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第三章 投标人资料表</w:t>
      </w:r>
    </w:p>
    <w:p w14:paraId="65DE9285">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 xml:space="preserve">第四章 </w:t>
      </w:r>
      <w:r>
        <w:rPr>
          <w:rFonts w:ascii="宋体" w:hAnsi="宋体"/>
          <w:color w:val="auto"/>
          <w:sz w:val="28"/>
          <w:szCs w:val="28"/>
          <w:highlight w:val="none"/>
        </w:rPr>
        <w:t>开标及评标办法</w:t>
      </w:r>
    </w:p>
    <w:p w14:paraId="5BF64342">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第五章 定期存款存放协议</w:t>
      </w:r>
    </w:p>
    <w:p w14:paraId="24FC5E0A">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 xml:space="preserve">第六章 </w:t>
      </w:r>
      <w:r>
        <w:rPr>
          <w:rFonts w:ascii="宋体" w:hAnsi="宋体"/>
          <w:color w:val="auto"/>
          <w:sz w:val="28"/>
          <w:szCs w:val="28"/>
          <w:highlight w:val="none"/>
        </w:rPr>
        <w:t>投标文件格式</w:t>
      </w:r>
    </w:p>
    <w:p w14:paraId="2FA9FC68">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第七章 其他补充资料（</w:t>
      </w:r>
      <w:r>
        <w:rPr>
          <w:rFonts w:ascii="宋体" w:hAnsi="宋体"/>
          <w:color w:val="auto"/>
          <w:sz w:val="28"/>
          <w:szCs w:val="28"/>
          <w:highlight w:val="none"/>
        </w:rPr>
        <w:t>与本项目招标相关的澄清、答复、修改或补充招标文件</w:t>
      </w:r>
      <w:r>
        <w:rPr>
          <w:rFonts w:hint="eastAsia" w:ascii="宋体" w:hAnsi="宋体"/>
          <w:color w:val="auto"/>
          <w:sz w:val="28"/>
          <w:szCs w:val="28"/>
          <w:highlight w:val="none"/>
        </w:rPr>
        <w:t>）</w:t>
      </w:r>
    </w:p>
    <w:p w14:paraId="5EEFF543">
      <w:pPr>
        <w:snapToGrid w:val="0"/>
        <w:spacing w:line="360" w:lineRule="auto"/>
        <w:ind w:firstLine="551" w:firstLineChars="196"/>
        <w:jc w:val="left"/>
        <w:rPr>
          <w:rFonts w:ascii="宋体" w:hAnsi="宋体"/>
          <w:b/>
          <w:color w:val="auto"/>
          <w:sz w:val="28"/>
          <w:szCs w:val="28"/>
          <w:highlight w:val="none"/>
        </w:rPr>
      </w:pPr>
      <w:r>
        <w:rPr>
          <w:rFonts w:hint="eastAsia" w:ascii="宋体" w:hAnsi="宋体"/>
          <w:b/>
          <w:color w:val="auto"/>
          <w:sz w:val="28"/>
          <w:szCs w:val="28"/>
          <w:highlight w:val="none"/>
        </w:rPr>
        <w:t>（二）投标人的风险</w:t>
      </w:r>
    </w:p>
    <w:p w14:paraId="62612423">
      <w:pPr>
        <w:pStyle w:val="15"/>
        <w:snapToGrid w:val="0"/>
        <w:spacing w:beforeLines="0" w:afterLines="0" w:line="360" w:lineRule="auto"/>
        <w:ind w:firstLine="560" w:firstLineChars="200"/>
        <w:rPr>
          <w:rFonts w:hAnsi="宋体"/>
          <w:color w:val="auto"/>
          <w:sz w:val="28"/>
          <w:szCs w:val="28"/>
          <w:highlight w:val="none"/>
        </w:rPr>
      </w:pPr>
      <w:r>
        <w:rPr>
          <w:rFonts w:hint="eastAsia" w:hAnsi="宋体"/>
          <w:color w:val="auto"/>
          <w:sz w:val="28"/>
          <w:szCs w:val="28"/>
          <w:highlight w:val="none"/>
        </w:rPr>
        <w:t>投标人没有按照招标文件要求提供全部资料，或者投标人没有对招标文件在各方面做出实质性响应是投标人的风险，并可能导致其投标被拒绝。</w:t>
      </w:r>
    </w:p>
    <w:p w14:paraId="6FC582BC">
      <w:pPr>
        <w:snapToGrid w:val="0"/>
        <w:spacing w:line="360" w:lineRule="auto"/>
        <w:ind w:firstLine="551" w:firstLineChars="196"/>
        <w:jc w:val="left"/>
        <w:rPr>
          <w:rFonts w:ascii="宋体" w:hAnsi="宋体"/>
          <w:b/>
          <w:color w:val="auto"/>
          <w:sz w:val="28"/>
          <w:szCs w:val="28"/>
          <w:highlight w:val="none"/>
        </w:rPr>
      </w:pPr>
      <w:r>
        <w:rPr>
          <w:rFonts w:hint="eastAsia" w:ascii="宋体" w:hAnsi="宋体"/>
          <w:b/>
          <w:color w:val="auto"/>
          <w:sz w:val="28"/>
          <w:szCs w:val="28"/>
          <w:highlight w:val="none"/>
        </w:rPr>
        <w:t xml:space="preserve">（三）招标文件的澄清与修改 </w:t>
      </w:r>
    </w:p>
    <w:p w14:paraId="4BE64A07">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1.投标人应认真阅读本招标文件，发现其中有误或有不合理要求的，投标人</w:t>
      </w:r>
      <w:r>
        <w:rPr>
          <w:rFonts w:hint="eastAsia" w:hAnsi="宋体"/>
          <w:bCs/>
          <w:color w:val="auto"/>
          <w:sz w:val="28"/>
          <w:szCs w:val="28"/>
          <w:highlight w:val="none"/>
        </w:rPr>
        <w:t>应在投标截止时间15日前</w:t>
      </w:r>
      <w:r>
        <w:rPr>
          <w:rFonts w:hAnsi="宋体"/>
          <w:bCs/>
          <w:color w:val="auto"/>
          <w:sz w:val="28"/>
          <w:szCs w:val="28"/>
          <w:highlight w:val="none"/>
        </w:rPr>
        <w:t>以书面形式要求招标单位澄清。招标代理机构对已发出的招标文件进行必要澄清、答复、修改或补充的，应当在招标文件要求提交投标文件截止时间</w:t>
      </w:r>
      <w:r>
        <w:rPr>
          <w:rFonts w:hint="eastAsia" w:hAnsi="宋体"/>
          <w:bCs/>
          <w:color w:val="auto"/>
          <w:sz w:val="28"/>
          <w:szCs w:val="28"/>
          <w:highlight w:val="none"/>
        </w:rPr>
        <w:t>15</w:t>
      </w:r>
      <w:r>
        <w:rPr>
          <w:rFonts w:hAnsi="宋体"/>
          <w:bCs/>
          <w:color w:val="auto"/>
          <w:sz w:val="28"/>
          <w:szCs w:val="28"/>
          <w:highlight w:val="none"/>
        </w:rPr>
        <w:t>日前，以书面形式通知所有招标文件收受人。</w:t>
      </w:r>
    </w:p>
    <w:p w14:paraId="19E815DA">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2.招标代理机构必须以书面形式答复投标人要求澄清的问题，并将不包含问题来源的答复书面通知所有购买招标文件的投标人；除书面答复以外的其他澄清方式及澄清内容均无效。</w:t>
      </w:r>
    </w:p>
    <w:p w14:paraId="13C3A898">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3.招标文件澄清、答复、修改、补充的内容为招标文件的组成部分。当招标文件与招标文件的答复、澄清、修改、补充通知就同一内容的表述不一致时，以最后发出的书面文件为准。</w:t>
      </w:r>
    </w:p>
    <w:p w14:paraId="7BC268BE">
      <w:pPr>
        <w:pStyle w:val="15"/>
        <w:snapToGrid w:val="0"/>
        <w:spacing w:beforeLines="0" w:afterLines="0" w:line="360" w:lineRule="auto"/>
        <w:ind w:firstLine="546" w:firstLineChars="195"/>
        <w:rPr>
          <w:rFonts w:hAnsi="宋体"/>
          <w:bCs/>
          <w:color w:val="auto"/>
          <w:sz w:val="28"/>
          <w:szCs w:val="28"/>
          <w:highlight w:val="none"/>
        </w:rPr>
      </w:pPr>
      <w:r>
        <w:rPr>
          <w:rFonts w:hAnsi="宋体"/>
          <w:bCs/>
          <w:color w:val="auto"/>
          <w:sz w:val="28"/>
          <w:szCs w:val="28"/>
          <w:highlight w:val="none"/>
        </w:rPr>
        <w:t>4.招标文件的澄清、答复、修改或补充都应该通过本代理机构以法定形式发布，招标人非通过本机构，不得擅自澄清、答复、修改或补充招标文件。</w:t>
      </w:r>
    </w:p>
    <w:p w14:paraId="2493839F">
      <w:pPr>
        <w:pStyle w:val="15"/>
        <w:snapToGrid w:val="0"/>
        <w:spacing w:beforeLines="0" w:afterLines="0" w:line="360" w:lineRule="auto"/>
        <w:rPr>
          <w:rFonts w:hAnsi="宋体"/>
          <w:b/>
          <w:color w:val="auto"/>
          <w:sz w:val="28"/>
          <w:szCs w:val="28"/>
          <w:highlight w:val="none"/>
        </w:rPr>
      </w:pPr>
      <w:bookmarkStart w:id="75" w:name="_Toc249866759"/>
    </w:p>
    <w:p w14:paraId="417A2710">
      <w:pPr>
        <w:pStyle w:val="15"/>
        <w:snapToGrid w:val="0"/>
        <w:spacing w:beforeLines="0" w:afterLines="0" w:line="360" w:lineRule="auto"/>
        <w:rPr>
          <w:rFonts w:hAnsi="宋体"/>
          <w:b/>
          <w:color w:val="auto"/>
          <w:sz w:val="28"/>
          <w:szCs w:val="28"/>
          <w:highlight w:val="none"/>
        </w:rPr>
      </w:pPr>
      <w:r>
        <w:rPr>
          <w:rFonts w:hAnsi="宋体"/>
          <w:b/>
          <w:color w:val="auto"/>
          <w:sz w:val="28"/>
          <w:szCs w:val="28"/>
          <w:highlight w:val="none"/>
        </w:rPr>
        <w:t>三</w:t>
      </w:r>
      <w:r>
        <w:rPr>
          <w:rFonts w:hint="eastAsia" w:hAnsi="宋体"/>
          <w:b/>
          <w:color w:val="auto"/>
          <w:sz w:val="28"/>
          <w:szCs w:val="28"/>
          <w:highlight w:val="none"/>
        </w:rPr>
        <w:t>、</w:t>
      </w:r>
      <w:r>
        <w:rPr>
          <w:rFonts w:hAnsi="宋体"/>
          <w:b/>
          <w:color w:val="auto"/>
          <w:sz w:val="28"/>
          <w:szCs w:val="28"/>
          <w:highlight w:val="none"/>
        </w:rPr>
        <w:t>投标文件的编制</w:t>
      </w:r>
      <w:bookmarkEnd w:id="75"/>
    </w:p>
    <w:p w14:paraId="62F5040C">
      <w:pPr>
        <w:snapToGrid w:val="0"/>
        <w:spacing w:line="360" w:lineRule="auto"/>
        <w:ind w:firstLine="551" w:firstLineChars="196"/>
        <w:jc w:val="left"/>
        <w:outlineLvl w:val="0"/>
        <w:rPr>
          <w:rFonts w:ascii="宋体" w:hAnsi="宋体"/>
          <w:b/>
          <w:color w:val="auto"/>
          <w:sz w:val="28"/>
          <w:szCs w:val="28"/>
          <w:highlight w:val="none"/>
        </w:rPr>
      </w:pPr>
      <w:bookmarkStart w:id="76" w:name="_Toc429406709"/>
      <w:bookmarkStart w:id="77" w:name="_Toc259108316"/>
      <w:bookmarkStart w:id="78" w:name="_Toc355117104"/>
      <w:bookmarkStart w:id="79" w:name="_Toc249866760"/>
      <w:bookmarkStart w:id="80" w:name="_Toc427442459"/>
      <w:bookmarkStart w:id="81" w:name="_Toc444597097"/>
      <w:bookmarkStart w:id="82" w:name="_Toc436314546"/>
      <w:bookmarkStart w:id="83" w:name="_Toc454551075"/>
      <w:r>
        <w:rPr>
          <w:rFonts w:ascii="宋体" w:hAnsi="宋体"/>
          <w:b/>
          <w:color w:val="auto"/>
          <w:sz w:val="28"/>
          <w:szCs w:val="28"/>
          <w:highlight w:val="none"/>
        </w:rPr>
        <w:t>（一）投标文件的组成</w:t>
      </w:r>
      <w:bookmarkEnd w:id="76"/>
      <w:bookmarkEnd w:id="77"/>
      <w:bookmarkEnd w:id="78"/>
      <w:bookmarkEnd w:id="79"/>
      <w:bookmarkEnd w:id="80"/>
      <w:bookmarkEnd w:id="81"/>
      <w:bookmarkEnd w:id="82"/>
      <w:bookmarkEnd w:id="83"/>
    </w:p>
    <w:p w14:paraId="2D3A61EB">
      <w:pPr>
        <w:snapToGrid w:val="0"/>
        <w:spacing w:line="360" w:lineRule="auto"/>
        <w:ind w:firstLine="551" w:firstLineChars="196"/>
        <w:jc w:val="left"/>
        <w:outlineLvl w:val="0"/>
        <w:rPr>
          <w:rFonts w:ascii="宋体" w:hAnsi="宋体"/>
          <w:b/>
          <w:color w:val="auto"/>
          <w:sz w:val="28"/>
          <w:szCs w:val="28"/>
          <w:highlight w:val="none"/>
        </w:rPr>
      </w:pPr>
      <w:bookmarkStart w:id="84" w:name="_Toc436314547"/>
      <w:bookmarkStart w:id="85" w:name="_Toc444597098"/>
      <w:bookmarkStart w:id="86" w:name="_Toc454551076"/>
      <w:bookmarkStart w:id="87" w:name="_Toc429406710"/>
      <w:bookmarkStart w:id="88" w:name="_Toc427442460"/>
      <w:r>
        <w:rPr>
          <w:rFonts w:hint="eastAsia" w:ascii="宋体" w:hAnsi="宋体"/>
          <w:b/>
          <w:color w:val="auto"/>
          <w:sz w:val="28"/>
          <w:szCs w:val="28"/>
          <w:highlight w:val="none"/>
        </w:rPr>
        <w:t>1、投标文件包括以下内容：</w:t>
      </w:r>
      <w:bookmarkEnd w:id="84"/>
      <w:bookmarkEnd w:id="85"/>
      <w:bookmarkEnd w:id="86"/>
      <w:bookmarkEnd w:id="87"/>
      <w:bookmarkEnd w:id="88"/>
    </w:p>
    <w:p w14:paraId="7BCB9553">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（1）投标声明书；</w:t>
      </w:r>
    </w:p>
    <w:p w14:paraId="0591964E">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（2）投标报价一览表；</w:t>
      </w:r>
    </w:p>
    <w:p w14:paraId="3AD3F728">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（3）法定代表人身份证明书或法定代表人/分行负责人授权委托书；</w:t>
      </w:r>
    </w:p>
    <w:p w14:paraId="7426F919">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（4）投标人基本情况声明；</w:t>
      </w:r>
    </w:p>
    <w:p w14:paraId="0E0838EF">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（5）投标人资格证明文件；</w:t>
      </w:r>
    </w:p>
    <w:p w14:paraId="293B1142">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（6）</w:t>
      </w:r>
      <w:r>
        <w:rPr>
          <w:rFonts w:hint="eastAsia" w:hAnsi="宋体"/>
          <w:bCs/>
          <w:color w:val="auto"/>
          <w:sz w:val="28"/>
          <w:szCs w:val="28"/>
          <w:highlight w:val="none"/>
          <w:lang w:eastAsia="zh-CN"/>
        </w:rPr>
        <w:t>2023年度资产负债表和损益表</w:t>
      </w:r>
      <w:r>
        <w:rPr>
          <w:rFonts w:hint="eastAsia" w:hAnsi="宋体"/>
          <w:bCs/>
          <w:color w:val="auto"/>
          <w:sz w:val="28"/>
          <w:szCs w:val="28"/>
          <w:highlight w:val="none"/>
        </w:rPr>
        <w:t>；</w:t>
      </w:r>
    </w:p>
    <w:p w14:paraId="2D44F34D">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（7）根据第四章评分标准中的内容提供相应的资料；</w:t>
      </w:r>
    </w:p>
    <w:p w14:paraId="74D7EA1E">
      <w:pPr>
        <w:pStyle w:val="15"/>
        <w:snapToGrid w:val="0"/>
        <w:spacing w:beforeLines="0" w:afterLines="0" w:line="360" w:lineRule="auto"/>
        <w:ind w:firstLine="546" w:firstLineChars="195"/>
        <w:rPr>
          <w:rFonts w:hAnsi="宋体"/>
          <w:bCs/>
          <w:color w:val="auto"/>
          <w:sz w:val="28"/>
          <w:szCs w:val="28"/>
          <w:highlight w:val="none"/>
        </w:rPr>
      </w:pPr>
      <w:r>
        <w:rPr>
          <w:rFonts w:hint="eastAsia" w:hAnsi="宋体"/>
          <w:bCs/>
          <w:color w:val="auto"/>
          <w:sz w:val="28"/>
          <w:szCs w:val="28"/>
          <w:highlight w:val="none"/>
        </w:rPr>
        <w:t>（8）投标人认为需提供的其他资料。</w:t>
      </w:r>
    </w:p>
    <w:p w14:paraId="3A61BD24">
      <w:pPr>
        <w:pStyle w:val="15"/>
        <w:snapToGrid w:val="0"/>
        <w:spacing w:beforeLines="0" w:afterLines="0" w:line="360" w:lineRule="auto"/>
        <w:ind w:firstLine="546" w:firstLineChars="195"/>
        <w:rPr>
          <w:rFonts w:hAnsi="宋体"/>
          <w:bCs/>
          <w:color w:val="auto"/>
          <w:sz w:val="28"/>
          <w:szCs w:val="28"/>
          <w:highlight w:val="none"/>
        </w:rPr>
      </w:pPr>
    </w:p>
    <w:p w14:paraId="2151B219">
      <w:pPr>
        <w:adjustRightInd w:val="0"/>
        <w:snapToGrid w:val="0"/>
        <w:spacing w:line="360" w:lineRule="auto"/>
        <w:ind w:firstLine="700" w:firstLineChars="249"/>
        <w:rPr>
          <w:rFonts w:ascii="宋体" w:hAnsi="宋体"/>
          <w:b/>
          <w:bCs/>
          <w:color w:val="auto"/>
          <w:sz w:val="28"/>
          <w:szCs w:val="28"/>
          <w:highlight w:val="none"/>
        </w:rPr>
      </w:pPr>
      <w:r>
        <w:rPr>
          <w:rFonts w:ascii="宋体" w:hAnsi="宋体"/>
          <w:b/>
          <w:bCs/>
          <w:color w:val="auto"/>
          <w:sz w:val="28"/>
          <w:szCs w:val="28"/>
          <w:highlight w:val="none"/>
        </w:rPr>
        <w:t>2</w:t>
      </w:r>
      <w:r>
        <w:rPr>
          <w:rFonts w:hint="eastAsia" w:ascii="宋体" w:hAnsi="宋体"/>
          <w:b/>
          <w:bCs/>
          <w:color w:val="auto"/>
          <w:sz w:val="28"/>
          <w:szCs w:val="28"/>
          <w:highlight w:val="none"/>
        </w:rPr>
        <w:t>、投标文件的形式和效力</w:t>
      </w:r>
    </w:p>
    <w:p w14:paraId="5B421A33">
      <w:pPr>
        <w:adjustRightInd w:val="0"/>
        <w:snapToGrid w:val="0"/>
        <w:spacing w:line="360" w:lineRule="auto"/>
        <w:ind w:firstLine="697" w:firstLineChars="249"/>
        <w:rPr>
          <w:rFonts w:ascii="宋体" w:hAnsi="宋体"/>
          <w:bCs/>
          <w:color w:val="auto"/>
          <w:sz w:val="28"/>
          <w:szCs w:val="28"/>
          <w:highlight w:val="none"/>
        </w:rPr>
      </w:pPr>
      <w:r>
        <w:rPr>
          <w:rFonts w:hint="eastAsia" w:ascii="宋体" w:hAnsi="宋体"/>
          <w:bCs/>
          <w:color w:val="auto"/>
          <w:sz w:val="28"/>
          <w:szCs w:val="28"/>
          <w:highlight w:val="none"/>
        </w:rPr>
        <w:t>（1）投标文件为电子投标文件。</w:t>
      </w:r>
    </w:p>
    <w:p w14:paraId="611AB4AE">
      <w:pPr>
        <w:adjustRightInd w:val="0"/>
        <w:snapToGrid w:val="0"/>
        <w:spacing w:line="360" w:lineRule="auto"/>
        <w:ind w:firstLine="697" w:firstLineChars="249"/>
        <w:rPr>
          <w:rFonts w:ascii="宋体" w:hAnsi="宋体"/>
          <w:bCs/>
          <w:color w:val="auto"/>
          <w:sz w:val="28"/>
          <w:szCs w:val="28"/>
          <w:highlight w:val="none"/>
        </w:rPr>
      </w:pPr>
      <w:r>
        <w:rPr>
          <w:rFonts w:hint="eastAsia" w:ascii="宋体" w:hAnsi="宋体"/>
          <w:bCs/>
          <w:color w:val="auto"/>
          <w:sz w:val="28"/>
          <w:szCs w:val="28"/>
          <w:highlight w:val="none"/>
        </w:rPr>
        <w:t xml:space="preserve">（2）电子投标文件，按“政采云供应商项目采购-电子招投标操作指南”及本招标文件要求制作并递交。 </w:t>
      </w:r>
    </w:p>
    <w:p w14:paraId="6CA6F183">
      <w:pPr>
        <w:pStyle w:val="25"/>
        <w:spacing w:after="0" w:line="360" w:lineRule="auto"/>
        <w:ind w:firstLine="280" w:firstLineChars="100"/>
        <w:rPr>
          <w:rFonts w:ascii="宋体" w:hAnsi="宋体"/>
          <w:b/>
          <w:bCs/>
          <w:color w:val="auto"/>
          <w:sz w:val="28"/>
          <w:szCs w:val="28"/>
          <w:highlight w:val="none"/>
        </w:rPr>
      </w:pPr>
      <w:r>
        <w:rPr>
          <w:rFonts w:ascii="宋体" w:hAnsi="宋体"/>
          <w:color w:val="auto"/>
          <w:sz w:val="28"/>
          <w:szCs w:val="28"/>
          <w:highlight w:val="none"/>
        </w:rPr>
        <w:t>▲</w:t>
      </w:r>
      <w:r>
        <w:rPr>
          <w:rFonts w:ascii="宋体" w:hAnsi="宋体"/>
          <w:b/>
          <w:bCs/>
          <w:color w:val="auto"/>
          <w:sz w:val="28"/>
          <w:szCs w:val="28"/>
          <w:highlight w:val="none"/>
        </w:rPr>
        <w:t>注：</w:t>
      </w:r>
      <w:r>
        <w:rPr>
          <w:rFonts w:hint="eastAsia" w:ascii="宋体" w:hAnsi="宋体"/>
          <w:b/>
          <w:bCs/>
          <w:color w:val="auto"/>
          <w:sz w:val="28"/>
          <w:szCs w:val="28"/>
          <w:highlight w:val="none"/>
        </w:rPr>
        <w:t>电子投标文件中所须加盖公章部分均采用 CA 签章。</w:t>
      </w:r>
    </w:p>
    <w:p w14:paraId="16061A78">
      <w:pPr>
        <w:pStyle w:val="25"/>
        <w:spacing w:after="0" w:line="360" w:lineRule="auto"/>
        <w:ind w:firstLine="280" w:firstLineChars="100"/>
        <w:rPr>
          <w:rFonts w:ascii="宋体" w:hAnsi="宋体"/>
          <w:color w:val="auto"/>
          <w:sz w:val="28"/>
          <w:szCs w:val="28"/>
          <w:highlight w:val="none"/>
        </w:rPr>
      </w:pPr>
    </w:p>
    <w:p w14:paraId="100C9A29">
      <w:pPr>
        <w:snapToGrid w:val="0"/>
        <w:spacing w:line="360" w:lineRule="auto"/>
        <w:ind w:firstLine="551" w:firstLineChars="196"/>
        <w:jc w:val="left"/>
        <w:outlineLvl w:val="0"/>
        <w:rPr>
          <w:rFonts w:ascii="宋体" w:hAnsi="宋体"/>
          <w:b/>
          <w:color w:val="auto"/>
          <w:sz w:val="28"/>
          <w:szCs w:val="28"/>
          <w:highlight w:val="none"/>
        </w:rPr>
      </w:pPr>
      <w:bookmarkStart w:id="89" w:name="_Toc259108317"/>
      <w:bookmarkStart w:id="90" w:name="_Toc444597099"/>
      <w:bookmarkStart w:id="91" w:name="_Toc355117105"/>
      <w:bookmarkStart w:id="92" w:name="_Toc427442461"/>
      <w:bookmarkStart w:id="93" w:name="_Toc454551077"/>
      <w:bookmarkStart w:id="94" w:name="_Toc436314548"/>
      <w:bookmarkStart w:id="95" w:name="_Toc429406711"/>
      <w:bookmarkStart w:id="96" w:name="_Toc249866761"/>
      <w:r>
        <w:rPr>
          <w:rFonts w:hint="eastAsia" w:ascii="宋体" w:hAnsi="宋体"/>
          <w:b/>
          <w:color w:val="auto"/>
          <w:sz w:val="28"/>
          <w:szCs w:val="28"/>
          <w:highlight w:val="none"/>
        </w:rPr>
        <w:t>（二）投标文件的语言及计量</w:t>
      </w:r>
      <w:bookmarkEnd w:id="89"/>
      <w:bookmarkEnd w:id="90"/>
      <w:bookmarkEnd w:id="91"/>
      <w:bookmarkEnd w:id="92"/>
      <w:bookmarkEnd w:id="93"/>
      <w:bookmarkEnd w:id="94"/>
      <w:bookmarkEnd w:id="95"/>
      <w:bookmarkEnd w:id="96"/>
    </w:p>
    <w:p w14:paraId="6A7FFB6A">
      <w:pPr>
        <w:snapToGrid w:val="0"/>
        <w:spacing w:line="360" w:lineRule="auto"/>
        <w:ind w:firstLine="280" w:firstLineChars="100"/>
        <w:jc w:val="left"/>
        <w:rPr>
          <w:rFonts w:ascii="宋体" w:hAnsi="宋体"/>
          <w:color w:val="auto"/>
          <w:sz w:val="28"/>
          <w:szCs w:val="28"/>
          <w:highlight w:val="none"/>
        </w:rPr>
      </w:pPr>
      <w:r>
        <w:rPr>
          <w:rFonts w:ascii="宋体" w:hAnsi="宋体"/>
          <w:color w:val="auto"/>
          <w:sz w:val="28"/>
          <w:szCs w:val="28"/>
          <w:highlight w:val="none"/>
        </w:rPr>
        <w:t>▲1.投标文件以及投标方与招标方就有关投标事宜的所有来往函电，均应以中文汉语书写。除签名、盖章、专用名称等特殊情形外，以中文汉语以外的文字表述的投标文件视同未提供。</w:t>
      </w:r>
    </w:p>
    <w:p w14:paraId="42F42A7C">
      <w:pPr>
        <w:snapToGrid w:val="0"/>
        <w:spacing w:line="360" w:lineRule="auto"/>
        <w:ind w:firstLine="280" w:firstLineChars="100"/>
        <w:jc w:val="left"/>
        <w:rPr>
          <w:rFonts w:ascii="宋体" w:hAnsi="宋体"/>
          <w:color w:val="auto"/>
          <w:sz w:val="28"/>
          <w:szCs w:val="28"/>
          <w:highlight w:val="none"/>
        </w:rPr>
      </w:pPr>
      <w:r>
        <w:rPr>
          <w:rFonts w:ascii="宋体" w:hAnsi="宋体"/>
          <w:color w:val="auto"/>
          <w:sz w:val="28"/>
          <w:szCs w:val="28"/>
          <w:highlight w:val="none"/>
        </w:rPr>
        <w:t>▲2.投标计量单位，招标文件已有明确规定的，使用招标文件规定的计量单位；招标文件没有规定的，应采用中华人民共和国法定计量单位，否则视同未响应。</w:t>
      </w:r>
    </w:p>
    <w:p w14:paraId="1BC6ABF1">
      <w:pPr>
        <w:snapToGrid w:val="0"/>
        <w:spacing w:line="360" w:lineRule="auto"/>
        <w:ind w:firstLine="551" w:firstLineChars="196"/>
        <w:jc w:val="left"/>
        <w:outlineLvl w:val="0"/>
        <w:rPr>
          <w:rFonts w:ascii="宋体" w:hAnsi="宋体"/>
          <w:b/>
          <w:color w:val="auto"/>
          <w:sz w:val="28"/>
          <w:szCs w:val="28"/>
          <w:highlight w:val="none"/>
        </w:rPr>
      </w:pPr>
      <w:bookmarkStart w:id="97" w:name="_Toc444597100"/>
      <w:bookmarkStart w:id="98" w:name="_Toc436314549"/>
      <w:bookmarkStart w:id="99" w:name="_Toc427442462"/>
      <w:bookmarkStart w:id="100" w:name="_Toc355117107"/>
      <w:bookmarkStart w:id="101" w:name="_Toc249866766"/>
      <w:bookmarkStart w:id="102" w:name="_Toc454551078"/>
      <w:bookmarkStart w:id="103" w:name="_Toc429406712"/>
      <w:bookmarkStart w:id="104" w:name="_Toc259108322"/>
      <w:r>
        <w:rPr>
          <w:rFonts w:hint="eastAsia" w:ascii="宋体" w:hAnsi="宋体"/>
          <w:b/>
          <w:color w:val="auto"/>
          <w:sz w:val="28"/>
          <w:szCs w:val="28"/>
          <w:highlight w:val="none"/>
        </w:rPr>
        <w:t>（三）投标文件的签署和份数</w:t>
      </w:r>
      <w:bookmarkEnd w:id="97"/>
      <w:bookmarkEnd w:id="98"/>
      <w:bookmarkEnd w:id="99"/>
      <w:bookmarkEnd w:id="100"/>
      <w:bookmarkEnd w:id="101"/>
      <w:bookmarkEnd w:id="102"/>
      <w:bookmarkEnd w:id="103"/>
      <w:bookmarkEnd w:id="104"/>
    </w:p>
    <w:p w14:paraId="2913E84D">
      <w:pPr>
        <w:snapToGrid w:val="0"/>
        <w:spacing w:line="360" w:lineRule="auto"/>
        <w:ind w:firstLine="560" w:firstLineChars="200"/>
        <w:jc w:val="left"/>
        <w:rPr>
          <w:rFonts w:ascii="宋体" w:hAnsi="宋体"/>
          <w:color w:val="auto"/>
          <w:sz w:val="28"/>
          <w:szCs w:val="28"/>
          <w:highlight w:val="none"/>
        </w:rPr>
      </w:pPr>
      <w:r>
        <w:rPr>
          <w:rFonts w:ascii="宋体" w:hAnsi="宋体"/>
          <w:color w:val="auto"/>
          <w:sz w:val="28"/>
          <w:szCs w:val="28"/>
          <w:highlight w:val="none"/>
        </w:rPr>
        <w:t>1.投标人应按本招标文件规定的格式和顺序编制、装订投标文件并标注页码，投标文件内容不完整、编排混乱导致投标文件被误读、漏读或者查找不到相关内容的，是投标人的责任。</w:t>
      </w:r>
    </w:p>
    <w:p w14:paraId="3C8A5E21">
      <w:pPr>
        <w:snapToGrid w:val="0"/>
        <w:spacing w:line="360" w:lineRule="auto"/>
        <w:ind w:firstLine="560" w:firstLineChars="200"/>
        <w:jc w:val="left"/>
        <w:rPr>
          <w:rFonts w:ascii="宋体" w:hAnsi="宋体"/>
          <w:color w:val="auto"/>
          <w:sz w:val="28"/>
          <w:szCs w:val="28"/>
          <w:highlight w:val="none"/>
        </w:rPr>
      </w:pPr>
      <w:r>
        <w:rPr>
          <w:rFonts w:ascii="宋体" w:hAnsi="宋体"/>
          <w:color w:val="auto"/>
          <w:sz w:val="28"/>
          <w:szCs w:val="28"/>
          <w:highlight w:val="none"/>
        </w:rPr>
        <w:t>2.</w:t>
      </w:r>
      <w:r>
        <w:rPr>
          <w:rFonts w:hint="eastAsia" w:ascii="宋体" w:hAnsi="宋体"/>
          <w:color w:val="auto"/>
          <w:sz w:val="28"/>
          <w:szCs w:val="28"/>
          <w:highlight w:val="none"/>
        </w:rPr>
        <w:t xml:space="preserve"> 投标文件的形式</w:t>
      </w:r>
    </w:p>
    <w:p w14:paraId="38913418">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（1）上传到政府采购云平台的电子投标文件。</w:t>
      </w:r>
    </w:p>
    <w:p w14:paraId="03B150F0">
      <w:pPr>
        <w:snapToGrid w:val="0"/>
        <w:spacing w:line="360" w:lineRule="auto"/>
        <w:ind w:firstLine="560" w:firstLineChars="200"/>
        <w:jc w:val="left"/>
        <w:rPr>
          <w:rFonts w:ascii="宋体" w:hAnsi="宋体"/>
          <w:color w:val="auto"/>
          <w:sz w:val="28"/>
          <w:szCs w:val="28"/>
          <w:highlight w:val="none"/>
        </w:rPr>
      </w:pPr>
      <w:r>
        <w:rPr>
          <w:rFonts w:hint="eastAsia" w:ascii="宋体" w:hAnsi="宋体" w:cs="宋体"/>
          <w:bCs/>
          <w:color w:val="auto"/>
          <w:sz w:val="28"/>
          <w:szCs w:val="28"/>
          <w:highlight w:val="none"/>
        </w:rPr>
        <w:t>（2）投标人需在202</w:t>
      </w:r>
      <w:r>
        <w:rPr>
          <w:rFonts w:hint="eastAsia" w:ascii="宋体" w:hAnsi="宋体" w:cs="宋体"/>
          <w:bCs/>
          <w:color w:val="auto"/>
          <w:sz w:val="28"/>
          <w:szCs w:val="28"/>
          <w:highlight w:val="none"/>
          <w:lang w:val="en-US" w:eastAsia="zh-CN"/>
        </w:rPr>
        <w:t>5</w:t>
      </w:r>
      <w:r>
        <w:rPr>
          <w:rFonts w:hint="eastAsia" w:ascii="宋体" w:hAnsi="宋体" w:cs="宋体"/>
          <w:bCs/>
          <w:color w:val="auto"/>
          <w:sz w:val="28"/>
          <w:szCs w:val="28"/>
          <w:highlight w:val="none"/>
        </w:rPr>
        <w:t>年</w:t>
      </w:r>
      <w:r>
        <w:rPr>
          <w:rFonts w:hint="eastAsia" w:ascii="宋体" w:hAnsi="宋体" w:cs="宋体"/>
          <w:bCs/>
          <w:color w:val="auto"/>
          <w:sz w:val="28"/>
          <w:szCs w:val="28"/>
          <w:highlight w:val="none"/>
          <w:lang w:val="en-US" w:eastAsia="zh-CN"/>
        </w:rPr>
        <w:t>4</w:t>
      </w:r>
      <w:r>
        <w:rPr>
          <w:rFonts w:hint="eastAsia" w:ascii="宋体" w:hAnsi="宋体" w:cs="宋体"/>
          <w:bCs/>
          <w:color w:val="auto"/>
          <w:sz w:val="28"/>
          <w:szCs w:val="28"/>
          <w:highlight w:val="none"/>
        </w:rPr>
        <w:t>月</w:t>
      </w:r>
      <w:r>
        <w:rPr>
          <w:rFonts w:hint="eastAsia" w:ascii="宋体" w:hAnsi="宋体" w:cs="宋体"/>
          <w:bCs/>
          <w:color w:val="auto"/>
          <w:sz w:val="28"/>
          <w:szCs w:val="28"/>
          <w:highlight w:val="none"/>
          <w:lang w:val="en-US" w:eastAsia="zh-CN"/>
        </w:rPr>
        <w:t>20</w:t>
      </w:r>
      <w:r>
        <w:rPr>
          <w:rFonts w:hint="eastAsia" w:ascii="宋体" w:hAnsi="宋体" w:cs="宋体"/>
          <w:bCs/>
          <w:color w:val="auto"/>
          <w:sz w:val="28"/>
          <w:szCs w:val="28"/>
          <w:highlight w:val="none"/>
        </w:rPr>
        <w:t>日17:00前向采购代理机构提供上传的电子投标文件全套彩色打印装订成册的纸质投标文件2份</w:t>
      </w:r>
      <w:r>
        <w:rPr>
          <w:rFonts w:hint="eastAsia" w:ascii="宋体" w:hAnsi="宋体"/>
          <w:color w:val="auto"/>
          <w:sz w:val="28"/>
          <w:szCs w:val="28"/>
          <w:highlight w:val="none"/>
        </w:rPr>
        <w:t>。</w:t>
      </w:r>
    </w:p>
    <w:p w14:paraId="12AE82EC">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 xml:space="preserve">（3）电子投标文件部分：投标人应根据“政采云供应商项目采购-电子招投标操作指南”及本招标文件规定的格式和顺序编制电子投标文件并进行关联定位；电子投标文件中须加盖供应商公章部分均采用 CA 签章，签字部分可用 CA 锁法人章（如有），未申请法人章的将签名部分签好后以扫描件形式上传至投标文件（具体操作请咨询政采云 400-8817190）。 </w:t>
      </w:r>
    </w:p>
    <w:p w14:paraId="53C30B10">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3</w:t>
      </w:r>
      <w:r>
        <w:rPr>
          <w:rFonts w:ascii="宋体" w:hAnsi="宋体"/>
          <w:color w:val="auto"/>
          <w:sz w:val="28"/>
          <w:szCs w:val="28"/>
          <w:highlight w:val="none"/>
        </w:rPr>
        <w:t>.</w:t>
      </w:r>
      <w:r>
        <w:rPr>
          <w:rFonts w:hint="eastAsia" w:ascii="宋体" w:hAnsi="宋体"/>
          <w:color w:val="auto"/>
          <w:sz w:val="28"/>
          <w:szCs w:val="28"/>
          <w:highlight w:val="none"/>
        </w:rPr>
        <w:t>投标文件须按“投标文件格式”提供的统一格式填写、签署和加盖公章</w:t>
      </w:r>
      <w:r>
        <w:rPr>
          <w:rFonts w:ascii="宋体" w:hAnsi="宋体"/>
          <w:color w:val="auto"/>
          <w:sz w:val="28"/>
          <w:szCs w:val="28"/>
          <w:highlight w:val="none"/>
        </w:rPr>
        <w:t>。</w:t>
      </w:r>
    </w:p>
    <w:p w14:paraId="182972DF">
      <w:pPr>
        <w:snapToGrid w:val="0"/>
        <w:spacing w:line="360" w:lineRule="auto"/>
        <w:ind w:firstLine="560" w:firstLineChars="200"/>
        <w:jc w:val="left"/>
        <w:rPr>
          <w:rFonts w:ascii="宋体" w:hAnsi="宋体"/>
          <w:color w:val="auto"/>
          <w:sz w:val="28"/>
          <w:szCs w:val="28"/>
          <w:highlight w:val="none"/>
        </w:rPr>
      </w:pPr>
      <w:r>
        <w:rPr>
          <w:rFonts w:hint="eastAsia" w:ascii="宋体" w:hAnsi="宋体"/>
          <w:color w:val="auto"/>
          <w:sz w:val="28"/>
          <w:szCs w:val="28"/>
          <w:highlight w:val="none"/>
        </w:rPr>
        <w:t>4</w:t>
      </w:r>
      <w:r>
        <w:rPr>
          <w:rFonts w:ascii="宋体" w:hAnsi="宋体"/>
          <w:color w:val="auto"/>
          <w:sz w:val="28"/>
          <w:szCs w:val="28"/>
          <w:highlight w:val="none"/>
        </w:rPr>
        <w:t>.投标文件不得涂改，若有修改错漏处，须加盖单位公章或者法定代表人或授权委托人签字或盖章。投标文件因字迹潦草或表达不清所引起的后果由投标人负责。</w:t>
      </w:r>
    </w:p>
    <w:p w14:paraId="79A0C92C">
      <w:pPr>
        <w:snapToGrid w:val="0"/>
        <w:spacing w:line="360" w:lineRule="auto"/>
        <w:jc w:val="left"/>
        <w:rPr>
          <w:rFonts w:ascii="宋体" w:hAnsi="宋体"/>
          <w:b/>
          <w:color w:val="auto"/>
          <w:sz w:val="28"/>
          <w:szCs w:val="28"/>
          <w:highlight w:val="none"/>
        </w:rPr>
      </w:pPr>
    </w:p>
    <w:p w14:paraId="54217B99">
      <w:pPr>
        <w:snapToGrid w:val="0"/>
        <w:spacing w:line="360" w:lineRule="auto"/>
        <w:jc w:val="left"/>
        <w:rPr>
          <w:rFonts w:ascii="宋体" w:hAnsi="宋体"/>
          <w:b/>
          <w:color w:val="auto"/>
          <w:sz w:val="28"/>
          <w:szCs w:val="28"/>
          <w:highlight w:val="none"/>
        </w:rPr>
      </w:pPr>
      <w:r>
        <w:rPr>
          <w:rFonts w:hint="eastAsia" w:ascii="宋体" w:hAnsi="宋体"/>
          <w:b/>
          <w:color w:val="auto"/>
          <w:sz w:val="28"/>
          <w:szCs w:val="28"/>
          <w:highlight w:val="none"/>
        </w:rPr>
        <w:t>四、投标文件的包装、递交、修改和撤回</w:t>
      </w:r>
    </w:p>
    <w:p w14:paraId="099AEADC">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1</w:t>
      </w:r>
      <w:r>
        <w:rPr>
          <w:rFonts w:ascii="宋体" w:hAnsi="宋体"/>
          <w:color w:val="auto"/>
          <w:sz w:val="28"/>
          <w:szCs w:val="28"/>
          <w:highlight w:val="none"/>
        </w:rPr>
        <w:t>.</w:t>
      </w:r>
      <w:r>
        <w:rPr>
          <w:rFonts w:hint="eastAsia" w:ascii="宋体" w:hAnsi="宋体"/>
          <w:color w:val="auto"/>
          <w:sz w:val="28"/>
          <w:szCs w:val="28"/>
          <w:highlight w:val="none"/>
        </w:rPr>
        <w:t>投标文件的装订、密封、标记和递送</w:t>
      </w:r>
    </w:p>
    <w:p w14:paraId="5104AF71">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 xml:space="preserve">（1）电子投标文件：投标人应根据“项目采购-电子招投标操作指南”及本招标文件规定的格式和顺序编制电子投标文件并进行关联定位。 </w:t>
      </w:r>
    </w:p>
    <w:p w14:paraId="5F1678DE">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 xml:space="preserve">（2）未按规定密封或标记的投标文件，采购人有权拒绝接受其投标。 </w:t>
      </w:r>
    </w:p>
    <w:p w14:paraId="2F6A815D">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（3）如果投标人未按上述要求密封或标记而造成投标文件被误投或提前拆封的风险由投标人承担。</w:t>
      </w:r>
    </w:p>
    <w:p w14:paraId="4046D061">
      <w:pPr>
        <w:snapToGrid w:val="0"/>
        <w:spacing w:line="360" w:lineRule="auto"/>
        <w:ind w:firstLine="420"/>
        <w:jc w:val="left"/>
        <w:rPr>
          <w:rFonts w:ascii="宋体" w:hAnsi="宋体"/>
          <w:color w:val="auto"/>
          <w:sz w:val="28"/>
          <w:szCs w:val="28"/>
          <w:highlight w:val="none"/>
        </w:rPr>
      </w:pPr>
    </w:p>
    <w:p w14:paraId="639CE05E">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2.投标截止时间</w:t>
      </w:r>
    </w:p>
    <w:p w14:paraId="40990405">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（1）投标人应在招标文件要求提交（上传）投标文件的截止时间前，将投标文件上传至政府采购云平台。采购代理机构拒绝接收在投标截止时间以后提交（上传）的投标文件。</w:t>
      </w:r>
    </w:p>
    <w:p w14:paraId="2FDBD55E">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2）采购代理机构因故需推迟投标截止时间、开标时间时，应提前以公告或书面的形式通知购买招标文件的所有潜在投标人。潜在投标人在收到通知后应立即以书面形式回复采购代理机构。在这种情况下，采购代理机构和潜在投标人相应的权利和义务将受到新的截止期的约束。</w:t>
      </w:r>
    </w:p>
    <w:p w14:paraId="74C854E0">
      <w:pPr>
        <w:snapToGrid w:val="0"/>
        <w:spacing w:line="360" w:lineRule="auto"/>
        <w:ind w:firstLine="420"/>
        <w:jc w:val="left"/>
        <w:rPr>
          <w:rFonts w:ascii="宋体" w:hAnsi="宋体"/>
          <w:color w:val="auto"/>
          <w:sz w:val="28"/>
          <w:szCs w:val="28"/>
          <w:highlight w:val="none"/>
        </w:rPr>
      </w:pPr>
    </w:p>
    <w:p w14:paraId="3B3BE02A">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3.投标文件的修改和撤回</w:t>
      </w:r>
    </w:p>
    <w:p w14:paraId="716EAD46">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（1）投标人在投标截止时间前，可以对已经提交的投标文件进行补充、修改或者撤回。</w:t>
      </w:r>
    </w:p>
    <w:p w14:paraId="0D6FCF1C">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对已经完成传输递交的电子投标文件进行补充或者修改的，应当先行撤回原文件，补充、修改后重新传输递交。投标人在投标截止时间前未重新完成传输递交的，视为撤回投标文件。投标截止时间后递交的电子加标文件，电子交易平台将拒收。</w:t>
      </w:r>
    </w:p>
    <w:p w14:paraId="2D7390AC">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投标人在投标截止时间前递交了需要补充或修改的电子投标文件的备份投标文件，可以重新提交补充或修改后的备份投标文件。</w:t>
      </w:r>
    </w:p>
    <w:p w14:paraId="68EB2D57">
      <w:pPr>
        <w:snapToGrid w:val="0"/>
        <w:spacing w:line="360" w:lineRule="auto"/>
        <w:ind w:firstLine="420"/>
        <w:jc w:val="left"/>
        <w:rPr>
          <w:rFonts w:ascii="宋体" w:hAnsi="宋体"/>
          <w:color w:val="auto"/>
          <w:sz w:val="28"/>
          <w:szCs w:val="28"/>
          <w:highlight w:val="none"/>
        </w:rPr>
      </w:pPr>
      <w:r>
        <w:rPr>
          <w:rFonts w:hint="eastAsia" w:ascii="宋体" w:hAnsi="宋体"/>
          <w:color w:val="auto"/>
          <w:sz w:val="28"/>
          <w:szCs w:val="28"/>
          <w:highlight w:val="none"/>
        </w:rPr>
        <w:t>（2）投标截止时间后，投标人不得对其投标文件进行补充、修改。</w:t>
      </w:r>
    </w:p>
    <w:p w14:paraId="727AF0DC">
      <w:pPr>
        <w:pStyle w:val="4"/>
        <w:widowControl w:val="0"/>
        <w:tabs>
          <w:tab w:val="clear" w:pos="454"/>
        </w:tabs>
        <w:snapToGrid w:val="0"/>
        <w:spacing w:afterLines="0" w:line="360" w:lineRule="auto"/>
        <w:ind w:left="329" w:hanging="329" w:hangingChars="117"/>
        <w:rPr>
          <w:rFonts w:ascii="宋体" w:hAnsi="宋体"/>
          <w:b/>
          <w:color w:val="auto"/>
          <w:sz w:val="28"/>
          <w:szCs w:val="28"/>
          <w:highlight w:val="none"/>
        </w:rPr>
      </w:pPr>
    </w:p>
    <w:p w14:paraId="3134F334">
      <w:pPr>
        <w:pStyle w:val="4"/>
        <w:widowControl w:val="0"/>
        <w:tabs>
          <w:tab w:val="clear" w:pos="454"/>
        </w:tabs>
        <w:snapToGrid w:val="0"/>
        <w:spacing w:afterLines="0" w:line="360" w:lineRule="auto"/>
        <w:ind w:left="329" w:hanging="329" w:hangingChars="117"/>
        <w:rPr>
          <w:rFonts w:ascii="宋体" w:hAnsi="宋体"/>
          <w:b/>
          <w:color w:val="auto"/>
          <w:sz w:val="28"/>
          <w:szCs w:val="28"/>
          <w:highlight w:val="none"/>
        </w:rPr>
      </w:pPr>
      <w:r>
        <w:rPr>
          <w:rFonts w:hint="eastAsia" w:ascii="宋体" w:hAnsi="宋体"/>
          <w:b/>
          <w:color w:val="auto"/>
          <w:sz w:val="28"/>
          <w:szCs w:val="28"/>
          <w:highlight w:val="none"/>
        </w:rPr>
        <w:t>五、投标文件的有效期</w:t>
      </w:r>
    </w:p>
    <w:p w14:paraId="6553DB62">
      <w:pPr>
        <w:pStyle w:val="4"/>
        <w:widowControl w:val="0"/>
        <w:tabs>
          <w:tab w:val="clear" w:pos="454"/>
        </w:tabs>
        <w:snapToGrid w:val="0"/>
        <w:spacing w:afterLines="0" w:line="360" w:lineRule="auto"/>
        <w:ind w:left="0" w:firstLine="280" w:firstLineChars="100"/>
        <w:rPr>
          <w:rFonts w:ascii="宋体" w:hAnsi="宋体"/>
          <w:color w:val="auto"/>
          <w:sz w:val="28"/>
          <w:szCs w:val="28"/>
          <w:highlight w:val="none"/>
        </w:rPr>
      </w:pPr>
      <w:r>
        <w:rPr>
          <w:rFonts w:ascii="宋体" w:hAnsi="宋体"/>
          <w:color w:val="auto"/>
          <w:sz w:val="28"/>
          <w:szCs w:val="28"/>
          <w:highlight w:val="none"/>
        </w:rPr>
        <w:t>▲1.自投标截止日起</w:t>
      </w:r>
      <w:r>
        <w:rPr>
          <w:rFonts w:ascii="宋体" w:hAnsi="宋体"/>
          <w:b/>
          <w:color w:val="auto"/>
          <w:sz w:val="28"/>
          <w:szCs w:val="28"/>
          <w:highlight w:val="none"/>
          <w:u w:val="single"/>
        </w:rPr>
        <w:t xml:space="preserve"> 90</w:t>
      </w:r>
      <w:r>
        <w:rPr>
          <w:rFonts w:ascii="宋体" w:hAnsi="宋体"/>
          <w:color w:val="auto"/>
          <w:sz w:val="28"/>
          <w:szCs w:val="28"/>
          <w:highlight w:val="none"/>
        </w:rPr>
        <w:t>天</w:t>
      </w:r>
      <w:r>
        <w:rPr>
          <w:rFonts w:hint="eastAsia" w:ascii="宋体" w:hAnsi="宋体"/>
          <w:color w:val="auto"/>
          <w:sz w:val="28"/>
          <w:szCs w:val="28"/>
          <w:highlight w:val="none"/>
        </w:rPr>
        <w:t>内</w:t>
      </w:r>
      <w:r>
        <w:rPr>
          <w:rFonts w:ascii="宋体" w:hAnsi="宋体"/>
          <w:color w:val="auto"/>
          <w:sz w:val="28"/>
          <w:szCs w:val="28"/>
          <w:highlight w:val="none"/>
        </w:rPr>
        <w:t>投标文件应保持有效。有效期不足的投标文件将被拒绝。</w:t>
      </w:r>
    </w:p>
    <w:p w14:paraId="39664E13">
      <w:pPr>
        <w:pStyle w:val="4"/>
        <w:widowControl w:val="0"/>
        <w:tabs>
          <w:tab w:val="clear" w:pos="454"/>
        </w:tabs>
        <w:snapToGrid w:val="0"/>
        <w:spacing w:afterLines="0" w:line="360" w:lineRule="auto"/>
        <w:ind w:left="0" w:firstLine="560" w:firstLineChars="200"/>
        <w:rPr>
          <w:rFonts w:ascii="宋体" w:hAnsi="宋体"/>
          <w:color w:val="auto"/>
          <w:sz w:val="28"/>
          <w:szCs w:val="28"/>
          <w:highlight w:val="none"/>
        </w:rPr>
      </w:pPr>
      <w:r>
        <w:rPr>
          <w:rFonts w:ascii="宋体" w:hAnsi="宋体"/>
          <w:color w:val="auto"/>
          <w:sz w:val="28"/>
          <w:szCs w:val="28"/>
          <w:highlight w:val="none"/>
        </w:rPr>
        <w:t>2.在特殊情况下，招标人可与投标人协商延长投标书的有效期，这种要求和答复均以书面形式进行。</w:t>
      </w:r>
    </w:p>
    <w:p w14:paraId="1217E9A8">
      <w:pPr>
        <w:snapToGrid w:val="0"/>
        <w:spacing w:line="360" w:lineRule="auto"/>
        <w:ind w:firstLine="560" w:firstLineChars="200"/>
        <w:jc w:val="left"/>
        <w:outlineLvl w:val="0"/>
        <w:rPr>
          <w:rFonts w:ascii="宋体" w:hAnsi="宋体"/>
          <w:color w:val="auto"/>
          <w:sz w:val="28"/>
          <w:szCs w:val="28"/>
          <w:highlight w:val="none"/>
        </w:rPr>
      </w:pPr>
      <w:bookmarkStart w:id="105" w:name="_Toc355117109"/>
      <w:bookmarkStart w:id="106" w:name="_Toc249866764"/>
      <w:bookmarkStart w:id="107" w:name="_Toc444597101"/>
      <w:bookmarkStart w:id="108" w:name="_Toc259108320"/>
      <w:bookmarkStart w:id="109" w:name="_Toc427442464"/>
      <w:bookmarkStart w:id="110" w:name="_Toc454551079"/>
      <w:bookmarkStart w:id="111" w:name="_Toc436314550"/>
      <w:bookmarkStart w:id="112" w:name="_Toc429406713"/>
      <w:r>
        <w:rPr>
          <w:rFonts w:hint="eastAsia" w:ascii="宋体" w:hAnsi="宋体"/>
          <w:color w:val="auto"/>
          <w:sz w:val="28"/>
          <w:szCs w:val="28"/>
          <w:highlight w:val="none"/>
        </w:rPr>
        <w:t>3</w:t>
      </w:r>
      <w:r>
        <w:rPr>
          <w:rFonts w:ascii="宋体" w:hAnsi="宋体"/>
          <w:color w:val="auto"/>
          <w:sz w:val="28"/>
          <w:szCs w:val="28"/>
          <w:highlight w:val="none"/>
        </w:rPr>
        <w:t>.中标人的投标文件自开标之日起至合同履行完毕止均应保持有效。</w:t>
      </w:r>
      <w:bookmarkEnd w:id="105"/>
      <w:bookmarkEnd w:id="106"/>
      <w:bookmarkEnd w:id="107"/>
      <w:bookmarkEnd w:id="108"/>
      <w:bookmarkEnd w:id="109"/>
      <w:bookmarkEnd w:id="110"/>
      <w:bookmarkEnd w:id="111"/>
      <w:bookmarkEnd w:id="112"/>
    </w:p>
    <w:p w14:paraId="43B945AE">
      <w:pPr>
        <w:snapToGrid w:val="0"/>
        <w:spacing w:line="360" w:lineRule="auto"/>
        <w:jc w:val="left"/>
        <w:outlineLvl w:val="0"/>
        <w:rPr>
          <w:rFonts w:ascii="宋体" w:hAnsi="宋体"/>
          <w:color w:val="auto"/>
          <w:sz w:val="28"/>
          <w:szCs w:val="28"/>
          <w:highlight w:val="none"/>
        </w:rPr>
      </w:pPr>
    </w:p>
    <w:p w14:paraId="3374B538">
      <w:pPr>
        <w:pStyle w:val="4"/>
        <w:widowControl w:val="0"/>
        <w:tabs>
          <w:tab w:val="clear" w:pos="454"/>
        </w:tabs>
        <w:snapToGrid w:val="0"/>
        <w:spacing w:afterLines="0" w:line="360" w:lineRule="auto"/>
        <w:ind w:left="329" w:hanging="329" w:hangingChars="117"/>
        <w:rPr>
          <w:rFonts w:ascii="宋体" w:hAnsi="宋体"/>
          <w:b/>
          <w:color w:val="auto"/>
          <w:sz w:val="28"/>
          <w:szCs w:val="28"/>
          <w:highlight w:val="none"/>
        </w:rPr>
      </w:pPr>
      <w:r>
        <w:rPr>
          <w:rFonts w:hint="eastAsia" w:ascii="宋体" w:hAnsi="宋体"/>
          <w:b/>
          <w:color w:val="auto"/>
          <w:sz w:val="28"/>
          <w:szCs w:val="28"/>
          <w:highlight w:val="none"/>
        </w:rPr>
        <w:t>六、</w:t>
      </w:r>
      <w:r>
        <w:rPr>
          <w:rFonts w:ascii="宋体" w:hAnsi="宋体"/>
          <w:b/>
          <w:color w:val="auto"/>
          <w:sz w:val="28"/>
          <w:szCs w:val="28"/>
          <w:highlight w:val="none"/>
        </w:rPr>
        <w:t>开标</w:t>
      </w:r>
    </w:p>
    <w:p w14:paraId="5C51108B">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1.采购代理机构按招标文件规定的时间、地点主持公开开标。</w:t>
      </w:r>
    </w:p>
    <w:p w14:paraId="48325FAA">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2.投标文件开启步骤：同时开启所有文件。</w:t>
      </w:r>
    </w:p>
    <w:p w14:paraId="0F23AB13">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3.电子投标开标及评审程序</w:t>
      </w:r>
    </w:p>
    <w:p w14:paraId="614AD0B5">
      <w:pPr>
        <w:pStyle w:val="4"/>
        <w:snapToGrid w:val="0"/>
        <w:spacing w:after="120" w:line="360" w:lineRule="auto"/>
        <w:ind w:left="0" w:firstLine="417" w:firstLineChars="149"/>
        <w:rPr>
          <w:rFonts w:ascii="宋体" w:hAnsi="宋体"/>
          <w:color w:val="auto"/>
          <w:sz w:val="28"/>
          <w:szCs w:val="28"/>
          <w:highlight w:val="none"/>
        </w:rPr>
      </w:pPr>
      <w:r>
        <w:rPr>
          <w:rFonts w:hint="eastAsia" w:ascii="宋体" w:hAnsi="宋体"/>
          <w:color w:val="auto"/>
          <w:sz w:val="28"/>
          <w:szCs w:val="28"/>
          <w:highlight w:val="none"/>
        </w:rPr>
        <w:t>（1）投标截止时间后，投标人登录政采云平台，用“公款竞争性存放-开标评标”功能对电子投标文件进行在线开启。</w:t>
      </w:r>
    </w:p>
    <w:p w14:paraId="1EDA8E9B">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（2）评标委员会对投标人的资格进行审查。 </w:t>
      </w:r>
    </w:p>
    <w:p w14:paraId="7BEFD85B">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（3）在系统上公开报价开标情况。 </w:t>
      </w:r>
    </w:p>
    <w:p w14:paraId="77214860">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（4）评标委员会对投标文件进行评审。 </w:t>
      </w:r>
    </w:p>
    <w:p w14:paraId="65EAA934">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（5）在系统上公布评审结果。 </w:t>
      </w:r>
    </w:p>
    <w:p w14:paraId="420B481E">
      <w:pPr>
        <w:pStyle w:val="4"/>
        <w:snapToGrid w:val="0"/>
        <w:spacing w:after="120" w:line="360" w:lineRule="auto"/>
        <w:ind w:left="0" w:firstLine="560" w:firstLineChars="200"/>
        <w:rPr>
          <w:rFonts w:ascii="宋体" w:hAnsi="宋体"/>
          <w:color w:val="auto"/>
          <w:sz w:val="28"/>
          <w:szCs w:val="28"/>
          <w:highlight w:val="none"/>
        </w:rPr>
      </w:pPr>
      <w:r>
        <w:rPr>
          <w:rFonts w:hint="eastAsia" w:ascii="宋体" w:hAnsi="宋体"/>
          <w:color w:val="auto"/>
          <w:sz w:val="28"/>
          <w:szCs w:val="28"/>
          <w:highlight w:val="none"/>
        </w:rPr>
        <w:t>注：政采云公司如对电子化开标及评审程序有调整的，按调整后的程序操作。</w:t>
      </w:r>
    </w:p>
    <w:p w14:paraId="60865D66">
      <w:pPr>
        <w:pStyle w:val="4"/>
        <w:snapToGrid w:val="0"/>
        <w:spacing w:after="12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4.特别说明 </w:t>
      </w:r>
    </w:p>
    <w:p w14:paraId="2807B969">
      <w:pPr>
        <w:pStyle w:val="4"/>
        <w:snapToGrid w:val="0"/>
        <w:spacing w:after="120" w:line="360" w:lineRule="auto"/>
        <w:ind w:left="0" w:firstLine="417" w:firstLineChars="149"/>
        <w:rPr>
          <w:rFonts w:ascii="宋体" w:hAnsi="宋体"/>
          <w:color w:val="auto"/>
          <w:sz w:val="28"/>
          <w:szCs w:val="28"/>
          <w:highlight w:val="none"/>
        </w:rPr>
      </w:pPr>
      <w:r>
        <w:rPr>
          <w:rFonts w:hint="eastAsia" w:ascii="宋体" w:hAnsi="宋体"/>
          <w:color w:val="auto"/>
          <w:sz w:val="28"/>
          <w:szCs w:val="28"/>
          <w:highlight w:val="none"/>
        </w:rPr>
        <w:t xml:space="preserve">本项目采用政采云电子投标开标及评审程序，但有下情形之一的，按以下情况处理： </w:t>
      </w:r>
    </w:p>
    <w:p w14:paraId="578D65CF">
      <w:pPr>
        <w:pStyle w:val="4"/>
        <w:snapToGrid w:val="0"/>
        <w:spacing w:after="120" w:line="360" w:lineRule="auto"/>
        <w:ind w:left="0" w:firstLine="417" w:firstLineChars="149"/>
        <w:rPr>
          <w:rFonts w:ascii="宋体" w:hAnsi="宋体"/>
          <w:color w:val="auto"/>
          <w:sz w:val="28"/>
          <w:szCs w:val="28"/>
          <w:highlight w:val="none"/>
        </w:rPr>
      </w:pPr>
      <w:r>
        <w:rPr>
          <w:rFonts w:hint="eastAsia" w:ascii="宋体" w:hAnsi="宋体"/>
          <w:color w:val="auto"/>
          <w:sz w:val="28"/>
          <w:szCs w:val="28"/>
          <w:highlight w:val="none"/>
        </w:rPr>
        <w:t xml:space="preserve">（1）若投标人在规定时间内无法开启或开启失败，视作无效投标。 </w:t>
      </w:r>
    </w:p>
    <w:p w14:paraId="0C04DFFB">
      <w:pPr>
        <w:pStyle w:val="4"/>
        <w:snapToGrid w:val="0"/>
        <w:spacing w:after="120" w:line="360" w:lineRule="auto"/>
        <w:ind w:left="0" w:firstLine="420" w:firstLineChars="150"/>
        <w:rPr>
          <w:rFonts w:ascii="宋体" w:hAnsi="宋体"/>
          <w:color w:val="auto"/>
          <w:sz w:val="28"/>
          <w:szCs w:val="28"/>
          <w:highlight w:val="none"/>
        </w:rPr>
      </w:pPr>
      <w:r>
        <w:rPr>
          <w:rFonts w:hint="eastAsia" w:ascii="宋体" w:hAnsi="宋体"/>
          <w:color w:val="auto"/>
          <w:sz w:val="28"/>
          <w:szCs w:val="28"/>
          <w:highlight w:val="none"/>
        </w:rPr>
        <w:t xml:space="preserve">（2）采购过程中出现以下情形，导致电子交易平台无法正常运行，或者无法保证电子交易的公平、公正和安全时，采购人（或代理机构）可中止电子交易活动： </w:t>
      </w:r>
    </w:p>
    <w:p w14:paraId="6D9D021E">
      <w:pPr>
        <w:pStyle w:val="4"/>
        <w:snapToGrid w:val="0"/>
        <w:spacing w:after="120" w:line="360" w:lineRule="auto"/>
        <w:ind w:left="279" w:leftChars="133" w:firstLine="285" w:firstLineChars="102"/>
        <w:rPr>
          <w:rFonts w:ascii="宋体" w:hAnsi="宋体"/>
          <w:color w:val="auto"/>
          <w:sz w:val="28"/>
          <w:szCs w:val="28"/>
          <w:highlight w:val="none"/>
        </w:rPr>
      </w:pPr>
      <w:r>
        <w:rPr>
          <w:rFonts w:hint="eastAsia" w:ascii="宋体" w:hAnsi="宋体"/>
          <w:color w:val="auto"/>
          <w:sz w:val="28"/>
          <w:szCs w:val="28"/>
          <w:highlight w:val="none"/>
        </w:rPr>
        <w:t xml:space="preserve">1）电子交易平台发生故障而无法登录访问的； </w:t>
      </w:r>
    </w:p>
    <w:p w14:paraId="328DA961">
      <w:pPr>
        <w:pStyle w:val="4"/>
        <w:snapToGrid w:val="0"/>
        <w:spacing w:after="120" w:line="360" w:lineRule="auto"/>
        <w:ind w:left="279" w:leftChars="133" w:firstLine="285" w:firstLineChars="102"/>
        <w:rPr>
          <w:rFonts w:ascii="宋体" w:hAnsi="宋体"/>
          <w:color w:val="auto"/>
          <w:sz w:val="28"/>
          <w:szCs w:val="28"/>
          <w:highlight w:val="none"/>
        </w:rPr>
      </w:pPr>
      <w:r>
        <w:rPr>
          <w:rFonts w:hint="eastAsia" w:ascii="宋体" w:hAnsi="宋体"/>
          <w:color w:val="auto"/>
          <w:sz w:val="28"/>
          <w:szCs w:val="28"/>
          <w:highlight w:val="none"/>
        </w:rPr>
        <w:t xml:space="preserve">2）电子交易平台应用或数据库出现错误，不能进行正常操作的； </w:t>
      </w:r>
    </w:p>
    <w:p w14:paraId="39466EBD">
      <w:pPr>
        <w:pStyle w:val="4"/>
        <w:snapToGrid w:val="0"/>
        <w:spacing w:after="120" w:line="360" w:lineRule="auto"/>
        <w:ind w:left="279" w:leftChars="133" w:firstLine="285" w:firstLineChars="102"/>
        <w:rPr>
          <w:rFonts w:ascii="宋体" w:hAnsi="宋体"/>
          <w:color w:val="auto"/>
          <w:sz w:val="28"/>
          <w:szCs w:val="28"/>
          <w:highlight w:val="none"/>
        </w:rPr>
      </w:pPr>
      <w:r>
        <w:rPr>
          <w:rFonts w:hint="eastAsia" w:ascii="宋体" w:hAnsi="宋体"/>
          <w:color w:val="auto"/>
          <w:sz w:val="28"/>
          <w:szCs w:val="28"/>
          <w:highlight w:val="none"/>
        </w:rPr>
        <w:t xml:space="preserve">3）电子交易平台发现严重安全漏洞，有潜在泄密危险的； </w:t>
      </w:r>
    </w:p>
    <w:p w14:paraId="7C16EDBE">
      <w:pPr>
        <w:pStyle w:val="4"/>
        <w:snapToGrid w:val="0"/>
        <w:spacing w:after="120" w:line="360" w:lineRule="auto"/>
        <w:ind w:left="279" w:leftChars="133" w:firstLine="285" w:firstLineChars="102"/>
        <w:rPr>
          <w:rFonts w:ascii="宋体" w:hAnsi="宋体"/>
          <w:color w:val="auto"/>
          <w:sz w:val="28"/>
          <w:szCs w:val="28"/>
          <w:highlight w:val="none"/>
        </w:rPr>
      </w:pPr>
      <w:r>
        <w:rPr>
          <w:rFonts w:hint="eastAsia" w:ascii="宋体" w:hAnsi="宋体"/>
          <w:color w:val="auto"/>
          <w:sz w:val="28"/>
          <w:szCs w:val="28"/>
          <w:highlight w:val="none"/>
        </w:rPr>
        <w:t xml:space="preserve">4）病毒发作导致不能进行正常操作的； </w:t>
      </w:r>
    </w:p>
    <w:p w14:paraId="732EF9CD">
      <w:pPr>
        <w:pStyle w:val="4"/>
        <w:snapToGrid w:val="0"/>
        <w:spacing w:after="120" w:line="360" w:lineRule="auto"/>
        <w:ind w:left="279" w:leftChars="133" w:firstLine="285" w:firstLineChars="102"/>
        <w:rPr>
          <w:rFonts w:ascii="宋体" w:hAnsi="宋体"/>
          <w:color w:val="auto"/>
          <w:sz w:val="28"/>
          <w:szCs w:val="28"/>
          <w:highlight w:val="none"/>
        </w:rPr>
      </w:pPr>
      <w:r>
        <w:rPr>
          <w:rFonts w:hint="eastAsia" w:ascii="宋体" w:hAnsi="宋体"/>
          <w:color w:val="auto"/>
          <w:sz w:val="28"/>
          <w:szCs w:val="28"/>
          <w:highlight w:val="none"/>
        </w:rPr>
        <w:t xml:space="preserve">5）其他无法保证电子交易的公平、公正和安全的情况。 </w:t>
      </w:r>
    </w:p>
    <w:p w14:paraId="0C3C98E9">
      <w:pPr>
        <w:pStyle w:val="4"/>
        <w:snapToGrid w:val="0"/>
        <w:spacing w:after="120" w:line="360" w:lineRule="auto"/>
        <w:ind w:left="0" w:firstLine="140" w:firstLineChars="50"/>
        <w:rPr>
          <w:rFonts w:ascii="宋体" w:hAnsi="宋体"/>
          <w:color w:val="auto"/>
          <w:sz w:val="28"/>
          <w:szCs w:val="28"/>
          <w:highlight w:val="none"/>
        </w:rPr>
      </w:pPr>
      <w:r>
        <w:rPr>
          <w:rFonts w:hint="eastAsia" w:ascii="宋体" w:hAnsi="宋体"/>
          <w:color w:val="auto"/>
          <w:sz w:val="28"/>
          <w:szCs w:val="28"/>
          <w:highlight w:val="none"/>
        </w:rPr>
        <w:t xml:space="preserve">出现前款规定情形，不影响采购公平、公正性的，采购人（或代理机构）可以待上述情形消除后继续组织电子交易活动。 </w:t>
      </w:r>
    </w:p>
    <w:p w14:paraId="18A227A6">
      <w:pPr>
        <w:pStyle w:val="4"/>
        <w:widowControl w:val="0"/>
        <w:tabs>
          <w:tab w:val="clear" w:pos="454"/>
        </w:tabs>
        <w:snapToGrid w:val="0"/>
        <w:spacing w:afterLines="0" w:line="360" w:lineRule="auto"/>
        <w:ind w:left="279" w:leftChars="133" w:firstLine="140" w:firstLineChars="50"/>
        <w:rPr>
          <w:rFonts w:ascii="宋体" w:hAnsi="宋体"/>
          <w:color w:val="auto"/>
          <w:sz w:val="28"/>
          <w:szCs w:val="28"/>
          <w:highlight w:val="none"/>
        </w:rPr>
      </w:pPr>
      <w:r>
        <w:rPr>
          <w:rFonts w:hint="eastAsia" w:ascii="宋体" w:hAnsi="宋体"/>
          <w:color w:val="auto"/>
          <w:sz w:val="28"/>
          <w:szCs w:val="28"/>
          <w:highlight w:val="none"/>
        </w:rPr>
        <w:t>5.投标截止时间止，投标人不足3家的，不得开标。</w:t>
      </w:r>
    </w:p>
    <w:p w14:paraId="37E9A7FE">
      <w:pPr>
        <w:snapToGrid w:val="0"/>
        <w:spacing w:line="360" w:lineRule="auto"/>
        <w:jc w:val="left"/>
        <w:outlineLvl w:val="0"/>
        <w:rPr>
          <w:rFonts w:ascii="宋体" w:hAnsi="宋体"/>
          <w:b/>
          <w:color w:val="auto"/>
          <w:sz w:val="28"/>
          <w:szCs w:val="28"/>
          <w:highlight w:val="none"/>
        </w:rPr>
      </w:pPr>
    </w:p>
    <w:p w14:paraId="040A3252">
      <w:pPr>
        <w:snapToGrid w:val="0"/>
        <w:spacing w:line="360" w:lineRule="auto"/>
        <w:outlineLvl w:val="2"/>
        <w:rPr>
          <w:rFonts w:ascii="宋体" w:hAnsi="宋体"/>
          <w:b/>
          <w:color w:val="auto"/>
          <w:sz w:val="28"/>
          <w:szCs w:val="28"/>
          <w:highlight w:val="none"/>
        </w:rPr>
      </w:pPr>
      <w:bookmarkStart w:id="113" w:name="_Toc259108323"/>
      <w:bookmarkStart w:id="114" w:name="_Toc436314551"/>
      <w:bookmarkStart w:id="115" w:name="_Toc454551080"/>
      <w:bookmarkStart w:id="116" w:name="_Toc429406714"/>
      <w:bookmarkStart w:id="117" w:name="_Toc444597102"/>
      <w:bookmarkStart w:id="118" w:name="_Toc427442466"/>
      <w:bookmarkStart w:id="119" w:name="_Toc355117111"/>
      <w:bookmarkStart w:id="120" w:name="_Toc249866767"/>
      <w:r>
        <w:rPr>
          <w:rFonts w:hint="eastAsia" w:ascii="宋体" w:hAnsi="宋体"/>
          <w:b/>
          <w:color w:val="auto"/>
          <w:sz w:val="28"/>
          <w:szCs w:val="28"/>
          <w:highlight w:val="none"/>
        </w:rPr>
        <w:t>七、投标无效的情形</w:t>
      </w:r>
      <w:bookmarkEnd w:id="113"/>
      <w:bookmarkEnd w:id="114"/>
      <w:bookmarkEnd w:id="115"/>
      <w:bookmarkEnd w:id="116"/>
      <w:bookmarkEnd w:id="117"/>
      <w:bookmarkEnd w:id="118"/>
      <w:bookmarkEnd w:id="119"/>
      <w:bookmarkEnd w:id="120"/>
    </w:p>
    <w:p w14:paraId="5FB5E4B5">
      <w:pPr>
        <w:snapToGrid w:val="0"/>
        <w:spacing w:line="360" w:lineRule="auto"/>
        <w:ind w:firstLine="560" w:firstLineChars="200"/>
        <w:rPr>
          <w:rFonts w:ascii="宋体" w:hAnsi="宋体"/>
          <w:bCs/>
          <w:color w:val="auto"/>
          <w:sz w:val="28"/>
          <w:szCs w:val="28"/>
          <w:highlight w:val="none"/>
        </w:rPr>
      </w:pPr>
      <w:r>
        <w:rPr>
          <w:rFonts w:hint="eastAsia" w:ascii="宋体" w:hAnsi="宋体"/>
          <w:bCs/>
          <w:color w:val="auto"/>
          <w:sz w:val="28"/>
          <w:szCs w:val="28"/>
          <w:highlight w:val="none"/>
        </w:rPr>
        <w:t>实质上没有响应招标文件要求的投标将被视为无效投标。投标人不得通过修正或撤销不合要求的偏离或保留从而使其投标成为实质上响应的投标，但经评标委员会认定属于投标人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w:t>
      </w:r>
      <w:r>
        <w:rPr>
          <w:rFonts w:ascii="宋体" w:hAnsi="宋体"/>
          <w:bCs/>
          <w:color w:val="auto"/>
          <w:sz w:val="28"/>
          <w:szCs w:val="28"/>
          <w:highlight w:val="none"/>
        </w:rPr>
        <w:t>对其投标文件所作的评价和评分结果。</w:t>
      </w:r>
    </w:p>
    <w:p w14:paraId="4EB83FEE">
      <w:pPr>
        <w:snapToGrid w:val="0"/>
        <w:spacing w:line="360" w:lineRule="auto"/>
        <w:ind w:firstLine="551" w:firstLineChars="196"/>
        <w:rPr>
          <w:rFonts w:ascii="宋体" w:hAnsi="宋体"/>
          <w:b/>
          <w:bCs/>
          <w:color w:val="auto"/>
          <w:sz w:val="28"/>
          <w:szCs w:val="28"/>
          <w:highlight w:val="none"/>
        </w:rPr>
      </w:pPr>
      <w:r>
        <w:rPr>
          <w:rFonts w:ascii="宋体" w:hAnsi="宋体"/>
          <w:b/>
          <w:bCs/>
          <w:color w:val="auto"/>
          <w:sz w:val="28"/>
          <w:szCs w:val="28"/>
          <w:highlight w:val="none"/>
        </w:rPr>
        <w:t>1.在符合性审查和商务评审时，如发现下列情形之一的，投标文件将被视为无效：</w:t>
      </w:r>
    </w:p>
    <w:p w14:paraId="0AE72543">
      <w:pPr>
        <w:snapToGrid w:val="0"/>
        <w:spacing w:line="360" w:lineRule="auto"/>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1</w:t>
      </w:r>
      <w:r>
        <w:rPr>
          <w:rFonts w:ascii="宋体" w:hAnsi="宋体"/>
          <w:color w:val="auto"/>
          <w:sz w:val="28"/>
          <w:szCs w:val="28"/>
          <w:highlight w:val="none"/>
        </w:rPr>
        <w:t>）资格证明文件不全的，或者不符合招标文件标明的资格要求的；</w:t>
      </w:r>
    </w:p>
    <w:p w14:paraId="5725E93C">
      <w:pPr>
        <w:snapToGrid w:val="0"/>
        <w:spacing w:line="360" w:lineRule="auto"/>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2</w:t>
      </w:r>
      <w:r>
        <w:rPr>
          <w:rFonts w:ascii="宋体" w:hAnsi="宋体"/>
          <w:color w:val="auto"/>
          <w:sz w:val="28"/>
          <w:szCs w:val="28"/>
          <w:highlight w:val="none"/>
        </w:rPr>
        <w:t>）投标文件无法定代表人</w:t>
      </w:r>
      <w:r>
        <w:rPr>
          <w:rFonts w:hint="eastAsia" w:ascii="宋体" w:hAnsi="宋体"/>
          <w:color w:val="auto"/>
          <w:sz w:val="28"/>
          <w:szCs w:val="28"/>
          <w:highlight w:val="none"/>
        </w:rPr>
        <w:t>/负责人</w:t>
      </w:r>
      <w:r>
        <w:rPr>
          <w:rFonts w:ascii="宋体" w:hAnsi="宋体"/>
          <w:color w:val="auto"/>
          <w:sz w:val="28"/>
          <w:szCs w:val="28"/>
          <w:highlight w:val="none"/>
        </w:rPr>
        <w:t>签字</w:t>
      </w:r>
      <w:r>
        <w:rPr>
          <w:rFonts w:hint="eastAsia" w:ascii="宋体" w:hAnsi="宋体"/>
          <w:color w:val="auto"/>
          <w:sz w:val="28"/>
          <w:szCs w:val="28"/>
          <w:highlight w:val="none"/>
        </w:rPr>
        <w:t>，</w:t>
      </w:r>
      <w:r>
        <w:rPr>
          <w:rFonts w:ascii="宋体" w:hAnsi="宋体"/>
          <w:color w:val="auto"/>
          <w:sz w:val="28"/>
          <w:szCs w:val="28"/>
          <w:highlight w:val="none"/>
        </w:rPr>
        <w:t>或未提供法定代表人</w:t>
      </w:r>
      <w:r>
        <w:rPr>
          <w:rFonts w:hint="eastAsia" w:ascii="宋体" w:hAnsi="宋体"/>
          <w:color w:val="auto"/>
          <w:sz w:val="28"/>
          <w:szCs w:val="28"/>
          <w:highlight w:val="none"/>
        </w:rPr>
        <w:t>/负责人</w:t>
      </w:r>
      <w:r>
        <w:rPr>
          <w:rFonts w:ascii="宋体" w:hAnsi="宋体"/>
          <w:color w:val="auto"/>
          <w:sz w:val="28"/>
          <w:szCs w:val="28"/>
          <w:highlight w:val="none"/>
        </w:rPr>
        <w:t>授权委托书</w:t>
      </w:r>
      <w:r>
        <w:rPr>
          <w:rFonts w:hint="eastAsia" w:ascii="宋体" w:hAnsi="宋体"/>
          <w:color w:val="auto"/>
          <w:sz w:val="28"/>
          <w:szCs w:val="28"/>
          <w:highlight w:val="none"/>
        </w:rPr>
        <w:t>、</w:t>
      </w:r>
      <w:r>
        <w:rPr>
          <w:rFonts w:ascii="宋体" w:hAnsi="宋体"/>
          <w:color w:val="auto"/>
          <w:sz w:val="28"/>
          <w:szCs w:val="28"/>
          <w:highlight w:val="none"/>
        </w:rPr>
        <w:t>投标</w:t>
      </w:r>
      <w:r>
        <w:rPr>
          <w:rFonts w:hint="eastAsia" w:ascii="宋体" w:hAnsi="宋体"/>
          <w:color w:val="auto"/>
          <w:sz w:val="28"/>
          <w:szCs w:val="28"/>
          <w:highlight w:val="none"/>
        </w:rPr>
        <w:t>函</w:t>
      </w:r>
      <w:r>
        <w:rPr>
          <w:rFonts w:ascii="宋体" w:hAnsi="宋体"/>
          <w:color w:val="auto"/>
          <w:sz w:val="28"/>
          <w:szCs w:val="28"/>
          <w:highlight w:val="none"/>
        </w:rPr>
        <w:t>或者填写项目不齐全的；</w:t>
      </w:r>
    </w:p>
    <w:p w14:paraId="530D34E5">
      <w:pPr>
        <w:snapToGrid w:val="0"/>
        <w:spacing w:line="360" w:lineRule="auto"/>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3</w:t>
      </w:r>
      <w:r>
        <w:rPr>
          <w:rFonts w:ascii="宋体" w:hAnsi="宋体"/>
          <w:color w:val="auto"/>
          <w:sz w:val="28"/>
          <w:szCs w:val="28"/>
          <w:highlight w:val="none"/>
        </w:rPr>
        <w:t>）投标代表人未能出具身份证明或与法定代表人</w:t>
      </w:r>
      <w:r>
        <w:rPr>
          <w:rFonts w:hint="eastAsia" w:ascii="宋体" w:hAnsi="宋体"/>
          <w:color w:val="auto"/>
          <w:sz w:val="28"/>
          <w:szCs w:val="28"/>
          <w:highlight w:val="none"/>
        </w:rPr>
        <w:t>/负责人</w:t>
      </w:r>
      <w:r>
        <w:rPr>
          <w:rFonts w:ascii="宋体" w:hAnsi="宋体"/>
          <w:color w:val="auto"/>
          <w:sz w:val="28"/>
          <w:szCs w:val="28"/>
          <w:highlight w:val="none"/>
        </w:rPr>
        <w:t>授权委托人身份不符的；</w:t>
      </w:r>
    </w:p>
    <w:p w14:paraId="2FD82914">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4</w:t>
      </w:r>
      <w:r>
        <w:rPr>
          <w:rFonts w:ascii="宋体" w:hAnsi="宋体"/>
          <w:color w:val="auto"/>
          <w:sz w:val="28"/>
          <w:szCs w:val="28"/>
          <w:highlight w:val="none"/>
        </w:rPr>
        <w:t>）投标文件格式不规范、项目不齐全或者内容虚假的；</w:t>
      </w:r>
    </w:p>
    <w:p w14:paraId="5646A2CC">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5</w:t>
      </w:r>
      <w:r>
        <w:rPr>
          <w:rFonts w:ascii="宋体" w:hAnsi="宋体"/>
          <w:color w:val="auto"/>
          <w:sz w:val="28"/>
          <w:szCs w:val="28"/>
          <w:highlight w:val="none"/>
        </w:rPr>
        <w:t>）投标文件的实质性内容未使用中文表述、意思表述不明确、前后矛盾或者使用计量单位不符合招标文件要求的（经评标委员会认定并允许其当场更正的笔误除外）；</w:t>
      </w:r>
    </w:p>
    <w:p w14:paraId="049272C6">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6</w:t>
      </w:r>
      <w:r>
        <w:rPr>
          <w:rFonts w:ascii="宋体" w:hAnsi="宋体"/>
          <w:color w:val="auto"/>
          <w:sz w:val="28"/>
          <w:szCs w:val="28"/>
          <w:highlight w:val="none"/>
        </w:rPr>
        <w:t>）投标有效期、付款方式等商务条款不能满足招标文件要求的；</w:t>
      </w:r>
    </w:p>
    <w:p w14:paraId="5CBB5FFE">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7</w:t>
      </w:r>
      <w:r>
        <w:rPr>
          <w:rFonts w:ascii="宋体" w:hAnsi="宋体"/>
          <w:color w:val="auto"/>
          <w:sz w:val="28"/>
          <w:szCs w:val="28"/>
          <w:highlight w:val="none"/>
        </w:rPr>
        <w:t>）未实质性响应招标文件要求</w:t>
      </w:r>
      <w:r>
        <w:rPr>
          <w:rFonts w:hint="eastAsia" w:ascii="宋体" w:hAnsi="宋体"/>
          <w:color w:val="auto"/>
          <w:sz w:val="28"/>
          <w:szCs w:val="28"/>
          <w:highlight w:val="none"/>
        </w:rPr>
        <w:t>（</w:t>
      </w:r>
      <w:r>
        <w:rPr>
          <w:rFonts w:ascii="宋体" w:hAnsi="宋体"/>
          <w:color w:val="auto"/>
          <w:sz w:val="28"/>
          <w:szCs w:val="28"/>
          <w:highlight w:val="none"/>
        </w:rPr>
        <w:t>“</w:t>
      </w:r>
      <w:r>
        <w:rPr>
          <w:rFonts w:hint="eastAsia" w:ascii="宋体" w:hAnsi="宋体"/>
          <w:color w:val="auto"/>
          <w:sz w:val="28"/>
          <w:szCs w:val="28"/>
          <w:highlight w:val="none"/>
        </w:rPr>
        <w:t>▲</w:t>
      </w:r>
      <w:r>
        <w:rPr>
          <w:rFonts w:ascii="宋体" w:hAnsi="宋体"/>
          <w:color w:val="auto"/>
          <w:sz w:val="28"/>
          <w:szCs w:val="28"/>
          <w:highlight w:val="none"/>
        </w:rPr>
        <w:t>”的</w:t>
      </w:r>
      <w:r>
        <w:rPr>
          <w:rFonts w:hint="eastAsia" w:ascii="宋体" w:hAnsi="宋体"/>
          <w:color w:val="auto"/>
          <w:sz w:val="28"/>
          <w:szCs w:val="28"/>
          <w:highlight w:val="none"/>
        </w:rPr>
        <w:t>条款有任何偏离的）</w:t>
      </w:r>
      <w:r>
        <w:rPr>
          <w:rFonts w:ascii="宋体" w:hAnsi="宋体"/>
          <w:color w:val="auto"/>
          <w:sz w:val="28"/>
          <w:szCs w:val="28"/>
          <w:highlight w:val="none"/>
        </w:rPr>
        <w:t>或者投标文件有招标方不能接受的附加条件的。</w:t>
      </w:r>
    </w:p>
    <w:p w14:paraId="541B0E29">
      <w:pPr>
        <w:pStyle w:val="11"/>
        <w:snapToGrid w:val="0"/>
        <w:ind w:firstLine="551" w:firstLineChars="196"/>
        <w:rPr>
          <w:rFonts w:ascii="宋体" w:hAnsi="宋体"/>
          <w:b/>
          <w:bCs/>
          <w:color w:val="auto"/>
          <w:sz w:val="28"/>
          <w:szCs w:val="28"/>
          <w:highlight w:val="none"/>
        </w:rPr>
      </w:pPr>
      <w:r>
        <w:rPr>
          <w:rFonts w:ascii="宋体" w:hAnsi="宋体"/>
          <w:b/>
          <w:bCs/>
          <w:color w:val="auto"/>
          <w:sz w:val="28"/>
          <w:szCs w:val="28"/>
          <w:highlight w:val="none"/>
        </w:rPr>
        <w:t>2</w:t>
      </w:r>
      <w:r>
        <w:rPr>
          <w:rFonts w:hint="eastAsia" w:ascii="宋体" w:hAnsi="宋体"/>
          <w:b/>
          <w:bCs/>
          <w:color w:val="auto"/>
          <w:sz w:val="28"/>
          <w:szCs w:val="28"/>
          <w:highlight w:val="none"/>
        </w:rPr>
        <w:t>.</w:t>
      </w:r>
      <w:r>
        <w:rPr>
          <w:rFonts w:ascii="宋体" w:hAnsi="宋体"/>
          <w:b/>
          <w:bCs/>
          <w:color w:val="auto"/>
          <w:sz w:val="28"/>
          <w:szCs w:val="28"/>
          <w:highlight w:val="none"/>
        </w:rPr>
        <w:t>在技术评审时，如发现下列情形之一的，投标文件将被视为无效：</w:t>
      </w:r>
    </w:p>
    <w:p w14:paraId="7947EE7A">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（1）未提供或未如实提供投标</w:t>
      </w:r>
      <w:r>
        <w:rPr>
          <w:rFonts w:hint="eastAsia" w:ascii="宋体" w:hAnsi="宋体"/>
          <w:color w:val="auto"/>
          <w:sz w:val="28"/>
          <w:szCs w:val="28"/>
          <w:highlight w:val="none"/>
        </w:rPr>
        <w:t>项目</w:t>
      </w:r>
      <w:r>
        <w:rPr>
          <w:rFonts w:ascii="宋体" w:hAnsi="宋体"/>
          <w:color w:val="auto"/>
          <w:sz w:val="28"/>
          <w:szCs w:val="28"/>
          <w:highlight w:val="none"/>
        </w:rPr>
        <w:t>的技术</w:t>
      </w:r>
      <w:r>
        <w:rPr>
          <w:rFonts w:hint="eastAsia" w:ascii="宋体" w:hAnsi="宋体"/>
          <w:color w:val="auto"/>
          <w:sz w:val="28"/>
          <w:szCs w:val="28"/>
          <w:highlight w:val="none"/>
        </w:rPr>
        <w:t>要求</w:t>
      </w:r>
      <w:r>
        <w:rPr>
          <w:rFonts w:ascii="宋体" w:hAnsi="宋体"/>
          <w:color w:val="auto"/>
          <w:sz w:val="28"/>
          <w:szCs w:val="28"/>
          <w:highlight w:val="none"/>
        </w:rPr>
        <w:t>，或者投标文件标明的响应或偏离与事实不符或虚假投标的；</w:t>
      </w:r>
    </w:p>
    <w:p w14:paraId="3E1473DC">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（2）明显不符合招标文件</w:t>
      </w:r>
      <w:r>
        <w:rPr>
          <w:rFonts w:hint="eastAsia" w:ascii="宋体" w:hAnsi="宋体"/>
          <w:color w:val="auto"/>
          <w:sz w:val="28"/>
          <w:szCs w:val="28"/>
          <w:highlight w:val="none"/>
        </w:rPr>
        <w:t>要求</w:t>
      </w:r>
      <w:r>
        <w:rPr>
          <w:rFonts w:ascii="宋体" w:hAnsi="宋体"/>
          <w:color w:val="auto"/>
          <w:sz w:val="28"/>
          <w:szCs w:val="28"/>
          <w:highlight w:val="none"/>
        </w:rPr>
        <w:t>的质量标准，或者</w:t>
      </w:r>
      <w:r>
        <w:rPr>
          <w:rFonts w:hint="eastAsia" w:ascii="宋体" w:hAnsi="宋体"/>
          <w:color w:val="auto"/>
          <w:sz w:val="28"/>
          <w:szCs w:val="28"/>
          <w:highlight w:val="none"/>
        </w:rPr>
        <w:t>与</w:t>
      </w:r>
      <w:r>
        <w:rPr>
          <w:rFonts w:ascii="宋体" w:hAnsi="宋体"/>
          <w:color w:val="auto"/>
          <w:sz w:val="28"/>
          <w:szCs w:val="28"/>
          <w:highlight w:val="none"/>
        </w:rPr>
        <w:t>招标文件中标</w:t>
      </w:r>
      <w:r>
        <w:rPr>
          <w:rFonts w:hint="eastAsia" w:ascii="宋体" w:hAnsi="宋体"/>
          <w:color w:val="auto"/>
          <w:sz w:val="28"/>
          <w:szCs w:val="28"/>
          <w:highlight w:val="none"/>
        </w:rPr>
        <w:t>有</w:t>
      </w:r>
      <w:r>
        <w:rPr>
          <w:rFonts w:ascii="宋体" w:hAnsi="宋体"/>
          <w:color w:val="auto"/>
          <w:sz w:val="28"/>
          <w:szCs w:val="28"/>
          <w:highlight w:val="none"/>
        </w:rPr>
        <w:t>“</w:t>
      </w:r>
      <w:r>
        <w:rPr>
          <w:rFonts w:hint="eastAsia" w:ascii="宋体" w:hAnsi="宋体"/>
          <w:color w:val="auto"/>
          <w:sz w:val="28"/>
          <w:szCs w:val="28"/>
          <w:highlight w:val="none"/>
        </w:rPr>
        <w:t>▲</w:t>
      </w:r>
      <w:r>
        <w:rPr>
          <w:rFonts w:ascii="宋体" w:hAnsi="宋体"/>
          <w:color w:val="auto"/>
          <w:sz w:val="28"/>
          <w:szCs w:val="28"/>
          <w:highlight w:val="none"/>
        </w:rPr>
        <w:t>”的技术指标、主要功能项目发生实质性偏离的；</w:t>
      </w:r>
    </w:p>
    <w:p w14:paraId="35EF55D2">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3</w:t>
      </w:r>
      <w:r>
        <w:rPr>
          <w:rFonts w:ascii="宋体" w:hAnsi="宋体"/>
          <w:color w:val="auto"/>
          <w:sz w:val="28"/>
          <w:szCs w:val="28"/>
          <w:highlight w:val="none"/>
        </w:rPr>
        <w:t>）投标技术方案不明确，存在一个或一个以上备选（替代）投标方案的</w:t>
      </w:r>
      <w:r>
        <w:rPr>
          <w:rFonts w:hint="eastAsia" w:ascii="宋体" w:hAnsi="宋体"/>
          <w:color w:val="auto"/>
          <w:sz w:val="28"/>
          <w:szCs w:val="28"/>
          <w:highlight w:val="none"/>
        </w:rPr>
        <w:t>，且未注明哪个是主投方案的；</w:t>
      </w:r>
    </w:p>
    <w:p w14:paraId="12E472C0">
      <w:pPr>
        <w:pStyle w:val="11"/>
        <w:snapToGrid w:val="0"/>
        <w:ind w:firstLine="548" w:firstLineChars="196"/>
        <w:rPr>
          <w:rFonts w:ascii="宋体" w:hAnsi="宋体"/>
          <w:color w:val="auto"/>
          <w:sz w:val="28"/>
          <w:szCs w:val="28"/>
          <w:highlight w:val="none"/>
        </w:rPr>
      </w:pPr>
      <w:r>
        <w:rPr>
          <w:rFonts w:hint="eastAsia" w:ascii="宋体" w:hAnsi="宋体"/>
          <w:color w:val="auto"/>
          <w:sz w:val="28"/>
          <w:szCs w:val="28"/>
          <w:highlight w:val="none"/>
        </w:rPr>
        <w:t>（4）与其他投标文件存在</w:t>
      </w:r>
      <w:r>
        <w:rPr>
          <w:rFonts w:hint="eastAsia" w:ascii="宋体" w:hAnsi="宋体"/>
          <w:b/>
          <w:color w:val="auto"/>
          <w:sz w:val="28"/>
          <w:szCs w:val="28"/>
          <w:highlight w:val="none"/>
          <w:u w:val="single"/>
        </w:rPr>
        <w:t>3处（含）</w:t>
      </w:r>
      <w:r>
        <w:rPr>
          <w:rFonts w:hint="eastAsia" w:ascii="宋体" w:hAnsi="宋体"/>
          <w:color w:val="auto"/>
          <w:sz w:val="28"/>
          <w:szCs w:val="28"/>
          <w:highlight w:val="none"/>
        </w:rPr>
        <w:t>以上相同差错的。</w:t>
      </w:r>
    </w:p>
    <w:p w14:paraId="22E27627">
      <w:pPr>
        <w:pStyle w:val="11"/>
        <w:snapToGrid w:val="0"/>
        <w:ind w:firstLine="551" w:firstLineChars="196"/>
        <w:rPr>
          <w:rFonts w:ascii="宋体" w:hAnsi="宋体"/>
          <w:b/>
          <w:bCs/>
          <w:color w:val="auto"/>
          <w:sz w:val="28"/>
          <w:szCs w:val="28"/>
          <w:highlight w:val="none"/>
        </w:rPr>
      </w:pPr>
      <w:r>
        <w:rPr>
          <w:rFonts w:hint="eastAsia" w:ascii="宋体" w:hAnsi="宋体"/>
          <w:b/>
          <w:color w:val="auto"/>
          <w:sz w:val="28"/>
          <w:szCs w:val="28"/>
          <w:highlight w:val="none"/>
        </w:rPr>
        <w:t>3．有</w:t>
      </w:r>
      <w:r>
        <w:rPr>
          <w:rFonts w:ascii="宋体" w:hAnsi="宋体"/>
          <w:b/>
          <w:bCs/>
          <w:color w:val="auto"/>
          <w:sz w:val="28"/>
          <w:szCs w:val="28"/>
          <w:highlight w:val="none"/>
        </w:rPr>
        <w:t>下列情形之一的，投标文件将被视为无效：</w:t>
      </w:r>
    </w:p>
    <w:p w14:paraId="48999647">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（1）</w:t>
      </w:r>
      <w:r>
        <w:rPr>
          <w:rFonts w:hint="eastAsia" w:ascii="宋体" w:hAnsi="宋体"/>
          <w:color w:val="auto"/>
          <w:sz w:val="28"/>
          <w:szCs w:val="28"/>
          <w:highlight w:val="none"/>
        </w:rPr>
        <w:t>未按招标要求递交的</w:t>
      </w:r>
      <w:r>
        <w:rPr>
          <w:rFonts w:ascii="宋体" w:hAnsi="宋体"/>
          <w:color w:val="auto"/>
          <w:sz w:val="28"/>
          <w:szCs w:val="28"/>
          <w:highlight w:val="none"/>
        </w:rPr>
        <w:t>；</w:t>
      </w:r>
    </w:p>
    <w:p w14:paraId="7A15CD62">
      <w:pPr>
        <w:pStyle w:val="11"/>
        <w:snapToGrid w:val="0"/>
        <w:ind w:firstLine="548" w:firstLineChars="196"/>
        <w:rPr>
          <w:rFonts w:ascii="宋体" w:hAnsi="宋体"/>
          <w:color w:val="auto"/>
          <w:sz w:val="28"/>
          <w:szCs w:val="28"/>
          <w:highlight w:val="none"/>
        </w:rPr>
      </w:pPr>
      <w:r>
        <w:rPr>
          <w:rFonts w:ascii="宋体" w:hAnsi="宋体"/>
          <w:color w:val="auto"/>
          <w:sz w:val="28"/>
          <w:szCs w:val="28"/>
          <w:highlight w:val="none"/>
        </w:rPr>
        <w:t>（2）</w:t>
      </w:r>
      <w:r>
        <w:rPr>
          <w:rFonts w:hint="eastAsia" w:ascii="宋体" w:hAnsi="宋体"/>
          <w:color w:val="auto"/>
          <w:sz w:val="28"/>
          <w:szCs w:val="28"/>
          <w:highlight w:val="none"/>
        </w:rPr>
        <w:t>经招标人确认，不能满足招标人要求的；</w:t>
      </w:r>
    </w:p>
    <w:p w14:paraId="3DE6B5BC">
      <w:pPr>
        <w:pStyle w:val="11"/>
        <w:snapToGrid w:val="0"/>
        <w:ind w:firstLine="560" w:firstLineChars="200"/>
        <w:rPr>
          <w:rFonts w:ascii="宋体" w:hAnsi="宋体"/>
          <w:color w:val="auto"/>
          <w:sz w:val="28"/>
          <w:szCs w:val="28"/>
          <w:highlight w:val="none"/>
        </w:rPr>
      </w:pPr>
      <w:r>
        <w:rPr>
          <w:rFonts w:hint="eastAsia" w:ascii="宋体" w:hAnsi="宋体"/>
          <w:color w:val="auto"/>
          <w:sz w:val="28"/>
          <w:szCs w:val="28"/>
          <w:highlight w:val="none"/>
        </w:rPr>
        <w:t>（3）不符合招标公告资格要求的。</w:t>
      </w:r>
    </w:p>
    <w:p w14:paraId="76348DF8">
      <w:pPr>
        <w:pStyle w:val="11"/>
        <w:snapToGrid w:val="0"/>
        <w:ind w:firstLine="551" w:firstLineChars="196"/>
        <w:rPr>
          <w:rFonts w:ascii="宋体" w:hAnsi="宋体"/>
          <w:b/>
          <w:color w:val="auto"/>
          <w:sz w:val="28"/>
          <w:szCs w:val="28"/>
          <w:highlight w:val="none"/>
        </w:rPr>
      </w:pPr>
      <w:r>
        <w:rPr>
          <w:rFonts w:ascii="宋体" w:hAnsi="宋体"/>
          <w:b/>
          <w:color w:val="auto"/>
          <w:sz w:val="28"/>
          <w:szCs w:val="28"/>
          <w:highlight w:val="none"/>
        </w:rPr>
        <w:t>4</w:t>
      </w:r>
      <w:r>
        <w:rPr>
          <w:rFonts w:hint="eastAsia" w:ascii="宋体" w:hAnsi="宋体"/>
          <w:b/>
          <w:color w:val="auto"/>
          <w:sz w:val="28"/>
          <w:szCs w:val="28"/>
          <w:highlight w:val="none"/>
        </w:rPr>
        <w:t>.</w:t>
      </w:r>
      <w:r>
        <w:rPr>
          <w:rFonts w:ascii="宋体" w:hAnsi="宋体"/>
          <w:b/>
          <w:color w:val="auto"/>
          <w:sz w:val="28"/>
          <w:szCs w:val="28"/>
          <w:highlight w:val="none"/>
        </w:rPr>
        <w:t>被拒绝的投标文件为无效。</w:t>
      </w:r>
    </w:p>
    <w:p w14:paraId="19FFDD54">
      <w:pPr>
        <w:pStyle w:val="11"/>
        <w:snapToGrid w:val="0"/>
        <w:ind w:right="-874" w:rightChars="-416" w:firstLine="551" w:firstLineChars="196"/>
        <w:rPr>
          <w:rFonts w:ascii="宋体" w:hAnsi="宋体"/>
          <w:b/>
          <w:bCs/>
          <w:color w:val="auto"/>
          <w:sz w:val="28"/>
          <w:szCs w:val="28"/>
          <w:highlight w:val="none"/>
        </w:rPr>
      </w:pPr>
    </w:p>
    <w:p w14:paraId="0DC79526">
      <w:pPr>
        <w:pStyle w:val="11"/>
        <w:snapToGrid w:val="0"/>
        <w:ind w:firstLine="0"/>
        <w:outlineLvl w:val="1"/>
        <w:rPr>
          <w:rFonts w:ascii="宋体" w:hAnsi="宋体"/>
          <w:b/>
          <w:color w:val="auto"/>
          <w:sz w:val="28"/>
          <w:szCs w:val="28"/>
          <w:highlight w:val="none"/>
        </w:rPr>
      </w:pPr>
    </w:p>
    <w:p w14:paraId="2575FFDA">
      <w:pPr>
        <w:pStyle w:val="2"/>
        <w:ind w:firstLine="0"/>
        <w:jc w:val="center"/>
        <w:rPr>
          <w:rFonts w:ascii="宋体" w:hAnsi="宋体"/>
          <w:b w:val="0"/>
          <w:color w:val="auto"/>
          <w:sz w:val="32"/>
          <w:szCs w:val="32"/>
          <w:highlight w:val="none"/>
        </w:rPr>
      </w:pPr>
      <w:r>
        <w:rPr>
          <w:rFonts w:ascii="宋体" w:hAnsi="宋体"/>
          <w:color w:val="auto"/>
          <w:sz w:val="28"/>
          <w:szCs w:val="28"/>
          <w:highlight w:val="none"/>
        </w:rPr>
        <w:br w:type="page"/>
      </w:r>
      <w:bookmarkStart w:id="121" w:name="_Toc454551081"/>
      <w:r>
        <w:rPr>
          <w:rFonts w:hint="eastAsia" w:ascii="宋体" w:hAnsi="宋体"/>
          <w:i w:val="0"/>
          <w:color w:val="auto"/>
          <w:sz w:val="32"/>
          <w:szCs w:val="32"/>
          <w:highlight w:val="none"/>
        </w:rPr>
        <w:t>第四章  开标及评标办法</w:t>
      </w:r>
      <w:bookmarkEnd w:id="121"/>
    </w:p>
    <w:p w14:paraId="4DC70F5A">
      <w:pPr>
        <w:pStyle w:val="15"/>
        <w:snapToGrid w:val="0"/>
        <w:spacing w:beforeLines="0" w:afterLines="0" w:line="240" w:lineRule="auto"/>
        <w:rPr>
          <w:rFonts w:hAnsi="宋体"/>
          <w:b/>
          <w:color w:val="auto"/>
          <w:highlight w:val="none"/>
        </w:rPr>
      </w:pPr>
    </w:p>
    <w:p w14:paraId="60D351FC">
      <w:pPr>
        <w:pStyle w:val="15"/>
        <w:snapToGrid w:val="0"/>
        <w:spacing w:beforeLines="0" w:afterLines="0" w:line="360" w:lineRule="auto"/>
        <w:rPr>
          <w:rFonts w:hAnsi="宋体"/>
          <w:b/>
          <w:color w:val="auto"/>
          <w:sz w:val="28"/>
          <w:szCs w:val="28"/>
          <w:highlight w:val="none"/>
        </w:rPr>
      </w:pPr>
      <w:r>
        <w:rPr>
          <w:rFonts w:hint="eastAsia" w:hAnsi="宋体"/>
          <w:b/>
          <w:color w:val="auto"/>
          <w:sz w:val="28"/>
          <w:szCs w:val="28"/>
          <w:highlight w:val="none"/>
        </w:rPr>
        <w:t>一、</w:t>
      </w:r>
      <w:r>
        <w:rPr>
          <w:rFonts w:hAnsi="宋体"/>
          <w:b/>
          <w:color w:val="auto"/>
          <w:sz w:val="28"/>
          <w:szCs w:val="28"/>
          <w:highlight w:val="none"/>
        </w:rPr>
        <w:t>开标准备</w:t>
      </w:r>
    </w:p>
    <w:p w14:paraId="5889766F">
      <w:pPr>
        <w:pStyle w:val="15"/>
        <w:snapToGrid w:val="0"/>
        <w:spacing w:beforeLines="0" w:afterLines="0" w:line="360" w:lineRule="auto"/>
        <w:ind w:firstLine="560" w:firstLineChars="200"/>
        <w:rPr>
          <w:rFonts w:hAnsi="宋体"/>
          <w:bCs/>
          <w:color w:val="auto"/>
          <w:sz w:val="28"/>
          <w:szCs w:val="28"/>
          <w:highlight w:val="none"/>
        </w:rPr>
      </w:pPr>
      <w:r>
        <w:rPr>
          <w:rFonts w:hint="eastAsia" w:hAnsi="宋体"/>
          <w:bCs/>
          <w:color w:val="auto"/>
          <w:sz w:val="28"/>
          <w:szCs w:val="28"/>
          <w:highlight w:val="none"/>
        </w:rPr>
        <w:t>本招标项目</w:t>
      </w:r>
      <w:r>
        <w:rPr>
          <w:rFonts w:hAnsi="宋体"/>
          <w:bCs/>
          <w:color w:val="auto"/>
          <w:sz w:val="28"/>
          <w:szCs w:val="28"/>
          <w:highlight w:val="none"/>
        </w:rPr>
        <w:t>将在规定的时间和地点进行开标，</w:t>
      </w:r>
      <w:r>
        <w:rPr>
          <w:rFonts w:hint="eastAsia" w:hAnsi="宋体"/>
          <w:bCs/>
          <w:color w:val="auto"/>
          <w:sz w:val="28"/>
          <w:szCs w:val="28"/>
          <w:highlight w:val="none"/>
        </w:rPr>
        <w:t>本项目评标采用综合评分法。</w:t>
      </w:r>
    </w:p>
    <w:p w14:paraId="60A3EC48">
      <w:pPr>
        <w:pStyle w:val="15"/>
        <w:snapToGrid w:val="0"/>
        <w:spacing w:beforeLines="0" w:afterLines="0" w:line="360" w:lineRule="auto"/>
        <w:outlineLvl w:val="1"/>
        <w:rPr>
          <w:rFonts w:hAnsi="宋体"/>
          <w:b/>
          <w:color w:val="auto"/>
          <w:sz w:val="28"/>
          <w:szCs w:val="28"/>
          <w:highlight w:val="none"/>
        </w:rPr>
      </w:pPr>
      <w:bookmarkStart w:id="122" w:name="_Toc355117129"/>
      <w:bookmarkStart w:id="123" w:name="_Toc427442468"/>
      <w:bookmarkStart w:id="124" w:name="_Toc436314553"/>
      <w:bookmarkStart w:id="125" w:name="_Toc249866769"/>
      <w:bookmarkStart w:id="126" w:name="_Toc259108326"/>
      <w:bookmarkStart w:id="127" w:name="_Toc444597104"/>
      <w:bookmarkStart w:id="128" w:name="_Toc429406716"/>
    </w:p>
    <w:p w14:paraId="1F5160A3">
      <w:pPr>
        <w:pStyle w:val="15"/>
        <w:snapToGrid w:val="0"/>
        <w:spacing w:beforeLines="0" w:afterLines="0" w:line="360" w:lineRule="auto"/>
        <w:outlineLvl w:val="1"/>
        <w:rPr>
          <w:rFonts w:hAnsi="宋体"/>
          <w:b/>
          <w:color w:val="auto"/>
          <w:sz w:val="28"/>
          <w:szCs w:val="28"/>
          <w:highlight w:val="none"/>
        </w:rPr>
      </w:pPr>
      <w:bookmarkStart w:id="129" w:name="_Toc454551082"/>
      <w:r>
        <w:rPr>
          <w:rFonts w:hint="eastAsia" w:hAnsi="宋体"/>
          <w:b/>
          <w:color w:val="auto"/>
          <w:sz w:val="28"/>
          <w:szCs w:val="28"/>
          <w:highlight w:val="none"/>
        </w:rPr>
        <w:t>二、评标</w:t>
      </w:r>
      <w:bookmarkEnd w:id="122"/>
      <w:bookmarkEnd w:id="123"/>
      <w:bookmarkEnd w:id="124"/>
      <w:bookmarkEnd w:id="125"/>
      <w:bookmarkEnd w:id="126"/>
      <w:bookmarkEnd w:id="127"/>
      <w:bookmarkEnd w:id="128"/>
      <w:bookmarkEnd w:id="129"/>
    </w:p>
    <w:p w14:paraId="0B0C73FB">
      <w:pPr>
        <w:pStyle w:val="15"/>
        <w:snapToGrid w:val="0"/>
        <w:spacing w:beforeLines="0" w:afterLines="0" w:line="360" w:lineRule="auto"/>
        <w:ind w:left="760" w:leftChars="228" w:hanging="281" w:hangingChars="100"/>
        <w:rPr>
          <w:rFonts w:hAnsi="宋体"/>
          <w:b/>
          <w:color w:val="auto"/>
          <w:sz w:val="28"/>
          <w:szCs w:val="28"/>
          <w:highlight w:val="none"/>
        </w:rPr>
      </w:pPr>
      <w:r>
        <w:rPr>
          <w:rFonts w:hAnsi="宋体"/>
          <w:b/>
          <w:color w:val="auto"/>
          <w:sz w:val="28"/>
          <w:szCs w:val="28"/>
          <w:highlight w:val="none"/>
        </w:rPr>
        <w:t>（一）组建评标委员会</w:t>
      </w:r>
    </w:p>
    <w:p w14:paraId="7DC061C3">
      <w:pPr>
        <w:pStyle w:val="15"/>
        <w:snapToGrid w:val="0"/>
        <w:spacing w:beforeLines="0" w:afterLines="0" w:line="360" w:lineRule="auto"/>
        <w:ind w:firstLine="565" w:firstLineChars="202"/>
        <w:rPr>
          <w:rFonts w:hAnsi="宋体"/>
          <w:color w:val="auto"/>
          <w:sz w:val="28"/>
          <w:szCs w:val="28"/>
          <w:highlight w:val="none"/>
        </w:rPr>
      </w:pPr>
      <w:r>
        <w:rPr>
          <w:rFonts w:hAnsi="宋体"/>
          <w:color w:val="auto"/>
          <w:sz w:val="28"/>
          <w:szCs w:val="28"/>
          <w:highlight w:val="none"/>
        </w:rPr>
        <w:t>本项目评标委员会由</w:t>
      </w:r>
      <w:r>
        <w:rPr>
          <w:rFonts w:hint="eastAsia" w:hAnsi="宋体"/>
          <w:color w:val="auto"/>
          <w:sz w:val="28"/>
          <w:szCs w:val="28"/>
          <w:highlight w:val="none"/>
        </w:rPr>
        <w:t>相关专业的</w:t>
      </w:r>
      <w:r>
        <w:rPr>
          <w:rFonts w:hAnsi="宋体"/>
          <w:color w:val="auto"/>
          <w:sz w:val="28"/>
          <w:szCs w:val="28"/>
          <w:highlight w:val="none"/>
        </w:rPr>
        <w:t>评审专家</w:t>
      </w:r>
      <w:r>
        <w:rPr>
          <w:rFonts w:hint="eastAsia" w:hAnsi="宋体"/>
          <w:color w:val="auto"/>
          <w:sz w:val="28"/>
          <w:szCs w:val="28"/>
          <w:highlight w:val="none"/>
        </w:rPr>
        <w:t>和招标单位代表按相关要求奇数组成</w:t>
      </w:r>
      <w:r>
        <w:rPr>
          <w:rFonts w:hAnsi="宋体"/>
          <w:color w:val="auto"/>
          <w:sz w:val="28"/>
          <w:szCs w:val="28"/>
          <w:highlight w:val="none"/>
        </w:rPr>
        <w:t>。</w:t>
      </w:r>
    </w:p>
    <w:p w14:paraId="2044D9AF">
      <w:pPr>
        <w:pStyle w:val="15"/>
        <w:snapToGrid w:val="0"/>
        <w:spacing w:beforeLines="0" w:afterLines="0" w:line="360" w:lineRule="auto"/>
        <w:ind w:left="760" w:leftChars="228" w:hanging="281" w:hangingChars="100"/>
        <w:rPr>
          <w:rFonts w:hAnsi="宋体"/>
          <w:b/>
          <w:color w:val="auto"/>
          <w:sz w:val="28"/>
          <w:szCs w:val="28"/>
          <w:highlight w:val="none"/>
        </w:rPr>
      </w:pPr>
      <w:r>
        <w:rPr>
          <w:rFonts w:hAnsi="宋体"/>
          <w:b/>
          <w:color w:val="auto"/>
          <w:sz w:val="28"/>
          <w:szCs w:val="28"/>
          <w:highlight w:val="none"/>
        </w:rPr>
        <w:t>（二）评标的方式</w:t>
      </w:r>
    </w:p>
    <w:p w14:paraId="358629C1">
      <w:pPr>
        <w:pStyle w:val="15"/>
        <w:snapToGrid w:val="0"/>
        <w:spacing w:before="120" w:after="120" w:line="360" w:lineRule="auto"/>
        <w:ind w:left="317" w:leftChars="151" w:firstLine="249" w:firstLineChars="89"/>
        <w:rPr>
          <w:rFonts w:hAnsi="宋体"/>
          <w:color w:val="auto"/>
          <w:sz w:val="28"/>
          <w:szCs w:val="28"/>
          <w:highlight w:val="none"/>
        </w:rPr>
      </w:pPr>
      <w:r>
        <w:rPr>
          <w:rFonts w:hAnsi="宋体"/>
          <w:color w:val="auto"/>
          <w:sz w:val="28"/>
          <w:szCs w:val="28"/>
          <w:highlight w:val="none"/>
        </w:rPr>
        <w:t>本项目采用不公开方式评标，评标的依据为招标文件和投标文件。</w:t>
      </w:r>
    </w:p>
    <w:p w14:paraId="55389E42">
      <w:pPr>
        <w:pStyle w:val="15"/>
        <w:snapToGrid w:val="0"/>
        <w:spacing w:beforeLines="0" w:afterLines="0" w:line="360" w:lineRule="auto"/>
        <w:ind w:left="760" w:leftChars="228" w:hanging="281" w:hangingChars="100"/>
        <w:rPr>
          <w:rFonts w:hAnsi="宋体"/>
          <w:b/>
          <w:color w:val="auto"/>
          <w:sz w:val="28"/>
          <w:szCs w:val="28"/>
          <w:highlight w:val="none"/>
        </w:rPr>
      </w:pPr>
      <w:r>
        <w:rPr>
          <w:rFonts w:hAnsi="宋体"/>
          <w:b/>
          <w:color w:val="auto"/>
          <w:sz w:val="28"/>
          <w:szCs w:val="28"/>
          <w:highlight w:val="none"/>
        </w:rPr>
        <w:t>（</w:t>
      </w:r>
      <w:r>
        <w:rPr>
          <w:rFonts w:hint="eastAsia" w:hAnsi="宋体"/>
          <w:b/>
          <w:color w:val="auto"/>
          <w:sz w:val="28"/>
          <w:szCs w:val="28"/>
          <w:highlight w:val="none"/>
        </w:rPr>
        <w:t>三</w:t>
      </w:r>
      <w:r>
        <w:rPr>
          <w:rFonts w:hAnsi="宋体"/>
          <w:b/>
          <w:color w:val="auto"/>
          <w:sz w:val="28"/>
          <w:szCs w:val="28"/>
          <w:highlight w:val="none"/>
        </w:rPr>
        <w:t>）评标程序</w:t>
      </w:r>
    </w:p>
    <w:p w14:paraId="6E61E81F">
      <w:pPr>
        <w:snapToGrid w:val="0"/>
        <w:spacing w:beforeLines="50" w:line="360" w:lineRule="auto"/>
        <w:ind w:firstLine="551" w:firstLineChars="196"/>
        <w:rPr>
          <w:rFonts w:ascii="宋体" w:hAnsi="宋体"/>
          <w:b/>
          <w:bCs/>
          <w:color w:val="auto"/>
          <w:sz w:val="28"/>
          <w:szCs w:val="28"/>
          <w:highlight w:val="none"/>
        </w:rPr>
      </w:pPr>
      <w:r>
        <w:rPr>
          <w:rFonts w:ascii="宋体" w:hAnsi="宋体"/>
          <w:b/>
          <w:bCs/>
          <w:color w:val="auto"/>
          <w:sz w:val="28"/>
          <w:szCs w:val="28"/>
          <w:highlight w:val="none"/>
        </w:rPr>
        <w:t>1.</w:t>
      </w:r>
      <w:r>
        <w:rPr>
          <w:rFonts w:hint="eastAsia" w:ascii="宋体" w:hAnsi="宋体"/>
          <w:b/>
          <w:bCs/>
          <w:color w:val="auto"/>
          <w:sz w:val="28"/>
          <w:szCs w:val="28"/>
          <w:highlight w:val="none"/>
        </w:rPr>
        <w:t>资格</w:t>
      </w:r>
      <w:r>
        <w:rPr>
          <w:rFonts w:ascii="宋体" w:hAnsi="宋体"/>
          <w:b/>
          <w:bCs/>
          <w:color w:val="auto"/>
          <w:sz w:val="28"/>
          <w:szCs w:val="28"/>
          <w:highlight w:val="none"/>
        </w:rPr>
        <w:t>审查</w:t>
      </w:r>
    </w:p>
    <w:p w14:paraId="0F4BACE3">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评标委员会对投标人的资格和投标文件的完整性、合法性等进行审查。</w:t>
      </w:r>
    </w:p>
    <w:p w14:paraId="378A2EFB">
      <w:pPr>
        <w:snapToGrid w:val="0"/>
        <w:spacing w:beforeLines="50" w:line="360" w:lineRule="auto"/>
        <w:ind w:firstLine="551" w:firstLineChars="196"/>
        <w:rPr>
          <w:rFonts w:ascii="宋体" w:hAnsi="宋体"/>
          <w:b/>
          <w:bCs/>
          <w:color w:val="auto"/>
          <w:sz w:val="28"/>
          <w:szCs w:val="28"/>
          <w:highlight w:val="none"/>
        </w:rPr>
      </w:pPr>
      <w:r>
        <w:rPr>
          <w:rFonts w:ascii="宋体" w:hAnsi="宋体"/>
          <w:b/>
          <w:bCs/>
          <w:color w:val="auto"/>
          <w:sz w:val="28"/>
          <w:szCs w:val="28"/>
          <w:highlight w:val="none"/>
        </w:rPr>
        <w:t>2.实质审查与比较</w:t>
      </w:r>
    </w:p>
    <w:p w14:paraId="1DB12037">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（1）评标委员会审查投标文件的实质性内容是否符合招标文件的实质性要求。</w:t>
      </w:r>
    </w:p>
    <w:p w14:paraId="03EEDB24">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（2）评标委员会将根据投标人的投标文件进行审查、核对</w:t>
      </w:r>
      <w:r>
        <w:rPr>
          <w:rFonts w:hint="eastAsia" w:ascii="宋体" w:hAnsi="宋体"/>
          <w:color w:val="auto"/>
          <w:sz w:val="28"/>
          <w:szCs w:val="28"/>
          <w:highlight w:val="none"/>
        </w:rPr>
        <w:t>，</w:t>
      </w:r>
      <w:r>
        <w:rPr>
          <w:rFonts w:ascii="宋体" w:hAnsi="宋体"/>
          <w:color w:val="auto"/>
          <w:sz w:val="28"/>
          <w:szCs w:val="28"/>
          <w:highlight w:val="none"/>
        </w:rPr>
        <w:t>如有疑问</w:t>
      </w:r>
      <w:r>
        <w:rPr>
          <w:rFonts w:hint="eastAsia" w:ascii="宋体" w:hAnsi="宋体"/>
          <w:color w:val="auto"/>
          <w:sz w:val="28"/>
          <w:szCs w:val="28"/>
          <w:highlight w:val="none"/>
        </w:rPr>
        <w:t>，</w:t>
      </w:r>
      <w:r>
        <w:rPr>
          <w:rFonts w:ascii="宋体" w:hAnsi="宋体"/>
          <w:color w:val="auto"/>
          <w:sz w:val="28"/>
          <w:szCs w:val="28"/>
          <w:highlight w:val="none"/>
        </w:rPr>
        <w:t>将对投标人进行询标</w:t>
      </w:r>
      <w:r>
        <w:rPr>
          <w:rFonts w:hint="eastAsia" w:ascii="宋体" w:hAnsi="宋体"/>
          <w:color w:val="auto"/>
          <w:sz w:val="28"/>
          <w:szCs w:val="28"/>
          <w:highlight w:val="none"/>
        </w:rPr>
        <w:t>，</w:t>
      </w:r>
      <w:r>
        <w:rPr>
          <w:rFonts w:ascii="宋体" w:hAnsi="宋体"/>
          <w:color w:val="auto"/>
          <w:sz w:val="28"/>
          <w:szCs w:val="28"/>
          <w:highlight w:val="none"/>
        </w:rPr>
        <w:t>投标人要向评标委员会澄清有关问题</w:t>
      </w:r>
      <w:r>
        <w:rPr>
          <w:rFonts w:hint="eastAsia" w:ascii="宋体" w:hAnsi="宋体"/>
          <w:color w:val="auto"/>
          <w:sz w:val="28"/>
          <w:szCs w:val="28"/>
          <w:highlight w:val="none"/>
        </w:rPr>
        <w:t>，</w:t>
      </w:r>
      <w:r>
        <w:rPr>
          <w:rFonts w:ascii="宋体" w:hAnsi="宋体"/>
          <w:color w:val="auto"/>
          <w:sz w:val="28"/>
          <w:szCs w:val="28"/>
          <w:highlight w:val="none"/>
        </w:rPr>
        <w:t>并最终以书面形式进行答复。</w:t>
      </w:r>
    </w:p>
    <w:p w14:paraId="61F0AC39">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投标人代表未到场或者拒绝澄清或者澄清的内容改变了投标文件的实质性内容的，评标委员会有权对该投标文件</w:t>
      </w:r>
      <w:r>
        <w:rPr>
          <w:rFonts w:hint="eastAsia" w:ascii="宋体" w:hAnsi="宋体"/>
          <w:color w:val="auto"/>
          <w:sz w:val="28"/>
          <w:szCs w:val="28"/>
          <w:highlight w:val="none"/>
        </w:rPr>
        <w:t>做出</w:t>
      </w:r>
      <w:r>
        <w:rPr>
          <w:rFonts w:ascii="宋体" w:hAnsi="宋体"/>
          <w:color w:val="auto"/>
          <w:sz w:val="28"/>
          <w:szCs w:val="28"/>
          <w:highlight w:val="none"/>
        </w:rPr>
        <w:t>不利于投标人的评判。</w:t>
      </w:r>
    </w:p>
    <w:p w14:paraId="77FDABCB">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（3）各</w:t>
      </w:r>
      <w:r>
        <w:rPr>
          <w:rFonts w:hint="eastAsia" w:ascii="宋体" w:hAnsi="宋体"/>
          <w:color w:val="auto"/>
          <w:sz w:val="28"/>
          <w:szCs w:val="28"/>
          <w:highlight w:val="none"/>
        </w:rPr>
        <w:t>评委独立打分，</w:t>
      </w:r>
      <w:r>
        <w:rPr>
          <w:rFonts w:ascii="宋体" w:hAnsi="宋体"/>
          <w:color w:val="auto"/>
          <w:sz w:val="28"/>
          <w:szCs w:val="28"/>
          <w:highlight w:val="none"/>
        </w:rPr>
        <w:t>投标人的</w:t>
      </w:r>
      <w:r>
        <w:rPr>
          <w:rFonts w:hint="eastAsia" w:ascii="宋体" w:hAnsi="宋体"/>
          <w:color w:val="auto"/>
          <w:sz w:val="28"/>
          <w:szCs w:val="28"/>
          <w:highlight w:val="none"/>
        </w:rPr>
        <w:t>综合得分</w:t>
      </w:r>
      <w:r>
        <w:rPr>
          <w:rFonts w:ascii="宋体" w:hAnsi="宋体"/>
          <w:color w:val="auto"/>
          <w:sz w:val="28"/>
          <w:szCs w:val="28"/>
          <w:highlight w:val="none"/>
        </w:rPr>
        <w:t>为所有评委的有效评分的算术平均数，由指定专人进行计算复核。</w:t>
      </w:r>
    </w:p>
    <w:p w14:paraId="2B842D30">
      <w:pPr>
        <w:snapToGrid w:val="0"/>
        <w:spacing w:line="360" w:lineRule="auto"/>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4</w:t>
      </w:r>
      <w:r>
        <w:rPr>
          <w:rFonts w:ascii="宋体" w:hAnsi="宋体"/>
          <w:color w:val="auto"/>
          <w:sz w:val="28"/>
          <w:szCs w:val="28"/>
          <w:highlight w:val="none"/>
        </w:rPr>
        <w:t>）评标委员会推荐</w:t>
      </w:r>
      <w:r>
        <w:rPr>
          <w:rFonts w:hint="eastAsia" w:ascii="宋体" w:hAnsi="宋体"/>
          <w:color w:val="auto"/>
          <w:sz w:val="28"/>
          <w:szCs w:val="28"/>
          <w:highlight w:val="none"/>
        </w:rPr>
        <w:t>综合得分前</w:t>
      </w:r>
      <w:r>
        <w:rPr>
          <w:rFonts w:hint="eastAsia" w:ascii="宋体" w:hAnsi="宋体"/>
          <w:color w:val="auto"/>
          <w:sz w:val="28"/>
          <w:szCs w:val="28"/>
          <w:highlight w:val="none"/>
          <w:lang w:val="en-US" w:eastAsia="zh-CN"/>
        </w:rPr>
        <w:t>十四</w:t>
      </w:r>
      <w:r>
        <w:rPr>
          <w:rFonts w:hint="eastAsia" w:ascii="宋体" w:hAnsi="宋体"/>
          <w:color w:val="auto"/>
          <w:sz w:val="28"/>
          <w:szCs w:val="28"/>
          <w:highlight w:val="none"/>
        </w:rPr>
        <w:t>名的投标人依次分别成为本项目的</w:t>
      </w:r>
      <w:r>
        <w:rPr>
          <w:rFonts w:ascii="宋体" w:hAnsi="宋体"/>
          <w:color w:val="auto"/>
          <w:sz w:val="28"/>
          <w:szCs w:val="28"/>
          <w:highlight w:val="none"/>
        </w:rPr>
        <w:t>中标</w:t>
      </w:r>
      <w:r>
        <w:rPr>
          <w:rFonts w:hint="eastAsia" w:ascii="宋体" w:hAnsi="宋体"/>
          <w:color w:val="auto"/>
          <w:sz w:val="28"/>
          <w:szCs w:val="28"/>
          <w:highlight w:val="none"/>
        </w:rPr>
        <w:t>候选人</w:t>
      </w:r>
      <w:r>
        <w:rPr>
          <w:rFonts w:ascii="宋体" w:hAnsi="宋体"/>
          <w:color w:val="auto"/>
          <w:sz w:val="28"/>
          <w:szCs w:val="28"/>
          <w:highlight w:val="none"/>
        </w:rPr>
        <w:t>。</w:t>
      </w:r>
    </w:p>
    <w:p w14:paraId="69443CB7">
      <w:pPr>
        <w:pStyle w:val="15"/>
        <w:snapToGrid w:val="0"/>
        <w:spacing w:beforeLines="0" w:afterLines="0" w:line="360" w:lineRule="auto"/>
        <w:ind w:left="760" w:leftChars="228" w:hanging="281" w:hangingChars="100"/>
        <w:rPr>
          <w:rFonts w:hAnsi="宋体"/>
          <w:b/>
          <w:color w:val="auto"/>
          <w:sz w:val="28"/>
          <w:szCs w:val="28"/>
          <w:highlight w:val="none"/>
        </w:rPr>
      </w:pPr>
      <w:r>
        <w:rPr>
          <w:rFonts w:hint="eastAsia" w:hAnsi="宋体"/>
          <w:b/>
          <w:color w:val="auto"/>
          <w:sz w:val="28"/>
          <w:szCs w:val="28"/>
          <w:highlight w:val="none"/>
        </w:rPr>
        <w:t>（四）澄清问题的形式</w:t>
      </w:r>
    </w:p>
    <w:p w14:paraId="2E3A7F8C">
      <w:pPr>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对投标文件中含义不明确、同类问题表述不一致或者有明显文字和计算错误的内容，评标委员会可要求投标人做出必要的澄清、说明或者纠正。投标人的澄清、说明或者补正应当采用书面形式，由其授权代表签字或盖章确认，并不得超出投标文件的范围或者改变投标文件的实质性内容。</w:t>
      </w:r>
    </w:p>
    <w:p w14:paraId="6AB8573C">
      <w:pPr>
        <w:pStyle w:val="15"/>
        <w:snapToGrid w:val="0"/>
        <w:spacing w:beforeLines="0" w:afterLines="0" w:line="360" w:lineRule="auto"/>
        <w:ind w:left="760" w:leftChars="228" w:hanging="281" w:hangingChars="100"/>
        <w:rPr>
          <w:rFonts w:hAnsi="宋体"/>
          <w:b/>
          <w:color w:val="auto"/>
          <w:sz w:val="28"/>
          <w:szCs w:val="28"/>
          <w:highlight w:val="none"/>
        </w:rPr>
      </w:pPr>
      <w:r>
        <w:rPr>
          <w:rFonts w:hAnsi="宋体"/>
          <w:b/>
          <w:color w:val="auto"/>
          <w:sz w:val="28"/>
          <w:szCs w:val="28"/>
          <w:highlight w:val="none"/>
        </w:rPr>
        <w:t>（</w:t>
      </w:r>
      <w:r>
        <w:rPr>
          <w:rFonts w:hint="eastAsia" w:hAnsi="宋体"/>
          <w:b/>
          <w:color w:val="auto"/>
          <w:sz w:val="28"/>
          <w:szCs w:val="28"/>
          <w:highlight w:val="none"/>
        </w:rPr>
        <w:t>五</w:t>
      </w:r>
      <w:r>
        <w:rPr>
          <w:rFonts w:hAnsi="宋体"/>
          <w:b/>
          <w:color w:val="auto"/>
          <w:sz w:val="28"/>
          <w:szCs w:val="28"/>
          <w:highlight w:val="none"/>
        </w:rPr>
        <w:t>）错误修正</w:t>
      </w:r>
    </w:p>
    <w:p w14:paraId="526EEB23">
      <w:pPr>
        <w:pStyle w:val="15"/>
        <w:snapToGrid w:val="0"/>
        <w:spacing w:beforeLines="0" w:afterLines="0" w:line="360" w:lineRule="auto"/>
        <w:ind w:left="759" w:leftChars="228" w:hanging="280" w:hangingChars="100"/>
        <w:rPr>
          <w:rFonts w:hAnsi="宋体"/>
          <w:color w:val="auto"/>
          <w:sz w:val="28"/>
          <w:szCs w:val="28"/>
          <w:highlight w:val="none"/>
        </w:rPr>
      </w:pPr>
      <w:r>
        <w:rPr>
          <w:rFonts w:hAnsi="宋体"/>
          <w:color w:val="auto"/>
          <w:sz w:val="28"/>
          <w:szCs w:val="28"/>
          <w:highlight w:val="none"/>
        </w:rPr>
        <w:t>投标文件如果出现计算或表达上的错误，修正错误的原则如下：</w:t>
      </w:r>
    </w:p>
    <w:p w14:paraId="04813AC5">
      <w:pPr>
        <w:pStyle w:val="15"/>
        <w:numPr>
          <w:ilvl w:val="0"/>
          <w:numId w:val="2"/>
        </w:numPr>
        <w:snapToGrid w:val="0"/>
        <w:spacing w:beforeLines="0" w:afterLines="0" w:line="360" w:lineRule="auto"/>
        <w:rPr>
          <w:rFonts w:hAnsi="宋体"/>
          <w:color w:val="auto"/>
          <w:sz w:val="28"/>
          <w:szCs w:val="28"/>
          <w:highlight w:val="none"/>
        </w:rPr>
      </w:pPr>
      <w:r>
        <w:rPr>
          <w:rFonts w:hAnsi="宋体"/>
          <w:color w:val="auto"/>
          <w:sz w:val="28"/>
          <w:szCs w:val="28"/>
          <w:highlight w:val="none"/>
        </w:rPr>
        <w:t>对不同文字文本投标文件的解释发生异议的，以中文文本为准。</w:t>
      </w:r>
    </w:p>
    <w:p w14:paraId="782F8E4B">
      <w:pPr>
        <w:pStyle w:val="15"/>
        <w:numPr>
          <w:ilvl w:val="0"/>
          <w:numId w:val="2"/>
        </w:numPr>
        <w:snapToGrid w:val="0"/>
        <w:spacing w:beforeLines="0" w:afterLines="0" w:line="360" w:lineRule="auto"/>
        <w:rPr>
          <w:rFonts w:hAnsi="宋体"/>
          <w:color w:val="auto"/>
          <w:sz w:val="28"/>
          <w:szCs w:val="28"/>
          <w:highlight w:val="none"/>
        </w:rPr>
      </w:pPr>
      <w:r>
        <w:rPr>
          <w:rFonts w:hint="eastAsia" w:hAnsi="宋体"/>
          <w:color w:val="auto"/>
          <w:sz w:val="28"/>
          <w:szCs w:val="28"/>
          <w:highlight w:val="none"/>
        </w:rPr>
        <w:t>对于实质性的内容，不能修正。</w:t>
      </w:r>
    </w:p>
    <w:p w14:paraId="591A54DC">
      <w:pPr>
        <w:pStyle w:val="15"/>
        <w:tabs>
          <w:tab w:val="left" w:pos="630"/>
        </w:tabs>
        <w:snapToGrid w:val="0"/>
        <w:spacing w:beforeLines="0" w:afterLines="0" w:line="360" w:lineRule="auto"/>
        <w:rPr>
          <w:rFonts w:hAnsi="宋体"/>
          <w:b/>
          <w:color w:val="auto"/>
          <w:sz w:val="28"/>
          <w:szCs w:val="28"/>
          <w:highlight w:val="none"/>
        </w:rPr>
      </w:pPr>
    </w:p>
    <w:p w14:paraId="3643C825">
      <w:pPr>
        <w:pStyle w:val="15"/>
        <w:tabs>
          <w:tab w:val="left" w:pos="630"/>
        </w:tabs>
        <w:snapToGrid w:val="0"/>
        <w:spacing w:beforeLines="0" w:afterLines="0" w:line="360" w:lineRule="auto"/>
        <w:rPr>
          <w:rFonts w:hAnsi="宋体"/>
          <w:b/>
          <w:color w:val="auto"/>
          <w:sz w:val="28"/>
          <w:szCs w:val="28"/>
          <w:highlight w:val="none"/>
        </w:rPr>
      </w:pPr>
      <w:r>
        <w:rPr>
          <w:rFonts w:hint="eastAsia" w:hAnsi="宋体"/>
          <w:b/>
          <w:color w:val="auto"/>
          <w:sz w:val="28"/>
          <w:szCs w:val="28"/>
          <w:highlight w:val="none"/>
        </w:rPr>
        <w:t>四、</w:t>
      </w:r>
      <w:r>
        <w:rPr>
          <w:rFonts w:hAnsi="宋体"/>
          <w:b/>
          <w:color w:val="auto"/>
          <w:sz w:val="28"/>
          <w:szCs w:val="28"/>
          <w:highlight w:val="none"/>
        </w:rPr>
        <w:t>评标原则和评标办法</w:t>
      </w:r>
    </w:p>
    <w:p w14:paraId="2E4E2F53">
      <w:pPr>
        <w:pStyle w:val="15"/>
        <w:snapToGrid w:val="0"/>
        <w:spacing w:beforeLines="0" w:afterLines="0" w:line="360" w:lineRule="auto"/>
        <w:ind w:firstLine="562" w:firstLineChars="200"/>
        <w:rPr>
          <w:rFonts w:hAnsi="宋体"/>
          <w:color w:val="auto"/>
          <w:sz w:val="28"/>
          <w:szCs w:val="28"/>
          <w:highlight w:val="none"/>
        </w:rPr>
      </w:pPr>
      <w:r>
        <w:rPr>
          <w:rFonts w:hint="eastAsia" w:hAnsi="宋体"/>
          <w:b/>
          <w:color w:val="auto"/>
          <w:sz w:val="28"/>
          <w:szCs w:val="28"/>
          <w:highlight w:val="none"/>
        </w:rPr>
        <w:t>（一）</w:t>
      </w:r>
      <w:r>
        <w:rPr>
          <w:rFonts w:hAnsi="宋体"/>
          <w:b/>
          <w:color w:val="auto"/>
          <w:sz w:val="28"/>
          <w:szCs w:val="28"/>
          <w:highlight w:val="none"/>
        </w:rPr>
        <w:t>评标原则。</w:t>
      </w:r>
      <w:r>
        <w:rPr>
          <w:rFonts w:hAnsi="宋体"/>
          <w:color w:val="auto"/>
          <w:sz w:val="28"/>
          <w:szCs w:val="28"/>
          <w:highlight w:val="none"/>
        </w:rPr>
        <w:t>评标委员会必须公平、公正、客观，不带任何倾向性和启发性；不得向外界透露任何与评标有关的内容；任何单位和个人不得干扰、影响评标的正常进行；评标委员会及有关工作人员不得私下与投标人接触。</w:t>
      </w:r>
    </w:p>
    <w:p w14:paraId="5FEB2B4F">
      <w:pPr>
        <w:spacing w:beforeLines="50" w:line="360" w:lineRule="auto"/>
        <w:ind w:firstLine="562" w:firstLineChars="200"/>
        <w:rPr>
          <w:rFonts w:ascii="宋体" w:hAnsi="宋体"/>
          <w:color w:val="auto"/>
          <w:sz w:val="28"/>
          <w:szCs w:val="28"/>
          <w:highlight w:val="none"/>
        </w:rPr>
      </w:pPr>
      <w:r>
        <w:rPr>
          <w:rFonts w:hint="eastAsia" w:ascii="宋体" w:hAnsi="宋体"/>
          <w:b/>
          <w:color w:val="auto"/>
          <w:sz w:val="28"/>
          <w:szCs w:val="28"/>
          <w:highlight w:val="none"/>
        </w:rPr>
        <w:t>（二）</w:t>
      </w:r>
      <w:r>
        <w:rPr>
          <w:rFonts w:ascii="宋体" w:hAnsi="宋体"/>
          <w:b/>
          <w:color w:val="auto"/>
          <w:sz w:val="28"/>
          <w:szCs w:val="28"/>
          <w:highlight w:val="none"/>
        </w:rPr>
        <w:t>评标办法。</w:t>
      </w:r>
      <w:r>
        <w:rPr>
          <w:rFonts w:ascii="宋体" w:hAnsi="宋体"/>
          <w:color w:val="auto"/>
          <w:sz w:val="28"/>
          <w:szCs w:val="28"/>
          <w:highlight w:val="none"/>
        </w:rPr>
        <w:t>本项目评标办法</w:t>
      </w:r>
      <w:r>
        <w:rPr>
          <w:rFonts w:hint="eastAsia" w:ascii="宋体" w:hAnsi="宋体"/>
          <w:color w:val="auto"/>
          <w:sz w:val="28"/>
          <w:szCs w:val="28"/>
          <w:highlight w:val="none"/>
        </w:rPr>
        <w:t xml:space="preserve">为 </w:t>
      </w:r>
      <w:r>
        <w:rPr>
          <w:rFonts w:hint="eastAsia" w:ascii="宋体" w:hAnsi="宋体"/>
          <w:b/>
          <w:color w:val="auto"/>
          <w:sz w:val="28"/>
          <w:szCs w:val="28"/>
          <w:highlight w:val="none"/>
          <w:u w:val="single"/>
        </w:rPr>
        <w:t>综合评分法</w:t>
      </w:r>
      <w:r>
        <w:rPr>
          <w:rFonts w:hint="eastAsia" w:ascii="宋体" w:hAnsi="宋体"/>
          <w:color w:val="auto"/>
          <w:sz w:val="28"/>
          <w:szCs w:val="28"/>
          <w:highlight w:val="none"/>
        </w:rPr>
        <w:t>：</w:t>
      </w:r>
      <w:r>
        <w:rPr>
          <w:rFonts w:ascii="宋体" w:hAnsi="宋体"/>
          <w:color w:val="auto"/>
          <w:sz w:val="28"/>
          <w:szCs w:val="28"/>
          <w:highlight w:val="none"/>
          <w:u w:val="single"/>
        </w:rPr>
        <w:t>总分为100分</w:t>
      </w:r>
      <w:r>
        <w:rPr>
          <w:rFonts w:ascii="宋体" w:hAnsi="宋体"/>
          <w:color w:val="auto"/>
          <w:sz w:val="28"/>
          <w:szCs w:val="28"/>
          <w:highlight w:val="none"/>
        </w:rPr>
        <w:t>。</w:t>
      </w:r>
      <w:r>
        <w:rPr>
          <w:rFonts w:hint="eastAsia" w:ascii="宋体" w:hAnsi="宋体"/>
          <w:color w:val="auto"/>
          <w:sz w:val="28"/>
          <w:szCs w:val="28"/>
          <w:highlight w:val="none"/>
        </w:rPr>
        <w:t>合格投标人的评标得分为各项得分汇总，中标候选资格按评标总得分由高到低顺序排列；总得分相同的，按</w:t>
      </w:r>
      <w:r>
        <w:rPr>
          <w:rFonts w:hint="eastAsia" w:ascii="宋体" w:hAnsi="宋体" w:cs="宋体"/>
          <w:color w:val="auto"/>
          <w:sz w:val="28"/>
          <w:szCs w:val="28"/>
          <w:highlight w:val="none"/>
        </w:rPr>
        <w:t>服务水平（公积金业务服务）得分由高到低排列；总得分和服务水平（公积金业务服务）得分均相同的，</w:t>
      </w:r>
      <w:r>
        <w:rPr>
          <w:rFonts w:hint="eastAsia" w:ascii="宋体" w:hAnsi="宋体"/>
          <w:color w:val="auto"/>
          <w:sz w:val="28"/>
          <w:szCs w:val="28"/>
          <w:highlight w:val="none"/>
        </w:rPr>
        <w:t>则抽签决定。评分过程中采用四舍五入法，并保留小数点后</w:t>
      </w:r>
      <w:r>
        <w:rPr>
          <w:rFonts w:hint="eastAsia" w:ascii="宋体" w:hAnsi="宋体"/>
          <w:color w:val="auto"/>
          <w:sz w:val="28"/>
          <w:szCs w:val="28"/>
          <w:highlight w:val="none"/>
          <w:lang w:val="en-US" w:eastAsia="zh-CN"/>
        </w:rPr>
        <w:t>2</w:t>
      </w:r>
      <w:r>
        <w:rPr>
          <w:rFonts w:hint="eastAsia" w:ascii="宋体" w:hAnsi="宋体"/>
          <w:color w:val="auto"/>
          <w:sz w:val="28"/>
          <w:szCs w:val="28"/>
          <w:highlight w:val="none"/>
        </w:rPr>
        <w:t>位。</w:t>
      </w:r>
    </w:p>
    <w:p w14:paraId="59C47788">
      <w:pPr>
        <w:pStyle w:val="15"/>
        <w:snapToGrid w:val="0"/>
        <w:spacing w:before="120" w:after="120" w:line="360" w:lineRule="auto"/>
        <w:ind w:left="317" w:leftChars="151" w:firstLine="141" w:firstLineChars="50"/>
        <w:rPr>
          <w:rFonts w:hAnsi="宋体"/>
          <w:b/>
          <w:color w:val="auto"/>
          <w:sz w:val="28"/>
          <w:szCs w:val="28"/>
          <w:highlight w:val="none"/>
        </w:rPr>
      </w:pPr>
      <w:r>
        <w:rPr>
          <w:rFonts w:hint="eastAsia" w:hAnsi="宋体"/>
          <w:b/>
          <w:color w:val="auto"/>
          <w:sz w:val="28"/>
          <w:szCs w:val="28"/>
          <w:highlight w:val="none"/>
        </w:rPr>
        <w:t>（三）评标过程保密要求</w:t>
      </w:r>
    </w:p>
    <w:p w14:paraId="1C49A44D">
      <w:pPr>
        <w:pStyle w:val="15"/>
        <w:snapToGrid w:val="0"/>
        <w:spacing w:before="120" w:after="120" w:line="360" w:lineRule="auto"/>
        <w:ind w:firstLine="560" w:firstLineChars="200"/>
        <w:rPr>
          <w:rFonts w:hAnsi="宋体"/>
          <w:color w:val="auto"/>
          <w:sz w:val="28"/>
          <w:szCs w:val="28"/>
          <w:highlight w:val="none"/>
        </w:rPr>
      </w:pPr>
      <w:r>
        <w:rPr>
          <w:rFonts w:hint="eastAsia" w:hAnsi="宋体"/>
          <w:color w:val="auto"/>
          <w:sz w:val="28"/>
          <w:szCs w:val="28"/>
          <w:highlight w:val="none"/>
        </w:rPr>
        <w:t>开标之后，直到发出中标通知书之前，凡是涉及评标委员会名单、投标文件的澄清、评价、比较各投标的有关资料以及授标意向等，评标委员会成员、招标人和招标代理公司的有关人员均不得向投标人或其他无关的人员透露。</w:t>
      </w:r>
    </w:p>
    <w:p w14:paraId="0FDAE232">
      <w:pPr>
        <w:pStyle w:val="15"/>
        <w:snapToGrid w:val="0"/>
        <w:spacing w:beforeLines="0" w:afterLines="0" w:line="360" w:lineRule="auto"/>
        <w:rPr>
          <w:rFonts w:hAnsi="宋体"/>
          <w:b/>
          <w:color w:val="auto"/>
          <w:sz w:val="28"/>
          <w:szCs w:val="28"/>
          <w:highlight w:val="none"/>
        </w:rPr>
      </w:pPr>
      <w:bookmarkStart w:id="130" w:name="_Toc249866770"/>
      <w:bookmarkStart w:id="131" w:name="_Toc259108327"/>
    </w:p>
    <w:p w14:paraId="7F970B47">
      <w:pPr>
        <w:pStyle w:val="15"/>
        <w:snapToGrid w:val="0"/>
        <w:spacing w:beforeLines="0" w:afterLines="0" w:line="360" w:lineRule="auto"/>
        <w:outlineLvl w:val="1"/>
        <w:rPr>
          <w:rFonts w:hAnsi="宋体"/>
          <w:b/>
          <w:color w:val="auto"/>
          <w:sz w:val="28"/>
          <w:szCs w:val="28"/>
          <w:highlight w:val="none"/>
        </w:rPr>
      </w:pPr>
      <w:bookmarkStart w:id="132" w:name="_Toc355117130"/>
      <w:bookmarkStart w:id="133" w:name="_Toc454551083"/>
      <w:bookmarkStart w:id="134" w:name="_Toc444597105"/>
      <w:bookmarkStart w:id="135" w:name="_Toc427442469"/>
      <w:bookmarkStart w:id="136" w:name="_Toc436314554"/>
      <w:bookmarkStart w:id="137" w:name="_Toc429406717"/>
      <w:r>
        <w:rPr>
          <w:rFonts w:hint="eastAsia" w:hAnsi="宋体"/>
          <w:b/>
          <w:color w:val="auto"/>
          <w:sz w:val="28"/>
          <w:szCs w:val="28"/>
          <w:highlight w:val="none"/>
        </w:rPr>
        <w:t>五、定标</w:t>
      </w:r>
      <w:bookmarkEnd w:id="130"/>
      <w:bookmarkEnd w:id="131"/>
      <w:bookmarkEnd w:id="132"/>
      <w:bookmarkEnd w:id="133"/>
      <w:bookmarkEnd w:id="134"/>
      <w:bookmarkEnd w:id="135"/>
      <w:bookmarkEnd w:id="136"/>
      <w:bookmarkEnd w:id="137"/>
    </w:p>
    <w:p w14:paraId="43CEAA3F">
      <w:pPr>
        <w:pStyle w:val="15"/>
        <w:snapToGrid w:val="0"/>
        <w:spacing w:beforeLines="0" w:afterLines="0" w:line="360" w:lineRule="auto"/>
        <w:ind w:firstLine="548" w:firstLineChars="196"/>
        <w:rPr>
          <w:rFonts w:hAnsi="宋体"/>
          <w:color w:val="auto"/>
          <w:sz w:val="28"/>
          <w:szCs w:val="28"/>
          <w:highlight w:val="none"/>
        </w:rPr>
      </w:pPr>
      <w:r>
        <w:rPr>
          <w:rFonts w:hint="eastAsia" w:hAnsi="宋体"/>
          <w:bCs/>
          <w:color w:val="auto"/>
          <w:sz w:val="28"/>
          <w:szCs w:val="28"/>
          <w:highlight w:val="none"/>
        </w:rPr>
        <w:t>（一）</w:t>
      </w:r>
      <w:r>
        <w:rPr>
          <w:rFonts w:hint="eastAsia" w:ascii="宋体" w:hAnsi="宋体"/>
          <w:bCs/>
          <w:color w:val="auto"/>
          <w:sz w:val="28"/>
          <w:szCs w:val="28"/>
          <w:highlight w:val="none"/>
        </w:rPr>
        <w:t>确定中标候选人</w:t>
      </w:r>
      <w:r>
        <w:rPr>
          <w:rFonts w:hint="eastAsia" w:hAnsi="宋体"/>
          <w:bCs/>
          <w:color w:val="auto"/>
          <w:sz w:val="28"/>
          <w:szCs w:val="28"/>
          <w:highlight w:val="none"/>
        </w:rPr>
        <w:t>。本项目由评标委员会推荐</w:t>
      </w:r>
      <w:r>
        <w:rPr>
          <w:rFonts w:hint="eastAsia" w:hAnsi="宋体"/>
          <w:color w:val="auto"/>
          <w:sz w:val="28"/>
          <w:szCs w:val="28"/>
          <w:highlight w:val="none"/>
        </w:rPr>
        <w:t>综合得分前</w:t>
      </w:r>
      <w:r>
        <w:rPr>
          <w:rFonts w:hint="eastAsia" w:ascii="宋体" w:hAnsi="宋体"/>
          <w:color w:val="auto"/>
          <w:sz w:val="28"/>
          <w:szCs w:val="28"/>
          <w:highlight w:val="none"/>
          <w:lang w:val="en-US" w:eastAsia="zh-CN"/>
        </w:rPr>
        <w:t>十四</w:t>
      </w:r>
      <w:r>
        <w:rPr>
          <w:rFonts w:hint="eastAsia" w:hAnsi="宋体"/>
          <w:color w:val="auto"/>
          <w:sz w:val="28"/>
          <w:szCs w:val="28"/>
          <w:highlight w:val="none"/>
        </w:rPr>
        <w:t>的投标人成为本项目的</w:t>
      </w:r>
      <w:r>
        <w:rPr>
          <w:rFonts w:hint="eastAsia" w:ascii="宋体" w:hAnsi="宋体"/>
          <w:bCs/>
          <w:color w:val="auto"/>
          <w:sz w:val="28"/>
          <w:szCs w:val="28"/>
          <w:highlight w:val="none"/>
        </w:rPr>
        <w:t>中标候选人，招标人代表不得在评标委员会推荐的中标候选人以外确定中标单位。</w:t>
      </w:r>
    </w:p>
    <w:p w14:paraId="13E81C10">
      <w:pPr>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（二）</w:t>
      </w:r>
      <w:bookmarkStart w:id="138" w:name="_Toc249866771"/>
      <w:bookmarkStart w:id="139" w:name="_Toc259108328"/>
      <w:r>
        <w:rPr>
          <w:rFonts w:hint="eastAsia" w:ascii="宋体" w:hAnsi="宋体"/>
          <w:bCs/>
          <w:color w:val="auto"/>
          <w:sz w:val="28"/>
          <w:szCs w:val="28"/>
          <w:highlight w:val="none"/>
        </w:rPr>
        <w:t>经公示期结束后，确定中标单位，签发书面《中标通知书》</w:t>
      </w:r>
      <w:r>
        <w:rPr>
          <w:rFonts w:hint="eastAsia" w:ascii="宋体" w:hAnsi="宋体"/>
          <w:bCs/>
          <w:color w:val="000000" w:themeColor="text1"/>
          <w:sz w:val="28"/>
          <w:szCs w:val="28"/>
          <w:highlight w:val="none"/>
        </w:rPr>
        <w:t>。</w:t>
      </w:r>
    </w:p>
    <w:p w14:paraId="03E84375">
      <w:pPr>
        <w:pStyle w:val="15"/>
        <w:snapToGrid w:val="0"/>
        <w:spacing w:beforeLines="0" w:afterLines="0" w:line="360" w:lineRule="auto"/>
        <w:rPr>
          <w:rFonts w:hAnsi="宋体"/>
          <w:b/>
          <w:color w:val="auto"/>
          <w:sz w:val="28"/>
          <w:szCs w:val="28"/>
          <w:highlight w:val="none"/>
        </w:rPr>
      </w:pPr>
    </w:p>
    <w:p w14:paraId="694B7B13">
      <w:pPr>
        <w:spacing w:line="360" w:lineRule="auto"/>
        <w:rPr>
          <w:rFonts w:ascii="宋体" w:hAnsi="宋体" w:cs="Arial"/>
          <w:color w:val="auto"/>
          <w:sz w:val="28"/>
          <w:szCs w:val="28"/>
          <w:highlight w:val="none"/>
        </w:rPr>
      </w:pPr>
      <w:r>
        <w:rPr>
          <w:rFonts w:hint="eastAsia" w:ascii="宋体" w:hAnsi="宋体"/>
          <w:b/>
          <w:color w:val="auto"/>
          <w:sz w:val="28"/>
          <w:szCs w:val="28"/>
          <w:highlight w:val="none"/>
        </w:rPr>
        <w:t>六、合同授予</w:t>
      </w:r>
      <w:bookmarkEnd w:id="138"/>
      <w:bookmarkEnd w:id="139"/>
    </w:p>
    <w:p w14:paraId="4F0032FD">
      <w:pPr>
        <w:snapToGrid w:val="0"/>
        <w:spacing w:line="360" w:lineRule="auto"/>
        <w:ind w:firstLine="420" w:firstLineChars="150"/>
        <w:rPr>
          <w:rFonts w:ascii="宋体" w:hAnsi="宋体"/>
          <w:color w:val="auto"/>
          <w:sz w:val="28"/>
          <w:szCs w:val="28"/>
          <w:highlight w:val="none"/>
        </w:rPr>
      </w:pPr>
      <w:r>
        <w:rPr>
          <w:rFonts w:ascii="宋体" w:hAnsi="宋体"/>
          <w:color w:val="auto"/>
          <w:sz w:val="28"/>
          <w:szCs w:val="28"/>
          <w:highlight w:val="none"/>
        </w:rPr>
        <w:t>1.招标人与中标人应当在《中标通知书》发出之日起按招标文件规定的时间内签订</w:t>
      </w:r>
      <w:r>
        <w:rPr>
          <w:rFonts w:hint="eastAsia" w:ascii="宋体" w:hAnsi="宋体"/>
          <w:color w:val="auto"/>
          <w:sz w:val="28"/>
          <w:szCs w:val="28"/>
          <w:highlight w:val="none"/>
        </w:rPr>
        <w:t>合同或协议</w:t>
      </w:r>
      <w:r>
        <w:rPr>
          <w:rFonts w:ascii="宋体" w:hAnsi="宋体"/>
          <w:color w:val="auto"/>
          <w:sz w:val="28"/>
          <w:szCs w:val="28"/>
          <w:highlight w:val="none"/>
        </w:rPr>
        <w:t>。如发现与招标结果和投标承诺内容不一致的，应予以纠正。</w:t>
      </w:r>
    </w:p>
    <w:p w14:paraId="527B27E6">
      <w:pPr>
        <w:snapToGrid w:val="0"/>
        <w:spacing w:line="360" w:lineRule="auto"/>
        <w:ind w:firstLine="420" w:firstLineChars="150"/>
        <w:rPr>
          <w:rFonts w:ascii="宋体" w:hAnsi="宋体"/>
          <w:color w:val="auto"/>
          <w:sz w:val="28"/>
          <w:szCs w:val="28"/>
          <w:highlight w:val="none"/>
        </w:rPr>
      </w:pPr>
      <w:r>
        <w:rPr>
          <w:rFonts w:ascii="宋体" w:hAnsi="宋体"/>
          <w:color w:val="auto"/>
          <w:sz w:val="28"/>
          <w:szCs w:val="28"/>
          <w:highlight w:val="none"/>
        </w:rPr>
        <w:t>2.</w:t>
      </w:r>
      <w:r>
        <w:rPr>
          <w:rFonts w:hint="eastAsia" w:ascii="宋体" w:hAnsi="宋体"/>
          <w:color w:val="auto"/>
          <w:sz w:val="28"/>
          <w:szCs w:val="28"/>
          <w:highlight w:val="none"/>
        </w:rPr>
        <w:t>中标单位</w:t>
      </w:r>
      <w:r>
        <w:rPr>
          <w:rFonts w:ascii="宋体" w:hAnsi="宋体"/>
          <w:color w:val="auto"/>
          <w:sz w:val="28"/>
          <w:szCs w:val="28"/>
          <w:highlight w:val="none"/>
        </w:rPr>
        <w:t>拖延、拒签合同的</w:t>
      </w:r>
      <w:r>
        <w:rPr>
          <w:rFonts w:hint="eastAsia" w:ascii="宋体" w:hAnsi="宋体"/>
          <w:color w:val="auto"/>
          <w:sz w:val="28"/>
          <w:szCs w:val="28"/>
          <w:highlight w:val="none"/>
        </w:rPr>
        <w:t>，</w:t>
      </w:r>
      <w:r>
        <w:rPr>
          <w:rFonts w:ascii="宋体" w:hAnsi="宋体"/>
          <w:color w:val="auto"/>
          <w:sz w:val="28"/>
          <w:szCs w:val="28"/>
          <w:highlight w:val="none"/>
        </w:rPr>
        <w:t>将取消中标资格。</w:t>
      </w:r>
    </w:p>
    <w:tbl>
      <w:tblPr>
        <w:tblStyle w:val="29"/>
        <w:tblW w:w="5292" w:type="pct"/>
        <w:tblInd w:w="0" w:type="dxa"/>
        <w:tblLayout w:type="fixed"/>
        <w:tblCellMar>
          <w:top w:w="0" w:type="dxa"/>
          <w:left w:w="108" w:type="dxa"/>
          <w:bottom w:w="0" w:type="dxa"/>
          <w:right w:w="108" w:type="dxa"/>
        </w:tblCellMar>
      </w:tblPr>
      <w:tblGrid>
        <w:gridCol w:w="643"/>
        <w:gridCol w:w="851"/>
        <w:gridCol w:w="766"/>
        <w:gridCol w:w="1529"/>
        <w:gridCol w:w="766"/>
        <w:gridCol w:w="4105"/>
        <w:gridCol w:w="713"/>
      </w:tblGrid>
      <w:tr w14:paraId="3E7E7B4C">
        <w:tblPrEx>
          <w:tblCellMar>
            <w:top w:w="0" w:type="dxa"/>
            <w:left w:w="108" w:type="dxa"/>
            <w:bottom w:w="0" w:type="dxa"/>
            <w:right w:w="108" w:type="dxa"/>
          </w:tblCellMar>
        </w:tblPrEx>
        <w:trPr>
          <w:trHeight w:val="600" w:hRule="atLeast"/>
        </w:trPr>
        <w:tc>
          <w:tcPr>
            <w:tcW w:w="619" w:type="dxa"/>
            <w:vMerge w:val="restart"/>
            <w:tcBorders>
              <w:top w:val="single" w:color="000000" w:sz="4" w:space="0"/>
              <w:left w:val="single" w:color="000000" w:sz="4" w:space="0"/>
              <w:bottom w:val="single" w:color="000000" w:sz="4" w:space="0"/>
              <w:right w:val="single" w:color="000000" w:sz="4" w:space="0"/>
            </w:tcBorders>
            <w:noWrap/>
            <w:vAlign w:val="center"/>
          </w:tcPr>
          <w:p w14:paraId="230E44E2">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1556" w:type="dxa"/>
            <w:gridSpan w:val="2"/>
            <w:tcBorders>
              <w:top w:val="single" w:color="000000" w:sz="4" w:space="0"/>
              <w:left w:val="single" w:color="000000" w:sz="4" w:space="0"/>
              <w:bottom w:val="single" w:color="000000" w:sz="4" w:space="0"/>
              <w:right w:val="single" w:color="000000" w:sz="4" w:space="0"/>
            </w:tcBorders>
            <w:noWrap/>
            <w:vAlign w:val="center"/>
          </w:tcPr>
          <w:p w14:paraId="5B3FA82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一级指标</w:t>
            </w:r>
          </w:p>
        </w:tc>
        <w:tc>
          <w:tcPr>
            <w:tcW w:w="2209" w:type="dxa"/>
            <w:gridSpan w:val="2"/>
            <w:tcBorders>
              <w:top w:val="single" w:color="000000" w:sz="4" w:space="0"/>
              <w:left w:val="single" w:color="000000" w:sz="4" w:space="0"/>
              <w:bottom w:val="single" w:color="000000" w:sz="4" w:space="0"/>
              <w:right w:val="single" w:color="000000" w:sz="4" w:space="0"/>
            </w:tcBorders>
            <w:noWrap/>
            <w:vAlign w:val="center"/>
          </w:tcPr>
          <w:p w14:paraId="4FA9BF0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二级指标</w:t>
            </w:r>
          </w:p>
        </w:tc>
        <w:tc>
          <w:tcPr>
            <w:tcW w:w="4637" w:type="dxa"/>
            <w:gridSpan w:val="2"/>
            <w:tcBorders>
              <w:top w:val="single" w:color="000000" w:sz="4" w:space="0"/>
              <w:left w:val="single" w:color="000000" w:sz="4" w:space="0"/>
              <w:bottom w:val="single" w:color="000000" w:sz="4" w:space="0"/>
              <w:right w:val="single" w:color="000000" w:sz="4" w:space="0"/>
            </w:tcBorders>
            <w:noWrap/>
            <w:vAlign w:val="center"/>
          </w:tcPr>
          <w:p w14:paraId="0BFA43F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三级指标</w:t>
            </w:r>
          </w:p>
        </w:tc>
      </w:tr>
      <w:tr w14:paraId="3D6A615C">
        <w:tblPrEx>
          <w:tblCellMar>
            <w:top w:w="0" w:type="dxa"/>
            <w:left w:w="108" w:type="dxa"/>
            <w:bottom w:w="0" w:type="dxa"/>
            <w:right w:w="108" w:type="dxa"/>
          </w:tblCellMar>
        </w:tblPrEx>
        <w:trPr>
          <w:trHeight w:val="600" w:hRule="atLeast"/>
        </w:trPr>
        <w:tc>
          <w:tcPr>
            <w:tcW w:w="619" w:type="dxa"/>
            <w:vMerge w:val="continue"/>
            <w:tcBorders>
              <w:top w:val="single" w:color="000000" w:sz="4" w:space="0"/>
              <w:left w:val="single" w:color="000000" w:sz="4" w:space="0"/>
              <w:bottom w:val="single" w:color="000000" w:sz="4" w:space="0"/>
              <w:right w:val="single" w:color="000000" w:sz="4" w:space="0"/>
            </w:tcBorders>
            <w:noWrap/>
            <w:vAlign w:val="center"/>
          </w:tcPr>
          <w:p w14:paraId="7501583F">
            <w:pPr>
              <w:spacing w:line="360" w:lineRule="auto"/>
              <w:jc w:val="center"/>
              <w:rPr>
                <w:rFonts w:ascii="宋体" w:hAnsi="宋体" w:cs="宋体"/>
                <w:b/>
                <w:bCs/>
                <w:color w:val="auto"/>
                <w:kern w:val="0"/>
                <w:szCs w:val="21"/>
                <w:highlight w:val="none"/>
              </w:rPr>
            </w:pPr>
          </w:p>
        </w:tc>
        <w:tc>
          <w:tcPr>
            <w:tcW w:w="819" w:type="dxa"/>
            <w:tcBorders>
              <w:top w:val="single" w:color="000000" w:sz="4" w:space="0"/>
              <w:left w:val="single" w:color="000000" w:sz="4" w:space="0"/>
              <w:bottom w:val="single" w:color="000000" w:sz="4" w:space="0"/>
              <w:right w:val="single" w:color="000000" w:sz="4" w:space="0"/>
            </w:tcBorders>
            <w:noWrap/>
            <w:vAlign w:val="center"/>
          </w:tcPr>
          <w:p w14:paraId="5C6AA19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内容</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3532D74E">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分值</w:t>
            </w: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12B6D75E">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内容</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07E39B9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分值</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5E4D88F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内容</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0356EEBD">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分值</w:t>
            </w:r>
          </w:p>
        </w:tc>
      </w:tr>
      <w:tr w14:paraId="1CEF4862">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70342DB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w:t>
            </w:r>
          </w:p>
        </w:tc>
        <w:tc>
          <w:tcPr>
            <w:tcW w:w="819" w:type="dxa"/>
            <w:vMerge w:val="restart"/>
            <w:tcBorders>
              <w:top w:val="single" w:color="000000" w:sz="4" w:space="0"/>
              <w:left w:val="single" w:color="000000" w:sz="4" w:space="0"/>
              <w:bottom w:val="nil"/>
              <w:right w:val="single" w:color="000000" w:sz="4" w:space="0"/>
            </w:tcBorders>
            <w:noWrap/>
            <w:vAlign w:val="center"/>
          </w:tcPr>
          <w:p w14:paraId="062FA4F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经营状况</w:t>
            </w:r>
          </w:p>
        </w:tc>
        <w:tc>
          <w:tcPr>
            <w:tcW w:w="737" w:type="dxa"/>
            <w:vMerge w:val="restart"/>
            <w:tcBorders>
              <w:top w:val="single" w:color="000000" w:sz="4" w:space="0"/>
              <w:left w:val="single" w:color="000000" w:sz="4" w:space="0"/>
              <w:bottom w:val="nil"/>
              <w:right w:val="single" w:color="000000" w:sz="4" w:space="0"/>
            </w:tcBorders>
            <w:noWrap/>
            <w:vAlign w:val="center"/>
          </w:tcPr>
          <w:p w14:paraId="0EAE300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2BB53C1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资本充足率</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60B651D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409A36B0">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资本充足率(法人)：11.5%以上得1分，低于11.5%不得分。以投标人总行2023年末数据为准。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7BA8CA7E">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3B2EE70D">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0128073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w:t>
            </w:r>
          </w:p>
        </w:tc>
        <w:tc>
          <w:tcPr>
            <w:tcW w:w="819" w:type="dxa"/>
            <w:vMerge w:val="continue"/>
            <w:tcBorders>
              <w:top w:val="single" w:color="000000" w:sz="4" w:space="0"/>
              <w:left w:val="single" w:color="000000" w:sz="4" w:space="0"/>
              <w:bottom w:val="nil"/>
              <w:right w:val="single" w:color="000000" w:sz="4" w:space="0"/>
            </w:tcBorders>
            <w:noWrap/>
            <w:vAlign w:val="center"/>
          </w:tcPr>
          <w:p w14:paraId="5541B696">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nil"/>
              <w:right w:val="single" w:color="000000" w:sz="4" w:space="0"/>
            </w:tcBorders>
            <w:noWrap/>
            <w:vAlign w:val="center"/>
          </w:tcPr>
          <w:p w14:paraId="2A9990A0">
            <w:pPr>
              <w:spacing w:line="360" w:lineRule="auto"/>
              <w:jc w:val="center"/>
              <w:rPr>
                <w:rFonts w:ascii="宋体" w:hAnsi="宋体" w:cs="宋体"/>
                <w:b/>
                <w:bCs/>
                <w:color w:val="auto"/>
                <w:kern w:val="0"/>
                <w:szCs w:val="21"/>
                <w:highlight w:val="none"/>
              </w:rPr>
            </w:pP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3D7C1274">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流动性比例</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110F778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3B96F4CB">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流动性比例（法人）：25%以上（含）得1分，低于25%不得分。以投标人总行2023年末数据为准。</w:t>
            </w:r>
          </w:p>
        </w:tc>
        <w:tc>
          <w:tcPr>
            <w:tcW w:w="686" w:type="dxa"/>
            <w:tcBorders>
              <w:top w:val="single" w:color="000000" w:sz="4" w:space="0"/>
              <w:left w:val="single" w:color="000000" w:sz="4" w:space="0"/>
              <w:bottom w:val="single" w:color="auto" w:sz="4" w:space="0"/>
              <w:right w:val="single" w:color="000000" w:sz="4" w:space="0"/>
            </w:tcBorders>
            <w:noWrap/>
            <w:vAlign w:val="center"/>
          </w:tcPr>
          <w:p w14:paraId="12863A4D">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7CD7E6E7">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1D66A588">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3</w:t>
            </w:r>
          </w:p>
        </w:tc>
        <w:tc>
          <w:tcPr>
            <w:tcW w:w="819" w:type="dxa"/>
            <w:vMerge w:val="continue"/>
            <w:tcBorders>
              <w:top w:val="single" w:color="000000" w:sz="4" w:space="0"/>
              <w:left w:val="single" w:color="000000" w:sz="4" w:space="0"/>
              <w:bottom w:val="nil"/>
              <w:right w:val="single" w:color="000000" w:sz="4" w:space="0"/>
            </w:tcBorders>
            <w:noWrap/>
            <w:vAlign w:val="center"/>
          </w:tcPr>
          <w:p w14:paraId="4C24882A">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nil"/>
              <w:right w:val="single" w:color="000000" w:sz="4" w:space="0"/>
            </w:tcBorders>
            <w:noWrap/>
            <w:vAlign w:val="center"/>
          </w:tcPr>
          <w:p w14:paraId="13A7088E">
            <w:pPr>
              <w:spacing w:line="360" w:lineRule="auto"/>
              <w:jc w:val="center"/>
              <w:rPr>
                <w:rFonts w:ascii="宋体" w:hAnsi="宋体" w:cs="宋体"/>
                <w:b/>
                <w:bCs/>
                <w:color w:val="auto"/>
                <w:kern w:val="0"/>
                <w:szCs w:val="21"/>
                <w:highlight w:val="none"/>
              </w:rPr>
            </w:pP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7E977E1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拨备覆盖率</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769EEE6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748752A9">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拨备覆盖率排名：根据投标人2023年末拨备覆盖率进行排名，前三名得1分，四-六名得0.9分，七-九名得0.8分，十-十二名得0.7分，十三名及以后得0.6分。</w:t>
            </w:r>
          </w:p>
        </w:tc>
        <w:tc>
          <w:tcPr>
            <w:tcW w:w="686" w:type="dxa"/>
            <w:tcBorders>
              <w:top w:val="single" w:color="auto" w:sz="4" w:space="0"/>
              <w:left w:val="single" w:color="000000" w:sz="4" w:space="0"/>
              <w:bottom w:val="single" w:color="000000" w:sz="4" w:space="0"/>
              <w:right w:val="single" w:color="000000" w:sz="4" w:space="0"/>
            </w:tcBorders>
            <w:noWrap/>
            <w:vAlign w:val="center"/>
          </w:tcPr>
          <w:p w14:paraId="0366FD4C">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43CCA46C">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auto" w:sz="4" w:space="0"/>
              <w:right w:val="single" w:color="000000" w:sz="4" w:space="0"/>
            </w:tcBorders>
            <w:noWrap/>
            <w:vAlign w:val="center"/>
          </w:tcPr>
          <w:p w14:paraId="25362D4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4</w:t>
            </w:r>
          </w:p>
        </w:tc>
        <w:tc>
          <w:tcPr>
            <w:tcW w:w="819" w:type="dxa"/>
            <w:vMerge w:val="continue"/>
            <w:tcBorders>
              <w:top w:val="single" w:color="000000" w:sz="4" w:space="0"/>
              <w:left w:val="single" w:color="000000" w:sz="4" w:space="0"/>
              <w:bottom w:val="single" w:color="auto" w:sz="4" w:space="0"/>
              <w:right w:val="single" w:color="000000" w:sz="4" w:space="0"/>
            </w:tcBorders>
            <w:noWrap/>
            <w:vAlign w:val="center"/>
          </w:tcPr>
          <w:p w14:paraId="1A9C3593">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auto" w:sz="4" w:space="0"/>
              <w:right w:val="single" w:color="000000" w:sz="4" w:space="0"/>
            </w:tcBorders>
            <w:noWrap/>
            <w:vAlign w:val="center"/>
          </w:tcPr>
          <w:p w14:paraId="393331FF">
            <w:pPr>
              <w:spacing w:line="360" w:lineRule="auto"/>
              <w:jc w:val="center"/>
              <w:rPr>
                <w:rFonts w:ascii="宋体" w:hAnsi="宋体" w:cs="宋体"/>
                <w:b/>
                <w:bCs/>
                <w:color w:val="auto"/>
                <w:kern w:val="0"/>
                <w:szCs w:val="21"/>
                <w:highlight w:val="none"/>
              </w:rPr>
            </w:pPr>
          </w:p>
        </w:tc>
        <w:tc>
          <w:tcPr>
            <w:tcW w:w="1472" w:type="dxa"/>
            <w:tcBorders>
              <w:top w:val="single" w:color="000000" w:sz="4" w:space="0"/>
              <w:left w:val="single" w:color="000000" w:sz="4" w:space="0"/>
              <w:bottom w:val="single" w:color="auto" w:sz="4" w:space="0"/>
              <w:right w:val="single" w:color="000000" w:sz="4" w:space="0"/>
            </w:tcBorders>
            <w:noWrap/>
            <w:vAlign w:val="center"/>
          </w:tcPr>
          <w:p w14:paraId="22FBFDC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不良贷款率</w:t>
            </w:r>
          </w:p>
        </w:tc>
        <w:tc>
          <w:tcPr>
            <w:tcW w:w="737" w:type="dxa"/>
            <w:tcBorders>
              <w:top w:val="single" w:color="000000" w:sz="4" w:space="0"/>
              <w:left w:val="single" w:color="000000" w:sz="4" w:space="0"/>
              <w:bottom w:val="single" w:color="auto" w:sz="4" w:space="0"/>
              <w:right w:val="single" w:color="000000" w:sz="4" w:space="0"/>
            </w:tcBorders>
            <w:noWrap/>
            <w:vAlign w:val="center"/>
          </w:tcPr>
          <w:p w14:paraId="723C7FB0">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w:t>
            </w:r>
          </w:p>
        </w:tc>
        <w:tc>
          <w:tcPr>
            <w:tcW w:w="3951" w:type="dxa"/>
            <w:tcBorders>
              <w:top w:val="single" w:color="000000" w:sz="4" w:space="0"/>
              <w:left w:val="single" w:color="000000" w:sz="4" w:space="0"/>
              <w:bottom w:val="single" w:color="auto" w:sz="4" w:space="0"/>
              <w:right w:val="single" w:color="000000" w:sz="4" w:space="0"/>
            </w:tcBorders>
            <w:noWrap/>
            <w:vAlign w:val="center"/>
          </w:tcPr>
          <w:p w14:paraId="6121DDCC">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不良贷款率排名：根据投标人2023年末不良贷款率进行排名，前三名得2分，四-六名得1.8分，七-九名得1.6分，十-十二名得1.4分，十三名及以后得1.2分。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0F678644">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2</w:t>
            </w:r>
          </w:p>
        </w:tc>
      </w:tr>
      <w:tr w14:paraId="0A74E000">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25FB6E4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819" w:type="dxa"/>
            <w:vMerge w:val="restart"/>
            <w:tcBorders>
              <w:top w:val="single" w:color="000000" w:sz="4" w:space="0"/>
              <w:left w:val="single" w:color="000000" w:sz="4" w:space="0"/>
              <w:right w:val="single" w:color="000000" w:sz="4" w:space="0"/>
            </w:tcBorders>
            <w:noWrap/>
            <w:vAlign w:val="center"/>
          </w:tcPr>
          <w:p w14:paraId="1425E52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经济贡献度</w:t>
            </w:r>
          </w:p>
        </w:tc>
        <w:tc>
          <w:tcPr>
            <w:tcW w:w="737" w:type="dxa"/>
            <w:vMerge w:val="restart"/>
            <w:tcBorders>
              <w:top w:val="single" w:color="000000" w:sz="4" w:space="0"/>
              <w:left w:val="single" w:color="000000" w:sz="4" w:space="0"/>
              <w:right w:val="single" w:color="000000" w:sz="4" w:space="0"/>
            </w:tcBorders>
            <w:noWrap/>
            <w:vAlign w:val="center"/>
          </w:tcPr>
          <w:p w14:paraId="637AA8E4">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65</w:t>
            </w:r>
          </w:p>
        </w:tc>
        <w:tc>
          <w:tcPr>
            <w:tcW w:w="1472" w:type="dxa"/>
            <w:vMerge w:val="restart"/>
            <w:tcBorders>
              <w:top w:val="single" w:color="000000" w:sz="4" w:space="0"/>
              <w:left w:val="single" w:color="000000" w:sz="4" w:space="0"/>
              <w:bottom w:val="single" w:color="000000" w:sz="4" w:space="0"/>
              <w:right w:val="single" w:color="000000" w:sz="4" w:space="0"/>
            </w:tcBorders>
            <w:noWrap/>
            <w:vAlign w:val="center"/>
          </w:tcPr>
          <w:p w14:paraId="2F3271C9">
            <w:pPr>
              <w:spacing w:line="360" w:lineRule="auto"/>
              <w:jc w:val="center"/>
              <w:rPr>
                <w:rFonts w:ascii="宋体" w:hAnsi="宋体" w:cs="宋体"/>
                <w:b/>
                <w:bCs/>
                <w:color w:val="auto"/>
                <w:kern w:val="0"/>
                <w:szCs w:val="21"/>
                <w:highlight w:val="none"/>
              </w:rPr>
            </w:pPr>
            <w:r>
              <w:rPr>
                <w:rFonts w:ascii="宋体" w:hAnsi="宋体" w:cs="宋体"/>
                <w:b/>
                <w:bCs/>
                <w:color w:val="auto"/>
                <w:kern w:val="0"/>
                <w:szCs w:val="21"/>
                <w:highlight w:val="none"/>
              </w:rPr>
              <w:t>纳税贡献</w:t>
            </w:r>
          </w:p>
        </w:tc>
        <w:tc>
          <w:tcPr>
            <w:tcW w:w="737" w:type="dxa"/>
            <w:vMerge w:val="restart"/>
            <w:tcBorders>
              <w:top w:val="single" w:color="000000" w:sz="4" w:space="0"/>
              <w:left w:val="single" w:color="000000" w:sz="4" w:space="0"/>
              <w:bottom w:val="single" w:color="000000" w:sz="4" w:space="0"/>
              <w:right w:val="single" w:color="000000" w:sz="4" w:space="0"/>
            </w:tcBorders>
            <w:noWrap/>
            <w:vAlign w:val="center"/>
          </w:tcPr>
          <w:p w14:paraId="23FE1F6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4</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793A6DC2">
            <w:pPr>
              <w:spacing w:line="360" w:lineRule="auto"/>
              <w:rPr>
                <w:rFonts w:ascii="宋体" w:hAnsi="宋体" w:cs="宋体"/>
                <w:bCs/>
                <w:color w:val="auto"/>
                <w:kern w:val="0"/>
                <w:szCs w:val="21"/>
                <w:highlight w:val="none"/>
              </w:rPr>
            </w:pPr>
            <w:r>
              <w:rPr>
                <w:rFonts w:ascii="宋体" w:hAnsi="宋体" w:cs="宋体"/>
                <w:bCs/>
                <w:color w:val="auto"/>
                <w:kern w:val="0"/>
                <w:szCs w:val="21"/>
                <w:highlight w:val="none"/>
              </w:rPr>
              <w:t>纳税总额排名</w:t>
            </w:r>
            <w:r>
              <w:rPr>
                <w:rFonts w:hint="eastAsia" w:ascii="宋体" w:hAnsi="宋体" w:cs="宋体"/>
                <w:bCs/>
                <w:color w:val="auto"/>
                <w:kern w:val="0"/>
                <w:szCs w:val="21"/>
                <w:highlight w:val="none"/>
              </w:rPr>
              <w:t>：根据投标人2023年末在宁波大市区的纳税总额进行排名，前三名得3分，四-六名得2.7分，七-九名得2.4分，十-十二名得2.1分，十三名及以后得1.8分。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7185A593">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3</w:t>
            </w:r>
          </w:p>
        </w:tc>
      </w:tr>
      <w:tr w14:paraId="1E62F645">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6CD6669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6</w:t>
            </w:r>
          </w:p>
        </w:tc>
        <w:tc>
          <w:tcPr>
            <w:tcW w:w="819" w:type="dxa"/>
            <w:vMerge w:val="continue"/>
            <w:tcBorders>
              <w:left w:val="single" w:color="000000" w:sz="4" w:space="0"/>
              <w:right w:val="single" w:color="000000" w:sz="4" w:space="0"/>
            </w:tcBorders>
            <w:noWrap/>
            <w:vAlign w:val="center"/>
          </w:tcPr>
          <w:p w14:paraId="72282E5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683C9F6F">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auto" w:sz="4" w:space="0"/>
              <w:right w:val="single" w:color="000000" w:sz="4" w:space="0"/>
            </w:tcBorders>
            <w:noWrap/>
            <w:vAlign w:val="center"/>
          </w:tcPr>
          <w:p w14:paraId="66A6B23E">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auto" w:sz="4" w:space="0"/>
              <w:right w:val="single" w:color="000000" w:sz="4" w:space="0"/>
            </w:tcBorders>
            <w:noWrap/>
            <w:vAlign w:val="center"/>
          </w:tcPr>
          <w:p w14:paraId="236A478C">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33C0B8F">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纳税增长率排名：根据投标人2023年末在宁波大市区的纳税总额较上一年的增长率进行排名，前三名得1分，四-六名得0.9分，七-九名得0.8分，十-十二名得0.7分，十三名及以后得0.6分。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35693218">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38EEF3CE">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4DF966D0">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7</w:t>
            </w:r>
          </w:p>
        </w:tc>
        <w:tc>
          <w:tcPr>
            <w:tcW w:w="819" w:type="dxa"/>
            <w:vMerge w:val="continue"/>
            <w:tcBorders>
              <w:left w:val="single" w:color="000000" w:sz="4" w:space="0"/>
              <w:right w:val="single" w:color="000000" w:sz="4" w:space="0"/>
            </w:tcBorders>
            <w:noWrap/>
            <w:vAlign w:val="center"/>
          </w:tcPr>
          <w:p w14:paraId="070B6D0A">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56410065">
            <w:pPr>
              <w:spacing w:line="360" w:lineRule="auto"/>
              <w:jc w:val="center"/>
              <w:rPr>
                <w:rFonts w:ascii="宋体" w:hAnsi="宋体" w:cs="宋体"/>
                <w:b/>
                <w:bCs/>
                <w:color w:val="auto"/>
                <w:kern w:val="0"/>
                <w:szCs w:val="21"/>
                <w:highlight w:val="none"/>
              </w:rPr>
            </w:pPr>
          </w:p>
        </w:tc>
        <w:tc>
          <w:tcPr>
            <w:tcW w:w="1472" w:type="dxa"/>
            <w:vMerge w:val="restart"/>
            <w:tcBorders>
              <w:top w:val="single" w:color="auto" w:sz="4" w:space="0"/>
              <w:left w:val="single" w:color="000000" w:sz="4" w:space="0"/>
              <w:bottom w:val="single" w:color="000000" w:sz="4" w:space="0"/>
              <w:right w:val="single" w:color="000000" w:sz="4" w:space="0"/>
            </w:tcBorders>
            <w:noWrap/>
            <w:vAlign w:val="center"/>
          </w:tcPr>
          <w:p w14:paraId="4C231B62">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融资总量保障</w:t>
            </w:r>
          </w:p>
        </w:tc>
        <w:tc>
          <w:tcPr>
            <w:tcW w:w="737" w:type="dxa"/>
            <w:vMerge w:val="restart"/>
            <w:tcBorders>
              <w:top w:val="single" w:color="auto" w:sz="4" w:space="0"/>
              <w:left w:val="single" w:color="000000" w:sz="4" w:space="0"/>
              <w:bottom w:val="single" w:color="000000" w:sz="4" w:space="0"/>
              <w:right w:val="single" w:color="000000" w:sz="4" w:space="0"/>
            </w:tcBorders>
            <w:noWrap/>
            <w:vAlign w:val="center"/>
          </w:tcPr>
          <w:p w14:paraId="71C06440">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12</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02D5274B">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各项贷款增量排名：根据投标人2023年末在宁波大市区的各项贷款增量进行排名，前三名得7分，四-六名得6.3分，七-九名得5.6分，十-十二名得4.9分，十三名及以后得4.2分。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656978B5">
            <w:pPr>
              <w:spacing w:line="360" w:lineRule="auto"/>
              <w:jc w:val="center"/>
              <w:rPr>
                <w:rFonts w:ascii="宋体" w:hAnsi="宋体" w:cs="宋体"/>
                <w:bCs/>
                <w:strike/>
                <w:color w:val="auto"/>
                <w:kern w:val="0"/>
                <w:highlight w:val="none"/>
              </w:rPr>
            </w:pPr>
            <w:r>
              <w:rPr>
                <w:rFonts w:hint="eastAsia" w:ascii="宋体" w:hAnsi="宋体" w:cs="宋体"/>
                <w:color w:val="auto"/>
                <w:kern w:val="0"/>
                <w:highlight w:val="none"/>
              </w:rPr>
              <w:t>7</w:t>
            </w:r>
          </w:p>
        </w:tc>
      </w:tr>
      <w:tr w14:paraId="468B7AD0">
        <w:tblPrEx>
          <w:tblCellMar>
            <w:top w:w="0" w:type="dxa"/>
            <w:left w:w="108" w:type="dxa"/>
            <w:bottom w:w="0" w:type="dxa"/>
            <w:right w:w="108" w:type="dxa"/>
          </w:tblCellMar>
        </w:tblPrEx>
        <w:trPr>
          <w:trHeight w:val="600" w:hRule="atLeast"/>
        </w:trPr>
        <w:tc>
          <w:tcPr>
            <w:tcW w:w="619" w:type="dxa"/>
            <w:tcBorders>
              <w:top w:val="nil"/>
              <w:left w:val="single" w:color="000000" w:sz="4" w:space="0"/>
              <w:bottom w:val="single" w:color="000000" w:sz="4" w:space="0"/>
              <w:right w:val="single" w:color="000000" w:sz="4" w:space="0"/>
            </w:tcBorders>
            <w:noWrap/>
            <w:vAlign w:val="center"/>
          </w:tcPr>
          <w:p w14:paraId="2130C82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8</w:t>
            </w:r>
          </w:p>
        </w:tc>
        <w:tc>
          <w:tcPr>
            <w:tcW w:w="819" w:type="dxa"/>
            <w:vMerge w:val="continue"/>
            <w:tcBorders>
              <w:left w:val="single" w:color="000000" w:sz="4" w:space="0"/>
              <w:right w:val="single" w:color="000000" w:sz="4" w:space="0"/>
            </w:tcBorders>
            <w:noWrap/>
            <w:vAlign w:val="center"/>
          </w:tcPr>
          <w:p w14:paraId="6D268434">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5264B583">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000000" w:sz="4" w:space="0"/>
              <w:right w:val="single" w:color="000000" w:sz="4" w:space="0"/>
            </w:tcBorders>
            <w:noWrap/>
            <w:vAlign w:val="center"/>
          </w:tcPr>
          <w:p w14:paraId="0FEE924D">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000000" w:sz="4" w:space="0"/>
              <w:right w:val="single" w:color="000000" w:sz="4" w:space="0"/>
            </w:tcBorders>
            <w:noWrap/>
            <w:vAlign w:val="center"/>
          </w:tcPr>
          <w:p w14:paraId="04C697FB">
            <w:pPr>
              <w:spacing w:line="360" w:lineRule="auto"/>
              <w:jc w:val="center"/>
              <w:rPr>
                <w:rFonts w:ascii="宋体" w:hAnsi="宋体" w:cs="宋体"/>
                <w:b/>
                <w:bCs/>
                <w:color w:val="auto"/>
                <w:kern w:val="0"/>
                <w:szCs w:val="21"/>
                <w:highlight w:val="none"/>
              </w:rPr>
            </w:pPr>
          </w:p>
        </w:tc>
        <w:tc>
          <w:tcPr>
            <w:tcW w:w="3951" w:type="dxa"/>
            <w:tcBorders>
              <w:top w:val="nil"/>
              <w:left w:val="single" w:color="000000" w:sz="4" w:space="0"/>
              <w:bottom w:val="single" w:color="000000" w:sz="4" w:space="0"/>
              <w:right w:val="single" w:color="000000" w:sz="4" w:space="0"/>
            </w:tcBorders>
            <w:noWrap/>
            <w:vAlign w:val="center"/>
          </w:tcPr>
          <w:p w14:paraId="343B5548">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各项存款增量排名：根据投标人2023年末在宁波大市区的各项存款增量进行排名，前三名得3分，四-六名得2.7分，七-九名得2.4分，十-十二名得2.1分，十三名及以后得1.8分。</w:t>
            </w:r>
          </w:p>
        </w:tc>
        <w:tc>
          <w:tcPr>
            <w:tcW w:w="686" w:type="dxa"/>
            <w:tcBorders>
              <w:top w:val="nil"/>
              <w:left w:val="single" w:color="000000" w:sz="4" w:space="0"/>
              <w:bottom w:val="single" w:color="000000" w:sz="4" w:space="0"/>
              <w:right w:val="single" w:color="000000" w:sz="4" w:space="0"/>
            </w:tcBorders>
            <w:noWrap/>
            <w:vAlign w:val="center"/>
          </w:tcPr>
          <w:p w14:paraId="36260D23">
            <w:pPr>
              <w:spacing w:line="360" w:lineRule="auto"/>
              <w:jc w:val="center"/>
              <w:rPr>
                <w:rFonts w:ascii="宋体" w:hAnsi="宋体" w:cs="宋体"/>
                <w:bCs/>
                <w:strike/>
                <w:color w:val="auto"/>
                <w:kern w:val="0"/>
                <w:highlight w:val="none"/>
              </w:rPr>
            </w:pPr>
            <w:r>
              <w:rPr>
                <w:rFonts w:hint="eastAsia" w:ascii="宋体" w:hAnsi="宋体" w:cs="宋体"/>
                <w:color w:val="auto"/>
                <w:kern w:val="0"/>
                <w:highlight w:val="none"/>
              </w:rPr>
              <w:t>3</w:t>
            </w:r>
          </w:p>
        </w:tc>
      </w:tr>
      <w:tr w14:paraId="7B9CD5C4">
        <w:tblPrEx>
          <w:tblCellMar>
            <w:top w:w="0" w:type="dxa"/>
            <w:left w:w="108" w:type="dxa"/>
            <w:bottom w:w="0" w:type="dxa"/>
            <w:right w:w="108" w:type="dxa"/>
          </w:tblCellMar>
        </w:tblPrEx>
        <w:trPr>
          <w:trHeight w:val="600" w:hRule="atLeast"/>
        </w:trPr>
        <w:tc>
          <w:tcPr>
            <w:tcW w:w="619" w:type="dxa"/>
            <w:tcBorders>
              <w:top w:val="nil"/>
              <w:left w:val="single" w:color="000000" w:sz="4" w:space="0"/>
              <w:bottom w:val="single" w:color="000000" w:sz="4" w:space="0"/>
              <w:right w:val="single" w:color="000000" w:sz="4" w:space="0"/>
            </w:tcBorders>
            <w:noWrap/>
            <w:vAlign w:val="center"/>
          </w:tcPr>
          <w:p w14:paraId="1EC7EF27">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9</w:t>
            </w:r>
          </w:p>
        </w:tc>
        <w:tc>
          <w:tcPr>
            <w:tcW w:w="819" w:type="dxa"/>
            <w:vMerge w:val="continue"/>
            <w:tcBorders>
              <w:left w:val="single" w:color="000000" w:sz="4" w:space="0"/>
              <w:right w:val="single" w:color="000000" w:sz="4" w:space="0"/>
            </w:tcBorders>
            <w:noWrap/>
            <w:vAlign w:val="center"/>
          </w:tcPr>
          <w:p w14:paraId="367CA221">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F22096E">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000000" w:sz="4" w:space="0"/>
              <w:right w:val="single" w:color="000000" w:sz="4" w:space="0"/>
            </w:tcBorders>
            <w:noWrap/>
            <w:vAlign w:val="center"/>
          </w:tcPr>
          <w:p w14:paraId="1FC33C66">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000000" w:sz="4" w:space="0"/>
              <w:right w:val="single" w:color="000000" w:sz="4" w:space="0"/>
            </w:tcBorders>
            <w:noWrap/>
            <w:vAlign w:val="center"/>
          </w:tcPr>
          <w:p w14:paraId="7565602F">
            <w:pPr>
              <w:spacing w:line="360" w:lineRule="auto"/>
              <w:jc w:val="center"/>
              <w:rPr>
                <w:rFonts w:ascii="宋体" w:hAnsi="宋体" w:cs="宋体"/>
                <w:b/>
                <w:bCs/>
                <w:color w:val="auto"/>
                <w:kern w:val="0"/>
                <w:szCs w:val="21"/>
                <w:highlight w:val="none"/>
              </w:rPr>
            </w:pPr>
          </w:p>
        </w:tc>
        <w:tc>
          <w:tcPr>
            <w:tcW w:w="3951" w:type="dxa"/>
            <w:tcBorders>
              <w:top w:val="nil"/>
              <w:left w:val="single" w:color="000000" w:sz="4" w:space="0"/>
              <w:bottom w:val="single" w:color="000000" w:sz="4" w:space="0"/>
              <w:right w:val="single" w:color="000000" w:sz="4" w:space="0"/>
            </w:tcBorders>
            <w:noWrap/>
            <w:vAlign w:val="center"/>
          </w:tcPr>
          <w:p w14:paraId="61943C26">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企业信用贷款增量排名：根据投标人2023年末在宁波大市区的企业信用贷款增量进行排名，前三名得1分，四-六名得0.9分，七-九名得0.8分，十-十二名得0.7分，十三名及以后得0.6分。</w:t>
            </w:r>
          </w:p>
        </w:tc>
        <w:tc>
          <w:tcPr>
            <w:tcW w:w="686" w:type="dxa"/>
            <w:tcBorders>
              <w:top w:val="nil"/>
              <w:left w:val="single" w:color="000000" w:sz="4" w:space="0"/>
              <w:bottom w:val="single" w:color="000000" w:sz="4" w:space="0"/>
              <w:right w:val="single" w:color="000000" w:sz="4" w:space="0"/>
            </w:tcBorders>
            <w:noWrap/>
            <w:vAlign w:val="center"/>
          </w:tcPr>
          <w:p w14:paraId="053DBC3A">
            <w:pPr>
              <w:spacing w:line="360" w:lineRule="auto"/>
              <w:jc w:val="center"/>
              <w:rPr>
                <w:rFonts w:ascii="宋体" w:hAnsi="宋体" w:cs="宋体"/>
                <w:bCs/>
                <w:color w:val="auto"/>
                <w:kern w:val="0"/>
                <w:highlight w:val="none"/>
              </w:rPr>
            </w:pPr>
            <w:r>
              <w:rPr>
                <w:rFonts w:hint="eastAsia" w:ascii="宋体" w:hAnsi="宋体" w:cs="宋体"/>
                <w:bCs/>
                <w:color w:val="auto"/>
                <w:kern w:val="0"/>
                <w:highlight w:val="none"/>
              </w:rPr>
              <w:t>1</w:t>
            </w:r>
          </w:p>
        </w:tc>
      </w:tr>
      <w:tr w14:paraId="700BE061">
        <w:tblPrEx>
          <w:tblCellMar>
            <w:top w:w="0" w:type="dxa"/>
            <w:left w:w="108" w:type="dxa"/>
            <w:bottom w:w="0" w:type="dxa"/>
            <w:right w:w="108" w:type="dxa"/>
          </w:tblCellMar>
        </w:tblPrEx>
        <w:trPr>
          <w:trHeight w:val="600" w:hRule="atLeast"/>
        </w:trPr>
        <w:tc>
          <w:tcPr>
            <w:tcW w:w="619" w:type="dxa"/>
            <w:tcBorders>
              <w:top w:val="nil"/>
              <w:left w:val="single" w:color="000000" w:sz="4" w:space="0"/>
              <w:bottom w:val="single" w:color="000000" w:sz="4" w:space="0"/>
              <w:right w:val="single" w:color="000000" w:sz="4" w:space="0"/>
            </w:tcBorders>
            <w:noWrap/>
            <w:vAlign w:val="center"/>
          </w:tcPr>
          <w:p w14:paraId="57CB010E">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10</w:t>
            </w:r>
          </w:p>
        </w:tc>
        <w:tc>
          <w:tcPr>
            <w:tcW w:w="819" w:type="dxa"/>
            <w:vMerge w:val="continue"/>
            <w:tcBorders>
              <w:left w:val="single" w:color="000000" w:sz="4" w:space="0"/>
              <w:right w:val="single" w:color="000000" w:sz="4" w:space="0"/>
            </w:tcBorders>
            <w:noWrap/>
            <w:vAlign w:val="center"/>
          </w:tcPr>
          <w:p w14:paraId="0C4F1167">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308D00A4">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000000" w:sz="4" w:space="0"/>
              <w:right w:val="single" w:color="000000" w:sz="4" w:space="0"/>
            </w:tcBorders>
            <w:noWrap/>
            <w:vAlign w:val="center"/>
          </w:tcPr>
          <w:p w14:paraId="1463E190">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000000" w:sz="4" w:space="0"/>
              <w:right w:val="single" w:color="000000" w:sz="4" w:space="0"/>
            </w:tcBorders>
            <w:noWrap/>
            <w:vAlign w:val="center"/>
          </w:tcPr>
          <w:p w14:paraId="7ADDF984">
            <w:pPr>
              <w:spacing w:line="360" w:lineRule="auto"/>
              <w:jc w:val="center"/>
              <w:rPr>
                <w:rFonts w:ascii="宋体" w:hAnsi="宋体" w:cs="宋体"/>
                <w:b/>
                <w:bCs/>
                <w:color w:val="auto"/>
                <w:kern w:val="0"/>
                <w:szCs w:val="21"/>
                <w:highlight w:val="none"/>
              </w:rPr>
            </w:pPr>
          </w:p>
        </w:tc>
        <w:tc>
          <w:tcPr>
            <w:tcW w:w="3951" w:type="dxa"/>
            <w:tcBorders>
              <w:top w:val="nil"/>
              <w:left w:val="single" w:color="000000" w:sz="4" w:space="0"/>
              <w:bottom w:val="single" w:color="000000" w:sz="4" w:space="0"/>
              <w:right w:val="single" w:color="000000" w:sz="4" w:space="0"/>
            </w:tcBorders>
            <w:noWrap/>
            <w:vAlign w:val="center"/>
          </w:tcPr>
          <w:p w14:paraId="2E602738">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信贷平稳性排名：根据投标人2023年末在宁波大市区的信贷平稳性进行排名，前三名得1分，四-六名得0.9分，七-九名得0.8分，十-十二名得0.7分，十三名及以后得0.6分。</w:t>
            </w:r>
          </w:p>
        </w:tc>
        <w:tc>
          <w:tcPr>
            <w:tcW w:w="686" w:type="dxa"/>
            <w:tcBorders>
              <w:top w:val="nil"/>
              <w:left w:val="single" w:color="000000" w:sz="4" w:space="0"/>
              <w:bottom w:val="single" w:color="000000" w:sz="4" w:space="0"/>
              <w:right w:val="single" w:color="000000" w:sz="4" w:space="0"/>
            </w:tcBorders>
            <w:noWrap/>
            <w:vAlign w:val="center"/>
          </w:tcPr>
          <w:p w14:paraId="71FCF7EB">
            <w:pPr>
              <w:spacing w:line="360" w:lineRule="auto"/>
              <w:jc w:val="center"/>
              <w:rPr>
                <w:rFonts w:ascii="宋体" w:hAnsi="宋体" w:cs="宋体"/>
                <w:bCs/>
                <w:color w:val="auto"/>
                <w:kern w:val="0"/>
                <w:highlight w:val="none"/>
              </w:rPr>
            </w:pPr>
            <w:r>
              <w:rPr>
                <w:rFonts w:hint="eastAsia" w:ascii="宋体" w:hAnsi="宋体" w:cs="宋体"/>
                <w:bCs/>
                <w:color w:val="auto"/>
                <w:kern w:val="0"/>
                <w:highlight w:val="none"/>
              </w:rPr>
              <w:t>1</w:t>
            </w:r>
          </w:p>
        </w:tc>
      </w:tr>
      <w:tr w14:paraId="4BD89495">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74A9FA4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11</w:t>
            </w:r>
          </w:p>
        </w:tc>
        <w:tc>
          <w:tcPr>
            <w:tcW w:w="819" w:type="dxa"/>
            <w:vMerge w:val="continue"/>
            <w:tcBorders>
              <w:left w:val="single" w:color="000000" w:sz="4" w:space="0"/>
              <w:right w:val="single" w:color="000000" w:sz="4" w:space="0"/>
            </w:tcBorders>
            <w:noWrap/>
            <w:vAlign w:val="center"/>
          </w:tcPr>
          <w:p w14:paraId="36D92C7C">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1DA843C0">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bottom w:val="nil"/>
              <w:right w:val="single" w:color="000000" w:sz="4" w:space="0"/>
            </w:tcBorders>
            <w:noWrap/>
            <w:vAlign w:val="center"/>
          </w:tcPr>
          <w:p w14:paraId="60AD6EE6">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重点领域精准支持</w:t>
            </w:r>
          </w:p>
        </w:tc>
        <w:tc>
          <w:tcPr>
            <w:tcW w:w="737" w:type="dxa"/>
            <w:vMerge w:val="restart"/>
            <w:tcBorders>
              <w:top w:val="nil"/>
              <w:left w:val="single" w:color="000000" w:sz="4" w:space="0"/>
              <w:bottom w:val="nil"/>
              <w:right w:val="single" w:color="000000" w:sz="4" w:space="0"/>
            </w:tcBorders>
            <w:noWrap/>
            <w:vAlign w:val="center"/>
          </w:tcPr>
          <w:p w14:paraId="7AA8A33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4</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8573C21">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科创贷款增速排名：根据投标人2023年末在宁波大市区的科创贷款增速进行排名，前三名得1分，四-六名得0.9分，七-九名得0.8分，十-十二名得0.7分，十三名及以后得0.6分。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5510120C">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1809E6D8">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42949F9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12</w:t>
            </w:r>
          </w:p>
        </w:tc>
        <w:tc>
          <w:tcPr>
            <w:tcW w:w="819" w:type="dxa"/>
            <w:vMerge w:val="continue"/>
            <w:tcBorders>
              <w:left w:val="single" w:color="000000" w:sz="4" w:space="0"/>
              <w:right w:val="single" w:color="000000" w:sz="4" w:space="0"/>
            </w:tcBorders>
            <w:noWrap/>
            <w:vAlign w:val="center"/>
          </w:tcPr>
          <w:p w14:paraId="77E9510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63039457">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36D06A63">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535D150">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746B268">
            <w:pPr>
              <w:spacing w:line="360" w:lineRule="auto"/>
              <w:rPr>
                <w:rFonts w:ascii="宋体" w:hAnsi="宋体" w:cs="宋体"/>
                <w:bCs/>
                <w:color w:val="auto"/>
                <w:kern w:val="0"/>
                <w:szCs w:val="21"/>
                <w:highlight w:val="none"/>
              </w:rPr>
            </w:pPr>
            <w:r>
              <w:rPr>
                <w:rFonts w:hint="eastAsia" w:ascii="宋体" w:hAnsi="宋体" w:cs="宋体"/>
                <w:bCs/>
                <w:color w:val="auto"/>
                <w:kern w:val="0"/>
                <w:highlight w:val="none"/>
              </w:rPr>
              <w:t>涉农贷款增速排名</w:t>
            </w:r>
            <w:r>
              <w:rPr>
                <w:rFonts w:hint="eastAsia" w:ascii="宋体" w:hAnsi="宋体" w:cs="宋体"/>
                <w:bCs/>
                <w:color w:val="auto"/>
                <w:kern w:val="0"/>
                <w:szCs w:val="21"/>
                <w:highlight w:val="none"/>
              </w:rPr>
              <w:t>：根据投标人2023年末在宁波大市区的</w:t>
            </w:r>
            <w:r>
              <w:rPr>
                <w:rFonts w:hint="eastAsia" w:ascii="宋体" w:hAnsi="宋体" w:cs="宋体"/>
                <w:bCs/>
                <w:color w:val="auto"/>
                <w:kern w:val="0"/>
                <w:highlight w:val="none"/>
              </w:rPr>
              <w:t>涉农贷款增速</w:t>
            </w:r>
            <w:r>
              <w:rPr>
                <w:rFonts w:hint="eastAsia" w:ascii="宋体" w:hAnsi="宋体" w:cs="宋体"/>
                <w:bCs/>
                <w:color w:val="auto"/>
                <w:kern w:val="0"/>
                <w:szCs w:val="21"/>
                <w:highlight w:val="none"/>
              </w:rPr>
              <w:t>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5EBB501A">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184EF6DA">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72AC16A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13</w:t>
            </w:r>
          </w:p>
        </w:tc>
        <w:tc>
          <w:tcPr>
            <w:tcW w:w="819" w:type="dxa"/>
            <w:vMerge w:val="continue"/>
            <w:tcBorders>
              <w:left w:val="single" w:color="000000" w:sz="4" w:space="0"/>
              <w:right w:val="single" w:color="000000" w:sz="4" w:space="0"/>
            </w:tcBorders>
            <w:noWrap/>
            <w:vAlign w:val="center"/>
          </w:tcPr>
          <w:p w14:paraId="1586DBE5">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8AA1F07">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nil"/>
              <w:right w:val="single" w:color="000000" w:sz="4" w:space="0"/>
            </w:tcBorders>
            <w:noWrap/>
            <w:vAlign w:val="center"/>
          </w:tcPr>
          <w:p w14:paraId="760F6D80">
            <w:pPr>
              <w:spacing w:line="360" w:lineRule="auto"/>
              <w:jc w:val="center"/>
              <w:rPr>
                <w:rFonts w:ascii="宋体" w:hAnsi="宋体" w:cs="宋体"/>
                <w:b/>
                <w:bCs/>
                <w:color w:val="auto"/>
                <w:kern w:val="0"/>
                <w:szCs w:val="21"/>
                <w:highlight w:val="none"/>
              </w:rPr>
            </w:pPr>
          </w:p>
        </w:tc>
        <w:tc>
          <w:tcPr>
            <w:tcW w:w="737" w:type="dxa"/>
            <w:vMerge w:val="continue"/>
            <w:tcBorders>
              <w:top w:val="nil"/>
              <w:left w:val="single" w:color="000000" w:sz="4" w:space="0"/>
              <w:bottom w:val="nil"/>
              <w:right w:val="single" w:color="000000" w:sz="4" w:space="0"/>
            </w:tcBorders>
            <w:noWrap/>
            <w:vAlign w:val="center"/>
          </w:tcPr>
          <w:p w14:paraId="43479E01">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07541AB9">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绿色信贷增速排名：根据投标人2023年末在宁波大市区的绿色信贷增速进行排名，前三名得1分，四-六名得0.9分，七-九名得0.8分，十-十二名得0.7分，十三名及以后得0.6分。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0600FF67">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4985C0C6">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480320F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14</w:t>
            </w:r>
          </w:p>
        </w:tc>
        <w:tc>
          <w:tcPr>
            <w:tcW w:w="819" w:type="dxa"/>
            <w:vMerge w:val="continue"/>
            <w:tcBorders>
              <w:left w:val="single" w:color="000000" w:sz="4" w:space="0"/>
              <w:right w:val="single" w:color="000000" w:sz="4" w:space="0"/>
            </w:tcBorders>
            <w:noWrap/>
            <w:vAlign w:val="center"/>
          </w:tcPr>
          <w:p w14:paraId="406F156E">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FEEEE54">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nil"/>
              <w:right w:val="single" w:color="000000" w:sz="4" w:space="0"/>
            </w:tcBorders>
            <w:noWrap/>
            <w:vAlign w:val="center"/>
          </w:tcPr>
          <w:p w14:paraId="4DA40A45">
            <w:pPr>
              <w:spacing w:line="360" w:lineRule="auto"/>
              <w:jc w:val="center"/>
              <w:rPr>
                <w:rFonts w:ascii="宋体" w:hAnsi="宋体" w:cs="宋体"/>
                <w:b/>
                <w:bCs/>
                <w:color w:val="auto"/>
                <w:kern w:val="0"/>
                <w:szCs w:val="21"/>
                <w:highlight w:val="none"/>
              </w:rPr>
            </w:pPr>
          </w:p>
        </w:tc>
        <w:tc>
          <w:tcPr>
            <w:tcW w:w="737" w:type="dxa"/>
            <w:vMerge w:val="continue"/>
            <w:tcBorders>
              <w:top w:val="nil"/>
              <w:left w:val="single" w:color="000000" w:sz="4" w:space="0"/>
              <w:bottom w:val="nil"/>
              <w:right w:val="single" w:color="000000" w:sz="4" w:space="0"/>
            </w:tcBorders>
            <w:noWrap/>
            <w:vAlign w:val="center"/>
          </w:tcPr>
          <w:p w14:paraId="6967ADE3">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313E06CD">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民营经济贷款增速排名：根据投标人2023年末在宁波大市区的民营经济贷款增速进行排名，前三名得1分，四-六名得0.9分，七-九名得0.8分，十-十二名得0.7分，十三名及以后得0.6分。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3A201951">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429EECC9">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6C570BC7">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15</w:t>
            </w:r>
          </w:p>
        </w:tc>
        <w:tc>
          <w:tcPr>
            <w:tcW w:w="819" w:type="dxa"/>
            <w:vMerge w:val="continue"/>
            <w:tcBorders>
              <w:left w:val="single" w:color="000000" w:sz="4" w:space="0"/>
              <w:right w:val="single" w:color="000000" w:sz="4" w:space="0"/>
            </w:tcBorders>
            <w:noWrap/>
            <w:vAlign w:val="center"/>
          </w:tcPr>
          <w:p w14:paraId="1F48781A">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16516457">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bottom w:val="nil"/>
              <w:right w:val="single" w:color="000000" w:sz="4" w:space="0"/>
            </w:tcBorders>
            <w:noWrap/>
            <w:vAlign w:val="center"/>
          </w:tcPr>
          <w:p w14:paraId="045B1466">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制造业金融支持</w:t>
            </w:r>
          </w:p>
        </w:tc>
        <w:tc>
          <w:tcPr>
            <w:tcW w:w="737" w:type="dxa"/>
            <w:vMerge w:val="restart"/>
            <w:tcBorders>
              <w:top w:val="single" w:color="000000" w:sz="4" w:space="0"/>
              <w:left w:val="single" w:color="000000" w:sz="4" w:space="0"/>
              <w:bottom w:val="nil"/>
              <w:right w:val="single" w:color="000000" w:sz="4" w:space="0"/>
            </w:tcBorders>
            <w:noWrap/>
            <w:vAlign w:val="center"/>
          </w:tcPr>
          <w:p w14:paraId="7D2622F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7</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CA3B4B5">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制造业贷款增速排名：根据投标人2023年末在宁波大市区的制造业贷款增速进行排名，前三名得2分，四-六名得1.8分，七-九名得1.6分，十-十二名得1.4分，十三名及以后得1.2分。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2448E1CB">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2</w:t>
            </w:r>
          </w:p>
        </w:tc>
      </w:tr>
      <w:tr w14:paraId="6B2C9C3E">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3BDB19F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16</w:t>
            </w:r>
          </w:p>
        </w:tc>
        <w:tc>
          <w:tcPr>
            <w:tcW w:w="819" w:type="dxa"/>
            <w:vMerge w:val="continue"/>
            <w:tcBorders>
              <w:left w:val="single" w:color="000000" w:sz="4" w:space="0"/>
              <w:right w:val="single" w:color="000000" w:sz="4" w:space="0"/>
            </w:tcBorders>
            <w:noWrap/>
            <w:vAlign w:val="center"/>
          </w:tcPr>
          <w:p w14:paraId="5A3FBD7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8ED93C6">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nil"/>
              <w:right w:val="single" w:color="000000" w:sz="4" w:space="0"/>
            </w:tcBorders>
            <w:noWrap/>
            <w:vAlign w:val="center"/>
          </w:tcPr>
          <w:p w14:paraId="53A1EE15">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nil"/>
              <w:right w:val="single" w:color="000000" w:sz="4" w:space="0"/>
            </w:tcBorders>
            <w:noWrap/>
            <w:vAlign w:val="center"/>
          </w:tcPr>
          <w:p w14:paraId="6EE5FED1">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1B69D1B1">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制造业贷款增量排名：根据投标人2023年末在宁波大市区的制造业贷款增量进行排名，前三名得2分，四-六名得1.8分，七-九名得1.6分，十-十二名得1.4分，十三名及以后得1.2分。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39BDF4D8">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2</w:t>
            </w:r>
          </w:p>
        </w:tc>
      </w:tr>
      <w:tr w14:paraId="7E237966">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3646ABA9">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17</w:t>
            </w:r>
          </w:p>
        </w:tc>
        <w:tc>
          <w:tcPr>
            <w:tcW w:w="819" w:type="dxa"/>
            <w:vMerge w:val="continue"/>
            <w:tcBorders>
              <w:left w:val="single" w:color="000000" w:sz="4" w:space="0"/>
              <w:right w:val="single" w:color="000000" w:sz="4" w:space="0"/>
            </w:tcBorders>
            <w:noWrap/>
            <w:vAlign w:val="center"/>
          </w:tcPr>
          <w:p w14:paraId="0489BF0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33B2703D">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nil"/>
              <w:right w:val="single" w:color="000000" w:sz="4" w:space="0"/>
            </w:tcBorders>
            <w:noWrap/>
            <w:vAlign w:val="center"/>
          </w:tcPr>
          <w:p w14:paraId="2721480F">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nil"/>
              <w:right w:val="single" w:color="000000" w:sz="4" w:space="0"/>
            </w:tcBorders>
            <w:noWrap/>
            <w:vAlign w:val="center"/>
          </w:tcPr>
          <w:p w14:paraId="7BA46381">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2F00FB0">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制造业中长期贷款占比排名：根据投标人2023年末在宁波大市区的制造业中长期贷款占比进行排名，前三名得3分，四-六名得2.7分，七-九名得2.4分，十-十二名得2.1分，十三名及以后得1.8分。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4ACEACBF">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3</w:t>
            </w:r>
          </w:p>
        </w:tc>
      </w:tr>
      <w:tr w14:paraId="5BE2C77F">
        <w:tblPrEx>
          <w:tblCellMar>
            <w:top w:w="0" w:type="dxa"/>
            <w:left w:w="108" w:type="dxa"/>
            <w:bottom w:w="0" w:type="dxa"/>
            <w:right w:w="108" w:type="dxa"/>
          </w:tblCellMar>
        </w:tblPrEx>
        <w:trPr>
          <w:trHeight w:val="60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110772D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18</w:t>
            </w:r>
          </w:p>
        </w:tc>
        <w:tc>
          <w:tcPr>
            <w:tcW w:w="819" w:type="dxa"/>
            <w:vMerge w:val="continue"/>
            <w:tcBorders>
              <w:left w:val="single" w:color="000000" w:sz="4" w:space="0"/>
              <w:right w:val="single" w:color="000000" w:sz="4" w:space="0"/>
            </w:tcBorders>
            <w:noWrap/>
            <w:vAlign w:val="center"/>
          </w:tcPr>
          <w:p w14:paraId="1B80EB28">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27E19923">
            <w:pPr>
              <w:spacing w:line="360" w:lineRule="auto"/>
              <w:jc w:val="center"/>
              <w:rPr>
                <w:rFonts w:ascii="宋体" w:hAnsi="宋体" w:cs="宋体"/>
                <w:b/>
                <w:bCs/>
                <w:color w:val="auto"/>
                <w:kern w:val="0"/>
                <w:szCs w:val="21"/>
                <w:highlight w:val="none"/>
              </w:rPr>
            </w:pPr>
          </w:p>
        </w:tc>
        <w:tc>
          <w:tcPr>
            <w:tcW w:w="1472" w:type="dxa"/>
            <w:tcBorders>
              <w:top w:val="single" w:color="000000" w:sz="4" w:space="0"/>
              <w:left w:val="single" w:color="000000" w:sz="4" w:space="0"/>
              <w:bottom w:val="nil"/>
              <w:right w:val="single" w:color="000000" w:sz="4" w:space="0"/>
            </w:tcBorders>
            <w:noWrap/>
            <w:vAlign w:val="center"/>
          </w:tcPr>
          <w:p w14:paraId="2DCD883D">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小微企业信贷政策导向效果</w:t>
            </w:r>
          </w:p>
        </w:tc>
        <w:tc>
          <w:tcPr>
            <w:tcW w:w="737" w:type="dxa"/>
            <w:tcBorders>
              <w:top w:val="single" w:color="000000" w:sz="4" w:space="0"/>
              <w:left w:val="single" w:color="000000" w:sz="4" w:space="0"/>
              <w:bottom w:val="nil"/>
              <w:right w:val="single" w:color="000000" w:sz="4" w:space="0"/>
            </w:tcBorders>
            <w:noWrap/>
            <w:vAlign w:val="center"/>
          </w:tcPr>
          <w:p w14:paraId="2D72109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6</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5EAB07AE">
            <w:pPr>
              <w:spacing w:line="360" w:lineRule="auto"/>
              <w:rPr>
                <w:rFonts w:ascii="宋体" w:hAnsi="宋体" w:cs="宋体"/>
                <w:bCs/>
                <w:color w:val="auto"/>
                <w:kern w:val="0"/>
                <w:szCs w:val="21"/>
                <w:highlight w:val="none"/>
              </w:rPr>
            </w:pPr>
            <w:r>
              <w:rPr>
                <w:rFonts w:hint="eastAsia" w:ascii="宋体" w:hAnsi="宋体" w:cs="宋体"/>
                <w:bCs/>
                <w:color w:val="auto"/>
                <w:kern w:val="0"/>
                <w:highlight w:val="none"/>
              </w:rPr>
              <w:t>小微企业信贷政策导向效果排名：根据投标人2023年末小微企业信贷政策导向效果进行排名，</w:t>
            </w:r>
            <w:r>
              <w:rPr>
                <w:rFonts w:hint="eastAsia" w:ascii="宋体" w:hAnsi="宋体" w:cs="宋体"/>
                <w:bCs/>
                <w:color w:val="auto"/>
                <w:kern w:val="0"/>
                <w:szCs w:val="21"/>
                <w:highlight w:val="none"/>
              </w:rPr>
              <w:t>前三名得6分，四-六名得5.4分，七-九名得4.8分，十-十二名得4.2分，十三名及以后得3.6分。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28E244DF">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6</w:t>
            </w:r>
          </w:p>
        </w:tc>
      </w:tr>
      <w:tr w14:paraId="16457FEB">
        <w:tblPrEx>
          <w:tblCellMar>
            <w:top w:w="0" w:type="dxa"/>
            <w:left w:w="108" w:type="dxa"/>
            <w:bottom w:w="0" w:type="dxa"/>
            <w:right w:w="108" w:type="dxa"/>
          </w:tblCellMar>
        </w:tblPrEx>
        <w:trPr>
          <w:trHeight w:val="78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03774AA6">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19</w:t>
            </w:r>
          </w:p>
        </w:tc>
        <w:tc>
          <w:tcPr>
            <w:tcW w:w="819" w:type="dxa"/>
            <w:vMerge w:val="continue"/>
            <w:tcBorders>
              <w:left w:val="single" w:color="000000" w:sz="4" w:space="0"/>
              <w:right w:val="single" w:color="000000" w:sz="4" w:space="0"/>
            </w:tcBorders>
            <w:noWrap/>
            <w:vAlign w:val="center"/>
          </w:tcPr>
          <w:p w14:paraId="4E67BF3C">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38ABAE0">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bottom w:val="single" w:color="000000" w:sz="4" w:space="0"/>
              <w:right w:val="single" w:color="000000" w:sz="4" w:space="0"/>
            </w:tcBorders>
            <w:noWrap/>
            <w:vAlign w:val="center"/>
          </w:tcPr>
          <w:p w14:paraId="0870998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政策性融资担保</w:t>
            </w:r>
          </w:p>
        </w:tc>
        <w:tc>
          <w:tcPr>
            <w:tcW w:w="737" w:type="dxa"/>
            <w:vMerge w:val="restart"/>
            <w:tcBorders>
              <w:top w:val="single" w:color="000000" w:sz="4" w:space="0"/>
              <w:left w:val="single" w:color="000000" w:sz="4" w:space="0"/>
              <w:bottom w:val="single" w:color="000000" w:sz="4" w:space="0"/>
              <w:right w:val="single" w:color="000000" w:sz="4" w:space="0"/>
            </w:tcBorders>
            <w:noWrap/>
            <w:vAlign w:val="center"/>
          </w:tcPr>
          <w:p w14:paraId="72F72450">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4</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346F557E">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“微担通（惠通）”贷款余额增量排名：根据投标人2023年末在宁波大市区的“微担通（惠通）”贷款余额增量进行排名，前三名得1分，四-六名得0.9分，七-九名得0.8分，十-十二名得0.7分，十三名及以后得0.6分。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546581EE">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192A128E">
        <w:tblPrEx>
          <w:tblCellMar>
            <w:top w:w="0" w:type="dxa"/>
            <w:left w:w="108" w:type="dxa"/>
            <w:bottom w:w="0" w:type="dxa"/>
            <w:right w:w="108" w:type="dxa"/>
          </w:tblCellMar>
        </w:tblPrEx>
        <w:trPr>
          <w:trHeight w:val="78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547374D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20</w:t>
            </w:r>
          </w:p>
        </w:tc>
        <w:tc>
          <w:tcPr>
            <w:tcW w:w="819" w:type="dxa"/>
            <w:vMerge w:val="continue"/>
            <w:tcBorders>
              <w:left w:val="single" w:color="000000" w:sz="4" w:space="0"/>
              <w:right w:val="single" w:color="000000" w:sz="4" w:space="0"/>
            </w:tcBorders>
            <w:noWrap/>
            <w:vAlign w:val="center"/>
          </w:tcPr>
          <w:p w14:paraId="1A94011B">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1B15230B">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31ECF252">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27C6F5AB">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7020556A">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“微担通（惠通）”续保率排名：根据投标人2023年末在宁波大市区的“微担通（惠通）”续保率进行排名，前三名得1分，四-六名得0.9分，七-九名得0.8分，十-十二名得0.7分，十三名及以后得0.6分。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4C0BFCC3">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1D5799E7">
        <w:tblPrEx>
          <w:tblCellMar>
            <w:top w:w="0" w:type="dxa"/>
            <w:left w:w="108" w:type="dxa"/>
            <w:bottom w:w="0" w:type="dxa"/>
            <w:right w:w="108" w:type="dxa"/>
          </w:tblCellMar>
        </w:tblPrEx>
        <w:trPr>
          <w:trHeight w:val="78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188C8DE6">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21</w:t>
            </w:r>
          </w:p>
        </w:tc>
        <w:tc>
          <w:tcPr>
            <w:tcW w:w="819" w:type="dxa"/>
            <w:vMerge w:val="continue"/>
            <w:tcBorders>
              <w:left w:val="single" w:color="000000" w:sz="4" w:space="0"/>
              <w:right w:val="single" w:color="000000" w:sz="4" w:space="0"/>
            </w:tcBorders>
            <w:noWrap/>
            <w:vAlign w:val="center"/>
          </w:tcPr>
          <w:p w14:paraId="6199DCF0">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91FABE5">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2DE271BC">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18C76DE">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3FFBF91E">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微担通（惠通）”贷款综合融资成本排名：根据投标人2023年末在宁波大市区的“微担通（惠通）”贷款综合融资成本进行排名，前三名得1分，四-六名得0.9分，七-九名得0.8分，十-十二名得0.7分，十三名及以后得0.6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0EF85736">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r>
      <w:tr w14:paraId="1B07B90C">
        <w:tblPrEx>
          <w:tblCellMar>
            <w:top w:w="0" w:type="dxa"/>
            <w:left w:w="108" w:type="dxa"/>
            <w:bottom w:w="0" w:type="dxa"/>
            <w:right w:w="108" w:type="dxa"/>
          </w:tblCellMar>
        </w:tblPrEx>
        <w:trPr>
          <w:trHeight w:val="78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0FE118C8">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22</w:t>
            </w:r>
          </w:p>
        </w:tc>
        <w:tc>
          <w:tcPr>
            <w:tcW w:w="819" w:type="dxa"/>
            <w:vMerge w:val="continue"/>
            <w:tcBorders>
              <w:left w:val="single" w:color="000000" w:sz="4" w:space="0"/>
              <w:right w:val="single" w:color="000000" w:sz="4" w:space="0"/>
            </w:tcBorders>
            <w:noWrap/>
            <w:vAlign w:val="center"/>
          </w:tcPr>
          <w:p w14:paraId="70E8DE1C">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68F33A9">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000000" w:sz="4" w:space="0"/>
              <w:right w:val="single" w:color="000000" w:sz="4" w:space="0"/>
            </w:tcBorders>
            <w:noWrap/>
            <w:vAlign w:val="center"/>
          </w:tcPr>
          <w:p w14:paraId="2EECBBE0">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000000" w:sz="4" w:space="0"/>
              <w:right w:val="single" w:color="000000" w:sz="4" w:space="0"/>
            </w:tcBorders>
            <w:noWrap/>
            <w:vAlign w:val="center"/>
          </w:tcPr>
          <w:p w14:paraId="7F9427A3">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3F7E11C6">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政策性担保贷款余额排名：根据投标人2023年末在宁波大市区的政策性担保贷款余额进行排名，前三名得0.5分，四-六名得0.45分，七-九名得0.4分，十-十二名得0.35分，十三名及以后得0.3分。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7A38455B">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0.5</w:t>
            </w:r>
          </w:p>
        </w:tc>
      </w:tr>
      <w:tr w14:paraId="5BDAAF6C">
        <w:tblPrEx>
          <w:tblCellMar>
            <w:top w:w="0" w:type="dxa"/>
            <w:left w:w="108" w:type="dxa"/>
            <w:bottom w:w="0" w:type="dxa"/>
            <w:right w:w="108" w:type="dxa"/>
          </w:tblCellMar>
        </w:tblPrEx>
        <w:trPr>
          <w:trHeight w:val="780"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05D12842">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23</w:t>
            </w:r>
          </w:p>
        </w:tc>
        <w:tc>
          <w:tcPr>
            <w:tcW w:w="819" w:type="dxa"/>
            <w:vMerge w:val="continue"/>
            <w:tcBorders>
              <w:left w:val="single" w:color="000000" w:sz="4" w:space="0"/>
              <w:right w:val="single" w:color="000000" w:sz="4" w:space="0"/>
            </w:tcBorders>
            <w:noWrap/>
            <w:vAlign w:val="center"/>
          </w:tcPr>
          <w:p w14:paraId="34F5A10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39C049FF">
            <w:pPr>
              <w:spacing w:line="360" w:lineRule="auto"/>
              <w:jc w:val="center"/>
              <w:rPr>
                <w:rFonts w:ascii="宋体" w:hAnsi="宋体" w:cs="宋体"/>
                <w:b/>
                <w:bCs/>
                <w:color w:val="auto"/>
                <w:kern w:val="0"/>
                <w:szCs w:val="21"/>
                <w:highlight w:val="none"/>
              </w:rPr>
            </w:pPr>
          </w:p>
        </w:tc>
        <w:tc>
          <w:tcPr>
            <w:tcW w:w="1472" w:type="dxa"/>
            <w:vMerge w:val="continue"/>
            <w:tcBorders>
              <w:top w:val="single" w:color="000000" w:sz="4" w:space="0"/>
              <w:left w:val="single" w:color="000000" w:sz="4" w:space="0"/>
              <w:bottom w:val="single" w:color="000000" w:sz="4" w:space="0"/>
              <w:right w:val="single" w:color="000000" w:sz="4" w:space="0"/>
            </w:tcBorders>
            <w:noWrap/>
            <w:vAlign w:val="center"/>
          </w:tcPr>
          <w:p w14:paraId="6A1056B6">
            <w:pPr>
              <w:spacing w:line="360" w:lineRule="auto"/>
              <w:jc w:val="center"/>
              <w:rPr>
                <w:rFonts w:ascii="宋体" w:hAnsi="宋体" w:cs="宋体"/>
                <w:b/>
                <w:bCs/>
                <w:color w:val="auto"/>
                <w:kern w:val="0"/>
                <w:szCs w:val="21"/>
                <w:highlight w:val="none"/>
              </w:rPr>
            </w:pPr>
          </w:p>
        </w:tc>
        <w:tc>
          <w:tcPr>
            <w:tcW w:w="737" w:type="dxa"/>
            <w:vMerge w:val="continue"/>
            <w:tcBorders>
              <w:top w:val="single" w:color="000000" w:sz="4" w:space="0"/>
              <w:left w:val="single" w:color="000000" w:sz="4" w:space="0"/>
              <w:bottom w:val="single" w:color="000000" w:sz="4" w:space="0"/>
              <w:right w:val="single" w:color="000000" w:sz="4" w:space="0"/>
            </w:tcBorders>
            <w:noWrap/>
            <w:vAlign w:val="center"/>
          </w:tcPr>
          <w:p w14:paraId="0156E76E">
            <w:pPr>
              <w:spacing w:line="360" w:lineRule="auto"/>
              <w:jc w:val="center"/>
              <w:rPr>
                <w:rFonts w:ascii="宋体" w:hAnsi="宋体" w:cs="宋体"/>
                <w:b/>
                <w:bCs/>
                <w:color w:val="auto"/>
                <w:kern w:val="0"/>
                <w:szCs w:val="21"/>
                <w:highlight w:val="none"/>
              </w:rPr>
            </w:pP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731E9DA9">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政策性担保贷款代偿率排名：根据投标人2023年末在宁波大市区的政策性担保贷款代偿率进行排名，前三名得0.5分，四-六名得0.45分，七-九名得0.4分，十-十二名得0.35分，十三名及以后得0.3分。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15559BA5">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0.5</w:t>
            </w:r>
          </w:p>
        </w:tc>
      </w:tr>
      <w:tr w14:paraId="6D38D7A6">
        <w:tblPrEx>
          <w:tblCellMar>
            <w:top w:w="0" w:type="dxa"/>
            <w:left w:w="108" w:type="dxa"/>
            <w:bottom w:w="0" w:type="dxa"/>
            <w:right w:w="108" w:type="dxa"/>
          </w:tblCellMar>
        </w:tblPrEx>
        <w:trPr>
          <w:trHeight w:val="679"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5ECE14E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24</w:t>
            </w:r>
          </w:p>
        </w:tc>
        <w:tc>
          <w:tcPr>
            <w:tcW w:w="819" w:type="dxa"/>
            <w:vMerge w:val="continue"/>
            <w:tcBorders>
              <w:left w:val="single" w:color="000000" w:sz="4" w:space="0"/>
              <w:right w:val="single" w:color="000000" w:sz="4" w:space="0"/>
            </w:tcBorders>
            <w:noWrap/>
            <w:vAlign w:val="center"/>
          </w:tcPr>
          <w:p w14:paraId="4D1AAA78">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C67CD89">
            <w:pPr>
              <w:spacing w:line="360" w:lineRule="auto"/>
              <w:jc w:val="center"/>
              <w:rPr>
                <w:rFonts w:ascii="宋体" w:hAnsi="宋体" w:cs="宋体"/>
                <w:b/>
                <w:bCs/>
                <w:color w:val="auto"/>
                <w:kern w:val="0"/>
                <w:szCs w:val="21"/>
                <w:highlight w:val="none"/>
              </w:rPr>
            </w:pPr>
          </w:p>
        </w:tc>
        <w:tc>
          <w:tcPr>
            <w:tcW w:w="1472" w:type="dxa"/>
            <w:tcBorders>
              <w:top w:val="nil"/>
              <w:left w:val="single" w:color="000000" w:sz="4" w:space="0"/>
              <w:bottom w:val="single" w:color="000000" w:sz="4" w:space="0"/>
              <w:right w:val="single" w:color="000000" w:sz="4" w:space="0"/>
            </w:tcBorders>
            <w:noWrap/>
            <w:vAlign w:val="center"/>
          </w:tcPr>
          <w:p w14:paraId="24E749C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支持市级国有出资金融机构</w:t>
            </w:r>
          </w:p>
        </w:tc>
        <w:tc>
          <w:tcPr>
            <w:tcW w:w="737" w:type="dxa"/>
            <w:tcBorders>
              <w:top w:val="nil"/>
              <w:left w:val="single" w:color="000000" w:sz="4" w:space="0"/>
              <w:bottom w:val="single" w:color="000000" w:sz="4" w:space="0"/>
              <w:right w:val="single" w:color="000000" w:sz="4" w:space="0"/>
            </w:tcBorders>
            <w:noWrap/>
            <w:vAlign w:val="center"/>
          </w:tcPr>
          <w:p w14:paraId="49540185">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3</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6D68EB98">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支持市级国有出资金融机构得分：按照财政局出具的投标人2023年支持市级国有出资金融机构得分情况为准。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35B9ABCA">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3</w:t>
            </w:r>
          </w:p>
        </w:tc>
      </w:tr>
      <w:tr w14:paraId="3CAC3C97">
        <w:tblPrEx>
          <w:tblCellMar>
            <w:top w:w="0" w:type="dxa"/>
            <w:left w:w="108" w:type="dxa"/>
            <w:bottom w:w="0" w:type="dxa"/>
            <w:right w:w="108" w:type="dxa"/>
          </w:tblCellMar>
        </w:tblPrEx>
        <w:trPr>
          <w:trHeight w:val="679"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67EE8BA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25</w:t>
            </w:r>
          </w:p>
        </w:tc>
        <w:tc>
          <w:tcPr>
            <w:tcW w:w="819" w:type="dxa"/>
            <w:vMerge w:val="continue"/>
            <w:tcBorders>
              <w:left w:val="single" w:color="000000" w:sz="4" w:space="0"/>
              <w:right w:val="single" w:color="000000" w:sz="4" w:space="0"/>
            </w:tcBorders>
            <w:noWrap/>
            <w:vAlign w:val="center"/>
          </w:tcPr>
          <w:p w14:paraId="46B81B5E">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14800E3">
            <w:pPr>
              <w:spacing w:line="360" w:lineRule="auto"/>
              <w:jc w:val="center"/>
              <w:rPr>
                <w:rFonts w:ascii="宋体" w:hAnsi="宋体" w:cs="宋体"/>
                <w:b/>
                <w:bCs/>
                <w:color w:val="auto"/>
                <w:kern w:val="0"/>
                <w:szCs w:val="21"/>
                <w:highlight w:val="none"/>
              </w:rPr>
            </w:pPr>
          </w:p>
        </w:tc>
        <w:tc>
          <w:tcPr>
            <w:tcW w:w="1472" w:type="dxa"/>
            <w:tcBorders>
              <w:top w:val="nil"/>
              <w:left w:val="single" w:color="000000" w:sz="4" w:space="0"/>
              <w:bottom w:val="single" w:color="000000" w:sz="4" w:space="0"/>
              <w:right w:val="single" w:color="000000" w:sz="4" w:space="0"/>
            </w:tcBorders>
            <w:noWrap/>
            <w:vAlign w:val="center"/>
          </w:tcPr>
          <w:p w14:paraId="6F3B7505">
            <w:pPr>
              <w:spacing w:line="360" w:lineRule="auto"/>
              <w:jc w:val="center"/>
              <w:rPr>
                <w:rFonts w:ascii="宋体" w:hAnsi="宋体" w:cs="宋体"/>
                <w:b/>
                <w:bCs/>
                <w:color w:val="auto"/>
                <w:kern w:val="0"/>
                <w:highlight w:val="none"/>
              </w:rPr>
            </w:pPr>
            <w:r>
              <w:rPr>
                <w:rFonts w:hint="eastAsia" w:ascii="宋体" w:hAnsi="宋体" w:cs="宋体"/>
                <w:b/>
                <w:bCs/>
                <w:color w:val="auto"/>
                <w:kern w:val="0"/>
                <w:highlight w:val="none"/>
              </w:rPr>
              <w:t>支持宁波经济发展</w:t>
            </w:r>
          </w:p>
        </w:tc>
        <w:tc>
          <w:tcPr>
            <w:tcW w:w="737" w:type="dxa"/>
            <w:tcBorders>
              <w:top w:val="nil"/>
              <w:left w:val="single" w:color="000000" w:sz="4" w:space="0"/>
              <w:bottom w:val="single" w:color="000000" w:sz="4" w:space="0"/>
              <w:right w:val="single" w:color="000000" w:sz="4" w:space="0"/>
            </w:tcBorders>
            <w:noWrap/>
            <w:vAlign w:val="center"/>
          </w:tcPr>
          <w:p w14:paraId="32E8459B">
            <w:pPr>
              <w:spacing w:line="360" w:lineRule="auto"/>
              <w:jc w:val="center"/>
              <w:rPr>
                <w:rFonts w:ascii="宋体" w:hAnsi="宋体" w:cs="宋体"/>
                <w:b/>
                <w:bCs/>
                <w:color w:val="auto"/>
                <w:kern w:val="0"/>
                <w:highlight w:val="none"/>
              </w:rPr>
            </w:pPr>
            <w:r>
              <w:rPr>
                <w:rFonts w:hint="eastAsia" w:ascii="宋体" w:hAnsi="宋体" w:cs="宋体"/>
                <w:b/>
                <w:bCs/>
                <w:color w:val="auto"/>
                <w:kern w:val="0"/>
                <w:highlight w:val="none"/>
              </w:rPr>
              <w:t>5</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223D86A5">
            <w:pPr>
              <w:spacing w:line="360" w:lineRule="auto"/>
              <w:rPr>
                <w:rFonts w:ascii="宋体" w:hAnsi="宋体" w:cs="宋体"/>
                <w:bCs/>
                <w:color w:val="auto"/>
                <w:kern w:val="0"/>
                <w:highlight w:val="none"/>
              </w:rPr>
            </w:pPr>
            <w:r>
              <w:rPr>
                <w:rFonts w:hint="eastAsia" w:ascii="宋体" w:hAnsi="宋体" w:cs="宋体"/>
                <w:bCs/>
                <w:color w:val="auto"/>
                <w:kern w:val="0"/>
                <w:highlight w:val="none"/>
              </w:rPr>
              <w:t>支持宁波经济发展排名：根据投标人2023年末支持宁波经济发展进行排名，</w:t>
            </w:r>
            <w:r>
              <w:rPr>
                <w:rFonts w:hint="eastAsia" w:ascii="宋体" w:hAnsi="宋体" w:cs="宋体"/>
                <w:bCs/>
                <w:color w:val="auto"/>
                <w:kern w:val="0"/>
                <w:szCs w:val="21"/>
                <w:highlight w:val="none"/>
              </w:rPr>
              <w:t>前三名得5分，四-六名得4.5分，七-九名得4分，十-十二名得3.5分，十三名及以后得3分。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4946FA73">
            <w:pPr>
              <w:spacing w:line="360" w:lineRule="auto"/>
              <w:jc w:val="center"/>
              <w:rPr>
                <w:rFonts w:ascii="宋体" w:hAnsi="宋体" w:cs="宋体"/>
                <w:bCs/>
                <w:color w:val="auto"/>
                <w:kern w:val="0"/>
                <w:highlight w:val="none"/>
              </w:rPr>
            </w:pPr>
            <w:r>
              <w:rPr>
                <w:rFonts w:hint="eastAsia" w:ascii="宋体" w:hAnsi="宋体" w:cs="宋体"/>
                <w:bCs/>
                <w:color w:val="auto"/>
                <w:kern w:val="0"/>
                <w:highlight w:val="none"/>
              </w:rPr>
              <w:t>5</w:t>
            </w:r>
          </w:p>
        </w:tc>
      </w:tr>
      <w:tr w14:paraId="7F39E42D">
        <w:tblPrEx>
          <w:tblCellMar>
            <w:top w:w="0" w:type="dxa"/>
            <w:left w:w="108" w:type="dxa"/>
            <w:bottom w:w="0" w:type="dxa"/>
            <w:right w:w="108" w:type="dxa"/>
          </w:tblCellMar>
        </w:tblPrEx>
        <w:trPr>
          <w:trHeight w:val="768" w:hRule="atLeast"/>
        </w:trPr>
        <w:tc>
          <w:tcPr>
            <w:tcW w:w="619" w:type="dxa"/>
            <w:tcBorders>
              <w:top w:val="single" w:color="000000" w:sz="4" w:space="0"/>
              <w:left w:val="single" w:color="000000" w:sz="4" w:space="0"/>
              <w:bottom w:val="single" w:color="000000" w:sz="4" w:space="0"/>
              <w:right w:val="single" w:color="000000" w:sz="4" w:space="0"/>
            </w:tcBorders>
            <w:noWrap/>
            <w:vAlign w:val="center"/>
          </w:tcPr>
          <w:p w14:paraId="2EC99BB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26</w:t>
            </w:r>
          </w:p>
        </w:tc>
        <w:tc>
          <w:tcPr>
            <w:tcW w:w="819" w:type="dxa"/>
            <w:vMerge w:val="continue"/>
            <w:tcBorders>
              <w:left w:val="single" w:color="000000" w:sz="4" w:space="0"/>
              <w:bottom w:val="nil"/>
              <w:right w:val="single" w:color="000000" w:sz="4" w:space="0"/>
            </w:tcBorders>
            <w:noWrap/>
            <w:vAlign w:val="center"/>
          </w:tcPr>
          <w:p w14:paraId="6F398E60">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bottom w:val="nil"/>
              <w:right w:val="single" w:color="000000" w:sz="4" w:space="0"/>
            </w:tcBorders>
            <w:noWrap/>
            <w:vAlign w:val="center"/>
          </w:tcPr>
          <w:p w14:paraId="492BEEE2">
            <w:pPr>
              <w:spacing w:line="360" w:lineRule="auto"/>
              <w:jc w:val="center"/>
              <w:rPr>
                <w:rFonts w:ascii="宋体" w:hAnsi="宋体" w:cs="宋体"/>
                <w:b/>
                <w:bCs/>
                <w:color w:val="auto"/>
                <w:kern w:val="0"/>
                <w:szCs w:val="21"/>
                <w:highlight w:val="none"/>
              </w:rPr>
            </w:pP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77B07B79">
            <w:pPr>
              <w:spacing w:line="360" w:lineRule="auto"/>
              <w:jc w:val="center"/>
              <w:rPr>
                <w:rFonts w:ascii="宋体" w:hAnsi="宋体" w:cs="宋体"/>
                <w:b/>
                <w:bCs/>
                <w:color w:val="auto"/>
                <w:kern w:val="0"/>
                <w:highlight w:val="none"/>
              </w:rPr>
            </w:pPr>
            <w:r>
              <w:rPr>
                <w:rFonts w:hint="eastAsia" w:ascii="宋体" w:hAnsi="宋体" w:cs="宋体"/>
                <w:b/>
                <w:bCs/>
                <w:color w:val="auto"/>
                <w:kern w:val="0"/>
                <w:highlight w:val="none"/>
              </w:rPr>
              <w:t>支持宁波公益事业发展</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70E6199C">
            <w:pPr>
              <w:spacing w:line="360" w:lineRule="auto"/>
              <w:jc w:val="center"/>
              <w:rPr>
                <w:rFonts w:ascii="宋体" w:hAnsi="宋体" w:cs="宋体"/>
                <w:b/>
                <w:bCs/>
                <w:color w:val="auto"/>
                <w:kern w:val="0"/>
                <w:highlight w:val="none"/>
              </w:rPr>
            </w:pPr>
            <w:r>
              <w:rPr>
                <w:rFonts w:hint="eastAsia" w:ascii="宋体" w:hAnsi="宋体" w:cs="宋体"/>
                <w:b/>
                <w:bCs/>
                <w:color w:val="auto"/>
                <w:kern w:val="0"/>
                <w:highlight w:val="none"/>
              </w:rPr>
              <w:t>20</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43453CE0">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支持宁波公益事业发展债务融资承销余额排名：根据投标人2023年末支持宁波公益事业发展债务融资承销余额进行排名，前三名得20分，四-六名得18分，七-九名得16分，十-十二名得14分，十三名及以后得12分。</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1C516428">
            <w:pPr>
              <w:spacing w:line="360" w:lineRule="auto"/>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20</w:t>
            </w:r>
          </w:p>
        </w:tc>
      </w:tr>
      <w:tr w14:paraId="425DB7B0">
        <w:tblPrEx>
          <w:tblCellMar>
            <w:top w:w="0" w:type="dxa"/>
            <w:left w:w="108" w:type="dxa"/>
            <w:bottom w:w="0" w:type="dxa"/>
            <w:right w:w="108" w:type="dxa"/>
          </w:tblCellMar>
        </w:tblPrEx>
        <w:trPr>
          <w:trHeight w:val="1770" w:hRule="atLeast"/>
        </w:trPr>
        <w:tc>
          <w:tcPr>
            <w:tcW w:w="619" w:type="dxa"/>
            <w:tcBorders>
              <w:top w:val="single" w:color="000000" w:sz="4" w:space="0"/>
              <w:left w:val="single" w:color="000000" w:sz="4" w:space="0"/>
              <w:right w:val="single" w:color="000000" w:sz="4" w:space="0"/>
            </w:tcBorders>
            <w:noWrap/>
            <w:vAlign w:val="center"/>
          </w:tcPr>
          <w:p w14:paraId="69822B92">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27</w:t>
            </w:r>
          </w:p>
        </w:tc>
        <w:tc>
          <w:tcPr>
            <w:tcW w:w="819" w:type="dxa"/>
            <w:tcBorders>
              <w:top w:val="single" w:color="auto" w:sz="4" w:space="0"/>
              <w:left w:val="single" w:color="000000" w:sz="4" w:space="0"/>
              <w:right w:val="single" w:color="000000" w:sz="4" w:space="0"/>
            </w:tcBorders>
            <w:noWrap/>
            <w:vAlign w:val="center"/>
          </w:tcPr>
          <w:p w14:paraId="2C98D33A">
            <w:pPr>
              <w:spacing w:line="360" w:lineRule="auto"/>
              <w:jc w:val="center"/>
              <w:rPr>
                <w:rFonts w:ascii="宋体" w:hAnsi="宋体" w:cs="宋体"/>
                <w:b/>
                <w:bCs/>
                <w:color w:val="auto"/>
                <w:kern w:val="0"/>
                <w:szCs w:val="21"/>
                <w:highlight w:val="none"/>
              </w:rPr>
            </w:pPr>
            <w:r>
              <w:rPr>
                <w:rFonts w:ascii="宋体" w:hAnsi="宋体" w:cs="宋体"/>
                <w:b/>
                <w:bCs/>
                <w:color w:val="auto"/>
                <w:kern w:val="0"/>
                <w:szCs w:val="21"/>
                <w:highlight w:val="none"/>
              </w:rPr>
              <w:t>利率水平</w:t>
            </w:r>
          </w:p>
        </w:tc>
        <w:tc>
          <w:tcPr>
            <w:tcW w:w="737" w:type="dxa"/>
            <w:tcBorders>
              <w:top w:val="single" w:color="auto" w:sz="4" w:space="0"/>
              <w:left w:val="single" w:color="000000" w:sz="4" w:space="0"/>
              <w:right w:val="single" w:color="000000" w:sz="4" w:space="0"/>
            </w:tcBorders>
            <w:noWrap/>
            <w:vAlign w:val="center"/>
          </w:tcPr>
          <w:p w14:paraId="048C04B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1472" w:type="dxa"/>
            <w:tcBorders>
              <w:top w:val="single" w:color="000000" w:sz="4" w:space="0"/>
              <w:left w:val="single" w:color="000000" w:sz="4" w:space="0"/>
              <w:right w:val="single" w:color="000000" w:sz="4" w:space="0"/>
            </w:tcBorders>
            <w:noWrap/>
            <w:vAlign w:val="center"/>
          </w:tcPr>
          <w:p w14:paraId="14D1846E">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利率水平</w:t>
            </w:r>
          </w:p>
        </w:tc>
        <w:tc>
          <w:tcPr>
            <w:tcW w:w="737" w:type="dxa"/>
            <w:tcBorders>
              <w:top w:val="single" w:color="000000" w:sz="4" w:space="0"/>
              <w:left w:val="single" w:color="000000" w:sz="4" w:space="0"/>
              <w:right w:val="single" w:color="000000" w:sz="4" w:space="0"/>
            </w:tcBorders>
            <w:noWrap/>
            <w:vAlign w:val="center"/>
          </w:tcPr>
          <w:p w14:paraId="47C66444">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lang w:val="en-US" w:eastAsia="zh-CN"/>
              </w:rPr>
              <w:t>5</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528681FB">
            <w:pPr>
              <w:spacing w:line="360" w:lineRule="auto"/>
              <w:rPr>
                <w:rFonts w:ascii="宋体" w:hAnsi="宋体" w:cs="宋体"/>
                <w:bCs/>
                <w:color w:val="auto"/>
                <w:kern w:val="0"/>
                <w:szCs w:val="21"/>
                <w:highlight w:val="none"/>
              </w:rPr>
            </w:pPr>
            <w:r>
              <w:rPr>
                <w:rFonts w:hint="eastAsia" w:ascii="宋体" w:hAnsi="宋体" w:eastAsia="宋体" w:cs="宋体"/>
                <w:bCs/>
                <w:color w:val="auto"/>
                <w:kern w:val="0"/>
                <w:szCs w:val="21"/>
                <w:highlight w:val="none"/>
                <w:lang w:val="en-US" w:eastAsia="zh-CN"/>
              </w:rPr>
              <w:t>六个</w:t>
            </w:r>
            <w:r>
              <w:rPr>
                <w:rFonts w:hint="eastAsia" w:ascii="宋体" w:hAnsi="宋体" w:eastAsia="宋体" w:cs="宋体"/>
                <w:bCs/>
                <w:color w:val="auto"/>
                <w:kern w:val="0"/>
                <w:szCs w:val="21"/>
                <w:highlight w:val="none"/>
              </w:rPr>
              <w:t>月定期存款利率</w:t>
            </w:r>
            <w:r>
              <w:rPr>
                <w:rFonts w:hint="eastAsia" w:ascii="宋体" w:hAnsi="宋体" w:eastAsia="宋体" w:cs="宋体"/>
                <w:bCs/>
                <w:color w:val="auto"/>
                <w:kern w:val="0"/>
                <w:szCs w:val="21"/>
                <w:highlight w:val="none"/>
                <w:lang w:eastAsia="zh-CN"/>
              </w:rPr>
              <w:t>、一年期定期存款利率、六个月大额存单利率、一年期大额存单利率，</w:t>
            </w:r>
            <w:r>
              <w:rPr>
                <w:rFonts w:hint="eastAsia" w:ascii="宋体" w:hAnsi="宋体" w:eastAsia="宋体" w:cs="宋体"/>
                <w:bCs/>
                <w:color w:val="auto"/>
                <w:kern w:val="0"/>
                <w:szCs w:val="21"/>
                <w:highlight w:val="none"/>
                <w:lang w:val="en-US" w:eastAsia="zh-CN"/>
              </w:rPr>
              <w:t>以上利率</w:t>
            </w:r>
            <w:r>
              <w:rPr>
                <w:rFonts w:hint="eastAsia" w:ascii="宋体" w:hAnsi="宋体" w:eastAsia="宋体" w:cs="宋体"/>
                <w:bCs/>
                <w:color w:val="auto"/>
                <w:kern w:val="0"/>
                <w:szCs w:val="21"/>
                <w:highlight w:val="none"/>
              </w:rPr>
              <w:t>报价始终达到市场自律机制本行的上限的得</w:t>
            </w:r>
            <w:r>
              <w:rPr>
                <w:rFonts w:hint="eastAsia" w:ascii="宋体" w:hAnsi="宋体" w:eastAsia="宋体" w:cs="宋体"/>
                <w:bCs/>
                <w:color w:val="auto"/>
                <w:kern w:val="0"/>
                <w:szCs w:val="21"/>
                <w:highlight w:val="none"/>
                <w:lang w:val="en-US" w:eastAsia="zh-CN"/>
              </w:rPr>
              <w:t>5</w:t>
            </w:r>
            <w:r>
              <w:rPr>
                <w:rFonts w:hint="eastAsia" w:ascii="宋体" w:hAnsi="宋体" w:eastAsia="宋体" w:cs="宋体"/>
                <w:bCs/>
                <w:color w:val="auto"/>
                <w:kern w:val="0"/>
                <w:szCs w:val="21"/>
                <w:highlight w:val="none"/>
              </w:rPr>
              <w:t>分</w:t>
            </w:r>
            <w:r>
              <w:rPr>
                <w:rFonts w:hint="eastAsia" w:ascii="宋体" w:hAnsi="宋体" w:eastAsia="宋体" w:cs="宋体"/>
                <w:bCs/>
                <w:color w:val="auto"/>
                <w:kern w:val="0"/>
                <w:szCs w:val="21"/>
                <w:highlight w:val="none"/>
                <w:lang w:eastAsia="zh-CN"/>
              </w:rPr>
              <w:t>，</w:t>
            </w:r>
            <w:r>
              <w:rPr>
                <w:rFonts w:hint="eastAsia" w:ascii="宋体" w:hAnsi="宋体" w:cs="宋体"/>
                <w:bCs/>
                <w:color w:val="auto"/>
                <w:kern w:val="0"/>
                <w:szCs w:val="21"/>
                <w:highlight w:val="none"/>
                <w:lang w:val="en-US" w:eastAsia="zh-CN"/>
              </w:rPr>
              <w:t>任一一项利率</w:t>
            </w:r>
            <w:r>
              <w:rPr>
                <w:rFonts w:hint="eastAsia" w:ascii="宋体" w:hAnsi="宋体" w:eastAsia="宋体" w:cs="宋体"/>
                <w:bCs/>
                <w:color w:val="auto"/>
                <w:kern w:val="0"/>
                <w:szCs w:val="21"/>
                <w:highlight w:val="none"/>
                <w:lang w:val="en-US" w:eastAsia="zh-CN"/>
              </w:rPr>
              <w:t>未承诺</w:t>
            </w:r>
            <w:r>
              <w:rPr>
                <w:rFonts w:hint="eastAsia" w:ascii="宋体" w:hAnsi="宋体" w:eastAsia="宋体" w:cs="宋体"/>
                <w:bCs/>
                <w:color w:val="auto"/>
                <w:kern w:val="0"/>
                <w:szCs w:val="21"/>
                <w:highlight w:val="none"/>
              </w:rPr>
              <w:t>达到市场自律机制本行的上限</w:t>
            </w:r>
            <w:r>
              <w:rPr>
                <w:rFonts w:hint="eastAsia" w:ascii="宋体" w:hAnsi="宋体" w:cs="宋体"/>
                <w:bCs/>
                <w:color w:val="auto"/>
                <w:kern w:val="0"/>
                <w:szCs w:val="21"/>
                <w:highlight w:val="none"/>
                <w:lang w:eastAsia="zh-CN"/>
              </w:rPr>
              <w:t>，</w:t>
            </w:r>
            <w:r>
              <w:rPr>
                <w:rFonts w:hint="eastAsia" w:ascii="宋体" w:hAnsi="宋体" w:eastAsia="宋体" w:cs="宋体"/>
                <w:bCs/>
                <w:color w:val="auto"/>
                <w:kern w:val="0"/>
                <w:szCs w:val="21"/>
                <w:highlight w:val="none"/>
                <w:lang w:val="en-US" w:eastAsia="zh-CN"/>
              </w:rPr>
              <w:t>不得分</w:t>
            </w:r>
            <w:r>
              <w:rPr>
                <w:rFonts w:hint="eastAsia" w:ascii="宋体" w:hAnsi="宋体" w:eastAsia="宋体" w:cs="宋体"/>
                <w:bCs/>
                <w:color w:val="auto"/>
                <w:kern w:val="0"/>
                <w:szCs w:val="21"/>
                <w:highlight w:val="none"/>
              </w:rPr>
              <w:t>。</w:t>
            </w:r>
          </w:p>
        </w:tc>
        <w:tc>
          <w:tcPr>
            <w:tcW w:w="686" w:type="dxa"/>
            <w:tcBorders>
              <w:top w:val="single" w:color="000000" w:sz="4" w:space="0"/>
              <w:left w:val="single" w:color="000000" w:sz="4" w:space="0"/>
              <w:right w:val="single" w:color="000000" w:sz="4" w:space="0"/>
            </w:tcBorders>
            <w:noWrap/>
            <w:vAlign w:val="center"/>
          </w:tcPr>
          <w:p w14:paraId="1123CF47">
            <w:pPr>
              <w:spacing w:line="360" w:lineRule="auto"/>
              <w:jc w:val="center"/>
              <w:rPr>
                <w:rFonts w:hint="eastAsia" w:ascii="宋体" w:hAnsi="宋体" w:eastAsia="宋体" w:cs="宋体"/>
                <w:bCs/>
                <w:color w:val="auto"/>
                <w:kern w:val="0"/>
                <w:szCs w:val="21"/>
                <w:highlight w:val="none"/>
                <w:lang w:eastAsia="zh-CN"/>
              </w:rPr>
            </w:pPr>
            <w:r>
              <w:rPr>
                <w:rFonts w:hint="eastAsia" w:ascii="宋体" w:hAnsi="宋体" w:cs="宋体"/>
                <w:bCs/>
                <w:color w:val="auto"/>
                <w:kern w:val="0"/>
                <w:szCs w:val="21"/>
                <w:highlight w:val="none"/>
                <w:lang w:val="en-US" w:eastAsia="zh-CN"/>
              </w:rPr>
              <w:t>5</w:t>
            </w:r>
          </w:p>
        </w:tc>
      </w:tr>
      <w:tr w14:paraId="28F05753">
        <w:tblPrEx>
          <w:tblCellMar>
            <w:top w:w="0" w:type="dxa"/>
            <w:left w:w="108" w:type="dxa"/>
            <w:bottom w:w="0" w:type="dxa"/>
            <w:right w:w="108" w:type="dxa"/>
          </w:tblCellMar>
        </w:tblPrEx>
        <w:trPr>
          <w:trHeight w:val="841"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26DF5C19">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2</w:t>
            </w:r>
            <w:r>
              <w:rPr>
                <w:rFonts w:hint="eastAsia" w:ascii="宋体" w:hAnsi="宋体" w:cs="宋体"/>
                <w:b/>
                <w:bCs/>
                <w:color w:val="auto"/>
                <w:kern w:val="0"/>
                <w:szCs w:val="21"/>
                <w:highlight w:val="none"/>
                <w:lang w:val="en-US" w:eastAsia="zh-CN"/>
              </w:rPr>
              <w:t>8</w:t>
            </w:r>
          </w:p>
        </w:tc>
        <w:tc>
          <w:tcPr>
            <w:tcW w:w="819" w:type="dxa"/>
            <w:vMerge w:val="restart"/>
            <w:tcBorders>
              <w:top w:val="single" w:color="auto" w:sz="4" w:space="0"/>
              <w:left w:val="single" w:color="000000" w:sz="4" w:space="0"/>
              <w:right w:val="single" w:color="000000" w:sz="4" w:space="0"/>
            </w:tcBorders>
            <w:noWrap/>
            <w:vAlign w:val="center"/>
          </w:tcPr>
          <w:p w14:paraId="15DA1AB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服务水平（公积金业务服务）</w:t>
            </w:r>
          </w:p>
        </w:tc>
        <w:tc>
          <w:tcPr>
            <w:tcW w:w="737" w:type="dxa"/>
            <w:vMerge w:val="restart"/>
            <w:tcBorders>
              <w:top w:val="single" w:color="auto" w:sz="4" w:space="0"/>
              <w:left w:val="single" w:color="000000" w:sz="4" w:space="0"/>
              <w:right w:val="single" w:color="000000" w:sz="4" w:space="0"/>
            </w:tcBorders>
            <w:noWrap/>
            <w:vAlign w:val="center"/>
          </w:tcPr>
          <w:p w14:paraId="362547D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25</w:t>
            </w:r>
          </w:p>
        </w:tc>
        <w:tc>
          <w:tcPr>
            <w:tcW w:w="1472" w:type="dxa"/>
            <w:vMerge w:val="restart"/>
            <w:tcBorders>
              <w:top w:val="single" w:color="000000" w:sz="4" w:space="0"/>
              <w:left w:val="single" w:color="000000" w:sz="4" w:space="0"/>
              <w:right w:val="single" w:color="000000" w:sz="4" w:space="0"/>
            </w:tcBorders>
            <w:noWrap/>
            <w:vAlign w:val="center"/>
          </w:tcPr>
          <w:p w14:paraId="27C17B8E">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提取业务</w:t>
            </w:r>
          </w:p>
        </w:tc>
        <w:tc>
          <w:tcPr>
            <w:tcW w:w="737" w:type="dxa"/>
            <w:vMerge w:val="restart"/>
            <w:tcBorders>
              <w:top w:val="single" w:color="000000" w:sz="4" w:space="0"/>
              <w:left w:val="single" w:color="000000" w:sz="4" w:space="0"/>
              <w:right w:val="single" w:color="000000" w:sz="4" w:space="0"/>
            </w:tcBorders>
            <w:noWrap/>
            <w:vAlign w:val="center"/>
          </w:tcPr>
          <w:p w14:paraId="72A0F95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3951" w:type="dxa"/>
            <w:tcBorders>
              <w:top w:val="single" w:color="000000" w:sz="4" w:space="0"/>
              <w:left w:val="single" w:color="000000" w:sz="4" w:space="0"/>
              <w:bottom w:val="single" w:color="auto" w:sz="4" w:space="0"/>
              <w:right w:val="single" w:color="000000" w:sz="4" w:space="0"/>
            </w:tcBorders>
            <w:noWrap/>
            <w:vAlign w:val="center"/>
          </w:tcPr>
          <w:p w14:paraId="53838CBE">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(1)业务办理数量(2分):根据服务期内各投标人的业务量酌情打分，最多得2分。</w:t>
            </w:r>
          </w:p>
        </w:tc>
        <w:tc>
          <w:tcPr>
            <w:tcW w:w="686" w:type="dxa"/>
            <w:tcBorders>
              <w:top w:val="single" w:color="000000" w:sz="4" w:space="0"/>
              <w:left w:val="single" w:color="000000" w:sz="4" w:space="0"/>
              <w:bottom w:val="single" w:color="auto" w:sz="4" w:space="0"/>
              <w:right w:val="single" w:color="000000" w:sz="4" w:space="0"/>
            </w:tcBorders>
            <w:noWrap/>
            <w:vAlign w:val="center"/>
          </w:tcPr>
          <w:p w14:paraId="1209076A">
            <w:pPr>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4FB28D15">
        <w:tblPrEx>
          <w:tblCellMar>
            <w:top w:w="0" w:type="dxa"/>
            <w:left w:w="108" w:type="dxa"/>
            <w:bottom w:w="0" w:type="dxa"/>
            <w:right w:w="108" w:type="dxa"/>
          </w:tblCellMar>
        </w:tblPrEx>
        <w:trPr>
          <w:trHeight w:val="832"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08D425B6">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29</w:t>
            </w:r>
          </w:p>
        </w:tc>
        <w:tc>
          <w:tcPr>
            <w:tcW w:w="819" w:type="dxa"/>
            <w:vMerge w:val="continue"/>
            <w:tcBorders>
              <w:left w:val="single" w:color="000000" w:sz="4" w:space="0"/>
              <w:right w:val="single" w:color="000000" w:sz="4" w:space="0"/>
            </w:tcBorders>
            <w:noWrap/>
            <w:vAlign w:val="center"/>
          </w:tcPr>
          <w:p w14:paraId="6C9617F3">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9074A05">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601B9B31">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2C98890E">
            <w:pPr>
              <w:spacing w:line="360" w:lineRule="auto"/>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6280B5FD">
            <w:pPr>
              <w:spacing w:line="360" w:lineRule="auto"/>
              <w:rPr>
                <w:rFonts w:hint="eastAsia" w:ascii="宋体" w:hAnsi="宋体" w:eastAsia="宋体" w:cs="宋体"/>
                <w:bCs/>
                <w:color w:val="auto"/>
                <w:kern w:val="0"/>
                <w:szCs w:val="21"/>
                <w:highlight w:val="none"/>
                <w:lang w:eastAsia="zh-CN"/>
              </w:rPr>
            </w:pPr>
            <w:r>
              <w:rPr>
                <w:rFonts w:hint="eastAsia" w:ascii="宋体" w:hAnsi="宋体" w:cs="宋体"/>
                <w:bCs/>
                <w:color w:val="auto"/>
                <w:kern w:val="0"/>
                <w:szCs w:val="21"/>
                <w:highlight w:val="none"/>
              </w:rPr>
              <w:t>(2)服务质量(1.5分):根据网点人员配备、沟通对接、工作人员服务态度业务差错等情况酌情打分，最多得 1.5分</w:t>
            </w:r>
            <w:r>
              <w:rPr>
                <w:rFonts w:hint="eastAsia" w:ascii="宋体" w:hAnsi="宋体" w:cs="宋体"/>
                <w:bCs/>
                <w:color w:val="auto"/>
                <w:kern w:val="0"/>
                <w:szCs w:val="21"/>
                <w:highlight w:val="none"/>
                <w:lang w:eastAsia="zh-CN"/>
              </w:rPr>
              <w:t>。</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56FA08FD">
            <w:pPr>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r>
      <w:tr w14:paraId="0F70992E">
        <w:tblPrEx>
          <w:tblCellMar>
            <w:top w:w="0" w:type="dxa"/>
            <w:left w:w="108" w:type="dxa"/>
            <w:bottom w:w="0" w:type="dxa"/>
            <w:right w:w="108" w:type="dxa"/>
          </w:tblCellMar>
        </w:tblPrEx>
        <w:trPr>
          <w:trHeight w:val="753" w:hRule="atLeast"/>
        </w:trPr>
        <w:tc>
          <w:tcPr>
            <w:tcW w:w="619" w:type="dxa"/>
            <w:tcBorders>
              <w:top w:val="single" w:color="auto" w:sz="4" w:space="0"/>
              <w:left w:val="single" w:color="000000" w:sz="4" w:space="0"/>
              <w:right w:val="single" w:color="000000" w:sz="4" w:space="0"/>
            </w:tcBorders>
            <w:noWrap/>
            <w:vAlign w:val="center"/>
          </w:tcPr>
          <w:p w14:paraId="3E7827EC">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30</w:t>
            </w:r>
          </w:p>
        </w:tc>
        <w:tc>
          <w:tcPr>
            <w:tcW w:w="819" w:type="dxa"/>
            <w:vMerge w:val="continue"/>
            <w:tcBorders>
              <w:left w:val="single" w:color="000000" w:sz="4" w:space="0"/>
              <w:right w:val="single" w:color="000000" w:sz="4" w:space="0"/>
            </w:tcBorders>
            <w:noWrap/>
            <w:vAlign w:val="center"/>
          </w:tcPr>
          <w:p w14:paraId="735933FA">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1E95683E">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72CDBE5F">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7EBFDF9">
            <w:pPr>
              <w:spacing w:line="360" w:lineRule="auto"/>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31C6F9D1">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（3）业务数据质量（1.5分）：业务数据未出现问题的得1.5分；业务数据出现重复、遗漏、错误、延迟传递等情况的，每发生一笔扣0.2分；出现批量差错的，每笔扣0.75分，扣完为止。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7891E72C">
            <w:pPr>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r>
      <w:tr w14:paraId="4C8C4600">
        <w:tblPrEx>
          <w:tblCellMar>
            <w:top w:w="0" w:type="dxa"/>
            <w:left w:w="108" w:type="dxa"/>
            <w:bottom w:w="0" w:type="dxa"/>
            <w:right w:w="108" w:type="dxa"/>
          </w:tblCellMar>
        </w:tblPrEx>
        <w:trPr>
          <w:trHeight w:val="1285"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607DD82E">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31</w:t>
            </w:r>
          </w:p>
        </w:tc>
        <w:tc>
          <w:tcPr>
            <w:tcW w:w="819" w:type="dxa"/>
            <w:vMerge w:val="continue"/>
            <w:tcBorders>
              <w:left w:val="single" w:color="000000" w:sz="4" w:space="0"/>
              <w:right w:val="single" w:color="000000" w:sz="4" w:space="0"/>
            </w:tcBorders>
            <w:noWrap/>
            <w:vAlign w:val="center"/>
          </w:tcPr>
          <w:p w14:paraId="5A7E6160">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2421526E">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right w:val="single" w:color="000000" w:sz="4" w:space="0"/>
            </w:tcBorders>
            <w:noWrap/>
            <w:vAlign w:val="center"/>
          </w:tcPr>
          <w:p w14:paraId="08B21FB5">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信贷业务</w:t>
            </w:r>
          </w:p>
        </w:tc>
        <w:tc>
          <w:tcPr>
            <w:tcW w:w="737" w:type="dxa"/>
            <w:vMerge w:val="restart"/>
            <w:tcBorders>
              <w:top w:val="single" w:color="auto" w:sz="4" w:space="0"/>
              <w:left w:val="single" w:color="000000" w:sz="4" w:space="0"/>
              <w:right w:val="single" w:color="000000" w:sz="4" w:space="0"/>
            </w:tcBorders>
            <w:noWrap/>
            <w:vAlign w:val="center"/>
          </w:tcPr>
          <w:p w14:paraId="5ED50282">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3951" w:type="dxa"/>
            <w:tcBorders>
              <w:top w:val="single" w:color="auto" w:sz="4" w:space="0"/>
              <w:left w:val="single" w:color="000000" w:sz="4" w:space="0"/>
              <w:bottom w:val="single" w:color="auto" w:sz="4" w:space="0"/>
              <w:right w:val="single" w:color="000000" w:sz="4" w:space="0"/>
            </w:tcBorders>
            <w:noWrap/>
            <w:vAlign w:val="center"/>
          </w:tcPr>
          <w:p w14:paraId="5DA2D1C8">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（1）信贷业务审批量（1分）：按照审批量占比从大到小进行排名，第一名得1分，每下降一名扣0.06分</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rPr>
              <w:t>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2943C746">
            <w:pPr>
              <w:widowControl/>
              <w:jc w:val="center"/>
              <w:textAlignment w:val="center"/>
              <w:rPr>
                <w:rFonts w:ascii="宋体" w:hAnsi="宋体" w:cs="宋体"/>
                <w:color w:val="auto"/>
                <w:kern w:val="0"/>
                <w:szCs w:val="21"/>
                <w:highlight w:val="none"/>
              </w:rPr>
            </w:pPr>
            <w:r>
              <w:rPr>
                <w:rFonts w:hint="eastAsia" w:ascii="宋体" w:hAnsi="宋体" w:cs="宋体"/>
                <w:color w:val="auto"/>
                <w:kern w:val="0"/>
                <w:sz w:val="22"/>
                <w:szCs w:val="22"/>
                <w:highlight w:val="none"/>
              </w:rPr>
              <w:t>1</w:t>
            </w:r>
          </w:p>
        </w:tc>
      </w:tr>
      <w:tr w14:paraId="13B287F4">
        <w:tblPrEx>
          <w:tblCellMar>
            <w:top w:w="0" w:type="dxa"/>
            <w:left w:w="108" w:type="dxa"/>
            <w:bottom w:w="0" w:type="dxa"/>
            <w:right w:w="108" w:type="dxa"/>
          </w:tblCellMar>
        </w:tblPrEx>
        <w:trPr>
          <w:trHeight w:val="859"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63C9A9EE">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32</w:t>
            </w:r>
          </w:p>
        </w:tc>
        <w:tc>
          <w:tcPr>
            <w:tcW w:w="819" w:type="dxa"/>
            <w:vMerge w:val="continue"/>
            <w:tcBorders>
              <w:left w:val="single" w:color="000000" w:sz="4" w:space="0"/>
              <w:right w:val="single" w:color="000000" w:sz="4" w:space="0"/>
            </w:tcBorders>
            <w:noWrap/>
            <w:vAlign w:val="center"/>
          </w:tcPr>
          <w:p w14:paraId="0C019EBD">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5D97399E">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751C28BB">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39704E5">
            <w:pPr>
              <w:spacing w:line="360" w:lineRule="auto"/>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2C87A46A">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（2）信贷业务退件（</w:t>
            </w:r>
            <w:r>
              <w:rPr>
                <w:rFonts w:hint="eastAsia" w:ascii="宋体" w:hAnsi="宋体" w:cs="宋体"/>
                <w:bCs/>
                <w:color w:val="auto"/>
                <w:kern w:val="0"/>
                <w:szCs w:val="21"/>
                <w:highlight w:val="none"/>
                <w:lang w:val="en-US" w:eastAsia="zh-CN"/>
              </w:rPr>
              <w:t>2</w:t>
            </w:r>
            <w:r>
              <w:rPr>
                <w:rFonts w:hint="eastAsia" w:ascii="宋体" w:hAnsi="宋体" w:cs="宋体"/>
                <w:bCs/>
                <w:color w:val="auto"/>
                <w:kern w:val="0"/>
                <w:szCs w:val="21"/>
                <w:highlight w:val="none"/>
              </w:rPr>
              <w:t>分）：未出现退件情况的得2分，每出现一笔扣0.4分，扣完为止；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2C47D980">
            <w:pPr>
              <w:widowControl/>
              <w:jc w:val="center"/>
              <w:textAlignment w:val="center"/>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rPr>
              <w:t>2</w:t>
            </w:r>
          </w:p>
        </w:tc>
      </w:tr>
      <w:tr w14:paraId="0FFEAA15">
        <w:tblPrEx>
          <w:tblCellMar>
            <w:top w:w="0" w:type="dxa"/>
            <w:left w:w="108" w:type="dxa"/>
            <w:bottom w:w="0" w:type="dxa"/>
            <w:right w:w="108" w:type="dxa"/>
          </w:tblCellMar>
        </w:tblPrEx>
        <w:trPr>
          <w:trHeight w:val="542"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4112395C">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33</w:t>
            </w:r>
          </w:p>
        </w:tc>
        <w:tc>
          <w:tcPr>
            <w:tcW w:w="819" w:type="dxa"/>
            <w:vMerge w:val="continue"/>
            <w:tcBorders>
              <w:left w:val="single" w:color="000000" w:sz="4" w:space="0"/>
              <w:right w:val="single" w:color="000000" w:sz="4" w:space="0"/>
            </w:tcBorders>
            <w:noWrap/>
            <w:vAlign w:val="center"/>
          </w:tcPr>
          <w:p w14:paraId="7F6A3F07">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70C6E9EA">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62C6EBA1">
            <w:pPr>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30D0F058">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2064E09A">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w:t>
            </w:r>
            <w:r>
              <w:rPr>
                <w:rFonts w:hint="eastAsia" w:ascii="宋体" w:hAnsi="宋体" w:cs="宋体"/>
                <w:bCs/>
                <w:color w:val="auto"/>
                <w:kern w:val="0"/>
                <w:szCs w:val="21"/>
                <w:highlight w:val="none"/>
                <w:lang w:val="en-US" w:eastAsia="zh-CN"/>
              </w:rPr>
              <w:t>3</w:t>
            </w:r>
            <w:r>
              <w:rPr>
                <w:rFonts w:hint="eastAsia" w:ascii="宋体" w:hAnsi="宋体" w:cs="宋体"/>
                <w:bCs/>
                <w:color w:val="auto"/>
                <w:kern w:val="0"/>
                <w:szCs w:val="21"/>
                <w:highlight w:val="none"/>
              </w:rPr>
              <w:t>）信贷业务贷后催收（</w:t>
            </w:r>
            <w:r>
              <w:rPr>
                <w:rFonts w:hint="eastAsia" w:ascii="宋体" w:hAnsi="宋体" w:cs="宋体"/>
                <w:bCs/>
                <w:color w:val="auto"/>
                <w:kern w:val="0"/>
                <w:szCs w:val="21"/>
                <w:highlight w:val="none"/>
                <w:lang w:val="en-US" w:eastAsia="zh-CN"/>
              </w:rPr>
              <w:t>1</w:t>
            </w:r>
            <w:r>
              <w:rPr>
                <w:rFonts w:hint="eastAsia" w:ascii="宋体" w:hAnsi="宋体" w:cs="宋体"/>
                <w:bCs/>
                <w:color w:val="auto"/>
                <w:kern w:val="0"/>
                <w:szCs w:val="21"/>
                <w:highlight w:val="none"/>
              </w:rPr>
              <w:t>分）：抵押登记率不到100%的，每下降1%扣0.1分,逾期3期以上仍未进入法院诉讼流程的，每人次扣0.1分</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rPr>
              <w:t>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4E541996">
            <w:pPr>
              <w:widowControl/>
              <w:jc w:val="center"/>
              <w:textAlignment w:val="center"/>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rPr>
              <w:t>1</w:t>
            </w:r>
          </w:p>
        </w:tc>
      </w:tr>
      <w:tr w14:paraId="51E0919B">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12E0F0FC">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34</w:t>
            </w:r>
          </w:p>
        </w:tc>
        <w:tc>
          <w:tcPr>
            <w:tcW w:w="819" w:type="dxa"/>
            <w:vMerge w:val="continue"/>
            <w:tcBorders>
              <w:left w:val="single" w:color="000000" w:sz="4" w:space="0"/>
              <w:right w:val="single" w:color="000000" w:sz="4" w:space="0"/>
            </w:tcBorders>
            <w:noWrap/>
            <w:vAlign w:val="center"/>
          </w:tcPr>
          <w:p w14:paraId="6E91D4A5">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11BBD76B">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bottom w:val="single" w:color="auto" w:sz="4" w:space="0"/>
              <w:right w:val="single" w:color="000000" w:sz="4" w:space="0"/>
            </w:tcBorders>
            <w:noWrap/>
            <w:vAlign w:val="center"/>
          </w:tcPr>
          <w:p w14:paraId="655F2F52">
            <w:pPr>
              <w:jc w:val="center"/>
              <w:rPr>
                <w:rFonts w:ascii="宋体" w:hAnsi="宋体" w:cs="宋体"/>
                <w:b/>
                <w:bCs/>
                <w:color w:val="auto"/>
                <w:kern w:val="0"/>
                <w:szCs w:val="21"/>
                <w:highlight w:val="none"/>
              </w:rPr>
            </w:pPr>
          </w:p>
        </w:tc>
        <w:tc>
          <w:tcPr>
            <w:tcW w:w="737" w:type="dxa"/>
            <w:vMerge w:val="continue"/>
            <w:tcBorders>
              <w:left w:val="single" w:color="000000" w:sz="4" w:space="0"/>
              <w:bottom w:val="single" w:color="auto" w:sz="4" w:space="0"/>
              <w:right w:val="single" w:color="000000" w:sz="4" w:space="0"/>
            </w:tcBorders>
            <w:noWrap/>
            <w:vAlign w:val="center"/>
          </w:tcPr>
          <w:p w14:paraId="4562A110">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187DB34B">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w:t>
            </w:r>
            <w:r>
              <w:rPr>
                <w:rFonts w:hint="eastAsia" w:ascii="宋体" w:hAnsi="宋体" w:cs="宋体"/>
                <w:bCs/>
                <w:color w:val="auto"/>
                <w:kern w:val="0"/>
                <w:szCs w:val="21"/>
                <w:highlight w:val="none"/>
                <w:lang w:val="en-US" w:eastAsia="zh-CN"/>
              </w:rPr>
              <w:t>4</w:t>
            </w:r>
            <w:r>
              <w:rPr>
                <w:rFonts w:hint="eastAsia" w:ascii="宋体" w:hAnsi="宋体" w:cs="宋体"/>
                <w:bCs/>
                <w:color w:val="auto"/>
                <w:kern w:val="0"/>
                <w:szCs w:val="21"/>
                <w:highlight w:val="none"/>
              </w:rPr>
              <w:t>）信贷业务日常业务管理（</w:t>
            </w:r>
            <w:r>
              <w:rPr>
                <w:rFonts w:hint="eastAsia" w:ascii="宋体" w:hAnsi="宋体" w:cs="宋体"/>
                <w:bCs/>
                <w:color w:val="auto"/>
                <w:kern w:val="0"/>
                <w:szCs w:val="21"/>
                <w:highlight w:val="none"/>
                <w:lang w:val="en-US" w:eastAsia="zh-CN"/>
              </w:rPr>
              <w:t>1</w:t>
            </w:r>
            <w:r>
              <w:rPr>
                <w:rFonts w:hint="eastAsia" w:ascii="宋体" w:hAnsi="宋体" w:cs="宋体"/>
                <w:bCs/>
                <w:color w:val="auto"/>
                <w:kern w:val="0"/>
                <w:szCs w:val="21"/>
                <w:highlight w:val="none"/>
              </w:rPr>
              <w:t>分）：日常业务中，出现批扣错误、他项权证登记错误、重大信访投诉等情形之一的，每发生一次扣0.5分</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rPr>
              <w:t>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009A2A4C">
            <w:pPr>
              <w:widowControl/>
              <w:jc w:val="center"/>
              <w:textAlignment w:val="center"/>
              <w:rPr>
                <w:rFonts w:hint="eastAsia" w:ascii="宋体" w:hAnsi="宋体" w:eastAsia="宋体" w:cs="宋体"/>
                <w:bCs/>
                <w:color w:val="auto"/>
                <w:kern w:val="0"/>
                <w:szCs w:val="21"/>
                <w:highlight w:val="none"/>
                <w:lang w:eastAsia="zh-CN"/>
              </w:rPr>
            </w:pPr>
            <w:r>
              <w:rPr>
                <w:rFonts w:hint="eastAsia" w:ascii="宋体" w:hAnsi="宋体" w:cs="宋体"/>
                <w:color w:val="auto"/>
                <w:kern w:val="0"/>
                <w:sz w:val="22"/>
                <w:szCs w:val="22"/>
                <w:highlight w:val="none"/>
                <w:lang w:val="en-US" w:eastAsia="zh-CN"/>
              </w:rPr>
              <w:t>1</w:t>
            </w:r>
          </w:p>
        </w:tc>
      </w:tr>
      <w:tr w14:paraId="6853CF2A">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2CDAE409">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3</w:t>
            </w:r>
            <w:r>
              <w:rPr>
                <w:rFonts w:hint="eastAsia" w:ascii="宋体" w:hAnsi="宋体" w:cs="宋体"/>
                <w:b/>
                <w:bCs/>
                <w:color w:val="auto"/>
                <w:kern w:val="0"/>
                <w:szCs w:val="21"/>
                <w:highlight w:val="none"/>
                <w:lang w:val="en-US" w:eastAsia="zh-CN"/>
              </w:rPr>
              <w:t>5</w:t>
            </w:r>
          </w:p>
        </w:tc>
        <w:tc>
          <w:tcPr>
            <w:tcW w:w="819" w:type="dxa"/>
            <w:vMerge w:val="continue"/>
            <w:tcBorders>
              <w:left w:val="single" w:color="000000" w:sz="4" w:space="0"/>
              <w:right w:val="single" w:color="000000" w:sz="4" w:space="0"/>
            </w:tcBorders>
            <w:noWrap/>
            <w:vAlign w:val="center"/>
          </w:tcPr>
          <w:p w14:paraId="5B431036">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AF51FDD">
            <w:pPr>
              <w:spacing w:line="360" w:lineRule="auto"/>
              <w:jc w:val="center"/>
              <w:rPr>
                <w:rFonts w:ascii="宋体" w:hAnsi="宋体" w:cs="宋体"/>
                <w:b/>
                <w:bCs/>
                <w:color w:val="auto"/>
                <w:kern w:val="0"/>
                <w:szCs w:val="21"/>
                <w:highlight w:val="none"/>
              </w:rPr>
            </w:pPr>
          </w:p>
        </w:tc>
        <w:tc>
          <w:tcPr>
            <w:tcW w:w="1472" w:type="dxa"/>
            <w:vMerge w:val="restart"/>
            <w:tcBorders>
              <w:top w:val="single" w:color="auto" w:sz="4" w:space="0"/>
              <w:left w:val="single" w:color="000000" w:sz="4" w:space="0"/>
              <w:right w:val="single" w:color="000000" w:sz="4" w:space="0"/>
            </w:tcBorders>
            <w:noWrap/>
            <w:vAlign w:val="center"/>
          </w:tcPr>
          <w:p w14:paraId="46075A95">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系统维护</w:t>
            </w:r>
          </w:p>
        </w:tc>
        <w:tc>
          <w:tcPr>
            <w:tcW w:w="737" w:type="dxa"/>
            <w:vMerge w:val="restart"/>
            <w:tcBorders>
              <w:top w:val="single" w:color="auto" w:sz="4" w:space="0"/>
              <w:left w:val="single" w:color="000000" w:sz="4" w:space="0"/>
              <w:right w:val="single" w:color="000000" w:sz="4" w:space="0"/>
            </w:tcBorders>
            <w:noWrap/>
            <w:vAlign w:val="center"/>
          </w:tcPr>
          <w:p w14:paraId="2285FB0B">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3951" w:type="dxa"/>
            <w:tcBorders>
              <w:top w:val="single" w:color="auto" w:sz="4" w:space="0"/>
              <w:left w:val="single" w:color="000000" w:sz="4" w:space="0"/>
              <w:bottom w:val="single" w:color="auto" w:sz="4" w:space="0"/>
              <w:right w:val="single" w:color="000000" w:sz="4" w:space="0"/>
            </w:tcBorders>
            <w:noWrap/>
            <w:vAlign w:val="center"/>
          </w:tcPr>
          <w:p w14:paraId="66021A6E">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（1）信息化项目(含日常运维)支持情况(3.5分)：按照对中心信息化支持配合情况酌情打分，最多得 3.5分。</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1C30F9E5">
            <w:pPr>
              <w:widowControl/>
              <w:jc w:val="center"/>
              <w:textAlignment w:val="center"/>
              <w:rPr>
                <w:rFonts w:ascii="宋体" w:hAnsi="宋体" w:cs="宋体"/>
                <w:bCs/>
                <w:color w:val="auto"/>
                <w:kern w:val="0"/>
                <w:szCs w:val="21"/>
                <w:highlight w:val="none"/>
              </w:rPr>
            </w:pPr>
            <w:r>
              <w:rPr>
                <w:rFonts w:hint="eastAsia" w:ascii="宋体" w:hAnsi="宋体" w:cs="宋体"/>
                <w:color w:val="auto"/>
                <w:kern w:val="0"/>
                <w:sz w:val="22"/>
                <w:szCs w:val="22"/>
                <w:highlight w:val="none"/>
              </w:rPr>
              <w:t>3.5</w:t>
            </w:r>
          </w:p>
        </w:tc>
      </w:tr>
      <w:tr w14:paraId="0D28F214">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5EF04EED">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3</w:t>
            </w:r>
            <w:r>
              <w:rPr>
                <w:rFonts w:hint="eastAsia" w:ascii="宋体" w:hAnsi="宋体" w:cs="宋体"/>
                <w:b/>
                <w:bCs/>
                <w:color w:val="auto"/>
                <w:kern w:val="0"/>
                <w:szCs w:val="21"/>
                <w:highlight w:val="none"/>
                <w:lang w:val="en-US" w:eastAsia="zh-CN"/>
              </w:rPr>
              <w:t>6</w:t>
            </w:r>
          </w:p>
        </w:tc>
        <w:tc>
          <w:tcPr>
            <w:tcW w:w="819" w:type="dxa"/>
            <w:vMerge w:val="continue"/>
            <w:tcBorders>
              <w:left w:val="single" w:color="000000" w:sz="4" w:space="0"/>
              <w:right w:val="single" w:color="000000" w:sz="4" w:space="0"/>
            </w:tcBorders>
            <w:noWrap/>
            <w:vAlign w:val="center"/>
          </w:tcPr>
          <w:p w14:paraId="0A25053A">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61C03274">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right w:val="single" w:color="000000" w:sz="4" w:space="0"/>
            </w:tcBorders>
            <w:noWrap/>
            <w:vAlign w:val="center"/>
          </w:tcPr>
          <w:p w14:paraId="617B3295">
            <w:pPr>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F73126E">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523D799E">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（2）结算平台及数据交互情况（1分）：未出现错误的得1分；每出现一次错误扣0.2分，扣完为止。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38B69F91">
            <w:pPr>
              <w:widowControl/>
              <w:jc w:val="center"/>
              <w:textAlignment w:val="center"/>
              <w:rPr>
                <w:rFonts w:ascii="宋体" w:hAnsi="宋体" w:cs="宋体"/>
                <w:bCs/>
                <w:color w:val="auto"/>
                <w:kern w:val="0"/>
                <w:szCs w:val="21"/>
                <w:highlight w:val="none"/>
              </w:rPr>
            </w:pPr>
            <w:r>
              <w:rPr>
                <w:rFonts w:hint="eastAsia" w:ascii="宋体" w:hAnsi="宋体" w:cs="宋体"/>
                <w:color w:val="auto"/>
                <w:kern w:val="0"/>
                <w:sz w:val="22"/>
                <w:szCs w:val="22"/>
                <w:highlight w:val="none"/>
              </w:rPr>
              <w:t>1</w:t>
            </w:r>
          </w:p>
        </w:tc>
      </w:tr>
      <w:tr w14:paraId="6A7326CB">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32003CAD">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37</w:t>
            </w:r>
          </w:p>
        </w:tc>
        <w:tc>
          <w:tcPr>
            <w:tcW w:w="819" w:type="dxa"/>
            <w:vMerge w:val="continue"/>
            <w:tcBorders>
              <w:left w:val="single" w:color="000000" w:sz="4" w:space="0"/>
              <w:right w:val="single" w:color="000000" w:sz="4" w:space="0"/>
            </w:tcBorders>
            <w:noWrap/>
            <w:vAlign w:val="center"/>
          </w:tcPr>
          <w:p w14:paraId="593DCB9B">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E6518DE">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bottom w:val="single" w:color="auto" w:sz="4" w:space="0"/>
              <w:right w:val="single" w:color="000000" w:sz="4" w:space="0"/>
            </w:tcBorders>
            <w:noWrap/>
            <w:vAlign w:val="center"/>
          </w:tcPr>
          <w:p w14:paraId="532E7846">
            <w:pPr>
              <w:jc w:val="center"/>
              <w:rPr>
                <w:rFonts w:ascii="宋体" w:hAnsi="宋体" w:cs="宋体"/>
                <w:b/>
                <w:bCs/>
                <w:color w:val="auto"/>
                <w:kern w:val="0"/>
                <w:szCs w:val="21"/>
                <w:highlight w:val="none"/>
              </w:rPr>
            </w:pPr>
          </w:p>
        </w:tc>
        <w:tc>
          <w:tcPr>
            <w:tcW w:w="737" w:type="dxa"/>
            <w:vMerge w:val="continue"/>
            <w:tcBorders>
              <w:left w:val="single" w:color="000000" w:sz="4" w:space="0"/>
              <w:bottom w:val="single" w:color="auto" w:sz="4" w:space="0"/>
              <w:right w:val="single" w:color="000000" w:sz="4" w:space="0"/>
            </w:tcBorders>
            <w:noWrap/>
            <w:vAlign w:val="center"/>
          </w:tcPr>
          <w:p w14:paraId="420CEB2C">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5D41FDFC">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（3）系统签退及日常管理情况(</w:t>
            </w:r>
            <w:r>
              <w:rPr>
                <w:rFonts w:hint="eastAsia" w:ascii="宋体" w:hAnsi="宋体" w:cs="宋体"/>
                <w:bCs/>
                <w:color w:val="auto"/>
                <w:kern w:val="0"/>
                <w:szCs w:val="21"/>
                <w:highlight w:val="none"/>
                <w:lang w:val="en-US" w:eastAsia="zh-CN"/>
              </w:rPr>
              <w:t>0.5</w:t>
            </w:r>
            <w:r>
              <w:rPr>
                <w:rFonts w:hint="eastAsia" w:ascii="宋体" w:hAnsi="宋体" w:cs="宋体"/>
                <w:bCs/>
                <w:color w:val="auto"/>
                <w:kern w:val="0"/>
                <w:szCs w:val="21"/>
                <w:highlight w:val="none"/>
              </w:rPr>
              <w:t>分):未及时签退、未按要求及时响应和处理系统故院</w:t>
            </w:r>
            <w:r>
              <w:rPr>
                <w:rFonts w:hint="eastAsia" w:ascii="宋体" w:hAnsi="宋体" w:cs="宋体"/>
                <w:bCs/>
                <w:color w:val="auto"/>
                <w:kern w:val="0"/>
                <w:szCs w:val="21"/>
                <w:highlight w:val="none"/>
                <w:lang w:val="en-US" w:eastAsia="zh-CN"/>
              </w:rPr>
              <w:t>或</w:t>
            </w:r>
            <w:r>
              <w:rPr>
                <w:rFonts w:hint="eastAsia" w:ascii="宋体" w:hAnsi="宋体" w:cs="宋体"/>
                <w:bCs/>
                <w:color w:val="auto"/>
                <w:kern w:val="0"/>
                <w:szCs w:val="21"/>
                <w:highlight w:val="none"/>
              </w:rPr>
              <w:t>运维问题</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rPr>
              <w:t>未对客户端做安全防护的，每发生一次扣 0.1分，扣完为止。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084786A7">
            <w:pPr>
              <w:widowControl/>
              <w:jc w:val="center"/>
              <w:textAlignment w:val="center"/>
              <w:rPr>
                <w:rFonts w:ascii="宋体" w:hAnsi="宋体" w:cs="宋体"/>
                <w:bCs/>
                <w:color w:val="auto"/>
                <w:kern w:val="0"/>
                <w:szCs w:val="21"/>
                <w:highlight w:val="none"/>
              </w:rPr>
            </w:pPr>
            <w:r>
              <w:rPr>
                <w:rFonts w:hint="eastAsia" w:ascii="宋体" w:hAnsi="宋体" w:cs="宋体"/>
                <w:color w:val="auto"/>
                <w:kern w:val="0"/>
                <w:sz w:val="22"/>
                <w:szCs w:val="22"/>
                <w:highlight w:val="none"/>
              </w:rPr>
              <w:t>0.5</w:t>
            </w:r>
          </w:p>
        </w:tc>
      </w:tr>
      <w:tr w14:paraId="4701EBFA">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0EA98F2A">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38</w:t>
            </w:r>
          </w:p>
        </w:tc>
        <w:tc>
          <w:tcPr>
            <w:tcW w:w="819" w:type="dxa"/>
            <w:vMerge w:val="continue"/>
            <w:tcBorders>
              <w:left w:val="single" w:color="000000" w:sz="4" w:space="0"/>
              <w:right w:val="single" w:color="000000" w:sz="4" w:space="0"/>
            </w:tcBorders>
            <w:noWrap/>
            <w:vAlign w:val="center"/>
          </w:tcPr>
          <w:p w14:paraId="21B113FE">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553DF374">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right w:val="single" w:color="000000" w:sz="4" w:space="0"/>
            </w:tcBorders>
            <w:noWrap/>
            <w:vAlign w:val="center"/>
          </w:tcPr>
          <w:p w14:paraId="0089FF30">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协助扩面</w:t>
            </w:r>
          </w:p>
        </w:tc>
        <w:tc>
          <w:tcPr>
            <w:tcW w:w="737" w:type="dxa"/>
            <w:vMerge w:val="restart"/>
            <w:tcBorders>
              <w:left w:val="single" w:color="000000" w:sz="4" w:space="0"/>
              <w:right w:val="single" w:color="000000" w:sz="4" w:space="0"/>
            </w:tcBorders>
            <w:noWrap/>
            <w:vAlign w:val="center"/>
          </w:tcPr>
          <w:p w14:paraId="47954F57">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5</w:t>
            </w:r>
          </w:p>
        </w:tc>
        <w:tc>
          <w:tcPr>
            <w:tcW w:w="3951" w:type="dxa"/>
            <w:tcBorders>
              <w:top w:val="single" w:color="auto" w:sz="4" w:space="0"/>
              <w:left w:val="single" w:color="000000" w:sz="4" w:space="0"/>
              <w:bottom w:val="single" w:color="auto" w:sz="4" w:space="0"/>
              <w:right w:val="single" w:color="000000" w:sz="4" w:space="0"/>
            </w:tcBorders>
            <w:noWrap/>
            <w:vAlign w:val="center"/>
          </w:tcPr>
          <w:p w14:paraId="42510AD1">
            <w:pPr>
              <w:spacing w:line="360" w:lineRule="auto"/>
              <w:rPr>
                <w:rFonts w:hint="eastAsia" w:ascii="宋体" w:hAnsi="宋体" w:eastAsia="宋体" w:cs="宋体"/>
                <w:bCs/>
                <w:color w:val="auto"/>
                <w:kern w:val="0"/>
                <w:szCs w:val="21"/>
                <w:highlight w:val="none"/>
                <w:lang w:eastAsia="zh-CN"/>
              </w:rPr>
            </w:pPr>
            <w:r>
              <w:rPr>
                <w:rFonts w:hint="eastAsia" w:ascii="宋体" w:hAnsi="宋体" w:cs="宋体"/>
                <w:bCs/>
                <w:color w:val="auto"/>
                <w:kern w:val="0"/>
                <w:szCs w:val="21"/>
                <w:highlight w:val="none"/>
              </w:rPr>
              <w:t>（1）当年扩面目标任务完成情况（3分）：202</w:t>
            </w:r>
            <w:r>
              <w:rPr>
                <w:rFonts w:hint="eastAsia" w:ascii="宋体" w:hAnsi="宋体" w:cs="宋体"/>
                <w:bCs/>
                <w:color w:val="auto"/>
                <w:kern w:val="0"/>
                <w:szCs w:val="21"/>
                <w:highlight w:val="none"/>
                <w:lang w:val="en-US" w:eastAsia="zh-CN"/>
              </w:rPr>
              <w:t>5</w:t>
            </w:r>
            <w:r>
              <w:rPr>
                <w:rFonts w:hint="eastAsia" w:ascii="宋体" w:hAnsi="宋体" w:cs="宋体"/>
                <w:bCs/>
                <w:color w:val="auto"/>
                <w:kern w:val="0"/>
                <w:szCs w:val="21"/>
                <w:highlight w:val="none"/>
              </w:rPr>
              <w:t>年度（1月至</w:t>
            </w:r>
            <w:r>
              <w:rPr>
                <w:rFonts w:hint="eastAsia" w:ascii="宋体" w:hAnsi="宋体" w:cs="宋体"/>
                <w:bCs/>
                <w:color w:val="auto"/>
                <w:kern w:val="0"/>
                <w:szCs w:val="21"/>
                <w:highlight w:val="none"/>
                <w:lang w:val="en-US" w:eastAsia="zh-CN"/>
              </w:rPr>
              <w:t>3</w:t>
            </w:r>
            <w:r>
              <w:rPr>
                <w:rFonts w:hint="eastAsia" w:ascii="宋体" w:hAnsi="宋体" w:cs="宋体"/>
                <w:bCs/>
                <w:color w:val="auto"/>
                <w:kern w:val="0"/>
                <w:szCs w:val="21"/>
                <w:highlight w:val="none"/>
              </w:rPr>
              <w:t>月）扩面目标完成的得3分，未完成的不得分；</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77576C5D">
            <w:pPr>
              <w:widowControl/>
              <w:jc w:val="center"/>
              <w:textAlignment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w:t>
            </w:r>
          </w:p>
        </w:tc>
      </w:tr>
      <w:tr w14:paraId="67E7A52E">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0D1A1975">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39</w:t>
            </w:r>
          </w:p>
        </w:tc>
        <w:tc>
          <w:tcPr>
            <w:tcW w:w="819" w:type="dxa"/>
            <w:vMerge w:val="continue"/>
            <w:tcBorders>
              <w:left w:val="single" w:color="000000" w:sz="4" w:space="0"/>
              <w:right w:val="single" w:color="000000" w:sz="4" w:space="0"/>
            </w:tcBorders>
            <w:noWrap/>
            <w:vAlign w:val="center"/>
          </w:tcPr>
          <w:p w14:paraId="1A9C5399">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ED71210">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bottom w:val="single" w:color="000000" w:sz="4" w:space="0"/>
              <w:right w:val="single" w:color="000000" w:sz="4" w:space="0"/>
            </w:tcBorders>
            <w:noWrap/>
            <w:vAlign w:val="center"/>
          </w:tcPr>
          <w:p w14:paraId="71462D43">
            <w:pPr>
              <w:jc w:val="center"/>
              <w:rPr>
                <w:rFonts w:ascii="宋体" w:hAnsi="宋体" w:cs="宋体"/>
                <w:b/>
                <w:bCs/>
                <w:color w:val="auto"/>
                <w:kern w:val="0"/>
                <w:szCs w:val="21"/>
                <w:highlight w:val="none"/>
              </w:rPr>
            </w:pPr>
          </w:p>
        </w:tc>
        <w:tc>
          <w:tcPr>
            <w:tcW w:w="737" w:type="dxa"/>
            <w:vMerge w:val="continue"/>
            <w:tcBorders>
              <w:left w:val="single" w:color="000000" w:sz="4" w:space="0"/>
              <w:bottom w:val="single" w:color="auto" w:sz="4" w:space="0"/>
              <w:right w:val="single" w:color="000000" w:sz="4" w:space="0"/>
            </w:tcBorders>
            <w:noWrap/>
            <w:vAlign w:val="center"/>
          </w:tcPr>
          <w:p w14:paraId="03A57AED">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1C71FE67">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（2）招标公告发布前 12 个月内（202</w:t>
            </w:r>
            <w:r>
              <w:rPr>
                <w:rFonts w:hint="eastAsia" w:ascii="宋体" w:hAnsi="宋体" w:cs="宋体"/>
                <w:bCs/>
                <w:color w:val="auto"/>
                <w:kern w:val="0"/>
                <w:szCs w:val="21"/>
                <w:highlight w:val="none"/>
                <w:lang w:val="en-US" w:eastAsia="zh-CN"/>
              </w:rPr>
              <w:t>4</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lang w:val="en-US" w:eastAsia="zh-CN"/>
              </w:rPr>
              <w:t>4</w:t>
            </w:r>
            <w:r>
              <w:rPr>
                <w:rFonts w:hint="eastAsia" w:ascii="宋体" w:hAnsi="宋体" w:cs="宋体"/>
                <w:bCs/>
                <w:color w:val="auto"/>
                <w:kern w:val="0"/>
                <w:szCs w:val="21"/>
                <w:highlight w:val="none"/>
              </w:rPr>
              <w:t>月至202</w:t>
            </w:r>
            <w:r>
              <w:rPr>
                <w:rFonts w:hint="eastAsia" w:ascii="宋体" w:hAnsi="宋体" w:cs="宋体"/>
                <w:bCs/>
                <w:color w:val="auto"/>
                <w:kern w:val="0"/>
                <w:szCs w:val="21"/>
                <w:highlight w:val="none"/>
                <w:lang w:val="en-US" w:eastAsia="zh-CN"/>
              </w:rPr>
              <w:t>5</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lang w:val="en-US" w:eastAsia="zh-CN"/>
              </w:rPr>
              <w:t>3</w:t>
            </w:r>
            <w:r>
              <w:rPr>
                <w:rFonts w:hint="eastAsia" w:ascii="宋体" w:hAnsi="宋体" w:cs="宋体"/>
                <w:bCs/>
                <w:color w:val="auto"/>
                <w:kern w:val="0"/>
                <w:szCs w:val="21"/>
                <w:highlight w:val="none"/>
              </w:rPr>
              <w:t>月）协助扩面完成情况(2分):协助扩面指标完成率为300%及以上或扩面人数排名在前6名的，得2分，扩面人数排名在7-11 名的，得1.5 分;扩面人数排名在 12-16 名的,得1分。投标人未完成协助扩面指标的不得分。</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5057C0EF">
            <w:pPr>
              <w:widowControl/>
              <w:jc w:val="center"/>
              <w:textAlignment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w:t>
            </w:r>
          </w:p>
        </w:tc>
      </w:tr>
      <w:tr w14:paraId="719F8461">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6CE77EFF">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40</w:t>
            </w:r>
          </w:p>
        </w:tc>
        <w:tc>
          <w:tcPr>
            <w:tcW w:w="819" w:type="dxa"/>
            <w:vMerge w:val="continue"/>
            <w:tcBorders>
              <w:left w:val="single" w:color="000000" w:sz="4" w:space="0"/>
              <w:right w:val="single" w:color="000000" w:sz="4" w:space="0"/>
            </w:tcBorders>
            <w:noWrap/>
            <w:vAlign w:val="center"/>
          </w:tcPr>
          <w:p w14:paraId="38A5A1E3">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4BF69976">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right w:val="single" w:color="000000" w:sz="4" w:space="0"/>
            </w:tcBorders>
            <w:noWrap/>
            <w:vAlign w:val="center"/>
          </w:tcPr>
          <w:p w14:paraId="768B747E">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财务业务</w:t>
            </w:r>
          </w:p>
        </w:tc>
        <w:tc>
          <w:tcPr>
            <w:tcW w:w="737" w:type="dxa"/>
            <w:vMerge w:val="restart"/>
            <w:tcBorders>
              <w:top w:val="single" w:color="auto" w:sz="4" w:space="0"/>
              <w:left w:val="single" w:color="000000" w:sz="4" w:space="0"/>
              <w:right w:val="single" w:color="000000" w:sz="4" w:space="0"/>
            </w:tcBorders>
            <w:noWrap/>
            <w:vAlign w:val="center"/>
          </w:tcPr>
          <w:p w14:paraId="5005324D">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1.5</w:t>
            </w:r>
          </w:p>
        </w:tc>
        <w:tc>
          <w:tcPr>
            <w:tcW w:w="3951" w:type="dxa"/>
            <w:tcBorders>
              <w:top w:val="single" w:color="auto" w:sz="4" w:space="0"/>
              <w:left w:val="single" w:color="000000" w:sz="4" w:space="0"/>
              <w:bottom w:val="single" w:color="auto" w:sz="4" w:space="0"/>
              <w:right w:val="single" w:color="000000" w:sz="4" w:space="0"/>
            </w:tcBorders>
            <w:noWrap/>
            <w:vAlign w:val="center"/>
          </w:tcPr>
          <w:p w14:paraId="31BF20E0">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（1）银行账户和结算管理（1分）：未出现错误的得1分；每发生一次错误扣0.5分，扣完为止。</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4C7A17DF">
            <w:pPr>
              <w:widowControl/>
              <w:jc w:val="center"/>
              <w:textAlignment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w:t>
            </w:r>
          </w:p>
        </w:tc>
      </w:tr>
      <w:tr w14:paraId="5050552E">
        <w:tblPrEx>
          <w:tblCellMar>
            <w:top w:w="0" w:type="dxa"/>
            <w:left w:w="108" w:type="dxa"/>
            <w:bottom w:w="0" w:type="dxa"/>
            <w:right w:w="108" w:type="dxa"/>
          </w:tblCellMar>
        </w:tblPrEx>
        <w:trPr>
          <w:trHeight w:val="1220" w:hRule="atLeast"/>
        </w:trPr>
        <w:tc>
          <w:tcPr>
            <w:tcW w:w="619" w:type="dxa"/>
            <w:tcBorders>
              <w:top w:val="single" w:color="auto" w:sz="4" w:space="0"/>
              <w:left w:val="single" w:color="000000" w:sz="4" w:space="0"/>
              <w:bottom w:val="single" w:color="auto" w:sz="4" w:space="0"/>
              <w:right w:val="single" w:color="000000" w:sz="4" w:space="0"/>
            </w:tcBorders>
            <w:noWrap/>
            <w:vAlign w:val="center"/>
          </w:tcPr>
          <w:p w14:paraId="7EAF209A">
            <w:pPr>
              <w:spacing w:line="360" w:lineRule="auto"/>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41</w:t>
            </w:r>
          </w:p>
        </w:tc>
        <w:tc>
          <w:tcPr>
            <w:tcW w:w="819" w:type="dxa"/>
            <w:vMerge w:val="continue"/>
            <w:tcBorders>
              <w:left w:val="single" w:color="000000" w:sz="4" w:space="0"/>
              <w:right w:val="single" w:color="000000" w:sz="4" w:space="0"/>
            </w:tcBorders>
            <w:noWrap/>
            <w:vAlign w:val="center"/>
          </w:tcPr>
          <w:p w14:paraId="601F88E5">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2862E410">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bottom w:val="single" w:color="auto" w:sz="4" w:space="0"/>
              <w:right w:val="single" w:color="000000" w:sz="4" w:space="0"/>
            </w:tcBorders>
            <w:noWrap/>
            <w:vAlign w:val="center"/>
          </w:tcPr>
          <w:p w14:paraId="2B6FC9B0">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bottom w:val="single" w:color="auto" w:sz="4" w:space="0"/>
              <w:right w:val="single" w:color="000000" w:sz="4" w:space="0"/>
            </w:tcBorders>
            <w:noWrap/>
            <w:vAlign w:val="center"/>
          </w:tcPr>
          <w:p w14:paraId="43F9F2A9">
            <w:pPr>
              <w:spacing w:line="360" w:lineRule="auto"/>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auto" w:sz="4" w:space="0"/>
              <w:right w:val="single" w:color="000000" w:sz="4" w:space="0"/>
            </w:tcBorders>
            <w:noWrap/>
            <w:vAlign w:val="center"/>
          </w:tcPr>
          <w:p w14:paraId="20BDAE40">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（2）对账单、回单等资料报送情况（0.5分）：资料及时送达的得0.5分；资料未及时送达一次扣0.5分。</w:t>
            </w:r>
          </w:p>
        </w:tc>
        <w:tc>
          <w:tcPr>
            <w:tcW w:w="686" w:type="dxa"/>
            <w:tcBorders>
              <w:top w:val="single" w:color="auto" w:sz="4" w:space="0"/>
              <w:left w:val="single" w:color="000000" w:sz="4" w:space="0"/>
              <w:bottom w:val="single" w:color="auto" w:sz="4" w:space="0"/>
              <w:right w:val="single" w:color="000000" w:sz="4" w:space="0"/>
            </w:tcBorders>
            <w:noWrap/>
            <w:vAlign w:val="center"/>
          </w:tcPr>
          <w:p w14:paraId="7BFB3CE7">
            <w:pPr>
              <w:widowControl/>
              <w:jc w:val="center"/>
              <w:textAlignment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0.5</w:t>
            </w:r>
          </w:p>
        </w:tc>
      </w:tr>
      <w:tr w14:paraId="5B2A566B">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000000" w:sz="4" w:space="0"/>
              <w:right w:val="single" w:color="000000" w:sz="4" w:space="0"/>
            </w:tcBorders>
            <w:noWrap/>
            <w:vAlign w:val="center"/>
          </w:tcPr>
          <w:p w14:paraId="1278CFCB">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4</w:t>
            </w:r>
            <w:r>
              <w:rPr>
                <w:rFonts w:hint="eastAsia" w:ascii="宋体" w:hAnsi="宋体" w:cs="宋体"/>
                <w:b/>
                <w:bCs/>
                <w:color w:val="auto"/>
                <w:kern w:val="0"/>
                <w:szCs w:val="21"/>
                <w:highlight w:val="none"/>
                <w:lang w:val="en-US" w:eastAsia="zh-CN"/>
              </w:rPr>
              <w:t>2</w:t>
            </w:r>
          </w:p>
        </w:tc>
        <w:tc>
          <w:tcPr>
            <w:tcW w:w="819" w:type="dxa"/>
            <w:vMerge w:val="continue"/>
            <w:tcBorders>
              <w:left w:val="single" w:color="000000" w:sz="4" w:space="0"/>
              <w:right w:val="single" w:color="000000" w:sz="4" w:space="0"/>
            </w:tcBorders>
            <w:noWrap/>
            <w:vAlign w:val="center"/>
          </w:tcPr>
          <w:p w14:paraId="6E94F426">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right w:val="single" w:color="000000" w:sz="4" w:space="0"/>
            </w:tcBorders>
            <w:noWrap/>
            <w:vAlign w:val="center"/>
          </w:tcPr>
          <w:p w14:paraId="080134DA">
            <w:pPr>
              <w:spacing w:line="360" w:lineRule="auto"/>
              <w:jc w:val="center"/>
              <w:rPr>
                <w:rFonts w:ascii="宋体" w:hAnsi="宋体" w:cs="宋体"/>
                <w:b/>
                <w:bCs/>
                <w:color w:val="auto"/>
                <w:kern w:val="0"/>
                <w:szCs w:val="21"/>
                <w:highlight w:val="none"/>
              </w:rPr>
            </w:pPr>
          </w:p>
        </w:tc>
        <w:tc>
          <w:tcPr>
            <w:tcW w:w="1472" w:type="dxa"/>
            <w:vMerge w:val="restart"/>
            <w:tcBorders>
              <w:top w:val="single" w:color="000000" w:sz="4" w:space="0"/>
              <w:left w:val="single" w:color="000000" w:sz="4" w:space="0"/>
              <w:right w:val="single" w:color="000000" w:sz="4" w:space="0"/>
            </w:tcBorders>
            <w:noWrap/>
            <w:vAlign w:val="center"/>
          </w:tcPr>
          <w:p w14:paraId="562B67AC">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综合协调</w:t>
            </w:r>
          </w:p>
        </w:tc>
        <w:tc>
          <w:tcPr>
            <w:tcW w:w="737" w:type="dxa"/>
            <w:vMerge w:val="restart"/>
            <w:tcBorders>
              <w:left w:val="single" w:color="000000" w:sz="4" w:space="0"/>
              <w:right w:val="single" w:color="000000" w:sz="4" w:space="0"/>
            </w:tcBorders>
            <w:noWrap/>
            <w:vAlign w:val="center"/>
          </w:tcPr>
          <w:p w14:paraId="07B177B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3.5</w:t>
            </w:r>
          </w:p>
        </w:tc>
        <w:tc>
          <w:tcPr>
            <w:tcW w:w="3951" w:type="dxa"/>
            <w:tcBorders>
              <w:top w:val="single" w:color="auto" w:sz="4" w:space="0"/>
              <w:left w:val="single" w:color="000000" w:sz="4" w:space="0"/>
              <w:bottom w:val="single" w:color="000000" w:sz="4" w:space="0"/>
              <w:right w:val="single" w:color="000000" w:sz="4" w:space="0"/>
            </w:tcBorders>
            <w:noWrap/>
            <w:vAlign w:val="center"/>
          </w:tcPr>
          <w:p w14:paraId="1CA77986">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（1）工作人员情况（2分）：</w:t>
            </w:r>
          </w:p>
          <w:p w14:paraId="341F8BB4">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根据每次的实际人数确认，人员情况得分为每个人的基本分*人数（最多的派驻人员为满分，2/最多进驻人员数量=每个人的基本分）。</w:t>
            </w:r>
          </w:p>
        </w:tc>
        <w:tc>
          <w:tcPr>
            <w:tcW w:w="686" w:type="dxa"/>
            <w:tcBorders>
              <w:top w:val="single" w:color="auto" w:sz="4" w:space="0"/>
              <w:left w:val="single" w:color="000000" w:sz="4" w:space="0"/>
              <w:bottom w:val="single" w:color="000000" w:sz="4" w:space="0"/>
              <w:right w:val="single" w:color="000000" w:sz="4" w:space="0"/>
            </w:tcBorders>
            <w:noWrap/>
            <w:vAlign w:val="center"/>
          </w:tcPr>
          <w:p w14:paraId="4167BB0F">
            <w:pPr>
              <w:widowControl/>
              <w:jc w:val="center"/>
              <w:textAlignment w:val="center"/>
              <w:rPr>
                <w:rFonts w:ascii="宋体" w:hAnsi="宋体" w:cs="宋体"/>
                <w:bCs/>
                <w:color w:val="auto"/>
                <w:kern w:val="0"/>
                <w:szCs w:val="21"/>
                <w:highlight w:val="none"/>
              </w:rPr>
            </w:pPr>
            <w:r>
              <w:rPr>
                <w:rFonts w:hint="eastAsia" w:ascii="宋体" w:hAnsi="宋体" w:cs="宋体"/>
                <w:color w:val="auto"/>
                <w:kern w:val="0"/>
                <w:sz w:val="22"/>
                <w:szCs w:val="22"/>
                <w:highlight w:val="none"/>
              </w:rPr>
              <w:t>2</w:t>
            </w:r>
          </w:p>
        </w:tc>
      </w:tr>
      <w:tr w14:paraId="1C90B177">
        <w:tblPrEx>
          <w:tblCellMar>
            <w:top w:w="0" w:type="dxa"/>
            <w:left w:w="108" w:type="dxa"/>
            <w:bottom w:w="0" w:type="dxa"/>
            <w:right w:w="108" w:type="dxa"/>
          </w:tblCellMar>
        </w:tblPrEx>
        <w:trPr>
          <w:trHeight w:val="340" w:hRule="atLeast"/>
        </w:trPr>
        <w:tc>
          <w:tcPr>
            <w:tcW w:w="619" w:type="dxa"/>
            <w:tcBorders>
              <w:top w:val="single" w:color="auto" w:sz="4" w:space="0"/>
              <w:left w:val="single" w:color="000000" w:sz="4" w:space="0"/>
              <w:bottom w:val="single" w:color="000000" w:sz="4" w:space="0"/>
              <w:right w:val="single" w:color="000000" w:sz="4" w:space="0"/>
            </w:tcBorders>
            <w:noWrap/>
            <w:vAlign w:val="center"/>
          </w:tcPr>
          <w:p w14:paraId="7D8549FD">
            <w:pPr>
              <w:spacing w:line="360" w:lineRule="auto"/>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4</w:t>
            </w:r>
            <w:r>
              <w:rPr>
                <w:rFonts w:hint="eastAsia" w:ascii="宋体" w:hAnsi="宋体" w:cs="宋体"/>
                <w:b/>
                <w:bCs/>
                <w:color w:val="auto"/>
                <w:kern w:val="0"/>
                <w:szCs w:val="21"/>
                <w:highlight w:val="none"/>
                <w:lang w:val="en-US" w:eastAsia="zh-CN"/>
              </w:rPr>
              <w:t>3</w:t>
            </w:r>
          </w:p>
        </w:tc>
        <w:tc>
          <w:tcPr>
            <w:tcW w:w="819" w:type="dxa"/>
            <w:vMerge w:val="continue"/>
            <w:tcBorders>
              <w:left w:val="single" w:color="000000" w:sz="4" w:space="0"/>
              <w:bottom w:val="nil"/>
              <w:right w:val="single" w:color="000000" w:sz="4" w:space="0"/>
            </w:tcBorders>
            <w:noWrap/>
            <w:vAlign w:val="center"/>
          </w:tcPr>
          <w:p w14:paraId="4AF40186">
            <w:pPr>
              <w:spacing w:line="360" w:lineRule="auto"/>
              <w:jc w:val="center"/>
              <w:rPr>
                <w:rFonts w:ascii="宋体" w:hAnsi="宋体" w:cs="宋体"/>
                <w:b/>
                <w:bCs/>
                <w:color w:val="auto"/>
                <w:kern w:val="0"/>
                <w:szCs w:val="21"/>
                <w:highlight w:val="none"/>
              </w:rPr>
            </w:pPr>
          </w:p>
        </w:tc>
        <w:tc>
          <w:tcPr>
            <w:tcW w:w="737" w:type="dxa"/>
            <w:vMerge w:val="continue"/>
            <w:tcBorders>
              <w:left w:val="single" w:color="000000" w:sz="4" w:space="0"/>
              <w:bottom w:val="nil"/>
              <w:right w:val="single" w:color="000000" w:sz="4" w:space="0"/>
            </w:tcBorders>
            <w:noWrap/>
            <w:vAlign w:val="center"/>
          </w:tcPr>
          <w:p w14:paraId="7F03C9D3">
            <w:pPr>
              <w:spacing w:line="360" w:lineRule="auto"/>
              <w:jc w:val="center"/>
              <w:rPr>
                <w:rFonts w:ascii="宋体" w:hAnsi="宋体" w:cs="宋体"/>
                <w:b/>
                <w:bCs/>
                <w:color w:val="auto"/>
                <w:kern w:val="0"/>
                <w:szCs w:val="21"/>
                <w:highlight w:val="none"/>
              </w:rPr>
            </w:pPr>
          </w:p>
        </w:tc>
        <w:tc>
          <w:tcPr>
            <w:tcW w:w="1472" w:type="dxa"/>
            <w:vMerge w:val="continue"/>
            <w:tcBorders>
              <w:left w:val="single" w:color="000000" w:sz="4" w:space="0"/>
              <w:bottom w:val="single" w:color="000000" w:sz="4" w:space="0"/>
              <w:right w:val="single" w:color="000000" w:sz="4" w:space="0"/>
            </w:tcBorders>
            <w:noWrap/>
            <w:vAlign w:val="center"/>
          </w:tcPr>
          <w:p w14:paraId="3A96E97F">
            <w:pPr>
              <w:jc w:val="center"/>
              <w:rPr>
                <w:rFonts w:ascii="宋体" w:hAnsi="宋体" w:cs="宋体"/>
                <w:b/>
                <w:bCs/>
                <w:color w:val="auto"/>
                <w:kern w:val="0"/>
                <w:szCs w:val="21"/>
                <w:highlight w:val="none"/>
              </w:rPr>
            </w:pPr>
          </w:p>
        </w:tc>
        <w:tc>
          <w:tcPr>
            <w:tcW w:w="737" w:type="dxa"/>
            <w:vMerge w:val="continue"/>
            <w:tcBorders>
              <w:left w:val="single" w:color="000000" w:sz="4" w:space="0"/>
              <w:bottom w:val="single" w:color="000000" w:sz="4" w:space="0"/>
              <w:right w:val="single" w:color="000000" w:sz="4" w:space="0"/>
            </w:tcBorders>
            <w:noWrap/>
            <w:vAlign w:val="center"/>
          </w:tcPr>
          <w:p w14:paraId="19A9596F">
            <w:pPr>
              <w:jc w:val="center"/>
              <w:rPr>
                <w:rFonts w:ascii="宋体" w:hAnsi="宋体" w:cs="宋体"/>
                <w:b/>
                <w:bCs/>
                <w:color w:val="auto"/>
                <w:kern w:val="0"/>
                <w:szCs w:val="21"/>
                <w:highlight w:val="none"/>
              </w:rPr>
            </w:pPr>
          </w:p>
        </w:tc>
        <w:tc>
          <w:tcPr>
            <w:tcW w:w="3951" w:type="dxa"/>
            <w:tcBorders>
              <w:top w:val="single" w:color="auto" w:sz="4" w:space="0"/>
              <w:left w:val="single" w:color="000000" w:sz="4" w:space="0"/>
              <w:bottom w:val="single" w:color="000000" w:sz="4" w:space="0"/>
              <w:right w:val="single" w:color="000000" w:sz="4" w:space="0"/>
            </w:tcBorders>
            <w:noWrap/>
            <w:vAlign w:val="center"/>
          </w:tcPr>
          <w:p w14:paraId="771DEE23">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（2）工作配合（1.5分）：根据投标人综合协调、宣传互动等情况酌情打分，最多得1.5分。</w:t>
            </w:r>
          </w:p>
        </w:tc>
        <w:tc>
          <w:tcPr>
            <w:tcW w:w="686" w:type="dxa"/>
            <w:tcBorders>
              <w:top w:val="single" w:color="auto" w:sz="4" w:space="0"/>
              <w:left w:val="single" w:color="000000" w:sz="4" w:space="0"/>
              <w:bottom w:val="single" w:color="000000" w:sz="4" w:space="0"/>
              <w:right w:val="single" w:color="000000" w:sz="4" w:space="0"/>
            </w:tcBorders>
            <w:noWrap/>
            <w:vAlign w:val="center"/>
          </w:tcPr>
          <w:p w14:paraId="43241F86">
            <w:pPr>
              <w:widowControl/>
              <w:jc w:val="center"/>
              <w:textAlignment w:val="center"/>
              <w:rPr>
                <w:rFonts w:ascii="宋体" w:hAnsi="宋体" w:cs="宋体"/>
                <w:bCs/>
                <w:color w:val="auto"/>
                <w:kern w:val="0"/>
                <w:szCs w:val="21"/>
                <w:highlight w:val="none"/>
              </w:rPr>
            </w:pPr>
            <w:r>
              <w:rPr>
                <w:rFonts w:hint="eastAsia" w:ascii="宋体" w:hAnsi="宋体" w:cs="宋体"/>
                <w:color w:val="auto"/>
                <w:kern w:val="0"/>
                <w:sz w:val="22"/>
                <w:szCs w:val="22"/>
                <w:highlight w:val="none"/>
              </w:rPr>
              <w:t>1.5</w:t>
            </w:r>
          </w:p>
        </w:tc>
      </w:tr>
      <w:tr w14:paraId="49F98A96">
        <w:tblPrEx>
          <w:tblCellMar>
            <w:top w:w="0" w:type="dxa"/>
            <w:left w:w="108" w:type="dxa"/>
            <w:bottom w:w="0" w:type="dxa"/>
            <w:right w:w="108" w:type="dxa"/>
          </w:tblCellMar>
        </w:tblPrEx>
        <w:trPr>
          <w:trHeight w:val="679" w:hRule="atLeast"/>
        </w:trPr>
        <w:tc>
          <w:tcPr>
            <w:tcW w:w="1438" w:type="dxa"/>
            <w:gridSpan w:val="2"/>
            <w:tcBorders>
              <w:top w:val="single" w:color="000000" w:sz="4" w:space="0"/>
              <w:left w:val="single" w:color="000000" w:sz="4" w:space="0"/>
              <w:bottom w:val="single" w:color="000000" w:sz="4" w:space="0"/>
              <w:right w:val="single" w:color="000000" w:sz="4" w:space="0"/>
            </w:tcBorders>
            <w:noWrap/>
            <w:vAlign w:val="center"/>
          </w:tcPr>
          <w:p w14:paraId="4F051107">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合计</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4CE8334F">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100</w:t>
            </w:r>
          </w:p>
        </w:tc>
        <w:tc>
          <w:tcPr>
            <w:tcW w:w="1472" w:type="dxa"/>
            <w:tcBorders>
              <w:top w:val="single" w:color="000000" w:sz="4" w:space="0"/>
              <w:left w:val="single" w:color="000000" w:sz="4" w:space="0"/>
              <w:bottom w:val="single" w:color="000000" w:sz="4" w:space="0"/>
              <w:right w:val="single" w:color="000000" w:sz="4" w:space="0"/>
            </w:tcBorders>
            <w:noWrap/>
            <w:vAlign w:val="center"/>
          </w:tcPr>
          <w:p w14:paraId="7AFD5F03">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w:t>
            </w:r>
          </w:p>
        </w:tc>
        <w:tc>
          <w:tcPr>
            <w:tcW w:w="737" w:type="dxa"/>
            <w:tcBorders>
              <w:top w:val="single" w:color="000000" w:sz="4" w:space="0"/>
              <w:left w:val="single" w:color="000000" w:sz="4" w:space="0"/>
              <w:bottom w:val="single" w:color="000000" w:sz="4" w:space="0"/>
              <w:right w:val="single" w:color="000000" w:sz="4" w:space="0"/>
            </w:tcBorders>
            <w:noWrap/>
            <w:vAlign w:val="center"/>
          </w:tcPr>
          <w:p w14:paraId="6A0312A4">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100</w:t>
            </w:r>
          </w:p>
        </w:tc>
        <w:tc>
          <w:tcPr>
            <w:tcW w:w="3951" w:type="dxa"/>
            <w:tcBorders>
              <w:top w:val="single" w:color="000000" w:sz="4" w:space="0"/>
              <w:left w:val="single" w:color="000000" w:sz="4" w:space="0"/>
              <w:bottom w:val="single" w:color="000000" w:sz="4" w:space="0"/>
              <w:right w:val="single" w:color="000000" w:sz="4" w:space="0"/>
            </w:tcBorders>
            <w:noWrap/>
            <w:vAlign w:val="center"/>
          </w:tcPr>
          <w:p w14:paraId="4AA58FE1">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w:t>
            </w:r>
          </w:p>
        </w:tc>
        <w:tc>
          <w:tcPr>
            <w:tcW w:w="686" w:type="dxa"/>
            <w:tcBorders>
              <w:top w:val="single" w:color="000000" w:sz="4" w:space="0"/>
              <w:left w:val="single" w:color="000000" w:sz="4" w:space="0"/>
              <w:bottom w:val="single" w:color="000000" w:sz="4" w:space="0"/>
              <w:right w:val="single" w:color="000000" w:sz="4" w:space="0"/>
            </w:tcBorders>
            <w:noWrap/>
            <w:vAlign w:val="center"/>
          </w:tcPr>
          <w:p w14:paraId="608DD0CA">
            <w:pPr>
              <w:spacing w:line="360" w:lineRule="auto"/>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100</w:t>
            </w:r>
          </w:p>
        </w:tc>
      </w:tr>
    </w:tbl>
    <w:p w14:paraId="731D1D08">
      <w:pPr>
        <w:snapToGrid w:val="0"/>
        <w:spacing w:line="360" w:lineRule="auto"/>
        <w:ind w:firstLine="420" w:firstLineChars="150"/>
        <w:rPr>
          <w:rFonts w:ascii="宋体" w:hAnsi="宋体"/>
          <w:color w:val="auto"/>
          <w:sz w:val="28"/>
          <w:szCs w:val="28"/>
          <w:highlight w:val="none"/>
        </w:rPr>
      </w:pPr>
    </w:p>
    <w:p w14:paraId="54C86E6A">
      <w:pPr>
        <w:spacing w:line="360" w:lineRule="auto"/>
        <w:rPr>
          <w:rFonts w:hint="eastAsia" w:ascii="宋体" w:hAnsi="宋体" w:cs="宋体"/>
          <w:b/>
          <w:color w:val="auto"/>
          <w:kern w:val="0"/>
          <w:sz w:val="28"/>
          <w:szCs w:val="28"/>
          <w:highlight w:val="none"/>
        </w:rPr>
      </w:pPr>
      <w:bookmarkStart w:id="140" w:name="_Toc427442472"/>
      <w:r>
        <w:rPr>
          <w:rFonts w:hint="eastAsia" w:ascii="宋体" w:hAnsi="宋体" w:cs="宋体"/>
          <w:b/>
          <w:color w:val="auto"/>
          <w:kern w:val="0"/>
          <w:sz w:val="28"/>
          <w:szCs w:val="28"/>
          <w:highlight w:val="none"/>
        </w:rPr>
        <w:t>（1）评审序号“1-2”的“资本充足率”、“流动性比例”由投标人提供，需将证明材料做入投标文件当中，无证明材料的可能导致不得分。评审序号“3-26”数据由市财政局统一提供 。</w:t>
      </w:r>
    </w:p>
    <w:p w14:paraId="33FD9E4A">
      <w:pPr>
        <w:spacing w:line="360" w:lineRule="auto"/>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（2）“服务水平（公积金业务服务）”中“服务期”指的202</w:t>
      </w:r>
      <w:r>
        <w:rPr>
          <w:rFonts w:hint="eastAsia" w:ascii="宋体" w:hAnsi="宋体" w:cs="宋体"/>
          <w:b/>
          <w:color w:val="auto"/>
          <w:kern w:val="0"/>
          <w:sz w:val="28"/>
          <w:szCs w:val="28"/>
          <w:highlight w:val="none"/>
          <w:lang w:val="en-US" w:eastAsia="zh-CN"/>
        </w:rPr>
        <w:t>5</w:t>
      </w:r>
      <w:r>
        <w:rPr>
          <w:rFonts w:hint="eastAsia" w:ascii="宋体" w:hAnsi="宋体" w:cs="宋体"/>
          <w:b/>
          <w:color w:val="auto"/>
          <w:kern w:val="0"/>
          <w:sz w:val="28"/>
          <w:szCs w:val="28"/>
          <w:highlight w:val="none"/>
        </w:rPr>
        <w:t>年</w:t>
      </w:r>
      <w:r>
        <w:rPr>
          <w:rFonts w:hint="eastAsia" w:ascii="宋体" w:hAnsi="宋体" w:cs="宋体"/>
          <w:b/>
          <w:color w:val="auto"/>
          <w:kern w:val="0"/>
          <w:sz w:val="28"/>
          <w:szCs w:val="28"/>
          <w:highlight w:val="none"/>
          <w:lang w:val="en-US" w:eastAsia="zh-CN"/>
        </w:rPr>
        <w:t>1</w:t>
      </w:r>
      <w:r>
        <w:rPr>
          <w:rFonts w:hint="eastAsia" w:ascii="宋体" w:hAnsi="宋体" w:cs="宋体"/>
          <w:b/>
          <w:color w:val="auto"/>
          <w:kern w:val="0"/>
          <w:sz w:val="28"/>
          <w:szCs w:val="28"/>
          <w:highlight w:val="none"/>
        </w:rPr>
        <w:t>月、</w:t>
      </w:r>
      <w:r>
        <w:rPr>
          <w:rFonts w:hint="eastAsia" w:ascii="宋体" w:hAnsi="宋体" w:cs="宋体"/>
          <w:b/>
          <w:color w:val="auto"/>
          <w:kern w:val="0"/>
          <w:sz w:val="28"/>
          <w:szCs w:val="28"/>
          <w:highlight w:val="none"/>
          <w:lang w:val="en-US" w:eastAsia="zh-CN"/>
        </w:rPr>
        <w:t>2</w:t>
      </w:r>
      <w:r>
        <w:rPr>
          <w:rFonts w:hint="eastAsia" w:ascii="宋体" w:hAnsi="宋体" w:cs="宋体"/>
          <w:b/>
          <w:color w:val="auto"/>
          <w:kern w:val="0"/>
          <w:sz w:val="28"/>
          <w:szCs w:val="28"/>
          <w:highlight w:val="none"/>
        </w:rPr>
        <w:t>月和</w:t>
      </w:r>
      <w:r>
        <w:rPr>
          <w:rFonts w:hint="eastAsia" w:ascii="宋体" w:hAnsi="宋体" w:cs="宋体"/>
          <w:b/>
          <w:color w:val="auto"/>
          <w:kern w:val="0"/>
          <w:sz w:val="28"/>
          <w:szCs w:val="28"/>
          <w:highlight w:val="none"/>
          <w:lang w:val="en-US" w:eastAsia="zh-CN"/>
        </w:rPr>
        <w:t>3</w:t>
      </w:r>
      <w:r>
        <w:rPr>
          <w:rFonts w:hint="eastAsia" w:ascii="宋体" w:hAnsi="宋体" w:cs="宋体"/>
          <w:b/>
          <w:color w:val="auto"/>
          <w:kern w:val="0"/>
          <w:sz w:val="28"/>
          <w:szCs w:val="28"/>
          <w:highlight w:val="none"/>
        </w:rPr>
        <w:t>月三个月的服务期限，由投标单位提供服务期限内相关的业务的服务证明材料</w:t>
      </w:r>
      <w:r>
        <w:rPr>
          <w:rFonts w:hint="eastAsia" w:ascii="宋体" w:hAnsi="宋体" w:cs="宋体"/>
          <w:b/>
          <w:color w:val="auto"/>
          <w:kern w:val="0"/>
          <w:sz w:val="28"/>
          <w:szCs w:val="28"/>
          <w:highlight w:val="none"/>
          <w:lang w:eastAsia="zh-CN"/>
        </w:rPr>
        <w:t>，</w:t>
      </w:r>
      <w:r>
        <w:rPr>
          <w:rFonts w:hint="eastAsia" w:ascii="宋体" w:hAnsi="宋体" w:cs="宋体"/>
          <w:b/>
          <w:color w:val="auto"/>
          <w:kern w:val="0"/>
          <w:sz w:val="28"/>
          <w:szCs w:val="28"/>
          <w:highlight w:val="none"/>
        </w:rPr>
        <w:t>无相关业务服务证明材料不得分。其中信贷业务中抵押登记率按 2025年3月底的时点数确定。</w:t>
      </w:r>
    </w:p>
    <w:p w14:paraId="05FC3DBB">
      <w:pPr>
        <w:spacing w:line="360" w:lineRule="auto"/>
        <w:rPr>
          <w:rFonts w:ascii="宋体" w:hAnsi="宋体" w:cs="宋体"/>
          <w:color w:val="auto"/>
          <w:kern w:val="0"/>
          <w:sz w:val="28"/>
          <w:szCs w:val="28"/>
          <w:highlight w:val="none"/>
        </w:rPr>
      </w:pPr>
      <w:r>
        <w:rPr>
          <w:rFonts w:hint="eastAsia" w:ascii="宋体" w:hAnsi="宋体" w:cs="宋体"/>
          <w:color w:val="auto"/>
          <w:kern w:val="0"/>
          <w:sz w:val="28"/>
          <w:szCs w:val="28"/>
          <w:highlight w:val="none"/>
        </w:rPr>
        <w:t>（</w:t>
      </w:r>
      <w:r>
        <w:rPr>
          <w:rFonts w:hint="eastAsia" w:ascii="宋体" w:hAnsi="宋体" w:cs="宋体"/>
          <w:color w:val="auto"/>
          <w:kern w:val="0"/>
          <w:sz w:val="28"/>
          <w:szCs w:val="28"/>
          <w:highlight w:val="none"/>
          <w:lang w:val="en-US" w:eastAsia="zh-CN"/>
        </w:rPr>
        <w:t>3</w:t>
      </w:r>
      <w:r>
        <w:rPr>
          <w:rFonts w:hint="eastAsia" w:ascii="宋体" w:hAnsi="宋体" w:cs="宋体"/>
          <w:color w:val="auto"/>
          <w:kern w:val="0"/>
          <w:sz w:val="28"/>
          <w:szCs w:val="28"/>
          <w:highlight w:val="none"/>
        </w:rPr>
        <w:t>）评委根据评标情况逐栏打分，每栏得分不得超出本栏规定的分值范围。各评分因素分值精确到小数点后</w:t>
      </w:r>
      <w:r>
        <w:rPr>
          <w:rFonts w:hint="eastAsia" w:ascii="宋体" w:hAnsi="宋体" w:cs="宋体"/>
          <w:color w:val="auto"/>
          <w:kern w:val="0"/>
          <w:sz w:val="28"/>
          <w:szCs w:val="28"/>
          <w:highlight w:val="none"/>
          <w:lang w:val="en-US" w:eastAsia="zh-CN"/>
        </w:rPr>
        <w:t>两</w:t>
      </w:r>
      <w:r>
        <w:rPr>
          <w:rFonts w:hint="eastAsia" w:ascii="宋体" w:hAnsi="宋体" w:cs="宋体"/>
          <w:color w:val="auto"/>
          <w:kern w:val="0"/>
          <w:sz w:val="28"/>
          <w:szCs w:val="28"/>
          <w:highlight w:val="none"/>
        </w:rPr>
        <w:t>位。</w:t>
      </w:r>
    </w:p>
    <w:p w14:paraId="6EFEAF6F">
      <w:pPr>
        <w:spacing w:line="360" w:lineRule="auto"/>
        <w:rPr>
          <w:rFonts w:ascii="宋体" w:hAnsi="宋体" w:cs="宋体"/>
          <w:color w:val="auto"/>
          <w:kern w:val="0"/>
          <w:sz w:val="28"/>
          <w:szCs w:val="28"/>
          <w:highlight w:val="none"/>
        </w:rPr>
      </w:pPr>
      <w:r>
        <w:rPr>
          <w:rFonts w:hint="eastAsia" w:ascii="宋体" w:hAnsi="宋体" w:cs="宋体"/>
          <w:color w:val="auto"/>
          <w:kern w:val="0"/>
          <w:sz w:val="28"/>
          <w:szCs w:val="28"/>
          <w:highlight w:val="none"/>
        </w:rPr>
        <w:t>（</w:t>
      </w:r>
      <w:r>
        <w:rPr>
          <w:rFonts w:hint="eastAsia" w:ascii="宋体" w:hAnsi="宋体" w:cs="宋体"/>
          <w:color w:val="auto"/>
          <w:kern w:val="0"/>
          <w:sz w:val="28"/>
          <w:szCs w:val="28"/>
          <w:highlight w:val="none"/>
          <w:lang w:val="en-US" w:eastAsia="zh-CN"/>
        </w:rPr>
        <w:t>4</w:t>
      </w:r>
      <w:r>
        <w:rPr>
          <w:rFonts w:hint="eastAsia" w:ascii="宋体" w:hAnsi="宋体" w:cs="宋体"/>
          <w:color w:val="auto"/>
          <w:kern w:val="0"/>
          <w:sz w:val="28"/>
          <w:szCs w:val="28"/>
          <w:highlight w:val="none"/>
        </w:rPr>
        <w:t>）评标过程中如有其他特殊情况，由评委会集体讨论决定，并由全体评委签字。</w:t>
      </w:r>
    </w:p>
    <w:bookmarkEnd w:id="140"/>
    <w:p w14:paraId="16AA41C6">
      <w:pPr>
        <w:rPr>
          <w:rFonts w:ascii="宋体" w:hAnsi="宋体"/>
          <w:color w:val="auto"/>
          <w:highlight w:val="none"/>
        </w:rPr>
      </w:pPr>
      <w:bookmarkStart w:id="141" w:name="_Toc444069281"/>
    </w:p>
    <w:p w14:paraId="120B2AA3">
      <w:pPr>
        <w:spacing w:line="600" w:lineRule="exact"/>
        <w:jc w:val="center"/>
        <w:rPr>
          <w:rFonts w:ascii="宋体" w:hAnsi="宋体" w:cs="宋体"/>
          <w:color w:val="auto"/>
          <w:kern w:val="0"/>
          <w:sz w:val="28"/>
          <w:szCs w:val="28"/>
          <w:highlight w:val="none"/>
        </w:rPr>
      </w:pPr>
      <w:bookmarkStart w:id="142" w:name="_Toc454551084"/>
      <w:r>
        <w:rPr>
          <w:rFonts w:hint="eastAsia" w:ascii="宋体" w:hAnsi="宋体" w:cs="宋体"/>
          <w:b/>
          <w:color w:val="auto"/>
          <w:kern w:val="0"/>
          <w:sz w:val="28"/>
          <w:szCs w:val="28"/>
          <w:highlight w:val="none"/>
        </w:rPr>
        <w:t xml:space="preserve">第五章 </w:t>
      </w:r>
      <w:bookmarkEnd w:id="141"/>
      <w:bookmarkEnd w:id="142"/>
      <w:r>
        <w:rPr>
          <w:rFonts w:hint="eastAsia" w:ascii="宋体" w:hAnsi="宋体" w:cs="宋体"/>
          <w:color w:val="auto"/>
          <w:kern w:val="0"/>
          <w:sz w:val="28"/>
          <w:szCs w:val="28"/>
          <w:highlight w:val="none"/>
        </w:rPr>
        <w:t>宁波市本级住房公积金</w:t>
      </w:r>
    </w:p>
    <w:p w14:paraId="1C3AF0AF">
      <w:pPr>
        <w:spacing w:line="600" w:lineRule="exact"/>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定期存款存放协议</w:t>
      </w:r>
    </w:p>
    <w:p w14:paraId="3F05006F">
      <w:pPr>
        <w:pStyle w:val="2"/>
        <w:ind w:firstLine="0"/>
        <w:jc w:val="center"/>
        <w:rPr>
          <w:rFonts w:ascii="宋体" w:hAnsi="宋体"/>
          <w:b w:val="0"/>
          <w:bCs w:val="0"/>
          <w:i w:val="0"/>
          <w:iCs w:val="0"/>
          <w:color w:val="auto"/>
          <w:sz w:val="32"/>
          <w:szCs w:val="32"/>
          <w:highlight w:val="none"/>
        </w:rPr>
      </w:pPr>
    </w:p>
    <w:p w14:paraId="30BF63BF">
      <w:pPr>
        <w:spacing w:line="360" w:lineRule="auto"/>
        <w:ind w:firstLine="480" w:firstLineChars="200"/>
        <w:rPr>
          <w:rFonts w:ascii="宋体" w:hAnsi="宋体" w:cs="宋体"/>
          <w:color w:val="auto"/>
          <w:kern w:val="0"/>
          <w:sz w:val="24"/>
          <w:highlight w:val="none"/>
        </w:rPr>
      </w:pPr>
    </w:p>
    <w:p w14:paraId="7FB7EAEE">
      <w:pPr>
        <w:spacing w:line="360" w:lineRule="auto"/>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甲方：</w:t>
      </w:r>
      <w:r>
        <w:rPr>
          <w:rFonts w:hint="eastAsia" w:ascii="宋体" w:hAnsi="宋体" w:cs="宋体"/>
          <w:color w:val="auto"/>
          <w:sz w:val="28"/>
          <w:szCs w:val="28"/>
          <w:highlight w:val="none"/>
        </w:rPr>
        <w:t>宁波市住房公积金管理中心</w:t>
      </w:r>
    </w:p>
    <w:p w14:paraId="296D3B7C">
      <w:pPr>
        <w:spacing w:line="360" w:lineRule="auto"/>
        <w:ind w:firstLine="560" w:firstLineChars="200"/>
        <w:rPr>
          <w:rFonts w:ascii="宋体" w:hAnsi="宋体" w:cs="宋体"/>
          <w:color w:val="auto"/>
          <w:kern w:val="0"/>
          <w:sz w:val="28"/>
          <w:szCs w:val="28"/>
          <w:highlight w:val="none"/>
        </w:rPr>
      </w:pPr>
      <w:r>
        <w:rPr>
          <w:rFonts w:hint="eastAsia" w:ascii="宋体" w:hAnsi="宋体" w:cs="宋体"/>
          <w:color w:val="auto"/>
          <w:sz w:val="28"/>
          <w:szCs w:val="28"/>
          <w:highlight w:val="none"/>
        </w:rPr>
        <w:t>乙方：</w:t>
      </w:r>
    </w:p>
    <w:p w14:paraId="12BF9112">
      <w:pPr>
        <w:spacing w:line="360" w:lineRule="auto"/>
        <w:ind w:firstLine="560" w:firstLineChars="200"/>
        <w:rPr>
          <w:rFonts w:ascii="宋体" w:hAnsi="宋体" w:cs="宋体"/>
          <w:color w:val="auto"/>
          <w:kern w:val="0"/>
          <w:sz w:val="28"/>
          <w:szCs w:val="28"/>
          <w:highlight w:val="none"/>
        </w:rPr>
      </w:pPr>
    </w:p>
    <w:p w14:paraId="7C3ACD98">
      <w:pPr>
        <w:spacing w:line="360" w:lineRule="auto"/>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甲方按法定程序对资金定期存放进行了公开招标，确定乙方为资金定期存放的中标银行之一，甲乙双方按照招标文件要求，签订如下协议：</w:t>
      </w:r>
    </w:p>
    <w:p w14:paraId="2A051259">
      <w:pPr>
        <w:spacing w:line="660" w:lineRule="exact"/>
        <w:ind w:left="56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第一条  定期存款的金额、期限与利率</w:t>
      </w:r>
    </w:p>
    <w:p w14:paraId="082E1CD3">
      <w:pPr>
        <w:pStyle w:val="54"/>
        <w:numPr>
          <w:ilvl w:val="0"/>
          <w:numId w:val="3"/>
        </w:numPr>
        <w:spacing w:line="660" w:lineRule="exact"/>
        <w:ind w:left="0" w:firstLine="70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定期存款金额（人民币）：        （    万元）；</w:t>
      </w:r>
    </w:p>
    <w:p w14:paraId="10FF8CBF">
      <w:pPr>
        <w:pStyle w:val="54"/>
        <w:numPr>
          <w:ilvl w:val="0"/>
          <w:numId w:val="3"/>
        </w:numPr>
        <w:spacing w:line="660" w:lineRule="exact"/>
        <w:ind w:left="0" w:firstLine="70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定期存款期限：    ；</w:t>
      </w:r>
    </w:p>
    <w:p w14:paraId="7B5F0FE6">
      <w:pPr>
        <w:pStyle w:val="54"/>
        <w:numPr>
          <w:ilvl w:val="0"/>
          <w:numId w:val="3"/>
        </w:numPr>
        <w:spacing w:line="660" w:lineRule="exact"/>
        <w:ind w:left="0" w:firstLine="70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 xml:space="preserve">定期存款年利率：    </w:t>
      </w:r>
      <w:r>
        <w:rPr>
          <w:rFonts w:hint="eastAsia" w:ascii="宋体" w:hAnsi="宋体" w:cs="宋体"/>
          <w:color w:val="auto"/>
          <w:sz w:val="28"/>
          <w:szCs w:val="28"/>
          <w:highlight w:val="none"/>
        </w:rPr>
        <w:t>；</w:t>
      </w:r>
    </w:p>
    <w:p w14:paraId="0284D03D">
      <w:pPr>
        <w:spacing w:line="660" w:lineRule="exact"/>
        <w:ind w:firstLine="700" w:firstLineChars="250"/>
        <w:rPr>
          <w:rFonts w:ascii="宋体" w:hAnsi="宋体" w:cs="宋体"/>
          <w:color w:val="auto"/>
          <w:kern w:val="0"/>
          <w:sz w:val="28"/>
          <w:szCs w:val="28"/>
          <w:highlight w:val="none"/>
        </w:rPr>
      </w:pPr>
      <w:r>
        <w:rPr>
          <w:rFonts w:hint="eastAsia" w:ascii="宋体" w:hAnsi="宋体" w:cs="宋体"/>
          <w:color w:val="auto"/>
          <w:kern w:val="0"/>
          <w:sz w:val="28"/>
          <w:szCs w:val="28"/>
          <w:highlight w:val="none"/>
        </w:rPr>
        <w:t>（四） 利率加点和提前支取存款利率应符合国家、行业有关利率管理规定。</w:t>
      </w:r>
    </w:p>
    <w:p w14:paraId="64DE4F19">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第二条  甲方的职责和义务</w:t>
      </w:r>
    </w:p>
    <w:p w14:paraId="237AACF7">
      <w:pPr>
        <w:pStyle w:val="54"/>
        <w:numPr>
          <w:ilvl w:val="0"/>
          <w:numId w:val="4"/>
        </w:numPr>
        <w:spacing w:line="660" w:lineRule="exact"/>
        <w:ind w:hanging="54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负责决定定期存款账户的开立、使用和撤销；</w:t>
      </w:r>
    </w:p>
    <w:p w14:paraId="365829A3">
      <w:pPr>
        <w:pStyle w:val="54"/>
        <w:numPr>
          <w:ilvl w:val="0"/>
          <w:numId w:val="4"/>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有权对定期存款账户的收付业务进行检查、指导，提出改进意见；</w:t>
      </w:r>
    </w:p>
    <w:p w14:paraId="29C371F9">
      <w:pPr>
        <w:pStyle w:val="54"/>
        <w:numPr>
          <w:ilvl w:val="0"/>
          <w:numId w:val="4"/>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妥善保管乙方提供的支付清单、存单及相关文件。</w:t>
      </w:r>
    </w:p>
    <w:p w14:paraId="4AE26826">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第三条  乙方的职责和义务</w:t>
      </w:r>
    </w:p>
    <w:p w14:paraId="4DBAC457">
      <w:pPr>
        <w:pStyle w:val="54"/>
        <w:numPr>
          <w:ilvl w:val="0"/>
          <w:numId w:val="5"/>
        </w:numPr>
        <w:spacing w:line="660" w:lineRule="exact"/>
        <w:ind w:hanging="54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根据甲方要求及时办理定期账户的开立、变更和撤销事宜；</w:t>
      </w:r>
    </w:p>
    <w:p w14:paraId="20918B4E">
      <w:pPr>
        <w:pStyle w:val="54"/>
        <w:numPr>
          <w:ilvl w:val="0"/>
          <w:numId w:val="5"/>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严格按照甲方的支付要求，及时、安全、准确地办理支付业务，不压票；</w:t>
      </w:r>
    </w:p>
    <w:p w14:paraId="7296F7B9">
      <w:pPr>
        <w:pStyle w:val="54"/>
        <w:numPr>
          <w:ilvl w:val="0"/>
          <w:numId w:val="5"/>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向甲方反馈定期账户收付信息，并提供实时查询、回单送达服务；</w:t>
      </w:r>
    </w:p>
    <w:p w14:paraId="790640AD">
      <w:pPr>
        <w:pStyle w:val="54"/>
        <w:numPr>
          <w:ilvl w:val="0"/>
          <w:numId w:val="5"/>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妥善保管甲方支付凭证，按时向甲方报送报表及对账，对甲方提供的各种信息、凭证等承担保密责任。</w:t>
      </w:r>
    </w:p>
    <w:p w14:paraId="5B56B360">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第四条  违约责任</w:t>
      </w:r>
    </w:p>
    <w:p w14:paraId="7E9DF6AC">
      <w:pPr>
        <w:pStyle w:val="54"/>
        <w:numPr>
          <w:ilvl w:val="0"/>
          <w:numId w:val="6"/>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因甲方过错给乙方造成损失的，由甲方承担相应的经济责任；</w:t>
      </w:r>
    </w:p>
    <w:p w14:paraId="18C0554B">
      <w:pPr>
        <w:pStyle w:val="54"/>
        <w:numPr>
          <w:ilvl w:val="0"/>
          <w:numId w:val="6"/>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因乙方过错导致资金错划、漏划、误划或故意不执行、迟延执行甲方委托事项，给甲方造成损失的，由乙方承担相应的经济责任；</w:t>
      </w:r>
    </w:p>
    <w:p w14:paraId="10D744DC">
      <w:pPr>
        <w:pStyle w:val="54"/>
        <w:numPr>
          <w:ilvl w:val="0"/>
          <w:numId w:val="6"/>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协议执行期间乙方没有按照投标及协议承诺履行相应的责任和义务的，甲方有权终止协议；</w:t>
      </w:r>
    </w:p>
    <w:p w14:paraId="34985976">
      <w:pPr>
        <w:pStyle w:val="54"/>
        <w:numPr>
          <w:ilvl w:val="0"/>
          <w:numId w:val="6"/>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甲、乙双方因不可抗力无法履行协议的，根据不可抗力的影响程度，部分或者全部免除责任；但法律另有规定的除外；若因当事一方迟延履行协议后发生不可抗力的，不能免除责任；</w:t>
      </w:r>
    </w:p>
    <w:p w14:paraId="525B993B">
      <w:pPr>
        <w:pStyle w:val="54"/>
        <w:numPr>
          <w:ilvl w:val="0"/>
          <w:numId w:val="6"/>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本协议所称不可抗力，是指不能预见、不能避免并不能克服的客观情况。</w:t>
      </w:r>
    </w:p>
    <w:p w14:paraId="5BE3E54E">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第五条  协议生效与终止</w:t>
      </w:r>
    </w:p>
    <w:p w14:paraId="0DF48527">
      <w:pPr>
        <w:pStyle w:val="54"/>
        <w:numPr>
          <w:ilvl w:val="0"/>
          <w:numId w:val="7"/>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本协议需甲乙双方法定代表人或授权代表人签字并加盖公章，自定期存款存入开始生效，定期存款到期按约定结息后终止；</w:t>
      </w:r>
    </w:p>
    <w:p w14:paraId="541BBF2A">
      <w:pPr>
        <w:pStyle w:val="54"/>
        <w:numPr>
          <w:ilvl w:val="0"/>
          <w:numId w:val="7"/>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协议履行期间，如出现协议与颁布的有关法律、法规规定不符的情况，甲乙双方应按新的法律、法规规定执行；</w:t>
      </w:r>
    </w:p>
    <w:p w14:paraId="5572780A">
      <w:pPr>
        <w:pStyle w:val="54"/>
        <w:numPr>
          <w:ilvl w:val="0"/>
          <w:numId w:val="7"/>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本协议终止后，甲乙双方应对存款存放期间发生的应尽未尽事项负责结清，有关承担保密义务的条款对双方仍然继续有效；</w:t>
      </w:r>
    </w:p>
    <w:p w14:paraId="393F2410">
      <w:pPr>
        <w:pStyle w:val="54"/>
        <w:numPr>
          <w:ilvl w:val="0"/>
          <w:numId w:val="7"/>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甲乙双方如遇纠纷，应本着互相信任与合作的原则，共同协商解决。如果协商不能解决，任何一方均可诉请本协议签订地人</w:t>
      </w:r>
      <w:r>
        <w:rPr>
          <w:color w:val="auto"/>
          <w:highlight w:val="none"/>
        </w:rPr>
        <w:fldChar w:fldCharType="begin"/>
      </w:r>
      <w:r>
        <w:rPr>
          <w:color w:val="auto"/>
          <w:highlight w:val="none"/>
        </w:rPr>
        <w:instrText xml:space="preserve"> HYPERLINK "http://www.chinalawedu.com/web/23243/" \t "_blank" \o "民法" </w:instrText>
      </w:r>
      <w:r>
        <w:rPr>
          <w:color w:val="auto"/>
          <w:highlight w:val="none"/>
        </w:rPr>
        <w:fldChar w:fldCharType="separate"/>
      </w:r>
      <w:r>
        <w:rPr>
          <w:rFonts w:hint="eastAsia" w:ascii="宋体" w:hAnsi="宋体" w:cs="宋体"/>
          <w:color w:val="auto"/>
          <w:kern w:val="0"/>
          <w:sz w:val="28"/>
          <w:szCs w:val="28"/>
          <w:highlight w:val="none"/>
        </w:rPr>
        <w:t>民法</w:t>
      </w:r>
      <w:r>
        <w:rPr>
          <w:rFonts w:hint="eastAsia" w:ascii="宋体" w:hAnsi="宋体" w:cs="宋体"/>
          <w:color w:val="auto"/>
          <w:kern w:val="0"/>
          <w:sz w:val="28"/>
          <w:szCs w:val="28"/>
          <w:highlight w:val="none"/>
        </w:rPr>
        <w:fldChar w:fldCharType="end"/>
      </w:r>
      <w:r>
        <w:rPr>
          <w:rFonts w:hint="eastAsia" w:ascii="宋体" w:hAnsi="宋体" w:cs="宋体"/>
          <w:color w:val="auto"/>
          <w:kern w:val="0"/>
          <w:sz w:val="28"/>
          <w:szCs w:val="28"/>
          <w:highlight w:val="none"/>
        </w:rPr>
        <w:t>院裁决。</w:t>
      </w:r>
    </w:p>
    <w:p w14:paraId="25FB13FF">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第六条  下列文件属于本协议的依据和附件，具有同等法律效力</w:t>
      </w:r>
    </w:p>
    <w:p w14:paraId="0DB56465">
      <w:pPr>
        <w:pStyle w:val="54"/>
        <w:numPr>
          <w:ilvl w:val="0"/>
          <w:numId w:val="8"/>
        </w:numPr>
        <w:spacing w:line="660" w:lineRule="exact"/>
        <w:ind w:hanging="549"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甲方的招标文件；</w:t>
      </w:r>
    </w:p>
    <w:p w14:paraId="02510FC9">
      <w:pPr>
        <w:pStyle w:val="54"/>
        <w:numPr>
          <w:ilvl w:val="0"/>
          <w:numId w:val="8"/>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乙方的投标文件；</w:t>
      </w:r>
    </w:p>
    <w:p w14:paraId="3E5830C1">
      <w:pPr>
        <w:pStyle w:val="54"/>
        <w:numPr>
          <w:ilvl w:val="0"/>
          <w:numId w:val="8"/>
        </w:numPr>
        <w:spacing w:line="660" w:lineRule="exact"/>
        <w:ind w:left="0" w:firstLine="851" w:firstLineChars="0"/>
        <w:rPr>
          <w:rFonts w:ascii="宋体" w:hAnsi="宋体" w:cs="宋体"/>
          <w:color w:val="auto"/>
          <w:kern w:val="0"/>
          <w:sz w:val="28"/>
          <w:szCs w:val="28"/>
          <w:highlight w:val="none"/>
        </w:rPr>
      </w:pPr>
      <w:r>
        <w:rPr>
          <w:rFonts w:hint="eastAsia" w:ascii="宋体" w:hAnsi="宋体" w:cs="宋体"/>
          <w:color w:val="auto"/>
          <w:kern w:val="0"/>
          <w:sz w:val="28"/>
          <w:szCs w:val="28"/>
          <w:highlight w:val="none"/>
        </w:rPr>
        <w:t>中标通知书。</w:t>
      </w:r>
    </w:p>
    <w:p w14:paraId="7858A6A1">
      <w:pPr>
        <w:spacing w:line="660" w:lineRule="exact"/>
        <w:ind w:firstLine="560" w:firstLineChars="200"/>
        <w:rPr>
          <w:rFonts w:ascii="宋体" w:hAnsi="宋体" w:cs="宋体"/>
          <w:color w:val="auto"/>
          <w:kern w:val="0"/>
          <w:sz w:val="28"/>
          <w:szCs w:val="28"/>
          <w:highlight w:val="none"/>
        </w:rPr>
      </w:pPr>
      <w:r>
        <w:rPr>
          <w:rFonts w:hint="eastAsia" w:ascii="宋体" w:hAnsi="宋体" w:cs="宋体"/>
          <w:color w:val="auto"/>
          <w:kern w:val="0"/>
          <w:sz w:val="28"/>
          <w:szCs w:val="28"/>
          <w:highlight w:val="none"/>
        </w:rPr>
        <w:t>第七条  本协议一式四份，其中甲方、乙方各执二份。本协议未尽事宜，甲乙双方按照资金存放招标文件及乙方投标文件执行。</w:t>
      </w:r>
    </w:p>
    <w:p w14:paraId="6FBDD1B4">
      <w:pPr>
        <w:spacing w:line="360" w:lineRule="auto"/>
        <w:rPr>
          <w:rFonts w:ascii="宋体" w:hAnsi="宋体" w:cs="宋体"/>
          <w:color w:val="auto"/>
          <w:kern w:val="0"/>
          <w:sz w:val="28"/>
          <w:szCs w:val="28"/>
          <w:highlight w:val="none"/>
        </w:rPr>
      </w:pPr>
    </w:p>
    <w:p w14:paraId="7406BA41">
      <w:pPr>
        <w:spacing w:line="360" w:lineRule="auto"/>
        <w:rPr>
          <w:rFonts w:ascii="宋体" w:hAnsi="宋体" w:cs="宋体"/>
          <w:color w:val="auto"/>
          <w:kern w:val="0"/>
          <w:sz w:val="28"/>
          <w:szCs w:val="28"/>
          <w:highlight w:val="none"/>
        </w:rPr>
      </w:pPr>
    </w:p>
    <w:p w14:paraId="08453F64">
      <w:pPr>
        <w:spacing w:line="360" w:lineRule="auto"/>
        <w:rPr>
          <w:rFonts w:ascii="宋体" w:hAnsi="宋体" w:cs="宋体"/>
          <w:color w:val="auto"/>
          <w:kern w:val="0"/>
          <w:sz w:val="28"/>
          <w:szCs w:val="28"/>
          <w:highlight w:val="none"/>
        </w:rPr>
      </w:pPr>
      <w:r>
        <w:rPr>
          <w:rFonts w:hint="eastAsia" w:ascii="宋体" w:hAnsi="宋体" w:cs="宋体"/>
          <w:color w:val="auto"/>
          <w:kern w:val="0"/>
          <w:sz w:val="28"/>
          <w:szCs w:val="28"/>
          <w:highlight w:val="none"/>
        </w:rPr>
        <w:t>甲方：      （公章）               乙方：        （公章）</w:t>
      </w:r>
    </w:p>
    <w:p w14:paraId="03EF7871">
      <w:pPr>
        <w:spacing w:line="360" w:lineRule="auto"/>
        <w:ind w:firstLine="560" w:firstLineChars="200"/>
        <w:rPr>
          <w:rFonts w:ascii="宋体" w:hAnsi="宋体" w:cs="宋体"/>
          <w:color w:val="auto"/>
          <w:kern w:val="0"/>
          <w:sz w:val="28"/>
          <w:szCs w:val="28"/>
          <w:highlight w:val="none"/>
        </w:rPr>
      </w:pPr>
    </w:p>
    <w:p w14:paraId="222ADA41">
      <w:pPr>
        <w:spacing w:line="360" w:lineRule="auto"/>
        <w:ind w:firstLine="560" w:firstLineChars="200"/>
        <w:rPr>
          <w:rFonts w:ascii="宋体" w:hAnsi="宋体" w:cs="宋体"/>
          <w:color w:val="auto"/>
          <w:kern w:val="0"/>
          <w:sz w:val="28"/>
          <w:szCs w:val="28"/>
          <w:highlight w:val="none"/>
        </w:rPr>
      </w:pPr>
    </w:p>
    <w:p w14:paraId="115B3259">
      <w:pPr>
        <w:spacing w:line="360" w:lineRule="auto"/>
        <w:rPr>
          <w:rFonts w:ascii="宋体" w:hAnsi="宋体" w:cs="宋体"/>
          <w:color w:val="auto"/>
          <w:kern w:val="0"/>
          <w:sz w:val="28"/>
          <w:szCs w:val="28"/>
          <w:highlight w:val="none"/>
        </w:rPr>
      </w:pPr>
      <w:r>
        <w:rPr>
          <w:rFonts w:hint="eastAsia" w:ascii="宋体" w:hAnsi="宋体" w:cs="宋体"/>
          <w:color w:val="auto"/>
          <w:kern w:val="0"/>
          <w:sz w:val="28"/>
          <w:szCs w:val="28"/>
          <w:highlight w:val="none"/>
        </w:rPr>
        <w:t>法定代表人或授权                   法定代表人或授权</w:t>
      </w:r>
    </w:p>
    <w:p w14:paraId="65CF0164">
      <w:pPr>
        <w:spacing w:line="360" w:lineRule="auto"/>
        <w:rPr>
          <w:rFonts w:ascii="宋体" w:hAnsi="宋体" w:cs="宋体"/>
          <w:color w:val="auto"/>
          <w:kern w:val="0"/>
          <w:sz w:val="28"/>
          <w:szCs w:val="28"/>
          <w:highlight w:val="none"/>
        </w:rPr>
      </w:pPr>
      <w:r>
        <w:rPr>
          <w:rFonts w:hint="eastAsia" w:ascii="宋体" w:hAnsi="宋体" w:cs="宋体"/>
          <w:color w:val="auto"/>
          <w:kern w:val="0"/>
          <w:sz w:val="28"/>
          <w:szCs w:val="28"/>
          <w:highlight w:val="none"/>
        </w:rPr>
        <w:t>代表人签字：                       代表人签字：</w:t>
      </w:r>
    </w:p>
    <w:p w14:paraId="054196CF">
      <w:pPr>
        <w:spacing w:line="360" w:lineRule="auto"/>
        <w:ind w:firstLine="560" w:firstLineChars="200"/>
        <w:rPr>
          <w:rFonts w:ascii="宋体" w:hAnsi="宋体" w:cs="宋体"/>
          <w:color w:val="auto"/>
          <w:kern w:val="0"/>
          <w:sz w:val="28"/>
          <w:szCs w:val="28"/>
          <w:highlight w:val="none"/>
        </w:rPr>
      </w:pPr>
    </w:p>
    <w:p w14:paraId="47341BE3">
      <w:pPr>
        <w:spacing w:line="600" w:lineRule="exact"/>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202</w:t>
      </w:r>
      <w:r>
        <w:rPr>
          <w:rFonts w:hint="eastAsia" w:ascii="宋体" w:hAnsi="宋体" w:cs="宋体"/>
          <w:color w:val="auto"/>
          <w:kern w:val="0"/>
          <w:sz w:val="28"/>
          <w:szCs w:val="28"/>
          <w:highlight w:val="none"/>
          <w:lang w:val="en-US" w:eastAsia="zh-CN"/>
        </w:rPr>
        <w:t>5</w:t>
      </w:r>
      <w:r>
        <w:rPr>
          <w:rFonts w:hint="eastAsia" w:ascii="宋体" w:hAnsi="宋体" w:cs="宋体"/>
          <w:color w:val="auto"/>
          <w:kern w:val="0"/>
          <w:sz w:val="28"/>
          <w:szCs w:val="28"/>
          <w:highlight w:val="none"/>
        </w:rPr>
        <w:t>年  月  日                     202</w:t>
      </w:r>
      <w:r>
        <w:rPr>
          <w:rFonts w:hint="eastAsia" w:ascii="宋体" w:hAnsi="宋体" w:cs="宋体"/>
          <w:color w:val="auto"/>
          <w:kern w:val="0"/>
          <w:sz w:val="28"/>
          <w:szCs w:val="28"/>
          <w:highlight w:val="none"/>
          <w:lang w:val="en-US" w:eastAsia="zh-CN"/>
        </w:rPr>
        <w:t>5</w:t>
      </w:r>
      <w:r>
        <w:rPr>
          <w:rFonts w:hint="eastAsia" w:ascii="宋体" w:hAnsi="宋体" w:cs="宋体"/>
          <w:color w:val="auto"/>
          <w:kern w:val="0"/>
          <w:sz w:val="28"/>
          <w:szCs w:val="28"/>
          <w:highlight w:val="none"/>
        </w:rPr>
        <w:t>年  月  日</w:t>
      </w:r>
    </w:p>
    <w:p w14:paraId="17E1F1D0">
      <w:pPr>
        <w:spacing w:line="360" w:lineRule="auto"/>
        <w:ind w:firstLine="560" w:firstLineChars="200"/>
        <w:rPr>
          <w:rFonts w:ascii="宋体" w:hAnsi="宋体"/>
          <w:color w:val="auto"/>
          <w:sz w:val="28"/>
          <w:szCs w:val="28"/>
          <w:highlight w:val="none"/>
        </w:rPr>
      </w:pPr>
    </w:p>
    <w:p w14:paraId="59DFA531">
      <w:pPr>
        <w:pStyle w:val="2"/>
        <w:ind w:firstLine="0"/>
        <w:jc w:val="center"/>
        <w:rPr>
          <w:rFonts w:ascii="宋体" w:hAnsi="宋体"/>
          <w:i w:val="0"/>
          <w:color w:val="auto"/>
          <w:sz w:val="32"/>
          <w:szCs w:val="32"/>
          <w:highlight w:val="none"/>
        </w:rPr>
        <w:sectPr>
          <w:footerReference r:id="rId7" w:type="default"/>
          <w:pgSz w:w="11906" w:h="16838"/>
          <w:pgMar w:top="1440" w:right="1469" w:bottom="1440" w:left="1797" w:header="851" w:footer="992" w:gutter="0"/>
          <w:pgNumType w:start="1"/>
          <w:cols w:space="720" w:num="1"/>
          <w:docGrid w:linePitch="312" w:charSpace="0"/>
        </w:sectPr>
      </w:pPr>
      <w:bookmarkStart w:id="143" w:name="_Toc454551086"/>
    </w:p>
    <w:p w14:paraId="03585A4E">
      <w:pPr>
        <w:pStyle w:val="2"/>
        <w:ind w:firstLine="0"/>
        <w:jc w:val="center"/>
        <w:rPr>
          <w:rFonts w:ascii="宋体" w:hAnsi="宋体"/>
          <w:i w:val="0"/>
          <w:color w:val="auto"/>
          <w:sz w:val="32"/>
          <w:szCs w:val="32"/>
          <w:highlight w:val="none"/>
        </w:rPr>
      </w:pPr>
      <w:r>
        <w:rPr>
          <w:rFonts w:hint="eastAsia" w:ascii="宋体" w:hAnsi="宋体"/>
          <w:i w:val="0"/>
          <w:color w:val="auto"/>
          <w:sz w:val="32"/>
          <w:szCs w:val="32"/>
          <w:highlight w:val="none"/>
        </w:rPr>
        <w:t>第六章  投标文件格式</w:t>
      </w:r>
      <w:bookmarkEnd w:id="143"/>
    </w:p>
    <w:p w14:paraId="4C316AAD">
      <w:pPr>
        <w:snapToGrid w:val="0"/>
        <w:spacing w:line="280" w:lineRule="exact"/>
        <w:outlineLvl w:val="1"/>
        <w:rPr>
          <w:rFonts w:ascii="宋体" w:hAnsi="宋体"/>
          <w:color w:val="auto"/>
          <w:sz w:val="32"/>
          <w:szCs w:val="20"/>
          <w:highlight w:val="none"/>
        </w:rPr>
      </w:pPr>
    </w:p>
    <w:p w14:paraId="788DE6FF">
      <w:pPr>
        <w:snapToGrid w:val="0"/>
        <w:spacing w:line="280" w:lineRule="exact"/>
        <w:outlineLvl w:val="1"/>
        <w:rPr>
          <w:rFonts w:ascii="宋体" w:hAnsi="宋体"/>
          <w:color w:val="auto"/>
          <w:sz w:val="32"/>
          <w:szCs w:val="20"/>
          <w:highlight w:val="none"/>
        </w:rPr>
      </w:pPr>
    </w:p>
    <w:p w14:paraId="133675E5">
      <w:pPr>
        <w:snapToGrid w:val="0"/>
        <w:spacing w:line="280" w:lineRule="exact"/>
        <w:outlineLvl w:val="1"/>
        <w:rPr>
          <w:rFonts w:ascii="宋体" w:hAnsi="宋体"/>
          <w:color w:val="auto"/>
          <w:sz w:val="32"/>
          <w:szCs w:val="20"/>
          <w:highlight w:val="none"/>
        </w:rPr>
      </w:pPr>
    </w:p>
    <w:p w14:paraId="722E6F39">
      <w:pPr>
        <w:snapToGrid w:val="0"/>
        <w:spacing w:line="280" w:lineRule="exact"/>
        <w:outlineLvl w:val="1"/>
        <w:rPr>
          <w:rFonts w:ascii="宋体" w:hAnsi="宋体"/>
          <w:color w:val="auto"/>
          <w:sz w:val="32"/>
          <w:szCs w:val="20"/>
          <w:highlight w:val="none"/>
        </w:rPr>
      </w:pPr>
    </w:p>
    <w:p w14:paraId="27BB5E73">
      <w:pPr>
        <w:snapToGrid w:val="0"/>
        <w:rPr>
          <w:rFonts w:ascii="宋体" w:hAnsi="宋体"/>
          <w:color w:val="auto"/>
          <w:sz w:val="28"/>
          <w:szCs w:val="28"/>
          <w:highlight w:val="none"/>
        </w:rPr>
      </w:pPr>
      <w:r>
        <w:rPr>
          <w:rFonts w:hint="eastAsia" w:ascii="宋体" w:hAnsi="宋体"/>
          <w:color w:val="auto"/>
          <w:sz w:val="28"/>
          <w:szCs w:val="28"/>
          <w:highlight w:val="none"/>
        </w:rPr>
        <w:t>一、投标文件的外包装封面格式：</w:t>
      </w:r>
    </w:p>
    <w:p w14:paraId="75D0FFE9">
      <w:pPr>
        <w:snapToGrid w:val="0"/>
        <w:spacing w:line="240" w:lineRule="exact"/>
        <w:jc w:val="center"/>
        <w:rPr>
          <w:rFonts w:ascii="宋体" w:hAnsi="宋体"/>
          <w:bCs/>
          <w:color w:val="auto"/>
          <w:sz w:val="28"/>
          <w:szCs w:val="28"/>
          <w:highlight w:val="none"/>
        </w:rPr>
      </w:pPr>
    </w:p>
    <w:p w14:paraId="742F28D8">
      <w:pPr>
        <w:snapToGrid w:val="0"/>
        <w:spacing w:line="240" w:lineRule="exact"/>
        <w:jc w:val="center"/>
        <w:rPr>
          <w:rFonts w:ascii="宋体" w:hAnsi="宋体"/>
          <w:bCs/>
          <w:color w:val="auto"/>
          <w:sz w:val="28"/>
          <w:szCs w:val="28"/>
          <w:highlight w:val="none"/>
        </w:rPr>
      </w:pPr>
    </w:p>
    <w:p w14:paraId="3D11285B">
      <w:pPr>
        <w:snapToGrid w:val="0"/>
        <w:jc w:val="center"/>
        <w:rPr>
          <w:rFonts w:ascii="宋体" w:hAnsi="宋体"/>
          <w:bCs/>
          <w:color w:val="auto"/>
          <w:sz w:val="28"/>
          <w:szCs w:val="28"/>
          <w:highlight w:val="none"/>
        </w:rPr>
      </w:pPr>
      <w:r>
        <w:rPr>
          <w:rFonts w:hint="eastAsia" w:ascii="宋体" w:hAnsi="宋体"/>
          <w:bCs/>
          <w:color w:val="auto"/>
          <w:sz w:val="28"/>
          <w:szCs w:val="28"/>
          <w:highlight w:val="none"/>
        </w:rPr>
        <w:t>投标文件</w:t>
      </w:r>
    </w:p>
    <w:p w14:paraId="2575DB3A">
      <w:pPr>
        <w:snapToGrid w:val="0"/>
        <w:rPr>
          <w:rFonts w:ascii="宋体" w:hAnsi="宋体"/>
          <w:bCs/>
          <w:color w:val="auto"/>
          <w:sz w:val="24"/>
          <w:szCs w:val="20"/>
          <w:highlight w:val="none"/>
        </w:rPr>
      </w:pPr>
    </w:p>
    <w:p w14:paraId="14ADDDDB">
      <w:pPr>
        <w:snapToGrid w:val="0"/>
        <w:spacing w:line="360" w:lineRule="auto"/>
        <w:rPr>
          <w:rFonts w:ascii="宋体" w:hAnsi="宋体"/>
          <w:bCs/>
          <w:color w:val="auto"/>
          <w:sz w:val="24"/>
          <w:highlight w:val="none"/>
        </w:rPr>
      </w:pPr>
    </w:p>
    <w:p w14:paraId="6DE22C1E">
      <w:pPr>
        <w:snapToGrid w:val="0"/>
        <w:spacing w:line="360" w:lineRule="auto"/>
        <w:rPr>
          <w:rFonts w:ascii="宋体" w:hAnsi="宋体"/>
          <w:bCs/>
          <w:color w:val="auto"/>
          <w:sz w:val="24"/>
          <w:highlight w:val="none"/>
        </w:rPr>
      </w:pPr>
    </w:p>
    <w:p w14:paraId="569FBBC8">
      <w:pPr>
        <w:snapToGrid w:val="0"/>
        <w:spacing w:line="360" w:lineRule="auto"/>
        <w:rPr>
          <w:rFonts w:ascii="宋体" w:hAnsi="宋体"/>
          <w:bCs/>
          <w:color w:val="auto"/>
          <w:sz w:val="24"/>
          <w:highlight w:val="none"/>
        </w:rPr>
      </w:pPr>
    </w:p>
    <w:p w14:paraId="6F705496">
      <w:pPr>
        <w:snapToGrid w:val="0"/>
        <w:spacing w:line="360" w:lineRule="auto"/>
        <w:rPr>
          <w:rFonts w:ascii="宋体" w:hAnsi="宋体"/>
          <w:bCs/>
          <w:color w:val="auto"/>
          <w:sz w:val="24"/>
          <w:highlight w:val="none"/>
        </w:rPr>
      </w:pPr>
    </w:p>
    <w:p w14:paraId="5A7FA36A">
      <w:pPr>
        <w:snapToGrid w:val="0"/>
        <w:spacing w:line="360" w:lineRule="auto"/>
        <w:rPr>
          <w:rFonts w:ascii="宋体" w:hAnsi="宋体"/>
          <w:bCs/>
          <w:color w:val="auto"/>
          <w:sz w:val="24"/>
          <w:highlight w:val="none"/>
        </w:rPr>
      </w:pPr>
    </w:p>
    <w:p w14:paraId="4BE7B315">
      <w:pPr>
        <w:snapToGrid w:val="0"/>
        <w:spacing w:line="360" w:lineRule="auto"/>
        <w:rPr>
          <w:rFonts w:ascii="宋体" w:hAnsi="宋体"/>
          <w:bCs/>
          <w:color w:val="auto"/>
          <w:sz w:val="24"/>
          <w:highlight w:val="none"/>
        </w:rPr>
      </w:pPr>
      <w:r>
        <w:rPr>
          <w:rFonts w:hint="eastAsia" w:ascii="宋体" w:hAnsi="宋体"/>
          <w:bCs/>
          <w:color w:val="auto"/>
          <w:sz w:val="24"/>
          <w:highlight w:val="none"/>
        </w:rPr>
        <w:t xml:space="preserve">项目名称： </w:t>
      </w:r>
    </w:p>
    <w:p w14:paraId="0EDCA81A">
      <w:pPr>
        <w:snapToGrid w:val="0"/>
        <w:spacing w:line="360" w:lineRule="auto"/>
        <w:rPr>
          <w:rFonts w:ascii="宋体" w:hAnsi="宋体"/>
          <w:bCs/>
          <w:color w:val="auto"/>
          <w:sz w:val="24"/>
          <w:highlight w:val="none"/>
        </w:rPr>
      </w:pPr>
      <w:r>
        <w:rPr>
          <w:rFonts w:hint="eastAsia" w:ascii="宋体" w:hAnsi="宋体"/>
          <w:bCs/>
          <w:color w:val="auto"/>
          <w:sz w:val="24"/>
          <w:highlight w:val="none"/>
        </w:rPr>
        <w:t>项目编号：</w:t>
      </w:r>
    </w:p>
    <w:p w14:paraId="2C382DAF">
      <w:pPr>
        <w:snapToGrid w:val="0"/>
        <w:spacing w:line="360" w:lineRule="auto"/>
        <w:rPr>
          <w:rFonts w:ascii="宋体" w:hAnsi="宋体"/>
          <w:bCs/>
          <w:color w:val="auto"/>
          <w:sz w:val="24"/>
          <w:highlight w:val="none"/>
        </w:rPr>
      </w:pPr>
      <w:r>
        <w:rPr>
          <w:rFonts w:hint="eastAsia" w:ascii="宋体" w:hAnsi="宋体"/>
          <w:bCs/>
          <w:color w:val="auto"/>
          <w:sz w:val="24"/>
          <w:highlight w:val="none"/>
        </w:rPr>
        <w:t>投标人名称：</w:t>
      </w:r>
    </w:p>
    <w:p w14:paraId="56B338A4">
      <w:pPr>
        <w:snapToGrid w:val="0"/>
        <w:spacing w:line="360" w:lineRule="auto"/>
        <w:rPr>
          <w:rFonts w:ascii="宋体" w:hAnsi="宋体"/>
          <w:bCs/>
          <w:color w:val="auto"/>
          <w:sz w:val="24"/>
          <w:highlight w:val="none"/>
        </w:rPr>
      </w:pPr>
      <w:r>
        <w:rPr>
          <w:rFonts w:hint="eastAsia" w:ascii="宋体" w:hAnsi="宋体"/>
          <w:bCs/>
          <w:color w:val="auto"/>
          <w:sz w:val="24"/>
          <w:highlight w:val="none"/>
        </w:rPr>
        <w:t>投标人地址：</w:t>
      </w:r>
    </w:p>
    <w:p w14:paraId="1989FD04">
      <w:pPr>
        <w:snapToGrid w:val="0"/>
        <w:spacing w:line="360" w:lineRule="auto"/>
        <w:rPr>
          <w:rFonts w:ascii="宋体" w:hAnsi="宋体"/>
          <w:bCs/>
          <w:color w:val="auto"/>
          <w:sz w:val="24"/>
          <w:highlight w:val="none"/>
        </w:rPr>
      </w:pPr>
      <w:r>
        <w:rPr>
          <w:rFonts w:hint="eastAsia" w:ascii="宋体" w:hAnsi="宋体"/>
          <w:bCs/>
          <w:color w:val="auto"/>
          <w:sz w:val="24"/>
          <w:highlight w:val="none"/>
        </w:rPr>
        <w:t>在年月日时分之前不得启封</w:t>
      </w:r>
    </w:p>
    <w:p w14:paraId="114F8C70">
      <w:pPr>
        <w:snapToGrid w:val="0"/>
        <w:ind w:firstLine="4080" w:firstLineChars="1700"/>
        <w:rPr>
          <w:rFonts w:ascii="宋体" w:hAnsi="宋体"/>
          <w:bCs/>
          <w:color w:val="auto"/>
          <w:sz w:val="24"/>
          <w:szCs w:val="20"/>
          <w:highlight w:val="none"/>
        </w:rPr>
      </w:pPr>
    </w:p>
    <w:p w14:paraId="5D7EF361">
      <w:pPr>
        <w:snapToGrid w:val="0"/>
        <w:ind w:firstLine="4080" w:firstLineChars="1700"/>
        <w:rPr>
          <w:rFonts w:ascii="宋体" w:hAnsi="宋体"/>
          <w:bCs/>
          <w:color w:val="auto"/>
          <w:sz w:val="24"/>
          <w:szCs w:val="20"/>
          <w:highlight w:val="none"/>
        </w:rPr>
      </w:pPr>
    </w:p>
    <w:p w14:paraId="2E69F3DB">
      <w:pPr>
        <w:snapToGrid w:val="0"/>
        <w:ind w:firstLine="4080" w:firstLineChars="1700"/>
        <w:rPr>
          <w:rFonts w:ascii="宋体" w:hAnsi="宋体"/>
          <w:bCs/>
          <w:color w:val="auto"/>
          <w:sz w:val="24"/>
          <w:szCs w:val="20"/>
          <w:highlight w:val="none"/>
        </w:rPr>
      </w:pPr>
    </w:p>
    <w:p w14:paraId="6E2544B0">
      <w:pPr>
        <w:snapToGrid w:val="0"/>
        <w:ind w:firstLine="4080" w:firstLineChars="1700"/>
        <w:rPr>
          <w:rFonts w:ascii="宋体" w:hAnsi="宋体"/>
          <w:bCs/>
          <w:color w:val="auto"/>
          <w:sz w:val="24"/>
          <w:szCs w:val="20"/>
          <w:highlight w:val="none"/>
        </w:rPr>
      </w:pPr>
    </w:p>
    <w:p w14:paraId="368CE0FE">
      <w:pPr>
        <w:snapToGrid w:val="0"/>
        <w:ind w:firstLine="4080" w:firstLineChars="1700"/>
        <w:rPr>
          <w:rFonts w:ascii="宋体" w:hAnsi="宋体"/>
          <w:bCs/>
          <w:color w:val="auto"/>
          <w:sz w:val="24"/>
          <w:szCs w:val="20"/>
          <w:highlight w:val="none"/>
        </w:rPr>
      </w:pPr>
    </w:p>
    <w:p w14:paraId="1A45D9B6">
      <w:pPr>
        <w:snapToGrid w:val="0"/>
        <w:ind w:firstLine="4080" w:firstLineChars="1700"/>
        <w:rPr>
          <w:rFonts w:ascii="宋体" w:hAnsi="宋体"/>
          <w:bCs/>
          <w:color w:val="auto"/>
          <w:sz w:val="24"/>
          <w:szCs w:val="20"/>
          <w:highlight w:val="none"/>
        </w:rPr>
      </w:pPr>
    </w:p>
    <w:p w14:paraId="1EDD0BF4">
      <w:pPr>
        <w:snapToGrid w:val="0"/>
        <w:ind w:firstLine="4080" w:firstLineChars="1700"/>
        <w:rPr>
          <w:rFonts w:ascii="宋体" w:hAnsi="宋体"/>
          <w:bCs/>
          <w:color w:val="auto"/>
          <w:sz w:val="24"/>
          <w:szCs w:val="20"/>
          <w:highlight w:val="none"/>
        </w:rPr>
      </w:pPr>
    </w:p>
    <w:p w14:paraId="518A76BD">
      <w:pPr>
        <w:snapToGrid w:val="0"/>
        <w:ind w:firstLine="4080" w:firstLineChars="1700"/>
        <w:rPr>
          <w:rFonts w:ascii="宋体" w:hAnsi="宋体"/>
          <w:bCs/>
          <w:color w:val="auto"/>
          <w:sz w:val="24"/>
          <w:szCs w:val="20"/>
          <w:highlight w:val="none"/>
        </w:rPr>
      </w:pPr>
    </w:p>
    <w:p w14:paraId="05CCE786">
      <w:pPr>
        <w:snapToGrid w:val="0"/>
        <w:ind w:firstLine="4080" w:firstLineChars="1700"/>
        <w:rPr>
          <w:rFonts w:ascii="宋体" w:hAnsi="宋体"/>
          <w:bCs/>
          <w:color w:val="auto"/>
          <w:sz w:val="24"/>
          <w:szCs w:val="20"/>
          <w:highlight w:val="none"/>
        </w:rPr>
      </w:pPr>
      <w:r>
        <w:rPr>
          <w:rFonts w:hint="eastAsia" w:ascii="宋体" w:hAnsi="宋体"/>
          <w:bCs/>
          <w:color w:val="auto"/>
          <w:sz w:val="24"/>
          <w:szCs w:val="20"/>
          <w:highlight w:val="none"/>
        </w:rPr>
        <w:t xml:space="preserve">         投标人名称（投标人公章）</w:t>
      </w:r>
    </w:p>
    <w:p w14:paraId="0DCD2E5E">
      <w:pPr>
        <w:snapToGrid w:val="0"/>
        <w:ind w:firstLine="645"/>
        <w:jc w:val="center"/>
        <w:rPr>
          <w:rFonts w:ascii="宋体" w:hAnsi="宋体"/>
          <w:bCs/>
          <w:color w:val="auto"/>
          <w:sz w:val="24"/>
          <w:highlight w:val="none"/>
        </w:rPr>
      </w:pPr>
    </w:p>
    <w:p w14:paraId="04EE9EDB">
      <w:pPr>
        <w:snapToGrid w:val="0"/>
        <w:ind w:firstLine="645"/>
        <w:jc w:val="center"/>
        <w:rPr>
          <w:rFonts w:ascii="宋体" w:hAnsi="宋体"/>
          <w:bCs/>
          <w:color w:val="auto"/>
          <w:sz w:val="24"/>
          <w:szCs w:val="20"/>
          <w:highlight w:val="none"/>
        </w:rPr>
      </w:pPr>
      <w:r>
        <w:rPr>
          <w:rFonts w:hint="eastAsia" w:ascii="宋体" w:hAnsi="宋体"/>
          <w:bCs/>
          <w:color w:val="auto"/>
          <w:sz w:val="24"/>
          <w:highlight w:val="none"/>
        </w:rPr>
        <w:t xml:space="preserve">                             年   月    日</w:t>
      </w:r>
    </w:p>
    <w:p w14:paraId="379B42D0">
      <w:pPr>
        <w:snapToGrid w:val="0"/>
        <w:jc w:val="center"/>
        <w:outlineLvl w:val="1"/>
        <w:rPr>
          <w:rFonts w:ascii="宋体" w:hAnsi="宋体"/>
          <w:color w:val="auto"/>
          <w:highlight w:val="none"/>
        </w:rPr>
      </w:pPr>
    </w:p>
    <w:p w14:paraId="2FE086FE">
      <w:pPr>
        <w:snapToGrid w:val="0"/>
        <w:jc w:val="center"/>
        <w:outlineLvl w:val="1"/>
        <w:rPr>
          <w:rFonts w:ascii="宋体" w:hAnsi="宋体"/>
          <w:color w:val="auto"/>
          <w:highlight w:val="none"/>
        </w:rPr>
      </w:pPr>
    </w:p>
    <w:p w14:paraId="12CCF2B4">
      <w:pPr>
        <w:snapToGrid w:val="0"/>
        <w:jc w:val="center"/>
        <w:outlineLvl w:val="1"/>
        <w:rPr>
          <w:rFonts w:ascii="宋体" w:hAnsi="宋体"/>
          <w:color w:val="auto"/>
          <w:highlight w:val="none"/>
        </w:rPr>
      </w:pPr>
    </w:p>
    <w:p w14:paraId="64006BC4">
      <w:pPr>
        <w:snapToGrid w:val="0"/>
        <w:jc w:val="center"/>
        <w:outlineLvl w:val="1"/>
        <w:rPr>
          <w:rFonts w:ascii="宋体" w:hAnsi="宋体"/>
          <w:color w:val="auto"/>
          <w:highlight w:val="none"/>
        </w:rPr>
      </w:pPr>
    </w:p>
    <w:p w14:paraId="061270E7">
      <w:pPr>
        <w:snapToGrid w:val="0"/>
        <w:jc w:val="center"/>
        <w:outlineLvl w:val="1"/>
        <w:rPr>
          <w:rFonts w:ascii="宋体" w:hAnsi="宋体"/>
          <w:color w:val="auto"/>
          <w:highlight w:val="none"/>
        </w:rPr>
      </w:pPr>
    </w:p>
    <w:p w14:paraId="1D318E2F">
      <w:pPr>
        <w:snapToGrid w:val="0"/>
        <w:jc w:val="center"/>
        <w:outlineLvl w:val="1"/>
        <w:rPr>
          <w:rFonts w:ascii="宋体" w:hAnsi="宋体"/>
          <w:color w:val="auto"/>
          <w:highlight w:val="none"/>
        </w:rPr>
      </w:pPr>
    </w:p>
    <w:p w14:paraId="32FAD62A">
      <w:pPr>
        <w:snapToGrid w:val="0"/>
        <w:jc w:val="center"/>
        <w:outlineLvl w:val="1"/>
        <w:rPr>
          <w:rFonts w:ascii="宋体" w:hAnsi="宋体"/>
          <w:color w:val="auto"/>
          <w:highlight w:val="none"/>
        </w:rPr>
      </w:pPr>
    </w:p>
    <w:p w14:paraId="49C6230A">
      <w:pPr>
        <w:snapToGrid w:val="0"/>
        <w:jc w:val="center"/>
        <w:outlineLvl w:val="1"/>
        <w:rPr>
          <w:rFonts w:ascii="宋体" w:hAnsi="宋体"/>
          <w:color w:val="auto"/>
          <w:highlight w:val="none"/>
        </w:rPr>
      </w:pPr>
    </w:p>
    <w:p w14:paraId="46BB9462">
      <w:pPr>
        <w:snapToGrid w:val="0"/>
        <w:jc w:val="center"/>
        <w:outlineLvl w:val="1"/>
        <w:rPr>
          <w:rFonts w:ascii="宋体" w:hAnsi="宋体"/>
          <w:color w:val="auto"/>
          <w:highlight w:val="none"/>
        </w:rPr>
      </w:pPr>
    </w:p>
    <w:p w14:paraId="094275DA">
      <w:pPr>
        <w:snapToGrid w:val="0"/>
        <w:jc w:val="center"/>
        <w:outlineLvl w:val="1"/>
        <w:rPr>
          <w:rFonts w:ascii="宋体" w:hAnsi="宋体"/>
          <w:color w:val="auto"/>
          <w:highlight w:val="none"/>
        </w:rPr>
      </w:pPr>
    </w:p>
    <w:p w14:paraId="62771842">
      <w:pPr>
        <w:snapToGrid w:val="0"/>
        <w:jc w:val="center"/>
        <w:outlineLvl w:val="1"/>
        <w:rPr>
          <w:rFonts w:ascii="宋体" w:hAnsi="宋体"/>
          <w:color w:val="auto"/>
          <w:highlight w:val="none"/>
        </w:rPr>
      </w:pPr>
    </w:p>
    <w:p w14:paraId="53D6716F">
      <w:pPr>
        <w:snapToGrid w:val="0"/>
        <w:jc w:val="center"/>
        <w:outlineLvl w:val="1"/>
        <w:rPr>
          <w:rFonts w:ascii="宋体" w:hAnsi="宋体"/>
          <w:color w:val="auto"/>
          <w:highlight w:val="none"/>
        </w:rPr>
      </w:pPr>
    </w:p>
    <w:p w14:paraId="3C57D28F">
      <w:pPr>
        <w:snapToGrid w:val="0"/>
        <w:rPr>
          <w:rFonts w:ascii="宋体" w:hAnsi="宋体"/>
          <w:color w:val="auto"/>
          <w:sz w:val="24"/>
          <w:highlight w:val="none"/>
        </w:rPr>
      </w:pPr>
    </w:p>
    <w:p w14:paraId="440E313C">
      <w:pPr>
        <w:snapToGrid w:val="0"/>
        <w:rPr>
          <w:rFonts w:ascii="宋体" w:hAnsi="宋体"/>
          <w:color w:val="auto"/>
          <w:sz w:val="28"/>
          <w:szCs w:val="28"/>
          <w:highlight w:val="none"/>
        </w:rPr>
      </w:pPr>
      <w:r>
        <w:rPr>
          <w:rFonts w:hint="eastAsia" w:ascii="宋体" w:hAnsi="宋体"/>
          <w:color w:val="auto"/>
          <w:sz w:val="28"/>
          <w:szCs w:val="28"/>
          <w:highlight w:val="none"/>
        </w:rPr>
        <w:t>二、投标文件封面格式：</w:t>
      </w:r>
    </w:p>
    <w:p w14:paraId="0977E66D">
      <w:pPr>
        <w:snapToGrid w:val="0"/>
        <w:spacing w:line="240" w:lineRule="exact"/>
        <w:jc w:val="center"/>
        <w:rPr>
          <w:rFonts w:ascii="宋体" w:hAnsi="宋体"/>
          <w:b/>
          <w:bCs/>
          <w:color w:val="auto"/>
          <w:sz w:val="24"/>
          <w:highlight w:val="none"/>
        </w:rPr>
      </w:pPr>
    </w:p>
    <w:p w14:paraId="7AF36AD0">
      <w:pPr>
        <w:snapToGrid w:val="0"/>
        <w:spacing w:line="240" w:lineRule="exact"/>
        <w:jc w:val="center"/>
        <w:rPr>
          <w:rFonts w:ascii="宋体" w:hAnsi="宋体"/>
          <w:bCs/>
          <w:color w:val="auto"/>
          <w:sz w:val="24"/>
          <w:szCs w:val="20"/>
          <w:highlight w:val="none"/>
        </w:rPr>
      </w:pPr>
    </w:p>
    <w:p w14:paraId="4A165396">
      <w:pPr>
        <w:snapToGrid w:val="0"/>
        <w:spacing w:line="240" w:lineRule="exact"/>
        <w:jc w:val="center"/>
        <w:rPr>
          <w:rFonts w:ascii="宋体" w:hAnsi="宋体"/>
          <w:bCs/>
          <w:color w:val="auto"/>
          <w:sz w:val="24"/>
          <w:szCs w:val="20"/>
          <w:highlight w:val="none"/>
        </w:rPr>
      </w:pPr>
    </w:p>
    <w:p w14:paraId="523CC95B">
      <w:pPr>
        <w:snapToGrid w:val="0"/>
        <w:spacing w:line="240" w:lineRule="exact"/>
        <w:jc w:val="center"/>
        <w:rPr>
          <w:rFonts w:ascii="宋体" w:hAnsi="宋体"/>
          <w:bCs/>
          <w:color w:val="auto"/>
          <w:sz w:val="24"/>
          <w:szCs w:val="20"/>
          <w:highlight w:val="none"/>
        </w:rPr>
      </w:pPr>
    </w:p>
    <w:p w14:paraId="7437A34E">
      <w:pPr>
        <w:snapToGrid w:val="0"/>
        <w:spacing w:line="240" w:lineRule="exact"/>
        <w:jc w:val="center"/>
        <w:rPr>
          <w:rFonts w:ascii="宋体" w:hAnsi="宋体"/>
          <w:bCs/>
          <w:color w:val="auto"/>
          <w:sz w:val="24"/>
          <w:szCs w:val="20"/>
          <w:highlight w:val="none"/>
        </w:rPr>
      </w:pPr>
    </w:p>
    <w:p w14:paraId="7A42D5F0">
      <w:pPr>
        <w:snapToGrid w:val="0"/>
        <w:jc w:val="center"/>
        <w:rPr>
          <w:rFonts w:ascii="宋体" w:hAnsi="宋体"/>
          <w:bCs/>
          <w:color w:val="auto"/>
          <w:sz w:val="32"/>
          <w:szCs w:val="32"/>
          <w:highlight w:val="none"/>
        </w:rPr>
      </w:pPr>
      <w:r>
        <w:rPr>
          <w:rFonts w:hint="eastAsia" w:ascii="宋体" w:hAnsi="宋体"/>
          <w:bCs/>
          <w:color w:val="auto"/>
          <w:sz w:val="32"/>
          <w:szCs w:val="32"/>
          <w:highlight w:val="none"/>
        </w:rPr>
        <w:t>投标文件</w:t>
      </w:r>
    </w:p>
    <w:p w14:paraId="22C29FC5">
      <w:pPr>
        <w:snapToGrid w:val="0"/>
        <w:rPr>
          <w:rFonts w:ascii="宋体" w:hAnsi="宋体"/>
          <w:bCs/>
          <w:color w:val="auto"/>
          <w:sz w:val="24"/>
          <w:szCs w:val="20"/>
          <w:highlight w:val="none"/>
        </w:rPr>
      </w:pPr>
    </w:p>
    <w:p w14:paraId="6F3E43A6">
      <w:pPr>
        <w:snapToGrid w:val="0"/>
        <w:spacing w:line="360" w:lineRule="auto"/>
        <w:rPr>
          <w:rFonts w:ascii="宋体" w:hAnsi="宋体"/>
          <w:bCs/>
          <w:color w:val="auto"/>
          <w:sz w:val="24"/>
          <w:highlight w:val="none"/>
        </w:rPr>
      </w:pPr>
      <w:r>
        <w:rPr>
          <w:rFonts w:hint="eastAsia" w:ascii="宋体" w:hAnsi="宋体"/>
          <w:bCs/>
          <w:color w:val="auto"/>
          <w:sz w:val="24"/>
          <w:highlight w:val="none"/>
        </w:rPr>
        <w:t>项目名称：</w:t>
      </w:r>
    </w:p>
    <w:p w14:paraId="41FF8A28">
      <w:pPr>
        <w:snapToGrid w:val="0"/>
        <w:spacing w:line="360" w:lineRule="auto"/>
        <w:rPr>
          <w:rFonts w:ascii="宋体" w:hAnsi="宋体"/>
          <w:bCs/>
          <w:color w:val="auto"/>
          <w:sz w:val="24"/>
          <w:highlight w:val="none"/>
        </w:rPr>
      </w:pPr>
      <w:r>
        <w:rPr>
          <w:rFonts w:hint="eastAsia" w:ascii="宋体" w:hAnsi="宋体"/>
          <w:bCs/>
          <w:color w:val="auto"/>
          <w:sz w:val="24"/>
          <w:highlight w:val="none"/>
        </w:rPr>
        <w:t>项目编号：</w:t>
      </w:r>
    </w:p>
    <w:p w14:paraId="72589D73">
      <w:pPr>
        <w:snapToGrid w:val="0"/>
        <w:spacing w:line="360" w:lineRule="auto"/>
        <w:rPr>
          <w:rFonts w:ascii="宋体" w:hAnsi="宋体"/>
          <w:bCs/>
          <w:color w:val="auto"/>
          <w:sz w:val="24"/>
          <w:highlight w:val="none"/>
        </w:rPr>
      </w:pPr>
      <w:r>
        <w:rPr>
          <w:rFonts w:hint="eastAsia" w:ascii="宋体" w:hAnsi="宋体"/>
          <w:bCs/>
          <w:color w:val="auto"/>
          <w:sz w:val="24"/>
          <w:highlight w:val="none"/>
        </w:rPr>
        <w:t>投标人名称：</w:t>
      </w:r>
    </w:p>
    <w:p w14:paraId="3E399519">
      <w:pPr>
        <w:snapToGrid w:val="0"/>
        <w:spacing w:line="360" w:lineRule="auto"/>
        <w:rPr>
          <w:rFonts w:ascii="宋体" w:hAnsi="宋体"/>
          <w:bCs/>
          <w:color w:val="auto"/>
          <w:sz w:val="24"/>
          <w:highlight w:val="none"/>
        </w:rPr>
      </w:pPr>
      <w:r>
        <w:rPr>
          <w:rFonts w:hint="eastAsia" w:ascii="宋体" w:hAnsi="宋体"/>
          <w:bCs/>
          <w:color w:val="auto"/>
          <w:sz w:val="24"/>
          <w:highlight w:val="none"/>
        </w:rPr>
        <w:t>投标人地址：</w:t>
      </w:r>
    </w:p>
    <w:p w14:paraId="50BC2812">
      <w:pPr>
        <w:pStyle w:val="5"/>
        <w:snapToGrid w:val="0"/>
        <w:ind w:firstLine="1497" w:firstLineChars="416"/>
        <w:rPr>
          <w:rFonts w:ascii="宋体" w:hAnsi="宋体"/>
          <w:color w:val="auto"/>
          <w:sz w:val="36"/>
          <w:highlight w:val="none"/>
        </w:rPr>
      </w:pPr>
    </w:p>
    <w:p w14:paraId="1496B6B4">
      <w:pPr>
        <w:pStyle w:val="5"/>
        <w:snapToGrid w:val="0"/>
        <w:ind w:firstLine="1497" w:firstLineChars="416"/>
        <w:rPr>
          <w:rFonts w:ascii="宋体" w:hAnsi="宋体"/>
          <w:color w:val="auto"/>
          <w:sz w:val="36"/>
          <w:highlight w:val="none"/>
        </w:rPr>
      </w:pPr>
    </w:p>
    <w:p w14:paraId="4EE8CC86">
      <w:pPr>
        <w:snapToGrid w:val="0"/>
        <w:ind w:firstLine="4920" w:firstLineChars="2050"/>
        <w:rPr>
          <w:rFonts w:ascii="宋体" w:hAnsi="宋体"/>
          <w:bCs/>
          <w:color w:val="auto"/>
          <w:sz w:val="24"/>
          <w:szCs w:val="20"/>
          <w:highlight w:val="none"/>
        </w:rPr>
      </w:pPr>
      <w:r>
        <w:rPr>
          <w:rFonts w:hint="eastAsia" w:ascii="宋体" w:hAnsi="宋体"/>
          <w:bCs/>
          <w:color w:val="auto"/>
          <w:sz w:val="24"/>
          <w:szCs w:val="20"/>
          <w:highlight w:val="none"/>
        </w:rPr>
        <w:t>投标人名称（投标人公章）</w:t>
      </w:r>
    </w:p>
    <w:p w14:paraId="5A80E73B">
      <w:pPr>
        <w:snapToGrid w:val="0"/>
        <w:ind w:firstLine="645"/>
        <w:jc w:val="center"/>
        <w:rPr>
          <w:rFonts w:ascii="宋体" w:hAnsi="宋体"/>
          <w:color w:val="auto"/>
          <w:sz w:val="24"/>
          <w:highlight w:val="none"/>
        </w:rPr>
      </w:pPr>
    </w:p>
    <w:p w14:paraId="21E359F6">
      <w:pPr>
        <w:snapToGrid w:val="0"/>
        <w:ind w:firstLine="645"/>
        <w:jc w:val="center"/>
        <w:rPr>
          <w:rFonts w:ascii="宋体" w:hAnsi="宋体"/>
          <w:color w:val="auto"/>
          <w:sz w:val="24"/>
          <w:szCs w:val="20"/>
          <w:highlight w:val="none"/>
        </w:rPr>
      </w:pPr>
      <w:r>
        <w:rPr>
          <w:rFonts w:hint="eastAsia" w:ascii="宋体" w:hAnsi="宋体"/>
          <w:color w:val="auto"/>
          <w:sz w:val="24"/>
          <w:highlight w:val="none"/>
        </w:rPr>
        <w:t xml:space="preserve">                      年   月   日</w:t>
      </w:r>
    </w:p>
    <w:p w14:paraId="53624DE1">
      <w:pPr>
        <w:snapToGrid w:val="0"/>
        <w:rPr>
          <w:rFonts w:ascii="宋体" w:hAnsi="宋体"/>
          <w:color w:val="auto"/>
          <w:sz w:val="24"/>
          <w:szCs w:val="20"/>
          <w:highlight w:val="none"/>
        </w:rPr>
      </w:pPr>
    </w:p>
    <w:p w14:paraId="70B80D22">
      <w:pPr>
        <w:snapToGrid w:val="0"/>
        <w:spacing w:line="360" w:lineRule="auto"/>
        <w:rPr>
          <w:rFonts w:ascii="宋体" w:hAnsi="宋体"/>
          <w:color w:val="auto"/>
          <w:sz w:val="24"/>
          <w:highlight w:val="none"/>
        </w:rPr>
      </w:pPr>
      <w:r>
        <w:rPr>
          <w:rFonts w:ascii="宋体" w:hAnsi="宋体"/>
          <w:color w:val="auto"/>
          <w:sz w:val="24"/>
          <w:highlight w:val="none"/>
        </w:rPr>
        <w:br w:type="column"/>
      </w:r>
    </w:p>
    <w:p w14:paraId="794CE2CE">
      <w:pPr>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1.投标声明书</w:t>
      </w:r>
    </w:p>
    <w:p w14:paraId="0E80D9CD">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根据</w:t>
      </w:r>
      <w:r>
        <w:rPr>
          <w:rFonts w:hint="eastAsia" w:ascii="宋体" w:hAnsi="宋体"/>
          <w:color w:val="auto"/>
          <w:sz w:val="24"/>
          <w:highlight w:val="none"/>
          <w:u w:val="single"/>
          <w:lang w:eastAsia="zh-CN"/>
        </w:rPr>
        <w:t>宁波市本级住房公积金定期存款竞争性存放（2025年第一期）银行招标项目</w:t>
      </w:r>
      <w:r>
        <w:rPr>
          <w:rFonts w:hint="eastAsia" w:ascii="宋体" w:hAnsi="宋体"/>
          <w:color w:val="auto"/>
          <w:sz w:val="24"/>
          <w:highlight w:val="none"/>
        </w:rPr>
        <w:t>的招标公告，签字代表</w:t>
      </w:r>
      <w:r>
        <w:rPr>
          <w:rFonts w:hint="eastAsia" w:ascii="宋体" w:hAnsi="宋体"/>
          <w:color w:val="auto"/>
          <w:sz w:val="24"/>
          <w:highlight w:val="none"/>
          <w:u w:val="single"/>
        </w:rPr>
        <w:t>（姓名和职务）</w:t>
      </w:r>
      <w:r>
        <w:rPr>
          <w:rFonts w:hint="eastAsia" w:ascii="宋体" w:hAnsi="宋体"/>
          <w:color w:val="auto"/>
          <w:sz w:val="24"/>
          <w:highlight w:val="none"/>
        </w:rPr>
        <w:t>经正式授权并代表投标人</w:t>
      </w:r>
      <w:r>
        <w:rPr>
          <w:rFonts w:hint="eastAsia" w:ascii="宋体" w:hAnsi="宋体"/>
          <w:color w:val="auto"/>
          <w:sz w:val="24"/>
          <w:highlight w:val="none"/>
          <w:u w:val="single"/>
        </w:rPr>
        <w:t>（投标人名称、地址）</w:t>
      </w:r>
      <w:r>
        <w:rPr>
          <w:rFonts w:hint="eastAsia" w:ascii="宋体" w:hAnsi="宋体"/>
          <w:color w:val="auto"/>
          <w:sz w:val="24"/>
          <w:highlight w:val="none"/>
        </w:rPr>
        <w:t>提交下述文件电子一份，纸质两份。</w:t>
      </w:r>
    </w:p>
    <w:p w14:paraId="1CF328D0">
      <w:pPr>
        <w:numPr>
          <w:ilvl w:val="0"/>
          <w:numId w:val="9"/>
        </w:numPr>
        <w:tabs>
          <w:tab w:val="left" w:pos="720"/>
          <w:tab w:val="clear" w:pos="360"/>
        </w:tabs>
        <w:spacing w:line="360" w:lineRule="auto"/>
        <w:ind w:firstLine="0"/>
        <w:rPr>
          <w:rFonts w:ascii="宋体" w:hAnsi="宋体"/>
          <w:color w:val="auto"/>
          <w:sz w:val="24"/>
          <w:highlight w:val="none"/>
        </w:rPr>
      </w:pPr>
      <w:r>
        <w:rPr>
          <w:rFonts w:hint="eastAsia" w:ascii="宋体" w:hAnsi="宋体"/>
          <w:color w:val="auto"/>
          <w:sz w:val="24"/>
          <w:highlight w:val="none"/>
        </w:rPr>
        <w:t>投标人基本情况声明</w:t>
      </w:r>
    </w:p>
    <w:p w14:paraId="5E21E471">
      <w:pPr>
        <w:numPr>
          <w:ilvl w:val="0"/>
          <w:numId w:val="9"/>
        </w:numPr>
        <w:tabs>
          <w:tab w:val="left" w:pos="720"/>
          <w:tab w:val="clear" w:pos="360"/>
        </w:tabs>
        <w:spacing w:line="360" w:lineRule="auto"/>
        <w:ind w:firstLine="0"/>
        <w:rPr>
          <w:rFonts w:ascii="宋体" w:hAnsi="宋体"/>
          <w:color w:val="auto"/>
          <w:sz w:val="24"/>
          <w:highlight w:val="none"/>
        </w:rPr>
      </w:pPr>
      <w:r>
        <w:rPr>
          <w:rFonts w:hint="eastAsia" w:ascii="宋体" w:hAnsi="宋体"/>
          <w:color w:val="auto"/>
          <w:sz w:val="24"/>
          <w:highlight w:val="none"/>
        </w:rPr>
        <w:t>投标人资格证明文件；</w:t>
      </w:r>
    </w:p>
    <w:p w14:paraId="395F9C90">
      <w:pPr>
        <w:numPr>
          <w:ilvl w:val="0"/>
          <w:numId w:val="9"/>
        </w:numPr>
        <w:tabs>
          <w:tab w:val="left" w:pos="720"/>
          <w:tab w:val="clear" w:pos="360"/>
        </w:tabs>
        <w:spacing w:line="360" w:lineRule="auto"/>
        <w:ind w:firstLine="0"/>
        <w:rPr>
          <w:rFonts w:ascii="宋体" w:hAnsi="宋体"/>
          <w:color w:val="auto"/>
          <w:sz w:val="24"/>
          <w:highlight w:val="none"/>
        </w:rPr>
      </w:pPr>
      <w:r>
        <w:rPr>
          <w:rFonts w:hint="eastAsia" w:ascii="宋体" w:hAnsi="宋体"/>
          <w:color w:val="auto"/>
          <w:sz w:val="24"/>
          <w:highlight w:val="none"/>
          <w:lang w:eastAsia="zh-CN"/>
        </w:rPr>
        <w:t>2023年度资产负债表和损益表</w:t>
      </w:r>
      <w:r>
        <w:rPr>
          <w:rFonts w:hint="eastAsia" w:ascii="宋体" w:hAnsi="宋体"/>
          <w:color w:val="auto"/>
          <w:sz w:val="24"/>
          <w:highlight w:val="none"/>
        </w:rPr>
        <w:t>；</w:t>
      </w:r>
    </w:p>
    <w:p w14:paraId="6F6A38F8">
      <w:pPr>
        <w:numPr>
          <w:ilvl w:val="0"/>
          <w:numId w:val="9"/>
        </w:numPr>
        <w:tabs>
          <w:tab w:val="left" w:pos="720"/>
          <w:tab w:val="clear" w:pos="360"/>
        </w:tabs>
        <w:spacing w:line="360" w:lineRule="auto"/>
        <w:ind w:firstLine="0"/>
        <w:rPr>
          <w:rFonts w:ascii="宋体" w:hAnsi="宋体"/>
          <w:color w:val="auto"/>
          <w:sz w:val="24"/>
          <w:highlight w:val="none"/>
        </w:rPr>
      </w:pPr>
      <w:r>
        <w:rPr>
          <w:rFonts w:hint="eastAsia" w:ascii="宋体" w:hAnsi="宋体"/>
          <w:color w:val="auto"/>
          <w:sz w:val="24"/>
          <w:highlight w:val="none"/>
        </w:rPr>
        <w:t>投标人的具体情况；</w:t>
      </w:r>
    </w:p>
    <w:p w14:paraId="748CFEC5">
      <w:pPr>
        <w:numPr>
          <w:ilvl w:val="0"/>
          <w:numId w:val="9"/>
        </w:numPr>
        <w:tabs>
          <w:tab w:val="left" w:pos="720"/>
          <w:tab w:val="clear" w:pos="360"/>
        </w:tabs>
        <w:spacing w:line="360" w:lineRule="auto"/>
        <w:ind w:firstLine="0"/>
        <w:rPr>
          <w:rFonts w:ascii="宋体" w:hAnsi="宋体"/>
          <w:color w:val="auto"/>
          <w:sz w:val="24"/>
          <w:highlight w:val="none"/>
        </w:rPr>
      </w:pPr>
      <w:r>
        <w:rPr>
          <w:rFonts w:hint="eastAsia" w:ascii="宋体" w:hAnsi="宋体"/>
          <w:color w:val="auto"/>
          <w:sz w:val="24"/>
          <w:highlight w:val="none"/>
        </w:rPr>
        <w:t>投标人为招标人提供优质服务的承诺书；</w:t>
      </w:r>
    </w:p>
    <w:p w14:paraId="00996DE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据此函，签字代表宣布同意如下：</w:t>
      </w:r>
    </w:p>
    <w:p w14:paraId="6D114E20">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我方将按招标文件的规定履行协议责任和义务；</w:t>
      </w:r>
    </w:p>
    <w:p w14:paraId="33C7ACB7">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我方已详细审核全部招标文件，包括补充修改文件（如果有的话）。我们完全理解并同意放弃对这方面有不明及误解的权利；</w:t>
      </w:r>
    </w:p>
    <w:p w14:paraId="76160B4B">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本投标有效期为投标截止期结束后</w:t>
      </w:r>
      <w:r>
        <w:rPr>
          <w:rFonts w:hint="eastAsia" w:ascii="宋体" w:hAnsi="宋体"/>
          <w:color w:val="auto"/>
          <w:sz w:val="24"/>
          <w:highlight w:val="none"/>
          <w:u w:val="single"/>
        </w:rPr>
        <w:t>90</w:t>
      </w:r>
      <w:r>
        <w:rPr>
          <w:rFonts w:hint="eastAsia" w:ascii="宋体" w:hAnsi="宋体"/>
          <w:color w:val="auto"/>
          <w:sz w:val="24"/>
          <w:highlight w:val="none"/>
        </w:rPr>
        <w:t>天。</w:t>
      </w:r>
    </w:p>
    <w:p w14:paraId="5F4EC913">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如果在规定的开标时间后，我方在投标有效期内撤回投标，可取消我行本次投标资格；</w:t>
      </w:r>
    </w:p>
    <w:p w14:paraId="52981E67">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我方同意提供按照贵方要求的与其投标有关的一切证据或资料；</w:t>
      </w:r>
    </w:p>
    <w:p w14:paraId="4819F763">
      <w:pPr>
        <w:numPr>
          <w:ilvl w:val="0"/>
          <w:numId w:val="10"/>
        </w:numPr>
        <w:spacing w:line="360" w:lineRule="auto"/>
        <w:rPr>
          <w:rFonts w:ascii="宋体" w:hAnsi="宋体"/>
          <w:color w:val="auto"/>
          <w:sz w:val="24"/>
          <w:highlight w:val="none"/>
        </w:rPr>
      </w:pPr>
      <w:r>
        <w:rPr>
          <w:rFonts w:hint="eastAsia" w:ascii="宋体" w:hAnsi="宋体"/>
          <w:color w:val="auto"/>
          <w:sz w:val="24"/>
          <w:highlight w:val="none"/>
        </w:rPr>
        <w:t>一旦我方中标，我们将根据招标文件的规定，严格按照《民法典》履行自己的责任和义务，并保证完全按照合同为</w:t>
      </w:r>
      <w:r>
        <w:rPr>
          <w:rFonts w:hint="eastAsia" w:ascii="宋体" w:hAnsi="宋体"/>
          <w:color w:val="auto"/>
          <w:sz w:val="24"/>
          <w:highlight w:val="none"/>
          <w:u w:val="single"/>
          <w:lang w:eastAsia="zh-CN"/>
        </w:rPr>
        <w:t>宁波市本级住房公积金定期存款竞争性存放（2025年第一期）银行招标项目</w:t>
      </w:r>
      <w:r>
        <w:rPr>
          <w:rFonts w:hint="eastAsia" w:ascii="宋体" w:hAnsi="宋体"/>
          <w:color w:val="auto"/>
          <w:sz w:val="24"/>
          <w:highlight w:val="none"/>
        </w:rPr>
        <w:t>的相关业务提供服务；</w:t>
      </w:r>
    </w:p>
    <w:p w14:paraId="2C804E22">
      <w:pPr>
        <w:spacing w:line="360" w:lineRule="auto"/>
        <w:rPr>
          <w:rFonts w:ascii="宋体" w:hAnsi="宋体"/>
          <w:color w:val="auto"/>
          <w:sz w:val="24"/>
          <w:highlight w:val="none"/>
        </w:rPr>
      </w:pPr>
      <w:r>
        <w:rPr>
          <w:rFonts w:hint="eastAsia" w:ascii="宋体" w:hAnsi="宋体"/>
          <w:color w:val="auto"/>
          <w:sz w:val="24"/>
          <w:highlight w:val="none"/>
        </w:rPr>
        <w:t>7、 与本投标有关的一切正式往来信函请寄：</w:t>
      </w:r>
    </w:p>
    <w:p w14:paraId="3451519E">
      <w:pPr>
        <w:spacing w:line="360" w:lineRule="auto"/>
        <w:ind w:left="360"/>
        <w:rPr>
          <w:rFonts w:ascii="宋体" w:hAnsi="宋体"/>
          <w:color w:val="auto"/>
          <w:sz w:val="24"/>
          <w:highlight w:val="none"/>
          <w:u w:val="single"/>
        </w:rPr>
      </w:pPr>
      <w:r>
        <w:rPr>
          <w:rFonts w:hint="eastAsia" w:ascii="宋体" w:hAnsi="宋体"/>
          <w:color w:val="auto"/>
          <w:sz w:val="24"/>
          <w:highlight w:val="none"/>
        </w:rPr>
        <w:t>地址： 邮编：</w:t>
      </w:r>
    </w:p>
    <w:p w14:paraId="747A20EF">
      <w:pPr>
        <w:spacing w:line="360" w:lineRule="auto"/>
        <w:ind w:left="360"/>
        <w:rPr>
          <w:rFonts w:ascii="宋体" w:hAnsi="宋体"/>
          <w:color w:val="auto"/>
          <w:sz w:val="24"/>
          <w:highlight w:val="none"/>
          <w:u w:val="single"/>
        </w:rPr>
      </w:pPr>
      <w:r>
        <w:rPr>
          <w:rFonts w:hint="eastAsia" w:ascii="宋体" w:hAnsi="宋体"/>
          <w:color w:val="auto"/>
          <w:sz w:val="24"/>
          <w:highlight w:val="none"/>
        </w:rPr>
        <w:t>电话：传真：</w:t>
      </w:r>
    </w:p>
    <w:p w14:paraId="3B0E5200">
      <w:pPr>
        <w:spacing w:line="360" w:lineRule="auto"/>
        <w:ind w:left="360"/>
        <w:rPr>
          <w:rFonts w:ascii="宋体" w:hAnsi="宋体"/>
          <w:color w:val="auto"/>
          <w:sz w:val="24"/>
          <w:highlight w:val="none"/>
          <w:u w:val="single"/>
        </w:rPr>
      </w:pPr>
      <w:r>
        <w:rPr>
          <w:rFonts w:hint="eastAsia" w:ascii="宋体" w:hAnsi="宋体"/>
          <w:color w:val="auto"/>
          <w:sz w:val="24"/>
          <w:highlight w:val="none"/>
        </w:rPr>
        <w:t>授权代表签字：</w:t>
      </w:r>
    </w:p>
    <w:p w14:paraId="4B69C989">
      <w:pPr>
        <w:spacing w:line="360" w:lineRule="auto"/>
        <w:ind w:left="360"/>
        <w:rPr>
          <w:rFonts w:ascii="宋体" w:hAnsi="宋体"/>
          <w:color w:val="auto"/>
          <w:sz w:val="24"/>
          <w:highlight w:val="none"/>
        </w:rPr>
      </w:pPr>
      <w:r>
        <w:rPr>
          <w:rFonts w:hint="eastAsia" w:ascii="宋体" w:hAnsi="宋体"/>
          <w:color w:val="auto"/>
          <w:sz w:val="24"/>
          <w:highlight w:val="none"/>
        </w:rPr>
        <w:t xml:space="preserve">投标人名称：  </w:t>
      </w:r>
    </w:p>
    <w:p w14:paraId="253B65F7">
      <w:pPr>
        <w:spacing w:line="360" w:lineRule="auto"/>
        <w:ind w:left="360"/>
        <w:rPr>
          <w:rFonts w:ascii="宋体" w:hAnsi="宋体"/>
          <w:color w:val="auto"/>
          <w:sz w:val="24"/>
          <w:highlight w:val="none"/>
        </w:rPr>
      </w:pPr>
      <w:r>
        <w:rPr>
          <w:rFonts w:hint="eastAsia" w:ascii="宋体" w:hAnsi="宋体"/>
          <w:color w:val="auto"/>
          <w:sz w:val="24"/>
          <w:highlight w:val="none"/>
        </w:rPr>
        <w:t xml:space="preserve">公章：   </w:t>
      </w:r>
    </w:p>
    <w:p w14:paraId="7D4768E0">
      <w:pPr>
        <w:spacing w:line="360" w:lineRule="auto"/>
        <w:ind w:firstLine="360" w:firstLineChars="150"/>
        <w:rPr>
          <w:rFonts w:ascii="宋体" w:hAnsi="宋体"/>
          <w:color w:val="auto"/>
          <w:sz w:val="24"/>
          <w:highlight w:val="none"/>
        </w:rPr>
      </w:pPr>
      <w:r>
        <w:rPr>
          <w:rFonts w:hint="eastAsia" w:ascii="宋体" w:hAnsi="宋体"/>
          <w:color w:val="auto"/>
          <w:sz w:val="24"/>
          <w:highlight w:val="none"/>
        </w:rPr>
        <w:t>日期：   年 月 日</w:t>
      </w:r>
    </w:p>
    <w:p w14:paraId="56B027A6">
      <w:pPr>
        <w:spacing w:line="360" w:lineRule="auto"/>
        <w:rPr>
          <w:rFonts w:ascii="宋体" w:hAnsi="宋体"/>
          <w:color w:val="auto"/>
          <w:sz w:val="24"/>
          <w:highlight w:val="none"/>
        </w:rPr>
      </w:pPr>
    </w:p>
    <w:p w14:paraId="66636C55">
      <w:pPr>
        <w:spacing w:line="360" w:lineRule="auto"/>
        <w:rPr>
          <w:rFonts w:ascii="宋体" w:hAnsi="宋体"/>
          <w:color w:val="auto"/>
          <w:sz w:val="24"/>
          <w:highlight w:val="none"/>
        </w:rPr>
      </w:pPr>
    </w:p>
    <w:p w14:paraId="7F1F0E02">
      <w:pPr>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2.投标报价一览表</w:t>
      </w:r>
    </w:p>
    <w:p w14:paraId="4FFFBFEA">
      <w:pPr>
        <w:spacing w:line="360" w:lineRule="auto"/>
        <w:rPr>
          <w:rFonts w:ascii="宋体" w:hAnsi="宋体"/>
          <w:color w:val="auto"/>
          <w:sz w:val="28"/>
          <w:szCs w:val="28"/>
          <w:highlight w:val="none"/>
        </w:rPr>
      </w:pPr>
    </w:p>
    <w:p w14:paraId="544DD1D8">
      <w:pPr>
        <w:spacing w:line="360" w:lineRule="auto"/>
        <w:ind w:firstLine="210" w:firstLineChars="75"/>
        <w:rPr>
          <w:rFonts w:ascii="宋体" w:hAnsi="宋体"/>
          <w:color w:val="auto"/>
          <w:sz w:val="28"/>
          <w:szCs w:val="28"/>
          <w:highlight w:val="none"/>
        </w:rPr>
      </w:pPr>
      <w:r>
        <w:rPr>
          <w:rFonts w:ascii="宋体" w:hAnsi="宋体"/>
          <w:color w:val="auto"/>
          <w:sz w:val="28"/>
          <w:szCs w:val="28"/>
          <w:highlight w:val="none"/>
        </w:rPr>
        <w:t>招标编号：</w:t>
      </w:r>
      <w:r>
        <w:rPr>
          <w:rFonts w:hint="eastAsia" w:ascii="宋体" w:hAnsi="宋体"/>
          <w:color w:val="auto"/>
          <w:sz w:val="28"/>
          <w:szCs w:val="28"/>
          <w:highlight w:val="none"/>
        </w:rPr>
        <w:t>项目名称：</w:t>
      </w:r>
    </w:p>
    <w:tbl>
      <w:tblPr>
        <w:tblStyle w:val="29"/>
        <w:tblW w:w="9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3"/>
        <w:gridCol w:w="3065"/>
        <w:gridCol w:w="3181"/>
      </w:tblGrid>
      <w:tr w14:paraId="5CCF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2833" w:type="dxa"/>
            <w:vAlign w:val="center"/>
          </w:tcPr>
          <w:p w14:paraId="55434A5C">
            <w:pPr>
              <w:tabs>
                <w:tab w:val="left" w:pos="2670"/>
              </w:tabs>
              <w:adjustRightInd w:val="0"/>
              <w:spacing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项目名称</w:t>
            </w:r>
          </w:p>
        </w:tc>
        <w:tc>
          <w:tcPr>
            <w:tcW w:w="3065" w:type="dxa"/>
            <w:vAlign w:val="center"/>
          </w:tcPr>
          <w:p w14:paraId="5A6F2320">
            <w:pPr>
              <w:tabs>
                <w:tab w:val="left" w:pos="2670"/>
              </w:tabs>
              <w:adjustRightInd w:val="0"/>
              <w:spacing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rPr>
              <w:t>国家规定的</w:t>
            </w:r>
            <w:r>
              <w:rPr>
                <w:rFonts w:hint="eastAsia" w:ascii="宋体" w:hAnsi="宋体"/>
                <w:b/>
                <w:bCs/>
                <w:color w:val="auto"/>
                <w:sz w:val="28"/>
                <w:szCs w:val="28"/>
                <w:highlight w:val="none"/>
                <w:lang w:val="zh-CN"/>
              </w:rPr>
              <w:t>存款基准利率</w:t>
            </w:r>
          </w:p>
        </w:tc>
        <w:tc>
          <w:tcPr>
            <w:tcW w:w="3181" w:type="dxa"/>
            <w:vAlign w:val="center"/>
          </w:tcPr>
          <w:p w14:paraId="01882D6A">
            <w:pPr>
              <w:tabs>
                <w:tab w:val="left" w:pos="2670"/>
              </w:tabs>
              <w:adjustRightInd w:val="0"/>
              <w:spacing w:line="360" w:lineRule="auto"/>
              <w:jc w:val="center"/>
              <w:rPr>
                <w:rFonts w:hint="default" w:ascii="宋体" w:hAnsi="宋体" w:eastAsia="宋体"/>
                <w:b/>
                <w:bCs/>
                <w:color w:val="auto"/>
                <w:sz w:val="28"/>
                <w:szCs w:val="28"/>
                <w:highlight w:val="none"/>
                <w:lang w:val="en-US" w:eastAsia="zh-CN"/>
              </w:rPr>
            </w:pPr>
            <w:r>
              <w:rPr>
                <w:rFonts w:hint="eastAsia" w:ascii="宋体" w:hAnsi="宋体"/>
                <w:b/>
                <w:bCs/>
                <w:color w:val="auto"/>
                <w:sz w:val="28"/>
                <w:szCs w:val="28"/>
                <w:highlight w:val="none"/>
                <w:lang w:val="en-US" w:eastAsia="zh-CN"/>
              </w:rPr>
              <w:t>利率承诺</w:t>
            </w:r>
          </w:p>
        </w:tc>
      </w:tr>
      <w:tr w14:paraId="7FBD9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jc w:val="center"/>
        </w:trPr>
        <w:tc>
          <w:tcPr>
            <w:tcW w:w="2833" w:type="dxa"/>
            <w:vMerge w:val="restart"/>
            <w:vAlign w:val="center"/>
          </w:tcPr>
          <w:p w14:paraId="6BE4BC6C">
            <w:pPr>
              <w:tabs>
                <w:tab w:val="left" w:pos="2670"/>
              </w:tabs>
              <w:adjustRightInd w:val="0"/>
              <w:spacing w:line="360" w:lineRule="auto"/>
              <w:jc w:val="center"/>
              <w:rPr>
                <w:rFonts w:hint="eastAsia" w:ascii="宋体" w:hAnsi="宋体" w:eastAsia="宋体"/>
                <w:bCs/>
                <w:color w:val="auto"/>
                <w:sz w:val="28"/>
                <w:szCs w:val="28"/>
                <w:highlight w:val="none"/>
                <w:lang w:val="zh-CN" w:eastAsia="zh-CN"/>
              </w:rPr>
            </w:pPr>
            <w:r>
              <w:rPr>
                <w:rFonts w:hint="eastAsia" w:ascii="宋体" w:hAnsi="宋体"/>
                <w:color w:val="auto"/>
                <w:sz w:val="28"/>
                <w:szCs w:val="28"/>
                <w:highlight w:val="none"/>
                <w:lang w:eastAsia="zh-CN"/>
              </w:rPr>
              <w:t>宁波市本级住房公积金定期存款竞争性存放（2025年第一期）银行招标项目</w:t>
            </w:r>
          </w:p>
        </w:tc>
        <w:tc>
          <w:tcPr>
            <w:tcW w:w="3065" w:type="dxa"/>
            <w:vAlign w:val="center"/>
          </w:tcPr>
          <w:p w14:paraId="0FAE0196">
            <w:pPr>
              <w:tabs>
                <w:tab w:val="left" w:pos="2670"/>
              </w:tabs>
              <w:adjustRightInd w:val="0"/>
              <w:spacing w:line="360" w:lineRule="auto"/>
              <w:jc w:val="center"/>
              <w:rPr>
                <w:rFonts w:hint="eastAsia" w:ascii="宋体" w:hAnsi="宋体" w:eastAsia="宋体" w:cs="Times New Roman"/>
                <w:bCs/>
                <w:color w:val="auto"/>
                <w:kern w:val="2"/>
                <w:sz w:val="28"/>
                <w:szCs w:val="28"/>
                <w:highlight w:val="none"/>
                <w:lang w:val="zh-CN" w:eastAsia="zh-CN" w:bidi="ar-SA"/>
              </w:rPr>
            </w:pPr>
            <w:r>
              <w:rPr>
                <w:rFonts w:hint="eastAsia" w:ascii="宋体" w:hAnsi="宋体" w:eastAsia="宋体" w:cs="Times New Roman"/>
                <w:bCs/>
                <w:color w:val="auto"/>
                <w:kern w:val="2"/>
                <w:sz w:val="28"/>
                <w:szCs w:val="28"/>
                <w:highlight w:val="none"/>
                <w:lang w:val="zh-CN" w:eastAsia="zh-CN" w:bidi="ar-SA"/>
              </w:rPr>
              <w:t>六个月定期存款利率</w:t>
            </w:r>
          </w:p>
        </w:tc>
        <w:tc>
          <w:tcPr>
            <w:tcW w:w="3181" w:type="dxa"/>
            <w:vAlign w:val="center"/>
          </w:tcPr>
          <w:p w14:paraId="69CFC782">
            <w:pPr>
              <w:tabs>
                <w:tab w:val="left" w:pos="2670"/>
              </w:tabs>
              <w:adjustRightInd w:val="0"/>
              <w:spacing w:line="360" w:lineRule="auto"/>
              <w:rPr>
                <w:rFonts w:hint="default" w:ascii="宋体" w:hAnsi="宋体" w:eastAsia="宋体"/>
                <w:b w:val="0"/>
                <w:bCs w:val="0"/>
                <w:color w:val="auto"/>
                <w:sz w:val="28"/>
                <w:szCs w:val="28"/>
                <w:highlight w:val="none"/>
                <w:lang w:val="en-US" w:eastAsia="zh-CN"/>
              </w:rPr>
            </w:pPr>
            <w:r>
              <w:rPr>
                <w:rFonts w:hint="eastAsia" w:ascii="宋体" w:hAnsi="宋体"/>
                <w:b w:val="0"/>
                <w:bCs w:val="0"/>
                <w:color w:val="auto"/>
                <w:sz w:val="28"/>
                <w:szCs w:val="28"/>
                <w:highlight w:val="none"/>
                <w:lang w:val="zh-CN"/>
              </w:rPr>
              <w:t>我</w:t>
            </w:r>
            <w:r>
              <w:rPr>
                <w:rFonts w:hint="eastAsia" w:ascii="宋体" w:hAnsi="宋体"/>
                <w:b w:val="0"/>
                <w:bCs w:val="0"/>
                <w:color w:val="auto"/>
                <w:sz w:val="28"/>
                <w:szCs w:val="28"/>
                <w:highlight w:val="none"/>
                <w:lang w:val="en-US" w:eastAsia="zh-CN"/>
              </w:rPr>
              <w:t>行承诺利率报价始终达到市场自律机制本行的上限，即</w:t>
            </w:r>
            <w:r>
              <w:rPr>
                <w:rFonts w:hint="eastAsia" w:ascii="宋体" w:hAnsi="宋体"/>
                <w:b w:val="0"/>
                <w:bCs w:val="0"/>
                <w:color w:val="auto"/>
                <w:sz w:val="28"/>
                <w:szCs w:val="28"/>
                <w:highlight w:val="none"/>
                <w:u w:val="single"/>
                <w:lang w:val="en-US" w:eastAsia="zh-CN"/>
              </w:rPr>
              <w:t xml:space="preserve">   %</w:t>
            </w:r>
          </w:p>
        </w:tc>
      </w:tr>
      <w:tr w14:paraId="16E6F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jc w:val="center"/>
        </w:trPr>
        <w:tc>
          <w:tcPr>
            <w:tcW w:w="2833" w:type="dxa"/>
            <w:vMerge w:val="continue"/>
            <w:vAlign w:val="center"/>
          </w:tcPr>
          <w:p w14:paraId="3BACDDDE">
            <w:pPr>
              <w:tabs>
                <w:tab w:val="left" w:pos="2670"/>
              </w:tabs>
              <w:adjustRightInd w:val="0"/>
              <w:spacing w:line="360" w:lineRule="auto"/>
              <w:jc w:val="center"/>
              <w:rPr>
                <w:rFonts w:hint="eastAsia" w:ascii="宋体" w:hAnsi="宋体"/>
                <w:color w:val="auto"/>
                <w:sz w:val="28"/>
                <w:szCs w:val="28"/>
                <w:highlight w:val="none"/>
                <w:lang w:eastAsia="zh-CN"/>
              </w:rPr>
            </w:pPr>
          </w:p>
        </w:tc>
        <w:tc>
          <w:tcPr>
            <w:tcW w:w="3065" w:type="dxa"/>
            <w:vAlign w:val="center"/>
          </w:tcPr>
          <w:p w14:paraId="47BBA93E">
            <w:pPr>
              <w:tabs>
                <w:tab w:val="left" w:pos="2670"/>
              </w:tabs>
              <w:adjustRightInd w:val="0"/>
              <w:spacing w:line="360" w:lineRule="auto"/>
              <w:jc w:val="center"/>
              <w:rPr>
                <w:rFonts w:hint="eastAsia" w:ascii="宋体" w:hAnsi="宋体" w:eastAsia="宋体" w:cs="Times New Roman"/>
                <w:bCs/>
                <w:color w:val="auto"/>
                <w:kern w:val="2"/>
                <w:sz w:val="28"/>
                <w:szCs w:val="28"/>
                <w:highlight w:val="none"/>
                <w:lang w:val="en-US" w:eastAsia="zh-CN" w:bidi="ar-SA"/>
              </w:rPr>
            </w:pPr>
            <w:r>
              <w:rPr>
                <w:rFonts w:hint="eastAsia" w:ascii="宋体" w:hAnsi="宋体" w:eastAsia="宋体" w:cs="Times New Roman"/>
                <w:bCs/>
                <w:color w:val="auto"/>
                <w:kern w:val="2"/>
                <w:sz w:val="28"/>
                <w:szCs w:val="28"/>
                <w:highlight w:val="none"/>
                <w:lang w:val="zh-CN" w:eastAsia="zh-CN" w:bidi="ar-SA"/>
              </w:rPr>
              <w:t>一年期定期存款利率</w:t>
            </w:r>
          </w:p>
        </w:tc>
        <w:tc>
          <w:tcPr>
            <w:tcW w:w="3181" w:type="dxa"/>
            <w:vAlign w:val="center"/>
          </w:tcPr>
          <w:p w14:paraId="738E914C">
            <w:pPr>
              <w:adjustRightInd w:val="0"/>
              <w:spacing w:line="360" w:lineRule="auto"/>
              <w:rPr>
                <w:rFonts w:ascii="宋体" w:hAnsi="宋体"/>
                <w:b w:val="0"/>
                <w:bCs w:val="0"/>
                <w:color w:val="auto"/>
                <w:sz w:val="28"/>
                <w:szCs w:val="28"/>
                <w:highlight w:val="none"/>
                <w:lang w:val="zh-CN"/>
              </w:rPr>
            </w:pPr>
            <w:r>
              <w:rPr>
                <w:rFonts w:hint="eastAsia" w:ascii="宋体" w:hAnsi="宋体"/>
                <w:b w:val="0"/>
                <w:bCs w:val="0"/>
                <w:color w:val="auto"/>
                <w:sz w:val="28"/>
                <w:szCs w:val="28"/>
                <w:highlight w:val="none"/>
                <w:lang w:val="zh-CN"/>
              </w:rPr>
              <w:t>我</w:t>
            </w:r>
            <w:r>
              <w:rPr>
                <w:rFonts w:hint="eastAsia" w:ascii="宋体" w:hAnsi="宋体"/>
                <w:b w:val="0"/>
                <w:bCs w:val="0"/>
                <w:color w:val="auto"/>
                <w:sz w:val="28"/>
                <w:szCs w:val="28"/>
                <w:highlight w:val="none"/>
                <w:lang w:val="en-US" w:eastAsia="zh-CN"/>
              </w:rPr>
              <w:t>行承诺利率报价始终达到市场自律机制本行的上限，即</w:t>
            </w:r>
            <w:r>
              <w:rPr>
                <w:rFonts w:hint="eastAsia" w:ascii="宋体" w:hAnsi="宋体"/>
                <w:b w:val="0"/>
                <w:bCs w:val="0"/>
                <w:color w:val="auto"/>
                <w:sz w:val="28"/>
                <w:szCs w:val="28"/>
                <w:highlight w:val="none"/>
                <w:u w:val="single"/>
                <w:lang w:val="en-US" w:eastAsia="zh-CN"/>
              </w:rPr>
              <w:t xml:space="preserve">   %</w:t>
            </w:r>
          </w:p>
        </w:tc>
      </w:tr>
      <w:tr w14:paraId="783FB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jc w:val="center"/>
        </w:trPr>
        <w:tc>
          <w:tcPr>
            <w:tcW w:w="2833" w:type="dxa"/>
            <w:vMerge w:val="continue"/>
            <w:vAlign w:val="center"/>
          </w:tcPr>
          <w:p w14:paraId="5187CDB6">
            <w:pPr>
              <w:tabs>
                <w:tab w:val="left" w:pos="2670"/>
              </w:tabs>
              <w:adjustRightInd w:val="0"/>
              <w:spacing w:line="360" w:lineRule="auto"/>
              <w:jc w:val="center"/>
              <w:rPr>
                <w:rFonts w:hint="eastAsia" w:ascii="宋体" w:hAnsi="宋体"/>
                <w:color w:val="auto"/>
                <w:sz w:val="28"/>
                <w:szCs w:val="28"/>
                <w:highlight w:val="none"/>
                <w:lang w:eastAsia="zh-CN"/>
              </w:rPr>
            </w:pPr>
          </w:p>
        </w:tc>
        <w:tc>
          <w:tcPr>
            <w:tcW w:w="3065" w:type="dxa"/>
            <w:vAlign w:val="center"/>
          </w:tcPr>
          <w:p w14:paraId="62469E26">
            <w:pPr>
              <w:tabs>
                <w:tab w:val="left" w:pos="2670"/>
              </w:tabs>
              <w:adjustRightInd w:val="0"/>
              <w:spacing w:line="360" w:lineRule="auto"/>
              <w:jc w:val="center"/>
              <w:rPr>
                <w:rFonts w:hint="eastAsia" w:ascii="宋体" w:hAnsi="宋体" w:eastAsia="宋体" w:cs="Times New Roman"/>
                <w:bCs/>
                <w:color w:val="auto"/>
                <w:kern w:val="2"/>
                <w:sz w:val="28"/>
                <w:szCs w:val="28"/>
                <w:highlight w:val="none"/>
                <w:lang w:val="en-US" w:eastAsia="zh-CN" w:bidi="ar-SA"/>
              </w:rPr>
            </w:pPr>
            <w:r>
              <w:rPr>
                <w:rFonts w:hint="eastAsia" w:ascii="宋体" w:hAnsi="宋体" w:eastAsia="宋体" w:cs="Times New Roman"/>
                <w:bCs/>
                <w:color w:val="auto"/>
                <w:kern w:val="2"/>
                <w:sz w:val="28"/>
                <w:szCs w:val="28"/>
                <w:highlight w:val="none"/>
                <w:lang w:val="zh-CN" w:eastAsia="zh-CN" w:bidi="ar-SA"/>
              </w:rPr>
              <w:t>六个月大额存单利率</w:t>
            </w:r>
          </w:p>
        </w:tc>
        <w:tc>
          <w:tcPr>
            <w:tcW w:w="3181" w:type="dxa"/>
            <w:vAlign w:val="center"/>
          </w:tcPr>
          <w:p w14:paraId="16C3CDA2">
            <w:pPr>
              <w:adjustRightInd w:val="0"/>
              <w:spacing w:line="360" w:lineRule="auto"/>
              <w:rPr>
                <w:rFonts w:ascii="宋体" w:hAnsi="宋体"/>
                <w:b w:val="0"/>
                <w:bCs w:val="0"/>
                <w:color w:val="auto"/>
                <w:sz w:val="28"/>
                <w:szCs w:val="28"/>
                <w:highlight w:val="none"/>
                <w:lang w:val="zh-CN"/>
              </w:rPr>
            </w:pPr>
            <w:r>
              <w:rPr>
                <w:rFonts w:hint="eastAsia" w:ascii="宋体" w:hAnsi="宋体"/>
                <w:b w:val="0"/>
                <w:bCs w:val="0"/>
                <w:color w:val="auto"/>
                <w:sz w:val="28"/>
                <w:szCs w:val="28"/>
                <w:highlight w:val="none"/>
                <w:lang w:val="zh-CN"/>
              </w:rPr>
              <w:t>我</w:t>
            </w:r>
            <w:r>
              <w:rPr>
                <w:rFonts w:hint="eastAsia" w:ascii="宋体" w:hAnsi="宋体"/>
                <w:b w:val="0"/>
                <w:bCs w:val="0"/>
                <w:color w:val="auto"/>
                <w:sz w:val="28"/>
                <w:szCs w:val="28"/>
                <w:highlight w:val="none"/>
                <w:lang w:val="en-US" w:eastAsia="zh-CN"/>
              </w:rPr>
              <w:t>行承诺利率报价始终达到市场自律机制本行的上限，即</w:t>
            </w:r>
            <w:r>
              <w:rPr>
                <w:rFonts w:hint="eastAsia" w:ascii="宋体" w:hAnsi="宋体"/>
                <w:b w:val="0"/>
                <w:bCs w:val="0"/>
                <w:color w:val="auto"/>
                <w:sz w:val="28"/>
                <w:szCs w:val="28"/>
                <w:highlight w:val="none"/>
                <w:u w:val="single"/>
                <w:lang w:val="en-US" w:eastAsia="zh-CN"/>
              </w:rPr>
              <w:t xml:space="preserve">   %</w:t>
            </w:r>
          </w:p>
        </w:tc>
      </w:tr>
      <w:tr w14:paraId="4D68D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833" w:type="dxa"/>
            <w:vMerge w:val="continue"/>
            <w:vAlign w:val="center"/>
          </w:tcPr>
          <w:p w14:paraId="4C177B33">
            <w:pPr>
              <w:tabs>
                <w:tab w:val="left" w:pos="2670"/>
              </w:tabs>
              <w:adjustRightInd w:val="0"/>
              <w:spacing w:line="360" w:lineRule="auto"/>
              <w:jc w:val="center"/>
              <w:rPr>
                <w:rFonts w:hint="eastAsia" w:ascii="宋体" w:hAnsi="宋体"/>
                <w:color w:val="auto"/>
                <w:sz w:val="28"/>
                <w:szCs w:val="28"/>
                <w:highlight w:val="none"/>
                <w:lang w:eastAsia="zh-CN"/>
              </w:rPr>
            </w:pPr>
          </w:p>
        </w:tc>
        <w:tc>
          <w:tcPr>
            <w:tcW w:w="3065" w:type="dxa"/>
            <w:vAlign w:val="center"/>
          </w:tcPr>
          <w:p w14:paraId="6FE9A7DB">
            <w:pPr>
              <w:tabs>
                <w:tab w:val="left" w:pos="2670"/>
              </w:tabs>
              <w:adjustRightInd w:val="0"/>
              <w:spacing w:line="360" w:lineRule="auto"/>
              <w:jc w:val="center"/>
              <w:rPr>
                <w:rFonts w:ascii="宋体" w:hAnsi="宋体" w:eastAsia="宋体" w:cs="Times New Roman"/>
                <w:bCs/>
                <w:color w:val="auto"/>
                <w:kern w:val="2"/>
                <w:sz w:val="28"/>
                <w:szCs w:val="28"/>
                <w:highlight w:val="none"/>
                <w:lang w:val="zh-CN" w:eastAsia="zh-CN" w:bidi="ar-SA"/>
              </w:rPr>
            </w:pPr>
            <w:r>
              <w:rPr>
                <w:rFonts w:hint="eastAsia" w:ascii="宋体" w:hAnsi="宋体" w:eastAsia="宋体" w:cs="Times New Roman"/>
                <w:bCs/>
                <w:color w:val="auto"/>
                <w:kern w:val="2"/>
                <w:sz w:val="28"/>
                <w:szCs w:val="28"/>
                <w:highlight w:val="none"/>
                <w:lang w:val="zh-CN" w:eastAsia="zh-CN" w:bidi="ar-SA"/>
              </w:rPr>
              <w:t>一年期大额存单利率</w:t>
            </w:r>
          </w:p>
        </w:tc>
        <w:tc>
          <w:tcPr>
            <w:tcW w:w="3181" w:type="dxa"/>
            <w:vAlign w:val="center"/>
          </w:tcPr>
          <w:p w14:paraId="3D0D227A">
            <w:pPr>
              <w:adjustRightInd w:val="0"/>
              <w:spacing w:line="360" w:lineRule="auto"/>
              <w:rPr>
                <w:rFonts w:ascii="宋体" w:hAnsi="宋体"/>
                <w:b w:val="0"/>
                <w:bCs w:val="0"/>
                <w:color w:val="auto"/>
                <w:sz w:val="28"/>
                <w:szCs w:val="28"/>
                <w:highlight w:val="none"/>
                <w:lang w:val="zh-CN"/>
              </w:rPr>
            </w:pPr>
            <w:r>
              <w:rPr>
                <w:rFonts w:hint="eastAsia" w:ascii="宋体" w:hAnsi="宋体"/>
                <w:b w:val="0"/>
                <w:bCs w:val="0"/>
                <w:color w:val="auto"/>
                <w:sz w:val="28"/>
                <w:szCs w:val="28"/>
                <w:highlight w:val="none"/>
                <w:lang w:val="zh-CN"/>
              </w:rPr>
              <w:t>我</w:t>
            </w:r>
            <w:r>
              <w:rPr>
                <w:rFonts w:hint="eastAsia" w:ascii="宋体" w:hAnsi="宋体"/>
                <w:b w:val="0"/>
                <w:bCs w:val="0"/>
                <w:color w:val="auto"/>
                <w:sz w:val="28"/>
                <w:szCs w:val="28"/>
                <w:highlight w:val="none"/>
                <w:lang w:val="en-US" w:eastAsia="zh-CN"/>
              </w:rPr>
              <w:t>行承诺利率报价始终达到市场自律机制本行的上限，即</w:t>
            </w:r>
            <w:r>
              <w:rPr>
                <w:rFonts w:hint="eastAsia" w:ascii="宋体" w:hAnsi="宋体"/>
                <w:b w:val="0"/>
                <w:bCs w:val="0"/>
                <w:color w:val="auto"/>
                <w:sz w:val="28"/>
                <w:szCs w:val="28"/>
                <w:highlight w:val="none"/>
                <w:u w:val="single"/>
                <w:lang w:val="en-US" w:eastAsia="zh-CN"/>
              </w:rPr>
              <w:t xml:space="preserve">   %</w:t>
            </w:r>
          </w:p>
        </w:tc>
      </w:tr>
    </w:tbl>
    <w:p w14:paraId="0E2A774C">
      <w:pPr>
        <w:spacing w:line="360" w:lineRule="auto"/>
        <w:rPr>
          <w:rFonts w:ascii="宋体" w:hAnsi="宋体"/>
          <w:b/>
          <w:bCs/>
          <w:color w:val="auto"/>
          <w:sz w:val="28"/>
          <w:szCs w:val="28"/>
          <w:highlight w:val="none"/>
        </w:rPr>
      </w:pPr>
    </w:p>
    <w:p w14:paraId="419B02EE">
      <w:pPr>
        <w:spacing w:line="360" w:lineRule="auto"/>
        <w:rPr>
          <w:rFonts w:ascii="宋体" w:hAnsi="宋体"/>
          <w:color w:val="auto"/>
          <w:sz w:val="28"/>
          <w:szCs w:val="28"/>
          <w:highlight w:val="none"/>
        </w:rPr>
      </w:pPr>
    </w:p>
    <w:p w14:paraId="1D6F0A5C">
      <w:pPr>
        <w:spacing w:line="360" w:lineRule="auto"/>
        <w:rPr>
          <w:rFonts w:ascii="宋体" w:hAnsi="宋体"/>
          <w:color w:val="auto"/>
          <w:sz w:val="28"/>
          <w:szCs w:val="28"/>
          <w:highlight w:val="none"/>
          <w:u w:val="single"/>
        </w:rPr>
      </w:pPr>
      <w:r>
        <w:rPr>
          <w:rFonts w:ascii="宋体" w:hAnsi="宋体"/>
          <w:color w:val="auto"/>
          <w:sz w:val="28"/>
          <w:szCs w:val="28"/>
          <w:highlight w:val="none"/>
        </w:rPr>
        <w:t>投标人（盖章）</w:t>
      </w:r>
    </w:p>
    <w:p w14:paraId="46B65D85">
      <w:pPr>
        <w:spacing w:line="360" w:lineRule="auto"/>
        <w:rPr>
          <w:rFonts w:ascii="宋体" w:hAnsi="宋体"/>
          <w:color w:val="auto"/>
          <w:sz w:val="28"/>
          <w:szCs w:val="28"/>
          <w:highlight w:val="none"/>
        </w:rPr>
      </w:pPr>
    </w:p>
    <w:p w14:paraId="55D93673">
      <w:pPr>
        <w:spacing w:line="360" w:lineRule="auto"/>
        <w:rPr>
          <w:rFonts w:ascii="宋体" w:hAnsi="宋体"/>
          <w:color w:val="auto"/>
          <w:sz w:val="28"/>
          <w:szCs w:val="28"/>
          <w:highlight w:val="none"/>
          <w:u w:val="single"/>
        </w:rPr>
      </w:pPr>
      <w:r>
        <w:rPr>
          <w:rFonts w:ascii="宋体" w:hAnsi="宋体"/>
          <w:color w:val="auto"/>
          <w:sz w:val="28"/>
          <w:szCs w:val="28"/>
          <w:highlight w:val="none"/>
        </w:rPr>
        <w:t>法定代表人</w:t>
      </w:r>
      <w:r>
        <w:rPr>
          <w:rFonts w:hint="eastAsia" w:ascii="宋体" w:hAnsi="宋体"/>
          <w:color w:val="auto"/>
          <w:sz w:val="28"/>
          <w:szCs w:val="28"/>
          <w:highlight w:val="none"/>
        </w:rPr>
        <w:t>（分行负责人）</w:t>
      </w:r>
      <w:r>
        <w:rPr>
          <w:rFonts w:ascii="宋体" w:hAnsi="宋体"/>
          <w:color w:val="auto"/>
          <w:sz w:val="28"/>
          <w:szCs w:val="28"/>
          <w:highlight w:val="none"/>
        </w:rPr>
        <w:t>或授权委托代理人（签字）</w:t>
      </w:r>
    </w:p>
    <w:p w14:paraId="4B04A05E">
      <w:pPr>
        <w:spacing w:line="360" w:lineRule="auto"/>
        <w:rPr>
          <w:rFonts w:ascii="宋体" w:hAnsi="宋体"/>
          <w:color w:val="auto"/>
          <w:sz w:val="28"/>
          <w:szCs w:val="28"/>
          <w:highlight w:val="none"/>
        </w:rPr>
      </w:pPr>
    </w:p>
    <w:p w14:paraId="03D482B9">
      <w:pPr>
        <w:spacing w:line="360" w:lineRule="auto"/>
        <w:rPr>
          <w:rFonts w:ascii="宋体" w:hAnsi="宋体"/>
          <w:color w:val="auto"/>
          <w:sz w:val="28"/>
          <w:szCs w:val="28"/>
          <w:highlight w:val="none"/>
        </w:rPr>
      </w:pPr>
      <w:r>
        <w:rPr>
          <w:rFonts w:ascii="宋体" w:hAnsi="宋体"/>
          <w:color w:val="auto"/>
          <w:sz w:val="28"/>
          <w:szCs w:val="28"/>
          <w:highlight w:val="none"/>
        </w:rPr>
        <w:t>日期：    年    月    日</w:t>
      </w:r>
    </w:p>
    <w:p w14:paraId="1F4F032F">
      <w:pPr>
        <w:spacing w:line="360" w:lineRule="auto"/>
        <w:rPr>
          <w:rFonts w:ascii="宋体" w:hAnsi="宋体"/>
          <w:color w:val="auto"/>
          <w:sz w:val="28"/>
          <w:szCs w:val="28"/>
          <w:highlight w:val="none"/>
        </w:rPr>
      </w:pPr>
      <w:r>
        <w:rPr>
          <w:rFonts w:ascii="宋体" w:hAnsi="宋体"/>
          <w:color w:val="auto"/>
          <w:sz w:val="28"/>
          <w:szCs w:val="28"/>
          <w:highlight w:val="none"/>
        </w:rPr>
        <w:br w:type="page"/>
      </w:r>
    </w:p>
    <w:p w14:paraId="50D0B48F">
      <w:pPr>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3.法定代表人授权书</w:t>
      </w:r>
    </w:p>
    <w:p w14:paraId="1BC73707">
      <w:pPr>
        <w:spacing w:line="360" w:lineRule="auto"/>
        <w:rPr>
          <w:rFonts w:ascii="宋体" w:hAnsi="宋体"/>
          <w:color w:val="auto"/>
          <w:sz w:val="24"/>
          <w:highlight w:val="none"/>
        </w:rPr>
      </w:pPr>
    </w:p>
    <w:p w14:paraId="6DCDEEA1">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本授权书声明：我</w:t>
      </w:r>
      <w:r>
        <w:rPr>
          <w:rFonts w:hint="eastAsia" w:ascii="宋体" w:hAnsi="宋体"/>
          <w:color w:val="auto"/>
          <w:sz w:val="28"/>
          <w:szCs w:val="28"/>
          <w:highlight w:val="none"/>
          <w:u w:val="single"/>
        </w:rPr>
        <w:t>（姓名）</w:t>
      </w:r>
      <w:r>
        <w:rPr>
          <w:rFonts w:hint="eastAsia" w:ascii="宋体" w:hAnsi="宋体"/>
          <w:color w:val="auto"/>
          <w:sz w:val="28"/>
          <w:szCs w:val="28"/>
          <w:highlight w:val="none"/>
        </w:rPr>
        <w:t>系注册于</w:t>
      </w:r>
      <w:r>
        <w:rPr>
          <w:rFonts w:hint="eastAsia" w:ascii="宋体" w:hAnsi="宋体"/>
          <w:color w:val="auto"/>
          <w:sz w:val="28"/>
          <w:szCs w:val="28"/>
          <w:highlight w:val="none"/>
          <w:u w:val="single"/>
        </w:rPr>
        <w:t>（单位地址）</w:t>
      </w:r>
      <w:r>
        <w:rPr>
          <w:rFonts w:hint="eastAsia" w:ascii="宋体" w:hAnsi="宋体"/>
          <w:color w:val="auto"/>
          <w:sz w:val="28"/>
          <w:szCs w:val="28"/>
          <w:highlight w:val="none"/>
        </w:rPr>
        <w:t>的</w:t>
      </w:r>
      <w:r>
        <w:rPr>
          <w:rFonts w:hint="eastAsia" w:ascii="宋体" w:hAnsi="宋体"/>
          <w:color w:val="auto"/>
          <w:sz w:val="28"/>
          <w:szCs w:val="28"/>
          <w:highlight w:val="none"/>
          <w:u w:val="single"/>
        </w:rPr>
        <w:t>（投标人名称）</w:t>
      </w:r>
      <w:r>
        <w:rPr>
          <w:rFonts w:hint="eastAsia" w:ascii="宋体" w:hAnsi="宋体"/>
          <w:color w:val="auto"/>
          <w:sz w:val="28"/>
          <w:szCs w:val="28"/>
          <w:highlight w:val="none"/>
        </w:rPr>
        <w:t>的法定代表人（或负责人），现授权委托</w:t>
      </w:r>
      <w:r>
        <w:rPr>
          <w:rFonts w:hint="eastAsia" w:ascii="宋体" w:hAnsi="宋体"/>
          <w:color w:val="auto"/>
          <w:sz w:val="28"/>
          <w:szCs w:val="28"/>
          <w:highlight w:val="none"/>
          <w:u w:val="single"/>
        </w:rPr>
        <w:t>（被授权人姓名、职务）</w:t>
      </w:r>
      <w:r>
        <w:rPr>
          <w:rFonts w:hint="eastAsia" w:ascii="宋体" w:hAnsi="宋体"/>
          <w:color w:val="auto"/>
          <w:sz w:val="28"/>
          <w:szCs w:val="28"/>
          <w:highlight w:val="none"/>
        </w:rPr>
        <w:t>为我行的合法代理人，以本行的名义参加</w:t>
      </w:r>
      <w:r>
        <w:rPr>
          <w:rFonts w:hint="eastAsia" w:ascii="宋体" w:hAnsi="宋体"/>
          <w:color w:val="auto"/>
          <w:sz w:val="28"/>
          <w:szCs w:val="28"/>
          <w:highlight w:val="none"/>
          <w:u w:val="single"/>
        </w:rPr>
        <w:t>（项目名称）</w:t>
      </w:r>
      <w:r>
        <w:rPr>
          <w:rFonts w:hint="eastAsia" w:ascii="宋体" w:hAnsi="宋体"/>
          <w:color w:val="auto"/>
          <w:sz w:val="28"/>
          <w:szCs w:val="28"/>
          <w:highlight w:val="none"/>
        </w:rPr>
        <w:t>的投标活动。代理人在参与投标过程中所签署的一切文件和处理与之有关的一切事务，我行均予以承认。</w:t>
      </w:r>
    </w:p>
    <w:p w14:paraId="14E601C5">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本授权书于   年  月  日签字生效。特此声明。</w:t>
      </w:r>
    </w:p>
    <w:p w14:paraId="1265A67B">
      <w:pPr>
        <w:spacing w:line="360" w:lineRule="auto"/>
        <w:rPr>
          <w:rFonts w:ascii="宋体" w:hAnsi="宋体"/>
          <w:color w:val="auto"/>
          <w:sz w:val="28"/>
          <w:szCs w:val="28"/>
          <w:highlight w:val="none"/>
        </w:rPr>
      </w:pPr>
    </w:p>
    <w:p w14:paraId="0C2BA5EE">
      <w:pPr>
        <w:spacing w:line="360" w:lineRule="auto"/>
        <w:rPr>
          <w:rFonts w:ascii="宋体" w:hAnsi="宋体"/>
          <w:color w:val="auto"/>
          <w:sz w:val="28"/>
          <w:szCs w:val="28"/>
          <w:highlight w:val="none"/>
        </w:rPr>
      </w:pPr>
    </w:p>
    <w:p w14:paraId="712CE563">
      <w:pPr>
        <w:spacing w:line="360" w:lineRule="auto"/>
        <w:rPr>
          <w:rFonts w:ascii="宋体" w:hAnsi="宋体"/>
          <w:color w:val="auto"/>
          <w:sz w:val="28"/>
          <w:szCs w:val="28"/>
          <w:highlight w:val="none"/>
        </w:rPr>
      </w:pPr>
      <w:r>
        <w:rPr>
          <w:rFonts w:hint="eastAsia" w:ascii="宋体" w:hAnsi="宋体"/>
          <w:color w:val="auto"/>
          <w:sz w:val="28"/>
          <w:szCs w:val="28"/>
          <w:highlight w:val="none"/>
        </w:rPr>
        <w:t>投标人名称（公章）：</w:t>
      </w:r>
    </w:p>
    <w:p w14:paraId="3BA45897">
      <w:pPr>
        <w:spacing w:line="360" w:lineRule="auto"/>
        <w:rPr>
          <w:rFonts w:ascii="宋体" w:hAnsi="宋体"/>
          <w:color w:val="auto"/>
          <w:sz w:val="28"/>
          <w:szCs w:val="28"/>
          <w:highlight w:val="none"/>
        </w:rPr>
      </w:pPr>
      <w:r>
        <w:rPr>
          <w:rFonts w:hint="eastAsia" w:ascii="宋体" w:hAnsi="宋体"/>
          <w:color w:val="auto"/>
          <w:sz w:val="28"/>
          <w:szCs w:val="28"/>
          <w:highlight w:val="none"/>
        </w:rPr>
        <w:t>法定代表人（或分行负责人）签字：</w:t>
      </w:r>
    </w:p>
    <w:p w14:paraId="73342533">
      <w:pPr>
        <w:spacing w:line="360" w:lineRule="auto"/>
        <w:rPr>
          <w:rFonts w:ascii="宋体" w:hAnsi="宋体"/>
          <w:color w:val="auto"/>
          <w:sz w:val="28"/>
          <w:szCs w:val="28"/>
          <w:highlight w:val="none"/>
          <w:u w:val="single"/>
        </w:rPr>
      </w:pPr>
      <w:r>
        <w:rPr>
          <w:rFonts w:hint="eastAsia" w:ascii="宋体" w:hAnsi="宋体"/>
          <w:color w:val="auto"/>
          <w:sz w:val="28"/>
          <w:szCs w:val="28"/>
          <w:highlight w:val="none"/>
        </w:rPr>
        <w:t>授权代表签字：</w:t>
      </w:r>
    </w:p>
    <w:p w14:paraId="4C72F53E">
      <w:pPr>
        <w:spacing w:line="360" w:lineRule="auto"/>
        <w:rPr>
          <w:rFonts w:ascii="宋体" w:hAnsi="宋体"/>
          <w:color w:val="auto"/>
          <w:sz w:val="28"/>
          <w:szCs w:val="28"/>
          <w:highlight w:val="none"/>
        </w:rPr>
      </w:pPr>
    </w:p>
    <w:p w14:paraId="64137640">
      <w:pPr>
        <w:spacing w:line="360" w:lineRule="auto"/>
        <w:rPr>
          <w:rFonts w:ascii="宋体" w:hAnsi="宋体"/>
          <w:color w:val="auto"/>
          <w:sz w:val="24"/>
          <w:highlight w:val="none"/>
        </w:rPr>
      </w:pPr>
    </w:p>
    <w:p w14:paraId="6C30D812">
      <w:pPr>
        <w:spacing w:line="360" w:lineRule="auto"/>
        <w:rPr>
          <w:rFonts w:ascii="宋体" w:hAnsi="宋体"/>
          <w:color w:val="auto"/>
          <w:sz w:val="24"/>
          <w:highlight w:val="none"/>
        </w:rPr>
      </w:pPr>
    </w:p>
    <w:p w14:paraId="5275B18D">
      <w:pPr>
        <w:spacing w:line="360" w:lineRule="auto"/>
        <w:rPr>
          <w:rFonts w:ascii="宋体" w:hAnsi="宋体"/>
          <w:color w:val="auto"/>
          <w:sz w:val="24"/>
          <w:highlight w:val="none"/>
        </w:rPr>
      </w:pPr>
    </w:p>
    <w:p w14:paraId="3A8DFDB4">
      <w:pPr>
        <w:spacing w:line="360" w:lineRule="auto"/>
        <w:rPr>
          <w:rFonts w:ascii="宋体" w:hAnsi="宋体"/>
          <w:color w:val="auto"/>
          <w:sz w:val="24"/>
          <w:highlight w:val="none"/>
        </w:rPr>
      </w:pPr>
    </w:p>
    <w:p w14:paraId="0E305624">
      <w:pPr>
        <w:spacing w:line="360" w:lineRule="auto"/>
        <w:rPr>
          <w:rFonts w:ascii="宋体" w:hAnsi="宋体"/>
          <w:color w:val="auto"/>
          <w:sz w:val="24"/>
          <w:highlight w:val="none"/>
        </w:rPr>
      </w:pPr>
    </w:p>
    <w:p w14:paraId="2839EF4B">
      <w:pPr>
        <w:spacing w:line="360" w:lineRule="auto"/>
        <w:rPr>
          <w:rFonts w:ascii="宋体" w:hAnsi="宋体"/>
          <w:color w:val="auto"/>
          <w:sz w:val="24"/>
          <w:highlight w:val="none"/>
        </w:rPr>
      </w:pPr>
    </w:p>
    <w:p w14:paraId="1AC1ABF5">
      <w:pPr>
        <w:spacing w:line="360" w:lineRule="auto"/>
        <w:rPr>
          <w:rFonts w:ascii="宋体" w:hAnsi="宋体"/>
          <w:color w:val="auto"/>
          <w:sz w:val="24"/>
          <w:highlight w:val="none"/>
        </w:rPr>
      </w:pPr>
    </w:p>
    <w:p w14:paraId="2A1045CD">
      <w:pPr>
        <w:spacing w:line="360" w:lineRule="auto"/>
        <w:rPr>
          <w:rFonts w:ascii="宋体" w:hAnsi="宋体"/>
          <w:color w:val="auto"/>
          <w:sz w:val="24"/>
          <w:highlight w:val="none"/>
        </w:rPr>
      </w:pPr>
    </w:p>
    <w:p w14:paraId="44A3FEBF">
      <w:pPr>
        <w:spacing w:line="360" w:lineRule="auto"/>
        <w:jc w:val="center"/>
        <w:rPr>
          <w:rFonts w:ascii="宋体" w:hAnsi="宋体"/>
          <w:b/>
          <w:color w:val="auto"/>
          <w:sz w:val="28"/>
          <w:szCs w:val="28"/>
          <w:highlight w:val="none"/>
        </w:rPr>
      </w:pPr>
      <w:r>
        <w:rPr>
          <w:rFonts w:ascii="宋体" w:hAnsi="宋体"/>
          <w:b/>
          <w:color w:val="auto"/>
          <w:sz w:val="24"/>
          <w:highlight w:val="none"/>
        </w:rPr>
        <w:br w:type="column"/>
      </w:r>
      <w:r>
        <w:rPr>
          <w:rFonts w:hint="eastAsia" w:ascii="宋体" w:hAnsi="宋体"/>
          <w:b/>
          <w:color w:val="auto"/>
          <w:sz w:val="28"/>
          <w:szCs w:val="28"/>
          <w:highlight w:val="none"/>
        </w:rPr>
        <w:t>4.投标人基本情况声明</w:t>
      </w:r>
    </w:p>
    <w:p w14:paraId="3D0C6BB6">
      <w:pPr>
        <w:numPr>
          <w:ilvl w:val="0"/>
          <w:numId w:val="11"/>
        </w:numPr>
        <w:spacing w:line="360" w:lineRule="auto"/>
        <w:rPr>
          <w:rFonts w:ascii="宋体" w:hAnsi="宋体"/>
          <w:color w:val="auto"/>
          <w:sz w:val="28"/>
          <w:szCs w:val="28"/>
          <w:highlight w:val="none"/>
        </w:rPr>
      </w:pPr>
      <w:r>
        <w:rPr>
          <w:rFonts w:hint="eastAsia" w:ascii="宋体" w:hAnsi="宋体"/>
          <w:color w:val="auto"/>
          <w:sz w:val="28"/>
          <w:szCs w:val="28"/>
          <w:highlight w:val="none"/>
        </w:rPr>
        <w:t>名称及其它资料：</w:t>
      </w:r>
    </w:p>
    <w:p w14:paraId="18ADBBF2">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银行名称：</w:t>
      </w:r>
    </w:p>
    <w:p w14:paraId="713DB9FF">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地址：</w:t>
      </w:r>
    </w:p>
    <w:p w14:paraId="7D0FE9FD">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邮编：</w:t>
      </w:r>
    </w:p>
    <w:p w14:paraId="3FAD5C53">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电话/传真：</w:t>
      </w:r>
    </w:p>
    <w:p w14:paraId="7E4845A5">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成立日期或注册日期：</w:t>
      </w:r>
    </w:p>
    <w:p w14:paraId="17D9EB14">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实收资本：</w:t>
      </w:r>
    </w:p>
    <w:p w14:paraId="5F65957C">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最近资产负债表（到时为止）</w:t>
      </w:r>
    </w:p>
    <w:p w14:paraId="64B03EB8">
      <w:pPr>
        <w:numPr>
          <w:ilvl w:val="0"/>
          <w:numId w:val="13"/>
        </w:numPr>
        <w:tabs>
          <w:tab w:val="left" w:pos="720"/>
          <w:tab w:val="clear" w:pos="360"/>
        </w:tabs>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固定资产：</w:t>
      </w:r>
    </w:p>
    <w:p w14:paraId="05E47F32">
      <w:pPr>
        <w:numPr>
          <w:ilvl w:val="0"/>
          <w:numId w:val="13"/>
        </w:numPr>
        <w:tabs>
          <w:tab w:val="left" w:pos="720"/>
          <w:tab w:val="clear" w:pos="360"/>
        </w:tabs>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流动资产：</w:t>
      </w:r>
    </w:p>
    <w:p w14:paraId="0A1E3B52">
      <w:pPr>
        <w:numPr>
          <w:ilvl w:val="0"/>
          <w:numId w:val="13"/>
        </w:numPr>
        <w:tabs>
          <w:tab w:val="left" w:pos="720"/>
          <w:tab w:val="clear" w:pos="360"/>
        </w:tabs>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长期债务：</w:t>
      </w:r>
    </w:p>
    <w:p w14:paraId="5D1A68BD">
      <w:pPr>
        <w:numPr>
          <w:ilvl w:val="0"/>
          <w:numId w:val="13"/>
        </w:numPr>
        <w:tabs>
          <w:tab w:val="left" w:pos="720"/>
          <w:tab w:val="clear" w:pos="360"/>
        </w:tabs>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流动债务：</w:t>
      </w:r>
    </w:p>
    <w:p w14:paraId="3CEFFCA5">
      <w:pPr>
        <w:numPr>
          <w:ilvl w:val="0"/>
          <w:numId w:val="13"/>
        </w:numPr>
        <w:tabs>
          <w:tab w:val="left" w:pos="720"/>
          <w:tab w:val="clear" w:pos="360"/>
        </w:tabs>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净    值：</w:t>
      </w:r>
    </w:p>
    <w:p w14:paraId="52850630">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主要负责人姓名：</w:t>
      </w:r>
    </w:p>
    <w:p w14:paraId="6D39914C">
      <w:pPr>
        <w:numPr>
          <w:ilvl w:val="0"/>
          <w:numId w:val="12"/>
        </w:numPr>
        <w:spacing w:line="360" w:lineRule="auto"/>
        <w:rPr>
          <w:rFonts w:ascii="宋体" w:hAnsi="宋体"/>
          <w:color w:val="auto"/>
          <w:sz w:val="28"/>
          <w:szCs w:val="28"/>
          <w:highlight w:val="none"/>
        </w:rPr>
      </w:pPr>
      <w:r>
        <w:rPr>
          <w:rFonts w:hint="eastAsia" w:ascii="宋体" w:hAnsi="宋体"/>
          <w:color w:val="auto"/>
          <w:sz w:val="28"/>
          <w:szCs w:val="28"/>
          <w:highlight w:val="none"/>
        </w:rPr>
        <w:t>经营特色：</w:t>
      </w:r>
    </w:p>
    <w:p w14:paraId="43C75D36">
      <w:pPr>
        <w:spacing w:line="360" w:lineRule="auto"/>
        <w:rPr>
          <w:rFonts w:ascii="宋体" w:hAnsi="宋体"/>
          <w:color w:val="auto"/>
          <w:sz w:val="28"/>
          <w:szCs w:val="28"/>
          <w:highlight w:val="none"/>
        </w:rPr>
      </w:pPr>
      <w:r>
        <w:rPr>
          <w:rFonts w:hint="eastAsia" w:ascii="宋体" w:hAnsi="宋体"/>
          <w:color w:val="auto"/>
          <w:sz w:val="28"/>
          <w:szCs w:val="28"/>
          <w:highlight w:val="none"/>
        </w:rPr>
        <w:t>（二）银行的信息化建设状况：</w:t>
      </w:r>
    </w:p>
    <w:p w14:paraId="0C0B747D">
      <w:pPr>
        <w:spacing w:line="360" w:lineRule="auto"/>
        <w:rPr>
          <w:rFonts w:ascii="宋体" w:hAnsi="宋体"/>
          <w:color w:val="auto"/>
          <w:sz w:val="28"/>
          <w:szCs w:val="28"/>
          <w:highlight w:val="none"/>
        </w:rPr>
      </w:pPr>
      <w:r>
        <w:rPr>
          <w:rFonts w:hint="eastAsia" w:ascii="宋体" w:hAnsi="宋体"/>
          <w:color w:val="auto"/>
          <w:sz w:val="28"/>
          <w:szCs w:val="28"/>
          <w:highlight w:val="none"/>
        </w:rPr>
        <w:t>1、已具备的功能；</w:t>
      </w:r>
    </w:p>
    <w:p w14:paraId="5DCDDADC">
      <w:pPr>
        <w:spacing w:line="360" w:lineRule="auto"/>
        <w:rPr>
          <w:rFonts w:ascii="宋体" w:hAnsi="宋体"/>
          <w:color w:val="auto"/>
          <w:sz w:val="28"/>
          <w:szCs w:val="28"/>
          <w:highlight w:val="none"/>
        </w:rPr>
      </w:pPr>
      <w:r>
        <w:rPr>
          <w:rFonts w:hint="eastAsia" w:ascii="宋体" w:hAnsi="宋体"/>
          <w:color w:val="auto"/>
          <w:sz w:val="28"/>
          <w:szCs w:val="28"/>
          <w:highlight w:val="none"/>
        </w:rPr>
        <w:t>2、软件开发能力；</w:t>
      </w:r>
    </w:p>
    <w:p w14:paraId="5DD01646">
      <w:pPr>
        <w:spacing w:line="360" w:lineRule="auto"/>
        <w:rPr>
          <w:rFonts w:ascii="宋体" w:hAnsi="宋体"/>
          <w:color w:val="auto"/>
          <w:sz w:val="28"/>
          <w:szCs w:val="28"/>
          <w:highlight w:val="none"/>
        </w:rPr>
      </w:pPr>
      <w:r>
        <w:rPr>
          <w:rFonts w:hint="eastAsia" w:ascii="宋体" w:hAnsi="宋体"/>
          <w:color w:val="auto"/>
          <w:sz w:val="28"/>
          <w:szCs w:val="28"/>
          <w:highlight w:val="none"/>
        </w:rPr>
        <w:t>3、已有硬件设施（包括小型机、PC服务器、计算机等）</w:t>
      </w:r>
    </w:p>
    <w:p w14:paraId="4E7184F3">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总数台（套）</w:t>
      </w:r>
    </w:p>
    <w:p w14:paraId="5DDFB864">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综合性营业网点（平均）台（套）</w:t>
      </w:r>
    </w:p>
    <w:p w14:paraId="2CD11FC3">
      <w:pPr>
        <w:spacing w:line="360" w:lineRule="auto"/>
        <w:rPr>
          <w:rFonts w:ascii="宋体" w:hAnsi="宋体"/>
          <w:color w:val="auto"/>
          <w:sz w:val="28"/>
          <w:szCs w:val="28"/>
          <w:highlight w:val="none"/>
        </w:rPr>
      </w:pPr>
      <w:r>
        <w:rPr>
          <w:rFonts w:hint="eastAsia" w:ascii="宋体" w:hAnsi="宋体"/>
          <w:color w:val="auto"/>
          <w:sz w:val="28"/>
          <w:szCs w:val="28"/>
          <w:highlight w:val="none"/>
        </w:rPr>
        <w:t>4、从事信息化管理、开发、运行的人数量；</w:t>
      </w:r>
    </w:p>
    <w:p w14:paraId="30E44118">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总人数人</w:t>
      </w:r>
    </w:p>
    <w:p w14:paraId="57BBB598">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其中：硬件人</w:t>
      </w:r>
    </w:p>
    <w:p w14:paraId="7F923893">
      <w:pPr>
        <w:spacing w:line="360" w:lineRule="auto"/>
        <w:ind w:firstLine="1400" w:firstLineChars="500"/>
        <w:rPr>
          <w:rFonts w:ascii="宋体" w:hAnsi="宋体"/>
          <w:color w:val="auto"/>
          <w:sz w:val="28"/>
          <w:szCs w:val="28"/>
          <w:highlight w:val="none"/>
        </w:rPr>
      </w:pPr>
      <w:r>
        <w:rPr>
          <w:rFonts w:hint="eastAsia" w:ascii="宋体" w:hAnsi="宋体"/>
          <w:color w:val="auto"/>
          <w:sz w:val="28"/>
          <w:szCs w:val="28"/>
          <w:highlight w:val="none"/>
        </w:rPr>
        <w:t>软件人</w:t>
      </w:r>
    </w:p>
    <w:p w14:paraId="62AEE7CA">
      <w:pPr>
        <w:spacing w:line="360" w:lineRule="auto"/>
        <w:ind w:firstLine="1400" w:firstLineChars="500"/>
        <w:rPr>
          <w:rFonts w:ascii="宋体" w:hAnsi="宋体"/>
          <w:color w:val="auto"/>
          <w:sz w:val="28"/>
          <w:szCs w:val="28"/>
          <w:highlight w:val="none"/>
        </w:rPr>
      </w:pPr>
      <w:r>
        <w:rPr>
          <w:rFonts w:hint="eastAsia" w:ascii="宋体" w:hAnsi="宋体"/>
          <w:color w:val="auto"/>
          <w:sz w:val="28"/>
          <w:szCs w:val="28"/>
          <w:highlight w:val="none"/>
        </w:rPr>
        <w:t>高级工程师人</w:t>
      </w:r>
    </w:p>
    <w:p w14:paraId="3F13D635">
      <w:pPr>
        <w:spacing w:line="360" w:lineRule="auto"/>
        <w:rPr>
          <w:rFonts w:ascii="宋体" w:hAnsi="宋体"/>
          <w:color w:val="auto"/>
          <w:sz w:val="28"/>
          <w:szCs w:val="28"/>
          <w:highlight w:val="none"/>
        </w:rPr>
      </w:pPr>
      <w:r>
        <w:rPr>
          <w:rFonts w:hint="eastAsia" w:ascii="宋体" w:hAnsi="宋体"/>
          <w:color w:val="auto"/>
          <w:sz w:val="28"/>
          <w:szCs w:val="28"/>
          <w:highlight w:val="none"/>
        </w:rPr>
        <w:t>5、综合性营业网点所具备的能力；</w:t>
      </w:r>
    </w:p>
    <w:p w14:paraId="21B721E5">
      <w:pPr>
        <w:spacing w:line="360" w:lineRule="auto"/>
        <w:rPr>
          <w:rFonts w:ascii="宋体" w:hAnsi="宋体"/>
          <w:color w:val="auto"/>
          <w:sz w:val="28"/>
          <w:szCs w:val="28"/>
          <w:highlight w:val="none"/>
        </w:rPr>
      </w:pPr>
      <w:r>
        <w:rPr>
          <w:rFonts w:hint="eastAsia" w:ascii="宋体" w:hAnsi="宋体"/>
          <w:color w:val="auto"/>
          <w:sz w:val="28"/>
          <w:szCs w:val="28"/>
          <w:highlight w:val="none"/>
        </w:rPr>
        <w:t>6、客户服务系统的工作情况。</w:t>
      </w:r>
    </w:p>
    <w:p w14:paraId="0BEA9E39">
      <w:pPr>
        <w:spacing w:line="360" w:lineRule="auto"/>
        <w:ind w:firstLine="420" w:firstLineChars="150"/>
        <w:rPr>
          <w:rFonts w:ascii="宋体" w:hAnsi="宋体"/>
          <w:color w:val="auto"/>
          <w:sz w:val="28"/>
          <w:szCs w:val="28"/>
          <w:highlight w:val="none"/>
        </w:rPr>
      </w:pPr>
      <w:r>
        <w:rPr>
          <w:rFonts w:hint="eastAsia" w:ascii="宋体" w:hAnsi="宋体"/>
          <w:color w:val="auto"/>
          <w:sz w:val="28"/>
          <w:szCs w:val="28"/>
          <w:highlight w:val="none"/>
        </w:rPr>
        <w:t>说明：软件系统、硬件设施需从系统的安全性、实用性、成熟性、先进性和可扩展性进行详细描述；综合性营业网点所具备的能力指营业网点最起码的服务能力；客户服务系统的工作情况需从系统的构成、工作程序等方面进行描述。</w:t>
      </w:r>
    </w:p>
    <w:p w14:paraId="1983BE52">
      <w:pPr>
        <w:spacing w:line="360" w:lineRule="auto"/>
        <w:rPr>
          <w:rFonts w:ascii="宋体" w:hAnsi="宋体"/>
          <w:color w:val="auto"/>
          <w:sz w:val="28"/>
          <w:szCs w:val="28"/>
          <w:highlight w:val="none"/>
        </w:rPr>
      </w:pPr>
      <w:r>
        <w:rPr>
          <w:rFonts w:hint="eastAsia" w:ascii="宋体" w:hAnsi="宋体"/>
          <w:color w:val="auto"/>
          <w:sz w:val="28"/>
          <w:szCs w:val="28"/>
          <w:highlight w:val="none"/>
        </w:rPr>
        <w:t>（三）、近三年银行代理的主要政府部门业务；</w:t>
      </w:r>
    </w:p>
    <w:p w14:paraId="210E7C93">
      <w:pPr>
        <w:spacing w:line="360" w:lineRule="auto"/>
        <w:rPr>
          <w:rFonts w:ascii="宋体" w:hAnsi="宋体"/>
          <w:color w:val="auto"/>
          <w:sz w:val="28"/>
          <w:szCs w:val="28"/>
          <w:highlight w:val="none"/>
        </w:rPr>
      </w:pPr>
      <w:r>
        <w:rPr>
          <w:rFonts w:hint="eastAsia" w:ascii="宋体" w:hAnsi="宋体"/>
          <w:color w:val="auto"/>
          <w:sz w:val="28"/>
          <w:szCs w:val="28"/>
          <w:highlight w:val="none"/>
        </w:rPr>
        <w:t>（四）、其他情况（年表、组织、机构等）。</w:t>
      </w:r>
    </w:p>
    <w:p w14:paraId="1C5E431E">
      <w:pPr>
        <w:spacing w:line="360" w:lineRule="auto"/>
        <w:rPr>
          <w:rFonts w:ascii="宋体" w:hAnsi="宋体"/>
          <w:color w:val="auto"/>
          <w:sz w:val="28"/>
          <w:szCs w:val="28"/>
          <w:highlight w:val="none"/>
        </w:rPr>
      </w:pPr>
    </w:p>
    <w:p w14:paraId="1927D29C">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就我方全部所知，兹证明上述表明是真实、准确的，并已提供了全部现有资料和数据，我方同意根据招标方要求出示文件予以证实。</w:t>
      </w:r>
    </w:p>
    <w:p w14:paraId="2837A25F">
      <w:pPr>
        <w:spacing w:line="360" w:lineRule="auto"/>
        <w:ind w:firstLine="560" w:firstLineChars="200"/>
        <w:rPr>
          <w:rFonts w:ascii="宋体" w:hAnsi="宋体"/>
          <w:color w:val="auto"/>
          <w:sz w:val="28"/>
          <w:szCs w:val="28"/>
          <w:highlight w:val="none"/>
        </w:rPr>
      </w:pPr>
    </w:p>
    <w:p w14:paraId="205F6C54">
      <w:pPr>
        <w:spacing w:line="360" w:lineRule="auto"/>
        <w:rPr>
          <w:rFonts w:ascii="宋体" w:hAnsi="宋体"/>
          <w:color w:val="auto"/>
          <w:sz w:val="28"/>
          <w:szCs w:val="28"/>
          <w:highlight w:val="none"/>
        </w:rPr>
      </w:pPr>
      <w:r>
        <w:rPr>
          <w:rFonts w:hint="eastAsia" w:ascii="宋体" w:hAnsi="宋体"/>
          <w:color w:val="auto"/>
          <w:sz w:val="28"/>
          <w:szCs w:val="28"/>
          <w:highlight w:val="none"/>
        </w:rPr>
        <w:t>银 行 名 称（盖章）：</w:t>
      </w:r>
    </w:p>
    <w:p w14:paraId="7DD67489">
      <w:pPr>
        <w:spacing w:line="360" w:lineRule="auto"/>
        <w:rPr>
          <w:rFonts w:ascii="宋体" w:hAnsi="宋体"/>
          <w:color w:val="auto"/>
          <w:sz w:val="28"/>
          <w:szCs w:val="28"/>
          <w:highlight w:val="none"/>
        </w:rPr>
      </w:pPr>
      <w:r>
        <w:rPr>
          <w:rFonts w:hint="eastAsia" w:ascii="宋体" w:hAnsi="宋体"/>
          <w:color w:val="auto"/>
          <w:sz w:val="28"/>
          <w:szCs w:val="28"/>
          <w:highlight w:val="none"/>
        </w:rPr>
        <w:t>授权代表签字：</w:t>
      </w:r>
    </w:p>
    <w:p w14:paraId="3F9F56B5">
      <w:pPr>
        <w:spacing w:line="360" w:lineRule="auto"/>
        <w:rPr>
          <w:rFonts w:ascii="宋体" w:hAnsi="宋体"/>
          <w:color w:val="auto"/>
          <w:sz w:val="28"/>
          <w:szCs w:val="28"/>
          <w:highlight w:val="none"/>
          <w:u w:val="single"/>
        </w:rPr>
      </w:pPr>
      <w:r>
        <w:rPr>
          <w:rFonts w:hint="eastAsia" w:ascii="宋体" w:hAnsi="宋体"/>
          <w:color w:val="auto"/>
          <w:sz w:val="28"/>
          <w:szCs w:val="28"/>
          <w:highlight w:val="none"/>
        </w:rPr>
        <w:t>日        期：</w:t>
      </w:r>
    </w:p>
    <w:p w14:paraId="09986B94">
      <w:pPr>
        <w:spacing w:line="360" w:lineRule="auto"/>
        <w:rPr>
          <w:rFonts w:ascii="宋体" w:hAnsi="宋体"/>
          <w:color w:val="auto"/>
          <w:sz w:val="28"/>
          <w:szCs w:val="28"/>
          <w:highlight w:val="none"/>
        </w:rPr>
      </w:pPr>
    </w:p>
    <w:p w14:paraId="04FB9CF5">
      <w:pPr>
        <w:spacing w:line="360" w:lineRule="auto"/>
        <w:jc w:val="center"/>
        <w:rPr>
          <w:rFonts w:ascii="宋体" w:hAnsi="宋体"/>
          <w:b/>
          <w:color w:val="auto"/>
          <w:sz w:val="28"/>
          <w:szCs w:val="28"/>
          <w:highlight w:val="none"/>
        </w:rPr>
      </w:pPr>
      <w:r>
        <w:rPr>
          <w:rFonts w:ascii="宋体" w:hAnsi="宋体"/>
          <w:b/>
          <w:color w:val="auto"/>
          <w:sz w:val="28"/>
          <w:szCs w:val="28"/>
          <w:highlight w:val="none"/>
        </w:rPr>
        <w:br w:type="column"/>
      </w:r>
      <w:r>
        <w:rPr>
          <w:rFonts w:hint="eastAsia" w:ascii="宋体" w:hAnsi="宋体"/>
          <w:b/>
          <w:color w:val="auto"/>
          <w:sz w:val="28"/>
          <w:szCs w:val="28"/>
          <w:highlight w:val="none"/>
        </w:rPr>
        <w:t>5.投标人资格证明文件</w:t>
      </w:r>
    </w:p>
    <w:p w14:paraId="4A4E053C">
      <w:pPr>
        <w:spacing w:line="360" w:lineRule="auto"/>
        <w:rPr>
          <w:rFonts w:ascii="宋体" w:hAnsi="宋体"/>
          <w:b/>
          <w:color w:val="auto"/>
          <w:sz w:val="28"/>
          <w:szCs w:val="28"/>
          <w:highlight w:val="none"/>
        </w:rPr>
      </w:pPr>
    </w:p>
    <w:p w14:paraId="6070A106">
      <w:pPr>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投标人应提供下列文件或资料（复印件、加盖公章）：</w:t>
      </w:r>
    </w:p>
    <w:p w14:paraId="00236E24">
      <w:pPr>
        <w:numPr>
          <w:ilvl w:val="0"/>
          <w:numId w:val="14"/>
        </w:numPr>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银监局核发的金融许可证；</w:t>
      </w:r>
    </w:p>
    <w:p w14:paraId="66E3EB6F">
      <w:pPr>
        <w:numPr>
          <w:ilvl w:val="0"/>
          <w:numId w:val="14"/>
        </w:numPr>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工商行政管理部门颁布的营业执照；</w:t>
      </w:r>
    </w:p>
    <w:p w14:paraId="702C668D">
      <w:pPr>
        <w:numPr>
          <w:ilvl w:val="0"/>
          <w:numId w:val="14"/>
        </w:numPr>
        <w:spacing w:line="360" w:lineRule="auto"/>
        <w:ind w:firstLine="0"/>
        <w:rPr>
          <w:rFonts w:ascii="宋体" w:hAnsi="宋体"/>
          <w:color w:val="auto"/>
          <w:sz w:val="28"/>
          <w:szCs w:val="28"/>
          <w:highlight w:val="none"/>
        </w:rPr>
      </w:pPr>
      <w:r>
        <w:rPr>
          <w:rFonts w:hint="eastAsia" w:ascii="宋体" w:hAnsi="宋体"/>
          <w:color w:val="auto"/>
          <w:sz w:val="28"/>
          <w:szCs w:val="28"/>
          <w:highlight w:val="none"/>
        </w:rPr>
        <w:t>宁波市住房公积金管理中心市本级住房公积金账户开设定点银行证明文件；</w:t>
      </w:r>
    </w:p>
    <w:p w14:paraId="233FC7FB">
      <w:pPr>
        <w:spacing w:line="360" w:lineRule="auto"/>
        <w:ind w:left="360"/>
        <w:rPr>
          <w:rFonts w:ascii="宋体" w:hAnsi="宋体"/>
          <w:color w:val="auto"/>
          <w:sz w:val="28"/>
          <w:szCs w:val="28"/>
          <w:highlight w:val="none"/>
        </w:rPr>
      </w:pPr>
    </w:p>
    <w:p w14:paraId="570FABE2">
      <w:pPr>
        <w:spacing w:line="360" w:lineRule="auto"/>
        <w:ind w:left="360"/>
        <w:rPr>
          <w:rFonts w:ascii="宋体" w:hAnsi="宋体"/>
          <w:color w:val="auto"/>
          <w:sz w:val="28"/>
          <w:szCs w:val="28"/>
          <w:highlight w:val="none"/>
        </w:rPr>
      </w:pPr>
    </w:p>
    <w:p w14:paraId="7FA9F0F5">
      <w:pPr>
        <w:spacing w:line="360" w:lineRule="auto"/>
        <w:ind w:left="360"/>
        <w:rPr>
          <w:rFonts w:ascii="宋体" w:hAnsi="宋体"/>
          <w:color w:val="auto"/>
          <w:sz w:val="28"/>
          <w:szCs w:val="28"/>
          <w:highlight w:val="none"/>
        </w:rPr>
      </w:pPr>
    </w:p>
    <w:p w14:paraId="73924B3A">
      <w:pPr>
        <w:spacing w:line="360" w:lineRule="auto"/>
        <w:ind w:left="360"/>
        <w:rPr>
          <w:rFonts w:ascii="宋体" w:hAnsi="宋体"/>
          <w:color w:val="auto"/>
          <w:sz w:val="28"/>
          <w:szCs w:val="28"/>
          <w:highlight w:val="none"/>
        </w:rPr>
      </w:pPr>
    </w:p>
    <w:p w14:paraId="164D98DC">
      <w:pPr>
        <w:spacing w:line="360" w:lineRule="auto"/>
        <w:ind w:left="1680" w:leftChars="800" w:firstLine="281" w:firstLineChars="100"/>
        <w:rPr>
          <w:rFonts w:ascii="宋体" w:hAnsi="宋体"/>
          <w:b/>
          <w:color w:val="auto"/>
          <w:sz w:val="28"/>
          <w:szCs w:val="28"/>
          <w:highlight w:val="none"/>
        </w:rPr>
      </w:pPr>
    </w:p>
    <w:p w14:paraId="3184AA33">
      <w:pPr>
        <w:spacing w:line="360" w:lineRule="auto"/>
        <w:ind w:left="1680" w:leftChars="800" w:firstLine="281" w:firstLineChars="100"/>
        <w:rPr>
          <w:rFonts w:ascii="宋体" w:hAnsi="宋体"/>
          <w:b/>
          <w:color w:val="auto"/>
          <w:sz w:val="28"/>
          <w:szCs w:val="28"/>
          <w:highlight w:val="none"/>
        </w:rPr>
      </w:pPr>
    </w:p>
    <w:p w14:paraId="2DC1152D">
      <w:pPr>
        <w:spacing w:line="360" w:lineRule="auto"/>
        <w:ind w:left="1680" w:leftChars="800" w:firstLine="281" w:firstLineChars="100"/>
        <w:rPr>
          <w:rFonts w:ascii="宋体" w:hAnsi="宋体"/>
          <w:b/>
          <w:color w:val="auto"/>
          <w:sz w:val="28"/>
          <w:szCs w:val="28"/>
          <w:highlight w:val="none"/>
        </w:rPr>
      </w:pPr>
    </w:p>
    <w:p w14:paraId="3370B6D5">
      <w:pPr>
        <w:spacing w:line="360" w:lineRule="auto"/>
        <w:ind w:left="1680" w:leftChars="800" w:firstLine="281" w:firstLineChars="100"/>
        <w:rPr>
          <w:rFonts w:ascii="宋体" w:hAnsi="宋体"/>
          <w:b/>
          <w:color w:val="auto"/>
          <w:sz w:val="28"/>
          <w:szCs w:val="28"/>
          <w:highlight w:val="none"/>
        </w:rPr>
      </w:pPr>
    </w:p>
    <w:p w14:paraId="79148C8B">
      <w:pPr>
        <w:spacing w:line="360" w:lineRule="auto"/>
        <w:ind w:left="1680" w:leftChars="800" w:firstLine="281" w:firstLineChars="100"/>
        <w:rPr>
          <w:rFonts w:ascii="宋体" w:hAnsi="宋体"/>
          <w:b/>
          <w:color w:val="auto"/>
          <w:sz w:val="28"/>
          <w:szCs w:val="28"/>
          <w:highlight w:val="none"/>
        </w:rPr>
      </w:pPr>
    </w:p>
    <w:p w14:paraId="76CD3E4A">
      <w:pPr>
        <w:spacing w:line="360" w:lineRule="auto"/>
        <w:ind w:left="1680" w:leftChars="800" w:firstLine="281" w:firstLineChars="100"/>
        <w:rPr>
          <w:rFonts w:ascii="宋体" w:hAnsi="宋体"/>
          <w:b/>
          <w:color w:val="auto"/>
          <w:sz w:val="28"/>
          <w:szCs w:val="28"/>
          <w:highlight w:val="none"/>
        </w:rPr>
      </w:pPr>
    </w:p>
    <w:p w14:paraId="1986F97E">
      <w:pPr>
        <w:spacing w:line="360" w:lineRule="auto"/>
        <w:ind w:left="1680" w:leftChars="800" w:firstLine="281" w:firstLineChars="100"/>
        <w:rPr>
          <w:rFonts w:ascii="宋体" w:hAnsi="宋体"/>
          <w:b/>
          <w:color w:val="auto"/>
          <w:sz w:val="28"/>
          <w:szCs w:val="28"/>
          <w:highlight w:val="none"/>
        </w:rPr>
      </w:pPr>
    </w:p>
    <w:p w14:paraId="3D4BD778">
      <w:pPr>
        <w:spacing w:line="360" w:lineRule="auto"/>
        <w:ind w:left="1680" w:leftChars="800" w:firstLine="281" w:firstLineChars="100"/>
        <w:rPr>
          <w:rFonts w:ascii="宋体" w:hAnsi="宋体"/>
          <w:b/>
          <w:color w:val="auto"/>
          <w:sz w:val="28"/>
          <w:szCs w:val="28"/>
          <w:highlight w:val="none"/>
        </w:rPr>
      </w:pPr>
    </w:p>
    <w:p w14:paraId="6BF75BC7">
      <w:pPr>
        <w:spacing w:line="360" w:lineRule="auto"/>
        <w:ind w:left="1680" w:leftChars="800" w:firstLine="281" w:firstLineChars="100"/>
        <w:rPr>
          <w:rFonts w:ascii="宋体" w:hAnsi="宋体"/>
          <w:b/>
          <w:color w:val="auto"/>
          <w:sz w:val="28"/>
          <w:szCs w:val="28"/>
          <w:highlight w:val="none"/>
        </w:rPr>
      </w:pPr>
    </w:p>
    <w:p w14:paraId="637CDCC5">
      <w:pPr>
        <w:spacing w:line="360" w:lineRule="auto"/>
        <w:ind w:left="1680" w:leftChars="800" w:firstLine="281" w:firstLineChars="100"/>
        <w:rPr>
          <w:rFonts w:ascii="宋体" w:hAnsi="宋体"/>
          <w:b/>
          <w:color w:val="auto"/>
          <w:sz w:val="28"/>
          <w:szCs w:val="28"/>
          <w:highlight w:val="none"/>
        </w:rPr>
      </w:pPr>
    </w:p>
    <w:p w14:paraId="75E10222">
      <w:pPr>
        <w:spacing w:line="360" w:lineRule="auto"/>
        <w:ind w:left="1680" w:leftChars="800" w:firstLine="281" w:firstLineChars="100"/>
        <w:rPr>
          <w:rFonts w:ascii="宋体" w:hAnsi="宋体"/>
          <w:b/>
          <w:color w:val="auto"/>
          <w:sz w:val="28"/>
          <w:szCs w:val="28"/>
          <w:highlight w:val="none"/>
        </w:rPr>
      </w:pPr>
    </w:p>
    <w:p w14:paraId="474768DF">
      <w:pPr>
        <w:spacing w:line="360" w:lineRule="auto"/>
        <w:jc w:val="center"/>
        <w:rPr>
          <w:rFonts w:hint="eastAsia" w:ascii="宋体" w:hAnsi="宋体" w:eastAsia="宋体"/>
          <w:b/>
          <w:color w:val="auto"/>
          <w:sz w:val="28"/>
          <w:szCs w:val="28"/>
          <w:highlight w:val="none"/>
          <w:lang w:eastAsia="zh-CN"/>
        </w:rPr>
      </w:pPr>
      <w:r>
        <w:rPr>
          <w:rFonts w:ascii="宋体" w:hAnsi="宋体"/>
          <w:b/>
          <w:color w:val="auto"/>
          <w:sz w:val="28"/>
          <w:szCs w:val="28"/>
          <w:highlight w:val="none"/>
        </w:rPr>
        <w:br w:type="column"/>
      </w:r>
      <w:r>
        <w:rPr>
          <w:rFonts w:hint="eastAsia" w:ascii="宋体" w:hAnsi="宋体"/>
          <w:b/>
          <w:color w:val="auto"/>
          <w:sz w:val="28"/>
          <w:szCs w:val="28"/>
          <w:highlight w:val="none"/>
        </w:rPr>
        <w:t>6.</w:t>
      </w:r>
      <w:r>
        <w:rPr>
          <w:rFonts w:hint="eastAsia" w:ascii="宋体" w:hAnsi="宋体"/>
          <w:b/>
          <w:color w:val="auto"/>
          <w:sz w:val="28"/>
          <w:szCs w:val="28"/>
          <w:highlight w:val="none"/>
          <w:lang w:eastAsia="zh-CN"/>
        </w:rPr>
        <w:t>2023年度资产负债表和损益表</w:t>
      </w:r>
    </w:p>
    <w:p w14:paraId="47727BAE">
      <w:pPr>
        <w:spacing w:line="360" w:lineRule="auto"/>
        <w:rPr>
          <w:rFonts w:ascii="宋体" w:hAnsi="宋体"/>
          <w:color w:val="auto"/>
          <w:sz w:val="28"/>
          <w:szCs w:val="28"/>
          <w:highlight w:val="none"/>
        </w:rPr>
      </w:pPr>
    </w:p>
    <w:p w14:paraId="460C9EAC">
      <w:pPr>
        <w:spacing w:line="360" w:lineRule="auto"/>
        <w:rPr>
          <w:rFonts w:ascii="宋体" w:hAnsi="宋体"/>
          <w:color w:val="auto"/>
          <w:sz w:val="28"/>
          <w:szCs w:val="28"/>
          <w:highlight w:val="none"/>
        </w:rPr>
      </w:pPr>
    </w:p>
    <w:p w14:paraId="1C87E14A">
      <w:pPr>
        <w:spacing w:line="360" w:lineRule="auto"/>
        <w:rPr>
          <w:rFonts w:ascii="宋体" w:hAnsi="宋体"/>
          <w:color w:val="auto"/>
          <w:sz w:val="24"/>
          <w:highlight w:val="none"/>
        </w:rPr>
      </w:pPr>
    </w:p>
    <w:p w14:paraId="6EFA9BBD">
      <w:pPr>
        <w:spacing w:line="360" w:lineRule="auto"/>
        <w:rPr>
          <w:rFonts w:ascii="宋体" w:hAnsi="宋体"/>
          <w:color w:val="auto"/>
          <w:sz w:val="24"/>
          <w:highlight w:val="none"/>
        </w:rPr>
      </w:pPr>
    </w:p>
    <w:p w14:paraId="796E1891">
      <w:pPr>
        <w:spacing w:line="360" w:lineRule="auto"/>
        <w:ind w:firstLine="1200" w:firstLineChars="500"/>
        <w:rPr>
          <w:rFonts w:ascii="宋体" w:hAnsi="宋体"/>
          <w:color w:val="auto"/>
          <w:sz w:val="24"/>
          <w:highlight w:val="none"/>
        </w:rPr>
      </w:pPr>
    </w:p>
    <w:p w14:paraId="11987B3C">
      <w:pPr>
        <w:spacing w:line="360" w:lineRule="auto"/>
        <w:jc w:val="center"/>
        <w:rPr>
          <w:rFonts w:ascii="宋体" w:hAnsi="宋体"/>
          <w:color w:val="auto"/>
          <w:sz w:val="28"/>
          <w:szCs w:val="28"/>
          <w:highlight w:val="none"/>
        </w:rPr>
      </w:pPr>
      <w:r>
        <w:rPr>
          <w:rFonts w:ascii="宋体" w:hAnsi="宋体"/>
          <w:b/>
          <w:color w:val="auto"/>
          <w:sz w:val="24"/>
          <w:highlight w:val="none"/>
        </w:rPr>
        <w:br w:type="column"/>
      </w:r>
      <w:r>
        <w:rPr>
          <w:rFonts w:hint="eastAsia" w:ascii="宋体" w:hAnsi="宋体"/>
          <w:b/>
          <w:color w:val="auto"/>
          <w:sz w:val="28"/>
          <w:szCs w:val="28"/>
          <w:highlight w:val="none"/>
        </w:rPr>
        <w:t>7.根据第四章评分标准中的内容提供相应的资料</w:t>
      </w:r>
    </w:p>
    <w:p w14:paraId="0BAF7A99">
      <w:pPr>
        <w:spacing w:line="360" w:lineRule="auto"/>
        <w:rPr>
          <w:rFonts w:ascii="宋体" w:hAnsi="宋体"/>
          <w:b/>
          <w:color w:val="auto"/>
          <w:sz w:val="28"/>
          <w:szCs w:val="28"/>
          <w:highlight w:val="none"/>
        </w:rPr>
      </w:pPr>
      <w:r>
        <w:rPr>
          <w:rFonts w:hint="eastAsia" w:ascii="宋体" w:hAnsi="宋体"/>
          <w:b/>
          <w:color w:val="auto"/>
          <w:sz w:val="28"/>
          <w:szCs w:val="28"/>
          <w:highlight w:val="none"/>
        </w:rPr>
        <w:t>1）指标响应数据列表</w:t>
      </w:r>
    </w:p>
    <w:tbl>
      <w:tblPr>
        <w:tblStyle w:val="29"/>
        <w:tblW w:w="9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3"/>
        <w:gridCol w:w="5439"/>
        <w:gridCol w:w="2538"/>
      </w:tblGrid>
      <w:tr w14:paraId="54A01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blHeader/>
          <w:jc w:val="center"/>
        </w:trPr>
        <w:tc>
          <w:tcPr>
            <w:tcW w:w="1503" w:type="dxa"/>
            <w:tcBorders>
              <w:top w:val="single" w:color="auto" w:sz="4" w:space="0"/>
              <w:left w:val="single" w:color="auto" w:sz="4" w:space="0"/>
              <w:bottom w:val="single" w:color="auto" w:sz="4" w:space="0"/>
              <w:right w:val="single" w:color="auto" w:sz="4" w:space="0"/>
            </w:tcBorders>
            <w:vAlign w:val="center"/>
          </w:tcPr>
          <w:p w14:paraId="70AEC112">
            <w:pPr>
              <w:spacing w:line="360" w:lineRule="auto"/>
              <w:jc w:val="center"/>
              <w:rPr>
                <w:rFonts w:ascii="宋体"/>
                <w:b/>
                <w:bCs/>
                <w:color w:val="auto"/>
                <w:sz w:val="28"/>
                <w:szCs w:val="28"/>
                <w:highlight w:val="none"/>
              </w:rPr>
            </w:pPr>
            <w:r>
              <w:rPr>
                <w:rFonts w:hint="eastAsia" w:ascii="宋体" w:hAnsi="宋体" w:cs="宋体"/>
                <w:b/>
                <w:bCs/>
                <w:color w:val="auto"/>
                <w:sz w:val="28"/>
                <w:szCs w:val="28"/>
                <w:highlight w:val="none"/>
              </w:rPr>
              <w:t>项目</w:t>
            </w:r>
          </w:p>
        </w:tc>
        <w:tc>
          <w:tcPr>
            <w:tcW w:w="5439" w:type="dxa"/>
            <w:tcBorders>
              <w:top w:val="single" w:color="auto" w:sz="4" w:space="0"/>
              <w:left w:val="single" w:color="auto" w:sz="4" w:space="0"/>
              <w:bottom w:val="single" w:color="auto" w:sz="4" w:space="0"/>
              <w:right w:val="single" w:color="auto" w:sz="4" w:space="0"/>
            </w:tcBorders>
            <w:vAlign w:val="center"/>
          </w:tcPr>
          <w:p w14:paraId="739141DC">
            <w:pPr>
              <w:spacing w:line="360" w:lineRule="auto"/>
              <w:jc w:val="center"/>
              <w:rPr>
                <w:rFonts w:ascii="宋体"/>
                <w:b/>
                <w:bCs/>
                <w:color w:val="auto"/>
                <w:sz w:val="28"/>
                <w:szCs w:val="28"/>
                <w:highlight w:val="none"/>
              </w:rPr>
            </w:pPr>
            <w:r>
              <w:rPr>
                <w:rFonts w:hint="eastAsia" w:ascii="宋体" w:hAnsi="宋体" w:cs="宋体"/>
                <w:b/>
                <w:bCs/>
                <w:color w:val="auto"/>
                <w:sz w:val="28"/>
                <w:szCs w:val="28"/>
                <w:highlight w:val="none"/>
              </w:rPr>
              <w:t>指标内容</w:t>
            </w:r>
          </w:p>
        </w:tc>
        <w:tc>
          <w:tcPr>
            <w:tcW w:w="2538" w:type="dxa"/>
            <w:tcBorders>
              <w:top w:val="single" w:color="auto" w:sz="4" w:space="0"/>
              <w:left w:val="single" w:color="auto" w:sz="4" w:space="0"/>
              <w:bottom w:val="single" w:color="auto" w:sz="4" w:space="0"/>
              <w:right w:val="single" w:color="auto" w:sz="4" w:space="0"/>
            </w:tcBorders>
            <w:vAlign w:val="center"/>
          </w:tcPr>
          <w:p w14:paraId="13425B90">
            <w:pPr>
              <w:spacing w:line="360" w:lineRule="auto"/>
              <w:jc w:val="center"/>
              <w:rPr>
                <w:rFonts w:ascii="宋体"/>
                <w:b/>
                <w:bCs/>
                <w:color w:val="auto"/>
                <w:sz w:val="28"/>
                <w:szCs w:val="28"/>
                <w:highlight w:val="none"/>
              </w:rPr>
            </w:pPr>
            <w:r>
              <w:rPr>
                <w:rFonts w:hint="eastAsia" w:ascii="宋体" w:hAnsi="宋体" w:cs="宋体"/>
                <w:b/>
                <w:bCs/>
                <w:color w:val="auto"/>
                <w:sz w:val="28"/>
                <w:szCs w:val="28"/>
                <w:highlight w:val="none"/>
              </w:rPr>
              <w:t>数据</w:t>
            </w:r>
          </w:p>
        </w:tc>
      </w:tr>
      <w:tr w14:paraId="03A7B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jc w:val="center"/>
        </w:trPr>
        <w:tc>
          <w:tcPr>
            <w:tcW w:w="1503" w:type="dxa"/>
            <w:vMerge w:val="restart"/>
            <w:tcBorders>
              <w:top w:val="single" w:color="auto" w:sz="4" w:space="0"/>
              <w:left w:val="single" w:color="auto" w:sz="4" w:space="0"/>
              <w:right w:val="single" w:color="auto" w:sz="4" w:space="0"/>
            </w:tcBorders>
            <w:vAlign w:val="center"/>
          </w:tcPr>
          <w:p w14:paraId="23B1C2F4">
            <w:pPr>
              <w:widowControl/>
              <w:jc w:val="center"/>
              <w:rPr>
                <w:rFonts w:ascii="宋体"/>
                <w:color w:val="auto"/>
                <w:kern w:val="0"/>
                <w:sz w:val="28"/>
                <w:szCs w:val="28"/>
                <w:highlight w:val="none"/>
              </w:rPr>
            </w:pPr>
            <w:r>
              <w:rPr>
                <w:rFonts w:hint="eastAsia" w:ascii="宋体"/>
                <w:color w:val="auto"/>
                <w:kern w:val="0"/>
                <w:sz w:val="28"/>
                <w:szCs w:val="28"/>
                <w:highlight w:val="none"/>
              </w:rPr>
              <w:t>利率水平</w:t>
            </w:r>
          </w:p>
        </w:tc>
        <w:tc>
          <w:tcPr>
            <w:tcW w:w="5439" w:type="dxa"/>
            <w:tcBorders>
              <w:top w:val="single" w:color="auto" w:sz="4" w:space="0"/>
              <w:left w:val="single" w:color="auto" w:sz="4" w:space="0"/>
              <w:bottom w:val="single" w:color="auto" w:sz="4" w:space="0"/>
              <w:right w:val="single" w:color="auto" w:sz="4" w:space="0"/>
            </w:tcBorders>
            <w:vAlign w:val="center"/>
          </w:tcPr>
          <w:p w14:paraId="1A887E5A">
            <w:pPr>
              <w:spacing w:line="360" w:lineRule="auto"/>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1）六个月定期存款利率</w:t>
            </w:r>
          </w:p>
        </w:tc>
        <w:tc>
          <w:tcPr>
            <w:tcW w:w="2538" w:type="dxa"/>
            <w:tcBorders>
              <w:top w:val="single" w:color="auto" w:sz="4" w:space="0"/>
              <w:left w:val="single" w:color="auto" w:sz="4" w:space="0"/>
              <w:bottom w:val="single" w:color="auto" w:sz="4" w:space="0"/>
              <w:right w:val="single" w:color="auto" w:sz="4" w:space="0"/>
            </w:tcBorders>
            <w:vAlign w:val="center"/>
          </w:tcPr>
          <w:p w14:paraId="5730FF00">
            <w:pPr>
              <w:spacing w:line="360" w:lineRule="auto"/>
              <w:jc w:val="center"/>
              <w:rPr>
                <w:rFonts w:ascii="宋体"/>
                <w:color w:val="auto"/>
                <w:sz w:val="28"/>
                <w:szCs w:val="28"/>
                <w:highlight w:val="none"/>
              </w:rPr>
            </w:pPr>
          </w:p>
        </w:tc>
      </w:tr>
      <w:tr w14:paraId="429B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jc w:val="center"/>
        </w:trPr>
        <w:tc>
          <w:tcPr>
            <w:tcW w:w="1503" w:type="dxa"/>
            <w:vMerge w:val="continue"/>
            <w:tcBorders>
              <w:left w:val="single" w:color="auto" w:sz="4" w:space="0"/>
              <w:right w:val="single" w:color="auto" w:sz="4" w:space="0"/>
            </w:tcBorders>
            <w:vAlign w:val="center"/>
          </w:tcPr>
          <w:p w14:paraId="354EFB53">
            <w:pPr>
              <w:widowControl/>
              <w:jc w:val="center"/>
              <w:rPr>
                <w:rFonts w:hint="eastAsia" w:ascii="宋体"/>
                <w:color w:val="auto"/>
                <w:kern w:val="0"/>
                <w:sz w:val="28"/>
                <w:szCs w:val="28"/>
                <w:highlight w:val="none"/>
              </w:rPr>
            </w:pPr>
          </w:p>
        </w:tc>
        <w:tc>
          <w:tcPr>
            <w:tcW w:w="5439" w:type="dxa"/>
            <w:tcBorders>
              <w:top w:val="single" w:color="auto" w:sz="4" w:space="0"/>
              <w:left w:val="single" w:color="auto" w:sz="4" w:space="0"/>
              <w:bottom w:val="single" w:color="auto" w:sz="4" w:space="0"/>
              <w:right w:val="single" w:color="auto" w:sz="4" w:space="0"/>
            </w:tcBorders>
            <w:vAlign w:val="center"/>
          </w:tcPr>
          <w:p w14:paraId="68E9B0E0">
            <w:pPr>
              <w:spacing w:line="360" w:lineRule="auto"/>
              <w:jc w:val="both"/>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一年期定期存款利率</w:t>
            </w:r>
          </w:p>
        </w:tc>
        <w:tc>
          <w:tcPr>
            <w:tcW w:w="2538" w:type="dxa"/>
            <w:tcBorders>
              <w:top w:val="single" w:color="auto" w:sz="4" w:space="0"/>
              <w:left w:val="single" w:color="auto" w:sz="4" w:space="0"/>
              <w:bottom w:val="single" w:color="auto" w:sz="4" w:space="0"/>
              <w:right w:val="single" w:color="auto" w:sz="4" w:space="0"/>
            </w:tcBorders>
            <w:vAlign w:val="center"/>
          </w:tcPr>
          <w:p w14:paraId="1995CF86">
            <w:pPr>
              <w:spacing w:line="360" w:lineRule="auto"/>
              <w:jc w:val="center"/>
              <w:rPr>
                <w:rFonts w:hint="eastAsia" w:ascii="宋体" w:hAnsi="宋体" w:cs="宋体"/>
                <w:color w:val="auto"/>
                <w:sz w:val="28"/>
                <w:szCs w:val="28"/>
                <w:highlight w:val="none"/>
              </w:rPr>
            </w:pPr>
          </w:p>
        </w:tc>
      </w:tr>
      <w:tr w14:paraId="54937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jc w:val="center"/>
        </w:trPr>
        <w:tc>
          <w:tcPr>
            <w:tcW w:w="1503" w:type="dxa"/>
            <w:vMerge w:val="continue"/>
            <w:tcBorders>
              <w:left w:val="single" w:color="auto" w:sz="4" w:space="0"/>
              <w:right w:val="single" w:color="auto" w:sz="4" w:space="0"/>
            </w:tcBorders>
            <w:vAlign w:val="center"/>
          </w:tcPr>
          <w:p w14:paraId="263F4B82">
            <w:pPr>
              <w:widowControl/>
              <w:jc w:val="center"/>
              <w:rPr>
                <w:rFonts w:hint="eastAsia" w:ascii="宋体"/>
                <w:color w:val="auto"/>
                <w:kern w:val="0"/>
                <w:sz w:val="28"/>
                <w:szCs w:val="28"/>
                <w:highlight w:val="none"/>
              </w:rPr>
            </w:pPr>
          </w:p>
        </w:tc>
        <w:tc>
          <w:tcPr>
            <w:tcW w:w="5439" w:type="dxa"/>
            <w:tcBorders>
              <w:top w:val="single" w:color="auto" w:sz="4" w:space="0"/>
              <w:left w:val="single" w:color="auto" w:sz="4" w:space="0"/>
              <w:bottom w:val="single" w:color="auto" w:sz="4" w:space="0"/>
              <w:right w:val="single" w:color="auto" w:sz="4" w:space="0"/>
            </w:tcBorders>
            <w:vAlign w:val="center"/>
          </w:tcPr>
          <w:p w14:paraId="727644F5">
            <w:pPr>
              <w:spacing w:line="360" w:lineRule="auto"/>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六个月大额存单利率</w:t>
            </w:r>
          </w:p>
        </w:tc>
        <w:tc>
          <w:tcPr>
            <w:tcW w:w="2538" w:type="dxa"/>
            <w:tcBorders>
              <w:top w:val="single" w:color="auto" w:sz="4" w:space="0"/>
              <w:left w:val="single" w:color="auto" w:sz="4" w:space="0"/>
              <w:bottom w:val="single" w:color="auto" w:sz="4" w:space="0"/>
              <w:right w:val="single" w:color="auto" w:sz="4" w:space="0"/>
            </w:tcBorders>
            <w:vAlign w:val="center"/>
          </w:tcPr>
          <w:p w14:paraId="030EF240">
            <w:pPr>
              <w:spacing w:line="360" w:lineRule="auto"/>
              <w:jc w:val="center"/>
              <w:rPr>
                <w:rFonts w:hint="eastAsia" w:ascii="宋体" w:hAnsi="宋体" w:cs="宋体"/>
                <w:color w:val="auto"/>
                <w:sz w:val="28"/>
                <w:szCs w:val="28"/>
                <w:highlight w:val="none"/>
              </w:rPr>
            </w:pPr>
          </w:p>
        </w:tc>
      </w:tr>
      <w:tr w14:paraId="57789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jc w:val="center"/>
        </w:trPr>
        <w:tc>
          <w:tcPr>
            <w:tcW w:w="1503" w:type="dxa"/>
            <w:vMerge w:val="continue"/>
            <w:tcBorders>
              <w:left w:val="single" w:color="auto" w:sz="4" w:space="0"/>
              <w:right w:val="single" w:color="auto" w:sz="4" w:space="0"/>
            </w:tcBorders>
            <w:vAlign w:val="center"/>
          </w:tcPr>
          <w:p w14:paraId="5965D808">
            <w:pPr>
              <w:widowControl/>
              <w:jc w:val="center"/>
              <w:rPr>
                <w:rFonts w:hint="eastAsia" w:ascii="宋体"/>
                <w:color w:val="auto"/>
                <w:kern w:val="0"/>
                <w:sz w:val="28"/>
                <w:szCs w:val="28"/>
                <w:highlight w:val="none"/>
              </w:rPr>
            </w:pPr>
          </w:p>
        </w:tc>
        <w:tc>
          <w:tcPr>
            <w:tcW w:w="5439" w:type="dxa"/>
            <w:tcBorders>
              <w:top w:val="single" w:color="auto" w:sz="4" w:space="0"/>
              <w:left w:val="single" w:color="auto" w:sz="4" w:space="0"/>
              <w:bottom w:val="single" w:color="auto" w:sz="4" w:space="0"/>
              <w:right w:val="single" w:color="auto" w:sz="4" w:space="0"/>
            </w:tcBorders>
            <w:vAlign w:val="center"/>
          </w:tcPr>
          <w:p w14:paraId="67723518">
            <w:pPr>
              <w:spacing w:line="360" w:lineRule="auto"/>
              <w:jc w:val="both"/>
              <w:rPr>
                <w:rFonts w:hint="eastAsia" w:ascii="宋体" w:hAnsi="宋体" w:cs="宋体"/>
                <w:color w:val="auto"/>
                <w:sz w:val="28"/>
                <w:szCs w:val="28"/>
                <w:highlight w:val="none"/>
              </w:rPr>
            </w:pPr>
            <w:r>
              <w:rPr>
                <w:rFonts w:hint="eastAsia" w:ascii="宋体" w:hAnsi="宋体" w:cs="宋体"/>
                <w:color w:val="auto"/>
                <w:sz w:val="28"/>
                <w:szCs w:val="28"/>
                <w:highlight w:val="none"/>
                <w:lang w:val="en-US" w:eastAsia="zh-CN"/>
              </w:rPr>
              <w:t>4</w:t>
            </w:r>
            <w:r>
              <w:rPr>
                <w:rFonts w:hint="eastAsia" w:ascii="宋体" w:hAnsi="宋体" w:eastAsia="宋体" w:cs="宋体"/>
                <w:color w:val="auto"/>
                <w:sz w:val="28"/>
                <w:szCs w:val="28"/>
                <w:highlight w:val="none"/>
              </w:rPr>
              <w:t>）</w:t>
            </w:r>
            <w:r>
              <w:rPr>
                <w:rFonts w:hint="eastAsia" w:ascii="宋体" w:hAnsi="宋体" w:cs="宋体"/>
                <w:color w:val="auto"/>
                <w:sz w:val="28"/>
                <w:szCs w:val="28"/>
                <w:highlight w:val="none"/>
              </w:rPr>
              <w:t>一年期大额存单利率</w:t>
            </w:r>
          </w:p>
        </w:tc>
        <w:tc>
          <w:tcPr>
            <w:tcW w:w="2538" w:type="dxa"/>
            <w:tcBorders>
              <w:top w:val="single" w:color="auto" w:sz="4" w:space="0"/>
              <w:left w:val="single" w:color="auto" w:sz="4" w:space="0"/>
              <w:bottom w:val="single" w:color="auto" w:sz="4" w:space="0"/>
              <w:right w:val="single" w:color="auto" w:sz="4" w:space="0"/>
            </w:tcBorders>
            <w:vAlign w:val="center"/>
          </w:tcPr>
          <w:p w14:paraId="5FF02FC3">
            <w:pPr>
              <w:spacing w:line="360" w:lineRule="auto"/>
              <w:jc w:val="center"/>
              <w:rPr>
                <w:rFonts w:hint="eastAsia" w:ascii="宋体" w:hAnsi="宋体" w:cs="宋体"/>
                <w:color w:val="auto"/>
                <w:sz w:val="28"/>
                <w:szCs w:val="28"/>
                <w:highlight w:val="none"/>
              </w:rPr>
            </w:pPr>
          </w:p>
        </w:tc>
      </w:tr>
      <w:tr w14:paraId="7C3A2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jc w:val="center"/>
        </w:trPr>
        <w:tc>
          <w:tcPr>
            <w:tcW w:w="1503" w:type="dxa"/>
            <w:vMerge w:val="restart"/>
            <w:tcBorders>
              <w:top w:val="single" w:color="auto" w:sz="4" w:space="0"/>
              <w:left w:val="single" w:color="auto" w:sz="4" w:space="0"/>
              <w:bottom w:val="single" w:color="auto" w:sz="4" w:space="0"/>
              <w:right w:val="single" w:color="auto" w:sz="4" w:space="0"/>
            </w:tcBorders>
            <w:vAlign w:val="center"/>
          </w:tcPr>
          <w:p w14:paraId="06910A5C">
            <w:pPr>
              <w:spacing w:line="360" w:lineRule="auto"/>
              <w:jc w:val="center"/>
              <w:rPr>
                <w:rFonts w:ascii="宋体"/>
                <w:color w:val="auto"/>
                <w:sz w:val="28"/>
                <w:szCs w:val="28"/>
                <w:highlight w:val="none"/>
              </w:rPr>
            </w:pPr>
            <w:r>
              <w:rPr>
                <w:rFonts w:hint="eastAsia" w:ascii="宋体" w:hAnsi="宋体" w:cs="宋体"/>
                <w:color w:val="auto"/>
                <w:sz w:val="28"/>
                <w:szCs w:val="28"/>
                <w:highlight w:val="none"/>
              </w:rPr>
              <w:t>经营状况</w:t>
            </w:r>
          </w:p>
        </w:tc>
        <w:tc>
          <w:tcPr>
            <w:tcW w:w="5439" w:type="dxa"/>
            <w:tcBorders>
              <w:top w:val="single" w:color="auto" w:sz="4" w:space="0"/>
              <w:left w:val="single" w:color="auto" w:sz="4" w:space="0"/>
              <w:bottom w:val="single" w:color="auto" w:sz="4" w:space="0"/>
              <w:right w:val="single" w:color="auto" w:sz="4" w:space="0"/>
            </w:tcBorders>
            <w:vAlign w:val="center"/>
          </w:tcPr>
          <w:p w14:paraId="4AFA16C3">
            <w:pPr>
              <w:spacing w:line="360" w:lineRule="auto"/>
              <w:rPr>
                <w:rFonts w:ascii="宋体"/>
                <w:color w:val="auto"/>
                <w:kern w:val="0"/>
                <w:sz w:val="28"/>
                <w:szCs w:val="28"/>
                <w:highlight w:val="none"/>
              </w:rPr>
            </w:pPr>
            <w:r>
              <w:rPr>
                <w:rFonts w:hint="eastAsia" w:ascii="宋体" w:hAnsi="宋体" w:cs="宋体"/>
                <w:color w:val="auto"/>
                <w:kern w:val="0"/>
                <w:sz w:val="28"/>
                <w:szCs w:val="28"/>
                <w:highlight w:val="none"/>
              </w:rPr>
              <w:t>1）资本充足率（以投标人总行202</w:t>
            </w:r>
            <w:r>
              <w:rPr>
                <w:rFonts w:hint="eastAsia" w:ascii="宋体" w:hAnsi="宋体" w:cs="宋体"/>
                <w:color w:val="auto"/>
                <w:kern w:val="0"/>
                <w:sz w:val="28"/>
                <w:szCs w:val="28"/>
                <w:highlight w:val="none"/>
                <w:lang w:val="en-US" w:eastAsia="zh-CN"/>
              </w:rPr>
              <w:t>3</w:t>
            </w:r>
            <w:r>
              <w:rPr>
                <w:rFonts w:hint="eastAsia" w:ascii="宋体" w:hAnsi="宋体" w:cs="宋体"/>
                <w:color w:val="auto"/>
                <w:kern w:val="0"/>
                <w:sz w:val="28"/>
                <w:szCs w:val="28"/>
                <w:highlight w:val="none"/>
              </w:rPr>
              <w:t>年末数据为准）</w:t>
            </w:r>
          </w:p>
        </w:tc>
        <w:tc>
          <w:tcPr>
            <w:tcW w:w="2538" w:type="dxa"/>
            <w:tcBorders>
              <w:top w:val="single" w:color="auto" w:sz="4" w:space="0"/>
              <w:left w:val="single" w:color="auto" w:sz="4" w:space="0"/>
              <w:bottom w:val="single" w:color="auto" w:sz="4" w:space="0"/>
              <w:right w:val="single" w:color="auto" w:sz="4" w:space="0"/>
            </w:tcBorders>
            <w:vAlign w:val="center"/>
          </w:tcPr>
          <w:p w14:paraId="4490026E">
            <w:pPr>
              <w:spacing w:line="360" w:lineRule="auto"/>
              <w:jc w:val="center"/>
              <w:rPr>
                <w:rFonts w:ascii="宋体"/>
                <w:color w:val="auto"/>
                <w:sz w:val="28"/>
                <w:szCs w:val="28"/>
                <w:highlight w:val="none"/>
              </w:rPr>
            </w:pPr>
            <w:r>
              <w:rPr>
                <w:rFonts w:hint="eastAsia" w:ascii="宋体" w:hAnsi="宋体" w:cs="宋体"/>
                <w:color w:val="auto"/>
                <w:sz w:val="28"/>
                <w:szCs w:val="28"/>
                <w:highlight w:val="none"/>
              </w:rPr>
              <w:t xml:space="preserve">      %</w:t>
            </w:r>
          </w:p>
        </w:tc>
      </w:tr>
      <w:tr w14:paraId="1E685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1503" w:type="dxa"/>
            <w:vMerge w:val="continue"/>
            <w:tcBorders>
              <w:top w:val="single" w:color="auto" w:sz="4" w:space="0"/>
              <w:left w:val="single" w:color="auto" w:sz="4" w:space="0"/>
              <w:bottom w:val="single" w:color="auto" w:sz="4" w:space="0"/>
              <w:right w:val="single" w:color="auto" w:sz="4" w:space="0"/>
            </w:tcBorders>
            <w:vAlign w:val="center"/>
          </w:tcPr>
          <w:p w14:paraId="7976FDF5">
            <w:pPr>
              <w:widowControl/>
              <w:jc w:val="left"/>
              <w:rPr>
                <w:rFonts w:ascii="宋体"/>
                <w:color w:val="auto"/>
                <w:sz w:val="28"/>
                <w:szCs w:val="28"/>
                <w:highlight w:val="none"/>
              </w:rPr>
            </w:pPr>
          </w:p>
        </w:tc>
        <w:tc>
          <w:tcPr>
            <w:tcW w:w="5439" w:type="dxa"/>
            <w:tcBorders>
              <w:top w:val="single" w:color="auto" w:sz="4" w:space="0"/>
              <w:left w:val="single" w:color="auto" w:sz="4" w:space="0"/>
              <w:bottom w:val="single" w:color="auto" w:sz="4" w:space="0"/>
              <w:right w:val="single" w:color="auto" w:sz="4" w:space="0"/>
            </w:tcBorders>
            <w:vAlign w:val="center"/>
          </w:tcPr>
          <w:p w14:paraId="0CF81352">
            <w:pPr>
              <w:spacing w:line="360" w:lineRule="auto"/>
              <w:rPr>
                <w:rFonts w:ascii="宋体"/>
                <w:color w:val="auto"/>
                <w:kern w:val="0"/>
                <w:sz w:val="28"/>
                <w:szCs w:val="28"/>
                <w:highlight w:val="none"/>
              </w:rPr>
            </w:pPr>
            <w:r>
              <w:rPr>
                <w:rFonts w:hint="eastAsia" w:ascii="宋体" w:hAnsi="宋体" w:cs="宋体"/>
                <w:color w:val="auto"/>
                <w:kern w:val="0"/>
                <w:sz w:val="28"/>
                <w:szCs w:val="28"/>
                <w:highlight w:val="none"/>
              </w:rPr>
              <w:t>2）流动性比率（以投标人总行202</w:t>
            </w:r>
            <w:r>
              <w:rPr>
                <w:rFonts w:hint="eastAsia" w:ascii="宋体" w:hAnsi="宋体" w:cs="宋体"/>
                <w:color w:val="auto"/>
                <w:kern w:val="0"/>
                <w:sz w:val="28"/>
                <w:szCs w:val="28"/>
                <w:highlight w:val="none"/>
                <w:lang w:val="en-US" w:eastAsia="zh-CN"/>
              </w:rPr>
              <w:t>3</w:t>
            </w:r>
            <w:r>
              <w:rPr>
                <w:rFonts w:hint="eastAsia" w:ascii="宋体" w:hAnsi="宋体" w:cs="宋体"/>
                <w:color w:val="auto"/>
                <w:kern w:val="0"/>
                <w:sz w:val="28"/>
                <w:szCs w:val="28"/>
                <w:highlight w:val="none"/>
              </w:rPr>
              <w:t>年末数据为准）</w:t>
            </w:r>
          </w:p>
        </w:tc>
        <w:tc>
          <w:tcPr>
            <w:tcW w:w="2538" w:type="dxa"/>
            <w:tcBorders>
              <w:top w:val="single" w:color="auto" w:sz="4" w:space="0"/>
              <w:left w:val="single" w:color="auto" w:sz="4" w:space="0"/>
              <w:bottom w:val="single" w:color="auto" w:sz="4" w:space="0"/>
              <w:right w:val="single" w:color="auto" w:sz="4" w:space="0"/>
            </w:tcBorders>
            <w:vAlign w:val="center"/>
          </w:tcPr>
          <w:p w14:paraId="397DC9C2">
            <w:pPr>
              <w:spacing w:line="360" w:lineRule="auto"/>
              <w:jc w:val="center"/>
              <w:rPr>
                <w:rFonts w:ascii="宋体"/>
                <w:color w:val="auto"/>
                <w:sz w:val="28"/>
                <w:szCs w:val="28"/>
                <w:highlight w:val="none"/>
              </w:rPr>
            </w:pPr>
            <w:r>
              <w:rPr>
                <w:rFonts w:hint="eastAsia" w:ascii="宋体" w:hAnsi="宋体" w:cs="宋体"/>
                <w:color w:val="auto"/>
                <w:sz w:val="28"/>
                <w:szCs w:val="28"/>
                <w:highlight w:val="none"/>
              </w:rPr>
              <w:t xml:space="preserve">      %</w:t>
            </w:r>
          </w:p>
        </w:tc>
      </w:tr>
    </w:tbl>
    <w:p w14:paraId="1D426AA3">
      <w:pPr>
        <w:spacing w:line="360" w:lineRule="auto"/>
        <w:rPr>
          <w:rFonts w:ascii="宋体" w:hAnsi="宋体"/>
          <w:b/>
          <w:color w:val="auto"/>
          <w:sz w:val="28"/>
          <w:szCs w:val="28"/>
          <w:highlight w:val="none"/>
        </w:rPr>
      </w:pPr>
    </w:p>
    <w:p w14:paraId="75282250">
      <w:pPr>
        <w:spacing w:line="360" w:lineRule="auto"/>
        <w:rPr>
          <w:rFonts w:ascii="宋体" w:hAnsi="宋体"/>
          <w:color w:val="auto"/>
          <w:sz w:val="28"/>
          <w:szCs w:val="28"/>
          <w:highlight w:val="none"/>
        </w:rPr>
      </w:pPr>
      <w:r>
        <w:rPr>
          <w:rFonts w:hint="eastAsia" w:ascii="宋体" w:hAnsi="宋体"/>
          <w:color w:val="auto"/>
          <w:sz w:val="28"/>
          <w:szCs w:val="28"/>
          <w:highlight w:val="none"/>
        </w:rPr>
        <w:t>注：</w:t>
      </w:r>
    </w:p>
    <w:p w14:paraId="14A053D8">
      <w:pPr>
        <w:numPr>
          <w:ilvl w:val="0"/>
          <w:numId w:val="15"/>
        </w:numPr>
        <w:spacing w:line="360" w:lineRule="auto"/>
        <w:rPr>
          <w:rFonts w:ascii="宋体" w:hAnsi="宋体"/>
          <w:color w:val="auto"/>
          <w:sz w:val="28"/>
          <w:szCs w:val="28"/>
          <w:highlight w:val="none"/>
        </w:rPr>
      </w:pPr>
      <w:r>
        <w:rPr>
          <w:rFonts w:hint="eastAsia" w:ascii="宋体" w:hAnsi="宋体"/>
          <w:color w:val="auto"/>
          <w:sz w:val="28"/>
          <w:szCs w:val="28"/>
          <w:highlight w:val="none"/>
        </w:rPr>
        <w:t>以上数据保留小数点后2位。</w:t>
      </w:r>
    </w:p>
    <w:p w14:paraId="1DAB2D2C">
      <w:pPr>
        <w:numPr>
          <w:ilvl w:val="0"/>
          <w:numId w:val="15"/>
        </w:numPr>
        <w:spacing w:line="360" w:lineRule="auto"/>
        <w:rPr>
          <w:rFonts w:ascii="宋体" w:hAnsi="宋体"/>
          <w:color w:val="auto"/>
          <w:sz w:val="28"/>
          <w:szCs w:val="28"/>
          <w:highlight w:val="none"/>
        </w:rPr>
      </w:pPr>
      <w:r>
        <w:rPr>
          <w:rFonts w:hint="eastAsia" w:ascii="宋体" w:hAnsi="宋体"/>
          <w:b/>
          <w:color w:val="auto"/>
          <w:sz w:val="28"/>
          <w:szCs w:val="28"/>
          <w:highlight w:val="none"/>
        </w:rPr>
        <w:t>评议内容中“经营状况”中的</w:t>
      </w:r>
      <w:r>
        <w:rPr>
          <w:rFonts w:hint="eastAsia" w:ascii="宋体" w:hAnsi="宋体" w:cs="宋体"/>
          <w:b/>
          <w:color w:val="auto"/>
          <w:kern w:val="0"/>
          <w:sz w:val="28"/>
          <w:szCs w:val="28"/>
          <w:highlight w:val="none"/>
        </w:rPr>
        <w:t>“资本充足率”、“流动性比例”由投标人提供，需将证明材料做入投标文件当中，无证明材料的可能导致不得分</w:t>
      </w:r>
      <w:r>
        <w:rPr>
          <w:rFonts w:hint="eastAsia" w:ascii="宋体" w:hAnsi="宋体"/>
          <w:b/>
          <w:color w:val="auto"/>
          <w:sz w:val="28"/>
          <w:szCs w:val="28"/>
          <w:highlight w:val="none"/>
        </w:rPr>
        <w:t>。</w:t>
      </w:r>
    </w:p>
    <w:p w14:paraId="458FDDAA">
      <w:pPr>
        <w:spacing w:line="360" w:lineRule="auto"/>
        <w:rPr>
          <w:rFonts w:ascii="宋体" w:hAnsi="宋体"/>
          <w:color w:val="auto"/>
          <w:sz w:val="28"/>
          <w:szCs w:val="28"/>
          <w:highlight w:val="none"/>
        </w:rPr>
      </w:pPr>
    </w:p>
    <w:p w14:paraId="1BBAA14D">
      <w:pPr>
        <w:spacing w:line="360" w:lineRule="auto"/>
        <w:rPr>
          <w:rFonts w:ascii="宋体" w:hAnsi="宋体"/>
          <w:color w:val="auto"/>
          <w:sz w:val="28"/>
          <w:szCs w:val="28"/>
          <w:highlight w:val="none"/>
          <w:u w:val="single"/>
        </w:rPr>
      </w:pPr>
      <w:r>
        <w:rPr>
          <w:rFonts w:ascii="宋体" w:hAnsi="宋体"/>
          <w:color w:val="auto"/>
          <w:sz w:val="28"/>
          <w:szCs w:val="28"/>
          <w:highlight w:val="none"/>
        </w:rPr>
        <w:t>投标人（盖章）</w:t>
      </w:r>
    </w:p>
    <w:p w14:paraId="5801E127">
      <w:pPr>
        <w:spacing w:line="360" w:lineRule="auto"/>
        <w:rPr>
          <w:rFonts w:ascii="宋体" w:hAnsi="宋体"/>
          <w:color w:val="auto"/>
          <w:sz w:val="28"/>
          <w:szCs w:val="28"/>
          <w:highlight w:val="none"/>
          <w:u w:val="single"/>
        </w:rPr>
      </w:pPr>
      <w:r>
        <w:rPr>
          <w:rFonts w:ascii="宋体" w:hAnsi="宋体"/>
          <w:color w:val="auto"/>
          <w:sz w:val="28"/>
          <w:szCs w:val="28"/>
          <w:highlight w:val="none"/>
        </w:rPr>
        <w:t>法定代表人</w:t>
      </w:r>
      <w:r>
        <w:rPr>
          <w:rFonts w:hint="eastAsia" w:ascii="宋体" w:hAnsi="宋体"/>
          <w:color w:val="auto"/>
          <w:sz w:val="28"/>
          <w:szCs w:val="28"/>
          <w:highlight w:val="none"/>
        </w:rPr>
        <w:t>（分行负责人）</w:t>
      </w:r>
      <w:r>
        <w:rPr>
          <w:rFonts w:ascii="宋体" w:hAnsi="宋体"/>
          <w:color w:val="auto"/>
          <w:sz w:val="28"/>
          <w:szCs w:val="28"/>
          <w:highlight w:val="none"/>
        </w:rPr>
        <w:t>或授权委托代理人（签字）</w:t>
      </w:r>
    </w:p>
    <w:p w14:paraId="79173DAD">
      <w:pPr>
        <w:spacing w:line="360" w:lineRule="auto"/>
        <w:rPr>
          <w:rFonts w:ascii="宋体" w:hAnsi="宋体"/>
          <w:color w:val="auto"/>
          <w:sz w:val="28"/>
          <w:szCs w:val="28"/>
          <w:highlight w:val="none"/>
        </w:rPr>
      </w:pPr>
    </w:p>
    <w:p w14:paraId="537C9E33">
      <w:pPr>
        <w:spacing w:line="360" w:lineRule="auto"/>
        <w:rPr>
          <w:rFonts w:ascii="宋体" w:hAnsi="宋体"/>
          <w:color w:val="auto"/>
          <w:sz w:val="28"/>
          <w:szCs w:val="28"/>
          <w:highlight w:val="none"/>
        </w:rPr>
      </w:pPr>
      <w:r>
        <w:rPr>
          <w:rFonts w:ascii="宋体" w:hAnsi="宋体"/>
          <w:color w:val="auto"/>
          <w:sz w:val="28"/>
          <w:szCs w:val="28"/>
          <w:highlight w:val="none"/>
        </w:rPr>
        <w:t>日期：    年    月    日</w:t>
      </w:r>
      <w:r>
        <w:rPr>
          <w:rFonts w:ascii="宋体" w:hAnsi="宋体"/>
          <w:color w:val="auto"/>
          <w:sz w:val="28"/>
          <w:szCs w:val="28"/>
          <w:highlight w:val="none"/>
        </w:rPr>
        <w:br w:type="page"/>
      </w:r>
      <w:r>
        <w:rPr>
          <w:rFonts w:hint="eastAsia" w:ascii="宋体" w:hAnsi="宋体"/>
          <w:b/>
          <w:color w:val="auto"/>
          <w:sz w:val="28"/>
          <w:szCs w:val="28"/>
          <w:highlight w:val="none"/>
        </w:rPr>
        <w:t>2）其他（公积金业务服务）（自拟）</w:t>
      </w:r>
    </w:p>
    <w:p w14:paraId="6D281FEF">
      <w:pPr>
        <w:spacing w:line="360" w:lineRule="auto"/>
        <w:ind w:left="181" w:leftChars="86" w:firstLine="140" w:firstLineChars="50"/>
        <w:rPr>
          <w:rFonts w:ascii="宋体" w:hAnsi="宋体"/>
          <w:color w:val="auto"/>
          <w:sz w:val="28"/>
          <w:szCs w:val="28"/>
          <w:highlight w:val="none"/>
        </w:rPr>
      </w:pPr>
      <w:r>
        <w:rPr>
          <w:rFonts w:hint="eastAsia" w:ascii="宋体" w:hAnsi="宋体"/>
          <w:color w:val="auto"/>
          <w:sz w:val="28"/>
          <w:szCs w:val="28"/>
          <w:highlight w:val="none"/>
        </w:rPr>
        <w:t>（要求针对评委打分表的具体内容进行具体描述）</w:t>
      </w:r>
    </w:p>
    <w:p w14:paraId="60DB30E7">
      <w:pPr>
        <w:spacing w:line="360" w:lineRule="auto"/>
        <w:rPr>
          <w:rFonts w:ascii="宋体" w:hAnsi="宋体"/>
          <w:color w:val="auto"/>
          <w:sz w:val="28"/>
          <w:szCs w:val="28"/>
          <w:highlight w:val="none"/>
        </w:rPr>
      </w:pPr>
      <w:r>
        <w:rPr>
          <w:rFonts w:hint="eastAsia" w:ascii="宋体" w:hAnsi="宋体"/>
          <w:color w:val="auto"/>
          <w:sz w:val="28"/>
          <w:szCs w:val="28"/>
          <w:highlight w:val="none"/>
        </w:rPr>
        <w:t>包含但不限于：</w:t>
      </w:r>
    </w:p>
    <w:p w14:paraId="11F3DE75">
      <w:pPr>
        <w:numPr>
          <w:ilvl w:val="0"/>
          <w:numId w:val="16"/>
        </w:numPr>
        <w:spacing w:line="360" w:lineRule="auto"/>
        <w:rPr>
          <w:rFonts w:ascii="宋体" w:hAnsi="宋体"/>
          <w:color w:val="auto"/>
          <w:sz w:val="28"/>
          <w:szCs w:val="28"/>
          <w:highlight w:val="none"/>
        </w:rPr>
      </w:pPr>
      <w:r>
        <w:rPr>
          <w:rFonts w:hint="eastAsia" w:ascii="宋体" w:hAnsi="宋体"/>
          <w:color w:val="auto"/>
          <w:sz w:val="28"/>
          <w:szCs w:val="28"/>
          <w:highlight w:val="none"/>
        </w:rPr>
        <w:t>投标人提取业务</w:t>
      </w:r>
      <w:r>
        <w:rPr>
          <w:rFonts w:hint="eastAsia" w:ascii="宋体" w:hAnsi="宋体"/>
          <w:color w:val="auto"/>
          <w:sz w:val="28"/>
          <w:szCs w:val="28"/>
          <w:highlight w:val="none"/>
          <w:lang w:val="en-US" w:eastAsia="zh-CN"/>
        </w:rPr>
        <w:t>测评</w:t>
      </w:r>
      <w:r>
        <w:rPr>
          <w:rFonts w:hint="eastAsia" w:ascii="宋体" w:hAnsi="宋体"/>
          <w:color w:val="auto"/>
          <w:sz w:val="28"/>
          <w:szCs w:val="28"/>
          <w:highlight w:val="none"/>
        </w:rPr>
        <w:t>；</w:t>
      </w:r>
    </w:p>
    <w:p w14:paraId="2BA03871">
      <w:pPr>
        <w:numPr>
          <w:ilvl w:val="0"/>
          <w:numId w:val="16"/>
        </w:numPr>
        <w:spacing w:line="360" w:lineRule="auto"/>
        <w:rPr>
          <w:rFonts w:ascii="宋体" w:hAnsi="宋体"/>
          <w:color w:val="auto"/>
          <w:sz w:val="28"/>
          <w:szCs w:val="28"/>
          <w:highlight w:val="none"/>
        </w:rPr>
      </w:pPr>
      <w:r>
        <w:rPr>
          <w:rFonts w:hint="eastAsia" w:ascii="宋体" w:hAnsi="宋体"/>
          <w:color w:val="auto"/>
          <w:sz w:val="28"/>
          <w:szCs w:val="28"/>
          <w:highlight w:val="none"/>
        </w:rPr>
        <w:t>投标人信贷业务</w:t>
      </w:r>
      <w:r>
        <w:rPr>
          <w:rFonts w:hint="eastAsia" w:ascii="宋体" w:hAnsi="宋体"/>
          <w:color w:val="auto"/>
          <w:sz w:val="28"/>
          <w:szCs w:val="28"/>
          <w:highlight w:val="none"/>
          <w:lang w:val="en-US" w:eastAsia="zh-CN"/>
        </w:rPr>
        <w:t>测评</w:t>
      </w:r>
      <w:r>
        <w:rPr>
          <w:rFonts w:hint="eastAsia" w:ascii="宋体" w:hAnsi="宋体"/>
          <w:color w:val="auto"/>
          <w:sz w:val="28"/>
          <w:szCs w:val="28"/>
          <w:highlight w:val="none"/>
        </w:rPr>
        <w:t>；</w:t>
      </w:r>
    </w:p>
    <w:p w14:paraId="7AD1F21B">
      <w:pPr>
        <w:numPr>
          <w:ilvl w:val="0"/>
          <w:numId w:val="16"/>
        </w:numPr>
        <w:spacing w:line="360" w:lineRule="auto"/>
        <w:rPr>
          <w:rFonts w:ascii="宋体" w:hAnsi="宋体"/>
          <w:color w:val="auto"/>
          <w:sz w:val="28"/>
          <w:szCs w:val="28"/>
          <w:highlight w:val="none"/>
        </w:rPr>
      </w:pPr>
      <w:r>
        <w:rPr>
          <w:rFonts w:hint="eastAsia" w:ascii="宋体" w:hAnsi="宋体"/>
          <w:color w:val="auto"/>
          <w:sz w:val="28"/>
          <w:szCs w:val="28"/>
          <w:highlight w:val="none"/>
        </w:rPr>
        <w:t>投标人系统维护测评；</w:t>
      </w:r>
    </w:p>
    <w:p w14:paraId="63EF97BE">
      <w:pPr>
        <w:numPr>
          <w:ilvl w:val="0"/>
          <w:numId w:val="16"/>
        </w:numPr>
        <w:spacing w:line="360" w:lineRule="auto"/>
        <w:rPr>
          <w:rFonts w:ascii="宋体" w:hAnsi="宋体"/>
          <w:color w:val="auto"/>
          <w:sz w:val="28"/>
          <w:szCs w:val="28"/>
          <w:highlight w:val="none"/>
        </w:rPr>
      </w:pPr>
      <w:r>
        <w:rPr>
          <w:rFonts w:hint="eastAsia" w:ascii="宋体" w:hAnsi="宋体" w:cs="宋体"/>
          <w:color w:val="auto"/>
          <w:sz w:val="28"/>
          <w:szCs w:val="28"/>
          <w:highlight w:val="none"/>
        </w:rPr>
        <w:t>投标人协助扩面测评；</w:t>
      </w:r>
    </w:p>
    <w:p w14:paraId="594CB638">
      <w:pPr>
        <w:numPr>
          <w:ilvl w:val="0"/>
          <w:numId w:val="16"/>
        </w:numPr>
        <w:spacing w:line="360" w:lineRule="auto"/>
        <w:rPr>
          <w:rFonts w:ascii="宋体" w:hAnsi="宋体"/>
          <w:color w:val="auto"/>
          <w:sz w:val="28"/>
          <w:szCs w:val="28"/>
          <w:highlight w:val="none"/>
        </w:rPr>
      </w:pPr>
      <w:r>
        <w:rPr>
          <w:rFonts w:hint="eastAsia" w:ascii="宋体" w:hAnsi="宋体" w:cs="宋体"/>
          <w:color w:val="auto"/>
          <w:sz w:val="28"/>
          <w:szCs w:val="28"/>
          <w:highlight w:val="none"/>
        </w:rPr>
        <w:t>投标人财务业务测评；</w:t>
      </w:r>
    </w:p>
    <w:p w14:paraId="51E1B152">
      <w:pPr>
        <w:numPr>
          <w:ilvl w:val="0"/>
          <w:numId w:val="16"/>
        </w:numPr>
        <w:spacing w:line="360" w:lineRule="auto"/>
        <w:rPr>
          <w:rFonts w:ascii="宋体" w:hAnsi="宋体"/>
          <w:color w:val="auto"/>
          <w:sz w:val="28"/>
          <w:szCs w:val="28"/>
          <w:highlight w:val="none"/>
        </w:rPr>
      </w:pPr>
      <w:r>
        <w:rPr>
          <w:rFonts w:hint="eastAsia" w:ascii="宋体" w:hAnsi="宋体" w:cs="宋体"/>
          <w:iCs/>
          <w:color w:val="auto"/>
          <w:sz w:val="28"/>
          <w:szCs w:val="28"/>
          <w:highlight w:val="none"/>
        </w:rPr>
        <w:t>投标人综合协调测评；</w:t>
      </w:r>
    </w:p>
    <w:p w14:paraId="14118AF1">
      <w:pPr>
        <w:numPr>
          <w:ilvl w:val="0"/>
          <w:numId w:val="16"/>
        </w:numPr>
        <w:spacing w:line="360" w:lineRule="auto"/>
        <w:rPr>
          <w:rFonts w:ascii="宋体" w:hAnsi="宋体"/>
          <w:color w:val="auto"/>
          <w:sz w:val="28"/>
          <w:szCs w:val="28"/>
          <w:highlight w:val="none"/>
        </w:rPr>
      </w:pPr>
      <w:r>
        <w:rPr>
          <w:rFonts w:hint="eastAsia" w:ascii="宋体" w:hAnsi="宋体" w:cs="宋体"/>
          <w:color w:val="auto"/>
          <w:sz w:val="28"/>
          <w:szCs w:val="28"/>
          <w:highlight w:val="none"/>
        </w:rPr>
        <w:t>……</w:t>
      </w:r>
    </w:p>
    <w:p w14:paraId="696B7817">
      <w:pPr>
        <w:spacing w:line="360" w:lineRule="auto"/>
        <w:ind w:left="181" w:leftChars="86" w:firstLine="140" w:firstLineChars="50"/>
        <w:rPr>
          <w:rFonts w:ascii="宋体" w:hAnsi="宋体"/>
          <w:color w:val="auto"/>
          <w:sz w:val="28"/>
          <w:szCs w:val="28"/>
          <w:highlight w:val="none"/>
        </w:rPr>
      </w:pPr>
    </w:p>
    <w:p w14:paraId="6047166C">
      <w:pPr>
        <w:spacing w:line="360" w:lineRule="auto"/>
        <w:ind w:left="181" w:leftChars="86" w:firstLine="140" w:firstLineChars="50"/>
        <w:rPr>
          <w:rFonts w:ascii="宋体" w:hAnsi="宋体"/>
          <w:color w:val="auto"/>
          <w:sz w:val="28"/>
          <w:szCs w:val="28"/>
          <w:highlight w:val="none"/>
        </w:rPr>
      </w:pPr>
    </w:p>
    <w:p w14:paraId="40FC5EEF">
      <w:pPr>
        <w:spacing w:line="360" w:lineRule="auto"/>
        <w:ind w:left="181" w:leftChars="86" w:firstLine="140" w:firstLineChars="50"/>
        <w:rPr>
          <w:rFonts w:ascii="宋体" w:hAnsi="宋体"/>
          <w:color w:val="auto"/>
          <w:sz w:val="28"/>
          <w:szCs w:val="28"/>
          <w:highlight w:val="none"/>
        </w:rPr>
      </w:pPr>
    </w:p>
    <w:p w14:paraId="228C08F3">
      <w:pPr>
        <w:spacing w:line="360" w:lineRule="auto"/>
        <w:ind w:left="181" w:leftChars="86" w:firstLine="140" w:firstLineChars="50"/>
        <w:rPr>
          <w:rFonts w:ascii="宋体" w:hAnsi="宋体"/>
          <w:color w:val="auto"/>
          <w:sz w:val="28"/>
          <w:szCs w:val="28"/>
          <w:highlight w:val="none"/>
        </w:rPr>
      </w:pPr>
    </w:p>
    <w:p w14:paraId="15D70BB4">
      <w:pPr>
        <w:spacing w:line="360" w:lineRule="auto"/>
        <w:ind w:left="181" w:leftChars="86" w:firstLine="140" w:firstLineChars="50"/>
        <w:rPr>
          <w:rFonts w:ascii="宋体" w:hAnsi="宋体"/>
          <w:color w:val="auto"/>
          <w:sz w:val="28"/>
          <w:szCs w:val="28"/>
          <w:highlight w:val="none"/>
        </w:rPr>
      </w:pPr>
    </w:p>
    <w:p w14:paraId="5952BCD1">
      <w:pPr>
        <w:spacing w:line="360" w:lineRule="auto"/>
        <w:ind w:left="420" w:leftChars="200" w:right="420" w:firstLine="280" w:firstLineChars="100"/>
        <w:rPr>
          <w:rFonts w:ascii="宋体" w:hAnsi="宋体"/>
          <w:color w:val="auto"/>
          <w:sz w:val="28"/>
          <w:szCs w:val="28"/>
          <w:highlight w:val="none"/>
        </w:rPr>
      </w:pPr>
    </w:p>
    <w:p w14:paraId="16D110D7">
      <w:pPr>
        <w:spacing w:line="360" w:lineRule="auto"/>
        <w:ind w:right="420" w:firstLine="420" w:firstLineChars="150"/>
        <w:rPr>
          <w:rFonts w:ascii="宋体" w:hAnsi="宋体"/>
          <w:color w:val="auto"/>
          <w:sz w:val="28"/>
          <w:szCs w:val="28"/>
          <w:highlight w:val="none"/>
          <w:u w:val="single"/>
        </w:rPr>
      </w:pPr>
      <w:r>
        <w:rPr>
          <w:rFonts w:hint="eastAsia" w:ascii="宋体" w:hAnsi="宋体"/>
          <w:color w:val="auto"/>
          <w:sz w:val="28"/>
          <w:szCs w:val="28"/>
          <w:highlight w:val="none"/>
        </w:rPr>
        <w:t>投标人（盖章）：</w:t>
      </w:r>
    </w:p>
    <w:p w14:paraId="7E10E1C7">
      <w:pPr>
        <w:spacing w:line="360" w:lineRule="auto"/>
        <w:ind w:right="420" w:firstLine="420" w:firstLineChars="150"/>
        <w:rPr>
          <w:rFonts w:ascii="宋体" w:hAnsi="宋体"/>
          <w:color w:val="auto"/>
          <w:sz w:val="28"/>
          <w:szCs w:val="28"/>
          <w:highlight w:val="none"/>
          <w:u w:val="single"/>
        </w:rPr>
      </w:pPr>
      <w:r>
        <w:rPr>
          <w:rFonts w:hint="eastAsia" w:ascii="宋体" w:hAnsi="宋体"/>
          <w:color w:val="auto"/>
          <w:sz w:val="28"/>
          <w:szCs w:val="28"/>
          <w:highlight w:val="none"/>
        </w:rPr>
        <w:t>授权代表签字：</w:t>
      </w:r>
    </w:p>
    <w:p w14:paraId="1CCE1745">
      <w:pPr>
        <w:spacing w:line="360" w:lineRule="auto"/>
        <w:ind w:firstLine="420" w:firstLineChars="150"/>
        <w:rPr>
          <w:rFonts w:ascii="宋体" w:hAnsi="宋体"/>
          <w:color w:val="auto"/>
          <w:sz w:val="28"/>
          <w:szCs w:val="28"/>
          <w:highlight w:val="none"/>
        </w:rPr>
      </w:pPr>
      <w:r>
        <w:rPr>
          <w:rFonts w:hint="eastAsia" w:ascii="宋体" w:hAnsi="宋体"/>
          <w:color w:val="auto"/>
          <w:sz w:val="28"/>
          <w:szCs w:val="28"/>
          <w:highlight w:val="none"/>
        </w:rPr>
        <w:t>日       期：</w:t>
      </w:r>
    </w:p>
    <w:p w14:paraId="290A3C70">
      <w:pPr>
        <w:spacing w:line="360" w:lineRule="auto"/>
        <w:ind w:firstLine="420" w:firstLineChars="150"/>
        <w:rPr>
          <w:rFonts w:ascii="宋体" w:hAnsi="宋体"/>
          <w:color w:val="auto"/>
          <w:sz w:val="28"/>
          <w:szCs w:val="28"/>
          <w:highlight w:val="none"/>
        </w:rPr>
      </w:pPr>
    </w:p>
    <w:p w14:paraId="2FA8F495">
      <w:pPr>
        <w:spacing w:line="360" w:lineRule="auto"/>
        <w:ind w:firstLine="420" w:firstLineChars="150"/>
        <w:rPr>
          <w:rFonts w:ascii="宋体" w:hAnsi="宋体"/>
          <w:color w:val="auto"/>
          <w:sz w:val="28"/>
          <w:szCs w:val="28"/>
          <w:highlight w:val="none"/>
        </w:rPr>
      </w:pPr>
    </w:p>
    <w:p w14:paraId="229369B9">
      <w:pPr>
        <w:spacing w:line="360" w:lineRule="auto"/>
        <w:ind w:firstLine="420" w:firstLineChars="150"/>
        <w:rPr>
          <w:rFonts w:ascii="宋体" w:hAnsi="宋体"/>
          <w:color w:val="auto"/>
          <w:sz w:val="28"/>
          <w:szCs w:val="28"/>
          <w:highlight w:val="none"/>
        </w:rPr>
      </w:pPr>
    </w:p>
    <w:p w14:paraId="7E622D5B">
      <w:pPr>
        <w:spacing w:line="360" w:lineRule="auto"/>
        <w:ind w:firstLine="420" w:firstLineChars="150"/>
        <w:rPr>
          <w:rFonts w:ascii="宋体" w:hAnsi="宋体"/>
          <w:color w:val="auto"/>
          <w:sz w:val="28"/>
          <w:szCs w:val="28"/>
          <w:highlight w:val="none"/>
        </w:rPr>
      </w:pPr>
    </w:p>
    <w:p w14:paraId="724BACC7">
      <w:pPr>
        <w:spacing w:line="360" w:lineRule="auto"/>
        <w:ind w:firstLine="420" w:firstLineChars="150"/>
        <w:rPr>
          <w:rFonts w:ascii="宋体" w:hAnsi="宋体"/>
          <w:color w:val="auto"/>
          <w:sz w:val="28"/>
          <w:szCs w:val="28"/>
          <w:highlight w:val="none"/>
        </w:rPr>
      </w:pPr>
    </w:p>
    <w:p w14:paraId="59A8B1E1">
      <w:pPr>
        <w:spacing w:line="360" w:lineRule="auto"/>
        <w:ind w:firstLine="420" w:firstLineChars="150"/>
        <w:rPr>
          <w:rFonts w:ascii="宋体" w:hAnsi="宋体"/>
          <w:color w:val="auto"/>
          <w:sz w:val="28"/>
          <w:szCs w:val="28"/>
          <w:highlight w:val="none"/>
        </w:rPr>
      </w:pPr>
    </w:p>
    <w:p w14:paraId="40898E2B">
      <w:pPr>
        <w:spacing w:line="360" w:lineRule="auto"/>
        <w:jc w:val="center"/>
        <w:rPr>
          <w:rFonts w:ascii="宋体" w:hAnsi="宋体"/>
          <w:b/>
          <w:color w:val="auto"/>
          <w:sz w:val="28"/>
          <w:szCs w:val="28"/>
          <w:highlight w:val="none"/>
        </w:rPr>
        <w:sectPr>
          <w:pgSz w:w="11906" w:h="16838"/>
          <w:pgMar w:top="1440" w:right="1469" w:bottom="1440" w:left="1797" w:header="851" w:footer="992" w:gutter="0"/>
          <w:cols w:space="720" w:num="1"/>
          <w:docGrid w:linePitch="312" w:charSpace="0"/>
        </w:sectPr>
      </w:pPr>
    </w:p>
    <w:p w14:paraId="1E33BE90">
      <w:pPr>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8、廉政承诺书</w:t>
      </w:r>
    </w:p>
    <w:p w14:paraId="43683FB1">
      <w:pPr>
        <w:spacing w:line="360" w:lineRule="auto"/>
        <w:rPr>
          <w:rFonts w:ascii="宋体" w:hAnsi="宋体"/>
          <w:color w:val="auto"/>
          <w:sz w:val="28"/>
          <w:szCs w:val="28"/>
          <w:highlight w:val="none"/>
        </w:rPr>
      </w:pPr>
    </w:p>
    <w:p w14:paraId="30CC3DA4">
      <w:pPr>
        <w:spacing w:line="360" w:lineRule="auto"/>
        <w:rPr>
          <w:rFonts w:ascii="宋体" w:hAnsi="宋体"/>
          <w:color w:val="auto"/>
          <w:sz w:val="28"/>
          <w:szCs w:val="28"/>
          <w:highlight w:val="none"/>
        </w:rPr>
      </w:pPr>
      <w:r>
        <w:rPr>
          <w:rFonts w:hint="eastAsia" w:ascii="宋体" w:hAnsi="宋体"/>
          <w:color w:val="auto"/>
          <w:sz w:val="28"/>
          <w:szCs w:val="28"/>
          <w:highlight w:val="none"/>
        </w:rPr>
        <w:t>部门（单位）：</w:t>
      </w:r>
    </w:p>
    <w:p w14:paraId="28872249">
      <w:pPr>
        <w:spacing w:line="360" w:lineRule="auto"/>
        <w:rPr>
          <w:rFonts w:ascii="宋体" w:hAnsi="宋体"/>
          <w:color w:val="auto"/>
          <w:sz w:val="28"/>
          <w:szCs w:val="28"/>
          <w:highlight w:val="none"/>
        </w:rPr>
      </w:pPr>
      <w:r>
        <w:rPr>
          <w:rFonts w:hint="eastAsia" w:ascii="宋体" w:hAnsi="宋体"/>
          <w:color w:val="auto"/>
          <w:sz w:val="28"/>
          <w:szCs w:val="28"/>
          <w:highlight w:val="none"/>
        </w:rPr>
        <w:t>根据《关于防止领导干部在公款存放方面发生利益冲突和利益输送的办法》的通知（甬党办〔2017〕41号）、《</w:t>
      </w:r>
      <w:r>
        <w:rPr>
          <w:rFonts w:ascii="宋体" w:hAnsi="宋体"/>
          <w:color w:val="auto"/>
          <w:sz w:val="28"/>
          <w:szCs w:val="28"/>
          <w:highlight w:val="none"/>
        </w:rPr>
        <w:t>宁波市财政局关于进一步加强财政部门和市级预算单位资金存放管理的通知</w:t>
      </w:r>
      <w:r>
        <w:rPr>
          <w:rFonts w:hint="eastAsia" w:ascii="宋体" w:hAnsi="宋体"/>
          <w:color w:val="auto"/>
          <w:sz w:val="28"/>
          <w:szCs w:val="28"/>
          <w:highlight w:val="none"/>
        </w:rPr>
        <w:t>》（甬财政发〔2018〕725号）相关规定，现就本行参加贵单位年招标作出如下承诺：</w:t>
      </w:r>
    </w:p>
    <w:p w14:paraId="2D07CEF4">
      <w:pPr>
        <w:spacing w:line="360" w:lineRule="auto"/>
        <w:rPr>
          <w:rFonts w:ascii="宋体" w:hAnsi="宋体"/>
          <w:color w:val="auto"/>
          <w:sz w:val="28"/>
          <w:szCs w:val="28"/>
          <w:highlight w:val="none"/>
        </w:rPr>
      </w:pPr>
      <w:r>
        <w:rPr>
          <w:rFonts w:hint="eastAsia" w:ascii="宋体" w:hAnsi="宋体"/>
          <w:color w:val="auto"/>
          <w:sz w:val="28"/>
          <w:szCs w:val="28"/>
          <w:highlight w:val="none"/>
        </w:rPr>
        <w:t>1.不向贵单位负责公款存放管理的领导及相关人员进行利益输送；</w:t>
      </w:r>
    </w:p>
    <w:p w14:paraId="620E4E1F">
      <w:pPr>
        <w:spacing w:line="360" w:lineRule="auto"/>
        <w:rPr>
          <w:rFonts w:ascii="宋体" w:hAnsi="宋体"/>
          <w:color w:val="auto"/>
          <w:sz w:val="28"/>
          <w:szCs w:val="28"/>
          <w:highlight w:val="none"/>
        </w:rPr>
      </w:pPr>
      <w:r>
        <w:rPr>
          <w:rFonts w:hint="eastAsia" w:ascii="宋体" w:hAnsi="宋体"/>
          <w:color w:val="auto"/>
          <w:sz w:val="28"/>
          <w:szCs w:val="28"/>
          <w:highlight w:val="none"/>
        </w:rPr>
        <w:t>2.不将公款存放与贵单位负责公款存放管理的领导及相关人员在本行的配偶、子女及其配偶和其他直接利益相关人员的业绩、收入、晋升等利益挂钩；</w:t>
      </w:r>
    </w:p>
    <w:p w14:paraId="74013DD4">
      <w:pPr>
        <w:spacing w:line="360" w:lineRule="auto"/>
        <w:rPr>
          <w:rFonts w:ascii="宋体" w:hAnsi="宋体"/>
          <w:color w:val="auto"/>
          <w:sz w:val="28"/>
          <w:szCs w:val="28"/>
          <w:highlight w:val="none"/>
        </w:rPr>
      </w:pPr>
      <w:r>
        <w:rPr>
          <w:rFonts w:hint="eastAsia" w:ascii="宋体" w:hAnsi="宋体"/>
          <w:color w:val="auto"/>
          <w:sz w:val="28"/>
          <w:szCs w:val="28"/>
          <w:highlight w:val="none"/>
        </w:rPr>
        <w:t>3. 严格执行利益回避制度，贵单位负责公款竞争性存放相关人员的配偶、子女及其配偶和其他直接利益相关人员为本行工作人员的，不参与公款竞争性存放工作；</w:t>
      </w:r>
    </w:p>
    <w:p w14:paraId="0329E999">
      <w:pPr>
        <w:spacing w:line="360" w:lineRule="auto"/>
        <w:rPr>
          <w:rFonts w:ascii="宋体" w:hAnsi="宋体"/>
          <w:color w:val="auto"/>
          <w:sz w:val="28"/>
          <w:szCs w:val="28"/>
          <w:highlight w:val="none"/>
        </w:rPr>
      </w:pPr>
      <w:r>
        <w:rPr>
          <w:rFonts w:hint="eastAsia" w:ascii="宋体" w:hAnsi="宋体"/>
          <w:color w:val="auto"/>
          <w:sz w:val="28"/>
          <w:szCs w:val="28"/>
          <w:highlight w:val="none"/>
        </w:rPr>
        <w:t>4.不发生除上述行为之外的其他任何利益输送行为。</w:t>
      </w:r>
    </w:p>
    <w:p w14:paraId="26529940">
      <w:pPr>
        <w:spacing w:line="360" w:lineRule="auto"/>
        <w:rPr>
          <w:rFonts w:ascii="宋体" w:hAnsi="宋体"/>
          <w:color w:val="auto"/>
          <w:sz w:val="28"/>
          <w:szCs w:val="28"/>
          <w:highlight w:val="none"/>
        </w:rPr>
      </w:pPr>
      <w:r>
        <w:rPr>
          <w:rFonts w:hint="eastAsia" w:ascii="宋体" w:hAnsi="宋体"/>
          <w:color w:val="auto"/>
          <w:sz w:val="28"/>
          <w:szCs w:val="28"/>
          <w:highlight w:val="none"/>
        </w:rPr>
        <w:t>未遵守以上承诺的，本行自愿接受财政部门通报和处理，承担相应的一切后果。</w:t>
      </w:r>
    </w:p>
    <w:p w14:paraId="17AA85E1">
      <w:pPr>
        <w:spacing w:line="360" w:lineRule="auto"/>
        <w:rPr>
          <w:rFonts w:ascii="宋体" w:hAnsi="宋体"/>
          <w:color w:val="auto"/>
          <w:sz w:val="28"/>
          <w:szCs w:val="28"/>
          <w:highlight w:val="none"/>
        </w:rPr>
      </w:pPr>
    </w:p>
    <w:p w14:paraId="5579CEBF">
      <w:pPr>
        <w:spacing w:line="360" w:lineRule="auto"/>
        <w:rPr>
          <w:rFonts w:ascii="宋体" w:hAnsi="宋体"/>
          <w:color w:val="auto"/>
          <w:sz w:val="28"/>
          <w:szCs w:val="28"/>
          <w:highlight w:val="none"/>
        </w:rPr>
      </w:pPr>
    </w:p>
    <w:p w14:paraId="55CD081E">
      <w:pPr>
        <w:spacing w:line="360" w:lineRule="auto"/>
        <w:rPr>
          <w:rFonts w:ascii="宋体" w:hAnsi="宋体"/>
          <w:color w:val="auto"/>
          <w:sz w:val="28"/>
          <w:szCs w:val="28"/>
          <w:highlight w:val="none"/>
        </w:rPr>
      </w:pPr>
      <w:r>
        <w:rPr>
          <w:rFonts w:hint="eastAsia" w:ascii="宋体" w:hAnsi="宋体"/>
          <w:color w:val="auto"/>
          <w:sz w:val="28"/>
          <w:szCs w:val="28"/>
          <w:highlight w:val="none"/>
        </w:rPr>
        <w:t xml:space="preserve">                                         银行（公章）</w:t>
      </w:r>
    </w:p>
    <w:p w14:paraId="38C6E848">
      <w:pPr>
        <w:spacing w:line="360" w:lineRule="auto"/>
        <w:ind w:firstLine="420" w:firstLineChars="150"/>
        <w:rPr>
          <w:rFonts w:ascii="宋体" w:hAnsi="宋体"/>
          <w:color w:val="auto"/>
          <w:sz w:val="28"/>
          <w:szCs w:val="28"/>
          <w:highlight w:val="none"/>
        </w:rPr>
      </w:pPr>
      <w:r>
        <w:rPr>
          <w:rFonts w:hint="eastAsia" w:ascii="宋体" w:hAnsi="宋体"/>
          <w:color w:val="auto"/>
          <w:sz w:val="28"/>
          <w:szCs w:val="28"/>
          <w:highlight w:val="none"/>
        </w:rPr>
        <w:t xml:space="preserve">                                       年   月   日</w:t>
      </w:r>
    </w:p>
    <w:sectPr>
      <w:pgSz w:w="11906" w:h="16838"/>
      <w:pgMar w:top="1440" w:right="1469"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41298">
    <w:pPr>
      <w:pStyle w:val="19"/>
      <w:framePr w:wrap="around" w:vAnchor="text" w:hAnchor="margin" w:xAlign="center" w:y="1"/>
      <w:rPr>
        <w:rStyle w:val="31"/>
      </w:rPr>
    </w:pPr>
    <w:r>
      <w:fldChar w:fldCharType="begin"/>
    </w:r>
    <w:r>
      <w:rPr>
        <w:rStyle w:val="31"/>
      </w:rPr>
      <w:instrText xml:space="preserve">PAGE  </w:instrText>
    </w:r>
    <w:r>
      <w:fldChar w:fldCharType="end"/>
    </w:r>
  </w:p>
  <w:p w14:paraId="25ED2A8C">
    <w:pPr>
      <w:pStyle w:val="1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FB6E81">
    <w:pPr>
      <w:pStyle w:val="19"/>
      <w:framePr w:wrap="around" w:vAnchor="text" w:hAnchor="margin" w:xAlign="center" w:y="1"/>
      <w:rPr>
        <w:rStyle w:val="31"/>
      </w:rPr>
    </w:pPr>
    <w:r>
      <w:fldChar w:fldCharType="begin"/>
    </w:r>
    <w:r>
      <w:rPr>
        <w:rStyle w:val="31"/>
      </w:rPr>
      <w:instrText xml:space="preserve">PAGE  </w:instrText>
    </w:r>
    <w:r>
      <w:fldChar w:fldCharType="separate"/>
    </w:r>
    <w:r>
      <w:rPr>
        <w:rStyle w:val="31"/>
      </w:rPr>
      <w:t>14</w:t>
    </w:r>
    <w:r>
      <w:fldChar w:fldCharType="end"/>
    </w:r>
  </w:p>
  <w:p w14:paraId="1CBF6C30">
    <w:pPr>
      <w:pStyle w:val="19"/>
      <w:framePr w:wrap="around" w:vAnchor="text" w:hAnchor="margin" w:xAlign="right" w:y="1"/>
      <w:rPr>
        <w:rStyle w:val="31"/>
      </w:rPr>
    </w:pPr>
  </w:p>
  <w:p w14:paraId="4DEF4D9A">
    <w:pPr>
      <w:pStyle w:val="19"/>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C46B1">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5F6FA">
    <w:pPr>
      <w:pStyle w:val="19"/>
      <w:jc w:val="center"/>
    </w:pPr>
    <w:r>
      <w:fldChar w:fldCharType="begin"/>
    </w:r>
    <w:r>
      <w:rPr>
        <w:rStyle w:val="31"/>
      </w:rPr>
      <w:instrText xml:space="preserve"> PAGE </w:instrText>
    </w:r>
    <w:r>
      <w:fldChar w:fldCharType="separate"/>
    </w:r>
    <w:r>
      <w:rPr>
        <w:rStyle w:val="31"/>
      </w:rPr>
      <w:t>42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BA33B">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decimal"/>
      <w:pStyle w:val="41"/>
      <w:lvlText w:val="%1."/>
      <w:lvlJc w:val="left"/>
      <w:pPr>
        <w:tabs>
          <w:tab w:val="left" w:pos="1200"/>
        </w:tabs>
        <w:ind w:left="1200" w:hanging="360"/>
      </w:pPr>
    </w:lvl>
  </w:abstractNum>
  <w:abstractNum w:abstractNumId="1">
    <w:nsid w:val="00000005"/>
    <w:multiLevelType w:val="multilevel"/>
    <w:tmpl w:val="00000005"/>
    <w:lvl w:ilvl="0" w:tentative="0">
      <w:start w:val="1"/>
      <w:numFmt w:val="decimal"/>
      <w:lvlText w:val="%1、"/>
      <w:lvlJc w:val="left"/>
      <w:pPr>
        <w:tabs>
          <w:tab w:val="left" w:pos="360"/>
        </w:tabs>
        <w:ind w:left="360" w:hanging="360"/>
      </w:pPr>
      <w:rPr>
        <w:rFonts w:cs="Times New Roman"/>
      </w:rPr>
    </w:lvl>
    <w:lvl w:ilvl="1" w:tentative="0">
      <w:start w:val="6"/>
      <w:numFmt w:val="japaneseCounting"/>
      <w:lvlText w:val="%2、"/>
      <w:lvlJc w:val="left"/>
      <w:pPr>
        <w:tabs>
          <w:tab w:val="left" w:pos="840"/>
        </w:tabs>
        <w:ind w:left="840" w:hanging="42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2">
    <w:nsid w:val="00000009"/>
    <w:multiLevelType w:val="multilevel"/>
    <w:tmpl w:val="00000009"/>
    <w:lvl w:ilvl="0" w:tentative="0">
      <w:start w:val="1"/>
      <w:numFmt w:val="decimalEnclosedCircle"/>
      <w:lvlText w:val="%1"/>
      <w:lvlJc w:val="left"/>
      <w:pPr>
        <w:tabs>
          <w:tab w:val="left" w:pos="360"/>
        </w:tabs>
        <w:ind w:left="360" w:hanging="36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3">
    <w:nsid w:val="0000000A"/>
    <w:multiLevelType w:val="multilevel"/>
    <w:tmpl w:val="0000000A"/>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0000000D"/>
    <w:multiLevelType w:val="multilevel"/>
    <w:tmpl w:val="0000000D"/>
    <w:lvl w:ilvl="0" w:tentative="0">
      <w:start w:val="1"/>
      <w:numFmt w:val="decimal"/>
      <w:lvlText w:val="%1、"/>
      <w:lvlJc w:val="left"/>
      <w:pPr>
        <w:tabs>
          <w:tab w:val="left" w:pos="360"/>
        </w:tabs>
        <w:ind w:left="360" w:hanging="36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5">
    <w:nsid w:val="00000011"/>
    <w:multiLevelType w:val="multilevel"/>
    <w:tmpl w:val="00000011"/>
    <w:lvl w:ilvl="0" w:tentative="0">
      <w:start w:val="1"/>
      <w:numFmt w:val="chineseCountingThousand"/>
      <w:lvlText w:val="(%1)"/>
      <w:lvlJc w:val="left"/>
      <w:pPr>
        <w:tabs>
          <w:tab w:val="left" w:pos="420"/>
        </w:tabs>
        <w:ind w:left="420" w:hanging="42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6">
    <w:nsid w:val="00000013"/>
    <w:multiLevelType w:val="multilevel"/>
    <w:tmpl w:val="00000013"/>
    <w:lvl w:ilvl="0" w:tentative="0">
      <w:start w:val="1"/>
      <w:numFmt w:val="decimal"/>
      <w:lvlText w:val="%1、"/>
      <w:lvlJc w:val="left"/>
      <w:pPr>
        <w:tabs>
          <w:tab w:val="left" w:pos="360"/>
        </w:tabs>
        <w:ind w:left="360" w:hanging="360"/>
      </w:pPr>
      <w:rPr>
        <w:rFonts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4"/>
    <w:multiLevelType w:val="multilevel"/>
    <w:tmpl w:val="00000014"/>
    <w:lvl w:ilvl="0" w:tentative="0">
      <w:start w:val="1"/>
      <w:numFmt w:val="decimal"/>
      <w:lvlText w:val="%1."/>
      <w:lvlJc w:val="left"/>
      <w:pPr>
        <w:tabs>
          <w:tab w:val="left" w:pos="840"/>
        </w:tabs>
        <w:ind w:left="840" w:hanging="360"/>
      </w:pPr>
      <w:rPr>
        <w:rFonts w:hint="default" w:hAnsi="Times New Roman"/>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0000001A"/>
    <w:multiLevelType w:val="multilevel"/>
    <w:tmpl w:val="0000001A"/>
    <w:lvl w:ilvl="0" w:tentative="0">
      <w:start w:val="1"/>
      <w:numFmt w:val="decimal"/>
      <w:lvlText w:val="%1、"/>
      <w:lvlJc w:val="left"/>
      <w:pPr>
        <w:tabs>
          <w:tab w:val="left" w:pos="360"/>
        </w:tabs>
        <w:ind w:left="360" w:hanging="36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9">
    <w:nsid w:val="03271699"/>
    <w:multiLevelType w:val="multilevel"/>
    <w:tmpl w:val="03271699"/>
    <w:lvl w:ilvl="0" w:tentative="0">
      <w:start w:val="1"/>
      <w:numFmt w:val="chineseCountingThousand"/>
      <w:lvlText w:val="(%1)"/>
      <w:lvlJc w:val="left"/>
      <w:pPr>
        <w:ind w:left="140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226B2A94"/>
    <w:multiLevelType w:val="multilevel"/>
    <w:tmpl w:val="226B2A94"/>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66C39BC"/>
    <w:multiLevelType w:val="multilevel"/>
    <w:tmpl w:val="266C39BC"/>
    <w:lvl w:ilvl="0" w:tentative="0">
      <w:start w:val="1"/>
      <w:numFmt w:val="chineseCountingThousand"/>
      <w:lvlText w:val="(%1)"/>
      <w:lvlJc w:val="left"/>
      <w:pPr>
        <w:ind w:left="140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2E4F45C9"/>
    <w:multiLevelType w:val="multilevel"/>
    <w:tmpl w:val="2E4F45C9"/>
    <w:lvl w:ilvl="0" w:tentative="0">
      <w:start w:val="1"/>
      <w:numFmt w:val="chineseCountingThousand"/>
      <w:lvlText w:val="(%1)"/>
      <w:lvlJc w:val="left"/>
      <w:pPr>
        <w:ind w:left="140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7BB810B0"/>
    <w:multiLevelType w:val="multilevel"/>
    <w:tmpl w:val="7BB810B0"/>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4">
    <w:nsid w:val="7C285712"/>
    <w:multiLevelType w:val="multilevel"/>
    <w:tmpl w:val="7C285712"/>
    <w:lvl w:ilvl="0" w:tentative="0">
      <w:start w:val="1"/>
      <w:numFmt w:val="chineseCountingThousand"/>
      <w:lvlText w:val="(%1)"/>
      <w:lvlJc w:val="left"/>
      <w:pPr>
        <w:ind w:left="140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7FA65BE5"/>
    <w:multiLevelType w:val="multilevel"/>
    <w:tmpl w:val="7FA65BE5"/>
    <w:lvl w:ilvl="0" w:tentative="0">
      <w:start w:val="1"/>
      <w:numFmt w:val="chineseCountingThousand"/>
      <w:lvlText w:val="(%1)"/>
      <w:lvlJc w:val="left"/>
      <w:pPr>
        <w:ind w:left="140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7"/>
  </w:num>
  <w:num w:numId="3">
    <w:abstractNumId w:val="13"/>
  </w:num>
  <w:num w:numId="4">
    <w:abstractNumId w:val="11"/>
  </w:num>
  <w:num w:numId="5">
    <w:abstractNumId w:val="12"/>
  </w:num>
  <w:num w:numId="6">
    <w:abstractNumId w:val="9"/>
  </w:num>
  <w:num w:numId="7">
    <w:abstractNumId w:val="14"/>
  </w:num>
  <w:num w:numId="8">
    <w:abstractNumId w:val="15"/>
  </w:num>
  <w:num w:numId="9">
    <w:abstractNumId w:val="4"/>
    <w:lvlOverride w:ilvl="0">
      <w:startOverride w:val="1"/>
    </w:lvlOverride>
  </w:num>
  <w:num w:numId="10">
    <w:abstractNumId w:val="6"/>
  </w:num>
  <w:num w:numId="11">
    <w:abstractNumId w:val="5"/>
    <w:lvlOverride w:ilvl="0">
      <w:startOverride w:val="1"/>
    </w:lvlOverride>
  </w:num>
  <w:num w:numId="12">
    <w:abstractNumId w:val="1"/>
    <w:lvlOverride w:ilvl="0">
      <w:startOverride w:val="1"/>
    </w:lvlOverride>
  </w:num>
  <w:num w:numId="13">
    <w:abstractNumId w:val="2"/>
    <w:lvlOverride w:ilvl="0">
      <w:startOverride w:val="1"/>
    </w:lvlOverride>
  </w:num>
  <w:num w:numId="14">
    <w:abstractNumId w:val="8"/>
    <w:lvlOverride w:ilvl="0">
      <w:startOverride w:val="1"/>
    </w:lvlOverride>
  </w:num>
  <w:num w:numId="15">
    <w:abstractNumId w:val="10"/>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diYzg4OGE1MTY2MzcwZTdiNzEzNzA3MzcxNjdmNGUifQ=="/>
  </w:docVars>
  <w:rsids>
    <w:rsidRoot w:val="00172A27"/>
    <w:rsid w:val="000028C1"/>
    <w:rsid w:val="000060EF"/>
    <w:rsid w:val="00006DD1"/>
    <w:rsid w:val="000144AD"/>
    <w:rsid w:val="00014539"/>
    <w:rsid w:val="0002272E"/>
    <w:rsid w:val="0003701F"/>
    <w:rsid w:val="0004078A"/>
    <w:rsid w:val="00043C09"/>
    <w:rsid w:val="00045483"/>
    <w:rsid w:val="0004570C"/>
    <w:rsid w:val="0005016A"/>
    <w:rsid w:val="00056187"/>
    <w:rsid w:val="00060669"/>
    <w:rsid w:val="00063EA7"/>
    <w:rsid w:val="000714AF"/>
    <w:rsid w:val="00072319"/>
    <w:rsid w:val="00076D92"/>
    <w:rsid w:val="00080657"/>
    <w:rsid w:val="00082613"/>
    <w:rsid w:val="00087B33"/>
    <w:rsid w:val="00090980"/>
    <w:rsid w:val="000924D9"/>
    <w:rsid w:val="0009672C"/>
    <w:rsid w:val="000A6872"/>
    <w:rsid w:val="000B1B79"/>
    <w:rsid w:val="000B2543"/>
    <w:rsid w:val="000B7975"/>
    <w:rsid w:val="000C3F59"/>
    <w:rsid w:val="000C5338"/>
    <w:rsid w:val="000D4EFF"/>
    <w:rsid w:val="000D57DC"/>
    <w:rsid w:val="000D633E"/>
    <w:rsid w:val="000D6A9E"/>
    <w:rsid w:val="000F1FDD"/>
    <w:rsid w:val="00100374"/>
    <w:rsid w:val="00101D48"/>
    <w:rsid w:val="00107862"/>
    <w:rsid w:val="00110B95"/>
    <w:rsid w:val="00116952"/>
    <w:rsid w:val="00121C60"/>
    <w:rsid w:val="001238A2"/>
    <w:rsid w:val="00124FF0"/>
    <w:rsid w:val="00125999"/>
    <w:rsid w:val="00125D0A"/>
    <w:rsid w:val="00131B39"/>
    <w:rsid w:val="00134508"/>
    <w:rsid w:val="00136052"/>
    <w:rsid w:val="001408F2"/>
    <w:rsid w:val="00141516"/>
    <w:rsid w:val="00141766"/>
    <w:rsid w:val="00141C14"/>
    <w:rsid w:val="00143DD8"/>
    <w:rsid w:val="00145C6E"/>
    <w:rsid w:val="001470AE"/>
    <w:rsid w:val="00151DF1"/>
    <w:rsid w:val="001546C4"/>
    <w:rsid w:val="0016223F"/>
    <w:rsid w:val="00165B0C"/>
    <w:rsid w:val="00166B3A"/>
    <w:rsid w:val="001677B0"/>
    <w:rsid w:val="001717C6"/>
    <w:rsid w:val="00172A27"/>
    <w:rsid w:val="0017505F"/>
    <w:rsid w:val="00177334"/>
    <w:rsid w:val="00180E75"/>
    <w:rsid w:val="0018164B"/>
    <w:rsid w:val="001816D4"/>
    <w:rsid w:val="001833DA"/>
    <w:rsid w:val="0019088C"/>
    <w:rsid w:val="00190DF3"/>
    <w:rsid w:val="001954B8"/>
    <w:rsid w:val="001A3BCF"/>
    <w:rsid w:val="001A6BBD"/>
    <w:rsid w:val="001B19F4"/>
    <w:rsid w:val="001B2760"/>
    <w:rsid w:val="001C0908"/>
    <w:rsid w:val="001C35C2"/>
    <w:rsid w:val="001C43CC"/>
    <w:rsid w:val="001C551F"/>
    <w:rsid w:val="001D0A92"/>
    <w:rsid w:val="001D12CF"/>
    <w:rsid w:val="001D217A"/>
    <w:rsid w:val="001D36F5"/>
    <w:rsid w:val="001D550D"/>
    <w:rsid w:val="001F0084"/>
    <w:rsid w:val="001F2280"/>
    <w:rsid w:val="001F2321"/>
    <w:rsid w:val="001F24C2"/>
    <w:rsid w:val="001F42D4"/>
    <w:rsid w:val="002007FA"/>
    <w:rsid w:val="00200AE7"/>
    <w:rsid w:val="00211C83"/>
    <w:rsid w:val="00212BE4"/>
    <w:rsid w:val="0021512D"/>
    <w:rsid w:val="00217326"/>
    <w:rsid w:val="002213CC"/>
    <w:rsid w:val="00226AAE"/>
    <w:rsid w:val="002313FC"/>
    <w:rsid w:val="00241C08"/>
    <w:rsid w:val="00244EE7"/>
    <w:rsid w:val="00245430"/>
    <w:rsid w:val="00246E22"/>
    <w:rsid w:val="002475BC"/>
    <w:rsid w:val="00247FDB"/>
    <w:rsid w:val="00250F7C"/>
    <w:rsid w:val="002567E7"/>
    <w:rsid w:val="00257D2A"/>
    <w:rsid w:val="00260486"/>
    <w:rsid w:val="002623F8"/>
    <w:rsid w:val="00264045"/>
    <w:rsid w:val="0026554D"/>
    <w:rsid w:val="002707F0"/>
    <w:rsid w:val="00270B2B"/>
    <w:rsid w:val="00281DD6"/>
    <w:rsid w:val="00293309"/>
    <w:rsid w:val="00295A55"/>
    <w:rsid w:val="00296FE2"/>
    <w:rsid w:val="0029767D"/>
    <w:rsid w:val="002B3B05"/>
    <w:rsid w:val="002B3E96"/>
    <w:rsid w:val="002D7D89"/>
    <w:rsid w:val="002E1625"/>
    <w:rsid w:val="002E669F"/>
    <w:rsid w:val="002F26CF"/>
    <w:rsid w:val="002F2D3B"/>
    <w:rsid w:val="002F64E7"/>
    <w:rsid w:val="002F6E34"/>
    <w:rsid w:val="00303C85"/>
    <w:rsid w:val="003064B6"/>
    <w:rsid w:val="00315BCE"/>
    <w:rsid w:val="00322DF1"/>
    <w:rsid w:val="003232E1"/>
    <w:rsid w:val="003345F0"/>
    <w:rsid w:val="003347BE"/>
    <w:rsid w:val="00336D0E"/>
    <w:rsid w:val="003370C5"/>
    <w:rsid w:val="00344137"/>
    <w:rsid w:val="003451DD"/>
    <w:rsid w:val="00350886"/>
    <w:rsid w:val="00351429"/>
    <w:rsid w:val="00355D48"/>
    <w:rsid w:val="00360C11"/>
    <w:rsid w:val="00373247"/>
    <w:rsid w:val="003766F0"/>
    <w:rsid w:val="003774D0"/>
    <w:rsid w:val="003832D9"/>
    <w:rsid w:val="0039098A"/>
    <w:rsid w:val="00392A41"/>
    <w:rsid w:val="00395FB9"/>
    <w:rsid w:val="00396507"/>
    <w:rsid w:val="003A10E4"/>
    <w:rsid w:val="003A2B80"/>
    <w:rsid w:val="003A3ACE"/>
    <w:rsid w:val="003A413A"/>
    <w:rsid w:val="003A4AA0"/>
    <w:rsid w:val="003A623D"/>
    <w:rsid w:val="003A7FE3"/>
    <w:rsid w:val="003B2204"/>
    <w:rsid w:val="003B312F"/>
    <w:rsid w:val="003B742F"/>
    <w:rsid w:val="003B79DE"/>
    <w:rsid w:val="003C2D9F"/>
    <w:rsid w:val="003C3F50"/>
    <w:rsid w:val="003D0320"/>
    <w:rsid w:val="003D1F25"/>
    <w:rsid w:val="003E1468"/>
    <w:rsid w:val="003F1FEC"/>
    <w:rsid w:val="004024CD"/>
    <w:rsid w:val="004031DD"/>
    <w:rsid w:val="00412572"/>
    <w:rsid w:val="00413156"/>
    <w:rsid w:val="00417C2F"/>
    <w:rsid w:val="00417CE0"/>
    <w:rsid w:val="00417DCA"/>
    <w:rsid w:val="00420CC2"/>
    <w:rsid w:val="00424F78"/>
    <w:rsid w:val="00426F10"/>
    <w:rsid w:val="00430BA0"/>
    <w:rsid w:val="00430E3B"/>
    <w:rsid w:val="00431DD4"/>
    <w:rsid w:val="00435869"/>
    <w:rsid w:val="00443245"/>
    <w:rsid w:val="00445A77"/>
    <w:rsid w:val="00446979"/>
    <w:rsid w:val="00452699"/>
    <w:rsid w:val="004534BB"/>
    <w:rsid w:val="0045627B"/>
    <w:rsid w:val="004566FD"/>
    <w:rsid w:val="00470B17"/>
    <w:rsid w:val="00471CAA"/>
    <w:rsid w:val="00475A1C"/>
    <w:rsid w:val="00475F97"/>
    <w:rsid w:val="00480859"/>
    <w:rsid w:val="00481697"/>
    <w:rsid w:val="00483C45"/>
    <w:rsid w:val="004846CD"/>
    <w:rsid w:val="00485580"/>
    <w:rsid w:val="004855D7"/>
    <w:rsid w:val="004905BC"/>
    <w:rsid w:val="00492680"/>
    <w:rsid w:val="004A78C9"/>
    <w:rsid w:val="004A7E16"/>
    <w:rsid w:val="004B2342"/>
    <w:rsid w:val="004C2755"/>
    <w:rsid w:val="004C5214"/>
    <w:rsid w:val="004C707C"/>
    <w:rsid w:val="004F2159"/>
    <w:rsid w:val="004F2A32"/>
    <w:rsid w:val="004F3095"/>
    <w:rsid w:val="00501554"/>
    <w:rsid w:val="00507174"/>
    <w:rsid w:val="00515411"/>
    <w:rsid w:val="005168EC"/>
    <w:rsid w:val="005172F0"/>
    <w:rsid w:val="005205B0"/>
    <w:rsid w:val="00525B38"/>
    <w:rsid w:val="00525F67"/>
    <w:rsid w:val="00535883"/>
    <w:rsid w:val="00535DAA"/>
    <w:rsid w:val="005373C2"/>
    <w:rsid w:val="005375C2"/>
    <w:rsid w:val="0054081F"/>
    <w:rsid w:val="00545AFC"/>
    <w:rsid w:val="00546567"/>
    <w:rsid w:val="005474AB"/>
    <w:rsid w:val="0055145F"/>
    <w:rsid w:val="00564B8B"/>
    <w:rsid w:val="00567943"/>
    <w:rsid w:val="005708B2"/>
    <w:rsid w:val="00582013"/>
    <w:rsid w:val="00586E21"/>
    <w:rsid w:val="0059267B"/>
    <w:rsid w:val="00594D3A"/>
    <w:rsid w:val="00594FCA"/>
    <w:rsid w:val="00596841"/>
    <w:rsid w:val="005975D8"/>
    <w:rsid w:val="005A0E40"/>
    <w:rsid w:val="005A1DB3"/>
    <w:rsid w:val="005A209E"/>
    <w:rsid w:val="005A32A0"/>
    <w:rsid w:val="005A41B5"/>
    <w:rsid w:val="005A684D"/>
    <w:rsid w:val="005A737B"/>
    <w:rsid w:val="005B3C68"/>
    <w:rsid w:val="005B77DC"/>
    <w:rsid w:val="005B793A"/>
    <w:rsid w:val="005B7D6A"/>
    <w:rsid w:val="005C0026"/>
    <w:rsid w:val="005C42C3"/>
    <w:rsid w:val="005C43B9"/>
    <w:rsid w:val="005C5459"/>
    <w:rsid w:val="005D674A"/>
    <w:rsid w:val="005D6D99"/>
    <w:rsid w:val="005D7208"/>
    <w:rsid w:val="005D7390"/>
    <w:rsid w:val="005E7D62"/>
    <w:rsid w:val="005F4D5A"/>
    <w:rsid w:val="005F6013"/>
    <w:rsid w:val="005F63A6"/>
    <w:rsid w:val="005F7C3E"/>
    <w:rsid w:val="00600988"/>
    <w:rsid w:val="00600AD4"/>
    <w:rsid w:val="006017F9"/>
    <w:rsid w:val="00604BAA"/>
    <w:rsid w:val="006054DC"/>
    <w:rsid w:val="006067A9"/>
    <w:rsid w:val="00607897"/>
    <w:rsid w:val="006157CF"/>
    <w:rsid w:val="00624540"/>
    <w:rsid w:val="00626626"/>
    <w:rsid w:val="0063790C"/>
    <w:rsid w:val="006405C9"/>
    <w:rsid w:val="00644553"/>
    <w:rsid w:val="00645AEF"/>
    <w:rsid w:val="006666CE"/>
    <w:rsid w:val="00666708"/>
    <w:rsid w:val="00667AF3"/>
    <w:rsid w:val="00672B88"/>
    <w:rsid w:val="00672D95"/>
    <w:rsid w:val="0067470F"/>
    <w:rsid w:val="00681827"/>
    <w:rsid w:val="00682CAD"/>
    <w:rsid w:val="00683A0E"/>
    <w:rsid w:val="00693F6B"/>
    <w:rsid w:val="006A0E3D"/>
    <w:rsid w:val="006A5ED5"/>
    <w:rsid w:val="006B7A7A"/>
    <w:rsid w:val="006C1E2A"/>
    <w:rsid w:val="006C4D7A"/>
    <w:rsid w:val="006C650F"/>
    <w:rsid w:val="006C7B27"/>
    <w:rsid w:val="006D121C"/>
    <w:rsid w:val="006D215F"/>
    <w:rsid w:val="006D2AC9"/>
    <w:rsid w:val="006D3C46"/>
    <w:rsid w:val="006D56E6"/>
    <w:rsid w:val="006E02C4"/>
    <w:rsid w:val="006E068A"/>
    <w:rsid w:val="006E4A93"/>
    <w:rsid w:val="006E4E55"/>
    <w:rsid w:val="007009F6"/>
    <w:rsid w:val="00702173"/>
    <w:rsid w:val="00704FB6"/>
    <w:rsid w:val="00711F96"/>
    <w:rsid w:val="00715870"/>
    <w:rsid w:val="007167B4"/>
    <w:rsid w:val="0072203C"/>
    <w:rsid w:val="00723BFA"/>
    <w:rsid w:val="00733703"/>
    <w:rsid w:val="00741409"/>
    <w:rsid w:val="00746DE3"/>
    <w:rsid w:val="00747C1B"/>
    <w:rsid w:val="0075320B"/>
    <w:rsid w:val="0076219B"/>
    <w:rsid w:val="00763BA0"/>
    <w:rsid w:val="00770561"/>
    <w:rsid w:val="0077169B"/>
    <w:rsid w:val="007874B4"/>
    <w:rsid w:val="0079515E"/>
    <w:rsid w:val="0079705E"/>
    <w:rsid w:val="007A149A"/>
    <w:rsid w:val="007A67EC"/>
    <w:rsid w:val="007B299E"/>
    <w:rsid w:val="007B45DB"/>
    <w:rsid w:val="007B63A8"/>
    <w:rsid w:val="007C03A8"/>
    <w:rsid w:val="007C0619"/>
    <w:rsid w:val="007C1E3E"/>
    <w:rsid w:val="007C4173"/>
    <w:rsid w:val="007C5875"/>
    <w:rsid w:val="007C6812"/>
    <w:rsid w:val="007E7FE3"/>
    <w:rsid w:val="007F3B93"/>
    <w:rsid w:val="007F3D7A"/>
    <w:rsid w:val="007F46B8"/>
    <w:rsid w:val="00804DF2"/>
    <w:rsid w:val="00806569"/>
    <w:rsid w:val="008143F8"/>
    <w:rsid w:val="008146B0"/>
    <w:rsid w:val="00814BCD"/>
    <w:rsid w:val="00815E90"/>
    <w:rsid w:val="008174E1"/>
    <w:rsid w:val="00822EE4"/>
    <w:rsid w:val="008265A6"/>
    <w:rsid w:val="00827862"/>
    <w:rsid w:val="008306C6"/>
    <w:rsid w:val="00830B3C"/>
    <w:rsid w:val="0083374A"/>
    <w:rsid w:val="0084148A"/>
    <w:rsid w:val="00842719"/>
    <w:rsid w:val="00853E32"/>
    <w:rsid w:val="00854215"/>
    <w:rsid w:val="00854DCB"/>
    <w:rsid w:val="008636E9"/>
    <w:rsid w:val="00864632"/>
    <w:rsid w:val="00865AB8"/>
    <w:rsid w:val="00866EC1"/>
    <w:rsid w:val="00870917"/>
    <w:rsid w:val="00876222"/>
    <w:rsid w:val="0088139B"/>
    <w:rsid w:val="00881BEC"/>
    <w:rsid w:val="00884C73"/>
    <w:rsid w:val="0089459B"/>
    <w:rsid w:val="00894A4C"/>
    <w:rsid w:val="008B0619"/>
    <w:rsid w:val="008C7D5E"/>
    <w:rsid w:val="008D01CA"/>
    <w:rsid w:val="008D21A8"/>
    <w:rsid w:val="008D60CC"/>
    <w:rsid w:val="008E4E8D"/>
    <w:rsid w:val="008F185A"/>
    <w:rsid w:val="008F673D"/>
    <w:rsid w:val="008F68E4"/>
    <w:rsid w:val="00903B7F"/>
    <w:rsid w:val="0091718B"/>
    <w:rsid w:val="00921FCF"/>
    <w:rsid w:val="00931F65"/>
    <w:rsid w:val="00936BE7"/>
    <w:rsid w:val="0094207B"/>
    <w:rsid w:val="00944D96"/>
    <w:rsid w:val="009477C1"/>
    <w:rsid w:val="00947C2A"/>
    <w:rsid w:val="0095189D"/>
    <w:rsid w:val="00960F6C"/>
    <w:rsid w:val="00962C24"/>
    <w:rsid w:val="00967062"/>
    <w:rsid w:val="00967397"/>
    <w:rsid w:val="00970BE2"/>
    <w:rsid w:val="00975C76"/>
    <w:rsid w:val="0097685F"/>
    <w:rsid w:val="009811F2"/>
    <w:rsid w:val="00990066"/>
    <w:rsid w:val="00990698"/>
    <w:rsid w:val="009975E6"/>
    <w:rsid w:val="009979D3"/>
    <w:rsid w:val="009A0477"/>
    <w:rsid w:val="009A4070"/>
    <w:rsid w:val="009B0E64"/>
    <w:rsid w:val="009B200F"/>
    <w:rsid w:val="009B6584"/>
    <w:rsid w:val="009B6B56"/>
    <w:rsid w:val="009C0049"/>
    <w:rsid w:val="009D0471"/>
    <w:rsid w:val="009D1DE6"/>
    <w:rsid w:val="009E1C5A"/>
    <w:rsid w:val="009E1F24"/>
    <w:rsid w:val="009E6A8C"/>
    <w:rsid w:val="009F1E84"/>
    <w:rsid w:val="009F3D01"/>
    <w:rsid w:val="009F474E"/>
    <w:rsid w:val="009F4F34"/>
    <w:rsid w:val="009F5B54"/>
    <w:rsid w:val="00A00702"/>
    <w:rsid w:val="00A07419"/>
    <w:rsid w:val="00A11054"/>
    <w:rsid w:val="00A12D4E"/>
    <w:rsid w:val="00A157A2"/>
    <w:rsid w:val="00A165CB"/>
    <w:rsid w:val="00A218F2"/>
    <w:rsid w:val="00A26C2F"/>
    <w:rsid w:val="00A36327"/>
    <w:rsid w:val="00A4197A"/>
    <w:rsid w:val="00A53642"/>
    <w:rsid w:val="00A56902"/>
    <w:rsid w:val="00A6353C"/>
    <w:rsid w:val="00A65124"/>
    <w:rsid w:val="00A666F1"/>
    <w:rsid w:val="00A74FF2"/>
    <w:rsid w:val="00A76386"/>
    <w:rsid w:val="00A87E89"/>
    <w:rsid w:val="00A91AE3"/>
    <w:rsid w:val="00A93A6B"/>
    <w:rsid w:val="00A95F72"/>
    <w:rsid w:val="00AA6089"/>
    <w:rsid w:val="00AB5972"/>
    <w:rsid w:val="00AB6BFC"/>
    <w:rsid w:val="00AC58D1"/>
    <w:rsid w:val="00AC65AF"/>
    <w:rsid w:val="00AD1FB3"/>
    <w:rsid w:val="00AD6D51"/>
    <w:rsid w:val="00AE7609"/>
    <w:rsid w:val="00AF0147"/>
    <w:rsid w:val="00AF0502"/>
    <w:rsid w:val="00AF6C1D"/>
    <w:rsid w:val="00B00C05"/>
    <w:rsid w:val="00B03CDD"/>
    <w:rsid w:val="00B04CCF"/>
    <w:rsid w:val="00B156C7"/>
    <w:rsid w:val="00B1624A"/>
    <w:rsid w:val="00B21094"/>
    <w:rsid w:val="00B24199"/>
    <w:rsid w:val="00B26108"/>
    <w:rsid w:val="00B268C5"/>
    <w:rsid w:val="00B34111"/>
    <w:rsid w:val="00B35AEC"/>
    <w:rsid w:val="00B46DF6"/>
    <w:rsid w:val="00B55BE7"/>
    <w:rsid w:val="00B5686C"/>
    <w:rsid w:val="00B63D15"/>
    <w:rsid w:val="00B65D40"/>
    <w:rsid w:val="00B728B3"/>
    <w:rsid w:val="00B77AA8"/>
    <w:rsid w:val="00B81D87"/>
    <w:rsid w:val="00B82EB6"/>
    <w:rsid w:val="00B82FAA"/>
    <w:rsid w:val="00B8347C"/>
    <w:rsid w:val="00B8635E"/>
    <w:rsid w:val="00B915D7"/>
    <w:rsid w:val="00B920DD"/>
    <w:rsid w:val="00B93142"/>
    <w:rsid w:val="00B94E92"/>
    <w:rsid w:val="00BA1C55"/>
    <w:rsid w:val="00BA56E6"/>
    <w:rsid w:val="00BA6C35"/>
    <w:rsid w:val="00BC275C"/>
    <w:rsid w:val="00BC5C6D"/>
    <w:rsid w:val="00BC623C"/>
    <w:rsid w:val="00BD3E98"/>
    <w:rsid w:val="00BD3EA8"/>
    <w:rsid w:val="00BE47D4"/>
    <w:rsid w:val="00BF0784"/>
    <w:rsid w:val="00BF3AED"/>
    <w:rsid w:val="00BF48E5"/>
    <w:rsid w:val="00C03189"/>
    <w:rsid w:val="00C04FA0"/>
    <w:rsid w:val="00C0784F"/>
    <w:rsid w:val="00C10E43"/>
    <w:rsid w:val="00C118E3"/>
    <w:rsid w:val="00C124ED"/>
    <w:rsid w:val="00C15FBB"/>
    <w:rsid w:val="00C21C6E"/>
    <w:rsid w:val="00C24045"/>
    <w:rsid w:val="00C26164"/>
    <w:rsid w:val="00C344AB"/>
    <w:rsid w:val="00C36969"/>
    <w:rsid w:val="00C377D2"/>
    <w:rsid w:val="00C40E75"/>
    <w:rsid w:val="00C41777"/>
    <w:rsid w:val="00C41CAF"/>
    <w:rsid w:val="00C43A70"/>
    <w:rsid w:val="00C50043"/>
    <w:rsid w:val="00C54F07"/>
    <w:rsid w:val="00C601B5"/>
    <w:rsid w:val="00C63205"/>
    <w:rsid w:val="00C63698"/>
    <w:rsid w:val="00C655AC"/>
    <w:rsid w:val="00C67184"/>
    <w:rsid w:val="00C755DD"/>
    <w:rsid w:val="00C82A42"/>
    <w:rsid w:val="00C843F9"/>
    <w:rsid w:val="00C90844"/>
    <w:rsid w:val="00C90F06"/>
    <w:rsid w:val="00C910F9"/>
    <w:rsid w:val="00C91CF1"/>
    <w:rsid w:val="00C93EF8"/>
    <w:rsid w:val="00C97989"/>
    <w:rsid w:val="00CA0241"/>
    <w:rsid w:val="00CA2454"/>
    <w:rsid w:val="00CA2EE5"/>
    <w:rsid w:val="00CA403C"/>
    <w:rsid w:val="00CA4E41"/>
    <w:rsid w:val="00CA6E37"/>
    <w:rsid w:val="00CA6F8C"/>
    <w:rsid w:val="00CA7641"/>
    <w:rsid w:val="00CA7E14"/>
    <w:rsid w:val="00CB44DC"/>
    <w:rsid w:val="00CB74D7"/>
    <w:rsid w:val="00CC2A04"/>
    <w:rsid w:val="00CC5150"/>
    <w:rsid w:val="00CC7AB0"/>
    <w:rsid w:val="00CD07DF"/>
    <w:rsid w:val="00CE119E"/>
    <w:rsid w:val="00CE49AC"/>
    <w:rsid w:val="00CE66BC"/>
    <w:rsid w:val="00CF4DAE"/>
    <w:rsid w:val="00CF51A5"/>
    <w:rsid w:val="00CF69FE"/>
    <w:rsid w:val="00D001D7"/>
    <w:rsid w:val="00D0035F"/>
    <w:rsid w:val="00D027F8"/>
    <w:rsid w:val="00D11E65"/>
    <w:rsid w:val="00D162F0"/>
    <w:rsid w:val="00D17244"/>
    <w:rsid w:val="00D22BA4"/>
    <w:rsid w:val="00D34B4E"/>
    <w:rsid w:val="00D34DAF"/>
    <w:rsid w:val="00D370B1"/>
    <w:rsid w:val="00D375A6"/>
    <w:rsid w:val="00D40976"/>
    <w:rsid w:val="00D46C3F"/>
    <w:rsid w:val="00D472F1"/>
    <w:rsid w:val="00D51496"/>
    <w:rsid w:val="00D5526B"/>
    <w:rsid w:val="00D602CF"/>
    <w:rsid w:val="00D61D24"/>
    <w:rsid w:val="00D62D13"/>
    <w:rsid w:val="00D6433A"/>
    <w:rsid w:val="00D664DE"/>
    <w:rsid w:val="00D66B1F"/>
    <w:rsid w:val="00D74BBA"/>
    <w:rsid w:val="00D808A3"/>
    <w:rsid w:val="00D82E73"/>
    <w:rsid w:val="00D82FF4"/>
    <w:rsid w:val="00D93C6E"/>
    <w:rsid w:val="00D974EC"/>
    <w:rsid w:val="00DA0B4C"/>
    <w:rsid w:val="00DA5ACA"/>
    <w:rsid w:val="00DA700F"/>
    <w:rsid w:val="00DB01D1"/>
    <w:rsid w:val="00DB2B52"/>
    <w:rsid w:val="00DB3734"/>
    <w:rsid w:val="00DB4A98"/>
    <w:rsid w:val="00DC1ED5"/>
    <w:rsid w:val="00DC27DE"/>
    <w:rsid w:val="00DC5CE4"/>
    <w:rsid w:val="00DC6233"/>
    <w:rsid w:val="00DC76D4"/>
    <w:rsid w:val="00DD0982"/>
    <w:rsid w:val="00DD1235"/>
    <w:rsid w:val="00DD5193"/>
    <w:rsid w:val="00DD72A7"/>
    <w:rsid w:val="00DD7E83"/>
    <w:rsid w:val="00DE5FEE"/>
    <w:rsid w:val="00DE612D"/>
    <w:rsid w:val="00DF5B17"/>
    <w:rsid w:val="00DF759C"/>
    <w:rsid w:val="00E00675"/>
    <w:rsid w:val="00E02B53"/>
    <w:rsid w:val="00E046F3"/>
    <w:rsid w:val="00E04A4D"/>
    <w:rsid w:val="00E0709E"/>
    <w:rsid w:val="00E10C02"/>
    <w:rsid w:val="00E142B4"/>
    <w:rsid w:val="00E14401"/>
    <w:rsid w:val="00E208C0"/>
    <w:rsid w:val="00E21124"/>
    <w:rsid w:val="00E21BDA"/>
    <w:rsid w:val="00E23EA6"/>
    <w:rsid w:val="00E25804"/>
    <w:rsid w:val="00E27C66"/>
    <w:rsid w:val="00E321AB"/>
    <w:rsid w:val="00E41B8C"/>
    <w:rsid w:val="00E44D12"/>
    <w:rsid w:val="00E47E5A"/>
    <w:rsid w:val="00E51063"/>
    <w:rsid w:val="00E5488C"/>
    <w:rsid w:val="00E57B0B"/>
    <w:rsid w:val="00E57EA1"/>
    <w:rsid w:val="00E6063F"/>
    <w:rsid w:val="00E63AC5"/>
    <w:rsid w:val="00E65A90"/>
    <w:rsid w:val="00E67050"/>
    <w:rsid w:val="00E81E03"/>
    <w:rsid w:val="00E855A9"/>
    <w:rsid w:val="00E86812"/>
    <w:rsid w:val="00E87A8E"/>
    <w:rsid w:val="00E91D06"/>
    <w:rsid w:val="00E93BB7"/>
    <w:rsid w:val="00E940C6"/>
    <w:rsid w:val="00EA27BF"/>
    <w:rsid w:val="00EA7B9E"/>
    <w:rsid w:val="00EB2828"/>
    <w:rsid w:val="00EB43F5"/>
    <w:rsid w:val="00EB6BE7"/>
    <w:rsid w:val="00EB6CB4"/>
    <w:rsid w:val="00EC56EA"/>
    <w:rsid w:val="00ED0335"/>
    <w:rsid w:val="00ED58BE"/>
    <w:rsid w:val="00EE338F"/>
    <w:rsid w:val="00EE6D4E"/>
    <w:rsid w:val="00EF005A"/>
    <w:rsid w:val="00EF4C51"/>
    <w:rsid w:val="00F02537"/>
    <w:rsid w:val="00F07968"/>
    <w:rsid w:val="00F116E7"/>
    <w:rsid w:val="00F1186E"/>
    <w:rsid w:val="00F11B79"/>
    <w:rsid w:val="00F157C0"/>
    <w:rsid w:val="00F1679C"/>
    <w:rsid w:val="00F25325"/>
    <w:rsid w:val="00F268EB"/>
    <w:rsid w:val="00F26BAC"/>
    <w:rsid w:val="00F332E4"/>
    <w:rsid w:val="00F41AA0"/>
    <w:rsid w:val="00F44028"/>
    <w:rsid w:val="00F52FA5"/>
    <w:rsid w:val="00F57565"/>
    <w:rsid w:val="00F57F51"/>
    <w:rsid w:val="00F63332"/>
    <w:rsid w:val="00F65213"/>
    <w:rsid w:val="00F739C8"/>
    <w:rsid w:val="00F75736"/>
    <w:rsid w:val="00F829B8"/>
    <w:rsid w:val="00F844ED"/>
    <w:rsid w:val="00F84BB4"/>
    <w:rsid w:val="00F867DE"/>
    <w:rsid w:val="00F92E43"/>
    <w:rsid w:val="00F93175"/>
    <w:rsid w:val="00F93648"/>
    <w:rsid w:val="00F96DB5"/>
    <w:rsid w:val="00F973A7"/>
    <w:rsid w:val="00FA00B1"/>
    <w:rsid w:val="00FA1A9C"/>
    <w:rsid w:val="00FA4AEB"/>
    <w:rsid w:val="00FA6448"/>
    <w:rsid w:val="00FA7A3B"/>
    <w:rsid w:val="00FB0043"/>
    <w:rsid w:val="00FB023B"/>
    <w:rsid w:val="00FB1517"/>
    <w:rsid w:val="00FB3F71"/>
    <w:rsid w:val="00FB67C5"/>
    <w:rsid w:val="00FB71BC"/>
    <w:rsid w:val="00FC018E"/>
    <w:rsid w:val="00FC3724"/>
    <w:rsid w:val="00FC6FC0"/>
    <w:rsid w:val="00FD7582"/>
    <w:rsid w:val="00FE0990"/>
    <w:rsid w:val="00FE30CD"/>
    <w:rsid w:val="00FF0600"/>
    <w:rsid w:val="00FF32D9"/>
    <w:rsid w:val="00FF697F"/>
    <w:rsid w:val="01FC43DE"/>
    <w:rsid w:val="0CC64F67"/>
    <w:rsid w:val="0DC211CA"/>
    <w:rsid w:val="116757DE"/>
    <w:rsid w:val="1C3E502E"/>
    <w:rsid w:val="1CC23D13"/>
    <w:rsid w:val="1DDB7E76"/>
    <w:rsid w:val="22353CA9"/>
    <w:rsid w:val="230D6E0F"/>
    <w:rsid w:val="231D1908"/>
    <w:rsid w:val="25D81B36"/>
    <w:rsid w:val="25EC22B9"/>
    <w:rsid w:val="26170E53"/>
    <w:rsid w:val="26783F4B"/>
    <w:rsid w:val="2EE15781"/>
    <w:rsid w:val="323501E7"/>
    <w:rsid w:val="353A0493"/>
    <w:rsid w:val="38D85B4E"/>
    <w:rsid w:val="3BB323D3"/>
    <w:rsid w:val="48FB664E"/>
    <w:rsid w:val="4D521B31"/>
    <w:rsid w:val="4D553C64"/>
    <w:rsid w:val="4E7D7917"/>
    <w:rsid w:val="4F2C6C47"/>
    <w:rsid w:val="55DA50D5"/>
    <w:rsid w:val="57A66D6E"/>
    <w:rsid w:val="5C6F2EB0"/>
    <w:rsid w:val="63C420F2"/>
    <w:rsid w:val="67B6134C"/>
    <w:rsid w:val="6ADF54B9"/>
    <w:rsid w:val="6B691C67"/>
    <w:rsid w:val="6B6A0DCB"/>
    <w:rsid w:val="6F1E1746"/>
    <w:rsid w:val="70BB1D85"/>
    <w:rsid w:val="71C1726B"/>
    <w:rsid w:val="74AD27E8"/>
    <w:rsid w:val="77F627B3"/>
    <w:rsid w:val="78DD2C33"/>
    <w:rsid w:val="792D222E"/>
    <w:rsid w:val="797E0108"/>
    <w:rsid w:val="7AC17DE8"/>
    <w:rsid w:val="7E4923BF"/>
    <w:rsid w:val="7E4B47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autoRedefine/>
    <w:qFormat/>
    <w:uiPriority w:val="0"/>
    <w:pPr>
      <w:keepNext/>
      <w:ind w:firstLine="425"/>
      <w:outlineLvl w:val="0"/>
    </w:pPr>
    <w:rPr>
      <w:b/>
      <w:bCs/>
      <w:i/>
      <w:iCs/>
      <w:sz w:val="52"/>
      <w:szCs w:val="20"/>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character" w:default="1" w:styleId="30">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styleId="4">
    <w:name w:val="List Number"/>
    <w:basedOn w:val="1"/>
    <w:autoRedefine/>
    <w:qFormat/>
    <w:uiPriority w:val="0"/>
    <w:pPr>
      <w:widowControl/>
      <w:tabs>
        <w:tab w:val="left" w:pos="454"/>
        <w:tab w:val="left" w:pos="720"/>
      </w:tabs>
      <w:spacing w:afterLines="50"/>
      <w:ind w:left="454" w:hanging="284"/>
      <w:jc w:val="left"/>
    </w:pPr>
    <w:rPr>
      <w:kern w:val="0"/>
      <w:sz w:val="24"/>
      <w:szCs w:val="20"/>
    </w:rPr>
  </w:style>
  <w:style w:type="paragraph" w:styleId="5">
    <w:name w:val="Normal Indent"/>
    <w:basedOn w:val="1"/>
    <w:autoRedefine/>
    <w:qFormat/>
    <w:uiPriority w:val="0"/>
    <w:pPr>
      <w:ind w:firstLine="420"/>
    </w:pPr>
    <w:rPr>
      <w:szCs w:val="20"/>
    </w:rPr>
  </w:style>
  <w:style w:type="paragraph" w:styleId="6">
    <w:name w:val="caption"/>
    <w:basedOn w:val="1"/>
    <w:next w:val="1"/>
    <w:autoRedefine/>
    <w:qFormat/>
    <w:uiPriority w:val="0"/>
    <w:pPr>
      <w:spacing w:before="152" w:after="160"/>
    </w:pPr>
    <w:rPr>
      <w:rFonts w:ascii="Arial" w:hAnsi="Arial" w:eastAsia="黑体" w:cs="Arial"/>
      <w:sz w:val="20"/>
      <w:szCs w:val="20"/>
    </w:rPr>
  </w:style>
  <w:style w:type="paragraph" w:styleId="7">
    <w:name w:val="Document Map"/>
    <w:basedOn w:val="1"/>
    <w:autoRedefine/>
    <w:qFormat/>
    <w:uiPriority w:val="0"/>
    <w:pPr>
      <w:shd w:val="clear" w:color="auto" w:fill="000080"/>
    </w:pPr>
  </w:style>
  <w:style w:type="paragraph" w:styleId="8">
    <w:name w:val="annotation text"/>
    <w:basedOn w:val="1"/>
    <w:link w:val="52"/>
    <w:autoRedefine/>
    <w:semiHidden/>
    <w:unhideWhenUsed/>
    <w:qFormat/>
    <w:uiPriority w:val="99"/>
    <w:pPr>
      <w:jc w:val="left"/>
    </w:pPr>
  </w:style>
  <w:style w:type="paragraph" w:styleId="9">
    <w:name w:val="Body Text 3"/>
    <w:basedOn w:val="1"/>
    <w:autoRedefine/>
    <w:qFormat/>
    <w:uiPriority w:val="0"/>
    <w:pPr>
      <w:spacing w:after="120"/>
    </w:pPr>
    <w:rPr>
      <w:sz w:val="16"/>
      <w:szCs w:val="16"/>
    </w:rPr>
  </w:style>
  <w:style w:type="paragraph" w:styleId="10">
    <w:name w:val="Body Text"/>
    <w:basedOn w:val="1"/>
    <w:autoRedefine/>
    <w:qFormat/>
    <w:uiPriority w:val="0"/>
    <w:pPr>
      <w:spacing w:after="120"/>
    </w:pPr>
  </w:style>
  <w:style w:type="paragraph" w:styleId="11">
    <w:name w:val="Body Text Indent"/>
    <w:basedOn w:val="1"/>
    <w:link w:val="38"/>
    <w:autoRedefine/>
    <w:qFormat/>
    <w:uiPriority w:val="0"/>
    <w:pPr>
      <w:spacing w:line="360" w:lineRule="auto"/>
      <w:ind w:firstLine="420"/>
    </w:pPr>
    <w:rPr>
      <w:sz w:val="24"/>
    </w:rPr>
  </w:style>
  <w:style w:type="paragraph" w:styleId="12">
    <w:name w:val="List Number 3"/>
    <w:basedOn w:val="1"/>
    <w:autoRedefine/>
    <w:qFormat/>
    <w:uiPriority w:val="0"/>
    <w:pPr>
      <w:tabs>
        <w:tab w:val="left" w:pos="1200"/>
      </w:tabs>
      <w:ind w:left="1200" w:leftChars="400" w:hanging="360" w:hangingChars="200"/>
    </w:pPr>
  </w:style>
  <w:style w:type="paragraph" w:styleId="13">
    <w:name w:val="List 2"/>
    <w:basedOn w:val="1"/>
    <w:autoRedefine/>
    <w:qFormat/>
    <w:uiPriority w:val="0"/>
    <w:pPr>
      <w:ind w:left="100" w:leftChars="200" w:hanging="200" w:hangingChars="200"/>
    </w:pPr>
  </w:style>
  <w:style w:type="paragraph" w:styleId="14">
    <w:name w:val="toc 3"/>
    <w:basedOn w:val="1"/>
    <w:next w:val="1"/>
    <w:autoRedefine/>
    <w:qFormat/>
    <w:uiPriority w:val="39"/>
    <w:pPr>
      <w:ind w:left="840" w:leftChars="400"/>
    </w:pPr>
  </w:style>
  <w:style w:type="paragraph" w:styleId="15">
    <w:name w:val="Plain Text"/>
    <w:basedOn w:val="1"/>
    <w:link w:val="34"/>
    <w:autoRedefine/>
    <w:qFormat/>
    <w:uiPriority w:val="0"/>
    <w:pPr>
      <w:spacing w:beforeLines="50" w:afterLines="50" w:line="400" w:lineRule="exact"/>
    </w:pPr>
    <w:rPr>
      <w:rFonts w:ascii="宋体" w:hAnsi="Courier New"/>
      <w:sz w:val="24"/>
    </w:rPr>
  </w:style>
  <w:style w:type="paragraph" w:styleId="16">
    <w:name w:val="Date"/>
    <w:basedOn w:val="1"/>
    <w:next w:val="1"/>
    <w:autoRedefine/>
    <w:qFormat/>
    <w:uiPriority w:val="0"/>
    <w:pPr>
      <w:ind w:left="100" w:leftChars="2500"/>
    </w:pPr>
  </w:style>
  <w:style w:type="paragraph" w:styleId="17">
    <w:name w:val="Body Text Indent 2"/>
    <w:basedOn w:val="1"/>
    <w:next w:val="1"/>
    <w:autoRedefine/>
    <w:qFormat/>
    <w:uiPriority w:val="0"/>
    <w:pPr>
      <w:snapToGrid w:val="0"/>
      <w:ind w:firstLine="542" w:firstLineChars="225"/>
    </w:pPr>
    <w:rPr>
      <w:rFonts w:ascii="仿宋_GB2312" w:hAnsi="宋体" w:cs="Arial"/>
      <w:b/>
      <w:bCs/>
      <w:color w:val="000000"/>
      <w:sz w:val="24"/>
    </w:rPr>
  </w:style>
  <w:style w:type="paragraph" w:styleId="18">
    <w:name w:val="Balloon Text"/>
    <w:basedOn w:val="1"/>
    <w:autoRedefine/>
    <w:qFormat/>
    <w:uiPriority w:val="0"/>
    <w:rPr>
      <w:sz w:val="18"/>
      <w:szCs w:val="18"/>
    </w:rPr>
  </w:style>
  <w:style w:type="paragraph" w:styleId="19">
    <w:name w:val="footer"/>
    <w:basedOn w:val="1"/>
    <w:link w:val="35"/>
    <w:autoRedefine/>
    <w:qFormat/>
    <w:uiPriority w:val="0"/>
    <w:pPr>
      <w:tabs>
        <w:tab w:val="center" w:pos="4153"/>
        <w:tab w:val="right" w:pos="8306"/>
      </w:tabs>
      <w:snapToGrid w:val="0"/>
      <w:jc w:val="left"/>
    </w:pPr>
    <w:rPr>
      <w:rFonts w:ascii="Calibri" w:hAnsi="Calibri"/>
      <w:sz w:val="18"/>
      <w:szCs w:val="18"/>
    </w:rPr>
  </w:style>
  <w:style w:type="paragraph" w:styleId="20">
    <w:name w:val="header"/>
    <w:basedOn w:val="1"/>
    <w:link w:val="39"/>
    <w:autoRedefine/>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styleId="21">
    <w:name w:val="toc 1"/>
    <w:basedOn w:val="1"/>
    <w:next w:val="1"/>
    <w:autoRedefine/>
    <w:qFormat/>
    <w:uiPriority w:val="39"/>
    <w:pPr>
      <w:tabs>
        <w:tab w:val="right" w:leader="dot" w:pos="8630"/>
      </w:tabs>
      <w:spacing w:line="540" w:lineRule="exact"/>
    </w:pPr>
  </w:style>
  <w:style w:type="paragraph" w:styleId="22">
    <w:name w:val="List"/>
    <w:basedOn w:val="1"/>
    <w:autoRedefine/>
    <w:qFormat/>
    <w:uiPriority w:val="0"/>
    <w:pPr>
      <w:ind w:left="200" w:hanging="200" w:hangingChars="200"/>
    </w:pPr>
  </w:style>
  <w:style w:type="paragraph" w:styleId="23">
    <w:name w:val="Body Text Indent 3"/>
    <w:basedOn w:val="1"/>
    <w:autoRedefine/>
    <w:qFormat/>
    <w:uiPriority w:val="0"/>
    <w:pPr>
      <w:spacing w:after="120"/>
      <w:ind w:left="420" w:leftChars="200"/>
    </w:pPr>
    <w:rPr>
      <w:sz w:val="16"/>
      <w:szCs w:val="16"/>
    </w:rPr>
  </w:style>
  <w:style w:type="paragraph" w:styleId="24">
    <w:name w:val="toc 2"/>
    <w:basedOn w:val="1"/>
    <w:next w:val="1"/>
    <w:autoRedefine/>
    <w:qFormat/>
    <w:uiPriority w:val="39"/>
    <w:pPr>
      <w:ind w:left="420" w:leftChars="200"/>
    </w:pPr>
  </w:style>
  <w:style w:type="paragraph" w:styleId="25">
    <w:name w:val="Body Text 2"/>
    <w:basedOn w:val="1"/>
    <w:autoRedefine/>
    <w:qFormat/>
    <w:uiPriority w:val="0"/>
    <w:pPr>
      <w:spacing w:after="120" w:line="480" w:lineRule="auto"/>
    </w:pPr>
  </w:style>
  <w:style w:type="paragraph" w:styleId="26">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Arial" w:hAnsi="Arial" w:cs="Arial"/>
      <w:kern w:val="0"/>
      <w:szCs w:val="21"/>
    </w:rPr>
  </w:style>
  <w:style w:type="paragraph" w:styleId="27">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28">
    <w:name w:val="annotation subject"/>
    <w:basedOn w:val="8"/>
    <w:next w:val="8"/>
    <w:link w:val="53"/>
    <w:autoRedefine/>
    <w:semiHidden/>
    <w:unhideWhenUsed/>
    <w:qFormat/>
    <w:uiPriority w:val="99"/>
    <w:rPr>
      <w:b/>
      <w:bCs/>
    </w:rPr>
  </w:style>
  <w:style w:type="character" w:styleId="31">
    <w:name w:val="page number"/>
    <w:basedOn w:val="30"/>
    <w:autoRedefine/>
    <w:qFormat/>
    <w:uiPriority w:val="0"/>
  </w:style>
  <w:style w:type="character" w:styleId="32">
    <w:name w:val="Hyperlink"/>
    <w:autoRedefine/>
    <w:qFormat/>
    <w:uiPriority w:val="99"/>
    <w:rPr>
      <w:color w:val="0000FF"/>
      <w:u w:val="single"/>
    </w:rPr>
  </w:style>
  <w:style w:type="character" w:styleId="33">
    <w:name w:val="annotation reference"/>
    <w:autoRedefine/>
    <w:qFormat/>
    <w:uiPriority w:val="0"/>
    <w:rPr>
      <w:sz w:val="21"/>
      <w:szCs w:val="21"/>
    </w:rPr>
  </w:style>
  <w:style w:type="character" w:customStyle="1" w:styleId="34">
    <w:name w:val="纯文本 Char"/>
    <w:link w:val="15"/>
    <w:autoRedefine/>
    <w:qFormat/>
    <w:uiPriority w:val="0"/>
    <w:rPr>
      <w:rFonts w:ascii="宋体" w:hAnsi="Courier New" w:eastAsia="宋体"/>
      <w:kern w:val="2"/>
      <w:sz w:val="24"/>
      <w:szCs w:val="24"/>
      <w:lang w:val="en-US" w:eastAsia="zh-CN" w:bidi="ar-SA"/>
    </w:rPr>
  </w:style>
  <w:style w:type="character" w:customStyle="1" w:styleId="35">
    <w:name w:val="页脚 Char"/>
    <w:link w:val="19"/>
    <w:autoRedefine/>
    <w:qFormat/>
    <w:uiPriority w:val="0"/>
    <w:rPr>
      <w:rFonts w:ascii="Calibri" w:hAnsi="Calibri" w:eastAsia="宋体"/>
      <w:kern w:val="2"/>
      <w:sz w:val="18"/>
      <w:szCs w:val="18"/>
      <w:lang w:val="en-US" w:eastAsia="zh-CN" w:bidi="ar-SA"/>
    </w:rPr>
  </w:style>
  <w:style w:type="character" w:customStyle="1" w:styleId="36">
    <w:name w:val="标题 1 Char"/>
    <w:link w:val="2"/>
    <w:autoRedefine/>
    <w:qFormat/>
    <w:uiPriority w:val="0"/>
    <w:rPr>
      <w:b/>
      <w:bCs/>
      <w:i/>
      <w:iCs/>
      <w:kern w:val="2"/>
      <w:sz w:val="52"/>
    </w:rPr>
  </w:style>
  <w:style w:type="character" w:customStyle="1" w:styleId="37">
    <w:name w:val="Char Char8"/>
    <w:autoRedefine/>
    <w:qFormat/>
    <w:uiPriority w:val="0"/>
    <w:rPr>
      <w:rFonts w:ascii="宋体" w:hAnsi="Courier New" w:eastAsia="宋体"/>
      <w:kern w:val="2"/>
      <w:sz w:val="24"/>
      <w:szCs w:val="24"/>
      <w:lang w:val="en-US" w:eastAsia="zh-CN" w:bidi="ar-SA"/>
    </w:rPr>
  </w:style>
  <w:style w:type="character" w:customStyle="1" w:styleId="38">
    <w:name w:val="正文文本缩进 Char"/>
    <w:link w:val="11"/>
    <w:autoRedefine/>
    <w:qFormat/>
    <w:uiPriority w:val="0"/>
    <w:rPr>
      <w:kern w:val="2"/>
      <w:sz w:val="24"/>
      <w:szCs w:val="24"/>
    </w:rPr>
  </w:style>
  <w:style w:type="character" w:customStyle="1" w:styleId="39">
    <w:name w:val="页眉 Char"/>
    <w:link w:val="20"/>
    <w:autoRedefine/>
    <w:qFormat/>
    <w:uiPriority w:val="0"/>
    <w:rPr>
      <w:rFonts w:ascii="Calibri" w:hAnsi="Calibri" w:eastAsia="宋体"/>
      <w:kern w:val="2"/>
      <w:sz w:val="18"/>
      <w:szCs w:val="18"/>
      <w:lang w:val="en-US" w:eastAsia="zh-CN" w:bidi="ar-SA"/>
    </w:rPr>
  </w:style>
  <w:style w:type="paragraph" w:customStyle="1" w:styleId="40">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1">
    <w:name w:val="正文段"/>
    <w:basedOn w:val="1"/>
    <w:autoRedefine/>
    <w:qFormat/>
    <w:uiPriority w:val="0"/>
    <w:pPr>
      <w:widowControl/>
      <w:numPr>
        <w:ilvl w:val="0"/>
        <w:numId w:val="1"/>
      </w:numPr>
      <w:tabs>
        <w:tab w:val="clear" w:pos="1200"/>
      </w:tabs>
      <w:snapToGrid w:val="0"/>
      <w:spacing w:afterLines="50"/>
      <w:ind w:left="0" w:firstLine="200" w:firstLineChars="200"/>
    </w:pPr>
    <w:rPr>
      <w:kern w:val="0"/>
      <w:sz w:val="24"/>
      <w:szCs w:val="20"/>
    </w:rPr>
  </w:style>
  <w:style w:type="paragraph" w:customStyle="1" w:styleId="42">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43">
    <w:name w:val="默认段落字体 Para Char Char Char Char Char Char Char Char Char Char Char Char Char Char Char Char Char Char Char"/>
    <w:basedOn w:val="1"/>
    <w:autoRedefine/>
    <w:qFormat/>
    <w:uiPriority w:val="0"/>
    <w:rPr>
      <w:rFonts w:ascii="Tahoma" w:hAnsi="Tahoma"/>
      <w:sz w:val="24"/>
    </w:rPr>
  </w:style>
  <w:style w:type="paragraph" w:customStyle="1" w:styleId="44">
    <w:name w:val="Char Char Char Char Char Char Char Char Char Char Char Char1 Char"/>
    <w:basedOn w:val="7"/>
    <w:autoRedefine/>
    <w:qFormat/>
    <w:uiPriority w:val="0"/>
    <w:rPr>
      <w:rFonts w:ascii="Tahoma" w:hAnsi="Tahoma"/>
      <w:sz w:val="24"/>
    </w:rPr>
  </w:style>
  <w:style w:type="paragraph" w:customStyle="1" w:styleId="45">
    <w:name w:val="正文－恩普"/>
    <w:basedOn w:val="5"/>
    <w:autoRedefine/>
    <w:qFormat/>
    <w:uiPriority w:val="0"/>
    <w:pPr>
      <w:widowControl/>
      <w:spacing w:line="360" w:lineRule="auto"/>
      <w:ind w:firstLine="480" w:firstLineChars="200"/>
      <w:jc w:val="left"/>
    </w:pPr>
    <w:rPr>
      <w:kern w:val="0"/>
      <w:sz w:val="24"/>
    </w:rPr>
  </w:style>
  <w:style w:type="paragraph" w:customStyle="1" w:styleId="46">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7">
    <w:name w:val="WPS Plain"/>
    <w:autoRedefine/>
    <w:qFormat/>
    <w:uiPriority w:val="0"/>
    <w:rPr>
      <w:rFonts w:ascii="Times New Roman" w:hAnsi="Times New Roman" w:eastAsia="宋体" w:cs="Times New Roman"/>
      <w:lang w:val="en-US" w:eastAsia="zh-CN" w:bidi="ar-SA"/>
    </w:rPr>
  </w:style>
  <w:style w:type="paragraph" w:customStyle="1" w:styleId="48">
    <w:name w:val="Char Char Char Char Char Char Char"/>
    <w:basedOn w:val="1"/>
    <w:autoRedefine/>
    <w:qFormat/>
    <w:uiPriority w:val="0"/>
    <w:rPr>
      <w:rFonts w:ascii="Tahoma" w:hAnsi="Tahoma"/>
      <w:sz w:val="24"/>
      <w:szCs w:val="20"/>
    </w:rPr>
  </w:style>
  <w:style w:type="paragraph" w:customStyle="1" w:styleId="49">
    <w:name w:val="默认段落字体 Para Char Char Char Char Char Char Char Char Char1 Char Char Char Char"/>
    <w:basedOn w:val="1"/>
    <w:autoRedefine/>
    <w:qFormat/>
    <w:uiPriority w:val="0"/>
    <w:rPr>
      <w:rFonts w:ascii="Tahoma" w:hAnsi="Tahoma"/>
      <w:sz w:val="24"/>
      <w:szCs w:val="20"/>
    </w:rPr>
  </w:style>
  <w:style w:type="paragraph" w:customStyle="1" w:styleId="50">
    <w:name w:val="Char"/>
    <w:basedOn w:val="1"/>
    <w:autoRedefine/>
    <w:qFormat/>
    <w:uiPriority w:val="0"/>
    <w:rPr>
      <w:rFonts w:ascii="仿宋_GB2312" w:eastAsia="仿宋_GB2312"/>
      <w:b/>
      <w:sz w:val="32"/>
      <w:szCs w:val="32"/>
    </w:rPr>
  </w:style>
  <w:style w:type="paragraph" w:customStyle="1" w:styleId="51">
    <w:name w:val="Char1"/>
    <w:basedOn w:val="1"/>
    <w:autoRedefine/>
    <w:qFormat/>
    <w:uiPriority w:val="0"/>
    <w:rPr>
      <w:rFonts w:ascii="仿宋_GB2312" w:eastAsia="仿宋_GB2312"/>
      <w:b/>
      <w:sz w:val="32"/>
      <w:szCs w:val="32"/>
    </w:rPr>
  </w:style>
  <w:style w:type="character" w:customStyle="1" w:styleId="52">
    <w:name w:val="批注文字 Char"/>
    <w:link w:val="8"/>
    <w:autoRedefine/>
    <w:semiHidden/>
    <w:qFormat/>
    <w:uiPriority w:val="99"/>
    <w:rPr>
      <w:kern w:val="2"/>
      <w:sz w:val="21"/>
      <w:szCs w:val="24"/>
    </w:rPr>
  </w:style>
  <w:style w:type="character" w:customStyle="1" w:styleId="53">
    <w:name w:val="批注主题 Char"/>
    <w:link w:val="28"/>
    <w:autoRedefine/>
    <w:semiHidden/>
    <w:qFormat/>
    <w:uiPriority w:val="99"/>
    <w:rPr>
      <w:b/>
      <w:bCs/>
      <w:kern w:val="2"/>
      <w:sz w:val="21"/>
      <w:szCs w:val="24"/>
    </w:rPr>
  </w:style>
  <w:style w:type="paragraph" w:styleId="54">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45</Pages>
  <Words>14046</Words>
  <Characters>15112</Characters>
  <Lines>130</Lines>
  <Paragraphs>36</Paragraphs>
  <TotalTime>82</TotalTime>
  <ScaleCrop>false</ScaleCrop>
  <LinksUpToDate>false</LinksUpToDate>
  <CharactersWithSpaces>15268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2022-07-12T01:15:00Z</dcterms:created>
  <dc:creator>Lenovo User</dc:creator>
  <cp:lastModifiedBy>WPS_1558078517</cp:lastModifiedBy>
  <cp:lastPrinted>2023-03-31T06:31:00Z</cp:lastPrinted>
  <dcterms:modified xsi:type="dcterms:W3CDTF">2025-04-01T08:38:36Z</dcterms:modified>
  <dc:title>公开招标采购文件</dc:title>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34613072CF1B46D992B5D9667C9D416F</vt:lpwstr>
  </property>
  <property fmtid="{D5CDD505-2E9C-101B-9397-08002B2CF9AE}" pid="4" name="KSOTemplateDocerSaveRecord">
    <vt:lpwstr>eyJoZGlkIjoiYTdiYzg4OGE1MTY2MzcwZTdiNzEzNzA3MzcxNjdmNGUiLCJ1c2VySWQiOiI1NTcyMTEwMzQifQ==</vt:lpwstr>
  </property>
</Properties>
</file>