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6B0D1E">
      <w:pPr>
        <w:widowControl/>
        <w:spacing w:line="360" w:lineRule="auto"/>
        <w:jc w:val="left"/>
        <w:rPr>
          <w:color w:val="auto"/>
          <w:highlight w:val="none"/>
        </w:rPr>
      </w:pPr>
    </w:p>
    <w:p w14:paraId="762EEE0F">
      <w:pPr>
        <w:widowControl/>
        <w:spacing w:line="360" w:lineRule="auto"/>
        <w:jc w:val="center"/>
        <w:rPr>
          <w:color w:val="auto"/>
          <w:highlight w:val="none"/>
        </w:rPr>
      </w:pPr>
      <w:bookmarkStart w:id="12" w:name="_GoBack"/>
      <w:r>
        <w:rPr>
          <w:rFonts w:hint="eastAsia"/>
          <w:b/>
          <w:color w:val="auto"/>
          <w:sz w:val="36"/>
          <w:szCs w:val="36"/>
          <w:highlight w:val="none"/>
          <w:lang w:eastAsia="zh-CN"/>
        </w:rPr>
        <w:t>杭州市萧山区人民政府新塘街道办事处2025年度存款账户招标项目</w:t>
      </w:r>
      <w:bookmarkEnd w:id="12"/>
    </w:p>
    <w:p w14:paraId="4082AFFB">
      <w:pPr>
        <w:spacing w:before="120" w:beforeLines="50" w:line="360" w:lineRule="auto"/>
        <w:jc w:val="center"/>
        <w:rPr>
          <w:b/>
          <w:color w:val="auto"/>
          <w:sz w:val="72"/>
          <w:szCs w:val="72"/>
          <w:highlight w:val="none"/>
        </w:rPr>
      </w:pPr>
    </w:p>
    <w:p w14:paraId="33E75971">
      <w:pPr>
        <w:spacing w:before="120" w:beforeLines="50" w:line="360" w:lineRule="auto"/>
        <w:jc w:val="center"/>
        <w:rPr>
          <w:b/>
          <w:color w:val="auto"/>
          <w:sz w:val="72"/>
          <w:szCs w:val="72"/>
          <w:highlight w:val="none"/>
        </w:rPr>
      </w:pPr>
      <w:r>
        <w:rPr>
          <w:b/>
          <w:color w:val="auto"/>
          <w:sz w:val="72"/>
          <w:szCs w:val="72"/>
          <w:highlight w:val="none"/>
        </w:rPr>
        <w:t>公开招标文件</w:t>
      </w:r>
    </w:p>
    <w:p w14:paraId="3CCDC48D">
      <w:pPr>
        <w:widowControl/>
        <w:spacing w:line="360" w:lineRule="auto"/>
        <w:jc w:val="left"/>
        <w:rPr>
          <w:color w:val="auto"/>
          <w:highlight w:val="none"/>
        </w:rPr>
      </w:pPr>
    </w:p>
    <w:p w14:paraId="37F3D703">
      <w:pPr>
        <w:widowControl/>
        <w:spacing w:line="360" w:lineRule="auto"/>
        <w:jc w:val="left"/>
        <w:rPr>
          <w:color w:val="auto"/>
          <w:highlight w:val="none"/>
        </w:rPr>
      </w:pPr>
    </w:p>
    <w:p w14:paraId="3F66F765">
      <w:pPr>
        <w:widowControl/>
        <w:spacing w:line="360" w:lineRule="auto"/>
        <w:jc w:val="left"/>
        <w:rPr>
          <w:color w:val="auto"/>
          <w:highlight w:val="none"/>
        </w:rPr>
      </w:pPr>
    </w:p>
    <w:p w14:paraId="41509956">
      <w:pPr>
        <w:widowControl/>
        <w:spacing w:line="360" w:lineRule="auto"/>
        <w:jc w:val="left"/>
        <w:rPr>
          <w:color w:val="auto"/>
          <w:highlight w:val="none"/>
        </w:rPr>
      </w:pPr>
    </w:p>
    <w:p w14:paraId="4F773AF6">
      <w:pPr>
        <w:widowControl/>
        <w:spacing w:line="360" w:lineRule="auto"/>
        <w:jc w:val="left"/>
        <w:rPr>
          <w:color w:val="auto"/>
          <w:highlight w:val="none"/>
        </w:rPr>
      </w:pPr>
    </w:p>
    <w:p w14:paraId="4885FDBD">
      <w:pPr>
        <w:pStyle w:val="16"/>
        <w:snapToGrid w:val="0"/>
        <w:spacing w:before="120" w:after="120" w:line="360" w:lineRule="auto"/>
        <w:ind w:firstLine="904" w:firstLineChars="300"/>
        <w:rPr>
          <w:rFonts w:hint="eastAsia" w:ascii="Times New Roman" w:hAnsi="Times New Roman"/>
          <w:b/>
          <w:bCs/>
          <w:color w:val="auto"/>
          <w:spacing w:val="-16"/>
          <w:sz w:val="30"/>
          <w:szCs w:val="30"/>
          <w:highlight w:val="none"/>
        </w:rPr>
      </w:pPr>
      <w:r>
        <w:rPr>
          <w:rFonts w:ascii="Times New Roman" w:hAnsi="Times New Roman"/>
          <w:b/>
          <w:bCs/>
          <w:color w:val="auto"/>
          <w:sz w:val="30"/>
          <w:szCs w:val="30"/>
          <w:highlight w:val="none"/>
        </w:rPr>
        <w:t>项</w:t>
      </w:r>
      <w:r>
        <w:rPr>
          <w:rFonts w:ascii="Times New Roman" w:hAnsi="Times New Roman"/>
          <w:b/>
          <w:bCs/>
          <w:color w:val="auto"/>
          <w:spacing w:val="-16"/>
          <w:sz w:val="30"/>
          <w:szCs w:val="30"/>
          <w:highlight w:val="none"/>
        </w:rPr>
        <w:t>目编号：</w:t>
      </w:r>
      <w:r>
        <w:rPr>
          <w:rFonts w:hint="eastAsia" w:ascii="Times New Roman" w:hAnsi="Times New Roman"/>
          <w:b/>
          <w:bCs/>
          <w:color w:val="auto"/>
          <w:spacing w:val="-16"/>
          <w:sz w:val="30"/>
          <w:szCs w:val="30"/>
          <w:highlight w:val="none"/>
          <w:lang w:val="en-US" w:eastAsia="zh-CN"/>
        </w:rPr>
        <w:t xml:space="preserve">XT-GYGK-2025615 </w:t>
      </w:r>
    </w:p>
    <w:p w14:paraId="695E101B">
      <w:pPr>
        <w:snapToGrid w:val="0"/>
        <w:spacing w:before="120" w:beforeLines="50" w:line="360" w:lineRule="auto"/>
        <w:jc w:val="center"/>
        <w:rPr>
          <w:b/>
          <w:bCs/>
          <w:color w:val="auto"/>
          <w:w w:val="95"/>
          <w:sz w:val="30"/>
          <w:szCs w:val="30"/>
          <w:highlight w:val="none"/>
        </w:rPr>
      </w:pPr>
      <w:r>
        <w:rPr>
          <w:rFonts w:hint="eastAsia" w:ascii="Times New Roman" w:hAnsi="宋体"/>
          <w:b/>
          <w:bCs/>
          <w:color w:val="auto"/>
          <w:spacing w:val="-16"/>
          <w:sz w:val="30"/>
          <w:szCs w:val="30"/>
          <w:highlight w:val="none"/>
          <w:lang w:val="en-US" w:eastAsia="zh-CN"/>
        </w:rPr>
        <w:t xml:space="preserve">       </w:t>
      </w:r>
      <w:r>
        <w:rPr>
          <w:rFonts w:ascii="Times New Roman" w:hAnsi="宋体"/>
          <w:b/>
          <w:bCs/>
          <w:color w:val="auto"/>
          <w:spacing w:val="-16"/>
          <w:sz w:val="30"/>
          <w:szCs w:val="30"/>
          <w:highlight w:val="none"/>
        </w:rPr>
        <w:t>项目名称：</w:t>
      </w:r>
      <w:r>
        <w:rPr>
          <w:rFonts w:hint="eastAsia" w:cs="Times New Roman"/>
          <w:b/>
          <w:color w:val="auto"/>
          <w:sz w:val="30"/>
          <w:szCs w:val="72"/>
          <w:highlight w:val="none"/>
          <w:lang w:eastAsia="zh-CN"/>
        </w:rPr>
        <w:t>杭州市萧山区人民政府新塘街道办事处2025年度存款账户招标项目</w:t>
      </w:r>
    </w:p>
    <w:p w14:paraId="72284EE3">
      <w:pPr>
        <w:widowControl/>
        <w:spacing w:line="360" w:lineRule="auto"/>
        <w:jc w:val="left"/>
        <w:rPr>
          <w:color w:val="auto"/>
          <w:highlight w:val="none"/>
        </w:rPr>
      </w:pPr>
    </w:p>
    <w:p w14:paraId="00645696">
      <w:pPr>
        <w:widowControl/>
        <w:spacing w:line="360" w:lineRule="auto"/>
        <w:jc w:val="left"/>
        <w:rPr>
          <w:color w:val="auto"/>
          <w:highlight w:val="none"/>
        </w:rPr>
      </w:pPr>
    </w:p>
    <w:p w14:paraId="1CFFF9BF">
      <w:pPr>
        <w:widowControl/>
        <w:spacing w:line="360" w:lineRule="auto"/>
        <w:jc w:val="left"/>
        <w:rPr>
          <w:color w:val="auto"/>
          <w:highlight w:val="none"/>
        </w:rPr>
      </w:pPr>
    </w:p>
    <w:p w14:paraId="53F24037">
      <w:pPr>
        <w:pStyle w:val="47"/>
        <w:rPr>
          <w:color w:val="auto"/>
          <w:highlight w:val="none"/>
        </w:rPr>
      </w:pPr>
    </w:p>
    <w:p w14:paraId="3F4A17E4">
      <w:pPr>
        <w:rPr>
          <w:color w:val="auto"/>
          <w:highlight w:val="none"/>
        </w:rPr>
      </w:pPr>
    </w:p>
    <w:p w14:paraId="0F618740">
      <w:pPr>
        <w:pStyle w:val="47"/>
        <w:rPr>
          <w:color w:val="auto"/>
          <w:highlight w:val="none"/>
        </w:rPr>
      </w:pPr>
    </w:p>
    <w:p w14:paraId="2766C832"/>
    <w:p w14:paraId="270D646B">
      <w:pPr>
        <w:pStyle w:val="16"/>
        <w:snapToGrid w:val="0"/>
        <w:spacing w:before="120" w:after="120" w:line="360" w:lineRule="auto"/>
        <w:ind w:firstLine="904" w:firstLineChars="300"/>
        <w:rPr>
          <w:rFonts w:hint="eastAsia" w:ascii="Times New Roman" w:hAnsi="Times New Roman" w:eastAsia="宋体"/>
          <w:b/>
          <w:color w:val="auto"/>
          <w:sz w:val="30"/>
          <w:szCs w:val="72"/>
          <w:highlight w:val="none"/>
          <w:lang w:eastAsia="zh-CN"/>
        </w:rPr>
      </w:pPr>
      <w:r>
        <w:rPr>
          <w:rFonts w:hint="eastAsia" w:ascii="Times New Roman" w:hAnsi="Times New Roman"/>
          <w:b/>
          <w:color w:val="auto"/>
          <w:sz w:val="30"/>
          <w:szCs w:val="72"/>
          <w:highlight w:val="none"/>
        </w:rPr>
        <w:t>招标</w:t>
      </w:r>
      <w:r>
        <w:rPr>
          <w:rFonts w:ascii="Times New Roman" w:hAnsi="Times New Roman"/>
          <w:b/>
          <w:color w:val="auto"/>
          <w:sz w:val="30"/>
          <w:szCs w:val="72"/>
          <w:highlight w:val="none"/>
        </w:rPr>
        <w:t>单位：</w:t>
      </w:r>
      <w:r>
        <w:rPr>
          <w:rFonts w:hint="eastAsia" w:ascii="Times New Roman" w:hAnsi="Times New Roman" w:cs="Times New Roman"/>
          <w:b/>
          <w:color w:val="auto"/>
          <w:sz w:val="30"/>
          <w:szCs w:val="72"/>
          <w:highlight w:val="none"/>
          <w:lang w:eastAsia="zh-CN"/>
        </w:rPr>
        <w:t>杭州市萧山区人民政府新塘街道办事处</w:t>
      </w:r>
    </w:p>
    <w:p w14:paraId="63814031">
      <w:pPr>
        <w:widowControl/>
        <w:spacing w:line="360" w:lineRule="auto"/>
        <w:ind w:firstLine="904" w:firstLineChars="300"/>
        <w:jc w:val="left"/>
        <w:rPr>
          <w:rFonts w:hint="eastAsia" w:eastAsia="宋体"/>
          <w:b/>
          <w:color w:val="auto"/>
          <w:sz w:val="30"/>
          <w:szCs w:val="72"/>
          <w:highlight w:val="none"/>
          <w:lang w:eastAsia="zh-CN"/>
        </w:rPr>
      </w:pPr>
      <w:r>
        <w:rPr>
          <w:rFonts w:hint="eastAsia"/>
          <w:b/>
          <w:color w:val="auto"/>
          <w:sz w:val="30"/>
          <w:szCs w:val="72"/>
          <w:highlight w:val="none"/>
        </w:rPr>
        <w:t>招标</w:t>
      </w:r>
      <w:r>
        <w:rPr>
          <w:b/>
          <w:color w:val="auto"/>
          <w:sz w:val="30"/>
          <w:szCs w:val="72"/>
          <w:highlight w:val="none"/>
        </w:rPr>
        <w:t xml:space="preserve">代理机构： </w:t>
      </w:r>
      <w:r>
        <w:rPr>
          <w:rFonts w:hint="eastAsia"/>
          <w:b/>
          <w:color w:val="auto"/>
          <w:sz w:val="30"/>
          <w:szCs w:val="72"/>
          <w:highlight w:val="none"/>
          <w:lang w:eastAsia="zh-CN"/>
        </w:rPr>
        <w:t>浙江华域高宇项目管理有限公司</w:t>
      </w:r>
    </w:p>
    <w:p w14:paraId="525FDA23">
      <w:pPr>
        <w:widowControl/>
        <w:spacing w:line="360" w:lineRule="auto"/>
        <w:jc w:val="left"/>
        <w:rPr>
          <w:rFonts w:hint="eastAsia"/>
          <w:color w:val="auto"/>
          <w:highlight w:val="none"/>
        </w:rPr>
      </w:pPr>
    </w:p>
    <w:p w14:paraId="035B1782">
      <w:pPr>
        <w:widowControl/>
        <w:jc w:val="left"/>
        <w:rPr>
          <w:rFonts w:hint="eastAsia"/>
          <w:color w:val="auto"/>
          <w:highlight w:val="none"/>
        </w:rPr>
      </w:pPr>
    </w:p>
    <w:p w14:paraId="7615D1D5">
      <w:pPr>
        <w:widowControl/>
        <w:spacing w:line="360" w:lineRule="auto"/>
        <w:jc w:val="center"/>
        <w:rPr>
          <w:b/>
          <w:bCs/>
          <w:color w:val="auto"/>
          <w:w w:val="95"/>
          <w:sz w:val="32"/>
          <w:szCs w:val="32"/>
          <w:highlight w:val="none"/>
        </w:rPr>
      </w:pPr>
      <w:r>
        <w:rPr>
          <w:rFonts w:hint="eastAsia"/>
          <w:b/>
          <w:bCs/>
          <w:color w:val="auto"/>
          <w:w w:val="95"/>
          <w:sz w:val="32"/>
          <w:szCs w:val="32"/>
          <w:highlight w:val="none"/>
          <w:lang w:eastAsia="zh-CN"/>
        </w:rPr>
        <w:t>202</w:t>
      </w:r>
      <w:r>
        <w:rPr>
          <w:rFonts w:hint="eastAsia"/>
          <w:b/>
          <w:bCs/>
          <w:color w:val="auto"/>
          <w:w w:val="95"/>
          <w:sz w:val="32"/>
          <w:szCs w:val="32"/>
          <w:highlight w:val="none"/>
          <w:lang w:val="en-US" w:eastAsia="zh-CN"/>
        </w:rPr>
        <w:t>5</w:t>
      </w:r>
      <w:r>
        <w:rPr>
          <w:b/>
          <w:bCs/>
          <w:color w:val="auto"/>
          <w:w w:val="95"/>
          <w:sz w:val="32"/>
          <w:szCs w:val="32"/>
          <w:highlight w:val="none"/>
        </w:rPr>
        <w:t>年</w:t>
      </w:r>
      <w:r>
        <w:rPr>
          <w:rFonts w:hint="eastAsia"/>
          <w:b/>
          <w:bCs/>
          <w:color w:val="auto"/>
          <w:w w:val="95"/>
          <w:sz w:val="32"/>
          <w:szCs w:val="32"/>
          <w:highlight w:val="none"/>
          <w:lang w:val="en-US" w:eastAsia="zh-CN"/>
        </w:rPr>
        <w:t>6</w:t>
      </w:r>
      <w:r>
        <w:rPr>
          <w:b/>
          <w:bCs/>
          <w:color w:val="auto"/>
          <w:w w:val="95"/>
          <w:sz w:val="32"/>
          <w:szCs w:val="32"/>
          <w:highlight w:val="none"/>
        </w:rPr>
        <w:t>月</w:t>
      </w:r>
    </w:p>
    <w:p w14:paraId="4C82AE2D">
      <w:pPr>
        <w:snapToGrid w:val="0"/>
        <w:spacing w:before="120" w:beforeLines="50" w:line="360" w:lineRule="auto"/>
        <w:rPr>
          <w:color w:val="auto"/>
          <w:sz w:val="30"/>
          <w:szCs w:val="20"/>
          <w:highlight w:val="none"/>
        </w:rPr>
        <w:sectPr>
          <w:footerReference r:id="rId3" w:type="even"/>
          <w:pgSz w:w="11906" w:h="16838"/>
          <w:pgMar w:top="1474" w:right="1797" w:bottom="1247" w:left="1797" w:header="851" w:footer="851" w:gutter="0"/>
          <w:pgBorders w:offsetFrom="page">
            <w:top w:val="none" w:sz="0" w:space="0"/>
            <w:left w:val="none" w:sz="0" w:space="0"/>
            <w:bottom w:val="none" w:sz="0" w:space="0"/>
            <w:right w:val="none" w:sz="0" w:space="0"/>
          </w:pgBorders>
          <w:pgNumType w:fmt="numberInDash" w:start="1"/>
          <w:cols w:space="720" w:num="1"/>
          <w:docGrid w:linePitch="312" w:charSpace="0"/>
        </w:sectPr>
      </w:pPr>
    </w:p>
    <w:p w14:paraId="68CA0C0E">
      <w:pPr>
        <w:pStyle w:val="16"/>
        <w:spacing w:before="120" w:after="120" w:line="360" w:lineRule="auto"/>
        <w:jc w:val="center"/>
        <w:rPr>
          <w:rFonts w:ascii="Times New Roman" w:hAnsi="Times New Roman"/>
          <w:color w:val="auto"/>
          <w:highlight w:val="none"/>
        </w:rPr>
      </w:pPr>
    </w:p>
    <w:p w14:paraId="74FA3D37">
      <w:pPr>
        <w:pStyle w:val="16"/>
        <w:spacing w:before="120" w:after="120" w:line="360" w:lineRule="auto"/>
        <w:jc w:val="center"/>
        <w:rPr>
          <w:rFonts w:ascii="Times New Roman" w:hAnsi="Times New Roman" w:eastAsia="创艺简标宋"/>
          <w:color w:val="auto"/>
          <w:sz w:val="44"/>
          <w:szCs w:val="44"/>
          <w:highlight w:val="none"/>
        </w:rPr>
      </w:pPr>
      <w:r>
        <w:rPr>
          <w:rFonts w:ascii="Times New Roman" w:hAnsi="Times New Roman" w:eastAsia="创艺简标宋"/>
          <w:color w:val="auto"/>
          <w:sz w:val="44"/>
          <w:szCs w:val="44"/>
          <w:highlight w:val="none"/>
        </w:rPr>
        <w:t>目录</w:t>
      </w:r>
    </w:p>
    <w:p w14:paraId="369BB770">
      <w:pPr>
        <w:numPr>
          <w:ilvl w:val="0"/>
          <w:numId w:val="3"/>
        </w:numPr>
        <w:spacing w:before="120" w:beforeLines="50" w:line="360" w:lineRule="auto"/>
        <w:rPr>
          <w:color w:val="auto"/>
          <w:sz w:val="30"/>
          <w:szCs w:val="20"/>
          <w:highlight w:val="none"/>
        </w:rPr>
      </w:pPr>
      <w:r>
        <w:rPr>
          <w:color w:val="auto"/>
          <w:sz w:val="30"/>
          <w:highlight w:val="none"/>
        </w:rPr>
        <w:t>招标公告</w:t>
      </w:r>
    </w:p>
    <w:p w14:paraId="27D594DA">
      <w:pPr>
        <w:numPr>
          <w:ilvl w:val="0"/>
          <w:numId w:val="3"/>
        </w:numPr>
        <w:spacing w:before="120" w:beforeLines="50" w:line="360" w:lineRule="auto"/>
        <w:rPr>
          <w:color w:val="auto"/>
          <w:sz w:val="30"/>
          <w:szCs w:val="20"/>
          <w:highlight w:val="none"/>
        </w:rPr>
      </w:pPr>
      <w:r>
        <w:rPr>
          <w:color w:val="auto"/>
          <w:sz w:val="30"/>
          <w:highlight w:val="none"/>
        </w:rPr>
        <w:t>投标须知</w:t>
      </w:r>
    </w:p>
    <w:p w14:paraId="506AF3DB">
      <w:pPr>
        <w:numPr>
          <w:ilvl w:val="0"/>
          <w:numId w:val="3"/>
        </w:numPr>
        <w:spacing w:before="120" w:beforeLines="50" w:line="360" w:lineRule="auto"/>
        <w:rPr>
          <w:color w:val="auto"/>
          <w:sz w:val="30"/>
          <w:szCs w:val="20"/>
          <w:highlight w:val="none"/>
        </w:rPr>
      </w:pPr>
      <w:r>
        <w:rPr>
          <w:color w:val="auto"/>
          <w:sz w:val="30"/>
          <w:highlight w:val="none"/>
        </w:rPr>
        <w:t>招标内容</w:t>
      </w:r>
    </w:p>
    <w:p w14:paraId="0D51B3C3">
      <w:pPr>
        <w:numPr>
          <w:ilvl w:val="0"/>
          <w:numId w:val="3"/>
        </w:numPr>
        <w:spacing w:before="120" w:beforeLines="50" w:line="360" w:lineRule="auto"/>
        <w:rPr>
          <w:color w:val="auto"/>
          <w:sz w:val="30"/>
          <w:szCs w:val="20"/>
          <w:highlight w:val="none"/>
        </w:rPr>
      </w:pPr>
      <w:r>
        <w:rPr>
          <w:color w:val="auto"/>
          <w:sz w:val="30"/>
          <w:highlight w:val="none"/>
        </w:rPr>
        <w:t>评标原则及评分细则</w:t>
      </w:r>
    </w:p>
    <w:p w14:paraId="4FCE65DB">
      <w:pPr>
        <w:numPr>
          <w:ilvl w:val="0"/>
          <w:numId w:val="3"/>
        </w:numPr>
        <w:spacing w:before="120" w:beforeLines="50" w:line="360" w:lineRule="auto"/>
        <w:rPr>
          <w:color w:val="auto"/>
          <w:sz w:val="30"/>
          <w:szCs w:val="20"/>
          <w:highlight w:val="none"/>
        </w:rPr>
      </w:pPr>
      <w:r>
        <w:rPr>
          <w:color w:val="auto"/>
          <w:sz w:val="30"/>
          <w:highlight w:val="none"/>
        </w:rPr>
        <w:t>合同主要条款</w:t>
      </w:r>
    </w:p>
    <w:p w14:paraId="0FC0D75B">
      <w:pPr>
        <w:numPr>
          <w:ilvl w:val="0"/>
          <w:numId w:val="3"/>
        </w:numPr>
        <w:spacing w:before="120" w:beforeLines="50" w:line="360" w:lineRule="auto"/>
        <w:rPr>
          <w:color w:val="auto"/>
          <w:sz w:val="30"/>
          <w:szCs w:val="20"/>
          <w:highlight w:val="none"/>
        </w:rPr>
      </w:pPr>
      <w:r>
        <w:rPr>
          <w:color w:val="auto"/>
          <w:sz w:val="30"/>
          <w:highlight w:val="none"/>
        </w:rPr>
        <w:t>投标文件格式</w:t>
      </w:r>
    </w:p>
    <w:p w14:paraId="11D18141">
      <w:pPr>
        <w:pStyle w:val="16"/>
        <w:snapToGrid w:val="0"/>
        <w:spacing w:before="120" w:after="120" w:line="360" w:lineRule="auto"/>
        <w:jc w:val="center"/>
        <w:outlineLvl w:val="0"/>
        <w:rPr>
          <w:rFonts w:ascii="Times New Roman" w:hAnsi="Times New Roman" w:eastAsia="黑体"/>
          <w:color w:val="auto"/>
          <w:sz w:val="30"/>
          <w:szCs w:val="30"/>
          <w:highlight w:val="none"/>
        </w:rPr>
      </w:pPr>
      <w:r>
        <w:rPr>
          <w:rFonts w:ascii="Times New Roman" w:hAnsi="Times New Roman"/>
          <w:color w:val="auto"/>
          <w:highlight w:val="none"/>
        </w:rPr>
        <w:br w:type="page"/>
      </w:r>
      <w:r>
        <w:rPr>
          <w:rFonts w:ascii="Times New Roman" w:hAnsi="Times New Roman" w:eastAsia="黑体"/>
          <w:color w:val="auto"/>
          <w:sz w:val="30"/>
          <w:szCs w:val="30"/>
          <w:highlight w:val="none"/>
        </w:rPr>
        <w:t>第一章  公开招标公告</w:t>
      </w:r>
    </w:p>
    <w:p w14:paraId="4ACA3024">
      <w:pPr>
        <w:pStyle w:val="2"/>
        <w:pageBreakBefore w:val="0"/>
        <w:kinsoku/>
        <w:wordWrap/>
        <w:overflowPunct/>
        <w:topLinePunct w:val="0"/>
        <w:autoSpaceDE/>
        <w:autoSpaceDN/>
        <w:bidi w:val="0"/>
        <w:adjustRightInd/>
        <w:snapToGrid/>
        <w:spacing w:before="0" w:after="0" w:line="400" w:lineRule="exact"/>
        <w:ind w:firstLine="470" w:firstLineChars="196"/>
        <w:textAlignment w:val="auto"/>
        <w:rPr>
          <w:rFonts w:hint="eastAsia"/>
          <w:b w:val="0"/>
          <w:bCs/>
          <w:color w:val="auto"/>
          <w:sz w:val="24"/>
          <w:szCs w:val="24"/>
          <w:highlight w:val="none"/>
        </w:rPr>
      </w:pPr>
      <w:r>
        <w:rPr>
          <w:rFonts w:hint="eastAsia"/>
          <w:b w:val="0"/>
          <w:bCs/>
          <w:color w:val="auto"/>
          <w:kern w:val="0"/>
          <w:sz w:val="24"/>
          <w:szCs w:val="24"/>
          <w:highlight w:val="none"/>
        </w:rPr>
        <w:t>根据《 关于防止领导干部在公款存放方面发生利益冲突和利益输送的办法》( 浙委办发〔2015〕8号) 、《 杭州市萧山区区级行政事业单位公款竞争性存放管理办法》( 萧政办发〔</w:t>
      </w:r>
      <w:r>
        <w:rPr>
          <w:rFonts w:hint="eastAsia"/>
          <w:b w:val="0"/>
          <w:bCs/>
          <w:color w:val="auto"/>
          <w:kern w:val="0"/>
          <w:sz w:val="24"/>
          <w:szCs w:val="24"/>
          <w:highlight w:val="none"/>
          <w:lang w:eastAsia="zh-CN"/>
        </w:rPr>
        <w:t>202</w:t>
      </w:r>
      <w:r>
        <w:rPr>
          <w:rFonts w:hint="eastAsia"/>
          <w:b w:val="0"/>
          <w:bCs/>
          <w:color w:val="auto"/>
          <w:kern w:val="0"/>
          <w:sz w:val="24"/>
          <w:szCs w:val="24"/>
          <w:highlight w:val="none"/>
          <w:lang w:val="en-US" w:eastAsia="zh-CN"/>
        </w:rPr>
        <w:t>2</w:t>
      </w:r>
      <w:r>
        <w:rPr>
          <w:rFonts w:hint="eastAsia"/>
          <w:b w:val="0"/>
          <w:bCs/>
          <w:color w:val="auto"/>
          <w:kern w:val="0"/>
          <w:sz w:val="24"/>
          <w:szCs w:val="24"/>
          <w:highlight w:val="none"/>
        </w:rPr>
        <w:t>〕53号) 规定，决定开展公款存放招标工作，欢迎符合条件的银行机构参加投标 。</w:t>
      </w:r>
    </w:p>
    <w:p w14:paraId="2B9BDC43">
      <w:pPr>
        <w:pageBreakBefore w:val="0"/>
        <w:numPr>
          <w:ilvl w:val="0"/>
          <w:numId w:val="4"/>
        </w:numPr>
        <w:kinsoku/>
        <w:wordWrap/>
        <w:overflowPunct/>
        <w:topLinePunct w:val="0"/>
        <w:autoSpaceDE/>
        <w:autoSpaceDN/>
        <w:bidi w:val="0"/>
        <w:adjustRightInd/>
        <w:snapToGrid/>
        <w:spacing w:line="400" w:lineRule="exact"/>
        <w:textAlignment w:val="auto"/>
        <w:rPr>
          <w:rFonts w:hint="eastAsia"/>
          <w:b/>
          <w:bCs w:val="0"/>
          <w:color w:val="auto"/>
          <w:sz w:val="24"/>
          <w:highlight w:val="none"/>
        </w:rPr>
      </w:pPr>
      <w:r>
        <w:rPr>
          <w:rFonts w:hint="eastAsia"/>
          <w:b/>
          <w:bCs w:val="0"/>
          <w:color w:val="auto"/>
          <w:sz w:val="24"/>
          <w:highlight w:val="none"/>
          <w:lang w:eastAsia="zh-CN"/>
        </w:rPr>
        <w:t>招标人名称：杭州市萧山区人民政府新塘街道办事处</w:t>
      </w:r>
    </w:p>
    <w:p w14:paraId="28337B5B">
      <w:pPr>
        <w:pageBreakBefore w:val="0"/>
        <w:numPr>
          <w:ilvl w:val="0"/>
          <w:numId w:val="4"/>
        </w:numPr>
        <w:kinsoku/>
        <w:wordWrap/>
        <w:overflowPunct/>
        <w:topLinePunct w:val="0"/>
        <w:autoSpaceDE/>
        <w:autoSpaceDN/>
        <w:bidi w:val="0"/>
        <w:adjustRightInd/>
        <w:snapToGrid/>
        <w:spacing w:line="400" w:lineRule="exact"/>
        <w:textAlignment w:val="auto"/>
        <w:rPr>
          <w:rFonts w:hint="eastAsia"/>
          <w:b/>
          <w:bCs w:val="0"/>
          <w:color w:val="auto"/>
          <w:sz w:val="24"/>
          <w:highlight w:val="none"/>
        </w:rPr>
      </w:pPr>
      <w:r>
        <w:rPr>
          <w:rFonts w:hint="eastAsia"/>
          <w:b/>
          <w:bCs w:val="0"/>
          <w:color w:val="auto"/>
          <w:sz w:val="24"/>
          <w:highlight w:val="none"/>
        </w:rPr>
        <w:t>招标项目名称：</w:t>
      </w:r>
      <w:r>
        <w:rPr>
          <w:rFonts w:hint="eastAsia"/>
          <w:color w:val="auto"/>
          <w:sz w:val="24"/>
          <w:highlight w:val="none"/>
        </w:rPr>
        <w:t xml:space="preserve"> </w:t>
      </w:r>
      <w:r>
        <w:rPr>
          <w:rFonts w:hint="eastAsia" w:cs="Times New Roman"/>
          <w:b/>
          <w:bCs w:val="0"/>
          <w:color w:val="auto"/>
          <w:sz w:val="24"/>
          <w:highlight w:val="none"/>
          <w:lang w:val="en-US" w:eastAsia="zh-CN"/>
        </w:rPr>
        <w:t>杭州市萧山区人民政府新塘街道办事处2025年度存款账户招标项目</w:t>
      </w:r>
    </w:p>
    <w:p w14:paraId="34364B3D">
      <w:pPr>
        <w:pageBreakBefore w:val="0"/>
        <w:numPr>
          <w:ilvl w:val="0"/>
          <w:numId w:val="4"/>
        </w:numPr>
        <w:kinsoku/>
        <w:wordWrap/>
        <w:overflowPunct/>
        <w:topLinePunct w:val="0"/>
        <w:autoSpaceDE/>
        <w:autoSpaceDN/>
        <w:bidi w:val="0"/>
        <w:adjustRightInd/>
        <w:snapToGrid/>
        <w:spacing w:line="400" w:lineRule="exact"/>
        <w:textAlignment w:val="auto"/>
        <w:rPr>
          <w:rFonts w:hint="eastAsia"/>
          <w:b/>
          <w:color w:val="auto"/>
          <w:sz w:val="24"/>
          <w:highlight w:val="none"/>
        </w:rPr>
      </w:pPr>
      <w:r>
        <w:rPr>
          <w:rFonts w:hint="eastAsia"/>
          <w:b/>
          <w:bCs/>
          <w:color w:val="auto"/>
          <w:sz w:val="24"/>
          <w:highlight w:val="none"/>
        </w:rPr>
        <w:t>招标项目编号：</w:t>
      </w:r>
      <w:r>
        <w:rPr>
          <w:rFonts w:hint="eastAsia"/>
          <w:b/>
          <w:bCs/>
          <w:color w:val="auto"/>
          <w:sz w:val="24"/>
          <w:highlight w:val="none"/>
          <w:lang w:val="en-US" w:eastAsia="zh-CN"/>
        </w:rPr>
        <w:t xml:space="preserve">XT-GYGK-2025615 </w:t>
      </w:r>
      <w:r>
        <w:rPr>
          <w:rFonts w:hint="eastAsia" w:ascii="Times New Roman" w:hAnsi="Times New Roman" w:cs="Times New Roman"/>
          <w:b/>
          <w:bCs w:val="0"/>
          <w:color w:val="auto"/>
          <w:sz w:val="24"/>
          <w:highlight w:val="none"/>
          <w:lang w:val="en-US" w:eastAsia="zh-CN"/>
        </w:rPr>
        <w:t xml:space="preserve">  </w:t>
      </w:r>
      <w:r>
        <w:rPr>
          <w:rFonts w:hint="eastAsia" w:ascii="Times New Roman" w:hAnsi="Times New Roman" w:cs="Times New Roman"/>
          <w:b/>
          <w:bCs w:val="0"/>
          <w:color w:val="auto"/>
          <w:sz w:val="24"/>
          <w:highlight w:val="none"/>
          <w:lang w:eastAsia="zh-CN"/>
        </w:rPr>
        <w:t xml:space="preserve"> </w:t>
      </w:r>
    </w:p>
    <w:p w14:paraId="6DD2AC39">
      <w:pPr>
        <w:pageBreakBefore w:val="0"/>
        <w:numPr>
          <w:ilvl w:val="0"/>
          <w:numId w:val="4"/>
        </w:numPr>
        <w:kinsoku/>
        <w:wordWrap/>
        <w:overflowPunct/>
        <w:topLinePunct w:val="0"/>
        <w:autoSpaceDE/>
        <w:autoSpaceDN/>
        <w:bidi w:val="0"/>
        <w:adjustRightInd/>
        <w:snapToGrid/>
        <w:spacing w:line="400" w:lineRule="exact"/>
        <w:textAlignment w:val="auto"/>
        <w:rPr>
          <w:rFonts w:hint="eastAsia"/>
          <w:b/>
          <w:bCs/>
          <w:color w:val="auto"/>
          <w:sz w:val="24"/>
          <w:highlight w:val="none"/>
        </w:rPr>
      </w:pPr>
      <w:r>
        <w:rPr>
          <w:rFonts w:hint="eastAsia"/>
          <w:b/>
          <w:bCs/>
          <w:color w:val="auto"/>
          <w:sz w:val="24"/>
          <w:highlight w:val="none"/>
        </w:rPr>
        <w:t>招标项目内容:</w:t>
      </w:r>
    </w:p>
    <w:p w14:paraId="159BC7C7">
      <w:pPr>
        <w:pageBreakBefore w:val="0"/>
        <w:kinsoku/>
        <w:wordWrap/>
        <w:overflowPunct/>
        <w:topLinePunct w:val="0"/>
        <w:autoSpaceDE/>
        <w:autoSpaceDN/>
        <w:bidi w:val="0"/>
        <w:adjustRightInd/>
        <w:snapToGrid/>
        <w:spacing w:line="400" w:lineRule="exact"/>
        <w:textAlignment w:val="auto"/>
        <w:rPr>
          <w:rFonts w:hint="eastAsia"/>
          <w:b/>
          <w:bCs/>
          <w:color w:val="auto"/>
          <w:sz w:val="24"/>
          <w:highlight w:val="none"/>
          <w:lang w:eastAsia="zh-CN"/>
        </w:rPr>
      </w:pPr>
      <w:r>
        <w:rPr>
          <w:rFonts w:hint="eastAsia"/>
          <w:b/>
          <w:bCs/>
          <w:color w:val="auto"/>
          <w:sz w:val="24"/>
          <w:highlight w:val="none"/>
          <w:lang w:val="en-US" w:eastAsia="zh-CN"/>
        </w:rPr>
        <w:t xml:space="preserve">     </w:t>
      </w:r>
    </w:p>
    <w:tbl>
      <w:tblPr>
        <w:tblStyle w:val="31"/>
        <w:tblW w:w="8453"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4148"/>
        <w:gridCol w:w="1265"/>
        <w:gridCol w:w="1260"/>
        <w:gridCol w:w="1245"/>
      </w:tblGrid>
      <w:tr w14:paraId="50DC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535" w:type="dxa"/>
            <w:noWrap w:val="0"/>
            <w:vAlign w:val="center"/>
          </w:tcPr>
          <w:p w14:paraId="681D5F0B">
            <w:pPr>
              <w:pageBreakBefore w:val="0"/>
              <w:kinsoku/>
              <w:wordWrap/>
              <w:overflowPunct/>
              <w:topLinePunct w:val="0"/>
              <w:autoSpaceDE/>
              <w:autoSpaceDN/>
              <w:bidi w:val="0"/>
              <w:adjustRightInd/>
              <w:snapToGrid/>
              <w:spacing w:line="400" w:lineRule="exact"/>
              <w:jc w:val="center"/>
              <w:textAlignment w:val="auto"/>
              <w:rPr>
                <w:rFonts w:ascii="宋体" w:hAnsi="宋体" w:cs="宋体"/>
                <w:sz w:val="24"/>
                <w:szCs w:val="18"/>
              </w:rPr>
            </w:pPr>
            <w:r>
              <w:rPr>
                <w:rFonts w:hint="eastAsia" w:ascii="宋体" w:hAnsi="宋体" w:cs="宋体"/>
                <w:sz w:val="24"/>
                <w:szCs w:val="18"/>
              </w:rPr>
              <w:t>标项</w:t>
            </w:r>
          </w:p>
        </w:tc>
        <w:tc>
          <w:tcPr>
            <w:tcW w:w="4148" w:type="dxa"/>
            <w:noWrap w:val="0"/>
            <w:vAlign w:val="center"/>
          </w:tcPr>
          <w:p w14:paraId="4624D083">
            <w:pPr>
              <w:pageBreakBefore w:val="0"/>
              <w:kinsoku/>
              <w:wordWrap/>
              <w:overflowPunct/>
              <w:topLinePunct w:val="0"/>
              <w:autoSpaceDE/>
              <w:autoSpaceDN/>
              <w:bidi w:val="0"/>
              <w:adjustRightInd/>
              <w:snapToGrid/>
              <w:spacing w:line="400" w:lineRule="exact"/>
              <w:jc w:val="center"/>
              <w:textAlignment w:val="auto"/>
              <w:rPr>
                <w:rFonts w:ascii="宋体" w:hAnsi="宋体" w:cs="宋体"/>
                <w:sz w:val="24"/>
                <w:szCs w:val="18"/>
              </w:rPr>
            </w:pPr>
            <w:r>
              <w:rPr>
                <w:rFonts w:hint="eastAsia" w:ascii="宋体" w:hAnsi="宋体" w:cs="宋体"/>
                <w:sz w:val="24"/>
                <w:szCs w:val="18"/>
                <w:lang w:val="en-US" w:eastAsia="zh-CN"/>
              </w:rPr>
              <w:t>标 项</w:t>
            </w:r>
            <w:r>
              <w:rPr>
                <w:rFonts w:hint="eastAsia" w:ascii="宋体" w:hAnsi="宋体" w:cs="宋体"/>
                <w:sz w:val="24"/>
                <w:szCs w:val="18"/>
              </w:rPr>
              <w:t xml:space="preserve"> 名 称</w:t>
            </w:r>
          </w:p>
        </w:tc>
        <w:tc>
          <w:tcPr>
            <w:tcW w:w="1265" w:type="dxa"/>
            <w:noWrap w:val="0"/>
            <w:vAlign w:val="center"/>
          </w:tcPr>
          <w:p w14:paraId="4F0D1D94">
            <w:pPr>
              <w:pageBreakBefore w:val="0"/>
              <w:kinsoku/>
              <w:wordWrap/>
              <w:overflowPunct/>
              <w:topLinePunct w:val="0"/>
              <w:autoSpaceDE/>
              <w:autoSpaceDN/>
              <w:bidi w:val="0"/>
              <w:adjustRightInd/>
              <w:snapToGrid/>
              <w:spacing w:line="400" w:lineRule="exact"/>
              <w:jc w:val="center"/>
              <w:textAlignment w:val="auto"/>
              <w:rPr>
                <w:rFonts w:ascii="宋体" w:hAnsi="宋体" w:cs="宋体"/>
                <w:sz w:val="24"/>
                <w:szCs w:val="18"/>
              </w:rPr>
            </w:pPr>
            <w:r>
              <w:rPr>
                <w:rFonts w:hint="eastAsia" w:ascii="宋体" w:hAnsi="宋体" w:cs="宋体"/>
                <w:sz w:val="24"/>
                <w:szCs w:val="18"/>
              </w:rPr>
              <w:t>开户类型</w:t>
            </w:r>
          </w:p>
        </w:tc>
        <w:tc>
          <w:tcPr>
            <w:tcW w:w="1260" w:type="dxa"/>
            <w:noWrap w:val="0"/>
            <w:vAlign w:val="center"/>
          </w:tcPr>
          <w:p w14:paraId="48FE84C5">
            <w:pPr>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18"/>
                <w:lang w:eastAsia="zh-CN"/>
              </w:rPr>
            </w:pPr>
            <w:r>
              <w:rPr>
                <w:rFonts w:hint="eastAsia" w:ascii="宋体" w:hAnsi="宋体" w:cs="宋体"/>
                <w:sz w:val="24"/>
                <w:szCs w:val="18"/>
                <w:lang w:eastAsia="zh-CN"/>
              </w:rPr>
              <w:t>数量</w:t>
            </w:r>
          </w:p>
        </w:tc>
        <w:tc>
          <w:tcPr>
            <w:tcW w:w="1245" w:type="dxa"/>
            <w:noWrap w:val="0"/>
            <w:vAlign w:val="center"/>
          </w:tcPr>
          <w:p w14:paraId="4A5F04D2">
            <w:pPr>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18"/>
                <w:lang w:eastAsia="zh-CN"/>
              </w:rPr>
            </w:pPr>
            <w:r>
              <w:rPr>
                <w:rFonts w:hint="eastAsia" w:ascii="宋体" w:hAnsi="宋体" w:cs="宋体"/>
                <w:sz w:val="24"/>
                <w:szCs w:val="18"/>
                <w:lang w:eastAsia="zh-CN"/>
              </w:rPr>
              <w:t>单位</w:t>
            </w:r>
          </w:p>
        </w:tc>
      </w:tr>
      <w:tr w14:paraId="3B5F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35" w:type="dxa"/>
            <w:noWrap w:val="0"/>
            <w:vAlign w:val="center"/>
          </w:tcPr>
          <w:p w14:paraId="2FD70CF5">
            <w:pPr>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18"/>
                <w:lang w:val="en-US" w:eastAsia="zh-CN"/>
              </w:rPr>
            </w:pPr>
            <w:r>
              <w:rPr>
                <w:rFonts w:hint="eastAsia" w:ascii="宋体" w:hAnsi="宋体" w:cs="宋体"/>
                <w:sz w:val="24"/>
                <w:szCs w:val="18"/>
                <w:lang w:val="en-US" w:eastAsia="zh-CN"/>
              </w:rPr>
              <w:t>1</w:t>
            </w:r>
          </w:p>
        </w:tc>
        <w:tc>
          <w:tcPr>
            <w:tcW w:w="4148" w:type="dxa"/>
            <w:noWrap w:val="0"/>
            <w:vAlign w:val="center"/>
          </w:tcPr>
          <w:p w14:paraId="42C5B536">
            <w:pPr>
              <w:pageBreakBefore w:val="0"/>
              <w:numPr>
                <w:ilvl w:val="0"/>
                <w:numId w:val="0"/>
              </w:numPr>
              <w:kinsoku/>
              <w:wordWrap/>
              <w:overflowPunct/>
              <w:topLinePunct w:val="0"/>
              <w:autoSpaceDE/>
              <w:autoSpaceDN/>
              <w:bidi w:val="0"/>
              <w:adjustRightInd/>
              <w:snapToGrid/>
              <w:spacing w:line="400" w:lineRule="exact"/>
              <w:textAlignment w:val="auto"/>
              <w:rPr>
                <w:rFonts w:hint="default" w:ascii="宋体" w:hAnsi="宋体" w:cs="宋体"/>
                <w:sz w:val="24"/>
                <w:szCs w:val="18"/>
                <w:lang w:val="en-US" w:eastAsia="zh-CN"/>
              </w:rPr>
            </w:pPr>
            <w:r>
              <w:rPr>
                <w:rFonts w:hint="eastAsia" w:ascii="宋体" w:hAnsi="宋体" w:cs="宋体"/>
                <w:sz w:val="24"/>
                <w:szCs w:val="18"/>
                <w:lang w:eastAsia="zh-CN"/>
              </w:rPr>
              <w:t>杭州市萧山区人民政府新塘街道办事处</w:t>
            </w:r>
            <w:r>
              <w:rPr>
                <w:rFonts w:hint="eastAsia" w:ascii="宋体" w:hAnsi="宋体" w:cs="宋体"/>
                <w:sz w:val="24"/>
                <w:szCs w:val="18"/>
                <w:lang w:val="en-US" w:eastAsia="zh-CN"/>
              </w:rPr>
              <w:t>基本账户开户银行招标</w:t>
            </w:r>
          </w:p>
        </w:tc>
        <w:tc>
          <w:tcPr>
            <w:tcW w:w="1265" w:type="dxa"/>
            <w:noWrap w:val="0"/>
            <w:vAlign w:val="center"/>
          </w:tcPr>
          <w:p w14:paraId="2BF80875">
            <w:pPr>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18"/>
                <w:lang w:val="en-US" w:eastAsia="zh-CN"/>
              </w:rPr>
            </w:pPr>
            <w:r>
              <w:rPr>
                <w:rFonts w:hint="eastAsia" w:ascii="宋体" w:hAnsi="宋体" w:cs="宋体"/>
                <w:sz w:val="24"/>
                <w:szCs w:val="18"/>
                <w:lang w:val="en-US" w:eastAsia="zh-CN"/>
              </w:rPr>
              <w:t>基本户</w:t>
            </w:r>
          </w:p>
        </w:tc>
        <w:tc>
          <w:tcPr>
            <w:tcW w:w="1260" w:type="dxa"/>
            <w:noWrap w:val="0"/>
            <w:vAlign w:val="center"/>
          </w:tcPr>
          <w:p w14:paraId="5EE9A588">
            <w:pPr>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sz w:val="24"/>
                <w:szCs w:val="18"/>
                <w:lang w:val="en-US" w:eastAsia="zh-CN"/>
              </w:rPr>
            </w:pPr>
            <w:r>
              <w:rPr>
                <w:rFonts w:hint="eastAsia" w:ascii="宋体" w:hAnsi="宋体" w:cs="宋体"/>
                <w:sz w:val="24"/>
                <w:szCs w:val="18"/>
                <w:lang w:val="en-US" w:eastAsia="zh-CN"/>
              </w:rPr>
              <w:t>1</w:t>
            </w:r>
          </w:p>
        </w:tc>
        <w:tc>
          <w:tcPr>
            <w:tcW w:w="1245" w:type="dxa"/>
            <w:noWrap w:val="0"/>
            <w:vAlign w:val="center"/>
          </w:tcPr>
          <w:p w14:paraId="7BBFBEE7">
            <w:pPr>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sz w:val="24"/>
                <w:szCs w:val="18"/>
                <w:lang w:eastAsia="zh-CN"/>
              </w:rPr>
            </w:pPr>
            <w:r>
              <w:rPr>
                <w:rFonts w:hint="eastAsia" w:ascii="宋体" w:hAnsi="宋体" w:cs="宋体"/>
                <w:sz w:val="24"/>
                <w:szCs w:val="18"/>
                <w:lang w:eastAsia="zh-CN"/>
              </w:rPr>
              <w:t>家</w:t>
            </w:r>
          </w:p>
        </w:tc>
      </w:tr>
      <w:tr w14:paraId="3BCA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35" w:type="dxa"/>
            <w:noWrap w:val="0"/>
            <w:vAlign w:val="center"/>
          </w:tcPr>
          <w:p w14:paraId="1F8D10AD">
            <w:pPr>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sz w:val="24"/>
                <w:szCs w:val="18"/>
                <w:lang w:val="en-US" w:eastAsia="zh-CN"/>
              </w:rPr>
            </w:pPr>
            <w:r>
              <w:rPr>
                <w:rFonts w:hint="eastAsia" w:ascii="宋体" w:hAnsi="宋体" w:cs="宋体"/>
                <w:sz w:val="24"/>
                <w:szCs w:val="18"/>
                <w:lang w:val="en-US" w:eastAsia="zh-CN"/>
              </w:rPr>
              <w:t>2</w:t>
            </w:r>
          </w:p>
        </w:tc>
        <w:tc>
          <w:tcPr>
            <w:tcW w:w="4148" w:type="dxa"/>
            <w:noWrap w:val="0"/>
            <w:vAlign w:val="center"/>
          </w:tcPr>
          <w:p w14:paraId="75217704">
            <w:pPr>
              <w:pageBreakBefore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default" w:ascii="宋体" w:hAnsi="宋体" w:cs="宋体"/>
                <w:sz w:val="24"/>
                <w:szCs w:val="18"/>
                <w:lang w:val="en-US" w:eastAsia="zh-CN"/>
              </w:rPr>
            </w:pPr>
            <w:r>
              <w:rPr>
                <w:rFonts w:hint="eastAsia" w:ascii="宋体" w:hAnsi="宋体" w:cs="宋体"/>
                <w:sz w:val="24"/>
                <w:szCs w:val="18"/>
                <w:lang w:val="en-US" w:eastAsia="zh-CN"/>
              </w:rPr>
              <w:t>杭州市萧山区人民政府新塘街道办事处党费专户开户银行招标项目</w:t>
            </w:r>
          </w:p>
        </w:tc>
        <w:tc>
          <w:tcPr>
            <w:tcW w:w="1265" w:type="dxa"/>
            <w:noWrap w:val="0"/>
            <w:vAlign w:val="center"/>
          </w:tcPr>
          <w:p w14:paraId="4913FD38">
            <w:pPr>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18"/>
                <w:lang w:val="en-US" w:eastAsia="zh-CN"/>
              </w:rPr>
            </w:pPr>
            <w:r>
              <w:rPr>
                <w:rFonts w:hint="eastAsia" w:ascii="宋体" w:hAnsi="宋体" w:cs="宋体"/>
                <w:sz w:val="24"/>
                <w:szCs w:val="18"/>
                <w:lang w:val="en-US" w:eastAsia="zh-CN"/>
              </w:rPr>
              <w:t>党费专户</w:t>
            </w:r>
          </w:p>
        </w:tc>
        <w:tc>
          <w:tcPr>
            <w:tcW w:w="1260" w:type="dxa"/>
            <w:noWrap w:val="0"/>
            <w:vAlign w:val="center"/>
          </w:tcPr>
          <w:p w14:paraId="5EEBB8FD">
            <w:pPr>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sz w:val="24"/>
                <w:szCs w:val="18"/>
                <w:lang w:val="en-US" w:eastAsia="zh-CN"/>
              </w:rPr>
            </w:pPr>
            <w:r>
              <w:rPr>
                <w:rFonts w:hint="eastAsia" w:ascii="宋体" w:hAnsi="宋体" w:cs="宋体"/>
                <w:sz w:val="24"/>
                <w:szCs w:val="18"/>
                <w:lang w:val="en-US" w:eastAsia="zh-CN"/>
              </w:rPr>
              <w:t>1</w:t>
            </w:r>
          </w:p>
        </w:tc>
        <w:tc>
          <w:tcPr>
            <w:tcW w:w="1245" w:type="dxa"/>
            <w:noWrap w:val="0"/>
            <w:vAlign w:val="center"/>
          </w:tcPr>
          <w:p w14:paraId="6F41079C">
            <w:pPr>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sz w:val="24"/>
                <w:szCs w:val="18"/>
                <w:lang w:eastAsia="zh-CN"/>
              </w:rPr>
            </w:pPr>
            <w:r>
              <w:rPr>
                <w:rFonts w:hint="eastAsia" w:ascii="宋体" w:hAnsi="宋体" w:cs="宋体"/>
                <w:sz w:val="24"/>
                <w:szCs w:val="18"/>
                <w:lang w:eastAsia="zh-CN"/>
              </w:rPr>
              <w:t>家</w:t>
            </w:r>
          </w:p>
        </w:tc>
      </w:tr>
    </w:tbl>
    <w:p w14:paraId="3F513969">
      <w:pPr>
        <w:pageBreakBefore w:val="0"/>
        <w:kinsoku/>
        <w:wordWrap/>
        <w:overflowPunct/>
        <w:topLinePunct w:val="0"/>
        <w:autoSpaceDE/>
        <w:autoSpaceDN/>
        <w:bidi w:val="0"/>
        <w:adjustRightInd/>
        <w:snapToGrid/>
        <w:spacing w:line="400" w:lineRule="exact"/>
        <w:textAlignment w:val="auto"/>
        <w:rPr>
          <w:rFonts w:hint="eastAsia"/>
          <w:b/>
          <w:bCs/>
          <w:color w:val="auto"/>
          <w:sz w:val="24"/>
          <w:highlight w:val="none"/>
        </w:rPr>
      </w:pPr>
      <w:r>
        <w:rPr>
          <w:rFonts w:hint="eastAsia"/>
          <w:b/>
          <w:bCs/>
          <w:color w:val="auto"/>
          <w:sz w:val="24"/>
          <w:highlight w:val="none"/>
          <w:lang w:eastAsia="zh-CN"/>
        </w:rPr>
        <w:t>五</w:t>
      </w:r>
      <w:r>
        <w:rPr>
          <w:rFonts w:hint="eastAsia"/>
          <w:b/>
          <w:bCs/>
          <w:color w:val="auto"/>
          <w:sz w:val="24"/>
          <w:highlight w:val="none"/>
        </w:rPr>
        <w:t>、投标人资格要求：</w:t>
      </w:r>
    </w:p>
    <w:p w14:paraId="0E1415B7">
      <w:pPr>
        <w:pageBreakBefore w:val="0"/>
        <w:kinsoku/>
        <w:wordWrap/>
        <w:overflowPunct/>
        <w:topLinePunct w:val="0"/>
        <w:autoSpaceDE/>
        <w:autoSpaceDN/>
        <w:bidi w:val="0"/>
        <w:adjustRightInd/>
        <w:snapToGrid/>
        <w:spacing w:line="400" w:lineRule="exact"/>
        <w:ind w:firstLine="480" w:firstLineChars="200"/>
        <w:textAlignment w:val="auto"/>
        <w:rPr>
          <w:rFonts w:hint="eastAsia"/>
          <w:color w:val="auto"/>
          <w:sz w:val="24"/>
          <w:highlight w:val="none"/>
        </w:rPr>
      </w:pPr>
      <w:r>
        <w:rPr>
          <w:rFonts w:hint="eastAsia"/>
          <w:color w:val="auto"/>
          <w:sz w:val="24"/>
          <w:highlight w:val="none"/>
        </w:rPr>
        <w:t>投标人应符合《</w:t>
      </w:r>
      <w:r>
        <w:rPr>
          <w:rFonts w:hint="eastAsia"/>
          <w:color w:val="auto"/>
          <w:kern w:val="0"/>
          <w:sz w:val="24"/>
          <w:highlight w:val="none"/>
        </w:rPr>
        <w:t>杭州市萧山区区级行政事业单位公款竞争性存放管理办法</w:t>
      </w:r>
      <w:r>
        <w:rPr>
          <w:rFonts w:hint="eastAsia"/>
          <w:color w:val="auto"/>
          <w:sz w:val="24"/>
          <w:highlight w:val="none"/>
        </w:rPr>
        <w:t>》</w:t>
      </w:r>
      <w:r>
        <w:rPr>
          <w:rFonts w:hint="eastAsia"/>
          <w:color w:val="auto"/>
          <w:kern w:val="0"/>
          <w:sz w:val="24"/>
          <w:highlight w:val="none"/>
          <w:lang w:eastAsia="zh-CN"/>
        </w:rPr>
        <w:t>第十五条</w:t>
      </w:r>
      <w:r>
        <w:rPr>
          <w:rFonts w:hint="eastAsia"/>
          <w:color w:val="auto"/>
          <w:sz w:val="24"/>
          <w:highlight w:val="none"/>
        </w:rPr>
        <w:t xml:space="preserve">规定，具备承担招标项目的能力，具体包括： </w:t>
      </w:r>
    </w:p>
    <w:p w14:paraId="615F5884">
      <w:pPr>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color w:val="auto"/>
          <w:sz w:val="24"/>
          <w:highlight w:val="none"/>
        </w:rPr>
      </w:pPr>
      <w:r>
        <w:rPr>
          <w:rFonts w:hint="eastAsia" w:ascii="Times New Roman" w:hAnsi="Times New Roman" w:eastAsia="宋体" w:cs="Times New Roman"/>
          <w:b w:val="0"/>
          <w:bCs w:val="0"/>
          <w:color w:val="auto"/>
          <w:kern w:val="2"/>
          <w:sz w:val="24"/>
          <w:szCs w:val="24"/>
          <w:lang w:val="en-US" w:eastAsia="zh-CN" w:bidi="ar-SA"/>
        </w:rPr>
        <w:t>（一）</w:t>
      </w:r>
      <w:r>
        <w:rPr>
          <w:rFonts w:hint="eastAsia"/>
          <w:color w:val="auto"/>
          <w:sz w:val="24"/>
          <w:highlight w:val="none"/>
          <w:lang w:eastAsia="zh-CN"/>
        </w:rPr>
        <w:t>在区级行政事业单位所在同城设有分支机构；</w:t>
      </w:r>
    </w:p>
    <w:p w14:paraId="06FDCFDD">
      <w:pPr>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color w:val="auto"/>
          <w:sz w:val="24"/>
          <w:highlight w:val="none"/>
        </w:rPr>
      </w:pPr>
      <w:r>
        <w:rPr>
          <w:rFonts w:hint="eastAsia" w:ascii="Times New Roman" w:hAnsi="Times New Roman" w:eastAsia="宋体" w:cs="Times New Roman"/>
          <w:b w:val="0"/>
          <w:bCs w:val="0"/>
          <w:color w:val="auto"/>
          <w:kern w:val="2"/>
          <w:sz w:val="24"/>
          <w:szCs w:val="24"/>
          <w:lang w:val="en-US" w:eastAsia="zh-CN" w:bidi="ar-SA"/>
        </w:rPr>
        <w:t>（二）</w:t>
      </w:r>
      <w:r>
        <w:rPr>
          <w:rFonts w:hint="eastAsia"/>
          <w:color w:val="auto"/>
          <w:sz w:val="24"/>
          <w:highlight w:val="none"/>
        </w:rPr>
        <w:t>依法开展经营活动，近3年内在经营活动中无重大违法违规记录</w:t>
      </w:r>
      <w:r>
        <w:rPr>
          <w:rFonts w:hint="eastAsia"/>
          <w:color w:val="auto"/>
          <w:sz w:val="24"/>
          <w:highlight w:val="none"/>
          <w:lang w:eastAsia="zh-CN"/>
        </w:rPr>
        <w:t>及重大违约事件；</w:t>
      </w:r>
    </w:p>
    <w:p w14:paraId="6E078A86">
      <w:pPr>
        <w:pageBreakBefore w:val="0"/>
        <w:numPr>
          <w:ilvl w:val="0"/>
          <w:numId w:val="0"/>
        </w:numPr>
        <w:kinsoku/>
        <w:wordWrap/>
        <w:overflowPunct/>
        <w:topLinePunct w:val="0"/>
        <w:autoSpaceDE/>
        <w:autoSpaceDN/>
        <w:bidi w:val="0"/>
        <w:adjustRightInd/>
        <w:snapToGrid/>
        <w:spacing w:line="400" w:lineRule="exact"/>
        <w:ind w:left="0" w:leftChars="0" w:firstLine="480" w:firstLineChars="200"/>
        <w:textAlignment w:val="auto"/>
        <w:rPr>
          <w:rFonts w:hint="eastAsia"/>
          <w:color w:val="auto"/>
          <w:sz w:val="24"/>
          <w:highlight w:val="none"/>
        </w:rPr>
      </w:pPr>
      <w:r>
        <w:rPr>
          <w:rFonts w:hint="eastAsia" w:ascii="Times New Roman" w:hAnsi="Times New Roman" w:eastAsia="宋体" w:cs="Times New Roman"/>
          <w:b w:val="0"/>
          <w:bCs w:val="0"/>
          <w:color w:val="auto"/>
          <w:kern w:val="2"/>
          <w:sz w:val="24"/>
          <w:szCs w:val="24"/>
          <w:lang w:val="en-US" w:eastAsia="zh-CN" w:bidi="ar-SA"/>
        </w:rPr>
        <w:t>（三）</w:t>
      </w:r>
      <w:r>
        <w:rPr>
          <w:rFonts w:hint="eastAsia"/>
          <w:color w:val="auto"/>
          <w:sz w:val="24"/>
          <w:highlight w:val="none"/>
          <w:lang w:eastAsia="zh-CN"/>
        </w:rPr>
        <w:t>纳入人民银行综合评价的银行，人民银行上年度综合评价应达到</w:t>
      </w:r>
      <w:r>
        <w:rPr>
          <w:rFonts w:hint="eastAsia"/>
          <w:color w:val="auto"/>
          <w:sz w:val="24"/>
          <w:highlight w:val="none"/>
          <w:lang w:val="en-US" w:eastAsia="zh-CN"/>
        </w:rPr>
        <w:tab/>
      </w:r>
      <w:r>
        <w:rPr>
          <w:rFonts w:hint="eastAsia"/>
          <w:color w:val="auto"/>
          <w:sz w:val="24"/>
          <w:highlight w:val="none"/>
          <w:lang w:val="en-US" w:eastAsia="zh-CN"/>
        </w:rPr>
        <w:t>B级及以上，不纳入人民银行综合评价范围的银行不受此限制。</w:t>
      </w:r>
    </w:p>
    <w:p w14:paraId="424D5FFE">
      <w:pPr>
        <w:pageBreakBefore w:val="0"/>
        <w:numPr>
          <w:ilvl w:val="0"/>
          <w:numId w:val="0"/>
        </w:numPr>
        <w:kinsoku/>
        <w:wordWrap/>
        <w:overflowPunct/>
        <w:topLinePunct w:val="0"/>
        <w:autoSpaceDE/>
        <w:autoSpaceDN/>
        <w:bidi w:val="0"/>
        <w:adjustRightInd/>
        <w:snapToGrid/>
        <w:spacing w:line="400" w:lineRule="exact"/>
        <w:ind w:left="0" w:leftChars="0" w:firstLine="480" w:firstLineChars="200"/>
        <w:textAlignment w:val="auto"/>
        <w:rPr>
          <w:rFonts w:hint="eastAsia"/>
          <w:b/>
          <w:bCs/>
          <w:color w:val="auto"/>
          <w:sz w:val="24"/>
          <w:highlight w:val="none"/>
        </w:rPr>
      </w:pPr>
      <w:r>
        <w:rPr>
          <w:rFonts w:hint="eastAsia" w:ascii="Times New Roman" w:hAnsi="Times New Roman" w:eastAsia="宋体" w:cs="Times New Roman"/>
          <w:b w:val="0"/>
          <w:bCs w:val="0"/>
          <w:color w:val="auto"/>
          <w:kern w:val="2"/>
          <w:sz w:val="24"/>
          <w:szCs w:val="24"/>
          <w:lang w:val="en-US" w:eastAsia="zh-CN" w:bidi="ar-SA"/>
        </w:rPr>
        <w:t>（四）</w:t>
      </w:r>
      <w:r>
        <w:rPr>
          <w:rFonts w:hint="eastAsia"/>
          <w:color w:val="auto"/>
          <w:sz w:val="24"/>
          <w:highlight w:val="none"/>
        </w:rPr>
        <w:t>投标人须在投标文件中明确在萧山区的服务网点，指定的服务网点应与最终公款存放的网点一致。</w:t>
      </w:r>
    </w:p>
    <w:p w14:paraId="55D46A1F">
      <w:pPr>
        <w:pageBreakBefore w:val="0"/>
        <w:numPr>
          <w:ilvl w:val="0"/>
          <w:numId w:val="0"/>
        </w:numPr>
        <w:kinsoku/>
        <w:wordWrap/>
        <w:overflowPunct/>
        <w:topLinePunct w:val="0"/>
        <w:autoSpaceDE/>
        <w:autoSpaceDN/>
        <w:bidi w:val="0"/>
        <w:adjustRightInd/>
        <w:snapToGrid/>
        <w:spacing w:line="400" w:lineRule="exact"/>
        <w:ind w:left="0" w:leftChars="0" w:firstLine="482" w:firstLineChars="200"/>
        <w:textAlignment w:val="auto"/>
        <w:rPr>
          <w:rFonts w:hint="eastAsia"/>
          <w:b/>
          <w:bCs/>
          <w:color w:val="auto"/>
          <w:sz w:val="24"/>
          <w:highlight w:val="none"/>
        </w:rPr>
      </w:pPr>
      <w:r>
        <w:rPr>
          <w:rFonts w:hint="eastAsia" w:ascii="Times New Roman" w:hAnsi="Times New Roman" w:eastAsia="宋体" w:cs="Times New Roman"/>
          <w:b/>
          <w:bCs/>
          <w:color w:val="auto"/>
          <w:kern w:val="2"/>
          <w:sz w:val="24"/>
          <w:szCs w:val="24"/>
          <w:lang w:val="en-US" w:eastAsia="zh-CN" w:bidi="ar-SA"/>
        </w:rPr>
        <w:t>（五）</w:t>
      </w:r>
      <w:r>
        <w:rPr>
          <w:rFonts w:hint="eastAsia"/>
          <w:b/>
          <w:bCs/>
          <w:color w:val="auto"/>
          <w:sz w:val="24"/>
          <w:highlight w:val="none"/>
          <w:lang w:eastAsia="zh-CN"/>
        </w:rPr>
        <w:t>标项</w:t>
      </w:r>
      <w:r>
        <w:rPr>
          <w:rFonts w:hint="eastAsia"/>
          <w:b/>
          <w:bCs/>
          <w:color w:val="auto"/>
          <w:sz w:val="24"/>
          <w:highlight w:val="none"/>
          <w:lang w:val="en-US" w:eastAsia="zh-CN"/>
        </w:rPr>
        <w:t>2：按照中央组织部2008年3号文件《关于中国共产党党费收缴使用和管理的规定》，党费必须存入中国农业银行、中国银行、中国工商银行、中国建设银行、交通银行、中国邮政储蓄银行，不得存入其他银行或者非银行金融机构。</w:t>
      </w:r>
    </w:p>
    <w:p w14:paraId="054340CF">
      <w:pPr>
        <w:pageBreakBefore w:val="0"/>
        <w:numPr>
          <w:ilvl w:val="0"/>
          <w:numId w:val="0"/>
        </w:numPr>
        <w:kinsoku/>
        <w:wordWrap/>
        <w:overflowPunct/>
        <w:topLinePunct w:val="0"/>
        <w:autoSpaceDE/>
        <w:autoSpaceDN/>
        <w:bidi w:val="0"/>
        <w:adjustRightInd/>
        <w:snapToGrid/>
        <w:spacing w:line="400" w:lineRule="exact"/>
        <w:ind w:leftChars="200"/>
        <w:textAlignment w:val="auto"/>
        <w:rPr>
          <w:rFonts w:hint="eastAsia"/>
          <w:b/>
          <w:bCs/>
          <w:color w:val="auto"/>
          <w:sz w:val="24"/>
          <w:highlight w:val="none"/>
        </w:rPr>
      </w:pPr>
      <w:r>
        <w:rPr>
          <w:rFonts w:hint="eastAsia"/>
          <w:b/>
          <w:bCs/>
          <w:color w:val="auto"/>
          <w:sz w:val="24"/>
          <w:highlight w:val="none"/>
          <w:lang w:eastAsia="zh-CN"/>
        </w:rPr>
        <w:t>六</w:t>
      </w:r>
      <w:r>
        <w:rPr>
          <w:rFonts w:hint="eastAsia"/>
          <w:b/>
          <w:bCs/>
          <w:color w:val="auto"/>
          <w:sz w:val="24"/>
          <w:highlight w:val="none"/>
        </w:rPr>
        <w:t>、</w:t>
      </w:r>
      <w:r>
        <w:rPr>
          <w:rFonts w:hint="eastAsia"/>
          <w:b/>
          <w:bCs/>
          <w:color w:val="auto"/>
          <w:sz w:val="24"/>
          <w:highlight w:val="none"/>
          <w:lang w:eastAsia="zh-CN"/>
        </w:rPr>
        <w:t>投标报名</w:t>
      </w:r>
      <w:r>
        <w:rPr>
          <w:rFonts w:hint="eastAsia"/>
          <w:b/>
          <w:bCs/>
          <w:color w:val="auto"/>
          <w:sz w:val="24"/>
          <w:highlight w:val="none"/>
        </w:rPr>
        <w:t>：</w:t>
      </w:r>
    </w:p>
    <w:p w14:paraId="6B92292D">
      <w:pPr>
        <w:pageBreakBefore w:val="0"/>
        <w:kinsoku/>
        <w:wordWrap/>
        <w:overflowPunct/>
        <w:topLinePunct w:val="0"/>
        <w:autoSpaceDE/>
        <w:autoSpaceDN/>
        <w:bidi w:val="0"/>
        <w:adjustRightInd/>
        <w:snapToGrid/>
        <w:spacing w:line="400" w:lineRule="exact"/>
        <w:ind w:firstLine="240" w:firstLineChars="100"/>
        <w:textAlignment w:val="auto"/>
        <w:rPr>
          <w:color w:val="auto"/>
          <w:spacing w:val="-6"/>
          <w:sz w:val="24"/>
          <w:highlight w:val="none"/>
        </w:rPr>
      </w:pPr>
      <w:r>
        <w:rPr>
          <w:rFonts w:hint="eastAsia"/>
          <w:color w:val="auto"/>
          <w:sz w:val="24"/>
          <w:highlight w:val="none"/>
        </w:rPr>
        <w:t>　</w:t>
      </w:r>
      <w:r>
        <w:rPr>
          <w:color w:val="auto"/>
          <w:spacing w:val="-6"/>
          <w:sz w:val="24"/>
          <w:highlight w:val="none"/>
        </w:rPr>
        <w:t>(一) 报名起止时间：</w:t>
      </w:r>
      <w:r>
        <w:rPr>
          <w:rFonts w:hint="eastAsia"/>
          <w:color w:val="auto"/>
          <w:kern w:val="0"/>
          <w:sz w:val="24"/>
          <w:highlight w:val="none"/>
          <w:lang w:eastAsia="zh-CN"/>
        </w:rPr>
        <w:t>202</w:t>
      </w:r>
      <w:r>
        <w:rPr>
          <w:rFonts w:hint="eastAsia"/>
          <w:color w:val="auto"/>
          <w:kern w:val="0"/>
          <w:sz w:val="24"/>
          <w:highlight w:val="none"/>
          <w:lang w:val="en-US" w:eastAsia="zh-CN"/>
        </w:rPr>
        <w:t>5</w:t>
      </w:r>
      <w:r>
        <w:rPr>
          <w:color w:val="auto"/>
          <w:kern w:val="0"/>
          <w:sz w:val="24"/>
          <w:highlight w:val="none"/>
        </w:rPr>
        <w:t>年</w:t>
      </w:r>
      <w:r>
        <w:rPr>
          <w:rFonts w:hint="eastAsia"/>
          <w:color w:val="auto"/>
          <w:kern w:val="0"/>
          <w:sz w:val="24"/>
          <w:highlight w:val="none"/>
          <w:lang w:val="en-US" w:eastAsia="zh-CN"/>
        </w:rPr>
        <w:t xml:space="preserve"> 06</w:t>
      </w:r>
      <w:r>
        <w:rPr>
          <w:color w:val="auto"/>
          <w:kern w:val="0"/>
          <w:sz w:val="24"/>
          <w:highlight w:val="none"/>
        </w:rPr>
        <w:t>月</w:t>
      </w:r>
      <w:r>
        <w:rPr>
          <w:rFonts w:hint="eastAsia"/>
          <w:color w:val="auto"/>
          <w:kern w:val="0"/>
          <w:sz w:val="24"/>
          <w:highlight w:val="none"/>
          <w:lang w:val="en-US" w:eastAsia="zh-CN"/>
        </w:rPr>
        <w:t>27</w:t>
      </w:r>
      <w:r>
        <w:rPr>
          <w:color w:val="auto"/>
          <w:kern w:val="0"/>
          <w:sz w:val="24"/>
          <w:highlight w:val="none"/>
        </w:rPr>
        <w:t>日09:00起至</w:t>
      </w:r>
      <w:r>
        <w:rPr>
          <w:rFonts w:hint="eastAsia"/>
          <w:color w:val="auto"/>
          <w:kern w:val="0"/>
          <w:sz w:val="24"/>
          <w:highlight w:val="none"/>
          <w:lang w:eastAsia="zh-CN"/>
        </w:rPr>
        <w:t>202</w:t>
      </w:r>
      <w:r>
        <w:rPr>
          <w:rFonts w:hint="eastAsia"/>
          <w:color w:val="auto"/>
          <w:kern w:val="0"/>
          <w:sz w:val="24"/>
          <w:highlight w:val="none"/>
          <w:lang w:val="en-US" w:eastAsia="zh-CN"/>
        </w:rPr>
        <w:t>5</w:t>
      </w:r>
      <w:r>
        <w:rPr>
          <w:color w:val="auto"/>
          <w:kern w:val="0"/>
          <w:sz w:val="24"/>
          <w:highlight w:val="none"/>
        </w:rPr>
        <w:t>年</w:t>
      </w:r>
      <w:r>
        <w:rPr>
          <w:rFonts w:hint="eastAsia"/>
          <w:color w:val="auto"/>
          <w:kern w:val="0"/>
          <w:sz w:val="24"/>
          <w:highlight w:val="none"/>
          <w:lang w:val="en-US" w:eastAsia="zh-CN"/>
        </w:rPr>
        <w:t>07</w:t>
      </w:r>
      <w:r>
        <w:rPr>
          <w:color w:val="auto"/>
          <w:kern w:val="0"/>
          <w:sz w:val="24"/>
          <w:highlight w:val="none"/>
        </w:rPr>
        <w:t>月</w:t>
      </w:r>
      <w:r>
        <w:rPr>
          <w:rFonts w:hint="eastAsia"/>
          <w:color w:val="auto"/>
          <w:kern w:val="0"/>
          <w:sz w:val="24"/>
          <w:highlight w:val="none"/>
          <w:lang w:val="en-US" w:eastAsia="zh-CN"/>
        </w:rPr>
        <w:t>04</w:t>
      </w:r>
      <w:r>
        <w:rPr>
          <w:color w:val="auto"/>
          <w:kern w:val="0"/>
          <w:sz w:val="24"/>
          <w:highlight w:val="none"/>
        </w:rPr>
        <w:t>日</w:t>
      </w:r>
      <w:r>
        <w:rPr>
          <w:rFonts w:hint="eastAsia"/>
          <w:color w:val="auto"/>
          <w:kern w:val="0"/>
          <w:sz w:val="24"/>
          <w:highlight w:val="none"/>
        </w:rPr>
        <w:t>17</w:t>
      </w:r>
      <w:r>
        <w:rPr>
          <w:color w:val="auto"/>
          <w:kern w:val="0"/>
          <w:sz w:val="24"/>
          <w:highlight w:val="none"/>
        </w:rPr>
        <w:t>:00</w:t>
      </w:r>
      <w:r>
        <w:rPr>
          <w:color w:val="auto"/>
          <w:spacing w:val="-6"/>
          <w:sz w:val="24"/>
          <w:highlight w:val="none"/>
        </w:rPr>
        <w:t> </w:t>
      </w:r>
    </w:p>
    <w:p w14:paraId="397DA18E">
      <w:pPr>
        <w:pageBreakBefore w:val="0"/>
        <w:widowControl/>
        <w:kinsoku/>
        <w:wordWrap/>
        <w:overflowPunct/>
        <w:topLinePunct w:val="0"/>
        <w:autoSpaceDE/>
        <w:autoSpaceDN/>
        <w:bidi w:val="0"/>
        <w:adjustRightInd/>
        <w:snapToGrid/>
        <w:spacing w:line="400" w:lineRule="exact"/>
        <w:ind w:firstLine="456" w:firstLineChars="200"/>
        <w:jc w:val="left"/>
        <w:textAlignment w:val="auto"/>
        <w:rPr>
          <w:rFonts w:hint="eastAsia" w:hAnsi="宋体"/>
          <w:color w:val="auto"/>
          <w:sz w:val="24"/>
          <w:highlight w:val="none"/>
        </w:rPr>
      </w:pPr>
      <w:r>
        <w:rPr>
          <w:color w:val="auto"/>
          <w:spacing w:val="-6"/>
          <w:sz w:val="24"/>
          <w:highlight w:val="none"/>
        </w:rPr>
        <w:t>(二) 报名方式：本项目实行网上报名，不接受现场报名。报名银行登录浙江政采云公款竞争性存放网上招标平台（https://www.zcygov.cn）（以下简称“招标系统”），</w:t>
      </w:r>
      <w:r>
        <w:rPr>
          <w:rFonts w:hint="eastAsia"/>
          <w:color w:val="auto"/>
          <w:spacing w:val="-6"/>
          <w:sz w:val="24"/>
          <w:highlight w:val="none"/>
        </w:rPr>
        <w:t>报名资料：1.</w:t>
      </w:r>
      <w:r>
        <w:rPr>
          <w:rFonts w:hint="eastAsia" w:hAnsi="宋体"/>
          <w:color w:val="auto"/>
          <w:sz w:val="24"/>
          <w:highlight w:val="none"/>
        </w:rPr>
        <w:t>投标人需提供有效的营业执照副本复印件（加盖单位公章）；2.投标人办理报名人的法定代表人或负责人授权书及身份证复印件（加盖单位公章）。</w:t>
      </w:r>
    </w:p>
    <w:p w14:paraId="23FB2C00">
      <w:pPr>
        <w:pageBreakBefore w:val="0"/>
        <w:kinsoku/>
        <w:wordWrap/>
        <w:overflowPunct/>
        <w:topLinePunct w:val="0"/>
        <w:autoSpaceDE/>
        <w:autoSpaceDN/>
        <w:bidi w:val="0"/>
        <w:adjustRightInd/>
        <w:snapToGrid/>
        <w:spacing w:line="400" w:lineRule="exact"/>
        <w:textAlignment w:val="auto"/>
        <w:rPr>
          <w:color w:val="auto"/>
          <w:spacing w:val="-6"/>
          <w:sz w:val="24"/>
          <w:highlight w:val="none"/>
        </w:rPr>
      </w:pPr>
      <w:r>
        <w:rPr>
          <w:rFonts w:hint="eastAsia"/>
          <w:color w:val="auto"/>
          <w:spacing w:val="-6"/>
          <w:sz w:val="24"/>
          <w:highlight w:val="none"/>
        </w:rPr>
        <w:t>投标人</w:t>
      </w:r>
      <w:r>
        <w:rPr>
          <w:color w:val="auto"/>
          <w:spacing w:val="-6"/>
          <w:sz w:val="24"/>
          <w:highlight w:val="none"/>
        </w:rPr>
        <w:t>在招标项目内按规定</w:t>
      </w:r>
      <w:r>
        <w:rPr>
          <w:rFonts w:hint="eastAsia"/>
          <w:color w:val="auto"/>
          <w:spacing w:val="-6"/>
          <w:sz w:val="24"/>
          <w:highlight w:val="none"/>
        </w:rPr>
        <w:t>提交相应材料</w:t>
      </w:r>
      <w:r>
        <w:rPr>
          <w:color w:val="auto"/>
          <w:spacing w:val="-6"/>
          <w:sz w:val="24"/>
          <w:highlight w:val="none"/>
        </w:rPr>
        <w:t>进行报名获取招标文件。</w:t>
      </w:r>
    </w:p>
    <w:p w14:paraId="30E86DA0">
      <w:pPr>
        <w:pageBreakBefore w:val="0"/>
        <w:kinsoku/>
        <w:wordWrap/>
        <w:overflowPunct/>
        <w:topLinePunct w:val="0"/>
        <w:autoSpaceDE/>
        <w:autoSpaceDN/>
        <w:bidi w:val="0"/>
        <w:adjustRightInd/>
        <w:snapToGrid/>
        <w:spacing w:line="400" w:lineRule="exact"/>
        <w:ind w:firstLine="456" w:firstLineChars="200"/>
        <w:textAlignment w:val="auto"/>
        <w:rPr>
          <w:color w:val="auto"/>
          <w:spacing w:val="-6"/>
          <w:sz w:val="24"/>
          <w:highlight w:val="none"/>
        </w:rPr>
      </w:pPr>
      <w:r>
        <w:rPr>
          <w:color w:val="auto"/>
          <w:spacing w:val="-6"/>
          <w:sz w:val="24"/>
          <w:highlight w:val="none"/>
        </w:rPr>
        <w:t>(三）招标文件获取方式：报名成功后可在线下载招标文件。</w:t>
      </w:r>
    </w:p>
    <w:p w14:paraId="04B5ED14">
      <w:pPr>
        <w:pageBreakBefore w:val="0"/>
        <w:kinsoku/>
        <w:wordWrap/>
        <w:overflowPunct/>
        <w:topLinePunct w:val="0"/>
        <w:autoSpaceDE/>
        <w:autoSpaceDN/>
        <w:bidi w:val="0"/>
        <w:adjustRightInd/>
        <w:snapToGrid/>
        <w:spacing w:line="400" w:lineRule="exact"/>
        <w:textAlignment w:val="auto"/>
        <w:rPr>
          <w:rFonts w:hint="eastAsia"/>
          <w:b/>
          <w:bCs/>
          <w:color w:val="auto"/>
          <w:sz w:val="24"/>
          <w:highlight w:val="none"/>
        </w:rPr>
      </w:pPr>
      <w:r>
        <w:rPr>
          <w:rFonts w:hint="eastAsia"/>
          <w:b/>
          <w:bCs/>
          <w:color w:val="auto"/>
          <w:sz w:val="24"/>
          <w:highlight w:val="none"/>
        </w:rPr>
        <w:t>七、投标</w:t>
      </w:r>
      <w:r>
        <w:rPr>
          <w:rFonts w:hint="eastAsia"/>
          <w:b/>
          <w:bCs/>
          <w:color w:val="auto"/>
          <w:sz w:val="24"/>
          <w:highlight w:val="none"/>
          <w:lang w:eastAsia="zh-CN"/>
        </w:rPr>
        <w:t>起止</w:t>
      </w:r>
      <w:r>
        <w:rPr>
          <w:rFonts w:hint="eastAsia"/>
          <w:b/>
          <w:bCs/>
          <w:color w:val="auto"/>
          <w:sz w:val="24"/>
          <w:highlight w:val="none"/>
        </w:rPr>
        <w:t>时间</w:t>
      </w:r>
      <w:r>
        <w:rPr>
          <w:rFonts w:hint="eastAsia"/>
          <w:b/>
          <w:bCs/>
          <w:color w:val="auto"/>
          <w:sz w:val="24"/>
          <w:highlight w:val="none"/>
          <w:lang w:eastAsia="zh-CN"/>
        </w:rPr>
        <w:t>及方式</w:t>
      </w:r>
      <w:r>
        <w:rPr>
          <w:rFonts w:hint="eastAsia"/>
          <w:b/>
          <w:bCs/>
          <w:color w:val="auto"/>
          <w:sz w:val="24"/>
          <w:highlight w:val="none"/>
        </w:rPr>
        <w:t>：</w:t>
      </w:r>
    </w:p>
    <w:p w14:paraId="349AD6D8">
      <w:pPr>
        <w:pageBreakBefore w:val="0"/>
        <w:kinsoku/>
        <w:wordWrap/>
        <w:overflowPunct/>
        <w:topLinePunct w:val="0"/>
        <w:autoSpaceDE/>
        <w:autoSpaceDN/>
        <w:bidi w:val="0"/>
        <w:adjustRightInd/>
        <w:snapToGrid/>
        <w:spacing w:line="400" w:lineRule="exact"/>
        <w:ind w:firstLine="480" w:firstLineChars="200"/>
        <w:textAlignment w:val="auto"/>
        <w:rPr>
          <w:rFonts w:hint="default" w:eastAsia="宋体"/>
          <w:color w:val="auto"/>
          <w:sz w:val="24"/>
          <w:highlight w:val="none"/>
          <w:shd w:val="clear" w:color="auto" w:fill="FFFFFF"/>
          <w:lang w:val="en-US" w:eastAsia="zh-CN"/>
        </w:rPr>
      </w:pPr>
      <w:r>
        <w:rPr>
          <w:color w:val="auto"/>
          <w:sz w:val="24"/>
          <w:highlight w:val="none"/>
          <w:shd w:val="clear" w:color="auto" w:fill="FFFFFF"/>
        </w:rPr>
        <w:t>(一) 投标截止时间：</w:t>
      </w:r>
      <w:r>
        <w:rPr>
          <w:rFonts w:hint="eastAsia"/>
          <w:color w:val="auto"/>
          <w:kern w:val="0"/>
          <w:sz w:val="24"/>
          <w:highlight w:val="none"/>
          <w:lang w:eastAsia="zh-CN"/>
        </w:rPr>
        <w:t>202</w:t>
      </w:r>
      <w:r>
        <w:rPr>
          <w:rFonts w:hint="eastAsia"/>
          <w:color w:val="auto"/>
          <w:kern w:val="0"/>
          <w:sz w:val="24"/>
          <w:highlight w:val="none"/>
          <w:lang w:val="en-US" w:eastAsia="zh-CN"/>
        </w:rPr>
        <w:t>5</w:t>
      </w:r>
      <w:r>
        <w:rPr>
          <w:color w:val="auto"/>
          <w:kern w:val="0"/>
          <w:sz w:val="24"/>
          <w:highlight w:val="none"/>
        </w:rPr>
        <w:t>年</w:t>
      </w:r>
      <w:r>
        <w:rPr>
          <w:rFonts w:hint="eastAsia"/>
          <w:color w:val="auto"/>
          <w:kern w:val="0"/>
          <w:sz w:val="24"/>
          <w:highlight w:val="none"/>
          <w:lang w:val="en-US" w:eastAsia="zh-CN"/>
        </w:rPr>
        <w:t xml:space="preserve">07 </w:t>
      </w:r>
      <w:r>
        <w:rPr>
          <w:color w:val="auto"/>
          <w:kern w:val="0"/>
          <w:sz w:val="24"/>
          <w:highlight w:val="none"/>
        </w:rPr>
        <w:t>月</w:t>
      </w:r>
      <w:r>
        <w:rPr>
          <w:rFonts w:hint="eastAsia"/>
          <w:color w:val="auto"/>
          <w:kern w:val="0"/>
          <w:sz w:val="24"/>
          <w:highlight w:val="none"/>
          <w:lang w:val="en-US" w:eastAsia="zh-CN"/>
        </w:rPr>
        <w:t xml:space="preserve">16 </w:t>
      </w:r>
      <w:r>
        <w:rPr>
          <w:color w:val="auto"/>
          <w:kern w:val="0"/>
          <w:sz w:val="24"/>
          <w:highlight w:val="none"/>
        </w:rPr>
        <w:t>日</w:t>
      </w:r>
      <w:r>
        <w:rPr>
          <w:rFonts w:hint="eastAsia"/>
          <w:color w:val="auto"/>
          <w:kern w:val="0"/>
          <w:sz w:val="24"/>
          <w:highlight w:val="none"/>
          <w:lang w:val="en-US" w:eastAsia="zh-CN"/>
        </w:rPr>
        <w:t>9</w:t>
      </w:r>
      <w:r>
        <w:rPr>
          <w:color w:val="auto"/>
          <w:kern w:val="0"/>
          <w:sz w:val="24"/>
          <w:highlight w:val="none"/>
        </w:rPr>
        <w:t>:</w:t>
      </w:r>
      <w:r>
        <w:rPr>
          <w:rFonts w:hint="eastAsia"/>
          <w:color w:val="auto"/>
          <w:kern w:val="0"/>
          <w:sz w:val="24"/>
          <w:highlight w:val="none"/>
          <w:lang w:val="en-US" w:eastAsia="zh-CN"/>
        </w:rPr>
        <w:t xml:space="preserve">30  </w:t>
      </w:r>
    </w:p>
    <w:p w14:paraId="7422D62D">
      <w:pPr>
        <w:pageBreakBefore w:val="0"/>
        <w:kinsoku/>
        <w:wordWrap/>
        <w:overflowPunct/>
        <w:topLinePunct w:val="0"/>
        <w:autoSpaceDE/>
        <w:autoSpaceDN/>
        <w:bidi w:val="0"/>
        <w:adjustRightInd/>
        <w:snapToGrid/>
        <w:spacing w:line="400" w:lineRule="exact"/>
        <w:ind w:firstLine="480" w:firstLineChars="200"/>
        <w:textAlignment w:val="auto"/>
        <w:rPr>
          <w:color w:val="auto"/>
          <w:sz w:val="24"/>
          <w:highlight w:val="none"/>
          <w:shd w:val="clear" w:color="auto" w:fill="FFFFFF"/>
        </w:rPr>
      </w:pPr>
      <w:r>
        <w:rPr>
          <w:color w:val="auto"/>
          <w:sz w:val="24"/>
          <w:highlight w:val="none"/>
          <w:shd w:val="clear" w:color="auto" w:fill="FFFFFF"/>
        </w:rPr>
        <w:t>本项目实行网上电子投标，投标人可在系统中编制投标文件，且应于投标截止时间前，登录政府采购云平台，按规定进行投标。投标成功会接收短信通知，逾期投标或未上传成功的将视为未投标。</w:t>
      </w:r>
    </w:p>
    <w:p w14:paraId="0C99F74D">
      <w:pPr>
        <w:pageBreakBefore w:val="0"/>
        <w:kinsoku/>
        <w:wordWrap/>
        <w:overflowPunct/>
        <w:topLinePunct w:val="0"/>
        <w:autoSpaceDE/>
        <w:autoSpaceDN/>
        <w:bidi w:val="0"/>
        <w:adjustRightInd/>
        <w:snapToGrid/>
        <w:spacing w:line="400" w:lineRule="exact"/>
        <w:ind w:firstLine="480" w:firstLineChars="200"/>
        <w:textAlignment w:val="auto"/>
        <w:rPr>
          <w:color w:val="auto"/>
          <w:sz w:val="24"/>
          <w:highlight w:val="none"/>
          <w:shd w:val="clear" w:color="auto" w:fill="FFFFFF"/>
        </w:rPr>
      </w:pPr>
      <w:r>
        <w:rPr>
          <w:color w:val="auto"/>
          <w:sz w:val="24"/>
          <w:highlight w:val="none"/>
          <w:shd w:val="clear" w:color="auto" w:fill="FFFFFF"/>
        </w:rPr>
        <w:t>(二) 投标地点</w:t>
      </w:r>
      <w:r>
        <w:rPr>
          <w:rFonts w:hint="eastAsia"/>
          <w:color w:val="auto"/>
          <w:sz w:val="24"/>
          <w:highlight w:val="none"/>
          <w:shd w:val="clear" w:color="auto" w:fill="FFFFFF"/>
          <w:lang w:eastAsia="zh-CN"/>
        </w:rPr>
        <w:t>：</w:t>
      </w:r>
      <w:r>
        <w:rPr>
          <w:color w:val="auto"/>
          <w:sz w:val="24"/>
          <w:highlight w:val="none"/>
          <w:shd w:val="clear" w:color="auto" w:fill="FFFFFF"/>
        </w:rPr>
        <w:t xml:space="preserve">政府采购云平台（https://www.zcygov.cn）在线递交 </w:t>
      </w:r>
    </w:p>
    <w:p w14:paraId="1D3CCB50">
      <w:pPr>
        <w:pageBreakBefore w:val="0"/>
        <w:kinsoku/>
        <w:wordWrap/>
        <w:overflowPunct/>
        <w:topLinePunct w:val="0"/>
        <w:autoSpaceDE/>
        <w:autoSpaceDN/>
        <w:bidi w:val="0"/>
        <w:adjustRightInd/>
        <w:snapToGrid/>
        <w:spacing w:line="400" w:lineRule="exact"/>
        <w:textAlignment w:val="auto"/>
        <w:rPr>
          <w:rFonts w:hint="eastAsia"/>
          <w:b/>
          <w:bCs/>
          <w:color w:val="auto"/>
          <w:sz w:val="24"/>
          <w:highlight w:val="none"/>
        </w:rPr>
      </w:pPr>
      <w:r>
        <w:rPr>
          <w:rFonts w:hint="eastAsia"/>
          <w:b/>
          <w:bCs/>
          <w:color w:val="auto"/>
          <w:sz w:val="24"/>
          <w:highlight w:val="none"/>
        </w:rPr>
        <w:t>八、开标时间、地点：</w:t>
      </w:r>
    </w:p>
    <w:p w14:paraId="2222F141">
      <w:pPr>
        <w:pageBreakBefore w:val="0"/>
        <w:kinsoku/>
        <w:wordWrap/>
        <w:overflowPunct/>
        <w:topLinePunct w:val="0"/>
        <w:autoSpaceDE/>
        <w:autoSpaceDN/>
        <w:bidi w:val="0"/>
        <w:adjustRightInd/>
        <w:snapToGrid/>
        <w:spacing w:line="400" w:lineRule="exact"/>
        <w:ind w:firstLine="559" w:firstLineChars="233"/>
        <w:jc w:val="left"/>
        <w:textAlignment w:val="auto"/>
        <w:rPr>
          <w:color w:val="auto"/>
          <w:spacing w:val="-6"/>
          <w:sz w:val="24"/>
          <w:highlight w:val="none"/>
        </w:rPr>
      </w:pPr>
      <w:r>
        <w:rPr>
          <w:color w:val="auto"/>
          <w:sz w:val="24"/>
          <w:highlight w:val="none"/>
          <w:shd w:val="clear" w:color="auto" w:fill="FFFFFF"/>
        </w:rPr>
        <w:t xml:space="preserve">(一) </w:t>
      </w:r>
      <w:r>
        <w:rPr>
          <w:color w:val="auto"/>
          <w:spacing w:val="-6"/>
          <w:sz w:val="24"/>
          <w:highlight w:val="none"/>
        </w:rPr>
        <w:t>开标时间：</w:t>
      </w:r>
      <w:r>
        <w:rPr>
          <w:rFonts w:hint="eastAsia"/>
          <w:color w:val="auto"/>
          <w:kern w:val="0"/>
          <w:sz w:val="24"/>
          <w:highlight w:val="none"/>
          <w:lang w:eastAsia="zh-CN"/>
        </w:rPr>
        <w:t>202</w:t>
      </w:r>
      <w:r>
        <w:rPr>
          <w:rFonts w:hint="eastAsia"/>
          <w:color w:val="auto"/>
          <w:kern w:val="0"/>
          <w:sz w:val="24"/>
          <w:highlight w:val="none"/>
          <w:lang w:val="en-US" w:eastAsia="zh-CN"/>
        </w:rPr>
        <w:t>5</w:t>
      </w:r>
      <w:r>
        <w:rPr>
          <w:color w:val="auto"/>
          <w:kern w:val="0"/>
          <w:sz w:val="24"/>
          <w:highlight w:val="none"/>
        </w:rPr>
        <w:t>年</w:t>
      </w:r>
      <w:r>
        <w:rPr>
          <w:rFonts w:hint="eastAsia"/>
          <w:color w:val="auto"/>
          <w:kern w:val="0"/>
          <w:sz w:val="24"/>
          <w:highlight w:val="none"/>
          <w:lang w:val="en-US" w:eastAsia="zh-CN"/>
        </w:rPr>
        <w:t>07</w:t>
      </w:r>
      <w:r>
        <w:rPr>
          <w:color w:val="auto"/>
          <w:kern w:val="0"/>
          <w:sz w:val="24"/>
          <w:highlight w:val="none"/>
        </w:rPr>
        <w:t>月</w:t>
      </w:r>
      <w:r>
        <w:rPr>
          <w:rFonts w:hint="eastAsia"/>
          <w:color w:val="auto"/>
          <w:kern w:val="0"/>
          <w:sz w:val="24"/>
          <w:highlight w:val="none"/>
          <w:lang w:val="en-US" w:eastAsia="zh-CN"/>
        </w:rPr>
        <w:t>16</w:t>
      </w:r>
      <w:r>
        <w:rPr>
          <w:color w:val="auto"/>
          <w:kern w:val="0"/>
          <w:sz w:val="24"/>
          <w:highlight w:val="none"/>
        </w:rPr>
        <w:t>日</w:t>
      </w:r>
      <w:r>
        <w:rPr>
          <w:rFonts w:hint="eastAsia"/>
          <w:color w:val="auto"/>
          <w:kern w:val="0"/>
          <w:sz w:val="24"/>
          <w:highlight w:val="none"/>
          <w:lang w:val="en-US" w:eastAsia="zh-CN"/>
        </w:rPr>
        <w:t>9</w:t>
      </w:r>
      <w:r>
        <w:rPr>
          <w:color w:val="auto"/>
          <w:kern w:val="0"/>
          <w:sz w:val="24"/>
          <w:highlight w:val="none"/>
        </w:rPr>
        <w:t>:</w:t>
      </w:r>
      <w:r>
        <w:rPr>
          <w:rFonts w:hint="eastAsia"/>
          <w:color w:val="auto"/>
          <w:kern w:val="0"/>
          <w:sz w:val="24"/>
          <w:highlight w:val="none"/>
          <w:lang w:val="en-US" w:eastAsia="zh-CN"/>
        </w:rPr>
        <w:t xml:space="preserve">30 </w:t>
      </w:r>
    </w:p>
    <w:p w14:paraId="27CBFEED">
      <w:pPr>
        <w:pageBreakBefore w:val="0"/>
        <w:kinsoku/>
        <w:wordWrap/>
        <w:overflowPunct/>
        <w:topLinePunct w:val="0"/>
        <w:autoSpaceDE/>
        <w:autoSpaceDN/>
        <w:bidi w:val="0"/>
        <w:adjustRightInd/>
        <w:snapToGrid/>
        <w:spacing w:line="400" w:lineRule="exact"/>
        <w:ind w:firstLine="559" w:firstLineChars="233"/>
        <w:textAlignment w:val="auto"/>
        <w:rPr>
          <w:color w:val="auto"/>
          <w:spacing w:val="-6"/>
          <w:sz w:val="24"/>
          <w:highlight w:val="yellow"/>
        </w:rPr>
      </w:pPr>
      <w:r>
        <w:rPr>
          <w:color w:val="auto"/>
          <w:sz w:val="24"/>
          <w:highlight w:val="none"/>
          <w:shd w:val="clear" w:color="auto" w:fill="FFFFFF"/>
        </w:rPr>
        <w:t>(二) 开标</w:t>
      </w:r>
      <w:r>
        <w:rPr>
          <w:color w:val="auto"/>
          <w:spacing w:val="-6"/>
          <w:sz w:val="24"/>
          <w:highlight w:val="none"/>
        </w:rPr>
        <w:t>地点：政府采购云平台（https://www.zcygov.cn）在线开标</w:t>
      </w:r>
    </w:p>
    <w:p w14:paraId="2F5C1667">
      <w:pPr>
        <w:keepNext w:val="0"/>
        <w:keepLines w:val="0"/>
        <w:pageBreakBefore w:val="0"/>
        <w:numPr>
          <w:ilvl w:val="0"/>
          <w:numId w:val="0"/>
        </w:numPr>
        <w:kinsoku/>
        <w:wordWrap/>
        <w:overflowPunct/>
        <w:topLinePunct w:val="0"/>
        <w:autoSpaceDE/>
        <w:autoSpaceDN/>
        <w:bidi w:val="0"/>
        <w:adjustRightInd/>
        <w:snapToGrid/>
        <w:spacing w:line="400" w:lineRule="exact"/>
        <w:ind w:left="120" w:leftChars="0"/>
        <w:textAlignment w:val="auto"/>
        <w:rPr>
          <w:rFonts w:hint="eastAsia"/>
          <w:b/>
          <w:bCs/>
          <w:color w:val="auto"/>
          <w:sz w:val="24"/>
          <w:highlight w:val="none"/>
        </w:rPr>
      </w:pPr>
      <w:r>
        <w:rPr>
          <w:rFonts w:hint="eastAsia"/>
          <w:b/>
          <w:bCs/>
          <w:color w:val="auto"/>
          <w:sz w:val="24"/>
          <w:highlight w:val="none"/>
          <w:lang w:eastAsia="zh-CN"/>
        </w:rPr>
        <w:t>九</w:t>
      </w:r>
      <w:r>
        <w:rPr>
          <w:rFonts w:hint="eastAsia"/>
          <w:b/>
          <w:bCs/>
          <w:color w:val="auto"/>
          <w:sz w:val="24"/>
          <w:highlight w:val="none"/>
        </w:rPr>
        <w:t>、联系方式：</w:t>
      </w:r>
    </w:p>
    <w:p w14:paraId="005F735B">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eastAsia="宋体"/>
          <w:color w:val="auto"/>
          <w:sz w:val="24"/>
          <w:highlight w:val="none"/>
          <w:lang w:eastAsia="zh-CN"/>
        </w:rPr>
      </w:pPr>
      <w:r>
        <w:rPr>
          <w:rFonts w:hint="eastAsia"/>
          <w:color w:val="auto"/>
          <w:sz w:val="24"/>
          <w:highlight w:val="none"/>
        </w:rPr>
        <w:t>招标人：</w:t>
      </w:r>
      <w:r>
        <w:rPr>
          <w:rFonts w:hint="eastAsia"/>
          <w:color w:val="auto"/>
          <w:sz w:val="24"/>
          <w:highlight w:val="none"/>
          <w:lang w:eastAsia="zh-CN"/>
        </w:rPr>
        <w:t>杭州市萧山区人民政府新塘街道办事处</w:t>
      </w:r>
    </w:p>
    <w:p w14:paraId="6FB385C3">
      <w:pPr>
        <w:keepNext w:val="0"/>
        <w:keepLines w:val="0"/>
        <w:pageBreakBefore w:val="0"/>
        <w:kinsoku/>
        <w:wordWrap/>
        <w:overflowPunct/>
        <w:topLinePunct w:val="0"/>
        <w:autoSpaceDE/>
        <w:autoSpaceDN/>
        <w:bidi w:val="0"/>
        <w:adjustRightInd/>
        <w:snapToGrid/>
        <w:spacing w:line="400" w:lineRule="exact"/>
        <w:ind w:firstLine="436" w:firstLineChars="182"/>
        <w:textAlignment w:val="auto"/>
        <w:rPr>
          <w:rFonts w:hint="default" w:ascii="宋体" w:hAnsi="宋体" w:eastAsia="宋体"/>
          <w:sz w:val="24"/>
          <w:lang w:val="en-US" w:eastAsia="zh-CN"/>
        </w:rPr>
      </w:pPr>
      <w:r>
        <w:rPr>
          <w:rFonts w:ascii="宋体" w:hAnsi="宋体"/>
          <w:sz w:val="24"/>
        </w:rPr>
        <w:t>地址：</w:t>
      </w:r>
      <w:r>
        <w:rPr>
          <w:rFonts w:hint="eastAsia" w:ascii="宋体" w:hAnsi="宋体"/>
          <w:sz w:val="24"/>
          <w:lang w:val="en-US" w:eastAsia="zh-CN"/>
        </w:rPr>
        <w:t xml:space="preserve"> 杭州市萧山区南秀路2699号 </w:t>
      </w:r>
    </w:p>
    <w:p w14:paraId="587F1A83">
      <w:pPr>
        <w:pStyle w:val="48"/>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eastAsia="宋体"/>
          <w:b w:val="0"/>
          <w:sz w:val="24"/>
          <w:highlight w:val="none"/>
          <w:lang w:val="en-US" w:eastAsia="zh-CN"/>
        </w:rPr>
      </w:pPr>
      <w:r>
        <w:rPr>
          <w:b w:val="0"/>
          <w:sz w:val="24"/>
          <w:highlight w:val="none"/>
        </w:rPr>
        <w:t>联系人：</w:t>
      </w:r>
      <w:r>
        <w:rPr>
          <w:rFonts w:hint="eastAsia"/>
          <w:b w:val="0"/>
          <w:sz w:val="24"/>
          <w:highlight w:val="none"/>
          <w:lang w:val="en-US" w:eastAsia="zh-CN"/>
        </w:rPr>
        <w:t xml:space="preserve">凌女士  </w:t>
      </w:r>
    </w:p>
    <w:p w14:paraId="36FD6E85">
      <w:pPr>
        <w:pStyle w:val="48"/>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eastAsia="宋体"/>
          <w:b w:val="0"/>
          <w:sz w:val="24"/>
          <w:highlight w:val="none"/>
          <w:lang w:val="en-US" w:eastAsia="zh-CN"/>
        </w:rPr>
      </w:pPr>
      <w:r>
        <w:rPr>
          <w:b w:val="0"/>
          <w:sz w:val="24"/>
          <w:highlight w:val="none"/>
        </w:rPr>
        <w:t>联系方式：</w:t>
      </w:r>
      <w:r>
        <w:rPr>
          <w:rFonts w:hint="eastAsia"/>
          <w:b w:val="0"/>
          <w:sz w:val="24"/>
          <w:highlight w:val="none"/>
        </w:rPr>
        <w:t>0571-83713051</w:t>
      </w:r>
      <w:r>
        <w:rPr>
          <w:rFonts w:hint="eastAsia"/>
          <w:b w:val="0"/>
          <w:sz w:val="24"/>
          <w:highlight w:val="none"/>
          <w:lang w:val="en-US" w:eastAsia="zh-CN"/>
        </w:rPr>
        <w:t xml:space="preserve"> </w:t>
      </w:r>
    </w:p>
    <w:p w14:paraId="5DDE1B7C">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eastAsia="宋体"/>
          <w:color w:val="auto"/>
          <w:sz w:val="24"/>
          <w:highlight w:val="none"/>
          <w:lang w:eastAsia="zh-CN"/>
        </w:rPr>
      </w:pPr>
      <w:r>
        <w:rPr>
          <w:rFonts w:hint="eastAsia"/>
          <w:color w:val="auto"/>
          <w:sz w:val="24"/>
          <w:highlight w:val="none"/>
        </w:rPr>
        <w:t>招标代理机构名称：</w:t>
      </w:r>
      <w:r>
        <w:rPr>
          <w:rFonts w:hint="eastAsia"/>
          <w:color w:val="auto"/>
          <w:sz w:val="24"/>
          <w:highlight w:val="none"/>
          <w:lang w:eastAsia="zh-CN"/>
        </w:rPr>
        <w:t>浙江华域高宇项目管理有限公司</w:t>
      </w:r>
    </w:p>
    <w:p w14:paraId="7C0D9F64">
      <w:pPr>
        <w:keepNext w:val="0"/>
        <w:keepLines w:val="0"/>
        <w:pageBreakBefore w:val="0"/>
        <w:kinsoku/>
        <w:wordWrap/>
        <w:overflowPunct/>
        <w:topLinePunct w:val="0"/>
        <w:autoSpaceDE/>
        <w:autoSpaceDN/>
        <w:bidi w:val="0"/>
        <w:adjustRightInd/>
        <w:snapToGrid/>
        <w:spacing w:line="400" w:lineRule="exact"/>
        <w:textAlignment w:val="auto"/>
        <w:rPr>
          <w:rFonts w:hint="default" w:eastAsia="宋体"/>
          <w:color w:val="auto"/>
          <w:sz w:val="24"/>
          <w:highlight w:val="none"/>
          <w:lang w:val="en-US" w:eastAsia="zh-CN"/>
        </w:rPr>
      </w:pPr>
      <w:r>
        <w:rPr>
          <w:rFonts w:hint="eastAsia"/>
          <w:color w:val="auto"/>
          <w:sz w:val="24"/>
          <w:highlight w:val="none"/>
        </w:rPr>
        <w:t>　　地点：</w:t>
      </w:r>
      <w:r>
        <w:rPr>
          <w:rFonts w:hint="eastAsia"/>
          <w:color w:val="auto"/>
          <w:sz w:val="24"/>
          <w:highlight w:val="none"/>
          <w:lang w:val="en-US" w:eastAsia="zh-CN"/>
        </w:rPr>
        <w:t>杭州市萧山区金城路560号心意广场2幢11层</w:t>
      </w:r>
    </w:p>
    <w:p w14:paraId="19EAF087">
      <w:pPr>
        <w:keepNext w:val="0"/>
        <w:keepLines w:val="0"/>
        <w:pageBreakBefore w:val="0"/>
        <w:kinsoku/>
        <w:wordWrap/>
        <w:overflowPunct/>
        <w:topLinePunct w:val="0"/>
        <w:autoSpaceDE/>
        <w:autoSpaceDN/>
        <w:bidi w:val="0"/>
        <w:adjustRightInd/>
        <w:snapToGrid/>
        <w:spacing w:line="400" w:lineRule="exact"/>
        <w:textAlignment w:val="auto"/>
        <w:rPr>
          <w:rFonts w:hint="default" w:eastAsia="宋体"/>
          <w:color w:val="auto"/>
          <w:sz w:val="24"/>
          <w:highlight w:val="none"/>
          <w:lang w:val="en-US" w:eastAsia="zh-CN"/>
        </w:rPr>
      </w:pPr>
      <w:r>
        <w:rPr>
          <w:rFonts w:hint="eastAsia"/>
          <w:color w:val="auto"/>
          <w:sz w:val="24"/>
          <w:highlight w:val="none"/>
        </w:rPr>
        <w:t>　　联系人：</w:t>
      </w:r>
      <w:r>
        <w:rPr>
          <w:rFonts w:hint="eastAsia"/>
          <w:color w:val="auto"/>
          <w:sz w:val="24"/>
          <w:highlight w:val="none"/>
          <w:lang w:val="en-US" w:eastAsia="zh-CN"/>
        </w:rPr>
        <w:t>陈超</w:t>
      </w:r>
    </w:p>
    <w:p w14:paraId="0CD03DFC">
      <w:pPr>
        <w:keepNext w:val="0"/>
        <w:keepLines w:val="0"/>
        <w:pageBreakBefore w:val="0"/>
        <w:kinsoku/>
        <w:wordWrap/>
        <w:overflowPunct/>
        <w:topLinePunct w:val="0"/>
        <w:autoSpaceDE/>
        <w:autoSpaceDN/>
        <w:bidi w:val="0"/>
        <w:adjustRightInd/>
        <w:snapToGrid/>
        <w:spacing w:line="400" w:lineRule="exact"/>
        <w:ind w:firstLine="480" w:firstLineChars="200"/>
        <w:jc w:val="center"/>
        <w:textAlignment w:val="auto"/>
        <w:rPr>
          <w:rFonts w:eastAsia="黑体"/>
          <w:color w:val="auto"/>
          <w:sz w:val="30"/>
          <w:szCs w:val="30"/>
          <w:highlight w:val="none"/>
        </w:rPr>
      </w:pPr>
      <w:r>
        <w:rPr>
          <w:rFonts w:hint="eastAsia"/>
          <w:color w:val="auto"/>
          <w:sz w:val="24"/>
          <w:highlight w:val="none"/>
        </w:rPr>
        <w:t>电话：</w:t>
      </w:r>
      <w:r>
        <w:rPr>
          <w:rFonts w:hint="eastAsia"/>
          <w:color w:val="auto"/>
          <w:sz w:val="24"/>
          <w:highlight w:val="none"/>
          <w:lang w:val="en-US" w:eastAsia="zh-CN"/>
        </w:rPr>
        <w:t>13738195695</w:t>
      </w:r>
      <w:r>
        <w:rPr>
          <w:rFonts w:eastAsia="黑体"/>
          <w:color w:val="auto"/>
          <w:sz w:val="30"/>
          <w:szCs w:val="30"/>
          <w:highlight w:val="none"/>
        </w:rPr>
        <w:br w:type="page"/>
      </w:r>
      <w:r>
        <w:rPr>
          <w:rFonts w:eastAsia="黑体"/>
          <w:color w:val="auto"/>
          <w:sz w:val="30"/>
          <w:szCs w:val="30"/>
          <w:highlight w:val="none"/>
        </w:rPr>
        <w:t>第二章 投标人须知</w:t>
      </w:r>
    </w:p>
    <w:p w14:paraId="361761FA">
      <w:pPr>
        <w:snapToGrid w:val="0"/>
        <w:spacing w:before="120" w:beforeLines="50" w:after="120" w:afterLines="50" w:line="360" w:lineRule="auto"/>
        <w:ind w:left="238"/>
        <w:jc w:val="center"/>
        <w:rPr>
          <w:rFonts w:eastAsia="黑体"/>
          <w:b/>
          <w:color w:val="auto"/>
          <w:sz w:val="28"/>
          <w:szCs w:val="28"/>
          <w:highlight w:val="none"/>
        </w:rPr>
      </w:pPr>
      <w:r>
        <w:rPr>
          <w:b/>
          <w:color w:val="auto"/>
          <w:sz w:val="28"/>
          <w:szCs w:val="28"/>
          <w:highlight w:val="none"/>
        </w:rPr>
        <w:t>前附表</w:t>
      </w:r>
      <w:r>
        <w:rPr>
          <w:rFonts w:eastAsia="黑体"/>
          <w:b/>
          <w:color w:val="auto"/>
          <w:sz w:val="28"/>
          <w:szCs w:val="28"/>
          <w:highlight w:val="none"/>
        </w:rPr>
        <w:t xml:space="preserve"> </w:t>
      </w:r>
    </w:p>
    <w:tbl>
      <w:tblPr>
        <w:tblStyle w:val="31"/>
        <w:tblW w:w="892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9"/>
        <w:gridCol w:w="8059"/>
      </w:tblGrid>
      <w:tr w14:paraId="501AEF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blHeader/>
        </w:trPr>
        <w:tc>
          <w:tcPr>
            <w:tcW w:w="869" w:type="dxa"/>
            <w:tcBorders>
              <w:top w:val="single" w:color="auto" w:sz="12" w:space="0"/>
              <w:left w:val="single" w:color="auto" w:sz="12" w:space="0"/>
              <w:bottom w:val="single" w:color="auto" w:sz="4" w:space="0"/>
              <w:right w:val="single" w:color="auto" w:sz="4" w:space="0"/>
            </w:tcBorders>
            <w:noWrap w:val="0"/>
            <w:vAlign w:val="center"/>
          </w:tcPr>
          <w:p w14:paraId="3EF4B557">
            <w:pPr>
              <w:snapToGrid w:val="0"/>
              <w:spacing w:line="360" w:lineRule="auto"/>
              <w:jc w:val="center"/>
              <w:rPr>
                <w:color w:val="auto"/>
                <w:sz w:val="24"/>
                <w:szCs w:val="20"/>
                <w:highlight w:val="none"/>
              </w:rPr>
            </w:pPr>
            <w:r>
              <w:rPr>
                <w:color w:val="auto"/>
                <w:sz w:val="24"/>
                <w:highlight w:val="none"/>
              </w:rPr>
              <w:t>序号</w:t>
            </w:r>
          </w:p>
        </w:tc>
        <w:tc>
          <w:tcPr>
            <w:tcW w:w="8059" w:type="dxa"/>
            <w:tcBorders>
              <w:top w:val="single" w:color="auto" w:sz="12" w:space="0"/>
              <w:left w:val="single" w:color="auto" w:sz="4" w:space="0"/>
              <w:bottom w:val="single" w:color="auto" w:sz="4" w:space="0"/>
              <w:right w:val="single" w:color="auto" w:sz="12" w:space="0"/>
            </w:tcBorders>
            <w:noWrap w:val="0"/>
            <w:vAlign w:val="center"/>
          </w:tcPr>
          <w:p w14:paraId="4346DFDF">
            <w:pPr>
              <w:snapToGrid w:val="0"/>
              <w:spacing w:line="360" w:lineRule="auto"/>
              <w:jc w:val="center"/>
              <w:rPr>
                <w:color w:val="auto"/>
                <w:sz w:val="24"/>
                <w:szCs w:val="20"/>
                <w:highlight w:val="none"/>
              </w:rPr>
            </w:pPr>
            <w:r>
              <w:rPr>
                <w:color w:val="auto"/>
                <w:sz w:val="24"/>
                <w:highlight w:val="none"/>
              </w:rPr>
              <w:t>内容、要求</w:t>
            </w:r>
          </w:p>
        </w:tc>
      </w:tr>
      <w:tr w14:paraId="03C08B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4"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52539FE6">
            <w:pPr>
              <w:snapToGrid w:val="0"/>
              <w:spacing w:line="360" w:lineRule="auto"/>
              <w:jc w:val="center"/>
              <w:rPr>
                <w:color w:val="auto"/>
                <w:sz w:val="24"/>
                <w:szCs w:val="20"/>
                <w:highlight w:val="none"/>
              </w:rPr>
            </w:pPr>
            <w:r>
              <w:rPr>
                <w:color w:val="auto"/>
                <w:sz w:val="24"/>
                <w:highlight w:val="none"/>
              </w:rPr>
              <w:t>1</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0CD994EF">
            <w:pPr>
              <w:snapToGrid w:val="0"/>
              <w:spacing w:line="360" w:lineRule="auto"/>
              <w:rPr>
                <w:rFonts w:hint="eastAsia" w:eastAsia="宋体"/>
                <w:b w:val="0"/>
                <w:bCs w:val="0"/>
                <w:color w:val="auto"/>
                <w:sz w:val="24"/>
                <w:highlight w:val="none"/>
                <w:lang w:eastAsia="zh-CN"/>
              </w:rPr>
            </w:pPr>
            <w:r>
              <w:rPr>
                <w:b w:val="0"/>
                <w:bCs w:val="0"/>
                <w:color w:val="auto"/>
                <w:sz w:val="24"/>
                <w:highlight w:val="none"/>
              </w:rPr>
              <w:t>项目名称：</w:t>
            </w:r>
            <w:r>
              <w:rPr>
                <w:rFonts w:hint="eastAsia" w:cs="Times New Roman"/>
                <w:b w:val="0"/>
                <w:bCs w:val="0"/>
                <w:color w:val="auto"/>
                <w:sz w:val="24"/>
                <w:highlight w:val="none"/>
                <w:lang w:val="en-US" w:eastAsia="zh-CN"/>
              </w:rPr>
              <w:t>杭州市萧山区人民政府新塘街道办事处2025年度存款账户招标项目</w:t>
            </w:r>
          </w:p>
        </w:tc>
      </w:tr>
      <w:tr w14:paraId="7213E6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1"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215F84CB">
            <w:pPr>
              <w:snapToGrid w:val="0"/>
              <w:spacing w:line="360" w:lineRule="auto"/>
              <w:jc w:val="center"/>
              <w:rPr>
                <w:color w:val="auto"/>
                <w:sz w:val="24"/>
                <w:szCs w:val="20"/>
                <w:highlight w:val="none"/>
              </w:rPr>
            </w:pPr>
            <w:r>
              <w:rPr>
                <w:color w:val="auto"/>
                <w:sz w:val="24"/>
                <w:highlight w:val="none"/>
              </w:rPr>
              <w:t>2</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7C8F4456">
            <w:pPr>
              <w:snapToGrid w:val="0"/>
              <w:spacing w:line="360" w:lineRule="auto"/>
              <w:rPr>
                <w:b w:val="0"/>
                <w:bCs w:val="0"/>
                <w:color w:val="auto"/>
                <w:sz w:val="24"/>
                <w:highlight w:val="none"/>
              </w:rPr>
            </w:pPr>
            <w:r>
              <w:rPr>
                <w:rFonts w:hint="eastAsia"/>
                <w:b w:val="0"/>
                <w:bCs w:val="0"/>
                <w:color w:val="auto"/>
                <w:sz w:val="24"/>
                <w:highlight w:val="none"/>
                <w:lang w:val="en-US" w:eastAsia="zh-CN"/>
              </w:rPr>
              <w:t>招标</w:t>
            </w:r>
            <w:r>
              <w:rPr>
                <w:b w:val="0"/>
                <w:bCs w:val="0"/>
                <w:color w:val="auto"/>
                <w:sz w:val="24"/>
                <w:highlight w:val="none"/>
              </w:rPr>
              <w:t>需求：</w:t>
            </w:r>
          </w:p>
          <w:p w14:paraId="4FABF767">
            <w:pPr>
              <w:spacing w:line="360" w:lineRule="auto"/>
              <w:rPr>
                <w:rFonts w:hint="eastAsia"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杭州市萧山区人民政府新塘街道办事处2025年度存款账户招标项目</w:t>
            </w:r>
            <w:r>
              <w:rPr>
                <w:rFonts w:hint="eastAsia" w:ascii="Times New Roman" w:hAnsi="Times New Roman" w:eastAsia="宋体" w:cs="Times New Roman"/>
                <w:b w:val="0"/>
                <w:bCs w:val="0"/>
                <w:color w:val="auto"/>
                <w:sz w:val="24"/>
                <w:highlight w:val="none"/>
                <w:lang w:val="en-US" w:eastAsia="zh-CN"/>
              </w:rPr>
              <w:t>；</w:t>
            </w:r>
          </w:p>
          <w:p w14:paraId="77F81EE6">
            <w:pPr>
              <w:spacing w:line="360" w:lineRule="auto"/>
              <w:rPr>
                <w:rFonts w:hint="default"/>
                <w:b w:val="0"/>
                <w:bCs w:val="0"/>
                <w:color w:val="auto"/>
                <w:sz w:val="24"/>
                <w:highlight w:val="none"/>
                <w:lang w:val="en-US"/>
              </w:rPr>
            </w:pPr>
            <w:r>
              <w:rPr>
                <w:rFonts w:hint="eastAsia" w:ascii="Times New Roman" w:hAnsi="Times New Roman" w:eastAsia="宋体" w:cs="Times New Roman"/>
                <w:b w:val="0"/>
                <w:bCs w:val="0"/>
                <w:color w:val="auto"/>
                <w:sz w:val="24"/>
                <w:highlight w:val="none"/>
                <w:lang w:val="en-US" w:eastAsia="zh-CN"/>
              </w:rPr>
              <w:t>中标银行数量：</w:t>
            </w:r>
            <w:r>
              <w:rPr>
                <w:rFonts w:hint="eastAsia" w:cs="Times New Roman"/>
                <w:b w:val="0"/>
                <w:bCs w:val="0"/>
                <w:color w:val="auto"/>
                <w:sz w:val="24"/>
                <w:highlight w:val="none"/>
                <w:lang w:val="en-US" w:eastAsia="zh-CN"/>
              </w:rPr>
              <w:t>2</w:t>
            </w:r>
            <w:r>
              <w:rPr>
                <w:rFonts w:hint="eastAsia" w:ascii="Times New Roman" w:hAnsi="Times New Roman" w:eastAsia="宋体" w:cs="Times New Roman"/>
                <w:b w:val="0"/>
                <w:bCs w:val="0"/>
                <w:color w:val="auto"/>
                <w:sz w:val="24"/>
                <w:highlight w:val="none"/>
                <w:lang w:val="en-US" w:eastAsia="zh-CN"/>
              </w:rPr>
              <w:t>家。</w:t>
            </w:r>
          </w:p>
        </w:tc>
      </w:tr>
      <w:tr w14:paraId="067C9B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52DF96BE">
            <w:pPr>
              <w:snapToGrid w:val="0"/>
              <w:spacing w:line="360" w:lineRule="auto"/>
              <w:jc w:val="center"/>
              <w:rPr>
                <w:color w:val="auto"/>
                <w:sz w:val="24"/>
                <w:szCs w:val="20"/>
                <w:highlight w:val="none"/>
              </w:rPr>
            </w:pPr>
            <w:r>
              <w:rPr>
                <w:color w:val="auto"/>
                <w:sz w:val="24"/>
                <w:highlight w:val="none"/>
              </w:rPr>
              <w:t>3</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48524D73">
            <w:pPr>
              <w:snapToGrid w:val="0"/>
              <w:spacing w:line="360" w:lineRule="auto"/>
              <w:rPr>
                <w:color w:val="auto"/>
                <w:sz w:val="24"/>
                <w:szCs w:val="20"/>
                <w:highlight w:val="none"/>
              </w:rPr>
            </w:pPr>
            <w:r>
              <w:rPr>
                <w:color w:val="auto"/>
                <w:sz w:val="24"/>
                <w:highlight w:val="none"/>
              </w:rPr>
              <w:t>招标标的：资金年收益率及相关服务</w:t>
            </w:r>
          </w:p>
        </w:tc>
      </w:tr>
      <w:tr w14:paraId="6181B6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02BD8F1F">
            <w:pPr>
              <w:snapToGrid w:val="0"/>
              <w:spacing w:line="360" w:lineRule="auto"/>
              <w:jc w:val="center"/>
              <w:rPr>
                <w:rFonts w:hint="eastAsia"/>
                <w:color w:val="auto"/>
                <w:sz w:val="24"/>
                <w:szCs w:val="20"/>
                <w:highlight w:val="none"/>
              </w:rPr>
            </w:pPr>
            <w:r>
              <w:rPr>
                <w:rFonts w:hint="eastAsia"/>
                <w:color w:val="auto"/>
                <w:sz w:val="24"/>
                <w:highlight w:val="none"/>
              </w:rPr>
              <w:t>4</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08CB5DB3">
            <w:pPr>
              <w:widowControl/>
              <w:spacing w:line="360" w:lineRule="auto"/>
              <w:rPr>
                <w:color w:val="auto"/>
                <w:sz w:val="24"/>
                <w:highlight w:val="none"/>
              </w:rPr>
            </w:pPr>
            <w:r>
              <w:rPr>
                <w:color w:val="auto"/>
                <w:sz w:val="24"/>
                <w:highlight w:val="none"/>
              </w:rPr>
              <w:t>投标人资格要求：</w:t>
            </w:r>
          </w:p>
          <w:p w14:paraId="28F4DD8B">
            <w:pPr>
              <w:numPr>
                <w:ilvl w:val="0"/>
                <w:numId w:val="5"/>
              </w:numPr>
              <w:spacing w:line="360" w:lineRule="auto"/>
              <w:ind w:firstLine="480" w:firstLineChars="200"/>
              <w:rPr>
                <w:rFonts w:hint="eastAsia"/>
                <w:color w:val="auto"/>
                <w:sz w:val="24"/>
                <w:highlight w:val="none"/>
              </w:rPr>
            </w:pPr>
            <w:r>
              <w:rPr>
                <w:rFonts w:hint="eastAsia"/>
                <w:color w:val="auto"/>
                <w:sz w:val="24"/>
                <w:highlight w:val="none"/>
                <w:lang w:eastAsia="zh-CN"/>
              </w:rPr>
              <w:t>在区级行政事业单位所在同城设有分支机构；</w:t>
            </w:r>
          </w:p>
          <w:p w14:paraId="35D1F42A">
            <w:pPr>
              <w:numPr>
                <w:ilvl w:val="0"/>
                <w:numId w:val="5"/>
              </w:numPr>
              <w:spacing w:line="360" w:lineRule="auto"/>
              <w:ind w:firstLine="480" w:firstLineChars="200"/>
              <w:rPr>
                <w:rFonts w:hint="eastAsia"/>
                <w:color w:val="auto"/>
                <w:sz w:val="24"/>
                <w:highlight w:val="none"/>
              </w:rPr>
            </w:pPr>
            <w:r>
              <w:rPr>
                <w:rFonts w:hint="eastAsia"/>
                <w:color w:val="auto"/>
                <w:sz w:val="24"/>
                <w:highlight w:val="none"/>
              </w:rPr>
              <w:t>依法开展经营活动，近3年内在经营活动中无重大违法违规记录</w:t>
            </w:r>
            <w:r>
              <w:rPr>
                <w:rFonts w:hint="eastAsia"/>
                <w:color w:val="auto"/>
                <w:sz w:val="24"/>
                <w:highlight w:val="none"/>
                <w:lang w:eastAsia="zh-CN"/>
              </w:rPr>
              <w:t>及重大违约事件；</w:t>
            </w:r>
          </w:p>
          <w:p w14:paraId="5F0216B9">
            <w:pPr>
              <w:numPr>
                <w:ilvl w:val="0"/>
                <w:numId w:val="5"/>
              </w:numPr>
              <w:spacing w:line="360" w:lineRule="auto"/>
              <w:ind w:left="0" w:leftChars="0" w:firstLine="480" w:firstLineChars="200"/>
              <w:rPr>
                <w:rFonts w:hint="eastAsia"/>
                <w:color w:val="auto"/>
                <w:sz w:val="24"/>
                <w:highlight w:val="none"/>
              </w:rPr>
            </w:pPr>
            <w:r>
              <w:rPr>
                <w:rFonts w:hint="eastAsia"/>
                <w:color w:val="auto"/>
                <w:sz w:val="24"/>
                <w:highlight w:val="none"/>
                <w:lang w:eastAsia="zh-CN"/>
              </w:rPr>
              <w:t>纳入人民银行综合评价的银行，人民银行上年度综合评价应达到</w:t>
            </w:r>
            <w:r>
              <w:rPr>
                <w:rFonts w:hint="eastAsia"/>
                <w:color w:val="auto"/>
                <w:sz w:val="24"/>
                <w:highlight w:val="none"/>
                <w:lang w:val="en-US" w:eastAsia="zh-CN"/>
              </w:rPr>
              <w:tab/>
            </w:r>
            <w:r>
              <w:rPr>
                <w:rFonts w:hint="eastAsia"/>
                <w:color w:val="auto"/>
                <w:sz w:val="24"/>
                <w:highlight w:val="none"/>
                <w:lang w:val="en-US" w:eastAsia="zh-CN"/>
              </w:rPr>
              <w:t>B级及以上，不纳入人民银行综合评价范围的银行不受此限制。</w:t>
            </w:r>
          </w:p>
          <w:p w14:paraId="5C95D301">
            <w:pPr>
              <w:numPr>
                <w:ilvl w:val="0"/>
                <w:numId w:val="5"/>
              </w:numPr>
              <w:spacing w:line="360" w:lineRule="auto"/>
              <w:ind w:left="0" w:leftChars="0" w:firstLine="480" w:firstLineChars="200"/>
              <w:rPr>
                <w:rFonts w:hint="eastAsia"/>
                <w:color w:val="auto"/>
                <w:sz w:val="24"/>
                <w:highlight w:val="none"/>
              </w:rPr>
            </w:pPr>
            <w:r>
              <w:rPr>
                <w:rFonts w:hint="eastAsia"/>
                <w:color w:val="auto"/>
                <w:sz w:val="24"/>
                <w:highlight w:val="none"/>
              </w:rPr>
              <w:t>投标人须在投标文件中明确在萧山区的服务网点，指定的服务网点应与最终公款存放的网点一致。</w:t>
            </w:r>
          </w:p>
          <w:p w14:paraId="44389891">
            <w:pPr>
              <w:pStyle w:val="30"/>
              <w:spacing w:line="360" w:lineRule="auto"/>
              <w:ind w:firstLine="482" w:firstLineChars="200"/>
              <w:rPr>
                <w:rFonts w:hint="eastAsia"/>
              </w:rPr>
            </w:pPr>
            <w:r>
              <w:rPr>
                <w:rFonts w:hint="eastAsia"/>
                <w:b/>
                <w:bCs/>
                <w:color w:val="auto"/>
                <w:sz w:val="24"/>
                <w:highlight w:val="none"/>
                <w:lang w:eastAsia="zh-CN"/>
              </w:rPr>
              <w:t>（五）标项</w:t>
            </w:r>
            <w:r>
              <w:rPr>
                <w:rFonts w:hint="eastAsia"/>
                <w:b/>
                <w:bCs/>
                <w:color w:val="auto"/>
                <w:sz w:val="24"/>
                <w:highlight w:val="none"/>
                <w:lang w:val="en-US" w:eastAsia="zh-CN"/>
              </w:rPr>
              <w:t>2：按照中央组织部2008年3号文件《关于中国共产党党费收缴使用和管理的规定》，党费必须存入中国农业银行、中国银行、中国工商银行、中国建设银行、交通银行、中国邮政储蓄银行，不得存入其他银行或者非银行金融机构。</w:t>
            </w:r>
          </w:p>
        </w:tc>
      </w:tr>
      <w:tr w14:paraId="66E5D6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69554A0F">
            <w:pPr>
              <w:snapToGrid w:val="0"/>
              <w:spacing w:line="360" w:lineRule="auto"/>
              <w:jc w:val="center"/>
              <w:rPr>
                <w:rFonts w:hint="eastAsia"/>
                <w:color w:val="auto"/>
                <w:sz w:val="24"/>
                <w:highlight w:val="none"/>
              </w:rPr>
            </w:pPr>
            <w:r>
              <w:rPr>
                <w:rFonts w:hint="eastAsia"/>
                <w:color w:val="auto"/>
                <w:sz w:val="24"/>
                <w:highlight w:val="none"/>
              </w:rPr>
              <w:t>5</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130EDAF4">
            <w:pPr>
              <w:pStyle w:val="28"/>
              <w:shd w:val="clear" w:color="auto" w:fill="FBFDFE"/>
              <w:spacing w:before="0" w:beforeAutospacing="0" w:after="0" w:afterAutospacing="0" w:line="360" w:lineRule="auto"/>
              <w:rPr>
                <w:rFonts w:hint="default" w:ascii="Times New Roman" w:hAnsi="Times New Roman" w:eastAsia="宋体" w:cs="Times New Roman"/>
                <w:color w:val="auto"/>
                <w:highlight w:val="none"/>
                <w:lang w:val="en-US" w:eastAsia="zh-CN"/>
              </w:rPr>
            </w:pPr>
            <w:r>
              <w:rPr>
                <w:rFonts w:ascii="Times New Roman" w:cs="Times New Roman"/>
                <w:color w:val="auto"/>
                <w:highlight w:val="none"/>
              </w:rPr>
              <w:t>投标保证金：</w:t>
            </w:r>
            <w:r>
              <w:rPr>
                <w:rFonts w:hint="eastAsia" w:ascii="Times New Roman" w:cs="Times New Roman"/>
                <w:color w:val="auto"/>
                <w:highlight w:val="none"/>
                <w:lang w:val="en-US" w:eastAsia="zh-CN"/>
              </w:rPr>
              <w:t>本项目不设置投标保证金</w:t>
            </w:r>
          </w:p>
        </w:tc>
      </w:tr>
      <w:tr w14:paraId="4636AC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1D03B9E7">
            <w:pPr>
              <w:snapToGrid w:val="0"/>
              <w:spacing w:line="360" w:lineRule="auto"/>
              <w:jc w:val="center"/>
              <w:rPr>
                <w:rFonts w:hint="eastAsia"/>
                <w:color w:val="auto"/>
                <w:sz w:val="24"/>
                <w:szCs w:val="20"/>
                <w:highlight w:val="none"/>
              </w:rPr>
            </w:pPr>
            <w:r>
              <w:rPr>
                <w:rFonts w:hint="eastAsia"/>
                <w:color w:val="auto"/>
                <w:sz w:val="24"/>
                <w:highlight w:val="none"/>
              </w:rPr>
              <w:t>6</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3313D5B8">
            <w:pPr>
              <w:snapToGrid w:val="0"/>
              <w:spacing w:line="360" w:lineRule="auto"/>
              <w:rPr>
                <w:color w:val="auto"/>
                <w:sz w:val="24"/>
                <w:highlight w:val="none"/>
              </w:rPr>
            </w:pPr>
            <w:r>
              <w:rPr>
                <w:color w:val="auto"/>
                <w:sz w:val="24"/>
                <w:highlight w:val="none"/>
              </w:rPr>
              <w:t>答疑与澄清：</w:t>
            </w:r>
          </w:p>
          <w:p w14:paraId="19B8D12D">
            <w:pPr>
              <w:snapToGrid w:val="0"/>
              <w:spacing w:line="360" w:lineRule="auto"/>
              <w:ind w:firstLine="480" w:firstLineChars="200"/>
              <w:rPr>
                <w:color w:val="auto"/>
                <w:sz w:val="24"/>
                <w:highlight w:val="none"/>
              </w:rPr>
            </w:pPr>
            <w:r>
              <w:rPr>
                <w:color w:val="auto"/>
                <w:sz w:val="24"/>
                <w:highlight w:val="none"/>
              </w:rPr>
              <w:t>投标人认为招标文件使自己的权益受到损害的，可以在知道或者应知其权益受到损害之日起七个工作日内，以书面形式向招标人提出质疑。对招标文件提出质疑的，质疑期限自投标人获得招标文件之日起计算（但招标文件在发售或报名截止日后获得的，应当自截止之日起计算），逾期提出的，将不予受理、答复。</w:t>
            </w:r>
          </w:p>
          <w:p w14:paraId="62496B58">
            <w:pPr>
              <w:snapToGrid w:val="0"/>
              <w:spacing w:line="360" w:lineRule="auto"/>
              <w:ind w:firstLine="480" w:firstLineChars="200"/>
              <w:rPr>
                <w:color w:val="auto"/>
                <w:sz w:val="24"/>
                <w:szCs w:val="20"/>
                <w:highlight w:val="none"/>
              </w:rPr>
            </w:pPr>
            <w:r>
              <w:rPr>
                <w:color w:val="auto"/>
                <w:sz w:val="24"/>
                <w:highlight w:val="none"/>
              </w:rPr>
              <w:t>招标单位可以对已发出的招标文件进行必要澄清或者修改，澄清或者修改的内容可能影响投标文件编制的，将在招标文件要求提交投标文件截止时间十五日前，在财政部门指定的政府采购信息发布媒体上发布更正公告，并以书面形式通知所有招标文件收受人。该澄清或者修改的内容为招标文件的组成部分。</w:t>
            </w:r>
          </w:p>
        </w:tc>
      </w:tr>
      <w:tr w14:paraId="55C35B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0"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5EC12224">
            <w:pPr>
              <w:snapToGrid w:val="0"/>
              <w:spacing w:line="360" w:lineRule="auto"/>
              <w:jc w:val="center"/>
              <w:rPr>
                <w:rFonts w:hint="eastAsia"/>
                <w:color w:val="auto"/>
                <w:sz w:val="24"/>
                <w:szCs w:val="20"/>
                <w:highlight w:val="none"/>
              </w:rPr>
            </w:pPr>
            <w:r>
              <w:rPr>
                <w:rFonts w:hint="eastAsia"/>
                <w:color w:val="auto"/>
                <w:sz w:val="24"/>
                <w:highlight w:val="none"/>
              </w:rPr>
              <w:t>7</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6CF642DB">
            <w:pPr>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投标文件份数：</w:t>
            </w:r>
          </w:p>
          <w:p w14:paraId="50BBC5F1">
            <w:pPr>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1.投标人在投标截止时间前在政采云系统中提交电子投标文件一份。</w:t>
            </w:r>
          </w:p>
          <w:p w14:paraId="586857A1">
            <w:pPr>
              <w:snapToGrid w:val="0"/>
              <w:spacing w:line="360" w:lineRule="auto"/>
              <w:rPr>
                <w:b/>
                <w:i/>
                <w:color w:val="auto"/>
                <w:highlight w:val="none"/>
              </w:rPr>
            </w:pPr>
            <w:r>
              <w:rPr>
                <w:rFonts w:hint="default" w:ascii="Times New Roman" w:hAnsi="Times New Roman" w:cs="Times New Roman"/>
                <w:color w:val="auto"/>
                <w:spacing w:val="-6"/>
                <w:sz w:val="24"/>
                <w:highlight w:val="none"/>
              </w:rPr>
              <w:t>2.中标人中标后，须提供与政采云系统中递交的电子投标文件一致的纸质文件2份。</w:t>
            </w:r>
          </w:p>
        </w:tc>
      </w:tr>
      <w:tr w14:paraId="0435A6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37B2AD14">
            <w:pPr>
              <w:snapToGrid w:val="0"/>
              <w:spacing w:line="360" w:lineRule="auto"/>
              <w:jc w:val="center"/>
              <w:rPr>
                <w:rFonts w:hint="eastAsia"/>
                <w:color w:val="auto"/>
                <w:sz w:val="24"/>
                <w:szCs w:val="20"/>
                <w:highlight w:val="none"/>
              </w:rPr>
            </w:pPr>
            <w:r>
              <w:rPr>
                <w:rFonts w:hint="eastAsia"/>
                <w:color w:val="auto"/>
                <w:sz w:val="24"/>
                <w:highlight w:val="none"/>
              </w:rPr>
              <w:t>8</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43B182E5">
            <w:pPr>
              <w:snapToGrid w:val="0"/>
              <w:spacing w:line="360" w:lineRule="auto"/>
              <w:rPr>
                <w:rFonts w:hint="eastAsia"/>
                <w:color w:val="auto"/>
                <w:sz w:val="24"/>
                <w:highlight w:val="none"/>
              </w:rPr>
            </w:pPr>
            <w:r>
              <w:rPr>
                <w:color w:val="auto"/>
                <w:sz w:val="24"/>
                <w:highlight w:val="none"/>
              </w:rPr>
              <w:t>投标截止时间及</w:t>
            </w:r>
            <w:r>
              <w:rPr>
                <w:rFonts w:hint="eastAsia"/>
                <w:color w:val="auto"/>
                <w:sz w:val="24"/>
                <w:highlight w:val="none"/>
                <w:lang w:val="en-US" w:eastAsia="zh-CN"/>
              </w:rPr>
              <w:t>方式</w:t>
            </w:r>
            <w:r>
              <w:rPr>
                <w:rFonts w:hint="eastAsia"/>
                <w:color w:val="auto"/>
                <w:sz w:val="24"/>
                <w:highlight w:val="none"/>
              </w:rPr>
              <w:t>：</w:t>
            </w:r>
          </w:p>
          <w:p w14:paraId="42E223C0">
            <w:pPr>
              <w:pStyle w:val="28"/>
              <w:numPr>
                <w:ilvl w:val="0"/>
                <w:numId w:val="6"/>
              </w:numPr>
              <w:shd w:val="clear" w:color="auto" w:fill="FFFFFF"/>
              <w:spacing w:before="0" w:beforeAutospacing="0" w:after="0" w:afterAutospacing="0" w:line="360" w:lineRule="auto"/>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投标截止时间：</w:t>
            </w:r>
            <w:r>
              <w:rPr>
                <w:rFonts w:hint="eastAsia"/>
                <w:color w:val="auto"/>
                <w:kern w:val="0"/>
                <w:sz w:val="24"/>
                <w:highlight w:val="none"/>
                <w:lang w:eastAsia="zh-CN"/>
              </w:rPr>
              <w:t>202</w:t>
            </w:r>
            <w:r>
              <w:rPr>
                <w:rFonts w:hint="eastAsia"/>
                <w:color w:val="auto"/>
                <w:kern w:val="0"/>
                <w:sz w:val="24"/>
                <w:highlight w:val="none"/>
                <w:lang w:val="en-US" w:eastAsia="zh-CN"/>
              </w:rPr>
              <w:t>5</w:t>
            </w:r>
            <w:r>
              <w:rPr>
                <w:color w:val="auto"/>
                <w:kern w:val="0"/>
                <w:sz w:val="24"/>
                <w:highlight w:val="none"/>
              </w:rPr>
              <w:t>年</w:t>
            </w:r>
            <w:r>
              <w:rPr>
                <w:rFonts w:hint="eastAsia"/>
                <w:color w:val="auto"/>
                <w:kern w:val="0"/>
                <w:sz w:val="24"/>
                <w:highlight w:val="none"/>
                <w:lang w:val="en-US" w:eastAsia="zh-CN"/>
              </w:rPr>
              <w:t>07</w:t>
            </w:r>
            <w:r>
              <w:rPr>
                <w:color w:val="auto"/>
                <w:kern w:val="0"/>
                <w:sz w:val="24"/>
                <w:highlight w:val="none"/>
              </w:rPr>
              <w:t>月</w:t>
            </w:r>
            <w:r>
              <w:rPr>
                <w:rFonts w:hint="eastAsia"/>
                <w:color w:val="auto"/>
                <w:kern w:val="0"/>
                <w:sz w:val="24"/>
                <w:highlight w:val="none"/>
                <w:lang w:val="en-US" w:eastAsia="zh-CN"/>
              </w:rPr>
              <w:t>16</w:t>
            </w:r>
            <w:r>
              <w:rPr>
                <w:color w:val="auto"/>
                <w:kern w:val="0"/>
                <w:sz w:val="24"/>
                <w:highlight w:val="none"/>
              </w:rPr>
              <w:t>日</w:t>
            </w:r>
            <w:r>
              <w:rPr>
                <w:rFonts w:hint="eastAsia"/>
                <w:color w:val="auto"/>
                <w:kern w:val="0"/>
                <w:sz w:val="24"/>
                <w:highlight w:val="none"/>
                <w:lang w:val="en-US" w:eastAsia="zh-CN"/>
              </w:rPr>
              <w:t>9</w:t>
            </w:r>
            <w:r>
              <w:rPr>
                <w:color w:val="auto"/>
                <w:kern w:val="0"/>
                <w:sz w:val="24"/>
                <w:highlight w:val="none"/>
              </w:rPr>
              <w:t>:</w:t>
            </w:r>
            <w:r>
              <w:rPr>
                <w:rFonts w:hint="eastAsia"/>
                <w:color w:val="auto"/>
                <w:kern w:val="0"/>
                <w:sz w:val="24"/>
                <w:highlight w:val="none"/>
                <w:lang w:val="en-US" w:eastAsia="zh-CN"/>
              </w:rPr>
              <w:t>30</w:t>
            </w:r>
            <w:r>
              <w:rPr>
                <w:rFonts w:hint="eastAsia"/>
                <w:color w:val="auto"/>
                <w:sz w:val="24"/>
                <w:highlight w:val="none"/>
                <w:shd w:val="clear" w:color="auto" w:fill="FFFFFF"/>
                <w:lang w:val="en-US" w:eastAsia="zh-CN"/>
              </w:rPr>
              <w:t xml:space="preserve"> </w:t>
            </w:r>
          </w:p>
          <w:p w14:paraId="2B0836E9">
            <w:pPr>
              <w:spacing w:line="360" w:lineRule="auto"/>
              <w:ind w:firstLine="480" w:firstLineChars="200"/>
              <w:rPr>
                <w:rFonts w:hint="default" w:ascii="Times New Roman" w:hAnsi="Times New Roman" w:cs="Times New Roman"/>
                <w:color w:val="auto"/>
                <w:sz w:val="24"/>
                <w:highlight w:val="none"/>
                <w:shd w:val="clear" w:color="auto" w:fill="FFFFFF"/>
              </w:rPr>
            </w:pPr>
            <w:r>
              <w:rPr>
                <w:rFonts w:hint="default" w:ascii="Times New Roman" w:hAnsi="Times New Roman" w:cs="Times New Roman"/>
                <w:color w:val="auto"/>
                <w:sz w:val="24"/>
                <w:highlight w:val="none"/>
                <w:shd w:val="clear" w:color="auto" w:fill="FFFFFF"/>
              </w:rPr>
              <w:t>本项目实行网上电子投标，投标人可在系统中编制投标文件，且应于投标截止时间前，登录政府采购云平台，按规定进行投标。投标成功会接收短信通知，逾期投标或未上传成功的将视为未投标。</w:t>
            </w:r>
          </w:p>
          <w:p w14:paraId="56061380">
            <w:pPr>
              <w:snapToGrid w:val="0"/>
              <w:spacing w:line="360" w:lineRule="auto"/>
              <w:rPr>
                <w:rFonts w:hint="eastAsia"/>
                <w:color w:val="auto"/>
                <w:sz w:val="24"/>
                <w:highlight w:val="none"/>
              </w:rPr>
            </w:pPr>
            <w:r>
              <w:rPr>
                <w:rFonts w:hint="default" w:ascii="Times New Roman" w:hAnsi="Times New Roman" w:cs="Times New Roman"/>
                <w:color w:val="auto"/>
                <w:sz w:val="24"/>
                <w:highlight w:val="none"/>
                <w:shd w:val="clear" w:color="auto" w:fill="FFFFFF"/>
              </w:rPr>
              <w:t>2.</w:t>
            </w:r>
            <w:r>
              <w:rPr>
                <w:rFonts w:hint="default" w:ascii="Times New Roman" w:hAnsi="Times New Roman" w:cs="Times New Roman"/>
                <w:color w:val="auto"/>
                <w:spacing w:val="-6"/>
                <w:sz w:val="24"/>
                <w:highlight w:val="none"/>
              </w:rPr>
              <w:t>投标方式：政府采购云平台（https://www.zcygov.cn）</w:t>
            </w:r>
            <w:r>
              <w:rPr>
                <w:rFonts w:hint="default" w:ascii="Times New Roman" w:hAnsi="Times New Roman" w:cs="Times New Roman"/>
                <w:bCs/>
                <w:color w:val="auto"/>
                <w:sz w:val="24"/>
                <w:highlight w:val="none"/>
              </w:rPr>
              <w:t>在线递交</w:t>
            </w:r>
          </w:p>
        </w:tc>
      </w:tr>
      <w:tr w14:paraId="70A215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323B2BCB">
            <w:pPr>
              <w:snapToGrid w:val="0"/>
              <w:spacing w:line="360" w:lineRule="auto"/>
              <w:jc w:val="center"/>
              <w:rPr>
                <w:rFonts w:hint="eastAsia"/>
                <w:color w:val="auto"/>
                <w:sz w:val="24"/>
                <w:szCs w:val="20"/>
                <w:highlight w:val="none"/>
              </w:rPr>
            </w:pPr>
            <w:r>
              <w:rPr>
                <w:rFonts w:hint="eastAsia"/>
                <w:color w:val="auto"/>
                <w:sz w:val="24"/>
                <w:highlight w:val="none"/>
              </w:rPr>
              <w:t>9</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70EF4894">
            <w:pPr>
              <w:snapToGrid w:val="0"/>
              <w:spacing w:line="360" w:lineRule="auto"/>
              <w:rPr>
                <w:rFonts w:hint="eastAsia"/>
                <w:color w:val="auto"/>
                <w:sz w:val="24"/>
                <w:highlight w:val="none"/>
              </w:rPr>
            </w:pPr>
            <w:r>
              <w:rPr>
                <w:rFonts w:hint="eastAsia"/>
                <w:color w:val="auto"/>
                <w:sz w:val="24"/>
                <w:highlight w:val="none"/>
              </w:rPr>
              <w:t>开标时间及地点：</w:t>
            </w:r>
          </w:p>
          <w:p w14:paraId="60C2CC68">
            <w:pPr>
              <w:spacing w:line="360" w:lineRule="auto"/>
              <w:jc w:val="left"/>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1.时间：</w:t>
            </w:r>
            <w:r>
              <w:rPr>
                <w:rFonts w:hint="eastAsia"/>
                <w:color w:val="auto"/>
                <w:kern w:val="0"/>
                <w:sz w:val="24"/>
                <w:highlight w:val="none"/>
                <w:lang w:eastAsia="zh-CN"/>
              </w:rPr>
              <w:t>202</w:t>
            </w:r>
            <w:r>
              <w:rPr>
                <w:rFonts w:hint="eastAsia"/>
                <w:color w:val="auto"/>
                <w:kern w:val="0"/>
                <w:sz w:val="24"/>
                <w:highlight w:val="none"/>
                <w:lang w:val="en-US" w:eastAsia="zh-CN"/>
              </w:rPr>
              <w:t>5</w:t>
            </w:r>
            <w:r>
              <w:rPr>
                <w:color w:val="auto"/>
                <w:kern w:val="0"/>
                <w:sz w:val="24"/>
                <w:highlight w:val="none"/>
              </w:rPr>
              <w:t>年</w:t>
            </w:r>
            <w:r>
              <w:rPr>
                <w:rFonts w:hint="eastAsia"/>
                <w:color w:val="auto"/>
                <w:kern w:val="0"/>
                <w:sz w:val="24"/>
                <w:highlight w:val="none"/>
                <w:lang w:val="en-US" w:eastAsia="zh-CN"/>
              </w:rPr>
              <w:t xml:space="preserve"> 07</w:t>
            </w:r>
            <w:r>
              <w:rPr>
                <w:color w:val="auto"/>
                <w:kern w:val="0"/>
                <w:sz w:val="24"/>
                <w:highlight w:val="none"/>
              </w:rPr>
              <w:t>月</w:t>
            </w:r>
            <w:r>
              <w:rPr>
                <w:rFonts w:hint="eastAsia"/>
                <w:color w:val="auto"/>
                <w:kern w:val="0"/>
                <w:sz w:val="24"/>
                <w:highlight w:val="none"/>
                <w:lang w:val="en-US" w:eastAsia="zh-CN"/>
              </w:rPr>
              <w:t>16</w:t>
            </w:r>
            <w:r>
              <w:rPr>
                <w:color w:val="auto"/>
                <w:kern w:val="0"/>
                <w:sz w:val="24"/>
                <w:highlight w:val="none"/>
              </w:rPr>
              <w:t>日</w:t>
            </w:r>
            <w:r>
              <w:rPr>
                <w:rFonts w:hint="eastAsia"/>
                <w:color w:val="auto"/>
                <w:kern w:val="0"/>
                <w:sz w:val="24"/>
                <w:highlight w:val="none"/>
                <w:lang w:val="en-US" w:eastAsia="zh-CN"/>
              </w:rPr>
              <w:t>9</w:t>
            </w:r>
            <w:r>
              <w:rPr>
                <w:color w:val="auto"/>
                <w:kern w:val="0"/>
                <w:sz w:val="24"/>
                <w:highlight w:val="none"/>
              </w:rPr>
              <w:t>:</w:t>
            </w:r>
            <w:r>
              <w:rPr>
                <w:rFonts w:hint="eastAsia"/>
                <w:color w:val="auto"/>
                <w:kern w:val="0"/>
                <w:sz w:val="24"/>
                <w:highlight w:val="none"/>
                <w:lang w:val="en-US" w:eastAsia="zh-CN"/>
              </w:rPr>
              <w:t>30</w:t>
            </w:r>
          </w:p>
          <w:p w14:paraId="66046E5E">
            <w:pPr>
              <w:snapToGrid w:val="0"/>
              <w:spacing w:line="360" w:lineRule="auto"/>
              <w:rPr>
                <w:rFonts w:hint="eastAsia"/>
                <w:color w:val="auto"/>
                <w:sz w:val="24"/>
                <w:highlight w:val="none"/>
              </w:rPr>
            </w:pPr>
            <w:r>
              <w:rPr>
                <w:rFonts w:hint="default" w:ascii="Times New Roman" w:hAnsi="Times New Roman" w:cs="Times New Roman"/>
                <w:color w:val="auto"/>
                <w:sz w:val="24"/>
                <w:highlight w:val="none"/>
                <w:shd w:val="clear" w:color="auto" w:fill="FFFFFF"/>
              </w:rPr>
              <w:t>2.</w:t>
            </w:r>
            <w:r>
              <w:rPr>
                <w:rFonts w:hint="default" w:ascii="Times New Roman" w:hAnsi="Times New Roman" w:cs="Times New Roman"/>
                <w:color w:val="auto"/>
                <w:spacing w:val="-6"/>
                <w:sz w:val="24"/>
                <w:highlight w:val="none"/>
              </w:rPr>
              <w:t>地点：政府采购云平台（https://www.zcygov.cn）在线开标</w:t>
            </w:r>
          </w:p>
        </w:tc>
      </w:tr>
      <w:tr w14:paraId="022B81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237B3B74">
            <w:pPr>
              <w:snapToGrid w:val="0"/>
              <w:spacing w:line="360" w:lineRule="auto"/>
              <w:jc w:val="center"/>
              <w:rPr>
                <w:rFonts w:hint="eastAsia"/>
                <w:color w:val="auto"/>
                <w:sz w:val="24"/>
                <w:szCs w:val="20"/>
                <w:highlight w:val="none"/>
              </w:rPr>
            </w:pPr>
            <w:r>
              <w:rPr>
                <w:color w:val="auto"/>
                <w:sz w:val="24"/>
                <w:highlight w:val="none"/>
              </w:rPr>
              <w:t>1</w:t>
            </w:r>
            <w:r>
              <w:rPr>
                <w:rFonts w:hint="eastAsia"/>
                <w:color w:val="auto"/>
                <w:sz w:val="24"/>
                <w:highlight w:val="none"/>
              </w:rPr>
              <w:t>0</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0D4AD2C4">
            <w:pPr>
              <w:snapToGrid w:val="0"/>
              <w:spacing w:line="360" w:lineRule="auto"/>
              <w:rPr>
                <w:color w:val="auto"/>
                <w:sz w:val="24"/>
                <w:highlight w:val="none"/>
              </w:rPr>
            </w:pPr>
            <w:r>
              <w:rPr>
                <w:color w:val="auto"/>
                <w:sz w:val="24"/>
                <w:highlight w:val="none"/>
              </w:rPr>
              <w:t>评标办法及评分标准：综合评分法，详见第四章评标办法及评分标准</w:t>
            </w:r>
          </w:p>
        </w:tc>
      </w:tr>
      <w:tr w14:paraId="46D0A1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3B097876">
            <w:pPr>
              <w:snapToGrid w:val="0"/>
              <w:spacing w:line="360" w:lineRule="auto"/>
              <w:jc w:val="center"/>
              <w:rPr>
                <w:rFonts w:hint="eastAsia"/>
                <w:color w:val="auto"/>
                <w:sz w:val="24"/>
                <w:szCs w:val="20"/>
                <w:highlight w:val="none"/>
              </w:rPr>
            </w:pPr>
            <w:r>
              <w:rPr>
                <w:color w:val="auto"/>
                <w:sz w:val="24"/>
                <w:highlight w:val="none"/>
              </w:rPr>
              <w:t>1</w:t>
            </w:r>
            <w:r>
              <w:rPr>
                <w:rFonts w:hint="eastAsia"/>
                <w:color w:val="auto"/>
                <w:sz w:val="24"/>
                <w:highlight w:val="none"/>
              </w:rPr>
              <w:t>1</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481F41BF">
            <w:pPr>
              <w:snapToGrid w:val="0"/>
              <w:spacing w:line="360" w:lineRule="auto"/>
              <w:ind w:left="29" w:hanging="28" w:hangingChars="12"/>
              <w:rPr>
                <w:rFonts w:hint="eastAsia"/>
                <w:color w:val="auto"/>
                <w:sz w:val="24"/>
                <w:highlight w:val="none"/>
              </w:rPr>
            </w:pPr>
            <w:r>
              <w:rPr>
                <w:color w:val="auto"/>
                <w:sz w:val="24"/>
                <w:highlight w:val="none"/>
              </w:rPr>
              <w:t>评标结果公示：</w:t>
            </w:r>
            <w:r>
              <w:rPr>
                <w:rFonts w:hint="eastAsia"/>
                <w:color w:val="auto"/>
                <w:sz w:val="24"/>
                <w:highlight w:val="none"/>
              </w:rPr>
              <w:t>浙江政府采购网（https://zfcg.czt.zj.gov.cn）</w:t>
            </w:r>
          </w:p>
        </w:tc>
      </w:tr>
      <w:tr w14:paraId="5BCAD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61AAF495">
            <w:pPr>
              <w:snapToGrid w:val="0"/>
              <w:spacing w:line="360" w:lineRule="auto"/>
              <w:jc w:val="center"/>
              <w:rPr>
                <w:rFonts w:hint="eastAsia"/>
                <w:color w:val="auto"/>
                <w:sz w:val="24"/>
                <w:szCs w:val="20"/>
                <w:highlight w:val="none"/>
              </w:rPr>
            </w:pPr>
            <w:r>
              <w:rPr>
                <w:color w:val="auto"/>
                <w:sz w:val="24"/>
                <w:highlight w:val="none"/>
              </w:rPr>
              <w:t>1</w:t>
            </w:r>
            <w:r>
              <w:rPr>
                <w:rFonts w:hint="eastAsia"/>
                <w:color w:val="auto"/>
                <w:sz w:val="24"/>
                <w:highlight w:val="none"/>
              </w:rPr>
              <w:t>2</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6CA21047">
            <w:pPr>
              <w:autoSpaceDE w:val="0"/>
              <w:autoSpaceDN w:val="0"/>
              <w:snapToGrid w:val="0"/>
              <w:spacing w:line="360" w:lineRule="auto"/>
              <w:textAlignment w:val="bottom"/>
              <w:rPr>
                <w:color w:val="auto"/>
                <w:sz w:val="24"/>
                <w:highlight w:val="none"/>
              </w:rPr>
            </w:pPr>
            <w:r>
              <w:rPr>
                <w:color w:val="auto"/>
                <w:sz w:val="24"/>
                <w:highlight w:val="none"/>
              </w:rPr>
              <w:t>中标公告及中标通知书：评标结束后</w:t>
            </w:r>
            <w:r>
              <w:rPr>
                <w:rFonts w:hint="eastAsia"/>
                <w:color w:val="auto"/>
                <w:sz w:val="24"/>
                <w:highlight w:val="none"/>
              </w:rPr>
              <w:t>5</w:t>
            </w:r>
            <w:r>
              <w:rPr>
                <w:color w:val="auto"/>
                <w:sz w:val="24"/>
                <w:highlight w:val="none"/>
              </w:rPr>
              <w:t>个工作日内，中标公告发布于上述媒体；</w:t>
            </w:r>
          </w:p>
        </w:tc>
      </w:tr>
      <w:tr w14:paraId="6AA66C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32C17D23">
            <w:pPr>
              <w:snapToGrid w:val="0"/>
              <w:spacing w:line="360" w:lineRule="auto"/>
              <w:jc w:val="center"/>
              <w:rPr>
                <w:rFonts w:hint="eastAsia"/>
                <w:color w:val="auto"/>
                <w:sz w:val="24"/>
                <w:szCs w:val="20"/>
                <w:highlight w:val="none"/>
              </w:rPr>
            </w:pPr>
            <w:r>
              <w:rPr>
                <w:color w:val="auto"/>
                <w:sz w:val="24"/>
                <w:highlight w:val="none"/>
              </w:rPr>
              <w:t>1</w:t>
            </w:r>
            <w:r>
              <w:rPr>
                <w:rFonts w:hint="eastAsia"/>
                <w:color w:val="auto"/>
                <w:sz w:val="24"/>
                <w:highlight w:val="none"/>
              </w:rPr>
              <w:t>3</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37D41B26">
            <w:pPr>
              <w:autoSpaceDE w:val="0"/>
              <w:autoSpaceDN w:val="0"/>
              <w:snapToGrid w:val="0"/>
              <w:spacing w:line="360" w:lineRule="auto"/>
              <w:textAlignment w:val="bottom"/>
              <w:rPr>
                <w:rFonts w:hint="eastAsia" w:eastAsia="宋体"/>
                <w:color w:val="auto"/>
                <w:sz w:val="24"/>
                <w:szCs w:val="20"/>
                <w:highlight w:val="none"/>
                <w:lang w:val="en-US" w:eastAsia="zh-CN"/>
              </w:rPr>
            </w:pPr>
            <w:r>
              <w:rPr>
                <w:color w:val="auto"/>
                <w:sz w:val="24"/>
                <w:highlight w:val="none"/>
              </w:rPr>
              <w:t>投标保证金退还：</w:t>
            </w:r>
            <w:r>
              <w:rPr>
                <w:rFonts w:hint="eastAsia"/>
                <w:color w:val="auto"/>
                <w:sz w:val="24"/>
                <w:highlight w:val="none"/>
                <w:lang w:val="en-US" w:eastAsia="zh-CN"/>
              </w:rPr>
              <w:t>/</w:t>
            </w:r>
          </w:p>
        </w:tc>
      </w:tr>
      <w:tr w14:paraId="5E874C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222C7C04">
            <w:pPr>
              <w:snapToGrid w:val="0"/>
              <w:spacing w:line="360" w:lineRule="auto"/>
              <w:jc w:val="center"/>
              <w:rPr>
                <w:color w:val="auto"/>
                <w:sz w:val="24"/>
                <w:szCs w:val="20"/>
                <w:highlight w:val="none"/>
              </w:rPr>
            </w:pPr>
            <w:r>
              <w:rPr>
                <w:color w:val="auto"/>
                <w:sz w:val="24"/>
                <w:highlight w:val="none"/>
              </w:rPr>
              <w:t>1</w:t>
            </w:r>
            <w:r>
              <w:rPr>
                <w:rFonts w:hint="eastAsia"/>
                <w:color w:val="auto"/>
                <w:sz w:val="24"/>
                <w:highlight w:val="none"/>
              </w:rPr>
              <w:t>4</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536F674F">
            <w:pPr>
              <w:autoSpaceDE w:val="0"/>
              <w:autoSpaceDN w:val="0"/>
              <w:snapToGrid w:val="0"/>
              <w:spacing w:line="360" w:lineRule="auto"/>
              <w:textAlignment w:val="bottom"/>
              <w:rPr>
                <w:color w:val="auto"/>
                <w:sz w:val="24"/>
                <w:szCs w:val="20"/>
                <w:highlight w:val="none"/>
              </w:rPr>
            </w:pPr>
            <w:r>
              <w:rPr>
                <w:color w:val="auto"/>
                <w:sz w:val="24"/>
                <w:highlight w:val="none"/>
              </w:rPr>
              <w:t>签订合同时间：中标通知书发出后</w:t>
            </w:r>
            <w:r>
              <w:rPr>
                <w:rFonts w:hint="eastAsia"/>
                <w:color w:val="auto"/>
                <w:sz w:val="24"/>
                <w:highlight w:val="none"/>
                <w:u w:val="single"/>
              </w:rPr>
              <w:t xml:space="preserve"> </w:t>
            </w:r>
            <w:r>
              <w:rPr>
                <w:rFonts w:hint="eastAsia"/>
                <w:color w:val="auto"/>
                <w:sz w:val="24"/>
                <w:highlight w:val="none"/>
                <w:u w:val="single"/>
                <w:lang w:val="en-US" w:eastAsia="zh-CN"/>
              </w:rPr>
              <w:t>3</w:t>
            </w:r>
            <w:r>
              <w:rPr>
                <w:color w:val="auto"/>
                <w:sz w:val="24"/>
                <w:highlight w:val="none"/>
                <w:u w:val="single"/>
              </w:rPr>
              <w:t>0</w:t>
            </w:r>
            <w:r>
              <w:rPr>
                <w:rFonts w:hint="eastAsia"/>
                <w:color w:val="auto"/>
                <w:sz w:val="24"/>
                <w:highlight w:val="none"/>
                <w:u w:val="single"/>
              </w:rPr>
              <w:t xml:space="preserve"> </w:t>
            </w:r>
            <w:r>
              <w:rPr>
                <w:color w:val="auto"/>
                <w:sz w:val="24"/>
                <w:highlight w:val="none"/>
              </w:rPr>
              <w:t>日内</w:t>
            </w:r>
          </w:p>
        </w:tc>
      </w:tr>
      <w:tr w14:paraId="045FA5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7EB99E12">
            <w:pPr>
              <w:snapToGrid w:val="0"/>
              <w:spacing w:line="360" w:lineRule="auto"/>
              <w:jc w:val="center"/>
              <w:rPr>
                <w:rFonts w:hint="eastAsia"/>
                <w:color w:val="auto"/>
                <w:sz w:val="24"/>
                <w:szCs w:val="20"/>
                <w:highlight w:val="none"/>
              </w:rPr>
            </w:pPr>
            <w:r>
              <w:rPr>
                <w:color w:val="auto"/>
                <w:sz w:val="24"/>
                <w:highlight w:val="none"/>
              </w:rPr>
              <w:t>1</w:t>
            </w:r>
            <w:r>
              <w:rPr>
                <w:rFonts w:hint="eastAsia"/>
                <w:color w:val="auto"/>
                <w:sz w:val="24"/>
                <w:highlight w:val="none"/>
              </w:rPr>
              <w:t>5</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626AA649">
            <w:pPr>
              <w:autoSpaceDE w:val="0"/>
              <w:autoSpaceDN w:val="0"/>
              <w:snapToGrid w:val="0"/>
              <w:spacing w:line="360" w:lineRule="auto"/>
              <w:textAlignment w:val="bottom"/>
              <w:rPr>
                <w:color w:val="auto"/>
                <w:sz w:val="24"/>
                <w:szCs w:val="20"/>
                <w:highlight w:val="none"/>
              </w:rPr>
            </w:pPr>
            <w:r>
              <w:rPr>
                <w:color w:val="auto"/>
                <w:sz w:val="24"/>
                <w:highlight w:val="none"/>
              </w:rPr>
              <w:t>投标文件有效期：</w:t>
            </w:r>
            <w:r>
              <w:rPr>
                <w:color w:val="auto"/>
                <w:sz w:val="24"/>
                <w:highlight w:val="none"/>
                <w:u w:val="single"/>
              </w:rPr>
              <w:t>60</w:t>
            </w:r>
            <w:r>
              <w:rPr>
                <w:rFonts w:hint="eastAsia"/>
                <w:color w:val="auto"/>
                <w:sz w:val="24"/>
                <w:highlight w:val="none"/>
                <w:u w:val="single"/>
              </w:rPr>
              <w:t xml:space="preserve">  </w:t>
            </w:r>
            <w:r>
              <w:rPr>
                <w:color w:val="auto"/>
                <w:sz w:val="24"/>
                <w:highlight w:val="none"/>
              </w:rPr>
              <w:t>日历天</w:t>
            </w:r>
          </w:p>
        </w:tc>
      </w:tr>
      <w:tr w14:paraId="08460D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1A720569">
            <w:pPr>
              <w:snapToGrid w:val="0"/>
              <w:spacing w:line="360" w:lineRule="auto"/>
              <w:jc w:val="center"/>
              <w:rPr>
                <w:rFonts w:hint="eastAsia"/>
                <w:color w:val="auto"/>
                <w:sz w:val="24"/>
                <w:szCs w:val="20"/>
                <w:highlight w:val="none"/>
              </w:rPr>
            </w:pPr>
            <w:r>
              <w:rPr>
                <w:color w:val="auto"/>
                <w:sz w:val="24"/>
                <w:highlight w:val="none"/>
              </w:rPr>
              <w:t>1</w:t>
            </w:r>
            <w:r>
              <w:rPr>
                <w:rFonts w:hint="eastAsia"/>
                <w:color w:val="auto"/>
                <w:sz w:val="24"/>
                <w:highlight w:val="none"/>
              </w:rPr>
              <w:t>6</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7E1AE478">
            <w:pPr>
              <w:snapToGrid w:val="0"/>
              <w:spacing w:before="120" w:beforeLines="50" w:line="360" w:lineRule="auto"/>
              <w:jc w:val="left"/>
              <w:outlineLvl w:val="0"/>
              <w:rPr>
                <w:b/>
                <w:color w:val="auto"/>
                <w:sz w:val="24"/>
                <w:szCs w:val="20"/>
                <w:highlight w:val="none"/>
              </w:rPr>
            </w:pPr>
            <w:r>
              <w:rPr>
                <w:color w:val="auto"/>
                <w:sz w:val="24"/>
                <w:highlight w:val="none"/>
              </w:rPr>
              <w:t>▲</w:t>
            </w:r>
            <w:r>
              <w:rPr>
                <w:b/>
                <w:color w:val="auto"/>
                <w:sz w:val="24"/>
                <w:szCs w:val="20"/>
                <w:highlight w:val="none"/>
              </w:rPr>
              <w:t>存款利率报价应在人民银行规定的基准存款利率基础上上浮</w:t>
            </w:r>
            <w:r>
              <w:rPr>
                <w:rFonts w:hint="eastAsia"/>
                <w:b/>
                <w:color w:val="auto"/>
                <w:sz w:val="24"/>
                <w:szCs w:val="20"/>
                <w:highlight w:val="none"/>
                <w:lang w:val="en-US" w:eastAsia="zh-CN"/>
              </w:rPr>
              <w:t>或者下浮</w:t>
            </w:r>
            <w:r>
              <w:rPr>
                <w:b/>
                <w:color w:val="auto"/>
                <w:sz w:val="24"/>
                <w:szCs w:val="20"/>
                <w:highlight w:val="none"/>
              </w:rPr>
              <w:t>，但不得违反国家利率政策，否则将视为无效标。</w:t>
            </w:r>
          </w:p>
        </w:tc>
      </w:tr>
      <w:tr w14:paraId="38FE07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57AFF718">
            <w:pPr>
              <w:snapToGrid w:val="0"/>
              <w:spacing w:line="360" w:lineRule="auto"/>
              <w:jc w:val="center"/>
              <w:rPr>
                <w:color w:val="auto"/>
                <w:sz w:val="24"/>
                <w:highlight w:val="none"/>
              </w:rPr>
            </w:pPr>
            <w:r>
              <w:rPr>
                <w:rFonts w:hint="eastAsia"/>
                <w:color w:val="auto"/>
                <w:sz w:val="24"/>
                <w:highlight w:val="none"/>
              </w:rPr>
              <w:t>17</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59900402">
            <w:pPr>
              <w:snapToGrid w:val="0"/>
              <w:spacing w:before="120" w:beforeLines="50" w:line="360" w:lineRule="auto"/>
              <w:jc w:val="left"/>
              <w:outlineLvl w:val="0"/>
              <w:rPr>
                <w:color w:val="auto"/>
                <w:sz w:val="24"/>
                <w:highlight w:val="none"/>
              </w:rPr>
            </w:pPr>
            <w:r>
              <w:rPr>
                <w:rFonts w:ascii="宋体" w:hAnsi="宋体"/>
                <w:b/>
                <w:bCs/>
                <w:color w:val="auto"/>
                <w:sz w:val="24"/>
                <w:highlight w:val="none"/>
              </w:rPr>
              <w:t>▲投标人必须完全接受招标人的最终存款分配额度。</w:t>
            </w:r>
          </w:p>
        </w:tc>
      </w:tr>
      <w:tr w14:paraId="4C9B75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050C6D0D">
            <w:pPr>
              <w:snapToGrid w:val="0"/>
              <w:spacing w:line="360" w:lineRule="auto"/>
              <w:jc w:val="center"/>
              <w:rPr>
                <w:rFonts w:hint="eastAsia"/>
                <w:color w:val="auto"/>
                <w:sz w:val="24"/>
                <w:highlight w:val="none"/>
              </w:rPr>
            </w:pPr>
            <w:r>
              <w:rPr>
                <w:color w:val="auto"/>
                <w:sz w:val="24"/>
                <w:highlight w:val="none"/>
              </w:rPr>
              <w:t>1</w:t>
            </w:r>
            <w:r>
              <w:rPr>
                <w:rFonts w:hint="eastAsia"/>
                <w:color w:val="auto"/>
                <w:sz w:val="24"/>
                <w:highlight w:val="none"/>
              </w:rPr>
              <w:t>8</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5CCD7EFE">
            <w:pPr>
              <w:snapToGrid w:val="0"/>
              <w:spacing w:before="120" w:beforeLines="50" w:line="360" w:lineRule="auto"/>
              <w:jc w:val="left"/>
              <w:outlineLvl w:val="0"/>
              <w:rPr>
                <w:rFonts w:ascii="宋体" w:hAnsi="宋体"/>
                <w:b/>
                <w:bCs/>
                <w:color w:val="auto"/>
                <w:sz w:val="24"/>
                <w:highlight w:val="none"/>
              </w:rPr>
            </w:pPr>
            <w:r>
              <w:rPr>
                <w:rFonts w:ascii="宋体" w:hAnsi="宋体"/>
                <w:color w:val="auto"/>
                <w:sz w:val="24"/>
                <w:highlight w:val="none"/>
              </w:rPr>
              <w:t>▲投标银行必须承诺：如果中标，则按照投标文件中承诺的定期存款提前支取的计息方案执行，并纳入合同条款。</w:t>
            </w:r>
          </w:p>
        </w:tc>
      </w:tr>
      <w:tr w14:paraId="120209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645A0144">
            <w:pPr>
              <w:snapToGrid w:val="0"/>
              <w:spacing w:line="40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highlight w:val="none"/>
              </w:rPr>
              <w:t>1</w:t>
            </w:r>
            <w:r>
              <w:rPr>
                <w:rFonts w:hint="eastAsia" w:ascii="Times New Roman" w:hAnsi="Times New Roman" w:cs="Times New Roman"/>
                <w:color w:val="auto"/>
                <w:sz w:val="24"/>
                <w:highlight w:val="none"/>
                <w:lang w:val="en-US" w:eastAsia="zh-CN"/>
              </w:rPr>
              <w:t>9</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43D2A827">
            <w:pPr>
              <w:snapToGrid w:val="0"/>
              <w:spacing w:line="360" w:lineRule="auto"/>
              <w:jc w:val="left"/>
              <w:outlineLvl w:val="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在线投标：</w:t>
            </w:r>
          </w:p>
          <w:p w14:paraId="063C0E27">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到达投标时间后，投标人可通过政采云平台进行投标。</w:t>
            </w:r>
          </w:p>
          <w:p w14:paraId="333A0412">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【提示】投标和投标信息确认两个步骤操作时间共 30 分钟，投标人务必在规定的 30 分钟内完成，否则视为投标逾期。</w:t>
            </w:r>
          </w:p>
          <w:p w14:paraId="2051C746">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菜单路径：用户中心—公款竞争性存放—竞标项目</w:t>
            </w:r>
          </w:p>
          <w:p w14:paraId="0610FF7E">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1）在“竞标项目-进行中”标签页下，选择状态为“待投标”的项目，点击</w:t>
            </w:r>
          </w:p>
          <w:p w14:paraId="5454985F">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操作栏【投标】按钮，进行投标。</w:t>
            </w:r>
          </w:p>
          <w:p w14:paraId="78787A54">
            <w:pPr>
              <w:snapToGrid w:val="0"/>
              <w:spacing w:line="360" w:lineRule="auto"/>
              <w:jc w:val="left"/>
              <w:outlineLvl w:val="0"/>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2）为避免投标人在 30 分钟内无法完成项目投标与投标信息确认，投标人报名审核通过后，可先将投标信息维护好，并点击【保存】，暂存投标信息，项目到达投标时间后，只需提交投标信息以及确认投标信息。</w:t>
            </w:r>
          </w:p>
          <w:p w14:paraId="092D2384">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3）到达投标时间后，投标人进入投标信息页面。</w:t>
            </w:r>
          </w:p>
          <w:p w14:paraId="7F45E5D2">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【填写注意事项】</w:t>
            </w:r>
          </w:p>
          <w:p w14:paraId="0C274DE1">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注意投标结束时间。</w:t>
            </w:r>
          </w:p>
          <w:p w14:paraId="4B67AD3D">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选择对应的标项填写投标信息。</w:t>
            </w:r>
          </w:p>
          <w:p w14:paraId="2E6B787F">
            <w:pPr>
              <w:snapToGrid w:val="0"/>
              <w:spacing w:line="360" w:lineRule="auto"/>
              <w:ind w:firstLine="480" w:firstLineChars="200"/>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对各审查项进行响应，响应文件必须以 PDF 格式上传，上传后银行需使用 CA（如需申领 CA，请参考《CA 申领操作指南》，）对上传文件进行签章。</w:t>
            </w:r>
          </w:p>
          <w:p w14:paraId="080DDF2A">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“评分规则”一栏，展示的是完整的评分指标体系。</w:t>
            </w:r>
          </w:p>
          <w:p w14:paraId="49273661">
            <w:pPr>
              <w:snapToGrid w:val="0"/>
              <w:spacing w:line="360" w:lineRule="auto"/>
              <w:ind w:firstLine="480" w:firstLineChars="200"/>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指标来源分为：招标单位（金融监管局）提供和投标人提供两种。招标单位（金融监管局）提供的指标由招标代理机构录入；投标人响应的指标需在线进行响应。</w:t>
            </w:r>
          </w:p>
          <w:p w14:paraId="3E7C1C7C">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主观分的响应内容，投标人需以 PDF 文件形式进行响应，上传的文件</w:t>
            </w:r>
          </w:p>
          <w:p w14:paraId="358FA199">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需使用 CA 签章。</w:t>
            </w:r>
          </w:p>
          <w:p w14:paraId="1A8FF57F">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客观分的响应内容银行可直接填写。</w:t>
            </w:r>
          </w:p>
          <w:p w14:paraId="14BE7031">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4）确认投标信息无误，点击右上角【提交】。</w:t>
            </w:r>
          </w:p>
          <w:p w14:paraId="74531E80">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5）在弹框里选择内部审核人员，点击【确定】。</w:t>
            </w:r>
          </w:p>
          <w:p w14:paraId="6FC2DF25">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【提示】在投标截止时间前需完成投标确认，通过后才视为投标成功。</w:t>
            </w:r>
          </w:p>
          <w:p w14:paraId="214E5D70">
            <w:pPr>
              <w:snapToGrid w:val="0"/>
              <w:spacing w:line="360" w:lineRule="auto"/>
              <w:ind w:firstLine="480" w:firstLineChars="200"/>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投标信息确认</w:t>
            </w:r>
          </w:p>
          <w:p w14:paraId="3C971C2D">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投标人投标完成，需确认投标信息后才视为投标成功。</w:t>
            </w:r>
          </w:p>
          <w:p w14:paraId="59184CEF">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【提示】投标和投标信息确认两步操作时间共 30 分钟，投标人务必在</w:t>
            </w:r>
          </w:p>
          <w:p w14:paraId="20551233">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规定的 30 分钟内完成，否则视为投标逾期。</w:t>
            </w:r>
          </w:p>
          <w:p w14:paraId="70684DF7">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菜单路径：用户中心—公款竞争性存放—竞标项目</w:t>
            </w:r>
          </w:p>
          <w:p w14:paraId="7BA0E841">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1）在“竞标项目-进行中”标签页下，选择状态为“待确认”的项目，点击</w:t>
            </w:r>
          </w:p>
          <w:p w14:paraId="036F5AAA">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操作栏【确认】。</w:t>
            </w:r>
          </w:p>
          <w:p w14:paraId="5B7866C3">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2）系统跳转至投标信息确认页面，查看对应标项投标信息。</w:t>
            </w:r>
          </w:p>
          <w:p w14:paraId="6F75664F">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3）如确认投标信息无误后，点击右上角【确认】。</w:t>
            </w:r>
          </w:p>
          <w:p w14:paraId="1DD8AD1B">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4）在弹框里确认结果选择【同意】，投标成功。</w:t>
            </w:r>
          </w:p>
          <w:p w14:paraId="2060E9C0">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5）如对投标信息有异议，确认结果选择【不同意】并填写确认意见，</w:t>
            </w:r>
          </w:p>
          <w:p w14:paraId="14F4F632">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回退至投标环节，修改信息。</w:t>
            </w:r>
          </w:p>
          <w:p w14:paraId="2300D14F">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完成状态：投标人投标成功后，在“竞标项目-进行中”标签页下显示状态</w:t>
            </w:r>
          </w:p>
          <w:p w14:paraId="1E923ABC">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为“待开标”。</w:t>
            </w:r>
          </w:p>
          <w:p w14:paraId="100076EB">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【提示】在投标截止时间之前，银行可“撤回”投标，项目到达开标时</w:t>
            </w:r>
          </w:p>
          <w:p w14:paraId="3E95C56B">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间后，银行可点击“查看”，查看开标情况。</w:t>
            </w:r>
          </w:p>
          <w:p w14:paraId="1C8CA0FE">
            <w:pPr>
              <w:snapToGrid w:val="0"/>
              <w:spacing w:line="360" w:lineRule="auto"/>
              <w:ind w:firstLine="480" w:firstLineChars="200"/>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查看开标结果</w:t>
            </w:r>
          </w:p>
          <w:p w14:paraId="286C8673">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投标人可通过政采云平台查看投标结果。菜单路径：用户中心—公款竞争性存放—竞标项目</w:t>
            </w:r>
          </w:p>
          <w:p w14:paraId="0F0E69C1">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1）在“竞标项目-全部”标签页下，可通过项目状态查看是否中标，如</w:t>
            </w:r>
          </w:p>
          <w:p w14:paraId="6DA5E3B8">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投标银行有中标，项目状态为“已中标”，反之，项目状态为“未中标”，</w:t>
            </w:r>
          </w:p>
          <w:p w14:paraId="60435881">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点击右边操作栏【查看】按钮，查看开标结果。</w:t>
            </w:r>
          </w:p>
          <w:p w14:paraId="59395D85">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2）在详情页，查看开标结果具体信息，如是中标单位，可点击右上角【查看中标公告】按钮，系统自动链接至浙江政府采购网查看公告信息。</w:t>
            </w:r>
          </w:p>
          <w:p w14:paraId="1ADD4924">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6、查看中标通知书</w:t>
            </w:r>
          </w:p>
          <w:p w14:paraId="7915652B">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招标代理机构发送中标通知书后，中标的银行可在平台进行查看。</w:t>
            </w:r>
          </w:p>
          <w:p w14:paraId="22BA78CA">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菜单路径：用户中心—公款竞争性存放—中标通知书管理</w:t>
            </w:r>
          </w:p>
          <w:p w14:paraId="52DEFB64">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1）在“中标通知书管理”页面，选择状态为“已中标”的项目，点击右边</w:t>
            </w:r>
          </w:p>
          <w:p w14:paraId="60E7FAE3">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操作栏【查看】按钮，进行查看。</w:t>
            </w:r>
          </w:p>
          <w:p w14:paraId="2EC7A044">
            <w:pPr>
              <w:snapToGrid w:val="0"/>
              <w:spacing w:line="360" w:lineRule="auto"/>
              <w:jc w:val="left"/>
              <w:outlineLvl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2）在“中标通知书详情页”，可查看中标通知书具体内容，右上角可操</w:t>
            </w:r>
          </w:p>
          <w:p w14:paraId="31DA45EF">
            <w:pPr>
              <w:snapToGrid w:val="0"/>
              <w:spacing w:line="360" w:lineRule="auto"/>
              <w:jc w:val="left"/>
              <w:outlineLvl w:val="0"/>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sz w:val="24"/>
                <w:highlight w:val="none"/>
              </w:rPr>
              <w:t>作“打印”或“下载”中标通知书。</w:t>
            </w:r>
          </w:p>
        </w:tc>
      </w:tr>
      <w:tr w14:paraId="2B1ED3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869" w:type="dxa"/>
            <w:tcBorders>
              <w:top w:val="single" w:color="auto" w:sz="4" w:space="0"/>
              <w:left w:val="single" w:color="auto" w:sz="12" w:space="0"/>
              <w:bottom w:val="single" w:color="auto" w:sz="4" w:space="0"/>
              <w:right w:val="single" w:color="auto" w:sz="4" w:space="0"/>
            </w:tcBorders>
            <w:noWrap w:val="0"/>
            <w:vAlign w:val="center"/>
          </w:tcPr>
          <w:p w14:paraId="7DE4C9B2">
            <w:pPr>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b/>
                <w:bCs/>
                <w:color w:val="auto"/>
                <w:sz w:val="24"/>
                <w:highlight w:val="none"/>
                <w:lang w:val="en-US" w:eastAsia="zh-CN"/>
              </w:rPr>
              <w:t>20</w:t>
            </w:r>
          </w:p>
        </w:tc>
        <w:tc>
          <w:tcPr>
            <w:tcW w:w="8059" w:type="dxa"/>
            <w:tcBorders>
              <w:top w:val="single" w:color="auto" w:sz="4" w:space="0"/>
              <w:left w:val="single" w:color="auto" w:sz="4" w:space="0"/>
              <w:bottom w:val="single" w:color="auto" w:sz="4" w:space="0"/>
              <w:right w:val="single" w:color="auto" w:sz="12" w:space="0"/>
            </w:tcBorders>
            <w:noWrap w:val="0"/>
            <w:vAlign w:val="center"/>
          </w:tcPr>
          <w:p w14:paraId="7C9819C6">
            <w:p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关于电子投标的特别说明：</w:t>
            </w:r>
          </w:p>
          <w:p w14:paraId="1D5A8791">
            <w:p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本文件中规定的程序与政采云系统程序有出入的，一律以政采云系统中的程序为准。</w:t>
            </w:r>
          </w:p>
          <w:p w14:paraId="2B4C0881">
            <w:pPr>
              <w:spacing w:line="360" w:lineRule="auto"/>
              <w:rPr>
                <w:rFonts w:hint="default" w:ascii="Times New Roman" w:hAnsi="Times New Roman" w:cs="Times New Roman"/>
                <w:color w:val="auto"/>
                <w:kern w:val="2"/>
                <w:sz w:val="24"/>
                <w:szCs w:val="24"/>
                <w:highlight w:val="none"/>
                <w:lang w:val="en-US" w:eastAsia="zh-CN" w:bidi="ar-SA"/>
              </w:rPr>
            </w:pPr>
            <w:r>
              <w:rPr>
                <w:rFonts w:hint="eastAsia" w:ascii="宋体" w:hAnsi="宋体" w:eastAsia="宋体" w:cs="宋体"/>
                <w:b/>
                <w:bCs/>
                <w:color w:val="auto"/>
                <w:sz w:val="24"/>
                <w:highlight w:val="none"/>
                <w:lang w:eastAsia="zh-CN"/>
              </w:rPr>
              <w:t>▲</w:t>
            </w:r>
            <w:r>
              <w:rPr>
                <w:rFonts w:hint="eastAsia" w:ascii="Times New Roman" w:hAnsi="Times New Roman" w:cs="Times New Roman"/>
                <w:b/>
                <w:bCs/>
                <w:color w:val="auto"/>
                <w:sz w:val="24"/>
                <w:highlight w:val="none"/>
                <w:lang w:eastAsia="zh-CN"/>
              </w:rPr>
              <w:t>本项目采用电子招投标，要求各参与投标银行于</w:t>
            </w:r>
            <w:r>
              <w:rPr>
                <w:rFonts w:hint="eastAsia" w:cs="Times New Roman"/>
                <w:b/>
                <w:bCs/>
                <w:color w:val="auto"/>
                <w:spacing w:val="-6"/>
                <w:sz w:val="24"/>
                <w:highlight w:val="none"/>
                <w:lang w:eastAsia="zh-CN"/>
              </w:rPr>
              <w:t>202</w:t>
            </w:r>
            <w:r>
              <w:rPr>
                <w:rFonts w:hint="eastAsia" w:cs="Times New Roman"/>
                <w:b/>
                <w:bCs/>
                <w:color w:val="auto"/>
                <w:spacing w:val="-6"/>
                <w:sz w:val="24"/>
                <w:highlight w:val="none"/>
                <w:lang w:val="en-US" w:eastAsia="zh-CN"/>
              </w:rPr>
              <w:t>5</w:t>
            </w:r>
            <w:r>
              <w:rPr>
                <w:rFonts w:hint="eastAsia" w:ascii="Times New Roman" w:hAnsi="Times New Roman" w:cs="Times New Roman"/>
                <w:b/>
                <w:bCs/>
                <w:color w:val="auto"/>
                <w:spacing w:val="-6"/>
                <w:sz w:val="24"/>
                <w:highlight w:val="none"/>
                <w:lang w:eastAsia="zh-CN"/>
              </w:rPr>
              <w:t>年</w:t>
            </w:r>
            <w:r>
              <w:rPr>
                <w:rFonts w:hint="eastAsia" w:cs="Times New Roman"/>
                <w:b/>
                <w:bCs/>
                <w:color w:val="auto"/>
                <w:spacing w:val="-6"/>
                <w:sz w:val="24"/>
                <w:highlight w:val="none"/>
                <w:lang w:val="en-US" w:eastAsia="zh-CN"/>
              </w:rPr>
              <w:t>07</w:t>
            </w:r>
            <w:r>
              <w:rPr>
                <w:rFonts w:hint="eastAsia" w:ascii="Times New Roman" w:hAnsi="Times New Roman" w:cs="Times New Roman"/>
                <w:b/>
                <w:bCs/>
                <w:color w:val="auto"/>
                <w:spacing w:val="-6"/>
                <w:sz w:val="24"/>
                <w:highlight w:val="none"/>
                <w:lang w:val="en-US" w:eastAsia="zh-CN"/>
              </w:rPr>
              <w:t>月</w:t>
            </w:r>
            <w:r>
              <w:rPr>
                <w:rFonts w:hint="eastAsia" w:cs="Times New Roman"/>
                <w:b/>
                <w:bCs/>
                <w:color w:val="auto"/>
                <w:spacing w:val="-6"/>
                <w:sz w:val="24"/>
                <w:highlight w:val="none"/>
                <w:lang w:val="en-US" w:eastAsia="zh-CN"/>
              </w:rPr>
              <w:t>15</w:t>
            </w:r>
            <w:r>
              <w:rPr>
                <w:rFonts w:hint="eastAsia" w:ascii="Times New Roman" w:hAnsi="Times New Roman" w:cs="Times New Roman"/>
                <w:b/>
                <w:bCs/>
                <w:color w:val="auto"/>
                <w:spacing w:val="-6"/>
                <w:sz w:val="24"/>
                <w:highlight w:val="none"/>
                <w:lang w:val="en-US" w:eastAsia="zh-CN"/>
              </w:rPr>
              <w:t>日17：00前，将附件</w:t>
            </w:r>
            <w:r>
              <w:rPr>
                <w:rFonts w:hint="eastAsia" w:ascii="Times New Roman" w:hAnsi="Times New Roman" w:eastAsia="宋体" w:cs="Times New Roman"/>
                <w:b/>
                <w:bCs/>
                <w:color w:val="auto"/>
                <w:sz w:val="24"/>
                <w:highlight w:val="none"/>
                <w:lang w:val="en-US" w:eastAsia="zh-CN"/>
              </w:rPr>
              <w:t>十：</w:t>
            </w:r>
            <w:r>
              <w:rPr>
                <w:rFonts w:hint="eastAsia" w:ascii="Times New Roman" w:hAnsi="Times New Roman" w:eastAsia="宋体" w:cs="Times New Roman"/>
                <w:b/>
                <w:bCs/>
                <w:color w:val="auto"/>
                <w:sz w:val="24"/>
                <w:highlight w:val="none"/>
                <w:lang w:eastAsia="zh-CN"/>
              </w:rPr>
              <w:t>202</w:t>
            </w:r>
            <w:r>
              <w:rPr>
                <w:rFonts w:hint="eastAsia"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eastAsia="zh-CN"/>
              </w:rPr>
              <w:t>年相关上报人民银行数据</w:t>
            </w:r>
            <w:r>
              <w:rPr>
                <w:rFonts w:hint="eastAsia" w:ascii="Times New Roman" w:hAnsi="Times New Roman" w:eastAsia="宋体" w:cs="Times New Roman"/>
                <w:b/>
                <w:bCs/>
                <w:color w:val="auto"/>
                <w:sz w:val="24"/>
                <w:highlight w:val="none"/>
                <w:lang w:val="en-US" w:eastAsia="zh-CN"/>
              </w:rPr>
              <w:t>，</w:t>
            </w:r>
            <w:r>
              <w:rPr>
                <w:rFonts w:hint="eastAsia" w:ascii="Times New Roman" w:hAnsi="Times New Roman" w:cs="Times New Roman"/>
                <w:b/>
                <w:bCs/>
                <w:color w:val="auto"/>
                <w:spacing w:val="-6"/>
                <w:sz w:val="24"/>
                <w:highlight w:val="none"/>
                <w:lang w:val="en-US" w:eastAsia="zh-CN"/>
              </w:rPr>
              <w:t>加盖投标单位公章，扫描件发送至邮箱：</w:t>
            </w:r>
            <w:r>
              <w:rPr>
                <w:rFonts w:hint="eastAsia" w:cs="Times New Roman"/>
                <w:b/>
                <w:bCs/>
                <w:color w:val="auto"/>
                <w:spacing w:val="-6"/>
                <w:sz w:val="24"/>
                <w:highlight w:val="none"/>
                <w:lang w:val="en-US" w:eastAsia="zh-CN"/>
              </w:rPr>
              <w:t>249268371</w:t>
            </w:r>
            <w:r>
              <w:rPr>
                <w:rFonts w:hint="eastAsia" w:ascii="Times New Roman" w:hAnsi="Times New Roman" w:cs="Times New Roman"/>
                <w:b/>
                <w:bCs/>
                <w:color w:val="auto"/>
                <w:spacing w:val="-6"/>
                <w:sz w:val="24"/>
                <w:highlight w:val="none"/>
                <w:lang w:val="en-US" w:eastAsia="zh-CN"/>
              </w:rPr>
              <w:t>@qq.com，逾期未提供的，将自行承担政采云平台无法计分，或导致投标无效的责任。</w:t>
            </w:r>
          </w:p>
        </w:tc>
      </w:tr>
      <w:tr w14:paraId="32062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869" w:type="dxa"/>
            <w:tcBorders>
              <w:top w:val="single" w:color="auto" w:sz="4" w:space="0"/>
              <w:left w:val="single" w:color="auto" w:sz="12" w:space="0"/>
              <w:bottom w:val="single" w:color="auto" w:sz="12" w:space="0"/>
              <w:right w:val="single" w:color="auto" w:sz="4" w:space="0"/>
            </w:tcBorders>
            <w:noWrap w:val="0"/>
            <w:vAlign w:val="center"/>
          </w:tcPr>
          <w:p w14:paraId="52A771CC">
            <w:pPr>
              <w:snapToGrid w:val="0"/>
              <w:spacing w:line="360" w:lineRule="auto"/>
              <w:jc w:val="center"/>
              <w:rPr>
                <w:rFonts w:hint="default" w:eastAsia="宋体"/>
                <w:color w:val="auto"/>
                <w:sz w:val="24"/>
                <w:highlight w:val="none"/>
                <w:lang w:val="en-US" w:eastAsia="zh-CN"/>
              </w:rPr>
            </w:pPr>
            <w:r>
              <w:rPr>
                <w:rFonts w:hint="eastAsia"/>
                <w:color w:val="auto"/>
                <w:sz w:val="24"/>
                <w:highlight w:val="none"/>
                <w:lang w:val="en-US" w:eastAsia="zh-CN"/>
              </w:rPr>
              <w:t>21</w:t>
            </w:r>
          </w:p>
        </w:tc>
        <w:tc>
          <w:tcPr>
            <w:tcW w:w="8059" w:type="dxa"/>
            <w:tcBorders>
              <w:top w:val="single" w:color="auto" w:sz="4" w:space="0"/>
              <w:left w:val="single" w:color="auto" w:sz="4" w:space="0"/>
              <w:bottom w:val="single" w:color="auto" w:sz="12" w:space="0"/>
              <w:right w:val="single" w:color="auto" w:sz="12" w:space="0"/>
            </w:tcBorders>
            <w:noWrap w:val="0"/>
            <w:vAlign w:val="center"/>
          </w:tcPr>
          <w:p w14:paraId="185C3F24">
            <w:pPr>
              <w:snapToGrid w:val="0"/>
              <w:spacing w:before="120" w:beforeLines="50" w:line="360" w:lineRule="auto"/>
              <w:jc w:val="left"/>
              <w:outlineLvl w:val="0"/>
              <w:rPr>
                <w:rFonts w:hint="eastAsia"/>
                <w:lang w:val="en-US" w:eastAsia="zh-CN"/>
              </w:rPr>
            </w:pPr>
            <w:r>
              <w:rPr>
                <w:rFonts w:hint="eastAsia"/>
                <w:lang w:val="en-US" w:eastAsia="zh-CN"/>
              </w:rPr>
              <w:t>其他：</w:t>
            </w:r>
          </w:p>
          <w:p w14:paraId="6F89F88D">
            <w:pPr>
              <w:pStyle w:val="49"/>
              <w:numPr>
                <w:ilvl w:val="0"/>
                <w:numId w:val="7"/>
              </w:numPr>
              <w:kinsoku w:val="0"/>
              <w:overflowPunct w:val="0"/>
              <w:rPr>
                <w:rFonts w:hint="eastAsia"/>
                <w:lang w:val="en-US" w:eastAsia="zh-CN"/>
              </w:rPr>
            </w:pPr>
            <w:r>
              <w:rPr>
                <w:rFonts w:hint="eastAsia"/>
                <w:lang w:val="en-US" w:eastAsia="zh-CN"/>
              </w:rPr>
              <w:t>本项目代理费用由成交银行支付，每个标项1.5万元，成交后7个工作日内支付至浙江华域高宇项目管理有限公司：</w:t>
            </w:r>
          </w:p>
          <w:p w14:paraId="1DB099F0">
            <w:pPr>
              <w:pStyle w:val="49"/>
              <w:numPr>
                <w:ilvl w:val="0"/>
                <w:numId w:val="0"/>
              </w:numPr>
              <w:kinsoku w:val="0"/>
              <w:overflowPunct w:val="0"/>
              <w:rPr>
                <w:rFonts w:hint="eastAsia"/>
                <w:lang w:val="en-US" w:eastAsia="zh-CN"/>
              </w:rPr>
            </w:pPr>
            <w:r>
              <w:rPr>
                <w:rFonts w:hint="eastAsia"/>
                <w:lang w:val="en-US" w:eastAsia="zh-CN"/>
              </w:rPr>
              <w:t xml:space="preserve">账号： 33001617092053005082     </w:t>
            </w:r>
          </w:p>
          <w:p w14:paraId="28CE768F">
            <w:pPr>
              <w:pStyle w:val="49"/>
              <w:kinsoku w:val="0"/>
              <w:overflowPunct w:val="0"/>
              <w:rPr>
                <w:rFonts w:hint="default"/>
                <w:lang w:val="en-US" w:eastAsia="zh-CN"/>
              </w:rPr>
            </w:pPr>
            <w:r>
              <w:rPr>
                <w:rFonts w:hint="eastAsia"/>
                <w:lang w:val="en-US" w:eastAsia="zh-CN"/>
              </w:rPr>
              <w:t xml:space="preserve">开户银行： 建行萧山时代广场支行  </w:t>
            </w:r>
          </w:p>
          <w:p w14:paraId="21879267">
            <w:pPr>
              <w:numPr>
                <w:ilvl w:val="0"/>
                <w:numId w:val="7"/>
              </w:numPr>
              <w:snapToGrid w:val="0"/>
              <w:spacing w:before="120" w:beforeLines="50" w:line="360" w:lineRule="auto"/>
              <w:ind w:left="0" w:leftChars="0" w:firstLine="0" w:firstLineChars="0"/>
              <w:jc w:val="left"/>
              <w:outlineLvl w:val="0"/>
            </w:pPr>
            <w:r>
              <w:t>解释：本招标文件的解释权属于招标</w:t>
            </w:r>
            <w:r>
              <w:rPr>
                <w:rFonts w:hint="eastAsia"/>
              </w:rPr>
              <w:t>人</w:t>
            </w:r>
            <w:r>
              <w:t>。</w:t>
            </w:r>
          </w:p>
          <w:p w14:paraId="26AE7D96">
            <w:pPr>
              <w:numPr>
                <w:ilvl w:val="0"/>
                <w:numId w:val="0"/>
              </w:num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3、标项</w:t>
            </w:r>
            <w:r>
              <w:rPr>
                <w:rFonts w:hint="eastAsia" w:cs="Times New Roman"/>
                <w:lang w:val="en-US" w:eastAsia="zh-CN"/>
              </w:rPr>
              <w:t>二</w:t>
            </w:r>
            <w:r>
              <w:rPr>
                <w:rFonts w:hint="eastAsia" w:ascii="Times New Roman" w:hAnsi="Times New Roman" w:eastAsia="宋体" w:cs="Times New Roman"/>
                <w:lang w:val="en-US" w:eastAsia="zh-CN"/>
              </w:rPr>
              <w:t>的成交候选人需要根据省、杭州市委组织部公布的党费管理相关文件精神要求管理党费账户，否则将承担因此给采购人带来的一切损失。</w:t>
            </w:r>
          </w:p>
          <w:p w14:paraId="46A6BD5A">
            <w:pPr>
              <w:pStyle w:val="30"/>
              <w:numPr>
                <w:ilvl w:val="0"/>
                <w:numId w:val="0"/>
              </w:numPr>
              <w:ind w:leftChars="0"/>
            </w:pPr>
          </w:p>
        </w:tc>
      </w:tr>
    </w:tbl>
    <w:p w14:paraId="53664AC1">
      <w:pPr>
        <w:snapToGrid w:val="0"/>
        <w:spacing w:line="360" w:lineRule="auto"/>
        <w:rPr>
          <w:color w:val="auto"/>
          <w:sz w:val="24"/>
          <w:szCs w:val="20"/>
          <w:highlight w:val="none"/>
        </w:rPr>
      </w:pPr>
    </w:p>
    <w:p w14:paraId="132AABF4">
      <w:pPr>
        <w:pStyle w:val="16"/>
        <w:snapToGrid w:val="0"/>
        <w:spacing w:before="0" w:beforeLines="0" w:after="0" w:afterLines="0" w:line="360" w:lineRule="auto"/>
        <w:rPr>
          <w:rFonts w:ascii="Times New Roman" w:hAnsi="Times New Roman"/>
          <w:b/>
          <w:color w:val="auto"/>
          <w:sz w:val="28"/>
          <w:szCs w:val="28"/>
          <w:highlight w:val="none"/>
        </w:rPr>
      </w:pPr>
      <w:r>
        <w:rPr>
          <w:rFonts w:ascii="Times New Roman" w:hAnsi="Times New Roman"/>
          <w:color w:val="auto"/>
          <w:highlight w:val="none"/>
        </w:rPr>
        <w:br w:type="page"/>
      </w:r>
      <w:r>
        <w:rPr>
          <w:rFonts w:ascii="Times New Roman" w:hAnsi="Times New Roman"/>
          <w:b/>
          <w:color w:val="auto"/>
          <w:sz w:val="28"/>
          <w:szCs w:val="28"/>
          <w:highlight w:val="none"/>
        </w:rPr>
        <w:t>一、总则</w:t>
      </w:r>
    </w:p>
    <w:p w14:paraId="45ABB89D">
      <w:pPr>
        <w:snapToGrid w:val="0"/>
        <w:spacing w:line="360" w:lineRule="auto"/>
        <w:ind w:firstLine="472" w:firstLineChars="196"/>
        <w:jc w:val="left"/>
        <w:outlineLvl w:val="1"/>
        <w:rPr>
          <w:b/>
          <w:color w:val="auto"/>
          <w:sz w:val="24"/>
          <w:szCs w:val="20"/>
          <w:highlight w:val="none"/>
        </w:rPr>
      </w:pPr>
      <w:r>
        <w:rPr>
          <w:b/>
          <w:color w:val="auto"/>
          <w:sz w:val="24"/>
          <w:highlight w:val="none"/>
        </w:rPr>
        <w:t>（一）适用范围</w:t>
      </w:r>
    </w:p>
    <w:p w14:paraId="2EE5159C">
      <w:pPr>
        <w:snapToGrid w:val="0"/>
        <w:spacing w:line="360" w:lineRule="auto"/>
        <w:ind w:firstLine="480" w:firstLineChars="200"/>
        <w:jc w:val="left"/>
        <w:rPr>
          <w:color w:val="auto"/>
          <w:sz w:val="24"/>
          <w:szCs w:val="20"/>
          <w:highlight w:val="none"/>
        </w:rPr>
      </w:pPr>
      <w:r>
        <w:rPr>
          <w:color w:val="auto"/>
          <w:sz w:val="24"/>
          <w:highlight w:val="none"/>
        </w:rPr>
        <w:t>本招标文件仅适用于</w:t>
      </w:r>
      <w:r>
        <w:rPr>
          <w:color w:val="auto"/>
          <w:kern w:val="0"/>
          <w:sz w:val="24"/>
          <w:highlight w:val="none"/>
        </w:rPr>
        <w:t>公款竞争性存放银行项目</w:t>
      </w:r>
      <w:r>
        <w:rPr>
          <w:color w:val="auto"/>
          <w:sz w:val="24"/>
          <w:highlight w:val="none"/>
        </w:rPr>
        <w:t>的招标、投标、评标、定标、合同履约等行为（法律、法规另有规定的，从其规定）。</w:t>
      </w:r>
    </w:p>
    <w:p w14:paraId="58B57E79">
      <w:pPr>
        <w:snapToGrid w:val="0"/>
        <w:spacing w:line="360" w:lineRule="auto"/>
        <w:ind w:firstLine="354" w:firstLineChars="147"/>
        <w:jc w:val="left"/>
        <w:outlineLvl w:val="1"/>
        <w:rPr>
          <w:b/>
          <w:color w:val="auto"/>
          <w:sz w:val="24"/>
          <w:szCs w:val="20"/>
          <w:highlight w:val="none"/>
        </w:rPr>
      </w:pPr>
      <w:r>
        <w:rPr>
          <w:b/>
          <w:color w:val="auto"/>
          <w:sz w:val="24"/>
          <w:highlight w:val="none"/>
        </w:rPr>
        <w:t>（二）定义</w:t>
      </w:r>
    </w:p>
    <w:p w14:paraId="4FA46845">
      <w:pPr>
        <w:snapToGrid w:val="0"/>
        <w:spacing w:line="360" w:lineRule="auto"/>
        <w:ind w:firstLine="480" w:firstLineChars="200"/>
        <w:jc w:val="left"/>
        <w:rPr>
          <w:color w:val="auto"/>
          <w:sz w:val="24"/>
          <w:szCs w:val="20"/>
          <w:highlight w:val="none"/>
        </w:rPr>
      </w:pPr>
      <w:r>
        <w:rPr>
          <w:color w:val="auto"/>
          <w:sz w:val="24"/>
          <w:highlight w:val="none"/>
        </w:rPr>
        <w:t>1.招标采购单位系指组织本次招标的代理机构（“招标人”）和采购单位。</w:t>
      </w:r>
    </w:p>
    <w:p w14:paraId="762DA235">
      <w:pPr>
        <w:snapToGrid w:val="0"/>
        <w:spacing w:line="360" w:lineRule="auto"/>
        <w:ind w:firstLine="480" w:firstLineChars="200"/>
        <w:jc w:val="left"/>
        <w:rPr>
          <w:color w:val="auto"/>
          <w:sz w:val="24"/>
          <w:szCs w:val="20"/>
          <w:highlight w:val="none"/>
        </w:rPr>
      </w:pPr>
      <w:r>
        <w:rPr>
          <w:color w:val="auto"/>
          <w:sz w:val="24"/>
          <w:highlight w:val="none"/>
        </w:rPr>
        <w:t>2.“投标人”系指向招标方提交投标文件的单位或个人。</w:t>
      </w:r>
    </w:p>
    <w:p w14:paraId="724F1CE8">
      <w:pPr>
        <w:snapToGrid w:val="0"/>
        <w:spacing w:line="360" w:lineRule="auto"/>
        <w:ind w:firstLine="480" w:firstLineChars="200"/>
        <w:jc w:val="left"/>
        <w:rPr>
          <w:color w:val="auto"/>
          <w:sz w:val="24"/>
          <w:highlight w:val="none"/>
        </w:rPr>
      </w:pPr>
      <w:r>
        <w:rPr>
          <w:color w:val="auto"/>
          <w:sz w:val="24"/>
          <w:highlight w:val="none"/>
        </w:rPr>
        <w:t>3. 银行定期存款操作，是指将</w:t>
      </w:r>
      <w:r>
        <w:rPr>
          <w:rFonts w:hint="eastAsia"/>
          <w:color w:val="auto"/>
          <w:sz w:val="24"/>
          <w:highlight w:val="none"/>
        </w:rPr>
        <w:t>单位</w:t>
      </w:r>
      <w:r>
        <w:rPr>
          <w:color w:val="auto"/>
          <w:sz w:val="24"/>
          <w:highlight w:val="none"/>
        </w:rPr>
        <w:t>的资金按一定期限存放银行，银行在获得存款并支付利息的交易行为。</w:t>
      </w:r>
    </w:p>
    <w:p w14:paraId="3B3723CC">
      <w:pPr>
        <w:snapToGrid w:val="0"/>
        <w:spacing w:line="360" w:lineRule="auto"/>
        <w:ind w:firstLine="480" w:firstLineChars="200"/>
        <w:jc w:val="left"/>
        <w:rPr>
          <w:color w:val="auto"/>
          <w:sz w:val="24"/>
          <w:szCs w:val="20"/>
          <w:highlight w:val="none"/>
        </w:rPr>
      </w:pPr>
      <w:r>
        <w:rPr>
          <w:color w:val="auto"/>
          <w:sz w:val="24"/>
          <w:highlight w:val="none"/>
        </w:rPr>
        <w:t>4.“服务”系指招标文件规定投标人须提供的利息支付及相关服务的义务。</w:t>
      </w:r>
    </w:p>
    <w:p w14:paraId="6B0E7866">
      <w:pPr>
        <w:snapToGrid w:val="0"/>
        <w:spacing w:line="360" w:lineRule="auto"/>
        <w:ind w:firstLine="480" w:firstLineChars="200"/>
        <w:jc w:val="left"/>
        <w:rPr>
          <w:color w:val="auto"/>
          <w:sz w:val="24"/>
          <w:highlight w:val="none"/>
        </w:rPr>
      </w:pPr>
      <w:r>
        <w:rPr>
          <w:color w:val="auto"/>
          <w:sz w:val="24"/>
          <w:highlight w:val="none"/>
        </w:rPr>
        <w:t>5.“书面形式”包括信函、传真、电报等。</w:t>
      </w:r>
    </w:p>
    <w:p w14:paraId="794CD211">
      <w:pPr>
        <w:widowControl/>
        <w:spacing w:line="360" w:lineRule="auto"/>
        <w:jc w:val="left"/>
        <w:rPr>
          <w:color w:val="auto"/>
          <w:sz w:val="24"/>
          <w:highlight w:val="none"/>
        </w:rPr>
      </w:pPr>
      <w:r>
        <w:rPr>
          <w:color w:val="auto"/>
          <w:sz w:val="24"/>
          <w:highlight w:val="none"/>
        </w:rPr>
        <w:t xml:space="preserve">    6. “▲”系指实质性要求条款。</w:t>
      </w:r>
    </w:p>
    <w:p w14:paraId="22102D94">
      <w:pPr>
        <w:snapToGrid w:val="0"/>
        <w:spacing w:line="360" w:lineRule="auto"/>
        <w:ind w:firstLine="472" w:firstLineChars="196"/>
        <w:jc w:val="left"/>
        <w:outlineLvl w:val="1"/>
        <w:rPr>
          <w:b/>
          <w:color w:val="auto"/>
          <w:sz w:val="24"/>
          <w:szCs w:val="20"/>
          <w:highlight w:val="none"/>
        </w:rPr>
      </w:pPr>
      <w:r>
        <w:rPr>
          <w:b/>
          <w:color w:val="auto"/>
          <w:sz w:val="24"/>
          <w:highlight w:val="none"/>
        </w:rPr>
        <w:t>（三）招标方式</w:t>
      </w:r>
    </w:p>
    <w:p w14:paraId="0EE59763">
      <w:pPr>
        <w:snapToGrid w:val="0"/>
        <w:spacing w:line="360" w:lineRule="auto"/>
        <w:ind w:firstLine="480" w:firstLineChars="200"/>
        <w:jc w:val="left"/>
        <w:rPr>
          <w:color w:val="auto"/>
          <w:sz w:val="24"/>
          <w:szCs w:val="20"/>
          <w:highlight w:val="none"/>
        </w:rPr>
      </w:pPr>
      <w:r>
        <w:rPr>
          <w:color w:val="auto"/>
          <w:sz w:val="24"/>
          <w:highlight w:val="none"/>
        </w:rPr>
        <w:t>本次招标采用公开招标方式进行。</w:t>
      </w:r>
    </w:p>
    <w:p w14:paraId="2A498BFF">
      <w:pPr>
        <w:snapToGrid w:val="0"/>
        <w:spacing w:line="360" w:lineRule="auto"/>
        <w:ind w:firstLine="472" w:firstLineChars="196"/>
        <w:jc w:val="left"/>
        <w:outlineLvl w:val="1"/>
        <w:rPr>
          <w:b/>
          <w:color w:val="auto"/>
          <w:sz w:val="24"/>
          <w:szCs w:val="20"/>
          <w:highlight w:val="none"/>
        </w:rPr>
      </w:pPr>
      <w:r>
        <w:rPr>
          <w:b/>
          <w:color w:val="auto"/>
          <w:sz w:val="24"/>
          <w:highlight w:val="none"/>
        </w:rPr>
        <w:t>（四）投标委托</w:t>
      </w:r>
    </w:p>
    <w:p w14:paraId="1DC273DF">
      <w:pPr>
        <w:pStyle w:val="13"/>
        <w:snapToGrid w:val="0"/>
        <w:spacing w:line="360" w:lineRule="auto"/>
        <w:ind w:firstLine="464" w:firstLineChars="200"/>
        <w:jc w:val="left"/>
        <w:rPr>
          <w:rFonts w:ascii="Times New Roman" w:hAnsi="Times New Roman"/>
          <w:color w:val="auto"/>
          <w:sz w:val="24"/>
          <w:szCs w:val="24"/>
          <w:highlight w:val="none"/>
        </w:rPr>
      </w:pPr>
      <w:r>
        <w:rPr>
          <w:rFonts w:ascii="Times New Roman" w:hAnsi="Times New Roman"/>
          <w:color w:val="auto"/>
          <w:sz w:val="24"/>
          <w:szCs w:val="24"/>
          <w:highlight w:val="none"/>
        </w:rPr>
        <w:t>投标人代表须携带有效身份证件。如投标人代表不是法定代表人（负责人），须有法定代表人（负责人）出具的授权委托书（正本用原件，副本用复印件，格式见第四部分）。</w:t>
      </w:r>
    </w:p>
    <w:p w14:paraId="61109D70">
      <w:pPr>
        <w:snapToGrid w:val="0"/>
        <w:spacing w:line="360" w:lineRule="auto"/>
        <w:ind w:firstLine="472" w:firstLineChars="196"/>
        <w:jc w:val="left"/>
        <w:outlineLvl w:val="1"/>
        <w:rPr>
          <w:b/>
          <w:color w:val="auto"/>
          <w:sz w:val="24"/>
          <w:szCs w:val="20"/>
          <w:highlight w:val="none"/>
        </w:rPr>
      </w:pPr>
      <w:r>
        <w:rPr>
          <w:b/>
          <w:color w:val="auto"/>
          <w:sz w:val="24"/>
          <w:highlight w:val="none"/>
        </w:rPr>
        <w:t>（五）投标费用</w:t>
      </w:r>
    </w:p>
    <w:p w14:paraId="1268751C">
      <w:pPr>
        <w:snapToGrid w:val="0"/>
        <w:spacing w:line="360" w:lineRule="auto"/>
        <w:ind w:firstLine="480" w:firstLineChars="200"/>
        <w:jc w:val="left"/>
        <w:rPr>
          <w:color w:val="auto"/>
          <w:sz w:val="24"/>
          <w:szCs w:val="20"/>
          <w:highlight w:val="none"/>
        </w:rPr>
      </w:pPr>
      <w:r>
        <w:rPr>
          <w:color w:val="auto"/>
          <w:sz w:val="24"/>
          <w:highlight w:val="none"/>
        </w:rPr>
        <w:t>不论投标结果如何，投标人均应自行承担所有与投标有关的全部费用（招标文件有相反规定除外）。</w:t>
      </w:r>
    </w:p>
    <w:p w14:paraId="600F6C49">
      <w:pPr>
        <w:snapToGrid w:val="0"/>
        <w:spacing w:line="360" w:lineRule="auto"/>
        <w:ind w:firstLine="472" w:firstLineChars="196"/>
        <w:jc w:val="left"/>
        <w:outlineLvl w:val="1"/>
        <w:rPr>
          <w:b/>
          <w:color w:val="auto"/>
          <w:sz w:val="24"/>
          <w:highlight w:val="none"/>
        </w:rPr>
      </w:pPr>
      <w:r>
        <w:rPr>
          <w:b/>
          <w:color w:val="auto"/>
          <w:sz w:val="24"/>
          <w:highlight w:val="none"/>
        </w:rPr>
        <w:t>（六）特别说明：</w:t>
      </w:r>
    </w:p>
    <w:p w14:paraId="2BE032A2">
      <w:pPr>
        <w:widowControl/>
        <w:spacing w:line="360" w:lineRule="auto"/>
        <w:ind w:firstLine="480" w:firstLineChars="200"/>
        <w:jc w:val="left"/>
        <w:rPr>
          <w:rFonts w:hint="eastAsia"/>
          <w:b/>
          <w:color w:val="auto"/>
          <w:sz w:val="24"/>
          <w:highlight w:val="none"/>
        </w:rPr>
      </w:pPr>
      <w:r>
        <w:rPr>
          <w:color w:val="auto"/>
          <w:sz w:val="24"/>
          <w:highlight w:val="none"/>
        </w:rPr>
        <w:t>▲</w:t>
      </w:r>
      <w:r>
        <w:rPr>
          <w:b/>
          <w:color w:val="auto"/>
          <w:sz w:val="24"/>
          <w:highlight w:val="none"/>
        </w:rPr>
        <w:t>1. 参与投标的银行不得隶属于同一法人。</w:t>
      </w:r>
    </w:p>
    <w:p w14:paraId="057B4E61">
      <w:pPr>
        <w:pStyle w:val="16"/>
        <w:snapToGrid w:val="0"/>
        <w:spacing w:before="0" w:beforeLines="0" w:after="0" w:afterLines="0" w:line="360" w:lineRule="auto"/>
        <w:ind w:firstLine="480" w:firstLineChars="200"/>
        <w:rPr>
          <w:rFonts w:ascii="Times New Roman" w:hAnsi="Times New Roman"/>
          <w:color w:val="auto"/>
          <w:highlight w:val="none"/>
        </w:rPr>
      </w:pPr>
      <w:r>
        <w:rPr>
          <w:color w:val="auto"/>
          <w:highlight w:val="none"/>
        </w:rPr>
        <w:t>▲</w:t>
      </w:r>
      <w:r>
        <w:rPr>
          <w:rFonts w:hint="eastAsia"/>
          <w:color w:val="auto"/>
          <w:highlight w:val="none"/>
        </w:rPr>
        <w:t xml:space="preserve"> </w:t>
      </w:r>
      <w:r>
        <w:rPr>
          <w:rFonts w:hint="eastAsia" w:ascii="Times New Roman" w:hAnsi="Times New Roman"/>
          <w:color w:val="auto"/>
          <w:highlight w:val="none"/>
        </w:rPr>
        <w:t>2、投标银行需在投标文件中明确服务网点，指定的服务网点应与</w:t>
      </w:r>
      <w:r>
        <w:rPr>
          <w:rFonts w:ascii="Times New Roman" w:hAnsi="Times New Roman"/>
          <w:color w:val="auto"/>
          <w:highlight w:val="none"/>
        </w:rPr>
        <w:t>最终公款存放的网点一致。</w:t>
      </w:r>
    </w:p>
    <w:p w14:paraId="4BE409A1">
      <w:pPr>
        <w:pStyle w:val="16"/>
        <w:snapToGrid w:val="0"/>
        <w:spacing w:before="0" w:beforeLines="0" w:after="0" w:afterLines="0" w:line="360" w:lineRule="auto"/>
        <w:ind w:firstLine="480" w:firstLineChars="20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3</w:t>
      </w:r>
      <w:r>
        <w:rPr>
          <w:rFonts w:ascii="Times New Roman" w:hAnsi="Times New Roman"/>
          <w:color w:val="auto"/>
          <w:highlight w:val="none"/>
        </w:rPr>
        <w:t>存款利率报价应在人民银行规定的基准存款利率基础上上浮</w:t>
      </w:r>
      <w:r>
        <w:rPr>
          <w:rFonts w:hint="eastAsia" w:ascii="Times New Roman" w:hAnsi="Times New Roman"/>
          <w:color w:val="auto"/>
          <w:highlight w:val="none"/>
          <w:lang w:eastAsia="zh-CN"/>
        </w:rPr>
        <w:t>或者下浮</w:t>
      </w:r>
      <w:r>
        <w:rPr>
          <w:rFonts w:ascii="Times New Roman" w:hAnsi="Times New Roman"/>
          <w:color w:val="auto"/>
          <w:highlight w:val="none"/>
        </w:rPr>
        <w:t>。</w:t>
      </w:r>
    </w:p>
    <w:p w14:paraId="39105D1C">
      <w:pPr>
        <w:pStyle w:val="16"/>
        <w:snapToGrid w:val="0"/>
        <w:spacing w:before="0" w:beforeLines="0" w:after="0" w:afterLines="0" w:line="360" w:lineRule="auto"/>
        <w:ind w:firstLine="480" w:firstLineChars="20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4</w:t>
      </w:r>
      <w:r>
        <w:rPr>
          <w:rFonts w:ascii="Times New Roman" w:hAnsi="Times New Roman"/>
          <w:color w:val="auto"/>
          <w:highlight w:val="none"/>
        </w:rPr>
        <w:t>投标人投标所使用的资格、信誉、荣誉、业绩与企业认证必须为本投标人所拥有。</w:t>
      </w:r>
    </w:p>
    <w:p w14:paraId="2105E578">
      <w:pPr>
        <w:pStyle w:val="16"/>
        <w:snapToGrid w:val="0"/>
        <w:spacing w:before="0" w:beforeLines="0" w:after="0" w:afterLines="0" w:line="360" w:lineRule="auto"/>
        <w:ind w:firstLine="480" w:firstLineChars="20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5</w:t>
      </w:r>
      <w:r>
        <w:rPr>
          <w:rFonts w:ascii="Times New Roman" w:hAnsi="Times New Roman"/>
          <w:color w:val="auto"/>
          <w:highlight w:val="none"/>
        </w:rPr>
        <w:t>投标人应仔细阅读招标文件的所有内容，按照招标文件的要求提交投标文件，并对所提供的全部资料的真实性承担法律责任。</w:t>
      </w:r>
    </w:p>
    <w:p w14:paraId="28D2C610">
      <w:pPr>
        <w:pStyle w:val="16"/>
        <w:snapToGrid w:val="0"/>
        <w:spacing w:before="0" w:beforeLines="0" w:after="0" w:afterLines="0" w:line="360" w:lineRule="auto"/>
        <w:ind w:firstLine="480" w:firstLineChars="200"/>
        <w:rPr>
          <w:rFonts w:ascii="Times New Roman" w:hAnsi="Times New Roman"/>
          <w:color w:val="auto"/>
          <w:highlight w:val="none"/>
        </w:rPr>
      </w:pPr>
      <w:r>
        <w:rPr>
          <w:rFonts w:ascii="Times New Roman" w:hAnsi="Times New Roman"/>
          <w:color w:val="auto"/>
          <w:highlight w:val="none"/>
        </w:rPr>
        <w:t>▲</w:t>
      </w:r>
      <w:r>
        <w:rPr>
          <w:rFonts w:hint="eastAsia" w:ascii="Times New Roman" w:hAnsi="Times New Roman"/>
          <w:color w:val="auto"/>
          <w:highlight w:val="none"/>
        </w:rPr>
        <w:t>6</w:t>
      </w:r>
      <w:r>
        <w:rPr>
          <w:rFonts w:ascii="Times New Roman" w:hAnsi="Times New Roman"/>
          <w:color w:val="auto"/>
          <w:highlight w:val="none"/>
        </w:rPr>
        <w:t>投标人在投标活动中提供任何虚假材料,其投标无效，并报监管部门查处；中标后发现的,中标人须依照《中华人民共和国消费者权益保护法》第49条之规定双倍赔偿招标人，且民事赔偿并不免除违法投标人的行政与刑事责任。</w:t>
      </w:r>
    </w:p>
    <w:p w14:paraId="2639DEEE">
      <w:pPr>
        <w:pStyle w:val="16"/>
        <w:snapToGrid w:val="0"/>
        <w:spacing w:before="0" w:beforeLines="0" w:after="0" w:afterLines="0" w:line="360" w:lineRule="auto"/>
        <w:ind w:firstLine="472" w:firstLineChars="196"/>
        <w:outlineLvl w:val="1"/>
        <w:rPr>
          <w:rFonts w:ascii="Times New Roman" w:hAnsi="Times New Roman"/>
          <w:b/>
          <w:bCs/>
          <w:color w:val="auto"/>
          <w:highlight w:val="none"/>
        </w:rPr>
      </w:pPr>
      <w:r>
        <w:rPr>
          <w:rFonts w:ascii="Times New Roman" w:hAnsi="Times New Roman"/>
          <w:b/>
          <w:bCs/>
          <w:color w:val="auto"/>
          <w:highlight w:val="none"/>
        </w:rPr>
        <w:t>（九）质疑和投诉</w:t>
      </w:r>
    </w:p>
    <w:p w14:paraId="34D65A90">
      <w:pPr>
        <w:pStyle w:val="16"/>
        <w:snapToGrid w:val="0"/>
        <w:spacing w:before="0" w:beforeLines="0" w:after="0" w:afterLines="0" w:line="360" w:lineRule="auto"/>
        <w:ind w:firstLine="480" w:firstLineChars="200"/>
        <w:rPr>
          <w:rFonts w:ascii="Times New Roman" w:hAnsi="Times New Roman"/>
          <w:bCs/>
          <w:color w:val="auto"/>
          <w:highlight w:val="none"/>
        </w:rPr>
      </w:pPr>
      <w:r>
        <w:rPr>
          <w:rFonts w:ascii="Times New Roman" w:hAnsi="Times New Roman"/>
          <w:bCs/>
          <w:color w:val="auto"/>
          <w:highlight w:val="none"/>
        </w:rPr>
        <w:t>1.投标人认为招标文件使自己的权益受到损害的，可以在知道或者应知其权益受到损害之日起七个工作日内，以书面形式向招标人提出质疑。对招标文件提出质疑的，质疑期限自投标人获得招标文件之日起计算（但招标文件在发售或报名截止日后获得的，应当自截止之日起计算），逾期提出的，将不予受理、答复</w:t>
      </w:r>
      <w:r>
        <w:rPr>
          <w:rFonts w:ascii="Times New Roman" w:hAnsi="Times New Roman"/>
          <w:color w:val="auto"/>
          <w:highlight w:val="none"/>
        </w:rPr>
        <w:t>。</w:t>
      </w:r>
    </w:p>
    <w:p w14:paraId="5E99F010">
      <w:pPr>
        <w:pStyle w:val="16"/>
        <w:snapToGrid w:val="0"/>
        <w:spacing w:before="0" w:beforeLines="0" w:after="0" w:afterLines="0" w:line="360" w:lineRule="auto"/>
        <w:ind w:firstLine="480" w:firstLineChars="200"/>
        <w:rPr>
          <w:rFonts w:ascii="Times New Roman" w:hAnsi="Times New Roman"/>
          <w:bCs/>
          <w:color w:val="auto"/>
          <w:highlight w:val="none"/>
        </w:rPr>
      </w:pPr>
      <w:r>
        <w:rPr>
          <w:rFonts w:ascii="Times New Roman" w:hAnsi="Times New Roman"/>
          <w:bCs/>
          <w:color w:val="auto"/>
          <w:highlight w:val="none"/>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14:paraId="1A27FAD1">
      <w:pPr>
        <w:pStyle w:val="16"/>
        <w:snapToGrid w:val="0"/>
        <w:spacing w:before="0" w:beforeLines="0" w:after="0" w:afterLines="0" w:line="360" w:lineRule="auto"/>
        <w:outlineLvl w:val="0"/>
        <w:rPr>
          <w:rFonts w:ascii="Times New Roman" w:hAnsi="Times New Roman"/>
          <w:b/>
          <w:color w:val="auto"/>
          <w:sz w:val="28"/>
          <w:szCs w:val="28"/>
          <w:highlight w:val="none"/>
        </w:rPr>
      </w:pPr>
      <w:r>
        <w:rPr>
          <w:rFonts w:ascii="Times New Roman" w:hAnsi="Times New Roman"/>
          <w:b/>
          <w:color w:val="auto"/>
          <w:sz w:val="28"/>
          <w:szCs w:val="28"/>
          <w:highlight w:val="none"/>
        </w:rPr>
        <w:t>二、招标文件</w:t>
      </w:r>
    </w:p>
    <w:p w14:paraId="281F769D">
      <w:pPr>
        <w:snapToGrid w:val="0"/>
        <w:spacing w:line="360" w:lineRule="auto"/>
        <w:ind w:firstLine="472" w:firstLineChars="196"/>
        <w:jc w:val="left"/>
        <w:rPr>
          <w:b/>
          <w:color w:val="auto"/>
          <w:sz w:val="24"/>
          <w:szCs w:val="20"/>
          <w:highlight w:val="none"/>
        </w:rPr>
      </w:pPr>
      <w:r>
        <w:rPr>
          <w:b/>
          <w:color w:val="auto"/>
          <w:sz w:val="24"/>
          <w:highlight w:val="none"/>
        </w:rPr>
        <w:t>（一）招标文件的构成。本招标文件由以</w:t>
      </w:r>
      <w:r>
        <w:rPr>
          <w:rFonts w:hint="eastAsia"/>
          <w:b/>
          <w:color w:val="auto"/>
          <w:sz w:val="24"/>
          <w:highlight w:val="none"/>
          <w:lang w:eastAsia="zh-CN"/>
        </w:rPr>
        <w:t>下部分</w:t>
      </w:r>
      <w:r>
        <w:rPr>
          <w:b/>
          <w:color w:val="auto"/>
          <w:sz w:val="24"/>
          <w:highlight w:val="none"/>
        </w:rPr>
        <w:t>组成：</w:t>
      </w:r>
    </w:p>
    <w:p w14:paraId="22F69D26">
      <w:pPr>
        <w:snapToGrid w:val="0"/>
        <w:spacing w:line="360" w:lineRule="auto"/>
        <w:ind w:firstLine="480" w:firstLineChars="200"/>
        <w:jc w:val="left"/>
        <w:rPr>
          <w:color w:val="auto"/>
          <w:sz w:val="24"/>
          <w:szCs w:val="20"/>
          <w:highlight w:val="none"/>
        </w:rPr>
      </w:pPr>
      <w:r>
        <w:rPr>
          <w:color w:val="auto"/>
          <w:sz w:val="24"/>
          <w:highlight w:val="none"/>
        </w:rPr>
        <w:t>1.招标公告</w:t>
      </w:r>
    </w:p>
    <w:p w14:paraId="64D69F83">
      <w:pPr>
        <w:snapToGrid w:val="0"/>
        <w:spacing w:line="360" w:lineRule="auto"/>
        <w:ind w:firstLine="480" w:firstLineChars="200"/>
        <w:jc w:val="left"/>
        <w:rPr>
          <w:color w:val="auto"/>
          <w:sz w:val="24"/>
          <w:szCs w:val="20"/>
          <w:highlight w:val="none"/>
        </w:rPr>
      </w:pPr>
      <w:r>
        <w:rPr>
          <w:color w:val="auto"/>
          <w:sz w:val="24"/>
          <w:highlight w:val="none"/>
        </w:rPr>
        <w:t>2.招标需求</w:t>
      </w:r>
    </w:p>
    <w:p w14:paraId="1A9C32DF">
      <w:pPr>
        <w:snapToGrid w:val="0"/>
        <w:spacing w:line="360" w:lineRule="auto"/>
        <w:ind w:firstLine="480" w:firstLineChars="200"/>
        <w:jc w:val="left"/>
        <w:rPr>
          <w:color w:val="auto"/>
          <w:sz w:val="24"/>
          <w:szCs w:val="20"/>
          <w:highlight w:val="none"/>
        </w:rPr>
      </w:pPr>
      <w:r>
        <w:rPr>
          <w:color w:val="auto"/>
          <w:sz w:val="24"/>
          <w:highlight w:val="none"/>
        </w:rPr>
        <w:t>3.投标须知</w:t>
      </w:r>
    </w:p>
    <w:p w14:paraId="1E90D406">
      <w:pPr>
        <w:snapToGrid w:val="0"/>
        <w:spacing w:line="360" w:lineRule="auto"/>
        <w:ind w:firstLine="480" w:firstLineChars="200"/>
        <w:jc w:val="left"/>
        <w:rPr>
          <w:color w:val="auto"/>
          <w:sz w:val="24"/>
          <w:szCs w:val="20"/>
          <w:highlight w:val="none"/>
        </w:rPr>
      </w:pPr>
      <w:r>
        <w:rPr>
          <w:color w:val="auto"/>
          <w:sz w:val="24"/>
          <w:highlight w:val="none"/>
        </w:rPr>
        <w:t>4.评标办法及标准</w:t>
      </w:r>
    </w:p>
    <w:p w14:paraId="68D40BE5">
      <w:pPr>
        <w:snapToGrid w:val="0"/>
        <w:spacing w:line="360" w:lineRule="auto"/>
        <w:ind w:firstLine="480" w:firstLineChars="200"/>
        <w:jc w:val="left"/>
        <w:rPr>
          <w:color w:val="auto"/>
          <w:sz w:val="24"/>
          <w:szCs w:val="20"/>
          <w:highlight w:val="none"/>
        </w:rPr>
      </w:pPr>
      <w:r>
        <w:rPr>
          <w:color w:val="auto"/>
          <w:sz w:val="24"/>
          <w:highlight w:val="none"/>
        </w:rPr>
        <w:t>5.合同主要条款</w:t>
      </w:r>
    </w:p>
    <w:p w14:paraId="70341BED">
      <w:pPr>
        <w:snapToGrid w:val="0"/>
        <w:spacing w:line="360" w:lineRule="auto"/>
        <w:ind w:firstLine="480" w:firstLineChars="200"/>
        <w:jc w:val="left"/>
        <w:rPr>
          <w:color w:val="auto"/>
          <w:sz w:val="24"/>
          <w:highlight w:val="none"/>
        </w:rPr>
      </w:pPr>
      <w:r>
        <w:rPr>
          <w:color w:val="auto"/>
          <w:sz w:val="24"/>
          <w:highlight w:val="none"/>
        </w:rPr>
        <w:t>6.投标文件格式</w:t>
      </w:r>
    </w:p>
    <w:p w14:paraId="10A66C95">
      <w:pPr>
        <w:snapToGrid w:val="0"/>
        <w:spacing w:line="360" w:lineRule="auto"/>
        <w:ind w:firstLine="480" w:firstLineChars="200"/>
        <w:jc w:val="left"/>
        <w:rPr>
          <w:color w:val="auto"/>
          <w:sz w:val="24"/>
          <w:szCs w:val="20"/>
          <w:highlight w:val="none"/>
        </w:rPr>
      </w:pPr>
      <w:r>
        <w:rPr>
          <w:color w:val="auto"/>
          <w:sz w:val="24"/>
          <w:highlight w:val="none"/>
        </w:rPr>
        <w:t>7.本项目招标文件的澄清、答复、修改、补充的内容</w:t>
      </w:r>
    </w:p>
    <w:p w14:paraId="0B66EE73">
      <w:pPr>
        <w:snapToGrid w:val="0"/>
        <w:spacing w:line="360" w:lineRule="auto"/>
        <w:ind w:firstLine="472" w:firstLineChars="196"/>
        <w:jc w:val="left"/>
        <w:rPr>
          <w:b/>
          <w:color w:val="auto"/>
          <w:sz w:val="24"/>
          <w:szCs w:val="20"/>
          <w:highlight w:val="none"/>
        </w:rPr>
      </w:pPr>
      <w:r>
        <w:rPr>
          <w:b/>
          <w:color w:val="auto"/>
          <w:sz w:val="24"/>
          <w:highlight w:val="none"/>
        </w:rPr>
        <w:t>（二）投标人的风险</w:t>
      </w:r>
    </w:p>
    <w:p w14:paraId="382F87FD">
      <w:pPr>
        <w:pStyle w:val="26"/>
        <w:spacing w:line="360" w:lineRule="auto"/>
        <w:rPr>
          <w:rFonts w:ascii="Times New Roman" w:hAnsi="Times New Roman" w:eastAsia="宋体"/>
          <w:color w:val="auto"/>
          <w:szCs w:val="20"/>
          <w:highlight w:val="none"/>
        </w:rPr>
      </w:pPr>
      <w:r>
        <w:rPr>
          <w:rFonts w:ascii="Times New Roman" w:hAnsi="Times New Roman" w:eastAsia="宋体"/>
          <w:color w:val="auto"/>
          <w:highlight w:val="none"/>
        </w:rPr>
        <w:t>投标人没有按照招标文件要求提供全部资料，或者投标人没有对招标文件在各方面作出实质性响应是投标人的风险，并可能导致其投标被拒绝。</w:t>
      </w:r>
    </w:p>
    <w:p w14:paraId="12FD23A9">
      <w:pPr>
        <w:pStyle w:val="5"/>
        <w:widowControl w:val="0"/>
        <w:tabs>
          <w:tab w:val="clear" w:pos="454"/>
        </w:tabs>
        <w:snapToGrid w:val="0"/>
        <w:spacing w:after="0" w:afterLines="0" w:line="360" w:lineRule="auto"/>
        <w:ind w:left="0" w:firstLine="472" w:firstLineChars="196"/>
        <w:rPr>
          <w:b/>
          <w:color w:val="auto"/>
          <w:szCs w:val="24"/>
          <w:highlight w:val="none"/>
        </w:rPr>
      </w:pPr>
      <w:r>
        <w:rPr>
          <w:b/>
          <w:color w:val="auto"/>
          <w:szCs w:val="24"/>
          <w:highlight w:val="none"/>
        </w:rPr>
        <w:t>（三）招标文件的澄清与修改</w:t>
      </w:r>
    </w:p>
    <w:p w14:paraId="7757B6AD">
      <w:pPr>
        <w:pStyle w:val="16"/>
        <w:snapToGrid w:val="0"/>
        <w:spacing w:before="0" w:beforeLines="0" w:after="0" w:afterLines="0" w:line="360" w:lineRule="auto"/>
        <w:ind w:firstLine="480" w:firstLineChars="200"/>
        <w:rPr>
          <w:rFonts w:ascii="Times New Roman" w:hAnsi="Times New Roman"/>
          <w:color w:val="auto"/>
          <w:highlight w:val="none"/>
        </w:rPr>
      </w:pPr>
      <w:r>
        <w:rPr>
          <w:rFonts w:ascii="Times New Roman" w:hAnsi="Times New Roman"/>
          <w:color w:val="auto"/>
          <w:highlight w:val="none"/>
        </w:rPr>
        <w:t xml:space="preserve">1. </w:t>
      </w:r>
      <w:r>
        <w:rPr>
          <w:rFonts w:ascii="Times New Roman" w:hAnsi="Times New Roman"/>
          <w:bCs/>
          <w:color w:val="auto"/>
          <w:highlight w:val="none"/>
        </w:rPr>
        <w:t>答疑与澄清：</w:t>
      </w:r>
      <w:r>
        <w:rPr>
          <w:rFonts w:ascii="Times New Roman" w:hAnsi="Times New Roman"/>
          <w:color w:val="auto"/>
          <w:highlight w:val="none"/>
        </w:rPr>
        <w:t>招标采购单位可以对已发出的招标文件进行必要澄清或者修改，澄清或者修改的内容可能影响投标文件编制的，将在招标文件要求提交投标文件截止时间十五日前，在财政部门指定的政府采购信息发布媒体上发布更正公告，并以书面形式通知所有招标文件收受人。该澄清或者修改的内容为招标文件的组成部分。</w:t>
      </w:r>
    </w:p>
    <w:p w14:paraId="1EB2A038">
      <w:pPr>
        <w:pStyle w:val="16"/>
        <w:snapToGrid w:val="0"/>
        <w:spacing w:before="0" w:beforeLines="0" w:after="0" w:afterLines="0" w:line="360" w:lineRule="auto"/>
        <w:ind w:firstLine="480" w:firstLineChars="200"/>
        <w:rPr>
          <w:rFonts w:ascii="Times New Roman" w:hAnsi="Times New Roman"/>
          <w:color w:val="auto"/>
          <w:highlight w:val="none"/>
        </w:rPr>
      </w:pPr>
      <w:r>
        <w:rPr>
          <w:rFonts w:ascii="Times New Roman" w:hAnsi="Times New Roman"/>
          <w:color w:val="auto"/>
          <w:highlight w:val="none"/>
        </w:rPr>
        <w:t>2.招标代理机构必须以书面形式答复投标人要求澄清的问题，并将不包含问题来源的答复书面通知所有购买招标文件的投标人；除书面答复以外的其他澄清方式及澄清内容均无效。</w:t>
      </w:r>
    </w:p>
    <w:p w14:paraId="39EC6250">
      <w:pPr>
        <w:pStyle w:val="16"/>
        <w:snapToGrid w:val="0"/>
        <w:spacing w:before="0" w:beforeLines="0" w:after="0" w:afterLines="0" w:line="360" w:lineRule="auto"/>
        <w:ind w:firstLine="480" w:firstLineChars="200"/>
        <w:rPr>
          <w:rFonts w:ascii="Times New Roman" w:hAnsi="Times New Roman"/>
          <w:color w:val="auto"/>
          <w:highlight w:val="none"/>
        </w:rPr>
      </w:pPr>
      <w:r>
        <w:rPr>
          <w:rFonts w:ascii="Times New Roman" w:hAnsi="Times New Roman"/>
          <w:color w:val="auto"/>
          <w:highlight w:val="none"/>
        </w:rPr>
        <w:t>3.招标文件澄清、答复、修改、补充的内容为招标文件的组成部分。当招标文件与招标文件的答复、澄清、修改、补充通知就同一内容的表述不一致时，以最后发出的书面文件为准。</w:t>
      </w:r>
    </w:p>
    <w:p w14:paraId="542EBE05">
      <w:pPr>
        <w:pStyle w:val="16"/>
        <w:snapToGrid w:val="0"/>
        <w:spacing w:before="0" w:beforeLines="0" w:after="0" w:afterLines="0" w:line="360" w:lineRule="auto"/>
        <w:ind w:firstLine="480" w:firstLineChars="200"/>
        <w:rPr>
          <w:rFonts w:ascii="Times New Roman" w:hAnsi="Times New Roman"/>
          <w:color w:val="auto"/>
          <w:highlight w:val="none"/>
        </w:rPr>
      </w:pPr>
      <w:r>
        <w:rPr>
          <w:rFonts w:ascii="Times New Roman" w:hAnsi="Times New Roman"/>
          <w:color w:val="auto"/>
          <w:highlight w:val="none"/>
        </w:rPr>
        <w:t>4.招标文件的澄清、答复、修改或补充都应该通过本代理机构以法定形式发布，招标人非通过本机构，不得擅自澄清、答复、修改或补充招标文件。</w:t>
      </w:r>
    </w:p>
    <w:p w14:paraId="7F70C5B8">
      <w:pPr>
        <w:pStyle w:val="16"/>
        <w:snapToGrid w:val="0"/>
        <w:spacing w:before="0" w:beforeLines="0" w:after="0" w:afterLines="0" w:line="360" w:lineRule="auto"/>
        <w:outlineLvl w:val="1"/>
        <w:rPr>
          <w:rFonts w:ascii="Times New Roman" w:hAnsi="Times New Roman"/>
          <w:b/>
          <w:color w:val="auto"/>
          <w:sz w:val="28"/>
          <w:szCs w:val="28"/>
          <w:highlight w:val="none"/>
        </w:rPr>
      </w:pPr>
      <w:r>
        <w:rPr>
          <w:rFonts w:ascii="Times New Roman" w:hAnsi="Times New Roman"/>
          <w:b/>
          <w:color w:val="auto"/>
          <w:sz w:val="28"/>
          <w:szCs w:val="28"/>
          <w:highlight w:val="none"/>
        </w:rPr>
        <w:t>三、投标文件的编制</w:t>
      </w:r>
    </w:p>
    <w:p w14:paraId="1531DA21">
      <w:pPr>
        <w:snapToGrid w:val="0"/>
        <w:spacing w:line="360" w:lineRule="auto"/>
        <w:ind w:firstLine="472" w:firstLineChars="196"/>
        <w:jc w:val="left"/>
        <w:outlineLvl w:val="0"/>
        <w:rPr>
          <w:b/>
          <w:color w:val="auto"/>
          <w:sz w:val="24"/>
          <w:szCs w:val="20"/>
          <w:highlight w:val="none"/>
        </w:rPr>
      </w:pPr>
      <w:r>
        <w:rPr>
          <w:b/>
          <w:color w:val="auto"/>
          <w:sz w:val="24"/>
          <w:highlight w:val="none"/>
        </w:rPr>
        <w:t>（一）投标文件的组成</w:t>
      </w:r>
    </w:p>
    <w:p w14:paraId="3B562D33">
      <w:pPr>
        <w:snapToGrid w:val="0"/>
        <w:spacing w:line="360" w:lineRule="auto"/>
        <w:ind w:firstLine="480" w:firstLineChars="200"/>
        <w:jc w:val="left"/>
        <w:rPr>
          <w:color w:val="auto"/>
          <w:sz w:val="24"/>
          <w:highlight w:val="none"/>
        </w:rPr>
      </w:pPr>
      <w:r>
        <w:rPr>
          <w:color w:val="auto"/>
          <w:sz w:val="24"/>
          <w:highlight w:val="none"/>
        </w:rPr>
        <w:t>投标文件包括《公款竞争性存放投标文件》及其他有关附件资料。投标文件需包含但不仅限于以下资料：</w:t>
      </w:r>
    </w:p>
    <w:p w14:paraId="435D33B0">
      <w:pPr>
        <w:snapToGrid w:val="0"/>
        <w:spacing w:line="360" w:lineRule="auto"/>
        <w:jc w:val="left"/>
        <w:rPr>
          <w:rFonts w:hint="eastAsia"/>
          <w:color w:val="auto"/>
          <w:sz w:val="24"/>
          <w:highlight w:val="none"/>
        </w:rPr>
      </w:pPr>
      <w:r>
        <w:rPr>
          <w:color w:val="auto"/>
          <w:sz w:val="24"/>
          <w:highlight w:val="none"/>
        </w:rPr>
        <w:t>（1）</w:t>
      </w:r>
      <w:r>
        <w:rPr>
          <w:rFonts w:hint="eastAsia"/>
          <w:color w:val="auto"/>
          <w:sz w:val="24"/>
          <w:highlight w:val="none"/>
        </w:rPr>
        <w:t>投标函、开标一览表</w:t>
      </w:r>
    </w:p>
    <w:p w14:paraId="0DF79279">
      <w:pPr>
        <w:widowControl/>
        <w:spacing w:line="360" w:lineRule="auto"/>
        <w:jc w:val="left"/>
        <w:rPr>
          <w:rFonts w:hint="eastAsia"/>
          <w:color w:val="auto"/>
          <w:sz w:val="24"/>
          <w:highlight w:val="none"/>
        </w:rPr>
      </w:pPr>
      <w:r>
        <w:rPr>
          <w:rFonts w:hint="eastAsia"/>
          <w:color w:val="auto"/>
          <w:sz w:val="24"/>
          <w:highlight w:val="none"/>
        </w:rPr>
        <w:t>（2）投标银行</w:t>
      </w:r>
      <w:r>
        <w:rPr>
          <w:color w:val="auto"/>
          <w:sz w:val="24"/>
          <w:highlight w:val="none"/>
        </w:rPr>
        <w:t>授权书</w:t>
      </w:r>
      <w:r>
        <w:rPr>
          <w:rFonts w:hint="eastAsia"/>
          <w:color w:val="auto"/>
          <w:sz w:val="24"/>
          <w:highlight w:val="none"/>
        </w:rPr>
        <w:t>（如需要）</w:t>
      </w:r>
      <w:r>
        <w:rPr>
          <w:color w:val="auto"/>
          <w:sz w:val="24"/>
          <w:highlight w:val="none"/>
        </w:rPr>
        <w:t>；</w:t>
      </w:r>
      <w:r>
        <w:rPr>
          <w:rFonts w:hint="eastAsia"/>
          <w:color w:val="auto"/>
          <w:sz w:val="24"/>
          <w:highlight w:val="none"/>
        </w:rPr>
        <w:t>针对本项目的指定服务机构（网点）</w:t>
      </w:r>
    </w:p>
    <w:p w14:paraId="72B81ABF">
      <w:pPr>
        <w:snapToGrid w:val="0"/>
        <w:spacing w:line="360" w:lineRule="auto"/>
        <w:jc w:val="left"/>
        <w:rPr>
          <w:color w:val="auto"/>
          <w:sz w:val="24"/>
          <w:highlight w:val="none"/>
        </w:rPr>
      </w:pPr>
      <w:r>
        <w:rPr>
          <w:rFonts w:hint="eastAsia"/>
          <w:color w:val="auto"/>
          <w:sz w:val="24"/>
          <w:highlight w:val="none"/>
        </w:rPr>
        <w:t>（3）投标人声明书、</w:t>
      </w:r>
      <w:r>
        <w:rPr>
          <w:color w:val="auto"/>
          <w:sz w:val="24"/>
          <w:highlight w:val="none"/>
        </w:rPr>
        <w:t>投标人代表授权书</w:t>
      </w:r>
      <w:r>
        <w:rPr>
          <w:rFonts w:hint="eastAsia"/>
          <w:color w:val="auto"/>
          <w:sz w:val="24"/>
          <w:highlight w:val="none"/>
        </w:rPr>
        <w:t>及身份证、廉政承诺书</w:t>
      </w:r>
    </w:p>
    <w:p w14:paraId="00E72722">
      <w:pPr>
        <w:widowControl/>
        <w:spacing w:line="360" w:lineRule="auto"/>
        <w:jc w:val="left"/>
        <w:rPr>
          <w:color w:val="auto"/>
          <w:sz w:val="24"/>
          <w:highlight w:val="none"/>
        </w:rPr>
      </w:pPr>
      <w:r>
        <w:rPr>
          <w:rFonts w:hint="eastAsia"/>
          <w:color w:val="auto"/>
          <w:sz w:val="24"/>
          <w:highlight w:val="none"/>
        </w:rPr>
        <w:t>（4）定期存款提前支取方案</w:t>
      </w:r>
    </w:p>
    <w:p w14:paraId="23E88CF9">
      <w:pPr>
        <w:widowControl/>
        <w:spacing w:line="360" w:lineRule="auto"/>
        <w:jc w:val="left"/>
        <w:rPr>
          <w:rFonts w:hint="eastAsia"/>
          <w:color w:val="auto"/>
          <w:sz w:val="24"/>
          <w:highlight w:val="none"/>
        </w:rPr>
      </w:pPr>
      <w:r>
        <w:rPr>
          <w:color w:val="auto"/>
          <w:sz w:val="24"/>
          <w:highlight w:val="none"/>
        </w:rPr>
        <w:t>（</w:t>
      </w:r>
      <w:r>
        <w:rPr>
          <w:rFonts w:hint="eastAsia"/>
          <w:color w:val="auto"/>
          <w:sz w:val="24"/>
          <w:highlight w:val="none"/>
        </w:rPr>
        <w:t>5</w:t>
      </w:r>
      <w:r>
        <w:rPr>
          <w:color w:val="auto"/>
          <w:sz w:val="24"/>
          <w:highlight w:val="none"/>
        </w:rPr>
        <w:t>）服务费用减免等银行服务优惠措施</w:t>
      </w:r>
    </w:p>
    <w:p w14:paraId="0424E824">
      <w:pPr>
        <w:snapToGrid w:val="0"/>
        <w:spacing w:line="360" w:lineRule="auto"/>
        <w:jc w:val="left"/>
        <w:rPr>
          <w:rFonts w:hint="eastAsia"/>
          <w:color w:val="auto"/>
          <w:sz w:val="24"/>
          <w:highlight w:val="none"/>
        </w:rPr>
      </w:pPr>
      <w:r>
        <w:rPr>
          <w:color w:val="auto"/>
          <w:sz w:val="24"/>
          <w:highlight w:val="none"/>
        </w:rPr>
        <w:t>（</w:t>
      </w:r>
      <w:r>
        <w:rPr>
          <w:rFonts w:hint="eastAsia"/>
          <w:color w:val="auto"/>
          <w:sz w:val="24"/>
          <w:highlight w:val="none"/>
        </w:rPr>
        <w:t>6</w:t>
      </w:r>
      <w:r>
        <w:rPr>
          <w:color w:val="auto"/>
          <w:sz w:val="24"/>
          <w:highlight w:val="none"/>
        </w:rPr>
        <w:t>）</w:t>
      </w:r>
      <w:r>
        <w:rPr>
          <w:rFonts w:hint="eastAsia"/>
          <w:color w:val="auto"/>
          <w:sz w:val="24"/>
          <w:highlight w:val="none"/>
          <w:lang w:val="en-US" w:eastAsia="zh-CN"/>
        </w:rPr>
        <w:t>2023</w:t>
      </w:r>
      <w:r>
        <w:rPr>
          <w:color w:val="auto"/>
          <w:sz w:val="24"/>
          <w:highlight w:val="none"/>
        </w:rPr>
        <w:t>年</w:t>
      </w:r>
      <w:r>
        <w:rPr>
          <w:rFonts w:hint="eastAsia"/>
          <w:color w:val="auto"/>
          <w:sz w:val="24"/>
          <w:highlight w:val="none"/>
        </w:rPr>
        <w:t>度</w:t>
      </w:r>
      <w:r>
        <w:rPr>
          <w:color w:val="auto"/>
          <w:sz w:val="24"/>
          <w:highlight w:val="none"/>
        </w:rPr>
        <w:t>人行</w:t>
      </w:r>
      <w:r>
        <w:rPr>
          <w:rFonts w:hint="eastAsia"/>
          <w:color w:val="auto"/>
          <w:sz w:val="24"/>
          <w:highlight w:val="none"/>
        </w:rPr>
        <w:t>萧山</w:t>
      </w:r>
      <w:r>
        <w:rPr>
          <w:color w:val="auto"/>
          <w:sz w:val="24"/>
          <w:highlight w:val="none"/>
        </w:rPr>
        <w:t>支行对投标</w:t>
      </w:r>
      <w:r>
        <w:rPr>
          <w:rFonts w:hint="eastAsia"/>
          <w:color w:val="auto"/>
          <w:sz w:val="24"/>
          <w:highlight w:val="none"/>
        </w:rPr>
        <w:t>银行</w:t>
      </w:r>
      <w:r>
        <w:rPr>
          <w:color w:val="auto"/>
          <w:sz w:val="24"/>
          <w:highlight w:val="none"/>
        </w:rPr>
        <w:t>的</w:t>
      </w:r>
      <w:r>
        <w:rPr>
          <w:rFonts w:hint="eastAsia"/>
          <w:color w:val="auto"/>
          <w:sz w:val="24"/>
          <w:highlight w:val="none"/>
        </w:rPr>
        <w:t>所在</w:t>
      </w:r>
      <w:r>
        <w:rPr>
          <w:color w:val="auto"/>
          <w:sz w:val="24"/>
          <w:highlight w:val="none"/>
        </w:rPr>
        <w:t>分行综合评价</w:t>
      </w:r>
    </w:p>
    <w:p w14:paraId="35773875">
      <w:pPr>
        <w:widowControl/>
        <w:spacing w:line="360" w:lineRule="auto"/>
        <w:jc w:val="left"/>
        <w:rPr>
          <w:rFonts w:hint="eastAsia"/>
          <w:color w:val="auto"/>
          <w:sz w:val="24"/>
          <w:highlight w:val="none"/>
        </w:rPr>
      </w:pPr>
      <w:r>
        <w:rPr>
          <w:rFonts w:hint="eastAsia"/>
          <w:color w:val="auto"/>
          <w:sz w:val="24"/>
          <w:highlight w:val="none"/>
        </w:rPr>
        <w:t>（7）</w:t>
      </w:r>
      <w:r>
        <w:rPr>
          <w:rFonts w:hint="eastAsia"/>
          <w:color w:val="auto"/>
          <w:sz w:val="24"/>
          <w:highlight w:val="none"/>
          <w:lang w:eastAsia="zh-CN"/>
        </w:rPr>
        <w:t>202</w:t>
      </w:r>
      <w:r>
        <w:rPr>
          <w:rFonts w:hint="eastAsia"/>
          <w:color w:val="auto"/>
          <w:sz w:val="24"/>
          <w:highlight w:val="none"/>
          <w:lang w:val="en-US" w:eastAsia="zh-CN"/>
        </w:rPr>
        <w:t>3</w:t>
      </w:r>
      <w:r>
        <w:rPr>
          <w:rFonts w:hint="eastAsia"/>
          <w:color w:val="auto"/>
          <w:sz w:val="24"/>
          <w:highlight w:val="none"/>
        </w:rPr>
        <w:t>年度所在萧山支行存款余额（以人民银行公布为准）</w:t>
      </w:r>
    </w:p>
    <w:p w14:paraId="43E67D85">
      <w:pPr>
        <w:widowControl/>
        <w:spacing w:line="360" w:lineRule="auto"/>
        <w:jc w:val="left"/>
        <w:rPr>
          <w:color w:val="auto"/>
          <w:sz w:val="24"/>
          <w:highlight w:val="none"/>
        </w:rPr>
      </w:pPr>
      <w:r>
        <w:rPr>
          <w:color w:val="auto"/>
          <w:sz w:val="24"/>
          <w:highlight w:val="none"/>
        </w:rPr>
        <w:t>（</w:t>
      </w:r>
      <w:r>
        <w:rPr>
          <w:rFonts w:hint="eastAsia"/>
          <w:color w:val="auto"/>
          <w:sz w:val="24"/>
          <w:highlight w:val="none"/>
        </w:rPr>
        <w:t>8</w:t>
      </w:r>
      <w:r>
        <w:rPr>
          <w:color w:val="auto"/>
          <w:sz w:val="24"/>
          <w:highlight w:val="none"/>
        </w:rPr>
        <w:t>）投标银行信息系统建设</w:t>
      </w:r>
    </w:p>
    <w:p w14:paraId="371530F3">
      <w:pPr>
        <w:widowControl/>
        <w:spacing w:line="360" w:lineRule="auto"/>
        <w:jc w:val="left"/>
        <w:rPr>
          <w:color w:val="auto"/>
          <w:sz w:val="24"/>
          <w:highlight w:val="none"/>
        </w:rPr>
      </w:pPr>
      <w:r>
        <w:rPr>
          <w:color w:val="auto"/>
          <w:sz w:val="24"/>
          <w:highlight w:val="none"/>
        </w:rPr>
        <w:t>（</w:t>
      </w:r>
      <w:r>
        <w:rPr>
          <w:rFonts w:hint="eastAsia"/>
          <w:color w:val="auto"/>
          <w:sz w:val="24"/>
          <w:highlight w:val="none"/>
        </w:rPr>
        <w:t>9</w:t>
      </w:r>
      <w:r>
        <w:rPr>
          <w:color w:val="auto"/>
          <w:sz w:val="24"/>
          <w:highlight w:val="none"/>
        </w:rPr>
        <w:t>）投标银行的服务管理</w:t>
      </w:r>
      <w:r>
        <w:rPr>
          <w:rFonts w:hint="eastAsia"/>
          <w:color w:val="auto"/>
          <w:sz w:val="24"/>
          <w:highlight w:val="none"/>
        </w:rPr>
        <w:t>体系及服务模式</w:t>
      </w:r>
    </w:p>
    <w:p w14:paraId="220ED0D7">
      <w:pPr>
        <w:widowControl/>
        <w:spacing w:line="360" w:lineRule="auto"/>
        <w:jc w:val="left"/>
        <w:rPr>
          <w:rFonts w:hint="eastAsia"/>
          <w:color w:val="auto"/>
          <w:sz w:val="24"/>
          <w:highlight w:val="none"/>
        </w:rPr>
      </w:pPr>
      <w:r>
        <w:rPr>
          <w:color w:val="auto"/>
          <w:sz w:val="24"/>
          <w:highlight w:val="none"/>
        </w:rPr>
        <w:t>（</w:t>
      </w:r>
      <w:r>
        <w:rPr>
          <w:rFonts w:hint="eastAsia"/>
          <w:color w:val="auto"/>
          <w:sz w:val="24"/>
          <w:highlight w:val="none"/>
        </w:rPr>
        <w:t>10</w:t>
      </w:r>
      <w:r>
        <w:rPr>
          <w:color w:val="auto"/>
          <w:sz w:val="24"/>
          <w:highlight w:val="none"/>
        </w:rPr>
        <w:t>）</w:t>
      </w:r>
      <w:r>
        <w:rPr>
          <w:rFonts w:hint="eastAsia"/>
          <w:color w:val="auto"/>
          <w:sz w:val="24"/>
          <w:highlight w:val="none"/>
        </w:rPr>
        <w:t>账务、分账核算服务方案</w:t>
      </w:r>
    </w:p>
    <w:p w14:paraId="09EA26C2">
      <w:pPr>
        <w:widowControl/>
        <w:spacing w:line="360" w:lineRule="auto"/>
        <w:jc w:val="left"/>
        <w:rPr>
          <w:color w:val="auto"/>
          <w:sz w:val="24"/>
          <w:highlight w:val="none"/>
        </w:rPr>
      </w:pPr>
      <w:r>
        <w:rPr>
          <w:color w:val="auto"/>
          <w:sz w:val="24"/>
          <w:highlight w:val="none"/>
        </w:rPr>
        <w:t>（</w:t>
      </w:r>
      <w:r>
        <w:rPr>
          <w:rFonts w:hint="eastAsia"/>
          <w:color w:val="auto"/>
          <w:sz w:val="24"/>
          <w:highlight w:val="none"/>
        </w:rPr>
        <w:t>11</w:t>
      </w:r>
      <w:r>
        <w:rPr>
          <w:color w:val="auto"/>
          <w:sz w:val="24"/>
          <w:highlight w:val="none"/>
        </w:rPr>
        <w:t>）对账服务方案</w:t>
      </w:r>
    </w:p>
    <w:p w14:paraId="58311EDD">
      <w:pPr>
        <w:widowControl/>
        <w:spacing w:line="360" w:lineRule="auto"/>
        <w:jc w:val="left"/>
        <w:rPr>
          <w:rFonts w:hint="eastAsia"/>
          <w:color w:val="auto"/>
          <w:sz w:val="24"/>
          <w:highlight w:val="none"/>
        </w:rPr>
      </w:pPr>
      <w:r>
        <w:rPr>
          <w:color w:val="auto"/>
          <w:sz w:val="24"/>
          <w:highlight w:val="none"/>
        </w:rPr>
        <w:t>（</w:t>
      </w:r>
      <w:r>
        <w:rPr>
          <w:rFonts w:hint="eastAsia"/>
          <w:color w:val="auto"/>
          <w:sz w:val="24"/>
          <w:highlight w:val="none"/>
        </w:rPr>
        <w:t>12</w:t>
      </w:r>
      <w:r>
        <w:rPr>
          <w:color w:val="auto"/>
          <w:sz w:val="24"/>
          <w:highlight w:val="none"/>
        </w:rPr>
        <w:t>）</w:t>
      </w:r>
      <w:r>
        <w:rPr>
          <w:rFonts w:hint="eastAsia"/>
          <w:color w:val="auto"/>
          <w:sz w:val="24"/>
          <w:highlight w:val="none"/>
        </w:rPr>
        <w:t>上门服务及费用承诺</w:t>
      </w:r>
    </w:p>
    <w:p w14:paraId="7E3FD0A4">
      <w:pPr>
        <w:widowControl/>
        <w:spacing w:line="360" w:lineRule="auto"/>
        <w:jc w:val="left"/>
        <w:rPr>
          <w:color w:val="auto"/>
          <w:sz w:val="24"/>
          <w:highlight w:val="none"/>
        </w:rPr>
      </w:pPr>
      <w:r>
        <w:rPr>
          <w:color w:val="auto"/>
          <w:sz w:val="24"/>
          <w:highlight w:val="none"/>
        </w:rPr>
        <w:t>（</w:t>
      </w:r>
      <w:r>
        <w:rPr>
          <w:rFonts w:hint="eastAsia"/>
          <w:color w:val="auto"/>
          <w:sz w:val="24"/>
          <w:highlight w:val="none"/>
        </w:rPr>
        <w:t>13</w:t>
      </w:r>
      <w:r>
        <w:rPr>
          <w:color w:val="auto"/>
          <w:sz w:val="24"/>
          <w:highlight w:val="none"/>
        </w:rPr>
        <w:t>）投标银行情况介绍（结合评标细则进行描述）</w:t>
      </w:r>
    </w:p>
    <w:p w14:paraId="5B417B2D">
      <w:pPr>
        <w:widowControl/>
        <w:spacing w:line="360" w:lineRule="auto"/>
        <w:jc w:val="left"/>
        <w:rPr>
          <w:color w:val="auto"/>
          <w:sz w:val="24"/>
          <w:highlight w:val="none"/>
        </w:rPr>
      </w:pPr>
      <w:r>
        <w:rPr>
          <w:color w:val="auto"/>
          <w:sz w:val="24"/>
          <w:highlight w:val="none"/>
        </w:rPr>
        <w:t>（</w:t>
      </w:r>
      <w:r>
        <w:rPr>
          <w:rFonts w:hint="eastAsia"/>
          <w:color w:val="auto"/>
          <w:sz w:val="24"/>
          <w:highlight w:val="none"/>
        </w:rPr>
        <w:t>14</w:t>
      </w:r>
      <w:r>
        <w:rPr>
          <w:color w:val="auto"/>
          <w:sz w:val="24"/>
          <w:highlight w:val="none"/>
        </w:rPr>
        <w:t>）</w:t>
      </w:r>
      <w:r>
        <w:rPr>
          <w:rFonts w:hint="eastAsia"/>
          <w:color w:val="auto"/>
          <w:sz w:val="24"/>
          <w:highlight w:val="none"/>
        </w:rPr>
        <w:t>网点服务能力情况</w:t>
      </w:r>
    </w:p>
    <w:p w14:paraId="6C331EC1">
      <w:pPr>
        <w:widowControl/>
        <w:spacing w:line="360" w:lineRule="auto"/>
        <w:jc w:val="left"/>
        <w:rPr>
          <w:color w:val="auto"/>
          <w:sz w:val="24"/>
          <w:highlight w:val="none"/>
        </w:rPr>
      </w:pPr>
      <w:r>
        <w:rPr>
          <w:color w:val="auto"/>
          <w:sz w:val="24"/>
          <w:highlight w:val="none"/>
        </w:rPr>
        <w:t>（</w:t>
      </w:r>
      <w:r>
        <w:rPr>
          <w:rFonts w:hint="eastAsia"/>
          <w:color w:val="auto"/>
          <w:sz w:val="24"/>
          <w:highlight w:val="none"/>
        </w:rPr>
        <w:t>15</w:t>
      </w:r>
      <w:r>
        <w:rPr>
          <w:color w:val="auto"/>
          <w:sz w:val="24"/>
          <w:highlight w:val="none"/>
        </w:rPr>
        <w:t>）</w:t>
      </w:r>
      <w:r>
        <w:rPr>
          <w:rFonts w:hint="eastAsia"/>
          <w:color w:val="auto"/>
          <w:sz w:val="24"/>
          <w:highlight w:val="none"/>
        </w:rPr>
        <w:t>投标银行以往服务经验</w:t>
      </w:r>
    </w:p>
    <w:p w14:paraId="3339C58D">
      <w:pPr>
        <w:spacing w:line="360" w:lineRule="auto"/>
        <w:rPr>
          <w:rFonts w:hint="eastAsia"/>
          <w:color w:val="auto"/>
          <w:sz w:val="24"/>
          <w:highlight w:val="none"/>
        </w:rPr>
      </w:pPr>
      <w:r>
        <w:rPr>
          <w:color w:val="auto"/>
          <w:sz w:val="24"/>
          <w:highlight w:val="none"/>
        </w:rPr>
        <w:t>（</w:t>
      </w:r>
      <w:r>
        <w:rPr>
          <w:rFonts w:hint="eastAsia"/>
          <w:color w:val="auto"/>
          <w:sz w:val="24"/>
          <w:highlight w:val="none"/>
        </w:rPr>
        <w:t>16</w:t>
      </w:r>
      <w:r>
        <w:rPr>
          <w:color w:val="auto"/>
          <w:sz w:val="24"/>
          <w:highlight w:val="none"/>
        </w:rPr>
        <w:t>）</w:t>
      </w:r>
      <w:r>
        <w:rPr>
          <w:rFonts w:hint="eastAsia"/>
          <w:color w:val="auto"/>
          <w:sz w:val="24"/>
          <w:highlight w:val="none"/>
          <w:lang w:eastAsia="zh-CN"/>
        </w:rPr>
        <w:t>202</w:t>
      </w:r>
      <w:r>
        <w:rPr>
          <w:rFonts w:hint="eastAsia"/>
          <w:color w:val="auto"/>
          <w:sz w:val="24"/>
          <w:highlight w:val="none"/>
          <w:lang w:val="en-US" w:eastAsia="zh-CN"/>
        </w:rPr>
        <w:t>3</w:t>
      </w:r>
      <w:r>
        <w:rPr>
          <w:rFonts w:hint="eastAsia"/>
          <w:color w:val="auto"/>
          <w:sz w:val="24"/>
          <w:highlight w:val="none"/>
        </w:rPr>
        <w:t>年度支持萧山经济社会发展情况</w:t>
      </w:r>
    </w:p>
    <w:p w14:paraId="02601A86">
      <w:pPr>
        <w:widowControl/>
        <w:spacing w:line="360" w:lineRule="auto"/>
        <w:jc w:val="left"/>
        <w:rPr>
          <w:rFonts w:hint="eastAsia"/>
          <w:color w:val="auto"/>
          <w:sz w:val="24"/>
          <w:highlight w:val="none"/>
        </w:rPr>
      </w:pPr>
      <w:r>
        <w:rPr>
          <w:color w:val="auto"/>
          <w:sz w:val="24"/>
          <w:highlight w:val="none"/>
        </w:rPr>
        <w:t>（</w:t>
      </w:r>
      <w:r>
        <w:rPr>
          <w:rFonts w:hint="eastAsia"/>
          <w:color w:val="auto"/>
          <w:sz w:val="24"/>
          <w:highlight w:val="none"/>
        </w:rPr>
        <w:t>17</w:t>
      </w:r>
      <w:r>
        <w:rPr>
          <w:color w:val="auto"/>
          <w:sz w:val="24"/>
          <w:highlight w:val="none"/>
        </w:rPr>
        <w:t>）</w:t>
      </w:r>
      <w:r>
        <w:rPr>
          <w:rFonts w:hint="eastAsia"/>
          <w:color w:val="auto"/>
          <w:sz w:val="24"/>
          <w:highlight w:val="none"/>
          <w:lang w:eastAsia="zh-CN"/>
        </w:rPr>
        <w:t>202</w:t>
      </w:r>
      <w:r>
        <w:rPr>
          <w:rFonts w:hint="eastAsia"/>
          <w:color w:val="auto"/>
          <w:sz w:val="24"/>
          <w:highlight w:val="none"/>
          <w:lang w:val="en-US" w:eastAsia="zh-CN"/>
        </w:rPr>
        <w:t>3</w:t>
      </w:r>
      <w:r>
        <w:rPr>
          <w:rFonts w:hint="eastAsia"/>
          <w:color w:val="auto"/>
          <w:sz w:val="24"/>
          <w:highlight w:val="none"/>
        </w:rPr>
        <w:t>年度在萧存贷比规模</w:t>
      </w:r>
    </w:p>
    <w:p w14:paraId="57782EB3">
      <w:pPr>
        <w:widowControl/>
        <w:spacing w:line="360" w:lineRule="auto"/>
        <w:jc w:val="left"/>
        <w:rPr>
          <w:rFonts w:hint="eastAsia"/>
          <w:color w:val="auto"/>
          <w:highlight w:val="none"/>
        </w:rPr>
      </w:pPr>
      <w:r>
        <w:rPr>
          <w:color w:val="auto"/>
          <w:sz w:val="24"/>
          <w:highlight w:val="none"/>
        </w:rPr>
        <w:t>（</w:t>
      </w:r>
      <w:r>
        <w:rPr>
          <w:rFonts w:hint="eastAsia"/>
          <w:color w:val="auto"/>
          <w:sz w:val="24"/>
          <w:highlight w:val="none"/>
        </w:rPr>
        <w:t>18</w:t>
      </w:r>
      <w:r>
        <w:rPr>
          <w:color w:val="auto"/>
          <w:sz w:val="24"/>
          <w:highlight w:val="none"/>
        </w:rPr>
        <w:t>）</w:t>
      </w:r>
      <w:r>
        <w:rPr>
          <w:rFonts w:hint="eastAsia"/>
          <w:color w:val="auto"/>
          <w:sz w:val="24"/>
          <w:highlight w:val="none"/>
          <w:lang w:eastAsia="zh-CN"/>
        </w:rPr>
        <w:t>202</w:t>
      </w:r>
      <w:r>
        <w:rPr>
          <w:rFonts w:hint="eastAsia"/>
          <w:color w:val="auto"/>
          <w:sz w:val="24"/>
          <w:highlight w:val="none"/>
          <w:lang w:val="en-US" w:eastAsia="zh-CN"/>
        </w:rPr>
        <w:t>3</w:t>
      </w:r>
      <w:r>
        <w:rPr>
          <w:rFonts w:hint="eastAsia"/>
          <w:color w:val="auto"/>
          <w:sz w:val="24"/>
          <w:highlight w:val="none"/>
        </w:rPr>
        <w:t>年度对萧山区公益事业资助情况</w:t>
      </w:r>
    </w:p>
    <w:p w14:paraId="17786A7A">
      <w:pPr>
        <w:widowControl/>
        <w:spacing w:line="360" w:lineRule="auto"/>
        <w:jc w:val="left"/>
        <w:rPr>
          <w:rFonts w:hint="eastAsia"/>
          <w:color w:val="auto"/>
          <w:sz w:val="24"/>
          <w:highlight w:val="none"/>
        </w:rPr>
      </w:pPr>
      <w:r>
        <w:rPr>
          <w:color w:val="auto"/>
          <w:sz w:val="24"/>
          <w:highlight w:val="none"/>
        </w:rPr>
        <w:t>（</w:t>
      </w:r>
      <w:r>
        <w:rPr>
          <w:rFonts w:hint="eastAsia"/>
          <w:color w:val="auto"/>
          <w:sz w:val="24"/>
          <w:highlight w:val="none"/>
        </w:rPr>
        <w:t>19</w:t>
      </w:r>
      <w:r>
        <w:rPr>
          <w:color w:val="auto"/>
          <w:sz w:val="24"/>
          <w:highlight w:val="none"/>
        </w:rPr>
        <w:t>）</w:t>
      </w:r>
      <w:r>
        <w:rPr>
          <w:rFonts w:hint="eastAsia"/>
          <w:color w:val="auto"/>
          <w:sz w:val="24"/>
          <w:highlight w:val="none"/>
        </w:rPr>
        <w:t>针对招标文件第三章的承诺</w:t>
      </w:r>
    </w:p>
    <w:p w14:paraId="0225CAA7">
      <w:pPr>
        <w:spacing w:line="360" w:lineRule="auto"/>
        <w:ind w:left="1200" w:hanging="1200" w:hangingChars="500"/>
        <w:rPr>
          <w:rFonts w:hint="eastAsia"/>
          <w:color w:val="auto"/>
          <w:sz w:val="24"/>
          <w:highlight w:val="none"/>
        </w:rPr>
      </w:pPr>
      <w:r>
        <w:rPr>
          <w:color w:val="auto"/>
          <w:sz w:val="24"/>
          <w:highlight w:val="none"/>
        </w:rPr>
        <w:t>（</w:t>
      </w:r>
      <w:r>
        <w:rPr>
          <w:rFonts w:hint="eastAsia"/>
          <w:color w:val="auto"/>
          <w:sz w:val="24"/>
          <w:highlight w:val="none"/>
        </w:rPr>
        <w:t>20</w:t>
      </w:r>
      <w:r>
        <w:rPr>
          <w:color w:val="auto"/>
          <w:sz w:val="24"/>
          <w:highlight w:val="none"/>
        </w:rPr>
        <w:t>）营业执照、金融业务许可证、组织机构代码证、税务登记证复印件</w:t>
      </w:r>
      <w:r>
        <w:rPr>
          <w:rFonts w:hint="eastAsia"/>
          <w:color w:val="auto"/>
          <w:sz w:val="24"/>
          <w:highlight w:val="none"/>
        </w:rPr>
        <w:t>等</w:t>
      </w:r>
    </w:p>
    <w:p w14:paraId="25ABE608">
      <w:pPr>
        <w:widowControl/>
        <w:spacing w:line="360" w:lineRule="auto"/>
        <w:jc w:val="left"/>
        <w:rPr>
          <w:color w:val="auto"/>
          <w:sz w:val="24"/>
          <w:highlight w:val="none"/>
        </w:rPr>
      </w:pPr>
      <w:r>
        <w:rPr>
          <w:color w:val="auto"/>
          <w:sz w:val="24"/>
          <w:highlight w:val="none"/>
        </w:rPr>
        <w:t>（</w:t>
      </w:r>
      <w:r>
        <w:rPr>
          <w:rFonts w:hint="eastAsia"/>
          <w:color w:val="auto"/>
          <w:sz w:val="24"/>
          <w:highlight w:val="none"/>
        </w:rPr>
        <w:t>21</w:t>
      </w:r>
      <w:r>
        <w:rPr>
          <w:color w:val="auto"/>
          <w:sz w:val="24"/>
          <w:highlight w:val="none"/>
        </w:rPr>
        <w:t>）投标人认为其他必要的资料</w:t>
      </w:r>
    </w:p>
    <w:p w14:paraId="2F3BF86E">
      <w:pPr>
        <w:widowControl/>
        <w:spacing w:line="360" w:lineRule="auto"/>
        <w:jc w:val="left"/>
        <w:rPr>
          <w:color w:val="auto"/>
          <w:sz w:val="24"/>
          <w:highlight w:val="none"/>
        </w:rPr>
      </w:pPr>
    </w:p>
    <w:p w14:paraId="5F58995A">
      <w:pPr>
        <w:widowControl/>
        <w:spacing w:line="360" w:lineRule="auto"/>
        <w:jc w:val="left"/>
        <w:rPr>
          <w:color w:val="auto"/>
          <w:sz w:val="24"/>
          <w:highlight w:val="none"/>
        </w:rPr>
      </w:pPr>
      <w:r>
        <w:rPr>
          <w:color w:val="auto"/>
          <w:sz w:val="24"/>
          <w:highlight w:val="none"/>
        </w:rPr>
        <w:t xml:space="preserve">   </w:t>
      </w:r>
      <w:r>
        <w:rPr>
          <w:b/>
          <w:color w:val="auto"/>
          <w:sz w:val="24"/>
          <w:highlight w:val="none"/>
        </w:rPr>
        <w:t xml:space="preserve"> 以上附件如为复印件应加盖公章</w:t>
      </w:r>
      <w:r>
        <w:rPr>
          <w:color w:val="auto"/>
          <w:sz w:val="24"/>
          <w:highlight w:val="none"/>
        </w:rPr>
        <w:t>。</w:t>
      </w:r>
    </w:p>
    <w:p w14:paraId="1EF1A8A2">
      <w:pPr>
        <w:snapToGrid w:val="0"/>
        <w:spacing w:line="360" w:lineRule="auto"/>
        <w:ind w:firstLine="472" w:firstLineChars="196"/>
        <w:jc w:val="left"/>
        <w:outlineLvl w:val="0"/>
        <w:rPr>
          <w:b/>
          <w:color w:val="auto"/>
          <w:sz w:val="24"/>
          <w:szCs w:val="20"/>
          <w:highlight w:val="none"/>
        </w:rPr>
      </w:pPr>
      <w:r>
        <w:rPr>
          <w:b/>
          <w:color w:val="auto"/>
          <w:sz w:val="24"/>
          <w:highlight w:val="none"/>
        </w:rPr>
        <w:t>（二）投标文件的语言及计量</w:t>
      </w:r>
    </w:p>
    <w:p w14:paraId="4DFC72F2">
      <w:pPr>
        <w:snapToGrid w:val="0"/>
        <w:spacing w:line="360" w:lineRule="auto"/>
        <w:ind w:firstLine="480" w:firstLineChars="200"/>
        <w:jc w:val="left"/>
        <w:rPr>
          <w:color w:val="auto"/>
          <w:sz w:val="24"/>
          <w:szCs w:val="20"/>
          <w:highlight w:val="none"/>
        </w:rPr>
      </w:pPr>
      <w:r>
        <w:rPr>
          <w:color w:val="auto"/>
          <w:sz w:val="24"/>
          <w:highlight w:val="none"/>
        </w:rPr>
        <w:t>▲1投标文件以及投标人与招标人就有关投标事宜的所有来往函电，均应以中文汉语书写。除签名、盖章、专用名称等特殊情形外，以中文汉语以外的文字表述的投标文件视同未提供。</w:t>
      </w:r>
    </w:p>
    <w:p w14:paraId="47E9E29C">
      <w:pPr>
        <w:snapToGrid w:val="0"/>
        <w:spacing w:line="360" w:lineRule="auto"/>
        <w:ind w:firstLine="480" w:firstLineChars="200"/>
        <w:jc w:val="left"/>
        <w:rPr>
          <w:color w:val="auto"/>
          <w:sz w:val="24"/>
          <w:szCs w:val="20"/>
          <w:highlight w:val="none"/>
        </w:rPr>
      </w:pPr>
      <w:r>
        <w:rPr>
          <w:color w:val="auto"/>
          <w:sz w:val="24"/>
          <w:highlight w:val="none"/>
        </w:rPr>
        <w:t>▲2投标计量单位，招标文件已有明确规定的，使用招标文件规定的计量单位；招标文件没有规定的，应采用中华人民共和国法定计量单位（货币单位：人民币元），否则视同未响应。</w:t>
      </w:r>
    </w:p>
    <w:p w14:paraId="70754F81">
      <w:pPr>
        <w:snapToGrid w:val="0"/>
        <w:spacing w:line="360" w:lineRule="auto"/>
        <w:ind w:firstLine="472" w:firstLineChars="196"/>
        <w:jc w:val="left"/>
        <w:outlineLvl w:val="0"/>
        <w:rPr>
          <w:b/>
          <w:color w:val="auto"/>
          <w:sz w:val="24"/>
          <w:highlight w:val="none"/>
        </w:rPr>
      </w:pPr>
      <w:r>
        <w:rPr>
          <w:b/>
          <w:color w:val="auto"/>
          <w:sz w:val="24"/>
          <w:highlight w:val="none"/>
        </w:rPr>
        <w:t>（三）投标报价</w:t>
      </w:r>
    </w:p>
    <w:p w14:paraId="7EF248BB">
      <w:pPr>
        <w:snapToGrid w:val="0"/>
        <w:spacing w:line="360" w:lineRule="auto"/>
        <w:ind w:firstLine="472" w:firstLineChars="196"/>
        <w:jc w:val="left"/>
        <w:outlineLvl w:val="0"/>
        <w:rPr>
          <w:b/>
          <w:color w:val="auto"/>
          <w:sz w:val="24"/>
          <w:szCs w:val="20"/>
          <w:highlight w:val="none"/>
        </w:rPr>
      </w:pPr>
      <w:r>
        <w:rPr>
          <w:b/>
          <w:color w:val="auto"/>
          <w:sz w:val="24"/>
          <w:szCs w:val="20"/>
          <w:highlight w:val="none"/>
        </w:rPr>
        <w:t>1.投标报价应按招标文件中相关附表格式填写。</w:t>
      </w:r>
    </w:p>
    <w:p w14:paraId="09D958A8">
      <w:pPr>
        <w:snapToGrid w:val="0"/>
        <w:spacing w:line="360" w:lineRule="auto"/>
        <w:ind w:firstLine="472" w:firstLineChars="196"/>
        <w:jc w:val="left"/>
        <w:outlineLvl w:val="0"/>
        <w:rPr>
          <w:b/>
          <w:color w:val="auto"/>
          <w:sz w:val="24"/>
          <w:szCs w:val="20"/>
          <w:highlight w:val="none"/>
        </w:rPr>
      </w:pPr>
      <w:r>
        <w:rPr>
          <w:b/>
          <w:color w:val="auto"/>
          <w:sz w:val="24"/>
          <w:szCs w:val="20"/>
          <w:highlight w:val="none"/>
        </w:rPr>
        <w:t>▲2.投标报价是履行合同的最终价格，应包括</w:t>
      </w:r>
      <w:r>
        <w:rPr>
          <w:b/>
          <w:color w:val="auto"/>
          <w:sz w:val="24"/>
          <w:highlight w:val="none"/>
        </w:rPr>
        <w:t>中标收益率及相关的银行业务手续费</w:t>
      </w:r>
      <w:r>
        <w:rPr>
          <w:b/>
          <w:color w:val="auto"/>
          <w:sz w:val="24"/>
          <w:szCs w:val="20"/>
          <w:highlight w:val="none"/>
        </w:rPr>
        <w:t>等一切税金和费用，存款利率报价应在人民银行规定的基准存款利率基础上上浮</w:t>
      </w:r>
      <w:r>
        <w:rPr>
          <w:rFonts w:hint="eastAsia"/>
          <w:b/>
          <w:color w:val="auto"/>
          <w:sz w:val="24"/>
          <w:szCs w:val="20"/>
          <w:highlight w:val="none"/>
          <w:lang w:eastAsia="zh-CN"/>
        </w:rPr>
        <w:t>或者下浮</w:t>
      </w:r>
      <w:r>
        <w:rPr>
          <w:b/>
          <w:color w:val="auto"/>
          <w:sz w:val="24"/>
          <w:szCs w:val="20"/>
          <w:highlight w:val="none"/>
        </w:rPr>
        <w:t>，但不得违反国家利率政策，否则将视为无效标。</w:t>
      </w:r>
    </w:p>
    <w:p w14:paraId="77145252">
      <w:pPr>
        <w:snapToGrid w:val="0"/>
        <w:spacing w:line="360" w:lineRule="auto"/>
        <w:ind w:firstLine="472" w:firstLineChars="196"/>
        <w:jc w:val="left"/>
        <w:outlineLvl w:val="0"/>
        <w:rPr>
          <w:b/>
          <w:color w:val="auto"/>
          <w:sz w:val="24"/>
          <w:szCs w:val="20"/>
          <w:highlight w:val="none"/>
        </w:rPr>
      </w:pPr>
      <w:r>
        <w:rPr>
          <w:b/>
          <w:color w:val="auto"/>
          <w:sz w:val="24"/>
          <w:szCs w:val="20"/>
          <w:highlight w:val="none"/>
        </w:rPr>
        <w:t>▲3.投标文件只允许有一个报价，有选择的或有条件的报价将不予接受。</w:t>
      </w:r>
    </w:p>
    <w:p w14:paraId="61449236">
      <w:pPr>
        <w:pStyle w:val="5"/>
        <w:widowControl w:val="0"/>
        <w:tabs>
          <w:tab w:val="clear" w:pos="454"/>
        </w:tabs>
        <w:snapToGrid w:val="0"/>
        <w:spacing w:after="0" w:afterLines="0" w:line="360" w:lineRule="auto"/>
        <w:ind w:left="0" w:firstLine="472" w:firstLineChars="196"/>
        <w:rPr>
          <w:b/>
          <w:color w:val="auto"/>
          <w:szCs w:val="24"/>
          <w:highlight w:val="none"/>
        </w:rPr>
      </w:pPr>
      <w:r>
        <w:rPr>
          <w:b/>
          <w:color w:val="auto"/>
          <w:szCs w:val="24"/>
          <w:highlight w:val="none"/>
        </w:rPr>
        <w:t>（四）投标文件的有效期</w:t>
      </w:r>
    </w:p>
    <w:p w14:paraId="575D1205">
      <w:pPr>
        <w:pStyle w:val="5"/>
        <w:widowControl w:val="0"/>
        <w:tabs>
          <w:tab w:val="clear" w:pos="454"/>
        </w:tabs>
        <w:snapToGrid w:val="0"/>
        <w:spacing w:after="0" w:afterLines="0" w:line="360" w:lineRule="auto"/>
        <w:ind w:left="0" w:firstLine="480" w:firstLineChars="200"/>
        <w:rPr>
          <w:color w:val="auto"/>
          <w:szCs w:val="24"/>
          <w:highlight w:val="none"/>
        </w:rPr>
      </w:pPr>
      <w:r>
        <w:rPr>
          <w:color w:val="auto"/>
          <w:szCs w:val="24"/>
          <w:highlight w:val="none"/>
        </w:rPr>
        <w:t>▲1.自投标截止日起</w:t>
      </w:r>
      <w:r>
        <w:rPr>
          <w:color w:val="auto"/>
          <w:szCs w:val="24"/>
          <w:highlight w:val="none"/>
          <w:u w:val="single"/>
        </w:rPr>
        <w:t>60</w:t>
      </w:r>
      <w:r>
        <w:rPr>
          <w:color w:val="auto"/>
          <w:szCs w:val="24"/>
          <w:highlight w:val="none"/>
        </w:rPr>
        <w:t>日历天投标文件应保持有效。有效期不足的投标文件将被拒绝。</w:t>
      </w:r>
    </w:p>
    <w:p w14:paraId="5265E4AE">
      <w:pPr>
        <w:pStyle w:val="5"/>
        <w:widowControl w:val="0"/>
        <w:tabs>
          <w:tab w:val="clear" w:pos="454"/>
        </w:tabs>
        <w:snapToGrid w:val="0"/>
        <w:spacing w:after="0" w:afterLines="0" w:line="360" w:lineRule="auto"/>
        <w:ind w:left="0" w:firstLine="480" w:firstLineChars="200"/>
        <w:rPr>
          <w:color w:val="auto"/>
          <w:szCs w:val="24"/>
          <w:highlight w:val="none"/>
        </w:rPr>
      </w:pPr>
      <w:r>
        <w:rPr>
          <w:color w:val="auto"/>
          <w:szCs w:val="24"/>
          <w:highlight w:val="none"/>
        </w:rPr>
        <w:t>2.在特殊情况下，招标人可与投标人协商延长投标书的有效期，这种要求和答复均以书面形式进行。</w:t>
      </w:r>
    </w:p>
    <w:p w14:paraId="43FE43DD">
      <w:pPr>
        <w:snapToGrid w:val="0"/>
        <w:spacing w:line="360" w:lineRule="auto"/>
        <w:ind w:firstLine="480" w:firstLineChars="200"/>
        <w:jc w:val="left"/>
        <w:outlineLvl w:val="0"/>
        <w:rPr>
          <w:b/>
          <w:color w:val="auto"/>
          <w:sz w:val="24"/>
          <w:szCs w:val="20"/>
          <w:highlight w:val="none"/>
        </w:rPr>
      </w:pPr>
      <w:r>
        <w:rPr>
          <w:color w:val="auto"/>
          <w:sz w:val="24"/>
          <w:highlight w:val="none"/>
        </w:rPr>
        <w:t>3.投标人可拒绝接受延期要求。同意延长有效期的投标人不能修改投标文件。</w:t>
      </w:r>
    </w:p>
    <w:p w14:paraId="76C7060D">
      <w:pPr>
        <w:snapToGrid w:val="0"/>
        <w:spacing w:line="360" w:lineRule="auto"/>
        <w:ind w:firstLine="480" w:firstLineChars="200"/>
        <w:jc w:val="left"/>
        <w:outlineLvl w:val="0"/>
        <w:rPr>
          <w:b/>
          <w:color w:val="auto"/>
          <w:sz w:val="24"/>
          <w:highlight w:val="none"/>
        </w:rPr>
      </w:pPr>
      <w:r>
        <w:rPr>
          <w:color w:val="auto"/>
          <w:sz w:val="24"/>
          <w:highlight w:val="none"/>
        </w:rPr>
        <w:t>4.中标人的投标文件自开标之日起至合同履行完毕止均应保持有效。</w:t>
      </w:r>
    </w:p>
    <w:p w14:paraId="77ED77C9">
      <w:pPr>
        <w:snapToGrid w:val="0"/>
        <w:spacing w:line="360" w:lineRule="auto"/>
        <w:ind w:firstLine="472" w:firstLineChars="196"/>
        <w:jc w:val="left"/>
        <w:outlineLvl w:val="0"/>
        <w:rPr>
          <w:rFonts w:hint="eastAsia" w:eastAsia="宋体"/>
          <w:b/>
          <w:color w:val="auto"/>
          <w:sz w:val="24"/>
          <w:szCs w:val="20"/>
          <w:highlight w:val="none"/>
          <w:lang w:eastAsia="zh-CN"/>
        </w:rPr>
      </w:pPr>
      <w:r>
        <w:rPr>
          <w:b/>
          <w:color w:val="auto"/>
          <w:sz w:val="24"/>
          <w:highlight w:val="none"/>
        </w:rPr>
        <w:t>（五）投标保证金</w:t>
      </w:r>
      <w:r>
        <w:rPr>
          <w:rFonts w:hint="eastAsia"/>
          <w:b/>
          <w:color w:val="auto"/>
          <w:sz w:val="24"/>
          <w:highlight w:val="none"/>
          <w:lang w:eastAsia="zh-CN"/>
        </w:rPr>
        <w:t>（</w:t>
      </w:r>
      <w:r>
        <w:rPr>
          <w:rFonts w:hint="eastAsia"/>
          <w:b/>
          <w:color w:val="auto"/>
          <w:sz w:val="24"/>
          <w:highlight w:val="none"/>
          <w:lang w:val="en-US" w:eastAsia="zh-CN"/>
        </w:rPr>
        <w:t>本项目不设置投标保证金</w:t>
      </w:r>
      <w:r>
        <w:rPr>
          <w:rFonts w:hint="eastAsia"/>
          <w:b/>
          <w:color w:val="auto"/>
          <w:sz w:val="24"/>
          <w:highlight w:val="none"/>
          <w:lang w:eastAsia="zh-CN"/>
        </w:rPr>
        <w:t>）</w:t>
      </w:r>
    </w:p>
    <w:p w14:paraId="6CB76250">
      <w:pPr>
        <w:snapToGrid w:val="0"/>
        <w:spacing w:line="360" w:lineRule="auto"/>
        <w:ind w:firstLine="480" w:firstLineChars="200"/>
        <w:jc w:val="left"/>
        <w:rPr>
          <w:color w:val="auto"/>
          <w:sz w:val="24"/>
          <w:szCs w:val="20"/>
          <w:highlight w:val="none"/>
        </w:rPr>
      </w:pPr>
      <w:r>
        <w:rPr>
          <w:color w:val="auto"/>
          <w:sz w:val="24"/>
          <w:highlight w:val="none"/>
        </w:rPr>
        <w:t>1.投标人须按规定提交投标保证金。否则，其投标将被拒绝。</w:t>
      </w:r>
    </w:p>
    <w:p w14:paraId="1294736E">
      <w:pPr>
        <w:pStyle w:val="28"/>
        <w:shd w:val="clear" w:color="auto" w:fill="FBFDFE"/>
        <w:spacing w:before="0" w:beforeAutospacing="0" w:after="0" w:afterAutospacing="0"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2.投标保证金形式：电汇、网银等方式，不支持现金缴纳。</w:t>
      </w:r>
    </w:p>
    <w:p w14:paraId="341234ED">
      <w:pPr>
        <w:snapToGrid w:val="0"/>
        <w:spacing w:line="360" w:lineRule="auto"/>
        <w:ind w:firstLine="480" w:firstLineChars="200"/>
        <w:jc w:val="left"/>
        <w:rPr>
          <w:color w:val="auto"/>
          <w:sz w:val="24"/>
          <w:szCs w:val="20"/>
          <w:highlight w:val="none"/>
        </w:rPr>
      </w:pPr>
      <w:r>
        <w:rPr>
          <w:color w:val="auto"/>
          <w:sz w:val="24"/>
          <w:highlight w:val="none"/>
        </w:rPr>
        <w:t>3.未中标人的投标保证金在中标通知书发出后五个工作日内退还。</w:t>
      </w:r>
    </w:p>
    <w:p w14:paraId="55EB7EDF">
      <w:pPr>
        <w:snapToGrid w:val="0"/>
        <w:spacing w:line="360" w:lineRule="auto"/>
        <w:ind w:firstLine="480" w:firstLineChars="200"/>
        <w:jc w:val="left"/>
        <w:rPr>
          <w:color w:val="auto"/>
          <w:sz w:val="24"/>
          <w:szCs w:val="20"/>
          <w:highlight w:val="none"/>
        </w:rPr>
      </w:pPr>
      <w:r>
        <w:rPr>
          <w:color w:val="auto"/>
          <w:sz w:val="24"/>
          <w:highlight w:val="none"/>
        </w:rPr>
        <w:t>4.中标人应在中标通知书发出后</w:t>
      </w:r>
      <w:r>
        <w:rPr>
          <w:color w:val="auto"/>
          <w:sz w:val="24"/>
          <w:highlight w:val="none"/>
          <w:u w:val="single"/>
        </w:rPr>
        <w:t>30</w:t>
      </w:r>
      <w:r>
        <w:rPr>
          <w:color w:val="auto"/>
          <w:sz w:val="24"/>
          <w:highlight w:val="none"/>
        </w:rPr>
        <w:t>日内与招标人签订合同。</w:t>
      </w:r>
    </w:p>
    <w:p w14:paraId="65D9E8FA">
      <w:pPr>
        <w:snapToGrid w:val="0"/>
        <w:spacing w:line="360" w:lineRule="auto"/>
        <w:ind w:firstLine="472" w:firstLineChars="196"/>
        <w:jc w:val="left"/>
        <w:rPr>
          <w:b/>
          <w:bCs/>
          <w:color w:val="auto"/>
          <w:sz w:val="24"/>
          <w:szCs w:val="20"/>
          <w:highlight w:val="none"/>
        </w:rPr>
      </w:pPr>
      <w:r>
        <w:rPr>
          <w:rFonts w:hint="eastAsia"/>
          <w:b/>
          <w:bCs/>
          <w:color w:val="auto"/>
          <w:sz w:val="24"/>
          <w:highlight w:val="none"/>
        </w:rPr>
        <w:t>5</w:t>
      </w:r>
      <w:r>
        <w:rPr>
          <w:b/>
          <w:bCs/>
          <w:color w:val="auto"/>
          <w:sz w:val="24"/>
          <w:highlight w:val="none"/>
        </w:rPr>
        <w:t>.投标人有下列情形之一的，投标保证金将不予退还</w:t>
      </w:r>
      <w:r>
        <w:rPr>
          <w:rFonts w:hint="eastAsia"/>
          <w:b/>
          <w:color w:val="auto"/>
          <w:sz w:val="24"/>
          <w:highlight w:val="none"/>
          <w:lang w:eastAsia="zh-CN"/>
        </w:rPr>
        <w:t>（</w:t>
      </w:r>
      <w:r>
        <w:rPr>
          <w:rFonts w:hint="eastAsia"/>
          <w:b/>
          <w:color w:val="auto"/>
          <w:sz w:val="24"/>
          <w:highlight w:val="none"/>
          <w:lang w:val="en-US" w:eastAsia="zh-CN"/>
        </w:rPr>
        <w:t>本项目不设置投标保证金</w:t>
      </w:r>
      <w:r>
        <w:rPr>
          <w:rFonts w:hint="eastAsia"/>
          <w:b/>
          <w:color w:val="auto"/>
          <w:sz w:val="24"/>
          <w:highlight w:val="none"/>
          <w:lang w:eastAsia="zh-CN"/>
        </w:rPr>
        <w:t>）</w:t>
      </w:r>
      <w:r>
        <w:rPr>
          <w:b/>
          <w:bCs/>
          <w:color w:val="auto"/>
          <w:sz w:val="24"/>
          <w:highlight w:val="none"/>
        </w:rPr>
        <w:t>：</w:t>
      </w:r>
    </w:p>
    <w:p w14:paraId="49F367DA">
      <w:pPr>
        <w:snapToGrid w:val="0"/>
        <w:spacing w:line="360" w:lineRule="auto"/>
        <w:ind w:firstLine="470" w:firstLineChars="196"/>
        <w:jc w:val="left"/>
        <w:rPr>
          <w:color w:val="auto"/>
          <w:sz w:val="24"/>
          <w:szCs w:val="20"/>
          <w:highlight w:val="none"/>
        </w:rPr>
      </w:pPr>
      <w:r>
        <w:rPr>
          <w:color w:val="auto"/>
          <w:sz w:val="24"/>
          <w:highlight w:val="none"/>
        </w:rPr>
        <w:t>（1）投标人在投标有效期内撤回投标文件的；</w:t>
      </w:r>
    </w:p>
    <w:p w14:paraId="44A4032B">
      <w:pPr>
        <w:snapToGrid w:val="0"/>
        <w:spacing w:line="360" w:lineRule="auto"/>
        <w:ind w:firstLine="470" w:firstLineChars="196"/>
        <w:jc w:val="left"/>
        <w:rPr>
          <w:color w:val="auto"/>
          <w:sz w:val="24"/>
          <w:highlight w:val="none"/>
        </w:rPr>
      </w:pPr>
      <w:r>
        <w:rPr>
          <w:color w:val="auto"/>
          <w:sz w:val="24"/>
          <w:highlight w:val="none"/>
        </w:rPr>
        <w:t>（2）未按规定提交履约保证金的；</w:t>
      </w:r>
    </w:p>
    <w:p w14:paraId="3759ADA5">
      <w:pPr>
        <w:snapToGrid w:val="0"/>
        <w:spacing w:line="360" w:lineRule="auto"/>
        <w:ind w:firstLine="470" w:firstLineChars="196"/>
        <w:jc w:val="left"/>
        <w:rPr>
          <w:color w:val="auto"/>
          <w:sz w:val="24"/>
          <w:highlight w:val="none"/>
        </w:rPr>
      </w:pPr>
      <w:r>
        <w:rPr>
          <w:color w:val="auto"/>
          <w:sz w:val="24"/>
          <w:highlight w:val="none"/>
        </w:rPr>
        <w:t>（3）投标人在投标过程中弄虚作假，提供虚假材料的；</w:t>
      </w:r>
    </w:p>
    <w:p w14:paraId="79912FA5">
      <w:pPr>
        <w:snapToGrid w:val="0"/>
        <w:spacing w:line="360" w:lineRule="auto"/>
        <w:ind w:firstLine="470" w:firstLineChars="196"/>
        <w:rPr>
          <w:color w:val="auto"/>
          <w:sz w:val="24"/>
          <w:szCs w:val="20"/>
          <w:highlight w:val="none"/>
        </w:rPr>
      </w:pPr>
      <w:r>
        <w:rPr>
          <w:color w:val="auto"/>
          <w:sz w:val="24"/>
          <w:highlight w:val="none"/>
        </w:rPr>
        <w:t>（4）中标人无正当理由不与招标人签订合同的；</w:t>
      </w:r>
    </w:p>
    <w:p w14:paraId="5870D615">
      <w:pPr>
        <w:snapToGrid w:val="0"/>
        <w:spacing w:line="360" w:lineRule="auto"/>
        <w:ind w:firstLine="470" w:firstLineChars="196"/>
        <w:rPr>
          <w:color w:val="auto"/>
          <w:sz w:val="24"/>
          <w:highlight w:val="none"/>
        </w:rPr>
      </w:pPr>
      <w:r>
        <w:rPr>
          <w:color w:val="auto"/>
          <w:sz w:val="24"/>
          <w:highlight w:val="none"/>
        </w:rPr>
        <w:t>（5）</w:t>
      </w:r>
      <w:r>
        <w:rPr>
          <w:bCs/>
          <w:color w:val="auto"/>
          <w:sz w:val="24"/>
          <w:highlight w:val="none"/>
        </w:rPr>
        <w:t>将中标项目转让给他人或者在投标文件中未说明且未经招标单位同意，将中标项目分包给他人的；</w:t>
      </w:r>
    </w:p>
    <w:p w14:paraId="05293FF3">
      <w:pPr>
        <w:snapToGrid w:val="0"/>
        <w:spacing w:line="360" w:lineRule="auto"/>
        <w:ind w:firstLine="480" w:firstLineChars="200"/>
        <w:rPr>
          <w:color w:val="auto"/>
          <w:sz w:val="24"/>
          <w:highlight w:val="none"/>
        </w:rPr>
      </w:pPr>
      <w:r>
        <w:rPr>
          <w:color w:val="auto"/>
          <w:sz w:val="24"/>
          <w:highlight w:val="none"/>
        </w:rPr>
        <w:t>（6）拒绝履行合同义务的；</w:t>
      </w:r>
    </w:p>
    <w:p w14:paraId="1C4D4B77">
      <w:pPr>
        <w:snapToGrid w:val="0"/>
        <w:spacing w:line="360" w:lineRule="auto"/>
        <w:ind w:firstLine="480" w:firstLineChars="200"/>
        <w:rPr>
          <w:color w:val="auto"/>
          <w:sz w:val="24"/>
          <w:szCs w:val="20"/>
          <w:highlight w:val="none"/>
        </w:rPr>
      </w:pPr>
      <w:r>
        <w:rPr>
          <w:color w:val="auto"/>
          <w:sz w:val="24"/>
          <w:highlight w:val="none"/>
        </w:rPr>
        <w:t>（7）其他严重扰乱招投标程序的；</w:t>
      </w:r>
    </w:p>
    <w:p w14:paraId="21E97C87">
      <w:pPr>
        <w:spacing w:line="360" w:lineRule="auto"/>
        <w:ind w:firstLine="482" w:firstLineChars="200"/>
        <w:jc w:val="left"/>
        <w:rPr>
          <w:rFonts w:ascii="Calibri" w:hAnsi="Calibri"/>
          <w:b/>
          <w:bCs/>
          <w:color w:val="auto"/>
          <w:spacing w:val="-6"/>
          <w:sz w:val="24"/>
          <w:highlight w:val="none"/>
        </w:rPr>
      </w:pPr>
      <w:r>
        <w:rPr>
          <w:b/>
          <w:color w:val="auto"/>
          <w:sz w:val="24"/>
          <w:highlight w:val="none"/>
        </w:rPr>
        <w:t>（</w:t>
      </w:r>
      <w:r>
        <w:rPr>
          <w:rFonts w:hint="eastAsia"/>
          <w:b/>
          <w:color w:val="auto"/>
          <w:sz w:val="24"/>
          <w:highlight w:val="none"/>
          <w:lang w:eastAsia="zh-CN"/>
        </w:rPr>
        <w:t>六</w:t>
      </w:r>
      <w:r>
        <w:rPr>
          <w:b/>
          <w:color w:val="auto"/>
          <w:sz w:val="24"/>
          <w:highlight w:val="none"/>
        </w:rPr>
        <w:t>）</w:t>
      </w:r>
      <w:r>
        <w:rPr>
          <w:rFonts w:ascii="Calibri" w:hAnsi="Calibri"/>
          <w:b/>
          <w:bCs/>
          <w:color w:val="auto"/>
          <w:spacing w:val="-6"/>
          <w:sz w:val="24"/>
          <w:highlight w:val="none"/>
        </w:rPr>
        <w:t>投标文件的签署和份数</w:t>
      </w:r>
    </w:p>
    <w:p w14:paraId="7E1D0D8D">
      <w:pPr>
        <w:spacing w:line="360" w:lineRule="auto"/>
        <w:ind w:firstLine="639" w:firstLineChars="279"/>
        <w:jc w:val="left"/>
        <w:rPr>
          <w:rFonts w:ascii="Calibri" w:hAnsi="Calibri"/>
          <w:b/>
          <w:bCs/>
          <w:color w:val="auto"/>
          <w:spacing w:val="-6"/>
          <w:sz w:val="24"/>
          <w:highlight w:val="none"/>
        </w:rPr>
      </w:pPr>
      <w:r>
        <w:rPr>
          <w:rFonts w:ascii="Calibri" w:hAnsi="Calibri"/>
          <w:b/>
          <w:bCs/>
          <w:color w:val="auto"/>
          <w:spacing w:val="-6"/>
          <w:sz w:val="24"/>
          <w:highlight w:val="none"/>
        </w:rPr>
        <w:t>1.投标人应按照招标文件和政府采购云平台的要求，根据投标文件的组成规定的内容及顺序通过政采云电子交易客户端（政采云投标客户端）编制加密投标文件，投标文件内容不完整、编排混乱导致投标文件被误读、漏读或者查找不到相关内容的，是投标人的责任。如因投标人原因提前泄露投标报价，是投标人的责任。</w:t>
      </w:r>
    </w:p>
    <w:p w14:paraId="4651B64D">
      <w:pPr>
        <w:spacing w:line="360" w:lineRule="auto"/>
        <w:ind w:firstLine="639" w:firstLineChars="279"/>
        <w:jc w:val="left"/>
        <w:rPr>
          <w:rFonts w:ascii="Calibri" w:hAnsi="Calibri"/>
          <w:b/>
          <w:bCs/>
          <w:color w:val="auto"/>
          <w:spacing w:val="-6"/>
          <w:sz w:val="24"/>
          <w:highlight w:val="none"/>
        </w:rPr>
      </w:pPr>
      <w:r>
        <w:rPr>
          <w:rFonts w:ascii="Calibri" w:hAnsi="Calibri"/>
          <w:b/>
          <w:bCs/>
          <w:color w:val="auto"/>
          <w:spacing w:val="-6"/>
          <w:sz w:val="24"/>
          <w:highlight w:val="none"/>
        </w:rPr>
        <w:t>2.投标文件须由投标人在规定位置加盖公章并由投标人授权代表签署，投标人应写全称。</w:t>
      </w:r>
    </w:p>
    <w:p w14:paraId="37A01D34">
      <w:pPr>
        <w:spacing w:line="360" w:lineRule="auto"/>
        <w:ind w:firstLine="639" w:firstLineChars="279"/>
        <w:jc w:val="left"/>
        <w:rPr>
          <w:rFonts w:ascii="Calibri" w:hAnsi="Calibri"/>
          <w:b/>
          <w:bCs/>
          <w:color w:val="auto"/>
          <w:spacing w:val="-6"/>
          <w:sz w:val="24"/>
          <w:highlight w:val="none"/>
        </w:rPr>
      </w:pPr>
      <w:r>
        <w:rPr>
          <w:rFonts w:ascii="Calibri" w:hAnsi="Calibri"/>
          <w:b/>
          <w:bCs/>
          <w:color w:val="auto"/>
          <w:spacing w:val="-6"/>
          <w:sz w:val="24"/>
          <w:highlight w:val="none"/>
        </w:rPr>
        <w:t>3.投标文件不得涂改，若有修改错漏处，须由投标人授权代表签字并加盖公章。投标文件因表达不清所引起的后果由投标人负责。</w:t>
      </w:r>
    </w:p>
    <w:p w14:paraId="4A1E462E">
      <w:pPr>
        <w:spacing w:line="360" w:lineRule="auto"/>
        <w:ind w:firstLine="639" w:firstLineChars="279"/>
        <w:jc w:val="left"/>
        <w:rPr>
          <w:b/>
          <w:bCs/>
          <w:color w:val="auto"/>
          <w:spacing w:val="-6"/>
          <w:sz w:val="24"/>
          <w:highlight w:val="none"/>
        </w:rPr>
      </w:pPr>
      <w:r>
        <w:rPr>
          <w:b/>
          <w:bCs/>
          <w:color w:val="auto"/>
          <w:spacing w:val="-6"/>
          <w:sz w:val="24"/>
          <w:highlight w:val="none"/>
        </w:rPr>
        <w:t>4.投标文件份数：</w:t>
      </w:r>
    </w:p>
    <w:p w14:paraId="40C72854">
      <w:pPr>
        <w:spacing w:line="360" w:lineRule="auto"/>
        <w:ind w:firstLine="639" w:firstLineChars="279"/>
        <w:jc w:val="left"/>
        <w:rPr>
          <w:b/>
          <w:bCs/>
          <w:color w:val="auto"/>
          <w:spacing w:val="-6"/>
          <w:sz w:val="24"/>
          <w:highlight w:val="none"/>
        </w:rPr>
      </w:pPr>
      <w:r>
        <w:rPr>
          <w:b/>
          <w:bCs/>
          <w:color w:val="auto"/>
          <w:spacing w:val="-6"/>
          <w:sz w:val="24"/>
          <w:highlight w:val="none"/>
        </w:rPr>
        <w:t>电子加密投标文件：投标人在投标截止时间前在政采云系统中提交电子投标文件一份。</w:t>
      </w:r>
    </w:p>
    <w:p w14:paraId="4EEC3414">
      <w:pPr>
        <w:spacing w:line="360" w:lineRule="auto"/>
        <w:ind w:firstLine="672" w:firstLineChars="279"/>
        <w:jc w:val="left"/>
        <w:rPr>
          <w:b/>
          <w:bCs/>
          <w:color w:val="auto"/>
          <w:sz w:val="24"/>
          <w:highlight w:val="none"/>
        </w:rPr>
      </w:pPr>
      <w:r>
        <w:rPr>
          <w:b/>
          <w:bCs/>
          <w:color w:val="auto"/>
          <w:sz w:val="24"/>
          <w:highlight w:val="none"/>
        </w:rPr>
        <w:t>备注：</w:t>
      </w:r>
    </w:p>
    <w:p w14:paraId="55B5540B">
      <w:pPr>
        <w:spacing w:line="360" w:lineRule="auto"/>
        <w:ind w:firstLine="672" w:firstLineChars="279"/>
        <w:jc w:val="left"/>
        <w:rPr>
          <w:b/>
          <w:color w:val="auto"/>
          <w:sz w:val="24"/>
          <w:szCs w:val="20"/>
          <w:highlight w:val="none"/>
        </w:rPr>
      </w:pPr>
      <w:r>
        <w:rPr>
          <w:b/>
          <w:bCs/>
          <w:color w:val="auto"/>
          <w:sz w:val="24"/>
          <w:highlight w:val="none"/>
        </w:rPr>
        <w:t>投标人可通过浙江省“电子交易/不见面开评标”学习专题提前进行专题学习，熟悉操作，避免影响采购活动（</w:t>
      </w:r>
      <w:r>
        <w:rPr>
          <w:color w:val="auto"/>
          <w:highlight w:val="none"/>
        </w:rPr>
        <w:fldChar w:fldCharType="begin"/>
      </w:r>
      <w:r>
        <w:rPr>
          <w:color w:val="auto"/>
          <w:highlight w:val="none"/>
        </w:rPr>
        <w:instrText xml:space="preserve"> HYPERLINK "https://edu.zcygov.cn/luban/e-biding" </w:instrText>
      </w:r>
      <w:r>
        <w:rPr>
          <w:color w:val="auto"/>
          <w:highlight w:val="none"/>
        </w:rPr>
        <w:fldChar w:fldCharType="separate"/>
      </w:r>
      <w:r>
        <w:rPr>
          <w:b/>
          <w:bCs/>
          <w:color w:val="auto"/>
          <w:sz w:val="24"/>
          <w:highlight w:val="none"/>
        </w:rPr>
        <w:t>https://edu.zcygov.cn/luban/e-biding</w:t>
      </w:r>
      <w:r>
        <w:rPr>
          <w:b/>
          <w:bCs/>
          <w:color w:val="auto"/>
          <w:sz w:val="24"/>
          <w:highlight w:val="none"/>
        </w:rPr>
        <w:fldChar w:fldCharType="end"/>
      </w:r>
      <w:r>
        <w:rPr>
          <w:b/>
          <w:bCs/>
          <w:color w:val="auto"/>
          <w:sz w:val="24"/>
          <w:highlight w:val="none"/>
        </w:rPr>
        <w:t>）。</w:t>
      </w:r>
    </w:p>
    <w:p w14:paraId="3A1571F9">
      <w:pPr>
        <w:spacing w:line="360" w:lineRule="auto"/>
        <w:ind w:firstLine="639" w:firstLineChars="279"/>
        <w:jc w:val="left"/>
        <w:rPr>
          <w:rFonts w:ascii="Calibri" w:hAnsi="Calibri"/>
          <w:b/>
          <w:bCs/>
          <w:color w:val="auto"/>
          <w:sz w:val="24"/>
          <w:highlight w:val="none"/>
        </w:rPr>
      </w:pPr>
      <w:r>
        <w:rPr>
          <w:b/>
          <w:color w:val="auto"/>
          <w:spacing w:val="-6"/>
          <w:sz w:val="24"/>
          <w:highlight w:val="none"/>
        </w:rPr>
        <w:t>（</w:t>
      </w:r>
      <w:r>
        <w:rPr>
          <w:rFonts w:hint="eastAsia" w:ascii="Calibri" w:hAnsi="Calibri"/>
          <w:b/>
          <w:bCs/>
          <w:color w:val="auto"/>
          <w:sz w:val="24"/>
          <w:highlight w:val="none"/>
          <w:lang w:eastAsia="zh-CN"/>
        </w:rPr>
        <w:t>七</w:t>
      </w:r>
      <w:r>
        <w:rPr>
          <w:rFonts w:ascii="Calibri" w:hAnsi="Calibri"/>
          <w:b/>
          <w:bCs/>
          <w:color w:val="auto"/>
          <w:sz w:val="24"/>
          <w:highlight w:val="none"/>
        </w:rPr>
        <w:t>）投标文件的上传、递交、修改和撤回</w:t>
      </w:r>
    </w:p>
    <w:p w14:paraId="42A721D1">
      <w:pPr>
        <w:spacing w:line="360" w:lineRule="auto"/>
        <w:ind w:firstLine="672" w:firstLineChars="279"/>
        <w:jc w:val="left"/>
        <w:rPr>
          <w:rFonts w:ascii="Calibri" w:hAnsi="Calibri"/>
          <w:b/>
          <w:bCs/>
          <w:color w:val="auto"/>
          <w:sz w:val="24"/>
          <w:highlight w:val="none"/>
        </w:rPr>
      </w:pPr>
      <w:r>
        <w:rPr>
          <w:rFonts w:ascii="Calibri" w:hAnsi="Calibri"/>
          <w:b/>
          <w:bCs/>
          <w:color w:val="auto"/>
          <w:sz w:val="24"/>
          <w:highlight w:val="none"/>
        </w:rPr>
        <w:t>1.投标文件的上传、递交：</w:t>
      </w:r>
    </w:p>
    <w:p w14:paraId="09ABD826">
      <w:pPr>
        <w:spacing w:line="360" w:lineRule="auto"/>
        <w:ind w:firstLine="672" w:firstLineChars="279"/>
        <w:jc w:val="left"/>
        <w:rPr>
          <w:rFonts w:ascii="Calibri" w:hAnsi="Calibri"/>
          <w:b/>
          <w:bCs/>
          <w:color w:val="auto"/>
          <w:sz w:val="24"/>
          <w:highlight w:val="none"/>
        </w:rPr>
      </w:pPr>
      <w:r>
        <w:rPr>
          <w:rFonts w:ascii="Calibri" w:hAnsi="Calibri"/>
          <w:b/>
          <w:bCs/>
          <w:color w:val="auto"/>
          <w:sz w:val="24"/>
          <w:highlight w:val="none"/>
        </w:rPr>
        <w:t>1）电子加密投标文件的上传：</w:t>
      </w:r>
    </w:p>
    <w:p w14:paraId="7985CDBA">
      <w:pPr>
        <w:spacing w:line="360" w:lineRule="auto"/>
        <w:ind w:firstLine="672" w:firstLineChars="279"/>
        <w:jc w:val="left"/>
        <w:rPr>
          <w:rFonts w:ascii="Calibri" w:hAnsi="Calibri"/>
          <w:b/>
          <w:bCs/>
          <w:color w:val="auto"/>
          <w:sz w:val="24"/>
          <w:highlight w:val="none"/>
        </w:rPr>
      </w:pPr>
      <w:r>
        <w:rPr>
          <w:rFonts w:ascii="Calibri" w:hAnsi="Calibri"/>
          <w:b/>
          <w:bCs/>
          <w:color w:val="auto"/>
          <w:sz w:val="24"/>
          <w:highlight w:val="none"/>
        </w:rPr>
        <w:t>▲a.投标人应在投标截止时间前将电子加密投标文件成功上传至政府采购云平台，否则投标无效；</w:t>
      </w:r>
    </w:p>
    <w:p w14:paraId="0317C5DA">
      <w:pPr>
        <w:spacing w:line="360" w:lineRule="auto"/>
        <w:ind w:firstLine="672" w:firstLineChars="279"/>
        <w:jc w:val="left"/>
        <w:rPr>
          <w:rFonts w:ascii="Calibri" w:hAnsi="Calibri"/>
          <w:b/>
          <w:bCs/>
          <w:color w:val="auto"/>
          <w:sz w:val="24"/>
          <w:highlight w:val="none"/>
        </w:rPr>
      </w:pPr>
      <w:r>
        <w:rPr>
          <w:rFonts w:ascii="Calibri" w:hAnsi="Calibri"/>
          <w:b/>
          <w:bCs/>
          <w:color w:val="auto"/>
          <w:sz w:val="24"/>
          <w:highlight w:val="none"/>
        </w:rPr>
        <w:t>b.电子加密投标文件成功上传后，投标人可自行打印投标文件接收回执。</w:t>
      </w:r>
    </w:p>
    <w:p w14:paraId="102DD69F">
      <w:pPr>
        <w:spacing w:line="360" w:lineRule="auto"/>
        <w:ind w:firstLine="672" w:firstLineChars="279"/>
        <w:jc w:val="left"/>
        <w:rPr>
          <w:rFonts w:ascii="Calibri" w:hAnsi="Calibri"/>
          <w:b/>
          <w:bCs/>
          <w:color w:val="auto"/>
          <w:sz w:val="24"/>
          <w:highlight w:val="none"/>
        </w:rPr>
      </w:pPr>
      <w:r>
        <w:rPr>
          <w:rFonts w:ascii="Calibri" w:hAnsi="Calibri"/>
          <w:b/>
          <w:bCs/>
          <w:color w:val="auto"/>
          <w:sz w:val="24"/>
          <w:highlight w:val="none"/>
        </w:rPr>
        <w:t>2.投标人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上传、递交的投标文件，政府采购云平台及采购代理机构将予以拒收。</w:t>
      </w:r>
    </w:p>
    <w:p w14:paraId="2576B20D">
      <w:pPr>
        <w:spacing w:line="360" w:lineRule="auto"/>
        <w:ind w:firstLine="672" w:firstLineChars="279"/>
        <w:jc w:val="left"/>
        <w:rPr>
          <w:rFonts w:ascii="Calibri" w:hAnsi="Calibri"/>
          <w:b/>
          <w:bCs/>
          <w:color w:val="auto"/>
          <w:sz w:val="24"/>
          <w:highlight w:val="none"/>
        </w:rPr>
      </w:pPr>
      <w:r>
        <w:rPr>
          <w:rFonts w:ascii="Calibri" w:hAnsi="Calibri"/>
          <w:b/>
          <w:bCs/>
          <w:color w:val="auto"/>
          <w:sz w:val="24"/>
          <w:highlight w:val="none"/>
        </w:rPr>
        <w:t>备注：</w:t>
      </w:r>
    </w:p>
    <w:p w14:paraId="06523974">
      <w:pPr>
        <w:spacing w:line="360" w:lineRule="auto"/>
        <w:ind w:firstLine="672" w:firstLineChars="279"/>
        <w:jc w:val="left"/>
        <w:rPr>
          <w:rFonts w:ascii="Calibri" w:hAnsi="Calibri"/>
          <w:b/>
          <w:bCs/>
          <w:color w:val="auto"/>
          <w:sz w:val="24"/>
          <w:highlight w:val="none"/>
        </w:rPr>
      </w:pPr>
      <w:r>
        <w:rPr>
          <w:rFonts w:ascii="Calibri" w:hAnsi="Calibri"/>
          <w:b/>
          <w:bCs/>
          <w:color w:val="auto"/>
          <w:sz w:val="24"/>
          <w:highlight w:val="none"/>
        </w:rPr>
        <w:t>投标人可通过浙江省“电子交易/不见面开评标”学习专题提前进行专题学习，熟悉操作，避免影响采购活动（</w:t>
      </w:r>
      <w:r>
        <w:rPr>
          <w:rFonts w:ascii="Calibri" w:hAnsi="Calibri"/>
          <w:b/>
          <w:bCs/>
          <w:color w:val="auto"/>
          <w:sz w:val="24"/>
          <w:highlight w:val="none"/>
        </w:rPr>
        <w:fldChar w:fldCharType="begin"/>
      </w:r>
      <w:r>
        <w:rPr>
          <w:rFonts w:ascii="Calibri" w:hAnsi="Calibri"/>
          <w:b/>
          <w:bCs/>
          <w:color w:val="auto"/>
          <w:sz w:val="24"/>
          <w:highlight w:val="none"/>
        </w:rPr>
        <w:instrText xml:space="preserve"> HYPERLINK "https://edu.zcygov.cn/luban/e-biding" </w:instrText>
      </w:r>
      <w:r>
        <w:rPr>
          <w:rFonts w:ascii="Calibri" w:hAnsi="Calibri"/>
          <w:b/>
          <w:bCs/>
          <w:color w:val="auto"/>
          <w:sz w:val="24"/>
          <w:highlight w:val="none"/>
        </w:rPr>
        <w:fldChar w:fldCharType="separate"/>
      </w:r>
      <w:r>
        <w:rPr>
          <w:rFonts w:ascii="Calibri" w:hAnsi="Calibri"/>
          <w:b/>
          <w:bCs/>
          <w:color w:val="auto"/>
          <w:sz w:val="24"/>
          <w:highlight w:val="none"/>
        </w:rPr>
        <w:t>https://edu.zcygov.cn/luban/e-biding</w:t>
      </w:r>
      <w:r>
        <w:rPr>
          <w:rFonts w:ascii="Calibri" w:hAnsi="Calibri"/>
          <w:b/>
          <w:bCs/>
          <w:color w:val="auto"/>
          <w:sz w:val="24"/>
          <w:highlight w:val="none"/>
        </w:rPr>
        <w:fldChar w:fldCharType="end"/>
      </w:r>
      <w:r>
        <w:rPr>
          <w:rFonts w:ascii="Calibri" w:hAnsi="Calibri"/>
          <w:b/>
          <w:bCs/>
          <w:color w:val="auto"/>
          <w:sz w:val="24"/>
          <w:highlight w:val="none"/>
        </w:rPr>
        <w:t>）。</w:t>
      </w:r>
    </w:p>
    <w:p w14:paraId="52A583A4">
      <w:pPr>
        <w:snapToGrid w:val="0"/>
        <w:spacing w:line="360" w:lineRule="auto"/>
        <w:ind w:firstLine="472" w:firstLineChars="196"/>
        <w:outlineLvl w:val="2"/>
        <w:rPr>
          <w:b/>
          <w:color w:val="auto"/>
          <w:sz w:val="24"/>
          <w:highlight w:val="none"/>
        </w:rPr>
      </w:pPr>
      <w:r>
        <w:rPr>
          <w:b/>
          <w:color w:val="auto"/>
          <w:sz w:val="24"/>
          <w:highlight w:val="none"/>
        </w:rPr>
        <w:t>（</w:t>
      </w:r>
      <w:r>
        <w:rPr>
          <w:rFonts w:hint="eastAsia"/>
          <w:b/>
          <w:color w:val="auto"/>
          <w:sz w:val="24"/>
          <w:highlight w:val="none"/>
          <w:lang w:eastAsia="zh-CN"/>
        </w:rPr>
        <w:t>八</w:t>
      </w:r>
      <w:r>
        <w:rPr>
          <w:b/>
          <w:color w:val="auto"/>
          <w:sz w:val="24"/>
          <w:highlight w:val="none"/>
        </w:rPr>
        <w:t>）投标无效的情形</w:t>
      </w:r>
    </w:p>
    <w:p w14:paraId="69860D77">
      <w:pPr>
        <w:widowControl/>
        <w:spacing w:line="360" w:lineRule="auto"/>
        <w:ind w:firstLine="480" w:firstLineChars="200"/>
        <w:jc w:val="left"/>
        <w:rPr>
          <w:color w:val="auto"/>
          <w:sz w:val="24"/>
          <w:highlight w:val="none"/>
        </w:rPr>
      </w:pPr>
      <w:r>
        <w:rPr>
          <w:color w:val="auto"/>
          <w:sz w:val="24"/>
          <w:highlight w:val="none"/>
        </w:rPr>
        <w:t>有下列情形之一的，做无效标处理：</w:t>
      </w:r>
    </w:p>
    <w:p w14:paraId="511436AB">
      <w:pPr>
        <w:snapToGrid w:val="0"/>
        <w:spacing w:line="360" w:lineRule="auto"/>
        <w:ind w:firstLine="470" w:firstLineChars="196"/>
        <w:rPr>
          <w:color w:val="auto"/>
          <w:sz w:val="24"/>
          <w:highlight w:val="none"/>
        </w:rPr>
      </w:pPr>
      <w:r>
        <w:rPr>
          <w:color w:val="auto"/>
          <w:sz w:val="24"/>
          <w:highlight w:val="none"/>
        </w:rPr>
        <w:t>1、投标文件未经投标单位盖章和单位负责人签字</w:t>
      </w:r>
    </w:p>
    <w:p w14:paraId="5949A629">
      <w:pPr>
        <w:snapToGrid w:val="0"/>
        <w:spacing w:line="360" w:lineRule="auto"/>
        <w:ind w:firstLine="470" w:firstLineChars="196"/>
        <w:rPr>
          <w:color w:val="auto"/>
          <w:sz w:val="24"/>
          <w:szCs w:val="20"/>
          <w:highlight w:val="none"/>
        </w:rPr>
      </w:pPr>
      <w:r>
        <w:rPr>
          <w:color w:val="auto"/>
          <w:sz w:val="24"/>
          <w:highlight w:val="none"/>
        </w:rPr>
        <w:t>2、投标</w:t>
      </w:r>
      <w:r>
        <w:rPr>
          <w:rFonts w:hint="eastAsia"/>
          <w:color w:val="auto"/>
          <w:sz w:val="24"/>
          <w:highlight w:val="none"/>
          <w:lang w:val="en-US" w:eastAsia="zh-CN"/>
        </w:rPr>
        <w:t>文件中未</w:t>
      </w:r>
      <w:r>
        <w:rPr>
          <w:color w:val="auto"/>
          <w:sz w:val="24"/>
          <w:highlight w:val="none"/>
        </w:rPr>
        <w:t>出具</w:t>
      </w:r>
      <w:r>
        <w:rPr>
          <w:rFonts w:hint="eastAsia"/>
          <w:color w:val="auto"/>
          <w:sz w:val="24"/>
          <w:highlight w:val="none"/>
          <w:lang w:val="en-US" w:eastAsia="zh-CN"/>
        </w:rPr>
        <w:t>有效的授权代表</w:t>
      </w:r>
      <w:r>
        <w:rPr>
          <w:color w:val="auto"/>
          <w:sz w:val="24"/>
          <w:highlight w:val="none"/>
        </w:rPr>
        <w:t>身份证明或与法定代表人（负责人）授权委托人身份不符的；</w:t>
      </w:r>
    </w:p>
    <w:p w14:paraId="589C687C">
      <w:pPr>
        <w:snapToGrid w:val="0"/>
        <w:spacing w:line="360" w:lineRule="auto"/>
        <w:ind w:firstLine="470" w:firstLineChars="196"/>
        <w:rPr>
          <w:bCs/>
          <w:color w:val="auto"/>
          <w:kern w:val="0"/>
          <w:sz w:val="24"/>
          <w:szCs w:val="20"/>
          <w:highlight w:val="none"/>
        </w:rPr>
      </w:pPr>
      <w:r>
        <w:rPr>
          <w:color w:val="auto"/>
          <w:sz w:val="24"/>
          <w:highlight w:val="none"/>
        </w:rPr>
        <w:t>3、</w:t>
      </w:r>
      <w:r>
        <w:rPr>
          <w:snapToGrid w:val="0"/>
          <w:color w:val="auto"/>
          <w:sz w:val="24"/>
          <w:highlight w:val="none"/>
        </w:rPr>
        <w:t>投标文件递交截止时间</w:t>
      </w:r>
      <w:r>
        <w:rPr>
          <w:rFonts w:hint="eastAsia"/>
          <w:snapToGrid w:val="0"/>
          <w:color w:val="auto"/>
          <w:sz w:val="24"/>
          <w:highlight w:val="none"/>
          <w:lang w:val="en-US" w:eastAsia="zh-CN"/>
        </w:rPr>
        <w:t>前未在政采云平台上线上投标</w:t>
      </w:r>
      <w:r>
        <w:rPr>
          <w:snapToGrid w:val="0"/>
          <w:color w:val="auto"/>
          <w:sz w:val="24"/>
          <w:highlight w:val="none"/>
        </w:rPr>
        <w:t>的；</w:t>
      </w:r>
      <w:r>
        <w:rPr>
          <w:bCs/>
          <w:color w:val="auto"/>
          <w:kern w:val="0"/>
          <w:sz w:val="24"/>
          <w:szCs w:val="20"/>
          <w:highlight w:val="none"/>
        </w:rPr>
        <w:t xml:space="preserve"> </w:t>
      </w:r>
    </w:p>
    <w:p w14:paraId="5F0D7839">
      <w:pPr>
        <w:snapToGrid w:val="0"/>
        <w:spacing w:line="360" w:lineRule="auto"/>
        <w:ind w:firstLine="470" w:firstLineChars="196"/>
        <w:rPr>
          <w:color w:val="auto"/>
          <w:sz w:val="24"/>
          <w:highlight w:val="none"/>
        </w:rPr>
      </w:pPr>
      <w:r>
        <w:rPr>
          <w:color w:val="auto"/>
          <w:sz w:val="24"/>
          <w:highlight w:val="none"/>
        </w:rPr>
        <w:t>4、未按规定缴纳投标保证金的</w:t>
      </w:r>
      <w:r>
        <w:rPr>
          <w:rFonts w:hint="eastAsia"/>
          <w:b/>
          <w:color w:val="auto"/>
          <w:sz w:val="24"/>
          <w:highlight w:val="none"/>
          <w:lang w:eastAsia="zh-CN"/>
        </w:rPr>
        <w:t>（</w:t>
      </w:r>
      <w:r>
        <w:rPr>
          <w:rFonts w:hint="eastAsia"/>
          <w:b/>
          <w:color w:val="auto"/>
          <w:sz w:val="24"/>
          <w:highlight w:val="none"/>
          <w:lang w:val="en-US" w:eastAsia="zh-CN"/>
        </w:rPr>
        <w:t>本项目不设置投标保证金</w:t>
      </w:r>
      <w:r>
        <w:rPr>
          <w:rFonts w:hint="eastAsia"/>
          <w:b/>
          <w:color w:val="auto"/>
          <w:sz w:val="24"/>
          <w:highlight w:val="none"/>
          <w:lang w:eastAsia="zh-CN"/>
        </w:rPr>
        <w:t>）</w:t>
      </w:r>
      <w:r>
        <w:rPr>
          <w:color w:val="auto"/>
          <w:sz w:val="24"/>
          <w:highlight w:val="none"/>
        </w:rPr>
        <w:t>；</w:t>
      </w:r>
    </w:p>
    <w:p w14:paraId="09B43CE9">
      <w:pPr>
        <w:snapToGrid w:val="0"/>
        <w:spacing w:line="360" w:lineRule="auto"/>
        <w:ind w:firstLine="470" w:firstLineChars="196"/>
        <w:rPr>
          <w:color w:val="auto"/>
          <w:sz w:val="24"/>
          <w:szCs w:val="20"/>
          <w:highlight w:val="none"/>
        </w:rPr>
      </w:pPr>
      <w:r>
        <w:rPr>
          <w:rFonts w:hint="eastAsia"/>
          <w:color w:val="auto"/>
          <w:sz w:val="24"/>
          <w:highlight w:val="none"/>
          <w:lang w:val="en-US" w:eastAsia="zh-CN"/>
        </w:rPr>
        <w:t>5</w:t>
      </w:r>
      <w:r>
        <w:rPr>
          <w:color w:val="auto"/>
          <w:sz w:val="24"/>
          <w:highlight w:val="none"/>
        </w:rPr>
        <w:t>、投标文件关键内容字迹不清晰或存在歧义；</w:t>
      </w:r>
    </w:p>
    <w:p w14:paraId="35F95C5F">
      <w:pPr>
        <w:pStyle w:val="13"/>
        <w:snapToGrid w:val="0"/>
        <w:spacing w:line="360" w:lineRule="auto"/>
        <w:ind w:firstLine="454" w:firstLineChars="196"/>
        <w:rPr>
          <w:rFonts w:ascii="Times New Roman" w:hAnsi="Times New Roman"/>
          <w:snapToGrid w:val="0"/>
          <w:color w:val="auto"/>
          <w:sz w:val="24"/>
          <w:szCs w:val="24"/>
          <w:highlight w:val="none"/>
        </w:rPr>
      </w:pPr>
      <w:r>
        <w:rPr>
          <w:rFonts w:hint="eastAsia" w:ascii="Times New Roman" w:hAnsi="Times New Roman"/>
          <w:color w:val="auto"/>
          <w:sz w:val="24"/>
          <w:highlight w:val="none"/>
          <w:lang w:val="en-US" w:eastAsia="zh-CN"/>
        </w:rPr>
        <w:t>6</w:t>
      </w:r>
      <w:r>
        <w:rPr>
          <w:rFonts w:ascii="Times New Roman" w:hAnsi="Times New Roman"/>
          <w:color w:val="auto"/>
          <w:sz w:val="24"/>
          <w:highlight w:val="none"/>
        </w:rPr>
        <w:t>、资格证明文件不全的，或者不符合招标文件标明的资格要求的；</w:t>
      </w:r>
    </w:p>
    <w:p w14:paraId="0F7F8455">
      <w:pPr>
        <w:pStyle w:val="13"/>
        <w:snapToGrid w:val="0"/>
        <w:spacing w:line="360" w:lineRule="auto"/>
        <w:ind w:firstLine="454" w:firstLineChars="196"/>
        <w:rPr>
          <w:rFonts w:ascii="Times New Roman" w:hAnsi="Times New Roman"/>
          <w:snapToGrid w:val="0"/>
          <w:color w:val="auto"/>
          <w:sz w:val="24"/>
          <w:szCs w:val="24"/>
          <w:highlight w:val="none"/>
        </w:rPr>
      </w:pPr>
      <w:r>
        <w:rPr>
          <w:rFonts w:hint="eastAsia" w:ascii="Times New Roman" w:hAnsi="Times New Roman"/>
          <w:color w:val="auto"/>
          <w:sz w:val="24"/>
          <w:highlight w:val="none"/>
          <w:lang w:val="en-US" w:eastAsia="zh-CN"/>
        </w:rPr>
        <w:t>7</w:t>
      </w:r>
      <w:r>
        <w:rPr>
          <w:rFonts w:ascii="Times New Roman" w:hAnsi="Times New Roman"/>
          <w:color w:val="auto"/>
          <w:sz w:val="24"/>
          <w:highlight w:val="none"/>
        </w:rPr>
        <w:t>、</w:t>
      </w:r>
      <w:r>
        <w:rPr>
          <w:rFonts w:ascii="Times New Roman" w:hAnsi="Times New Roman"/>
          <w:snapToGrid w:val="0"/>
          <w:color w:val="auto"/>
          <w:sz w:val="24"/>
          <w:szCs w:val="24"/>
          <w:highlight w:val="none"/>
        </w:rPr>
        <w:t>投标有效期、项目存款期限等条款不能满足招标文件要求的；</w:t>
      </w:r>
    </w:p>
    <w:p w14:paraId="2394CC6F">
      <w:pPr>
        <w:pStyle w:val="13"/>
        <w:snapToGrid w:val="0"/>
        <w:spacing w:line="360" w:lineRule="auto"/>
        <w:ind w:firstLine="454" w:firstLineChars="196"/>
        <w:rPr>
          <w:rFonts w:ascii="Times New Roman" w:hAnsi="Times New Roman"/>
          <w:snapToGrid w:val="0"/>
          <w:color w:val="auto"/>
          <w:sz w:val="24"/>
          <w:szCs w:val="24"/>
          <w:highlight w:val="none"/>
        </w:rPr>
      </w:pPr>
      <w:r>
        <w:rPr>
          <w:rFonts w:hint="eastAsia" w:ascii="Times New Roman" w:hAnsi="Times New Roman"/>
          <w:color w:val="auto"/>
          <w:sz w:val="24"/>
          <w:highlight w:val="none"/>
          <w:lang w:val="en-US" w:eastAsia="zh-CN"/>
        </w:rPr>
        <w:t>8</w:t>
      </w:r>
      <w:r>
        <w:rPr>
          <w:rFonts w:ascii="Times New Roman" w:hAnsi="Times New Roman"/>
          <w:color w:val="auto"/>
          <w:sz w:val="24"/>
          <w:highlight w:val="none"/>
        </w:rPr>
        <w:t>、未实质性响应招标文件要求或者投标文件有招标方不能接受的附加条件的；</w:t>
      </w:r>
    </w:p>
    <w:p w14:paraId="6D007ABC">
      <w:pPr>
        <w:pStyle w:val="13"/>
        <w:snapToGrid w:val="0"/>
        <w:spacing w:line="360" w:lineRule="auto"/>
        <w:ind w:firstLine="454" w:firstLineChars="196"/>
        <w:rPr>
          <w:rFonts w:hint="eastAsia" w:ascii="Times New Roman" w:hAnsi="Times New Roman"/>
          <w:color w:val="auto"/>
          <w:sz w:val="24"/>
          <w:highlight w:val="none"/>
        </w:rPr>
      </w:pPr>
      <w:r>
        <w:rPr>
          <w:rFonts w:hint="eastAsia" w:ascii="Times New Roman" w:hAnsi="Times New Roman"/>
          <w:color w:val="auto"/>
          <w:sz w:val="24"/>
          <w:highlight w:val="none"/>
          <w:lang w:val="en-US" w:eastAsia="zh-CN"/>
        </w:rPr>
        <w:t>9</w:t>
      </w:r>
      <w:r>
        <w:rPr>
          <w:rFonts w:ascii="Times New Roman" w:hAnsi="Times New Roman"/>
          <w:color w:val="auto"/>
          <w:sz w:val="24"/>
          <w:highlight w:val="none"/>
        </w:rPr>
        <w:t>、近三年内有重大违法记录的</w:t>
      </w:r>
      <w:r>
        <w:rPr>
          <w:rFonts w:hint="eastAsia" w:ascii="Times New Roman" w:hAnsi="Times New Roman"/>
          <w:color w:val="auto"/>
          <w:sz w:val="24"/>
          <w:highlight w:val="none"/>
        </w:rPr>
        <w:t>；</w:t>
      </w:r>
    </w:p>
    <w:p w14:paraId="3A2E3A5C">
      <w:pPr>
        <w:pStyle w:val="13"/>
        <w:snapToGrid w:val="0"/>
        <w:spacing w:line="360" w:lineRule="auto"/>
        <w:ind w:firstLine="454" w:firstLineChars="196"/>
        <w:rPr>
          <w:rFonts w:ascii="Times New Roman" w:hAnsi="Times New Roman"/>
          <w:color w:val="auto"/>
          <w:sz w:val="24"/>
          <w:highlight w:val="none"/>
        </w:rPr>
      </w:pPr>
      <w:r>
        <w:rPr>
          <w:rFonts w:hint="eastAsia" w:ascii="Times New Roman" w:hAnsi="Times New Roman"/>
          <w:color w:val="auto"/>
          <w:sz w:val="24"/>
          <w:highlight w:val="none"/>
        </w:rPr>
        <w:t>1</w:t>
      </w:r>
      <w:r>
        <w:rPr>
          <w:rFonts w:hint="eastAsia" w:ascii="Times New Roman" w:hAnsi="Times New Roman"/>
          <w:color w:val="auto"/>
          <w:sz w:val="24"/>
          <w:highlight w:val="none"/>
          <w:lang w:val="en-US" w:eastAsia="zh-CN"/>
        </w:rPr>
        <w:t>0</w:t>
      </w:r>
      <w:r>
        <w:rPr>
          <w:rFonts w:hint="eastAsia" w:ascii="Times New Roman" w:hAnsi="Times New Roman"/>
          <w:color w:val="auto"/>
          <w:sz w:val="24"/>
          <w:highlight w:val="none"/>
        </w:rPr>
        <w:t>、</w:t>
      </w:r>
      <w:r>
        <w:rPr>
          <w:rFonts w:ascii="Times New Roman" w:hAnsi="Times New Roman"/>
          <w:color w:val="auto"/>
          <w:sz w:val="24"/>
          <w:highlight w:val="none"/>
        </w:rPr>
        <w:t>定期存款利率低于相同期限基准存款利率。</w:t>
      </w:r>
    </w:p>
    <w:p w14:paraId="5096DDD0">
      <w:pPr>
        <w:pStyle w:val="13"/>
        <w:snapToGrid w:val="0"/>
        <w:spacing w:line="360" w:lineRule="auto"/>
        <w:ind w:firstLine="535" w:firstLineChars="196"/>
        <w:outlineLvl w:val="1"/>
        <w:rPr>
          <w:rFonts w:ascii="Times New Roman" w:hAnsi="Times New Roman"/>
          <w:b/>
          <w:snapToGrid w:val="0"/>
          <w:color w:val="auto"/>
          <w:sz w:val="28"/>
          <w:szCs w:val="28"/>
          <w:highlight w:val="none"/>
        </w:rPr>
      </w:pPr>
      <w:r>
        <w:rPr>
          <w:rFonts w:ascii="Times New Roman" w:hAnsi="Times New Roman"/>
          <w:b/>
          <w:color w:val="auto"/>
          <w:sz w:val="28"/>
          <w:szCs w:val="28"/>
          <w:highlight w:val="none"/>
        </w:rPr>
        <w:t>四、开标</w:t>
      </w:r>
    </w:p>
    <w:p w14:paraId="49AFB9BE">
      <w:pPr>
        <w:pStyle w:val="16"/>
        <w:snapToGrid w:val="0"/>
        <w:spacing w:before="0" w:beforeLines="0" w:after="0" w:afterLines="0" w:line="360" w:lineRule="auto"/>
        <w:ind w:firstLine="480" w:firstLineChars="200"/>
        <w:rPr>
          <w:rFonts w:ascii="Times New Roman" w:hAnsi="Times New Roman"/>
          <w:bCs/>
          <w:color w:val="auto"/>
          <w:highlight w:val="none"/>
        </w:rPr>
      </w:pPr>
      <w:r>
        <w:rPr>
          <w:rFonts w:ascii="Times New Roman" w:hAnsi="Times New Roman"/>
          <w:bCs/>
          <w:color w:val="auto"/>
          <w:highlight w:val="none"/>
        </w:rPr>
        <w:t>1、招标代理机构将在规定的时间</w:t>
      </w:r>
      <w:r>
        <w:rPr>
          <w:rFonts w:hint="eastAsia" w:ascii="Times New Roman" w:hAnsi="Times New Roman"/>
          <w:bCs/>
          <w:color w:val="auto"/>
          <w:highlight w:val="none"/>
          <w:lang w:eastAsia="zh-CN"/>
        </w:rPr>
        <w:t>，</w:t>
      </w:r>
      <w:r>
        <w:rPr>
          <w:rFonts w:hint="eastAsia" w:ascii="Times New Roman" w:hAnsi="Times New Roman"/>
          <w:bCs/>
          <w:color w:val="auto"/>
          <w:highlight w:val="none"/>
          <w:lang w:val="en-US" w:eastAsia="zh-CN"/>
        </w:rPr>
        <w:t>在政采云平台上</w:t>
      </w:r>
      <w:r>
        <w:rPr>
          <w:rFonts w:ascii="Times New Roman" w:hAnsi="Times New Roman"/>
          <w:bCs/>
          <w:color w:val="auto"/>
          <w:highlight w:val="none"/>
        </w:rPr>
        <w:t>进行</w:t>
      </w:r>
      <w:r>
        <w:rPr>
          <w:rFonts w:hint="eastAsia" w:ascii="Times New Roman" w:hAnsi="Times New Roman"/>
          <w:bCs/>
          <w:color w:val="auto"/>
          <w:highlight w:val="none"/>
          <w:lang w:val="en-US" w:eastAsia="zh-CN"/>
        </w:rPr>
        <w:t>线上</w:t>
      </w:r>
      <w:r>
        <w:rPr>
          <w:rFonts w:ascii="Times New Roman" w:hAnsi="Times New Roman"/>
          <w:bCs/>
          <w:color w:val="auto"/>
          <w:highlight w:val="none"/>
        </w:rPr>
        <w:t>开标。</w:t>
      </w:r>
    </w:p>
    <w:p w14:paraId="639703E5">
      <w:pPr>
        <w:pStyle w:val="16"/>
        <w:snapToGrid w:val="0"/>
        <w:spacing w:before="0" w:beforeLines="0" w:after="0" w:afterLines="0" w:line="360" w:lineRule="auto"/>
        <w:ind w:firstLine="480" w:firstLineChars="200"/>
        <w:rPr>
          <w:rFonts w:ascii="Times New Roman" w:hAnsi="Times New Roman" w:eastAsia="宋体" w:cs="Times New Roman"/>
          <w:bCs/>
          <w:color w:val="auto"/>
          <w:highlight w:val="none"/>
        </w:rPr>
      </w:pPr>
      <w:r>
        <w:rPr>
          <w:color w:val="auto"/>
          <w:sz w:val="24"/>
          <w:highlight w:val="none"/>
        </w:rPr>
        <w:t>2、</w:t>
      </w:r>
      <w:r>
        <w:rPr>
          <w:rFonts w:hint="eastAsia"/>
          <w:color w:val="auto"/>
          <w:sz w:val="24"/>
          <w:highlight w:val="none"/>
        </w:rPr>
        <w:t>至</w:t>
      </w:r>
      <w:r>
        <w:rPr>
          <w:color w:val="auto"/>
          <w:sz w:val="24"/>
          <w:highlight w:val="none"/>
        </w:rPr>
        <w:t>投标截止</w:t>
      </w:r>
      <w:r>
        <w:rPr>
          <w:rFonts w:hint="eastAsia"/>
          <w:color w:val="auto"/>
          <w:sz w:val="24"/>
          <w:highlight w:val="none"/>
        </w:rPr>
        <w:t>时间止，各标段的</w:t>
      </w:r>
      <w:r>
        <w:rPr>
          <w:color w:val="auto"/>
          <w:sz w:val="24"/>
          <w:highlight w:val="none"/>
        </w:rPr>
        <w:t>投标银行少于3家的，取消当期招标工作，</w:t>
      </w:r>
      <w:r>
        <w:rPr>
          <w:rFonts w:ascii="Times New Roman" w:hAnsi="Times New Roman" w:eastAsia="宋体" w:cs="Times New Roman"/>
          <w:bCs/>
          <w:color w:val="auto"/>
          <w:highlight w:val="none"/>
        </w:rPr>
        <w:t>延后重新招标。</w:t>
      </w:r>
    </w:p>
    <w:p w14:paraId="4057D6FF">
      <w:pPr>
        <w:pStyle w:val="16"/>
        <w:snapToGrid w:val="0"/>
        <w:spacing w:before="0" w:beforeLines="0" w:after="0" w:afterLines="0" w:line="360" w:lineRule="auto"/>
        <w:ind w:firstLine="480" w:firstLineChars="200"/>
        <w:rPr>
          <w:rFonts w:hint="eastAsia"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3、开标程序：</w:t>
      </w:r>
    </w:p>
    <w:p w14:paraId="2C4AC4AA">
      <w:pPr>
        <w:pStyle w:val="16"/>
        <w:snapToGrid w:val="0"/>
        <w:spacing w:before="0" w:beforeLines="0" w:after="0" w:afterLines="0" w:line="360" w:lineRule="auto"/>
        <w:ind w:firstLine="480" w:firstLineChars="200"/>
        <w:rPr>
          <w:rFonts w:hint="eastAsia"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3.1 招标人将于前附表规定的时间和地点公开开标。若招标人通过修改招标文件更改了开标时间的，以后者为准。</w:t>
      </w:r>
    </w:p>
    <w:p w14:paraId="2E027844">
      <w:pPr>
        <w:pStyle w:val="16"/>
        <w:snapToGrid w:val="0"/>
        <w:spacing w:before="0" w:beforeLines="0" w:after="0" w:afterLines="0" w:line="360" w:lineRule="auto"/>
        <w:ind w:firstLine="480" w:firstLineChars="200"/>
        <w:rPr>
          <w:rFonts w:hint="eastAsia"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3.2开评标期间，供应商代表应在线操作，进行线上确认开标结果，并关注政采云有关信息公布、澄清等情况。</w:t>
      </w:r>
    </w:p>
    <w:p w14:paraId="2232217C">
      <w:pPr>
        <w:pStyle w:val="16"/>
        <w:snapToGrid w:val="0"/>
        <w:spacing w:before="0" w:beforeLines="0" w:after="0" w:afterLines="0" w:line="360" w:lineRule="auto"/>
        <w:ind w:left="279" w:leftChars="133" w:firstLine="281" w:firstLineChars="100"/>
        <w:outlineLvl w:val="1"/>
        <w:rPr>
          <w:rFonts w:ascii="Times New Roman" w:hAnsi="Times New Roman"/>
          <w:b/>
          <w:color w:val="auto"/>
          <w:sz w:val="28"/>
          <w:szCs w:val="28"/>
          <w:highlight w:val="none"/>
        </w:rPr>
      </w:pPr>
      <w:r>
        <w:rPr>
          <w:rFonts w:ascii="Times New Roman" w:hAnsi="Times New Roman"/>
          <w:b/>
          <w:color w:val="auto"/>
          <w:sz w:val="28"/>
          <w:szCs w:val="28"/>
          <w:highlight w:val="none"/>
        </w:rPr>
        <w:t>五、评标</w:t>
      </w:r>
    </w:p>
    <w:p w14:paraId="35ED6548">
      <w:pPr>
        <w:pStyle w:val="16"/>
        <w:snapToGrid w:val="0"/>
        <w:spacing w:before="0" w:beforeLines="0" w:after="0" w:afterLines="0" w:line="360" w:lineRule="auto"/>
        <w:ind w:left="241" w:hanging="241" w:hangingChars="100"/>
        <w:rPr>
          <w:rFonts w:ascii="Times New Roman" w:hAnsi="Times New Roman"/>
          <w:b/>
          <w:color w:val="auto"/>
          <w:highlight w:val="none"/>
        </w:rPr>
      </w:pPr>
      <w:r>
        <w:rPr>
          <w:rFonts w:ascii="Times New Roman" w:hAnsi="Times New Roman"/>
          <w:b/>
          <w:color w:val="auto"/>
          <w:highlight w:val="none"/>
        </w:rPr>
        <w:t>（一）组建评标委员会</w:t>
      </w:r>
    </w:p>
    <w:p w14:paraId="7A02DEE3">
      <w:pPr>
        <w:pStyle w:val="16"/>
        <w:snapToGrid w:val="0"/>
        <w:spacing w:before="0" w:beforeLines="0" w:after="0" w:afterLines="0" w:line="360" w:lineRule="auto"/>
        <w:ind w:firstLine="480" w:firstLineChars="200"/>
        <w:rPr>
          <w:rFonts w:ascii="Times New Roman" w:hAnsi="Times New Roman"/>
          <w:color w:val="auto"/>
          <w:highlight w:val="none"/>
        </w:rPr>
      </w:pPr>
      <w:r>
        <w:rPr>
          <w:rFonts w:ascii="Times New Roman" w:hAnsi="Times New Roman"/>
          <w:color w:val="auto"/>
          <w:highlight w:val="none"/>
        </w:rPr>
        <w:t>本项目评标委员会由</w:t>
      </w:r>
      <w:r>
        <w:rPr>
          <w:rFonts w:ascii="Times New Roman" w:hAnsi="Times New Roman"/>
          <w:color w:val="auto"/>
          <w:highlight w:val="none"/>
          <w:u w:val="single"/>
        </w:rPr>
        <w:t>5</w:t>
      </w:r>
      <w:r>
        <w:rPr>
          <w:rFonts w:ascii="Times New Roman" w:hAnsi="Times New Roman"/>
          <w:color w:val="auto"/>
          <w:highlight w:val="none"/>
        </w:rPr>
        <w:t>人以上单数组成，评标小组对投标文件进行审查、质疑、评估和比较。</w:t>
      </w:r>
    </w:p>
    <w:p w14:paraId="241BE9D0">
      <w:pPr>
        <w:pStyle w:val="16"/>
        <w:snapToGrid w:val="0"/>
        <w:spacing w:before="0" w:beforeLines="0" w:after="0" w:afterLines="0" w:line="360" w:lineRule="auto"/>
        <w:ind w:left="241" w:hanging="241" w:hangingChars="100"/>
        <w:rPr>
          <w:rFonts w:ascii="Times New Roman" w:hAnsi="Times New Roman"/>
          <w:b/>
          <w:color w:val="auto"/>
          <w:highlight w:val="none"/>
        </w:rPr>
      </w:pPr>
      <w:r>
        <w:rPr>
          <w:rFonts w:ascii="Times New Roman" w:hAnsi="Times New Roman"/>
          <w:b/>
          <w:color w:val="auto"/>
          <w:highlight w:val="none"/>
        </w:rPr>
        <w:t>（二）评标方式</w:t>
      </w:r>
    </w:p>
    <w:p w14:paraId="09721524">
      <w:pPr>
        <w:pStyle w:val="16"/>
        <w:snapToGrid w:val="0"/>
        <w:spacing w:before="0" w:beforeLines="0" w:after="0" w:afterLines="0" w:line="360" w:lineRule="auto"/>
        <w:ind w:firstLine="477" w:firstLineChars="199"/>
        <w:rPr>
          <w:rFonts w:hint="eastAsia" w:ascii="Times New Roman" w:hAnsi="Times New Roman"/>
          <w:color w:val="auto"/>
          <w:highlight w:val="none"/>
        </w:rPr>
      </w:pPr>
      <w:r>
        <w:rPr>
          <w:rFonts w:ascii="Times New Roman" w:hAnsi="Times New Roman"/>
          <w:color w:val="auto"/>
          <w:highlight w:val="none"/>
        </w:rPr>
        <w:t>1、采用综合评分法。按照综合评分由高到低</w:t>
      </w:r>
      <w:r>
        <w:rPr>
          <w:rFonts w:hint="eastAsia" w:ascii="Times New Roman" w:hAnsi="Times New Roman"/>
          <w:color w:val="auto"/>
          <w:highlight w:val="none"/>
        </w:rPr>
        <w:t>，</w:t>
      </w:r>
      <w:r>
        <w:rPr>
          <w:rFonts w:ascii="Times New Roman" w:hAnsi="Times New Roman"/>
          <w:color w:val="auto"/>
          <w:highlight w:val="none"/>
        </w:rPr>
        <w:t>确定中标候选人</w:t>
      </w:r>
      <w:r>
        <w:rPr>
          <w:rFonts w:hint="eastAsia" w:ascii="Times New Roman" w:hAnsi="Times New Roman"/>
          <w:color w:val="auto"/>
          <w:highlight w:val="none"/>
          <w:lang w:eastAsia="zh-CN"/>
        </w:rPr>
        <w:t>，</w:t>
      </w:r>
      <w:r>
        <w:rPr>
          <w:rFonts w:hint="eastAsia" w:ascii="Times New Roman" w:hAnsi="Times New Roman"/>
          <w:color w:val="auto"/>
          <w:highlight w:val="none"/>
        </w:rPr>
        <w:t>中标银行</w:t>
      </w:r>
      <w:r>
        <w:rPr>
          <w:rFonts w:ascii="Times New Roman" w:hAnsi="Times New Roman"/>
          <w:color w:val="auto"/>
          <w:highlight w:val="none"/>
        </w:rPr>
        <w:t>数量：1家。</w:t>
      </w:r>
    </w:p>
    <w:p w14:paraId="27395FAD">
      <w:pPr>
        <w:pStyle w:val="16"/>
        <w:snapToGrid w:val="0"/>
        <w:spacing w:before="0" w:beforeLines="0" w:after="0" w:afterLines="0" w:line="360" w:lineRule="auto"/>
        <w:ind w:firstLine="480" w:firstLineChars="200"/>
        <w:rPr>
          <w:rFonts w:ascii="Times New Roman" w:hAnsi="Times New Roman"/>
          <w:color w:val="auto"/>
          <w:highlight w:val="none"/>
        </w:rPr>
      </w:pPr>
      <w:r>
        <w:rPr>
          <w:rFonts w:ascii="Times New Roman" w:hAnsi="Times New Roman"/>
          <w:color w:val="auto"/>
          <w:highlight w:val="none"/>
        </w:rPr>
        <w:t>2、具体评标内容及评分标准等详见《第四章：评标原则及评标细则》。</w:t>
      </w:r>
    </w:p>
    <w:p w14:paraId="594CFBBE">
      <w:pPr>
        <w:pStyle w:val="16"/>
        <w:snapToGrid w:val="0"/>
        <w:spacing w:before="0" w:beforeLines="0" w:after="0" w:afterLines="0" w:line="360" w:lineRule="auto"/>
        <w:ind w:firstLine="562" w:firstLineChars="200"/>
        <w:outlineLvl w:val="1"/>
        <w:rPr>
          <w:rFonts w:ascii="Times New Roman" w:hAnsi="Times New Roman"/>
          <w:b/>
          <w:color w:val="auto"/>
          <w:sz w:val="28"/>
          <w:szCs w:val="28"/>
          <w:highlight w:val="none"/>
        </w:rPr>
      </w:pPr>
      <w:r>
        <w:rPr>
          <w:rFonts w:ascii="Times New Roman" w:hAnsi="Times New Roman"/>
          <w:b/>
          <w:color w:val="auto"/>
          <w:sz w:val="28"/>
          <w:szCs w:val="28"/>
          <w:highlight w:val="none"/>
        </w:rPr>
        <w:t>六、定标</w:t>
      </w:r>
    </w:p>
    <w:p w14:paraId="25CF470E">
      <w:pPr>
        <w:spacing w:line="360" w:lineRule="auto"/>
        <w:ind w:firstLine="480" w:firstLineChars="200"/>
        <w:rPr>
          <w:rFonts w:hint="eastAsia" w:ascii="宋体" w:hAnsi="宋体"/>
          <w:color w:val="auto"/>
          <w:sz w:val="24"/>
          <w:highlight w:val="none"/>
        </w:rPr>
      </w:pPr>
      <w:r>
        <w:rPr>
          <w:rFonts w:ascii="宋体" w:hAnsi="宋体"/>
          <w:color w:val="auto"/>
          <w:sz w:val="24"/>
          <w:highlight w:val="none"/>
        </w:rPr>
        <w:t>1招标</w:t>
      </w:r>
      <w:r>
        <w:rPr>
          <w:rFonts w:hint="eastAsia" w:ascii="宋体" w:hAnsi="宋体"/>
          <w:color w:val="auto"/>
          <w:sz w:val="24"/>
          <w:highlight w:val="none"/>
        </w:rPr>
        <w:t>人</w:t>
      </w:r>
      <w:r>
        <w:rPr>
          <w:rFonts w:ascii="宋体" w:hAnsi="宋体"/>
          <w:color w:val="auto"/>
          <w:sz w:val="24"/>
          <w:highlight w:val="none"/>
        </w:rPr>
        <w:t>应根据评标委员会提交的评标报告和推荐意见，</w:t>
      </w:r>
      <w:r>
        <w:rPr>
          <w:rFonts w:hint="eastAsia" w:ascii="宋体" w:hAnsi="宋体"/>
          <w:color w:val="auto"/>
          <w:sz w:val="24"/>
          <w:highlight w:val="none"/>
        </w:rPr>
        <w:t>确定</w:t>
      </w:r>
      <w:r>
        <w:rPr>
          <w:rFonts w:ascii="宋体" w:hAnsi="宋体"/>
          <w:color w:val="auto"/>
          <w:sz w:val="24"/>
          <w:highlight w:val="none"/>
        </w:rPr>
        <w:t>中标人。</w:t>
      </w:r>
    </w:p>
    <w:p w14:paraId="504C8D8D">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w:t>
      </w:r>
      <w:r>
        <w:rPr>
          <w:rFonts w:hAnsi="宋体"/>
          <w:color w:val="auto"/>
          <w:sz w:val="24"/>
          <w:highlight w:val="none"/>
        </w:rPr>
        <w:t>中标收益率为各银行所中标的实际报价。</w:t>
      </w:r>
    </w:p>
    <w:p w14:paraId="4D346F8B">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3 </w:t>
      </w:r>
      <w:r>
        <w:rPr>
          <w:rFonts w:ascii="宋体" w:hAnsi="宋体"/>
          <w:color w:val="auto"/>
          <w:sz w:val="24"/>
          <w:highlight w:val="none"/>
        </w:rPr>
        <w:t>招标人在授予合同之前如发现投标人在投标过程中有违法行为，</w:t>
      </w:r>
      <w:r>
        <w:rPr>
          <w:rFonts w:hint="eastAsia" w:ascii="宋体" w:hAnsi="宋体"/>
          <w:color w:val="auto"/>
          <w:sz w:val="24"/>
          <w:highlight w:val="none"/>
        </w:rPr>
        <w:t>有权取消其中标资格</w:t>
      </w:r>
      <w:r>
        <w:rPr>
          <w:rFonts w:ascii="宋体" w:hAnsi="宋体"/>
          <w:color w:val="auto"/>
          <w:sz w:val="24"/>
          <w:highlight w:val="none"/>
        </w:rPr>
        <w:t>，并对所采取的行为不作任何解释。</w:t>
      </w:r>
    </w:p>
    <w:p w14:paraId="748CA2FA">
      <w:pPr>
        <w:spacing w:line="360" w:lineRule="auto"/>
        <w:ind w:firstLine="562" w:firstLineChars="200"/>
        <w:rPr>
          <w:rFonts w:ascii="宋体" w:hAnsi="宋体"/>
          <w:color w:val="auto"/>
          <w:sz w:val="24"/>
          <w:highlight w:val="none"/>
        </w:rPr>
      </w:pPr>
      <w:r>
        <w:rPr>
          <w:b/>
          <w:color w:val="auto"/>
          <w:sz w:val="28"/>
          <w:szCs w:val="28"/>
          <w:highlight w:val="none"/>
        </w:rPr>
        <w:t>七</w:t>
      </w:r>
      <w:r>
        <w:rPr>
          <w:rFonts w:hint="eastAsia"/>
          <w:b/>
          <w:color w:val="auto"/>
          <w:sz w:val="28"/>
          <w:szCs w:val="28"/>
          <w:highlight w:val="none"/>
        </w:rPr>
        <w:t>、</w:t>
      </w:r>
      <w:r>
        <w:rPr>
          <w:b/>
          <w:color w:val="auto"/>
          <w:sz w:val="28"/>
          <w:szCs w:val="28"/>
          <w:highlight w:val="none"/>
        </w:rPr>
        <w:t>中标通知</w:t>
      </w:r>
    </w:p>
    <w:p w14:paraId="3B252774">
      <w:pPr>
        <w:spacing w:line="360" w:lineRule="auto"/>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s="宋体"/>
          <w:color w:val="auto"/>
          <w:sz w:val="24"/>
          <w:highlight w:val="none"/>
          <w:lang w:val="zh-CN"/>
        </w:rPr>
        <w:t>评标结果将在网上公告</w:t>
      </w:r>
      <w:r>
        <w:rPr>
          <w:rFonts w:ascii="宋体" w:hAnsi="宋体"/>
          <w:color w:val="auto"/>
          <w:sz w:val="24"/>
          <w:highlight w:val="none"/>
        </w:rPr>
        <w:t>。</w:t>
      </w:r>
    </w:p>
    <w:p w14:paraId="302BF882">
      <w:pPr>
        <w:spacing w:line="360" w:lineRule="auto"/>
        <w:ind w:firstLine="480" w:firstLineChars="200"/>
        <w:rPr>
          <w:rFonts w:ascii="宋体" w:hAnsi="宋体"/>
          <w:color w:val="auto"/>
          <w:sz w:val="24"/>
          <w:highlight w:val="none"/>
        </w:rPr>
      </w:pPr>
      <w:r>
        <w:rPr>
          <w:rFonts w:ascii="宋体" w:hAnsi="宋体"/>
          <w:color w:val="auto"/>
          <w:sz w:val="24"/>
          <w:highlight w:val="none"/>
        </w:rPr>
        <w:t>2</w:t>
      </w:r>
      <w:r>
        <w:rPr>
          <w:rFonts w:hAnsi="宋体"/>
          <w:color w:val="auto"/>
          <w:sz w:val="24"/>
          <w:highlight w:val="none"/>
        </w:rPr>
        <w:t>自</w:t>
      </w:r>
      <w:r>
        <w:rPr>
          <w:rFonts w:hint="eastAsia" w:hAnsi="宋体"/>
          <w:color w:val="auto"/>
          <w:sz w:val="24"/>
          <w:highlight w:val="none"/>
        </w:rPr>
        <w:t>中标银行确定之日起2个工作日内发出中标通知书</w:t>
      </w:r>
      <w:r>
        <w:rPr>
          <w:rFonts w:ascii="宋体" w:hAnsi="宋体"/>
          <w:color w:val="auto"/>
          <w:sz w:val="24"/>
          <w:highlight w:val="none"/>
        </w:rPr>
        <w:t>。中标通知书一经发出即发生法律效力。</w:t>
      </w:r>
    </w:p>
    <w:p w14:paraId="30300583">
      <w:pPr>
        <w:spacing w:line="360" w:lineRule="auto"/>
        <w:ind w:firstLine="480" w:firstLineChars="200"/>
        <w:rPr>
          <w:rFonts w:ascii="宋体" w:hAnsi="宋体"/>
          <w:color w:val="auto"/>
          <w:sz w:val="24"/>
          <w:highlight w:val="none"/>
        </w:rPr>
      </w:pPr>
      <w:r>
        <w:rPr>
          <w:rFonts w:ascii="宋体" w:hAnsi="宋体"/>
          <w:color w:val="auto"/>
          <w:sz w:val="24"/>
          <w:highlight w:val="none"/>
        </w:rPr>
        <w:t>3 中标通知书将作为签订合同的依据。</w:t>
      </w:r>
    </w:p>
    <w:p w14:paraId="5F5D9198">
      <w:pPr>
        <w:pStyle w:val="16"/>
        <w:snapToGrid w:val="0"/>
        <w:spacing w:before="0" w:beforeLines="0" w:after="0" w:afterLines="0" w:line="360" w:lineRule="auto"/>
        <w:ind w:firstLine="562" w:firstLineChars="200"/>
        <w:outlineLvl w:val="1"/>
        <w:rPr>
          <w:rFonts w:ascii="Times New Roman" w:hAnsi="Times New Roman"/>
          <w:b/>
          <w:color w:val="auto"/>
          <w:sz w:val="28"/>
          <w:szCs w:val="28"/>
          <w:highlight w:val="none"/>
        </w:rPr>
      </w:pPr>
      <w:r>
        <w:rPr>
          <w:rFonts w:hint="eastAsia" w:ascii="Times New Roman" w:hAnsi="Times New Roman"/>
          <w:b/>
          <w:color w:val="auto"/>
          <w:sz w:val="28"/>
          <w:szCs w:val="28"/>
          <w:highlight w:val="none"/>
        </w:rPr>
        <w:t>八</w:t>
      </w:r>
      <w:r>
        <w:rPr>
          <w:rFonts w:ascii="Times New Roman" w:hAnsi="Times New Roman"/>
          <w:b/>
          <w:color w:val="auto"/>
          <w:sz w:val="28"/>
          <w:szCs w:val="28"/>
          <w:highlight w:val="none"/>
        </w:rPr>
        <w:t>、签订合同与资金存放</w:t>
      </w:r>
    </w:p>
    <w:p w14:paraId="257A89BE">
      <w:pPr>
        <w:snapToGrid w:val="0"/>
        <w:spacing w:line="360" w:lineRule="auto"/>
        <w:ind w:firstLine="472" w:firstLineChars="196"/>
        <w:rPr>
          <w:b/>
          <w:bCs/>
          <w:color w:val="auto"/>
          <w:sz w:val="24"/>
          <w:szCs w:val="20"/>
          <w:highlight w:val="none"/>
        </w:rPr>
      </w:pPr>
      <w:r>
        <w:rPr>
          <w:b/>
          <w:bCs/>
          <w:color w:val="auto"/>
          <w:sz w:val="24"/>
          <w:highlight w:val="none"/>
        </w:rPr>
        <w:t>（一）签订合同</w:t>
      </w:r>
    </w:p>
    <w:p w14:paraId="0C92C79B">
      <w:pPr>
        <w:snapToGrid w:val="0"/>
        <w:spacing w:line="360" w:lineRule="auto"/>
        <w:ind w:firstLine="480" w:firstLineChars="200"/>
        <w:rPr>
          <w:color w:val="auto"/>
          <w:sz w:val="24"/>
          <w:highlight w:val="none"/>
        </w:rPr>
      </w:pPr>
      <w:r>
        <w:rPr>
          <w:color w:val="auto"/>
          <w:sz w:val="24"/>
          <w:highlight w:val="none"/>
        </w:rPr>
        <w:t>1.招标人与中标人应当在《中标通知书》发出之日起</w:t>
      </w:r>
      <w:r>
        <w:rPr>
          <w:rFonts w:hint="eastAsia"/>
          <w:color w:val="auto"/>
          <w:sz w:val="24"/>
          <w:highlight w:val="none"/>
        </w:rPr>
        <w:t>30</w:t>
      </w:r>
      <w:r>
        <w:rPr>
          <w:color w:val="auto"/>
          <w:sz w:val="24"/>
          <w:highlight w:val="none"/>
        </w:rPr>
        <w:t>日内签订存款存放合同，明确双方权利、义务和违约责任。</w:t>
      </w:r>
    </w:p>
    <w:p w14:paraId="5E78BAD5">
      <w:pPr>
        <w:adjustRightInd w:val="0"/>
        <w:snapToGrid w:val="0"/>
        <w:spacing w:line="360" w:lineRule="auto"/>
        <w:ind w:firstLine="480" w:firstLineChars="200"/>
        <w:jc w:val="left"/>
        <w:rPr>
          <w:color w:val="auto"/>
          <w:sz w:val="24"/>
          <w:highlight w:val="none"/>
        </w:rPr>
      </w:pPr>
      <w:r>
        <w:rPr>
          <w:rFonts w:hint="eastAsia"/>
          <w:color w:val="auto"/>
          <w:sz w:val="24"/>
          <w:highlight w:val="none"/>
        </w:rPr>
        <w:t>2</w:t>
      </w:r>
      <w:r>
        <w:rPr>
          <w:color w:val="auto"/>
          <w:sz w:val="24"/>
          <w:highlight w:val="none"/>
        </w:rPr>
        <w:t>.中标人拖延、拒签合同的</w:t>
      </w:r>
      <w:r>
        <w:rPr>
          <w:rFonts w:hint="eastAsia"/>
          <w:color w:val="auto"/>
          <w:sz w:val="24"/>
          <w:highlight w:val="none"/>
        </w:rPr>
        <w:t>，</w:t>
      </w:r>
      <w:r>
        <w:rPr>
          <w:color w:val="auto"/>
          <w:sz w:val="24"/>
          <w:highlight w:val="none"/>
        </w:rPr>
        <w:t>将取消中标资格。</w:t>
      </w:r>
    </w:p>
    <w:p w14:paraId="1EAFD23F">
      <w:pPr>
        <w:pStyle w:val="16"/>
        <w:snapToGrid w:val="0"/>
        <w:spacing w:before="0" w:beforeLines="0" w:after="0" w:afterLines="0" w:line="360" w:lineRule="auto"/>
        <w:ind w:firstLine="482" w:firstLineChars="200"/>
        <w:rPr>
          <w:rFonts w:ascii="Times New Roman" w:hAnsi="Times New Roman"/>
          <w:b/>
          <w:color w:val="auto"/>
          <w:highlight w:val="none"/>
        </w:rPr>
      </w:pPr>
      <w:r>
        <w:rPr>
          <w:rFonts w:ascii="Times New Roman" w:hAnsi="Times New Roman"/>
          <w:b/>
          <w:color w:val="auto"/>
          <w:highlight w:val="none"/>
        </w:rPr>
        <w:t>（二）资金存放、支取、还本付息</w:t>
      </w:r>
    </w:p>
    <w:p w14:paraId="54CEE657">
      <w:pPr>
        <w:pStyle w:val="16"/>
        <w:snapToGrid w:val="0"/>
        <w:spacing w:before="0" w:beforeLines="0" w:after="0" w:afterLines="0" w:line="360" w:lineRule="auto"/>
        <w:ind w:firstLine="480" w:firstLineChars="200"/>
        <w:rPr>
          <w:rFonts w:ascii="Times New Roman" w:hAnsi="Times New Roman"/>
          <w:color w:val="auto"/>
          <w:highlight w:val="none"/>
        </w:rPr>
      </w:pPr>
      <w:r>
        <w:rPr>
          <w:rFonts w:ascii="Times New Roman" w:hAnsi="Times New Roman"/>
          <w:color w:val="auto"/>
          <w:highlight w:val="none"/>
        </w:rPr>
        <w:t>1、招标人应在签订合同后向中标银行划款，办理相关存款手续。</w:t>
      </w:r>
    </w:p>
    <w:p w14:paraId="160F5106">
      <w:pPr>
        <w:pStyle w:val="16"/>
        <w:snapToGrid w:val="0"/>
        <w:spacing w:before="0" w:beforeLines="0" w:after="0" w:afterLines="0" w:line="360" w:lineRule="auto"/>
        <w:ind w:firstLine="480" w:firstLineChars="200"/>
        <w:rPr>
          <w:rFonts w:ascii="Times New Roman" w:hAnsi="Times New Roman"/>
          <w:color w:val="auto"/>
          <w:highlight w:val="none"/>
        </w:rPr>
      </w:pPr>
      <w:r>
        <w:rPr>
          <w:rFonts w:ascii="Times New Roman" w:hAnsi="Times New Roman"/>
          <w:color w:val="auto"/>
          <w:highlight w:val="none"/>
        </w:rPr>
        <w:t>2</w:t>
      </w:r>
      <w:r>
        <w:rPr>
          <w:rFonts w:ascii="Times New Roman" w:hAnsi="宋体"/>
          <w:color w:val="auto"/>
          <w:highlight w:val="none"/>
        </w:rPr>
        <w:t>、中标银行收到划拨资金后</w:t>
      </w:r>
      <w:r>
        <w:rPr>
          <w:rFonts w:ascii="Times New Roman" w:hAnsi="Times New Roman"/>
          <w:color w:val="auto"/>
          <w:highlight w:val="none"/>
        </w:rPr>
        <w:t>2</w:t>
      </w:r>
      <w:r>
        <w:rPr>
          <w:rFonts w:ascii="Times New Roman" w:hAnsi="宋体"/>
          <w:color w:val="auto"/>
          <w:highlight w:val="none"/>
        </w:rPr>
        <w:t>个工作日内向招标人开具存款证明，存款证明应当记录存款银行名称、存款金额、利率以及期限等要素。</w:t>
      </w:r>
    </w:p>
    <w:p w14:paraId="5D06D6CC">
      <w:pPr>
        <w:pStyle w:val="16"/>
        <w:snapToGrid w:val="0"/>
        <w:spacing w:before="0" w:beforeLines="0" w:after="0" w:afterLines="0" w:line="360" w:lineRule="auto"/>
        <w:ind w:firstLine="480" w:firstLineChars="200"/>
        <w:rPr>
          <w:rFonts w:ascii="Times New Roman" w:hAnsi="Times New Roman"/>
          <w:color w:val="auto"/>
          <w:highlight w:val="none"/>
        </w:rPr>
      </w:pPr>
      <w:r>
        <w:rPr>
          <w:rFonts w:ascii="Times New Roman" w:hAnsi="Times New Roman"/>
          <w:color w:val="auto"/>
          <w:highlight w:val="none"/>
        </w:rPr>
        <w:t>3、招标人可提前全部或部分支取定期存款，即招标人提前支取部分或全部本金定期存款时，提供靠档利率方案及未支付部分的计息方案等。</w:t>
      </w:r>
    </w:p>
    <w:p w14:paraId="6F8E879D">
      <w:pPr>
        <w:pStyle w:val="16"/>
        <w:snapToGrid w:val="0"/>
        <w:spacing w:before="0" w:beforeLines="0" w:after="0" w:afterLines="0" w:line="360" w:lineRule="auto"/>
        <w:ind w:firstLine="480" w:firstLineChars="200"/>
        <w:rPr>
          <w:rFonts w:ascii="Times New Roman" w:hAnsi="Times New Roman"/>
          <w:color w:val="auto"/>
          <w:highlight w:val="none"/>
        </w:rPr>
      </w:pPr>
      <w:r>
        <w:rPr>
          <w:rFonts w:ascii="Times New Roman" w:hAnsi="Times New Roman"/>
          <w:color w:val="auto"/>
          <w:highlight w:val="none"/>
        </w:rPr>
        <w:t>4、存款存放银行出现以下情形招标人财务部门应及时提前收回定期存款，并取消其在以后各期竞争性存放的投标资格。</w:t>
      </w:r>
    </w:p>
    <w:p w14:paraId="3A028893">
      <w:pPr>
        <w:snapToGrid w:val="0"/>
        <w:spacing w:line="360" w:lineRule="auto"/>
        <w:ind w:firstLine="360" w:firstLineChars="150"/>
        <w:outlineLvl w:val="1"/>
        <w:rPr>
          <w:color w:val="auto"/>
          <w:sz w:val="24"/>
          <w:highlight w:val="none"/>
        </w:rPr>
      </w:pPr>
      <w:r>
        <w:rPr>
          <w:rFonts w:hAnsi="宋体"/>
          <w:color w:val="auto"/>
          <w:sz w:val="24"/>
          <w:highlight w:val="none"/>
        </w:rPr>
        <w:t>⑴</w:t>
      </w:r>
      <w:r>
        <w:rPr>
          <w:color w:val="auto"/>
          <w:sz w:val="24"/>
          <w:highlight w:val="none"/>
        </w:rPr>
        <w:t>出现资金安全事故和重大违法违规情况或财务恶化；</w:t>
      </w:r>
    </w:p>
    <w:p w14:paraId="1D75C2E8">
      <w:pPr>
        <w:snapToGrid w:val="0"/>
        <w:spacing w:line="360" w:lineRule="auto"/>
        <w:ind w:firstLine="360" w:firstLineChars="150"/>
        <w:outlineLvl w:val="1"/>
        <w:rPr>
          <w:color w:val="auto"/>
          <w:sz w:val="24"/>
          <w:highlight w:val="none"/>
        </w:rPr>
      </w:pPr>
      <w:r>
        <w:rPr>
          <w:rFonts w:hAnsi="宋体"/>
          <w:color w:val="auto"/>
          <w:sz w:val="24"/>
          <w:highlight w:val="none"/>
        </w:rPr>
        <w:t>⑵</w:t>
      </w:r>
      <w:r>
        <w:rPr>
          <w:color w:val="auto"/>
          <w:sz w:val="24"/>
          <w:highlight w:val="none"/>
        </w:rPr>
        <w:t>监管评级降低，监管部门认为存在较大运营风险；</w:t>
      </w:r>
    </w:p>
    <w:p w14:paraId="011B0E8C">
      <w:pPr>
        <w:snapToGrid w:val="0"/>
        <w:spacing w:line="360" w:lineRule="auto"/>
        <w:ind w:firstLine="360" w:firstLineChars="150"/>
        <w:outlineLvl w:val="1"/>
        <w:rPr>
          <w:color w:val="auto"/>
          <w:sz w:val="24"/>
          <w:highlight w:val="none"/>
        </w:rPr>
      </w:pPr>
      <w:r>
        <w:rPr>
          <w:rFonts w:hAnsi="宋体"/>
          <w:color w:val="auto"/>
          <w:sz w:val="24"/>
          <w:highlight w:val="none"/>
        </w:rPr>
        <w:t>⑶</w:t>
      </w:r>
      <w:r>
        <w:rPr>
          <w:color w:val="auto"/>
          <w:sz w:val="24"/>
          <w:highlight w:val="none"/>
        </w:rPr>
        <w:t>进行严重不正当投标；</w:t>
      </w:r>
    </w:p>
    <w:p w14:paraId="42B47200">
      <w:pPr>
        <w:snapToGrid w:val="0"/>
        <w:spacing w:line="360" w:lineRule="auto"/>
        <w:ind w:firstLine="360" w:firstLineChars="150"/>
        <w:outlineLvl w:val="1"/>
        <w:rPr>
          <w:color w:val="auto"/>
          <w:sz w:val="24"/>
          <w:highlight w:val="none"/>
        </w:rPr>
      </w:pPr>
      <w:r>
        <w:rPr>
          <w:rFonts w:hAnsi="宋体"/>
          <w:color w:val="auto"/>
          <w:sz w:val="24"/>
          <w:highlight w:val="none"/>
        </w:rPr>
        <w:t>⑷</w:t>
      </w:r>
      <w:r>
        <w:rPr>
          <w:color w:val="auto"/>
          <w:sz w:val="24"/>
          <w:highlight w:val="none"/>
        </w:rPr>
        <w:t>未按照中标协议承诺履行相应的责任和义务；</w:t>
      </w:r>
    </w:p>
    <w:p w14:paraId="6B50A9B5">
      <w:pPr>
        <w:snapToGrid w:val="0"/>
        <w:spacing w:line="360" w:lineRule="auto"/>
        <w:ind w:firstLine="360" w:firstLineChars="150"/>
        <w:outlineLvl w:val="1"/>
        <w:rPr>
          <w:color w:val="auto"/>
          <w:sz w:val="24"/>
          <w:highlight w:val="none"/>
        </w:rPr>
      </w:pPr>
      <w:r>
        <w:rPr>
          <w:rFonts w:hAnsi="宋体"/>
          <w:color w:val="auto"/>
          <w:sz w:val="24"/>
          <w:highlight w:val="none"/>
        </w:rPr>
        <w:t>⑸</w:t>
      </w:r>
      <w:r>
        <w:rPr>
          <w:color w:val="auto"/>
          <w:sz w:val="24"/>
          <w:highlight w:val="none"/>
        </w:rPr>
        <w:t>擅自降低服务条件和服务内容；</w:t>
      </w:r>
    </w:p>
    <w:p w14:paraId="751B4F87">
      <w:pPr>
        <w:snapToGrid w:val="0"/>
        <w:spacing w:line="360" w:lineRule="auto"/>
        <w:ind w:firstLine="360" w:firstLineChars="150"/>
        <w:outlineLvl w:val="1"/>
        <w:rPr>
          <w:color w:val="auto"/>
          <w:sz w:val="24"/>
          <w:highlight w:val="none"/>
        </w:rPr>
      </w:pPr>
      <w:r>
        <w:rPr>
          <w:rFonts w:hAnsi="宋体"/>
          <w:color w:val="auto"/>
          <w:sz w:val="24"/>
          <w:highlight w:val="none"/>
        </w:rPr>
        <w:t>⑹</w:t>
      </w:r>
      <w:r>
        <w:rPr>
          <w:color w:val="auto"/>
          <w:sz w:val="24"/>
          <w:highlight w:val="none"/>
        </w:rPr>
        <w:t>出现银行挤兑、存款被盗或其他可能妨害资金安全的情形。</w:t>
      </w:r>
    </w:p>
    <w:p w14:paraId="5A348AA7">
      <w:pPr>
        <w:widowControl/>
        <w:spacing w:line="360" w:lineRule="auto"/>
        <w:jc w:val="left"/>
        <w:rPr>
          <w:b/>
          <w:color w:val="auto"/>
          <w:sz w:val="24"/>
          <w:highlight w:val="none"/>
        </w:rPr>
      </w:pPr>
    </w:p>
    <w:p w14:paraId="78D766B6">
      <w:pPr>
        <w:widowControl/>
        <w:spacing w:line="360" w:lineRule="auto"/>
        <w:jc w:val="left"/>
        <w:rPr>
          <w:color w:val="auto"/>
          <w:highlight w:val="none"/>
        </w:rPr>
      </w:pPr>
    </w:p>
    <w:p w14:paraId="28DCC040">
      <w:pPr>
        <w:snapToGrid w:val="0"/>
        <w:spacing w:line="360" w:lineRule="auto"/>
        <w:ind w:firstLine="482" w:firstLineChars="150"/>
        <w:jc w:val="center"/>
        <w:outlineLvl w:val="1"/>
        <w:rPr>
          <w:rFonts w:eastAsia="黑体"/>
          <w:b/>
          <w:color w:val="auto"/>
          <w:sz w:val="32"/>
          <w:szCs w:val="32"/>
          <w:highlight w:val="none"/>
        </w:rPr>
        <w:sectPr>
          <w:headerReference r:id="rId4" w:type="default"/>
          <w:footerReference r:id="rId5" w:type="default"/>
          <w:pgSz w:w="11906" w:h="16838"/>
          <w:pgMar w:top="1474" w:right="1797" w:bottom="1247" w:left="1797" w:header="851" w:footer="851" w:gutter="0"/>
          <w:pgBorders w:offsetFrom="page">
            <w:top w:val="none" w:sz="0" w:space="0"/>
            <w:left w:val="none" w:sz="0" w:space="0"/>
            <w:bottom w:val="none" w:sz="0" w:space="0"/>
            <w:right w:val="none" w:sz="0" w:space="0"/>
          </w:pgBorders>
          <w:pgNumType w:fmt="numberInDash"/>
          <w:cols w:space="720" w:num="1"/>
          <w:docGrid w:linePitch="312" w:charSpace="0"/>
        </w:sectPr>
      </w:pPr>
    </w:p>
    <w:p w14:paraId="55943539">
      <w:pPr>
        <w:snapToGrid w:val="0"/>
        <w:spacing w:line="360" w:lineRule="auto"/>
        <w:ind w:firstLine="482" w:firstLineChars="150"/>
        <w:jc w:val="center"/>
        <w:outlineLvl w:val="1"/>
        <w:rPr>
          <w:b/>
          <w:color w:val="auto"/>
          <w:sz w:val="32"/>
          <w:szCs w:val="32"/>
          <w:highlight w:val="none"/>
        </w:rPr>
      </w:pPr>
      <w:r>
        <w:rPr>
          <w:rFonts w:eastAsia="黑体"/>
          <w:b/>
          <w:color w:val="auto"/>
          <w:sz w:val="32"/>
          <w:szCs w:val="32"/>
          <w:highlight w:val="none"/>
        </w:rPr>
        <w:t xml:space="preserve">第三章 </w:t>
      </w:r>
      <w:r>
        <w:rPr>
          <w:rFonts w:eastAsia="黑体"/>
          <w:b/>
          <w:bCs/>
          <w:color w:val="auto"/>
          <w:sz w:val="32"/>
          <w:szCs w:val="32"/>
          <w:highlight w:val="none"/>
        </w:rPr>
        <w:t>招</w:t>
      </w:r>
      <w:r>
        <w:rPr>
          <w:rFonts w:eastAsia="黑体"/>
          <w:b/>
          <w:color w:val="auto"/>
          <w:sz w:val="32"/>
          <w:szCs w:val="32"/>
          <w:highlight w:val="none"/>
        </w:rPr>
        <w:t>标需求</w:t>
      </w:r>
    </w:p>
    <w:p w14:paraId="04B9AED4">
      <w:pPr>
        <w:pStyle w:val="16"/>
        <w:snapToGrid w:val="0"/>
        <w:spacing w:before="0" w:beforeLines="0" w:after="0" w:afterLines="0" w:line="360" w:lineRule="auto"/>
        <w:rPr>
          <w:rFonts w:ascii="Times New Roman" w:hAnsi="Times New Roman"/>
          <w:color w:val="auto"/>
          <w:highlight w:val="none"/>
        </w:rPr>
      </w:pPr>
    </w:p>
    <w:p w14:paraId="65A6B0E6">
      <w:pPr>
        <w:widowControl/>
        <w:spacing w:line="360" w:lineRule="auto"/>
        <w:ind w:firstLine="482"/>
        <w:jc w:val="left"/>
        <w:rPr>
          <w:color w:val="auto"/>
          <w:sz w:val="24"/>
          <w:highlight w:val="none"/>
        </w:rPr>
      </w:pPr>
      <w:r>
        <w:rPr>
          <w:color w:val="auto"/>
          <w:sz w:val="24"/>
          <w:highlight w:val="none"/>
        </w:rPr>
        <w:t>投标方应根据招标文件要求编写，固定格式清晰、完整填写投标文件，不得涂改，并符合以下要求：</w:t>
      </w:r>
    </w:p>
    <w:p w14:paraId="41AC58AF">
      <w:pPr>
        <w:widowControl/>
        <w:numPr>
          <w:ilvl w:val="0"/>
          <w:numId w:val="8"/>
        </w:numPr>
        <w:spacing w:line="360" w:lineRule="auto"/>
        <w:ind w:firstLine="482"/>
        <w:jc w:val="left"/>
        <w:rPr>
          <w:rFonts w:hint="eastAsia" w:ascii="Times New Roman" w:hAnsi="Times New Roman" w:eastAsia="宋体" w:cs="Times New Roman"/>
          <w:color w:val="auto"/>
          <w:sz w:val="24"/>
          <w:highlight w:val="none"/>
        </w:rPr>
      </w:pPr>
      <w:r>
        <w:rPr>
          <w:rFonts w:hint="eastAsia"/>
          <w:color w:val="auto"/>
          <w:sz w:val="24"/>
          <w:highlight w:val="none"/>
        </w:rPr>
        <w:t>本次招标账户的情况如</w:t>
      </w:r>
      <w:r>
        <w:rPr>
          <w:rFonts w:hint="eastAsia" w:ascii="Times New Roman" w:hAnsi="Times New Roman" w:eastAsia="宋体" w:cs="Times New Roman"/>
          <w:color w:val="auto"/>
          <w:sz w:val="24"/>
          <w:highlight w:val="none"/>
        </w:rPr>
        <w:t>下：</w:t>
      </w:r>
    </w:p>
    <w:tbl>
      <w:tblPr>
        <w:tblStyle w:val="31"/>
        <w:tblW w:w="8453"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4148"/>
        <w:gridCol w:w="1265"/>
        <w:gridCol w:w="1260"/>
        <w:gridCol w:w="1245"/>
      </w:tblGrid>
      <w:tr w14:paraId="79EA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535" w:type="dxa"/>
            <w:noWrap w:val="0"/>
            <w:vAlign w:val="center"/>
          </w:tcPr>
          <w:p w14:paraId="2A464FAE">
            <w:pPr>
              <w:pageBreakBefore w:val="0"/>
              <w:kinsoku/>
              <w:wordWrap/>
              <w:overflowPunct/>
              <w:topLinePunct w:val="0"/>
              <w:autoSpaceDE/>
              <w:autoSpaceDN/>
              <w:bidi w:val="0"/>
              <w:adjustRightInd/>
              <w:snapToGrid/>
              <w:spacing w:line="400" w:lineRule="exact"/>
              <w:jc w:val="center"/>
              <w:textAlignment w:val="auto"/>
              <w:rPr>
                <w:rFonts w:ascii="宋体" w:hAnsi="宋体" w:cs="宋体"/>
                <w:sz w:val="24"/>
                <w:szCs w:val="18"/>
              </w:rPr>
            </w:pPr>
            <w:r>
              <w:rPr>
                <w:rFonts w:hint="eastAsia" w:ascii="宋体" w:hAnsi="宋体" w:cs="宋体"/>
                <w:sz w:val="24"/>
                <w:szCs w:val="18"/>
              </w:rPr>
              <w:t>标项</w:t>
            </w:r>
          </w:p>
        </w:tc>
        <w:tc>
          <w:tcPr>
            <w:tcW w:w="4148" w:type="dxa"/>
            <w:noWrap w:val="0"/>
            <w:vAlign w:val="center"/>
          </w:tcPr>
          <w:p w14:paraId="22AE3361">
            <w:pPr>
              <w:pageBreakBefore w:val="0"/>
              <w:kinsoku/>
              <w:wordWrap/>
              <w:overflowPunct/>
              <w:topLinePunct w:val="0"/>
              <w:autoSpaceDE/>
              <w:autoSpaceDN/>
              <w:bidi w:val="0"/>
              <w:adjustRightInd/>
              <w:snapToGrid/>
              <w:spacing w:line="400" w:lineRule="exact"/>
              <w:jc w:val="center"/>
              <w:textAlignment w:val="auto"/>
              <w:rPr>
                <w:rFonts w:ascii="宋体" w:hAnsi="宋体" w:cs="宋体"/>
                <w:sz w:val="24"/>
                <w:szCs w:val="18"/>
              </w:rPr>
            </w:pPr>
            <w:r>
              <w:rPr>
                <w:rFonts w:hint="eastAsia" w:ascii="宋体" w:hAnsi="宋体" w:cs="宋体"/>
                <w:sz w:val="24"/>
                <w:szCs w:val="18"/>
                <w:lang w:val="en-US" w:eastAsia="zh-CN"/>
              </w:rPr>
              <w:t>标 项</w:t>
            </w:r>
            <w:r>
              <w:rPr>
                <w:rFonts w:hint="eastAsia" w:ascii="宋体" w:hAnsi="宋体" w:cs="宋体"/>
                <w:sz w:val="24"/>
                <w:szCs w:val="18"/>
              </w:rPr>
              <w:t xml:space="preserve"> 名 称</w:t>
            </w:r>
          </w:p>
        </w:tc>
        <w:tc>
          <w:tcPr>
            <w:tcW w:w="1265" w:type="dxa"/>
            <w:noWrap w:val="0"/>
            <w:vAlign w:val="center"/>
          </w:tcPr>
          <w:p w14:paraId="64452D1D">
            <w:pPr>
              <w:pageBreakBefore w:val="0"/>
              <w:kinsoku/>
              <w:wordWrap/>
              <w:overflowPunct/>
              <w:topLinePunct w:val="0"/>
              <w:autoSpaceDE/>
              <w:autoSpaceDN/>
              <w:bidi w:val="0"/>
              <w:adjustRightInd/>
              <w:snapToGrid/>
              <w:spacing w:line="400" w:lineRule="exact"/>
              <w:jc w:val="center"/>
              <w:textAlignment w:val="auto"/>
              <w:rPr>
                <w:rFonts w:ascii="宋体" w:hAnsi="宋体" w:cs="宋体"/>
                <w:sz w:val="24"/>
                <w:szCs w:val="18"/>
              </w:rPr>
            </w:pPr>
            <w:r>
              <w:rPr>
                <w:rFonts w:hint="eastAsia" w:ascii="宋体" w:hAnsi="宋体" w:cs="宋体"/>
                <w:sz w:val="24"/>
                <w:szCs w:val="18"/>
              </w:rPr>
              <w:t>开户类型</w:t>
            </w:r>
          </w:p>
        </w:tc>
        <w:tc>
          <w:tcPr>
            <w:tcW w:w="1260" w:type="dxa"/>
            <w:noWrap w:val="0"/>
            <w:vAlign w:val="center"/>
          </w:tcPr>
          <w:p w14:paraId="6714730F">
            <w:pPr>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18"/>
                <w:lang w:eastAsia="zh-CN"/>
              </w:rPr>
            </w:pPr>
            <w:r>
              <w:rPr>
                <w:rFonts w:hint="eastAsia" w:ascii="宋体" w:hAnsi="宋体" w:cs="宋体"/>
                <w:sz w:val="24"/>
                <w:szCs w:val="18"/>
                <w:lang w:eastAsia="zh-CN"/>
              </w:rPr>
              <w:t>数量</w:t>
            </w:r>
          </w:p>
        </w:tc>
        <w:tc>
          <w:tcPr>
            <w:tcW w:w="1245" w:type="dxa"/>
            <w:noWrap w:val="0"/>
            <w:vAlign w:val="center"/>
          </w:tcPr>
          <w:p w14:paraId="645AD135">
            <w:pPr>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18"/>
                <w:lang w:eastAsia="zh-CN"/>
              </w:rPr>
            </w:pPr>
            <w:r>
              <w:rPr>
                <w:rFonts w:hint="eastAsia" w:ascii="宋体" w:hAnsi="宋体" w:cs="宋体"/>
                <w:sz w:val="24"/>
                <w:szCs w:val="18"/>
                <w:lang w:eastAsia="zh-CN"/>
              </w:rPr>
              <w:t>单位</w:t>
            </w:r>
          </w:p>
        </w:tc>
      </w:tr>
      <w:tr w14:paraId="48D6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35" w:type="dxa"/>
            <w:noWrap w:val="0"/>
            <w:vAlign w:val="center"/>
          </w:tcPr>
          <w:p w14:paraId="78CD2CC5">
            <w:pPr>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18"/>
                <w:lang w:val="en-US" w:eastAsia="zh-CN"/>
              </w:rPr>
            </w:pPr>
            <w:r>
              <w:rPr>
                <w:rFonts w:hint="eastAsia" w:ascii="宋体" w:hAnsi="宋体" w:cs="宋体"/>
                <w:sz w:val="24"/>
                <w:szCs w:val="18"/>
                <w:lang w:val="en-US" w:eastAsia="zh-CN"/>
              </w:rPr>
              <w:t>1</w:t>
            </w:r>
          </w:p>
        </w:tc>
        <w:tc>
          <w:tcPr>
            <w:tcW w:w="4148" w:type="dxa"/>
            <w:noWrap w:val="0"/>
            <w:vAlign w:val="center"/>
          </w:tcPr>
          <w:p w14:paraId="2AD43B14">
            <w:pPr>
              <w:pageBreakBefore w:val="0"/>
              <w:numPr>
                <w:ilvl w:val="0"/>
                <w:numId w:val="0"/>
              </w:numPr>
              <w:kinsoku/>
              <w:wordWrap/>
              <w:overflowPunct/>
              <w:topLinePunct w:val="0"/>
              <w:autoSpaceDE/>
              <w:autoSpaceDN/>
              <w:bidi w:val="0"/>
              <w:adjustRightInd/>
              <w:snapToGrid/>
              <w:spacing w:line="400" w:lineRule="exact"/>
              <w:textAlignment w:val="auto"/>
              <w:rPr>
                <w:rFonts w:hint="default" w:ascii="宋体" w:hAnsi="宋体" w:cs="宋体"/>
                <w:sz w:val="24"/>
                <w:szCs w:val="18"/>
                <w:lang w:val="en-US" w:eastAsia="zh-CN"/>
              </w:rPr>
            </w:pPr>
            <w:r>
              <w:rPr>
                <w:rFonts w:hint="eastAsia" w:ascii="宋体" w:hAnsi="宋体" w:cs="宋体"/>
                <w:sz w:val="24"/>
                <w:szCs w:val="18"/>
                <w:lang w:eastAsia="zh-CN"/>
              </w:rPr>
              <w:t>杭州市萧山区人民政府新塘街道办事处</w:t>
            </w:r>
            <w:r>
              <w:rPr>
                <w:rFonts w:hint="eastAsia" w:ascii="宋体" w:hAnsi="宋体" w:cs="宋体"/>
                <w:sz w:val="24"/>
                <w:szCs w:val="18"/>
                <w:lang w:val="en-US" w:eastAsia="zh-CN"/>
              </w:rPr>
              <w:t>基本账户开户银行招标</w:t>
            </w:r>
          </w:p>
        </w:tc>
        <w:tc>
          <w:tcPr>
            <w:tcW w:w="1265" w:type="dxa"/>
            <w:noWrap w:val="0"/>
            <w:vAlign w:val="center"/>
          </w:tcPr>
          <w:p w14:paraId="0DF23405">
            <w:pPr>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18"/>
                <w:lang w:val="en-US" w:eastAsia="zh-CN"/>
              </w:rPr>
            </w:pPr>
            <w:r>
              <w:rPr>
                <w:rFonts w:hint="eastAsia" w:ascii="宋体" w:hAnsi="宋体" w:cs="宋体"/>
                <w:sz w:val="24"/>
                <w:szCs w:val="18"/>
                <w:lang w:val="en-US" w:eastAsia="zh-CN"/>
              </w:rPr>
              <w:t>基本户</w:t>
            </w:r>
          </w:p>
        </w:tc>
        <w:tc>
          <w:tcPr>
            <w:tcW w:w="1260" w:type="dxa"/>
            <w:noWrap w:val="0"/>
            <w:vAlign w:val="center"/>
          </w:tcPr>
          <w:p w14:paraId="3C2EA914">
            <w:pPr>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sz w:val="24"/>
                <w:szCs w:val="18"/>
                <w:lang w:val="en-US" w:eastAsia="zh-CN"/>
              </w:rPr>
            </w:pPr>
            <w:r>
              <w:rPr>
                <w:rFonts w:hint="eastAsia" w:ascii="宋体" w:hAnsi="宋体" w:cs="宋体"/>
                <w:sz w:val="24"/>
                <w:szCs w:val="18"/>
                <w:lang w:val="en-US" w:eastAsia="zh-CN"/>
              </w:rPr>
              <w:t>1</w:t>
            </w:r>
          </w:p>
        </w:tc>
        <w:tc>
          <w:tcPr>
            <w:tcW w:w="1245" w:type="dxa"/>
            <w:noWrap w:val="0"/>
            <w:vAlign w:val="center"/>
          </w:tcPr>
          <w:p w14:paraId="48617669">
            <w:pPr>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sz w:val="24"/>
                <w:szCs w:val="18"/>
                <w:lang w:eastAsia="zh-CN"/>
              </w:rPr>
            </w:pPr>
            <w:r>
              <w:rPr>
                <w:rFonts w:hint="eastAsia" w:ascii="宋体" w:hAnsi="宋体" w:cs="宋体"/>
                <w:sz w:val="24"/>
                <w:szCs w:val="18"/>
                <w:lang w:eastAsia="zh-CN"/>
              </w:rPr>
              <w:t>家</w:t>
            </w:r>
          </w:p>
        </w:tc>
      </w:tr>
      <w:tr w14:paraId="40A8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35" w:type="dxa"/>
            <w:noWrap w:val="0"/>
            <w:vAlign w:val="center"/>
          </w:tcPr>
          <w:p w14:paraId="75C449DA">
            <w:pPr>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sz w:val="24"/>
                <w:szCs w:val="18"/>
                <w:lang w:val="en-US" w:eastAsia="zh-CN"/>
              </w:rPr>
            </w:pPr>
            <w:r>
              <w:rPr>
                <w:rFonts w:hint="eastAsia" w:ascii="宋体" w:hAnsi="宋体" w:cs="宋体"/>
                <w:sz w:val="24"/>
                <w:szCs w:val="18"/>
                <w:lang w:val="en-US" w:eastAsia="zh-CN"/>
              </w:rPr>
              <w:t>2</w:t>
            </w:r>
          </w:p>
        </w:tc>
        <w:tc>
          <w:tcPr>
            <w:tcW w:w="4148" w:type="dxa"/>
            <w:noWrap w:val="0"/>
            <w:vAlign w:val="center"/>
          </w:tcPr>
          <w:p w14:paraId="49616823">
            <w:pPr>
              <w:pageBreakBefore w:val="0"/>
              <w:numPr>
                <w:ilvl w:val="0"/>
                <w:numId w:val="0"/>
              </w:numPr>
              <w:kinsoku/>
              <w:wordWrap/>
              <w:overflowPunct/>
              <w:topLinePunct w:val="0"/>
              <w:autoSpaceDE/>
              <w:autoSpaceDN/>
              <w:bidi w:val="0"/>
              <w:adjustRightInd/>
              <w:snapToGrid/>
              <w:spacing w:line="400" w:lineRule="exact"/>
              <w:ind w:left="0" w:leftChars="0" w:firstLine="0" w:firstLineChars="0"/>
              <w:textAlignment w:val="auto"/>
              <w:rPr>
                <w:rFonts w:hint="default" w:ascii="宋体" w:hAnsi="宋体" w:cs="宋体"/>
                <w:sz w:val="24"/>
                <w:szCs w:val="18"/>
                <w:lang w:val="en-US" w:eastAsia="zh-CN"/>
              </w:rPr>
            </w:pPr>
            <w:r>
              <w:rPr>
                <w:rFonts w:hint="eastAsia" w:ascii="宋体" w:hAnsi="宋体" w:cs="宋体"/>
                <w:sz w:val="24"/>
                <w:szCs w:val="18"/>
                <w:lang w:val="en-US" w:eastAsia="zh-CN"/>
              </w:rPr>
              <w:t>杭州市萧山区人民政府新塘街道办事处党费专户开户银行招标项目</w:t>
            </w:r>
          </w:p>
        </w:tc>
        <w:tc>
          <w:tcPr>
            <w:tcW w:w="1265" w:type="dxa"/>
            <w:noWrap w:val="0"/>
            <w:vAlign w:val="center"/>
          </w:tcPr>
          <w:p w14:paraId="32F86587">
            <w:pPr>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4"/>
                <w:szCs w:val="18"/>
                <w:lang w:val="en-US" w:eastAsia="zh-CN"/>
              </w:rPr>
            </w:pPr>
            <w:r>
              <w:rPr>
                <w:rFonts w:hint="eastAsia" w:ascii="宋体" w:hAnsi="宋体" w:cs="宋体"/>
                <w:sz w:val="24"/>
                <w:szCs w:val="18"/>
                <w:lang w:val="en-US" w:eastAsia="zh-CN"/>
              </w:rPr>
              <w:t>党费专户</w:t>
            </w:r>
          </w:p>
        </w:tc>
        <w:tc>
          <w:tcPr>
            <w:tcW w:w="1260" w:type="dxa"/>
            <w:noWrap w:val="0"/>
            <w:vAlign w:val="center"/>
          </w:tcPr>
          <w:p w14:paraId="07067B26">
            <w:pPr>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sz w:val="24"/>
                <w:szCs w:val="18"/>
                <w:lang w:val="en-US" w:eastAsia="zh-CN"/>
              </w:rPr>
            </w:pPr>
            <w:r>
              <w:rPr>
                <w:rFonts w:hint="eastAsia" w:ascii="宋体" w:hAnsi="宋体" w:cs="宋体"/>
                <w:sz w:val="24"/>
                <w:szCs w:val="18"/>
                <w:lang w:val="en-US" w:eastAsia="zh-CN"/>
              </w:rPr>
              <w:t>1</w:t>
            </w:r>
          </w:p>
        </w:tc>
        <w:tc>
          <w:tcPr>
            <w:tcW w:w="1245" w:type="dxa"/>
            <w:noWrap w:val="0"/>
            <w:vAlign w:val="center"/>
          </w:tcPr>
          <w:p w14:paraId="28E0BFA3">
            <w:pPr>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sz w:val="24"/>
                <w:szCs w:val="18"/>
                <w:lang w:eastAsia="zh-CN"/>
              </w:rPr>
            </w:pPr>
            <w:r>
              <w:rPr>
                <w:rFonts w:hint="eastAsia" w:ascii="宋体" w:hAnsi="宋体" w:cs="宋体"/>
                <w:sz w:val="24"/>
                <w:szCs w:val="18"/>
                <w:lang w:eastAsia="zh-CN"/>
              </w:rPr>
              <w:t>家</w:t>
            </w:r>
          </w:p>
        </w:tc>
      </w:tr>
    </w:tbl>
    <w:p w14:paraId="12334D09">
      <w:pPr>
        <w:pStyle w:val="47"/>
        <w:spacing w:line="360" w:lineRule="auto"/>
        <w:ind w:firstLine="480" w:firstLineChars="200"/>
        <w:rPr>
          <w:rFonts w:hint="eastAsia"/>
        </w:rPr>
      </w:pPr>
      <w:r>
        <w:rPr>
          <w:rFonts w:hint="eastAsia"/>
        </w:rPr>
        <w:t>▲</w:t>
      </w:r>
      <w:r>
        <w:rPr>
          <w:rFonts w:hint="eastAsia" w:ascii="Times New Roman" w:hAnsi="Times New Roman" w:eastAsia="宋体" w:cs="Times New Roman"/>
          <w:color w:val="auto"/>
          <w:kern w:val="2"/>
          <w:sz w:val="24"/>
          <w:szCs w:val="24"/>
          <w:highlight w:val="none"/>
          <w:lang w:val="en-US" w:eastAsia="zh-CN" w:bidi="ar-SA"/>
        </w:rPr>
        <w:t>注：本项目共分为三个标项，各投标人按所投标项依次投标，可重复投标，但不可重复中标，开标顺序按照标项顺序依次开标，前一标项中标单位自动视为放弃之后所有标项中标权利。</w:t>
      </w:r>
    </w:p>
    <w:p w14:paraId="07D3B8A3">
      <w:pPr>
        <w:widowControl/>
        <w:spacing w:line="360" w:lineRule="auto"/>
        <w:ind w:firstLine="480"/>
        <w:jc w:val="left"/>
        <w:rPr>
          <w:color w:val="auto"/>
          <w:sz w:val="24"/>
          <w:highlight w:val="none"/>
        </w:rPr>
      </w:pPr>
    </w:p>
    <w:p w14:paraId="145A2693">
      <w:pPr>
        <w:widowControl/>
        <w:spacing w:line="360" w:lineRule="auto"/>
        <w:ind w:firstLine="480"/>
        <w:jc w:val="left"/>
        <w:rPr>
          <w:color w:val="auto"/>
          <w:sz w:val="24"/>
          <w:highlight w:val="none"/>
        </w:rPr>
      </w:pPr>
      <w:r>
        <w:rPr>
          <w:color w:val="auto"/>
          <w:sz w:val="24"/>
          <w:highlight w:val="none"/>
        </w:rPr>
        <w:t>2、投标人应提供</w:t>
      </w:r>
      <w:r>
        <w:rPr>
          <w:rFonts w:hint="eastAsia"/>
          <w:color w:val="auto"/>
          <w:sz w:val="24"/>
          <w:highlight w:val="none"/>
        </w:rPr>
        <w:t>活期存款</w:t>
      </w:r>
      <w:r>
        <w:rPr>
          <w:rFonts w:hint="eastAsia"/>
          <w:color w:val="auto"/>
          <w:sz w:val="24"/>
          <w:highlight w:val="none"/>
          <w:lang w:eastAsia="zh-CN"/>
        </w:rPr>
        <w:t>、</w:t>
      </w:r>
      <w:r>
        <w:rPr>
          <w:rFonts w:hint="eastAsia"/>
          <w:color w:val="auto"/>
          <w:sz w:val="24"/>
          <w:highlight w:val="none"/>
        </w:rPr>
        <w:t>协定存款</w:t>
      </w:r>
      <w:r>
        <w:rPr>
          <w:rFonts w:hint="eastAsia"/>
          <w:color w:val="auto"/>
          <w:sz w:val="24"/>
          <w:highlight w:val="none"/>
          <w:lang w:eastAsia="zh-CN"/>
        </w:rPr>
        <w:t>、</w:t>
      </w:r>
      <w:r>
        <w:rPr>
          <w:rFonts w:hint="eastAsia"/>
          <w:color w:val="auto"/>
          <w:sz w:val="24"/>
          <w:highlight w:val="none"/>
        </w:rPr>
        <w:t>七天通知存款</w:t>
      </w:r>
      <w:r>
        <w:rPr>
          <w:rFonts w:hint="eastAsia"/>
          <w:color w:val="auto"/>
          <w:sz w:val="24"/>
          <w:highlight w:val="none"/>
          <w:lang w:eastAsia="zh-CN"/>
        </w:rPr>
        <w:t>、</w:t>
      </w:r>
      <w:r>
        <w:rPr>
          <w:rFonts w:hint="eastAsia"/>
          <w:color w:val="auto"/>
          <w:sz w:val="24"/>
          <w:highlight w:val="none"/>
        </w:rPr>
        <w:t>六个月定期存款</w:t>
      </w:r>
      <w:r>
        <w:rPr>
          <w:rFonts w:hint="eastAsia"/>
          <w:color w:val="auto"/>
          <w:sz w:val="24"/>
          <w:highlight w:val="none"/>
          <w:lang w:eastAsia="zh-CN"/>
        </w:rPr>
        <w:t>、</w:t>
      </w:r>
      <w:r>
        <w:rPr>
          <w:rFonts w:hint="eastAsia"/>
          <w:color w:val="auto"/>
          <w:sz w:val="24"/>
          <w:highlight w:val="none"/>
        </w:rPr>
        <w:t>一年期定期</w:t>
      </w:r>
      <w:r>
        <w:rPr>
          <w:color w:val="auto"/>
          <w:sz w:val="24"/>
          <w:highlight w:val="none"/>
        </w:rPr>
        <w:t>存款利率较基准利率的上浮</w:t>
      </w:r>
      <w:r>
        <w:rPr>
          <w:rFonts w:hint="eastAsia"/>
          <w:color w:val="auto"/>
          <w:sz w:val="24"/>
          <w:highlight w:val="none"/>
          <w:lang w:eastAsia="zh-CN"/>
        </w:rPr>
        <w:t>或者下浮</w:t>
      </w:r>
      <w:r>
        <w:rPr>
          <w:rFonts w:hint="eastAsia"/>
          <w:color w:val="auto"/>
          <w:sz w:val="24"/>
          <w:highlight w:val="none"/>
        </w:rPr>
        <w:t>基点</w:t>
      </w:r>
      <w:r>
        <w:rPr>
          <w:color w:val="auto"/>
          <w:sz w:val="24"/>
          <w:highlight w:val="none"/>
        </w:rPr>
        <w:t>；</w:t>
      </w:r>
    </w:p>
    <w:p w14:paraId="4DA57915">
      <w:pPr>
        <w:widowControl/>
        <w:spacing w:line="360" w:lineRule="auto"/>
        <w:ind w:firstLine="480"/>
        <w:jc w:val="left"/>
        <w:rPr>
          <w:rFonts w:hint="eastAsia"/>
          <w:color w:val="auto"/>
          <w:sz w:val="24"/>
          <w:highlight w:val="none"/>
        </w:rPr>
      </w:pPr>
      <w:r>
        <w:rPr>
          <w:rFonts w:hint="eastAsia"/>
          <w:color w:val="auto"/>
          <w:sz w:val="24"/>
          <w:highlight w:val="none"/>
        </w:rPr>
        <w:t>3、</w:t>
      </w:r>
      <w:r>
        <w:rPr>
          <w:rFonts w:hint="eastAsia" w:ascii="Times New Roman" w:hAnsi="Times New Roman" w:eastAsia="宋体" w:cs="Times New Roman"/>
          <w:color w:val="auto"/>
          <w:sz w:val="24"/>
          <w:highlight w:val="none"/>
          <w:lang w:val="en-US" w:eastAsia="zh-CN"/>
        </w:rPr>
        <w:t>账户</w:t>
      </w:r>
      <w:r>
        <w:rPr>
          <w:rFonts w:hint="eastAsia"/>
          <w:color w:val="auto"/>
          <w:sz w:val="24"/>
          <w:highlight w:val="none"/>
        </w:rPr>
        <w:t>服务</w:t>
      </w:r>
      <w:r>
        <w:rPr>
          <w:color w:val="auto"/>
          <w:sz w:val="24"/>
          <w:highlight w:val="none"/>
        </w:rPr>
        <w:t>包括日常资金结算服务、代收代付</w:t>
      </w:r>
      <w:r>
        <w:rPr>
          <w:rFonts w:hint="eastAsia"/>
          <w:color w:val="auto"/>
          <w:sz w:val="24"/>
          <w:highlight w:val="none"/>
        </w:rPr>
        <w:t>代办</w:t>
      </w:r>
      <w:r>
        <w:rPr>
          <w:color w:val="auto"/>
          <w:sz w:val="24"/>
          <w:highlight w:val="none"/>
        </w:rPr>
        <w:t>、转账汇款、账户对帐服务、年检服务、</w:t>
      </w:r>
      <w:r>
        <w:rPr>
          <w:rFonts w:hint="eastAsia"/>
          <w:color w:val="auto"/>
          <w:sz w:val="24"/>
          <w:highlight w:val="none"/>
        </w:rPr>
        <w:t>集中代发、</w:t>
      </w:r>
      <w:r>
        <w:rPr>
          <w:color w:val="auto"/>
          <w:sz w:val="24"/>
          <w:highlight w:val="none"/>
        </w:rPr>
        <w:t>网银操作、安全保障</w:t>
      </w:r>
      <w:r>
        <w:rPr>
          <w:rFonts w:hint="eastAsia"/>
          <w:color w:val="auto"/>
          <w:sz w:val="24"/>
          <w:highlight w:val="none"/>
        </w:rPr>
        <w:t>、</w:t>
      </w:r>
      <w:r>
        <w:rPr>
          <w:color w:val="auto"/>
          <w:sz w:val="24"/>
          <w:highlight w:val="none"/>
        </w:rPr>
        <w:t>保函服务等在内的一切配套基本服务。</w:t>
      </w:r>
    </w:p>
    <w:p w14:paraId="5E2BE2C3">
      <w:pPr>
        <w:widowControl/>
        <w:spacing w:line="360" w:lineRule="auto"/>
        <w:ind w:firstLine="482"/>
        <w:jc w:val="left"/>
        <w:rPr>
          <w:rFonts w:hint="eastAsia"/>
          <w:color w:val="auto"/>
          <w:sz w:val="24"/>
          <w:highlight w:val="none"/>
        </w:rPr>
      </w:pPr>
      <w:r>
        <w:rPr>
          <w:rFonts w:hint="eastAsia"/>
          <w:color w:val="auto"/>
          <w:sz w:val="24"/>
          <w:highlight w:val="none"/>
        </w:rPr>
        <w:t>①应接纳银行支票、汇票、本票或者金融机构、担保机构出具的保函等所有形式的支付业务。</w:t>
      </w:r>
    </w:p>
    <w:p w14:paraId="4A7BE14E">
      <w:pPr>
        <w:widowControl/>
        <w:spacing w:line="360" w:lineRule="auto"/>
        <w:ind w:firstLine="482"/>
        <w:jc w:val="left"/>
        <w:rPr>
          <w:rFonts w:hint="eastAsia"/>
          <w:color w:val="auto"/>
          <w:sz w:val="24"/>
          <w:highlight w:val="none"/>
        </w:rPr>
      </w:pPr>
      <w:r>
        <w:rPr>
          <w:rFonts w:hint="eastAsia"/>
          <w:color w:val="auto"/>
          <w:sz w:val="24"/>
          <w:highlight w:val="none"/>
        </w:rPr>
        <w:t>②应接受从所有银行帐户提交的支付信息，并支持网上、柜面、自助终端等多种支付方式。</w:t>
      </w:r>
    </w:p>
    <w:p w14:paraId="179717D2">
      <w:pPr>
        <w:widowControl/>
        <w:spacing w:line="360" w:lineRule="auto"/>
        <w:ind w:firstLine="482"/>
        <w:jc w:val="left"/>
        <w:rPr>
          <w:rFonts w:hint="eastAsia"/>
          <w:color w:val="auto"/>
          <w:sz w:val="24"/>
          <w:highlight w:val="none"/>
        </w:rPr>
      </w:pPr>
      <w:r>
        <w:rPr>
          <w:rFonts w:hint="eastAsia"/>
          <w:color w:val="auto"/>
          <w:sz w:val="24"/>
          <w:highlight w:val="none"/>
        </w:rPr>
        <w:t>③应在收到招标单位发出需支付指令后1个工作日内支付。</w:t>
      </w:r>
    </w:p>
    <w:p w14:paraId="477E0CF0">
      <w:pPr>
        <w:widowControl/>
        <w:spacing w:line="360" w:lineRule="auto"/>
        <w:ind w:firstLine="482"/>
        <w:jc w:val="left"/>
        <w:rPr>
          <w:rFonts w:hint="eastAsia"/>
          <w:color w:val="auto"/>
          <w:sz w:val="24"/>
          <w:highlight w:val="none"/>
        </w:rPr>
      </w:pPr>
      <w:r>
        <w:rPr>
          <w:rFonts w:hint="eastAsia" w:ascii="宋体" w:hAnsi="宋体" w:cs="宋体"/>
          <w:color w:val="auto"/>
          <w:sz w:val="24"/>
          <w:highlight w:val="none"/>
        </w:rPr>
        <w:t>④</w:t>
      </w:r>
      <w:r>
        <w:rPr>
          <w:rFonts w:hint="eastAsia"/>
          <w:color w:val="auto"/>
          <w:sz w:val="24"/>
          <w:highlight w:val="none"/>
        </w:rPr>
        <w:t>应向招标单位提供便捷的数据导入导出模式。</w:t>
      </w:r>
    </w:p>
    <w:p w14:paraId="4DB0C953">
      <w:pPr>
        <w:widowControl/>
        <w:spacing w:line="360" w:lineRule="auto"/>
        <w:ind w:firstLine="482"/>
        <w:jc w:val="left"/>
        <w:rPr>
          <w:rFonts w:hint="eastAsia"/>
          <w:color w:val="auto"/>
          <w:sz w:val="24"/>
          <w:highlight w:val="none"/>
        </w:rPr>
      </w:pPr>
      <w:r>
        <w:rPr>
          <w:rFonts w:hint="eastAsia"/>
          <w:color w:val="auto"/>
          <w:sz w:val="24"/>
          <w:highlight w:val="none"/>
        </w:rPr>
        <w:t>⑥应提供回单送达、年检年审、资金证明开具等上门服务工作。</w:t>
      </w:r>
    </w:p>
    <w:p w14:paraId="262F1860">
      <w:pPr>
        <w:widowControl/>
        <w:spacing w:line="360" w:lineRule="auto"/>
        <w:ind w:firstLine="482"/>
        <w:jc w:val="left"/>
        <w:rPr>
          <w:rFonts w:hint="eastAsia"/>
          <w:color w:val="auto"/>
          <w:sz w:val="24"/>
          <w:highlight w:val="none"/>
        </w:rPr>
      </w:pPr>
      <w:r>
        <w:rPr>
          <w:rFonts w:hint="eastAsia"/>
          <w:color w:val="auto"/>
          <w:sz w:val="24"/>
          <w:highlight w:val="none"/>
        </w:rPr>
        <w:t>⑦向招标人提交最佳资金增值方案，协助招标人实现资金收益最大化。</w:t>
      </w:r>
    </w:p>
    <w:p w14:paraId="6ECC0B44">
      <w:pPr>
        <w:widowControl/>
        <w:spacing w:line="360" w:lineRule="auto"/>
        <w:ind w:firstLine="482"/>
        <w:jc w:val="left"/>
        <w:rPr>
          <w:rFonts w:hint="eastAsia"/>
          <w:color w:val="auto"/>
          <w:sz w:val="24"/>
          <w:highlight w:val="none"/>
        </w:rPr>
      </w:pPr>
      <w:r>
        <w:rPr>
          <w:rFonts w:hint="eastAsia"/>
          <w:color w:val="auto"/>
          <w:sz w:val="24"/>
          <w:highlight w:val="none"/>
        </w:rPr>
        <w:t>⑧提供上门代办服务，如上门领取支票代办转账服务，代办业务委托书等。</w:t>
      </w:r>
    </w:p>
    <w:p w14:paraId="2E07D56C">
      <w:pPr>
        <w:widowControl/>
        <w:spacing w:line="360" w:lineRule="auto"/>
        <w:jc w:val="left"/>
        <w:rPr>
          <w:color w:val="auto"/>
          <w:sz w:val="24"/>
          <w:highlight w:val="none"/>
        </w:rPr>
      </w:pPr>
      <w:r>
        <w:rPr>
          <w:color w:val="auto"/>
          <w:sz w:val="24"/>
          <w:highlight w:val="none"/>
        </w:rPr>
        <w:t xml:space="preserve">    </w:t>
      </w:r>
      <w:r>
        <w:rPr>
          <w:rFonts w:hint="eastAsia"/>
          <w:color w:val="auto"/>
          <w:sz w:val="24"/>
          <w:highlight w:val="none"/>
        </w:rPr>
        <w:t>4、</w:t>
      </w:r>
      <w:r>
        <w:rPr>
          <w:color w:val="auto"/>
          <w:sz w:val="24"/>
          <w:highlight w:val="none"/>
        </w:rPr>
        <w:t>银行故障或</w:t>
      </w:r>
      <w:r>
        <w:rPr>
          <w:rFonts w:hint="eastAsia"/>
          <w:color w:val="auto"/>
          <w:sz w:val="24"/>
          <w:highlight w:val="none"/>
          <w:lang w:val="en-US" w:eastAsia="zh-CN"/>
        </w:rPr>
        <w:t>招标</w:t>
      </w:r>
      <w:r>
        <w:rPr>
          <w:color w:val="auto"/>
          <w:sz w:val="24"/>
          <w:highlight w:val="none"/>
        </w:rPr>
        <w:t>人工作遇到疑问时，投标人应能够30分钟内及时响应</w:t>
      </w:r>
      <w:r>
        <w:rPr>
          <w:rFonts w:hint="eastAsia"/>
          <w:color w:val="auto"/>
          <w:sz w:val="24"/>
          <w:highlight w:val="none"/>
          <w:lang w:eastAsia="zh-CN"/>
        </w:rPr>
        <w:t>招标人</w:t>
      </w:r>
      <w:r>
        <w:rPr>
          <w:color w:val="auto"/>
          <w:sz w:val="24"/>
          <w:highlight w:val="none"/>
        </w:rPr>
        <w:t>疑问或维修要求，并在2小时内提出解决方案，24小时内解决问题。</w:t>
      </w:r>
    </w:p>
    <w:p w14:paraId="6DAC2033">
      <w:pPr>
        <w:widowControl/>
        <w:spacing w:line="360" w:lineRule="auto"/>
        <w:ind w:firstLine="480"/>
        <w:jc w:val="left"/>
        <w:rPr>
          <w:color w:val="auto"/>
          <w:sz w:val="24"/>
          <w:highlight w:val="none"/>
        </w:rPr>
      </w:pPr>
      <w:r>
        <w:rPr>
          <w:rFonts w:hint="eastAsia"/>
          <w:color w:val="auto"/>
          <w:sz w:val="24"/>
          <w:highlight w:val="none"/>
        </w:rPr>
        <w:t>5、</w:t>
      </w:r>
      <w:r>
        <w:rPr>
          <w:color w:val="auto"/>
          <w:sz w:val="24"/>
          <w:highlight w:val="none"/>
        </w:rPr>
        <w:t>投标人应提供银行的经营合法性、经营状况证明；</w:t>
      </w:r>
    </w:p>
    <w:p w14:paraId="17379226">
      <w:pPr>
        <w:widowControl/>
        <w:spacing w:line="360" w:lineRule="auto"/>
        <w:jc w:val="left"/>
        <w:rPr>
          <w:color w:val="auto"/>
          <w:sz w:val="24"/>
          <w:highlight w:val="none"/>
        </w:rPr>
      </w:pPr>
      <w:r>
        <w:rPr>
          <w:color w:val="auto"/>
          <w:sz w:val="24"/>
          <w:highlight w:val="none"/>
        </w:rPr>
        <w:t xml:space="preserve">    </w:t>
      </w:r>
      <w:r>
        <w:rPr>
          <w:rFonts w:hint="eastAsia"/>
          <w:color w:val="auto"/>
          <w:sz w:val="24"/>
          <w:highlight w:val="none"/>
        </w:rPr>
        <w:t>6、</w:t>
      </w:r>
      <w:r>
        <w:rPr>
          <w:color w:val="auto"/>
          <w:sz w:val="24"/>
          <w:highlight w:val="none"/>
        </w:rPr>
        <w:t>招标合同期</w:t>
      </w:r>
    </w:p>
    <w:p w14:paraId="4175A5A1">
      <w:pPr>
        <w:widowControl/>
        <w:spacing w:line="360" w:lineRule="auto"/>
        <w:ind w:firstLine="720" w:firstLineChars="300"/>
        <w:jc w:val="left"/>
        <w:rPr>
          <w:rFonts w:hint="eastAsia"/>
          <w:color w:val="auto"/>
          <w:sz w:val="24"/>
          <w:highlight w:val="none"/>
        </w:rPr>
      </w:pPr>
      <w:r>
        <w:rPr>
          <w:rFonts w:hint="eastAsia"/>
          <w:color w:val="auto"/>
          <w:sz w:val="24"/>
          <w:highlight w:val="none"/>
        </w:rPr>
        <w:t>招标合同期为</w:t>
      </w:r>
      <w:r>
        <w:rPr>
          <w:rFonts w:hint="eastAsia"/>
          <w:color w:val="auto"/>
          <w:sz w:val="24"/>
          <w:highlight w:val="none"/>
          <w:lang w:val="en-US" w:eastAsia="zh-CN"/>
        </w:rPr>
        <w:t>5</w:t>
      </w:r>
      <w:r>
        <w:rPr>
          <w:rFonts w:hint="eastAsia"/>
          <w:color w:val="auto"/>
          <w:sz w:val="24"/>
          <w:highlight w:val="none"/>
        </w:rPr>
        <w:t>年。</w:t>
      </w:r>
    </w:p>
    <w:p w14:paraId="62E73A09">
      <w:pPr>
        <w:widowControl/>
        <w:numPr>
          <w:ilvl w:val="0"/>
          <w:numId w:val="0"/>
        </w:numPr>
        <w:spacing w:line="360" w:lineRule="auto"/>
        <w:ind w:firstLine="480" w:firstLineChars="200"/>
        <w:jc w:val="left"/>
        <w:rPr>
          <w:color w:val="auto"/>
          <w:sz w:val="24"/>
          <w:highlight w:val="none"/>
        </w:rPr>
      </w:pPr>
      <w:r>
        <w:rPr>
          <w:rFonts w:hint="eastAsia"/>
          <w:color w:val="auto"/>
          <w:sz w:val="24"/>
          <w:highlight w:val="none"/>
          <w:lang w:val="en-US" w:eastAsia="zh-CN"/>
        </w:rPr>
        <w:t>7、</w:t>
      </w:r>
      <w:r>
        <w:rPr>
          <w:color w:val="auto"/>
          <w:sz w:val="24"/>
          <w:highlight w:val="none"/>
        </w:rPr>
        <w:t>本次招标中标人的存款额度并不固定，中标人须承诺接受存款分配额度。</w:t>
      </w:r>
      <w:r>
        <w:rPr>
          <w:rFonts w:hint="eastAsia"/>
          <w:color w:val="auto"/>
          <w:sz w:val="24"/>
          <w:highlight w:val="none"/>
        </w:rPr>
        <w:t>中标人应在服务期内，按招标人要求进行账户内资金活、定期存款的存放。</w:t>
      </w:r>
    </w:p>
    <w:p w14:paraId="0F7BA409">
      <w:pPr>
        <w:pStyle w:val="16"/>
        <w:snapToGrid w:val="0"/>
        <w:spacing w:before="120" w:after="120" w:line="360" w:lineRule="auto"/>
        <w:jc w:val="center"/>
        <w:outlineLvl w:val="0"/>
        <w:rPr>
          <w:rFonts w:ascii="Times New Roman" w:hAnsi="Times New Roman" w:eastAsia="黑体"/>
          <w:b/>
          <w:color w:val="auto"/>
          <w:sz w:val="32"/>
          <w:szCs w:val="32"/>
          <w:highlight w:val="none"/>
        </w:rPr>
      </w:pPr>
      <w:r>
        <w:rPr>
          <w:rFonts w:ascii="Times New Roman" w:hAnsi="Times New Roman" w:eastAsia="黑体"/>
          <w:b/>
          <w:color w:val="auto"/>
          <w:sz w:val="32"/>
          <w:szCs w:val="32"/>
          <w:highlight w:val="none"/>
        </w:rPr>
        <w:br w:type="page"/>
      </w:r>
      <w:r>
        <w:rPr>
          <w:rFonts w:ascii="Times New Roman" w:hAnsi="Times New Roman" w:eastAsia="黑体"/>
          <w:b/>
          <w:color w:val="auto"/>
          <w:sz w:val="32"/>
          <w:szCs w:val="32"/>
          <w:highlight w:val="none"/>
        </w:rPr>
        <w:t>第四章 评标原则及评标细则</w:t>
      </w:r>
    </w:p>
    <w:p w14:paraId="72270219">
      <w:pPr>
        <w:widowControl/>
        <w:snapToGrid w:val="0"/>
        <w:spacing w:line="360" w:lineRule="auto"/>
        <w:ind w:firstLine="480" w:firstLineChars="200"/>
        <w:rPr>
          <w:color w:val="auto"/>
          <w:sz w:val="24"/>
          <w:highlight w:val="none"/>
        </w:rPr>
      </w:pPr>
      <w:r>
        <w:rPr>
          <w:rFonts w:hint="eastAsia"/>
          <w:color w:val="auto"/>
          <w:sz w:val="24"/>
          <w:highlight w:val="none"/>
          <w:lang w:eastAsia="zh-CN"/>
        </w:rPr>
        <w:t>根</w:t>
      </w:r>
      <w:r>
        <w:rPr>
          <w:rFonts w:hint="eastAsia" w:ascii="Times New Roman" w:hAnsi="Times New Roman" w:eastAsia="宋体" w:cs="Times New Roman"/>
          <w:color w:val="auto"/>
          <w:sz w:val="24"/>
          <w:highlight w:val="none"/>
          <w:lang w:eastAsia="zh-CN"/>
        </w:rPr>
        <w:t>据《杭州市萧山区区级行政事业单位公款竞争性存放管理办法》（萧政</w:t>
      </w:r>
      <w:r>
        <w:rPr>
          <w:rFonts w:hint="eastAsia"/>
          <w:bCs/>
          <w:color w:val="auto"/>
          <w:kern w:val="0"/>
          <w:sz w:val="24"/>
          <w:highlight w:val="none"/>
        </w:rPr>
        <w:t>办发【</w:t>
      </w:r>
      <w:r>
        <w:rPr>
          <w:rFonts w:hint="eastAsia"/>
          <w:bCs/>
          <w:color w:val="auto"/>
          <w:kern w:val="0"/>
          <w:sz w:val="24"/>
          <w:highlight w:val="none"/>
          <w:lang w:eastAsia="zh-CN"/>
        </w:rPr>
        <w:t>2023</w:t>
      </w:r>
      <w:r>
        <w:rPr>
          <w:rFonts w:hint="eastAsia"/>
          <w:bCs/>
          <w:color w:val="auto"/>
          <w:kern w:val="0"/>
          <w:sz w:val="24"/>
          <w:highlight w:val="none"/>
        </w:rPr>
        <w:t>】</w:t>
      </w:r>
      <w:r>
        <w:rPr>
          <w:rFonts w:hint="eastAsia"/>
          <w:bCs/>
          <w:color w:val="auto"/>
          <w:kern w:val="0"/>
          <w:sz w:val="24"/>
          <w:highlight w:val="none"/>
          <w:lang w:val="en-US" w:eastAsia="zh-CN"/>
        </w:rPr>
        <w:t>53</w:t>
      </w:r>
      <w:r>
        <w:rPr>
          <w:rFonts w:hint="eastAsia"/>
          <w:bCs/>
          <w:color w:val="auto"/>
          <w:kern w:val="0"/>
          <w:sz w:val="24"/>
          <w:highlight w:val="none"/>
        </w:rPr>
        <w:t>号）</w:t>
      </w:r>
      <w:r>
        <w:rPr>
          <w:rFonts w:hint="eastAsia"/>
          <w:color w:val="auto"/>
          <w:sz w:val="24"/>
          <w:highlight w:val="none"/>
        </w:rPr>
        <w:t>规定、</w:t>
      </w:r>
      <w:r>
        <w:rPr>
          <w:color w:val="auto"/>
          <w:sz w:val="24"/>
          <w:highlight w:val="none"/>
        </w:rPr>
        <w:t>《评标委员会和评标方法暂行规定》（原国家发展计划委员会等七部委令 第12号）等有关规定，制定本办法。</w:t>
      </w:r>
    </w:p>
    <w:p w14:paraId="3A5C901F">
      <w:pPr>
        <w:widowControl/>
        <w:snapToGrid w:val="0"/>
        <w:spacing w:line="360" w:lineRule="auto"/>
        <w:ind w:firstLine="472" w:firstLineChars="196"/>
        <w:rPr>
          <w:b/>
          <w:color w:val="auto"/>
          <w:kern w:val="0"/>
          <w:sz w:val="24"/>
          <w:highlight w:val="none"/>
        </w:rPr>
      </w:pPr>
      <w:bookmarkStart w:id="0" w:name="_Toc228002628"/>
      <w:bookmarkStart w:id="1" w:name="_Toc243928852"/>
      <w:bookmarkStart w:id="2" w:name="_Toc225649426"/>
      <w:bookmarkStart w:id="3" w:name="_Toc370808405"/>
      <w:r>
        <w:rPr>
          <w:b/>
          <w:color w:val="auto"/>
          <w:kern w:val="0"/>
          <w:sz w:val="24"/>
          <w:highlight w:val="none"/>
        </w:rPr>
        <w:t>一、</w:t>
      </w:r>
      <w:bookmarkEnd w:id="0"/>
      <w:bookmarkEnd w:id="1"/>
      <w:bookmarkEnd w:id="2"/>
      <w:bookmarkEnd w:id="3"/>
      <w:r>
        <w:rPr>
          <w:b/>
          <w:color w:val="auto"/>
          <w:kern w:val="0"/>
          <w:sz w:val="24"/>
          <w:highlight w:val="none"/>
        </w:rPr>
        <w:t>评标原则</w:t>
      </w:r>
    </w:p>
    <w:p w14:paraId="6EFA25AB">
      <w:pPr>
        <w:pStyle w:val="16"/>
        <w:snapToGrid w:val="0"/>
        <w:spacing w:before="0" w:beforeLines="0" w:after="0" w:afterLines="0" w:line="360" w:lineRule="auto"/>
        <w:ind w:firstLine="597" w:firstLineChars="249"/>
        <w:rPr>
          <w:rFonts w:ascii="Times New Roman" w:hAnsi="Times New Roman"/>
          <w:color w:val="auto"/>
          <w:highlight w:val="none"/>
        </w:rPr>
      </w:pPr>
      <w:bookmarkStart w:id="4" w:name="_Toc370808406"/>
      <w:bookmarkStart w:id="5" w:name="_Toc225649427"/>
      <w:bookmarkStart w:id="6" w:name="_Toc243928853"/>
      <w:bookmarkStart w:id="7" w:name="_Toc228002629"/>
      <w:r>
        <w:rPr>
          <w:rFonts w:ascii="Times New Roman" w:hAnsi="Times New Roman"/>
          <w:color w:val="auto"/>
          <w:highlight w:val="none"/>
        </w:rPr>
        <w:t>本次招标采用综合评分法。按照综合评分由高到低确定中标候选人。</w:t>
      </w:r>
    </w:p>
    <w:p w14:paraId="33BE3377">
      <w:pPr>
        <w:widowControl/>
        <w:snapToGrid w:val="0"/>
        <w:spacing w:line="360" w:lineRule="auto"/>
        <w:ind w:firstLine="482" w:firstLineChars="200"/>
        <w:rPr>
          <w:b/>
          <w:color w:val="auto"/>
          <w:kern w:val="0"/>
          <w:sz w:val="24"/>
          <w:highlight w:val="none"/>
        </w:rPr>
      </w:pPr>
      <w:r>
        <w:rPr>
          <w:b/>
          <w:color w:val="auto"/>
          <w:kern w:val="0"/>
          <w:sz w:val="24"/>
          <w:highlight w:val="none"/>
        </w:rPr>
        <w:t>二、评标组织</w:t>
      </w:r>
      <w:bookmarkEnd w:id="4"/>
      <w:bookmarkEnd w:id="5"/>
      <w:bookmarkEnd w:id="6"/>
      <w:bookmarkEnd w:id="7"/>
    </w:p>
    <w:p w14:paraId="12FE8DC0">
      <w:pPr>
        <w:pStyle w:val="16"/>
        <w:snapToGrid w:val="0"/>
        <w:spacing w:before="0" w:beforeLines="0" w:after="0" w:afterLines="0" w:line="360" w:lineRule="auto"/>
        <w:ind w:firstLine="480" w:firstLineChars="200"/>
        <w:rPr>
          <w:rFonts w:ascii="Times New Roman" w:hAnsi="Times New Roman"/>
          <w:color w:val="auto"/>
          <w:highlight w:val="none"/>
        </w:rPr>
      </w:pPr>
      <w:r>
        <w:rPr>
          <w:rFonts w:ascii="Times New Roman" w:hAnsi="Times New Roman"/>
          <w:color w:val="auto"/>
          <w:highlight w:val="none"/>
        </w:rPr>
        <w:t>本项目评标委员会由</w:t>
      </w:r>
      <w:r>
        <w:rPr>
          <w:rFonts w:ascii="Times New Roman" w:hAnsi="Times New Roman"/>
          <w:color w:val="auto"/>
          <w:highlight w:val="none"/>
          <w:u w:val="single"/>
        </w:rPr>
        <w:t>5</w:t>
      </w:r>
      <w:r>
        <w:rPr>
          <w:rFonts w:ascii="Times New Roman" w:hAnsi="Times New Roman"/>
          <w:color w:val="auto"/>
          <w:highlight w:val="none"/>
        </w:rPr>
        <w:t>人</w:t>
      </w:r>
      <w:r>
        <w:rPr>
          <w:rFonts w:hint="eastAsia" w:ascii="Times New Roman" w:hAnsi="Times New Roman"/>
          <w:color w:val="auto"/>
          <w:highlight w:val="none"/>
        </w:rPr>
        <w:t>及</w:t>
      </w:r>
      <w:r>
        <w:rPr>
          <w:rFonts w:ascii="Times New Roman" w:hAnsi="Times New Roman"/>
          <w:color w:val="auto"/>
          <w:highlight w:val="none"/>
        </w:rPr>
        <w:t>以上单数组成，评标小组对投标文件进行审查、质疑、评估和比较。</w:t>
      </w:r>
    </w:p>
    <w:p w14:paraId="5E323560">
      <w:pPr>
        <w:widowControl/>
        <w:snapToGrid w:val="0"/>
        <w:spacing w:line="360" w:lineRule="auto"/>
        <w:ind w:firstLine="482" w:firstLineChars="200"/>
        <w:rPr>
          <w:b/>
          <w:color w:val="auto"/>
          <w:kern w:val="0"/>
          <w:sz w:val="24"/>
          <w:highlight w:val="none"/>
        </w:rPr>
      </w:pPr>
      <w:bookmarkStart w:id="8" w:name="_Toc243928855"/>
      <w:bookmarkStart w:id="9" w:name="_Toc225649429"/>
      <w:bookmarkStart w:id="10" w:name="_Toc370808408"/>
      <w:bookmarkStart w:id="11" w:name="_Toc228002631"/>
      <w:r>
        <w:rPr>
          <w:b/>
          <w:color w:val="auto"/>
          <w:kern w:val="0"/>
          <w:sz w:val="24"/>
          <w:highlight w:val="none"/>
        </w:rPr>
        <w:t>三、评标程序</w:t>
      </w:r>
      <w:bookmarkEnd w:id="8"/>
      <w:bookmarkEnd w:id="9"/>
      <w:bookmarkEnd w:id="10"/>
      <w:bookmarkEnd w:id="11"/>
    </w:p>
    <w:p w14:paraId="363375B3">
      <w:pPr>
        <w:widowControl/>
        <w:snapToGrid w:val="0"/>
        <w:spacing w:line="360" w:lineRule="auto"/>
        <w:ind w:firstLine="480" w:firstLineChars="200"/>
        <w:rPr>
          <w:color w:val="auto"/>
          <w:kern w:val="0"/>
          <w:sz w:val="24"/>
          <w:highlight w:val="none"/>
        </w:rPr>
      </w:pPr>
      <w:r>
        <w:rPr>
          <w:color w:val="auto"/>
          <w:kern w:val="0"/>
          <w:sz w:val="24"/>
          <w:highlight w:val="none"/>
        </w:rPr>
        <w:t>1、本项目评标工作将严格遵守保密准则，评标的依据为招标文件和投标文件。</w:t>
      </w:r>
    </w:p>
    <w:p w14:paraId="136A51BC">
      <w:pPr>
        <w:widowControl/>
        <w:snapToGrid w:val="0"/>
        <w:spacing w:line="360" w:lineRule="auto"/>
        <w:ind w:firstLine="480" w:firstLineChars="200"/>
        <w:rPr>
          <w:color w:val="auto"/>
          <w:kern w:val="0"/>
          <w:sz w:val="24"/>
          <w:highlight w:val="none"/>
        </w:rPr>
      </w:pPr>
      <w:r>
        <w:rPr>
          <w:color w:val="auto"/>
          <w:kern w:val="0"/>
          <w:sz w:val="24"/>
          <w:highlight w:val="none"/>
        </w:rPr>
        <w:t>2、熟悉招标文件和评标办法。</w:t>
      </w:r>
    </w:p>
    <w:p w14:paraId="45B2F929">
      <w:pPr>
        <w:widowControl/>
        <w:spacing w:line="360" w:lineRule="auto"/>
        <w:ind w:firstLine="480" w:firstLineChars="200"/>
        <w:jc w:val="left"/>
        <w:rPr>
          <w:color w:val="auto"/>
          <w:sz w:val="24"/>
          <w:highlight w:val="none"/>
        </w:rPr>
      </w:pPr>
      <w:r>
        <w:rPr>
          <w:color w:val="auto"/>
          <w:kern w:val="0"/>
          <w:sz w:val="24"/>
          <w:highlight w:val="none"/>
        </w:rPr>
        <w:t>3、对投标文件的依次通过资格审查、符合性审查后，按照评标原则确定推荐中标候选人。</w:t>
      </w:r>
    </w:p>
    <w:p w14:paraId="04145922">
      <w:pPr>
        <w:widowControl/>
        <w:snapToGrid w:val="0"/>
        <w:spacing w:line="360" w:lineRule="auto"/>
        <w:ind w:firstLine="482" w:firstLineChars="200"/>
        <w:rPr>
          <w:b/>
          <w:color w:val="auto"/>
          <w:kern w:val="0"/>
          <w:sz w:val="24"/>
          <w:highlight w:val="none"/>
        </w:rPr>
      </w:pPr>
      <w:r>
        <w:rPr>
          <w:b/>
          <w:color w:val="auto"/>
          <w:kern w:val="0"/>
          <w:sz w:val="24"/>
          <w:highlight w:val="none"/>
        </w:rPr>
        <w:t>4、无效投标的认定</w:t>
      </w:r>
    </w:p>
    <w:p w14:paraId="36E72AAA">
      <w:pPr>
        <w:snapToGrid w:val="0"/>
        <w:spacing w:line="360" w:lineRule="auto"/>
        <w:ind w:firstLine="470" w:firstLineChars="196"/>
        <w:rPr>
          <w:color w:val="auto"/>
          <w:sz w:val="24"/>
          <w:highlight w:val="none"/>
        </w:rPr>
      </w:pPr>
      <w:r>
        <w:rPr>
          <w:color w:val="auto"/>
          <w:sz w:val="24"/>
          <w:highlight w:val="none"/>
        </w:rPr>
        <w:t>1</w:t>
      </w:r>
      <w:r>
        <w:rPr>
          <w:rFonts w:hint="eastAsia"/>
          <w:color w:val="auto"/>
          <w:sz w:val="24"/>
          <w:highlight w:val="none"/>
          <w:lang w:eastAsia="zh-CN"/>
        </w:rPr>
        <w:t>）</w:t>
      </w:r>
      <w:r>
        <w:rPr>
          <w:color w:val="auto"/>
          <w:sz w:val="24"/>
          <w:highlight w:val="none"/>
        </w:rPr>
        <w:t>投标文件未经投标单位盖章和单位负责人签字</w:t>
      </w:r>
    </w:p>
    <w:p w14:paraId="18551E50">
      <w:pPr>
        <w:snapToGrid w:val="0"/>
        <w:spacing w:line="360" w:lineRule="auto"/>
        <w:ind w:firstLine="470" w:firstLineChars="196"/>
        <w:rPr>
          <w:color w:val="auto"/>
          <w:sz w:val="24"/>
          <w:szCs w:val="20"/>
          <w:highlight w:val="none"/>
        </w:rPr>
      </w:pPr>
      <w:r>
        <w:rPr>
          <w:color w:val="auto"/>
          <w:sz w:val="24"/>
          <w:highlight w:val="none"/>
        </w:rPr>
        <w:t>2</w:t>
      </w:r>
      <w:r>
        <w:rPr>
          <w:rFonts w:hint="eastAsia"/>
          <w:color w:val="auto"/>
          <w:sz w:val="24"/>
          <w:highlight w:val="none"/>
          <w:lang w:eastAsia="zh-CN"/>
        </w:rPr>
        <w:t>）</w:t>
      </w:r>
      <w:r>
        <w:rPr>
          <w:color w:val="auto"/>
          <w:sz w:val="24"/>
          <w:highlight w:val="none"/>
        </w:rPr>
        <w:t>投标</w:t>
      </w:r>
      <w:r>
        <w:rPr>
          <w:rFonts w:hint="eastAsia"/>
          <w:color w:val="auto"/>
          <w:sz w:val="24"/>
          <w:highlight w:val="none"/>
          <w:lang w:val="en-US" w:eastAsia="zh-CN"/>
        </w:rPr>
        <w:t>文件中未</w:t>
      </w:r>
      <w:r>
        <w:rPr>
          <w:color w:val="auto"/>
          <w:sz w:val="24"/>
          <w:highlight w:val="none"/>
        </w:rPr>
        <w:t>出具</w:t>
      </w:r>
      <w:r>
        <w:rPr>
          <w:rFonts w:hint="eastAsia"/>
          <w:color w:val="auto"/>
          <w:sz w:val="24"/>
          <w:highlight w:val="none"/>
          <w:lang w:val="en-US" w:eastAsia="zh-CN"/>
        </w:rPr>
        <w:t>有效的授权代表</w:t>
      </w:r>
      <w:r>
        <w:rPr>
          <w:color w:val="auto"/>
          <w:sz w:val="24"/>
          <w:highlight w:val="none"/>
        </w:rPr>
        <w:t>身份证明或与法定代表人（负责人）授权委托人身份不符的；</w:t>
      </w:r>
    </w:p>
    <w:p w14:paraId="518785DD">
      <w:pPr>
        <w:snapToGrid w:val="0"/>
        <w:spacing w:line="360" w:lineRule="auto"/>
        <w:ind w:firstLine="470" w:firstLineChars="196"/>
        <w:rPr>
          <w:bCs/>
          <w:color w:val="auto"/>
          <w:kern w:val="0"/>
          <w:sz w:val="24"/>
          <w:szCs w:val="20"/>
          <w:highlight w:val="none"/>
        </w:rPr>
      </w:pPr>
      <w:r>
        <w:rPr>
          <w:color w:val="auto"/>
          <w:sz w:val="24"/>
          <w:highlight w:val="none"/>
        </w:rPr>
        <w:t>3</w:t>
      </w:r>
      <w:r>
        <w:rPr>
          <w:rFonts w:hint="eastAsia"/>
          <w:color w:val="auto"/>
          <w:sz w:val="24"/>
          <w:highlight w:val="none"/>
          <w:lang w:eastAsia="zh-CN"/>
        </w:rPr>
        <w:t>）</w:t>
      </w:r>
      <w:r>
        <w:rPr>
          <w:snapToGrid w:val="0"/>
          <w:color w:val="auto"/>
          <w:sz w:val="24"/>
          <w:highlight w:val="none"/>
        </w:rPr>
        <w:t>投标文件递交截止时间</w:t>
      </w:r>
      <w:r>
        <w:rPr>
          <w:rFonts w:hint="eastAsia"/>
          <w:snapToGrid w:val="0"/>
          <w:color w:val="auto"/>
          <w:sz w:val="24"/>
          <w:highlight w:val="none"/>
          <w:lang w:val="en-US" w:eastAsia="zh-CN"/>
        </w:rPr>
        <w:t>前未在政采云平台上线上投标</w:t>
      </w:r>
      <w:r>
        <w:rPr>
          <w:snapToGrid w:val="0"/>
          <w:color w:val="auto"/>
          <w:sz w:val="24"/>
          <w:highlight w:val="none"/>
        </w:rPr>
        <w:t>的；</w:t>
      </w:r>
      <w:r>
        <w:rPr>
          <w:bCs/>
          <w:color w:val="auto"/>
          <w:kern w:val="0"/>
          <w:sz w:val="24"/>
          <w:szCs w:val="20"/>
          <w:highlight w:val="none"/>
        </w:rPr>
        <w:t xml:space="preserve"> </w:t>
      </w:r>
    </w:p>
    <w:p w14:paraId="583E9216">
      <w:pPr>
        <w:snapToGrid w:val="0"/>
        <w:spacing w:line="360" w:lineRule="auto"/>
        <w:ind w:firstLine="470" w:firstLineChars="196"/>
        <w:rPr>
          <w:color w:val="auto"/>
          <w:sz w:val="24"/>
          <w:highlight w:val="none"/>
        </w:rPr>
      </w:pPr>
      <w:r>
        <w:rPr>
          <w:color w:val="auto"/>
          <w:sz w:val="24"/>
          <w:highlight w:val="none"/>
        </w:rPr>
        <w:t>4</w:t>
      </w:r>
      <w:r>
        <w:rPr>
          <w:rFonts w:hint="eastAsia"/>
          <w:color w:val="auto"/>
          <w:sz w:val="24"/>
          <w:highlight w:val="none"/>
          <w:lang w:eastAsia="zh-CN"/>
        </w:rPr>
        <w:t>）</w:t>
      </w:r>
      <w:r>
        <w:rPr>
          <w:color w:val="auto"/>
          <w:sz w:val="24"/>
          <w:highlight w:val="none"/>
        </w:rPr>
        <w:t>未按规定缴纳投标保证金的</w:t>
      </w:r>
      <w:r>
        <w:rPr>
          <w:rFonts w:hint="eastAsia"/>
          <w:b/>
          <w:color w:val="auto"/>
          <w:sz w:val="24"/>
          <w:highlight w:val="none"/>
          <w:lang w:eastAsia="zh-CN"/>
        </w:rPr>
        <w:t>（</w:t>
      </w:r>
      <w:r>
        <w:rPr>
          <w:rFonts w:hint="eastAsia"/>
          <w:b/>
          <w:color w:val="auto"/>
          <w:sz w:val="24"/>
          <w:highlight w:val="none"/>
          <w:lang w:val="en-US" w:eastAsia="zh-CN"/>
        </w:rPr>
        <w:t>本项目不设置投标保证金</w:t>
      </w:r>
      <w:r>
        <w:rPr>
          <w:rFonts w:hint="eastAsia"/>
          <w:b/>
          <w:color w:val="auto"/>
          <w:sz w:val="24"/>
          <w:highlight w:val="none"/>
          <w:lang w:eastAsia="zh-CN"/>
        </w:rPr>
        <w:t>）</w:t>
      </w:r>
      <w:r>
        <w:rPr>
          <w:color w:val="auto"/>
          <w:sz w:val="24"/>
          <w:highlight w:val="none"/>
        </w:rPr>
        <w:t>；</w:t>
      </w:r>
    </w:p>
    <w:p w14:paraId="1094256E">
      <w:pPr>
        <w:snapToGrid w:val="0"/>
        <w:spacing w:line="360" w:lineRule="auto"/>
        <w:ind w:firstLine="470" w:firstLineChars="196"/>
        <w:rPr>
          <w:color w:val="auto"/>
          <w:sz w:val="24"/>
          <w:szCs w:val="20"/>
          <w:highlight w:val="none"/>
        </w:rPr>
      </w:pPr>
      <w:r>
        <w:rPr>
          <w:rFonts w:hint="eastAsia"/>
          <w:color w:val="auto"/>
          <w:sz w:val="24"/>
          <w:highlight w:val="none"/>
          <w:lang w:val="en-US" w:eastAsia="zh-CN"/>
        </w:rPr>
        <w:t>5）</w:t>
      </w:r>
      <w:r>
        <w:rPr>
          <w:color w:val="auto"/>
          <w:sz w:val="24"/>
          <w:highlight w:val="none"/>
        </w:rPr>
        <w:t>投标文件关键内容字迹不清晰或存在歧义；</w:t>
      </w:r>
    </w:p>
    <w:p w14:paraId="10D85D1C">
      <w:pPr>
        <w:pStyle w:val="13"/>
        <w:snapToGrid w:val="0"/>
        <w:spacing w:line="360" w:lineRule="auto"/>
        <w:ind w:firstLine="454" w:firstLineChars="196"/>
        <w:rPr>
          <w:rFonts w:ascii="Times New Roman" w:hAnsi="Times New Roman"/>
          <w:snapToGrid w:val="0"/>
          <w:color w:val="auto"/>
          <w:sz w:val="24"/>
          <w:szCs w:val="24"/>
          <w:highlight w:val="none"/>
        </w:rPr>
      </w:pPr>
      <w:r>
        <w:rPr>
          <w:rFonts w:hint="eastAsia" w:ascii="Times New Roman" w:hAnsi="Times New Roman"/>
          <w:color w:val="auto"/>
          <w:sz w:val="24"/>
          <w:highlight w:val="none"/>
          <w:lang w:val="en-US" w:eastAsia="zh-CN"/>
        </w:rPr>
        <w:t>6）</w:t>
      </w:r>
      <w:r>
        <w:rPr>
          <w:rFonts w:ascii="Times New Roman" w:hAnsi="Times New Roman"/>
          <w:color w:val="auto"/>
          <w:sz w:val="24"/>
          <w:highlight w:val="none"/>
        </w:rPr>
        <w:t>资格证明文件不全的，或者不符合招标文件标明的资格要求的；</w:t>
      </w:r>
    </w:p>
    <w:p w14:paraId="42005071">
      <w:pPr>
        <w:pStyle w:val="13"/>
        <w:snapToGrid w:val="0"/>
        <w:spacing w:line="360" w:lineRule="auto"/>
        <w:ind w:firstLine="454" w:firstLineChars="196"/>
        <w:rPr>
          <w:rFonts w:ascii="Times New Roman" w:hAnsi="Times New Roman"/>
          <w:snapToGrid w:val="0"/>
          <w:color w:val="auto"/>
          <w:sz w:val="24"/>
          <w:szCs w:val="24"/>
          <w:highlight w:val="none"/>
        </w:rPr>
      </w:pPr>
      <w:r>
        <w:rPr>
          <w:rFonts w:hint="eastAsia" w:ascii="Times New Roman" w:hAnsi="Times New Roman"/>
          <w:color w:val="auto"/>
          <w:sz w:val="24"/>
          <w:highlight w:val="none"/>
          <w:lang w:val="en-US" w:eastAsia="zh-CN"/>
        </w:rPr>
        <w:t>7）</w:t>
      </w:r>
      <w:r>
        <w:rPr>
          <w:rFonts w:ascii="Times New Roman" w:hAnsi="Times New Roman"/>
          <w:snapToGrid w:val="0"/>
          <w:color w:val="auto"/>
          <w:sz w:val="24"/>
          <w:szCs w:val="24"/>
          <w:highlight w:val="none"/>
        </w:rPr>
        <w:t>投标有效期、项目存款期限等条款不能满足招标文件要求的；</w:t>
      </w:r>
    </w:p>
    <w:p w14:paraId="44477832">
      <w:pPr>
        <w:pStyle w:val="13"/>
        <w:snapToGrid w:val="0"/>
        <w:spacing w:line="360" w:lineRule="auto"/>
        <w:ind w:firstLine="454" w:firstLineChars="196"/>
        <w:rPr>
          <w:rFonts w:ascii="Times New Roman" w:hAnsi="Times New Roman"/>
          <w:snapToGrid w:val="0"/>
          <w:color w:val="auto"/>
          <w:sz w:val="24"/>
          <w:szCs w:val="24"/>
          <w:highlight w:val="none"/>
        </w:rPr>
      </w:pPr>
      <w:r>
        <w:rPr>
          <w:rFonts w:hint="eastAsia" w:ascii="Times New Roman" w:hAnsi="Times New Roman"/>
          <w:color w:val="auto"/>
          <w:sz w:val="24"/>
          <w:highlight w:val="none"/>
          <w:lang w:val="en-US" w:eastAsia="zh-CN"/>
        </w:rPr>
        <w:t>8）</w:t>
      </w:r>
      <w:r>
        <w:rPr>
          <w:rFonts w:ascii="Times New Roman" w:hAnsi="Times New Roman"/>
          <w:color w:val="auto"/>
          <w:sz w:val="24"/>
          <w:highlight w:val="none"/>
        </w:rPr>
        <w:t>未实质性响应招标文件要求或者投标文件有招标方不能接受的附加条件的；</w:t>
      </w:r>
    </w:p>
    <w:p w14:paraId="775BBA96">
      <w:pPr>
        <w:pStyle w:val="13"/>
        <w:snapToGrid w:val="0"/>
        <w:spacing w:line="360" w:lineRule="auto"/>
        <w:ind w:firstLine="454" w:firstLineChars="196"/>
        <w:rPr>
          <w:rFonts w:ascii="Times New Roman" w:hAnsi="Times New Roman"/>
          <w:color w:val="auto"/>
          <w:sz w:val="24"/>
          <w:highlight w:val="none"/>
        </w:rPr>
      </w:pPr>
      <w:r>
        <w:rPr>
          <w:rFonts w:hint="eastAsia" w:ascii="Times New Roman" w:hAnsi="Times New Roman"/>
          <w:color w:val="auto"/>
          <w:sz w:val="24"/>
          <w:highlight w:val="none"/>
          <w:lang w:val="en-US" w:eastAsia="zh-CN"/>
        </w:rPr>
        <w:t>9）</w:t>
      </w:r>
      <w:r>
        <w:rPr>
          <w:rFonts w:ascii="Times New Roman" w:hAnsi="Times New Roman"/>
          <w:color w:val="auto"/>
          <w:sz w:val="24"/>
          <w:highlight w:val="none"/>
        </w:rPr>
        <w:t>近三年内有重大违法记录的</w:t>
      </w:r>
      <w:r>
        <w:rPr>
          <w:rFonts w:hint="eastAsia" w:ascii="Times New Roman" w:hAnsi="Times New Roman"/>
          <w:color w:val="auto"/>
          <w:sz w:val="24"/>
          <w:highlight w:val="none"/>
        </w:rPr>
        <w:t>；</w:t>
      </w:r>
    </w:p>
    <w:p w14:paraId="674A642A">
      <w:pPr>
        <w:widowControl/>
        <w:snapToGrid w:val="0"/>
        <w:spacing w:line="360" w:lineRule="auto"/>
        <w:ind w:firstLine="480" w:firstLineChars="200"/>
        <w:rPr>
          <w:color w:val="auto"/>
          <w:kern w:val="0"/>
          <w:sz w:val="24"/>
          <w:highlight w:val="none"/>
        </w:rPr>
      </w:pPr>
      <w:r>
        <w:rPr>
          <w:color w:val="auto"/>
          <w:sz w:val="24"/>
          <w:highlight w:val="none"/>
        </w:rPr>
        <w:t>1</w:t>
      </w:r>
      <w:r>
        <w:rPr>
          <w:color w:val="auto"/>
          <w:sz w:val="24"/>
          <w:highlight w:val="none"/>
          <w:lang w:val="en-US"/>
        </w:rPr>
        <w:t>0</w:t>
      </w:r>
      <w:r>
        <w:rPr>
          <w:color w:val="auto"/>
          <w:sz w:val="24"/>
          <w:highlight w:val="none"/>
        </w:rPr>
        <w:t>）</w:t>
      </w:r>
      <w:r>
        <w:rPr>
          <w:color w:val="auto"/>
          <w:kern w:val="0"/>
          <w:sz w:val="24"/>
          <w:highlight w:val="none"/>
        </w:rPr>
        <w:t>不符合法律法规及招标文件明确规定的其他无效投标条款的。</w:t>
      </w:r>
    </w:p>
    <w:p w14:paraId="154C5F54">
      <w:pPr>
        <w:widowControl/>
        <w:snapToGrid w:val="0"/>
        <w:spacing w:line="360" w:lineRule="auto"/>
        <w:ind w:firstLine="482" w:firstLineChars="200"/>
        <w:rPr>
          <w:b/>
          <w:color w:val="auto"/>
          <w:kern w:val="0"/>
          <w:sz w:val="24"/>
          <w:highlight w:val="none"/>
        </w:rPr>
      </w:pPr>
      <w:r>
        <w:rPr>
          <w:b/>
          <w:color w:val="auto"/>
          <w:kern w:val="0"/>
          <w:sz w:val="24"/>
          <w:highlight w:val="none"/>
        </w:rPr>
        <w:t>5、澄清有关问题。</w:t>
      </w:r>
    </w:p>
    <w:p w14:paraId="59A23356">
      <w:pPr>
        <w:widowControl/>
        <w:snapToGrid w:val="0"/>
        <w:spacing w:line="360" w:lineRule="auto"/>
        <w:ind w:firstLine="480" w:firstLineChars="200"/>
        <w:rPr>
          <w:color w:val="auto"/>
          <w:kern w:val="0"/>
          <w:sz w:val="24"/>
          <w:highlight w:val="none"/>
        </w:rPr>
      </w:pPr>
      <w:r>
        <w:rPr>
          <w:color w:val="auto"/>
          <w:kern w:val="0"/>
          <w:sz w:val="24"/>
          <w:highlight w:val="none"/>
        </w:rPr>
        <w:t>评标期间，投标方法人代表或法人委托人必须在场，负责解答有关事宜（如有需要）。</w:t>
      </w:r>
    </w:p>
    <w:p w14:paraId="1B97A308">
      <w:pPr>
        <w:widowControl/>
        <w:spacing w:line="360" w:lineRule="auto"/>
        <w:ind w:firstLine="480"/>
        <w:jc w:val="left"/>
        <w:rPr>
          <w:b/>
          <w:color w:val="auto"/>
          <w:sz w:val="24"/>
          <w:highlight w:val="none"/>
        </w:rPr>
      </w:pPr>
      <w:r>
        <w:rPr>
          <w:b/>
          <w:color w:val="auto"/>
          <w:sz w:val="24"/>
          <w:highlight w:val="none"/>
        </w:rPr>
        <w:t>6、推荐中标候选人</w:t>
      </w:r>
    </w:p>
    <w:p w14:paraId="42F3FFB3">
      <w:pPr>
        <w:pStyle w:val="16"/>
        <w:snapToGrid w:val="0"/>
        <w:spacing w:before="0" w:beforeLines="0" w:after="0" w:afterLines="0" w:line="360" w:lineRule="auto"/>
        <w:ind w:firstLine="477" w:firstLineChars="199"/>
        <w:rPr>
          <w:rFonts w:ascii="Times New Roman" w:hAnsi="Times New Roman"/>
          <w:color w:val="auto"/>
          <w:highlight w:val="none"/>
        </w:rPr>
      </w:pPr>
      <w:r>
        <w:rPr>
          <w:rFonts w:hint="eastAsia" w:ascii="Times New Roman" w:hAnsi="Times New Roman"/>
          <w:color w:val="auto"/>
          <w:highlight w:val="none"/>
          <w:lang w:val="en-US" w:eastAsia="zh-CN"/>
        </w:rPr>
        <w:t>各个标项</w:t>
      </w:r>
      <w:r>
        <w:rPr>
          <w:rFonts w:ascii="Times New Roman" w:hAnsi="Times New Roman"/>
          <w:color w:val="auto"/>
          <w:highlight w:val="none"/>
        </w:rPr>
        <w:t>按照综合评分由高到低</w:t>
      </w:r>
      <w:r>
        <w:rPr>
          <w:rFonts w:hint="eastAsia" w:ascii="Times New Roman" w:hAnsi="Times New Roman"/>
          <w:color w:val="auto"/>
          <w:highlight w:val="none"/>
        </w:rPr>
        <w:t>，</w:t>
      </w:r>
      <w:r>
        <w:rPr>
          <w:rFonts w:ascii="Times New Roman" w:hAnsi="Times New Roman"/>
          <w:color w:val="auto"/>
          <w:highlight w:val="none"/>
        </w:rPr>
        <w:t>确定中标候选人。</w:t>
      </w:r>
    </w:p>
    <w:p w14:paraId="4203A582">
      <w:pPr>
        <w:pStyle w:val="16"/>
        <w:snapToGrid w:val="0"/>
        <w:spacing w:before="0" w:beforeLines="0" w:after="0" w:afterLines="0" w:line="360" w:lineRule="auto"/>
        <w:ind w:firstLine="477" w:firstLineChars="199"/>
        <w:rPr>
          <w:rFonts w:ascii="Times New Roman" w:hAnsi="Times New Roman"/>
          <w:color w:val="auto"/>
          <w:highlight w:val="none"/>
        </w:rPr>
      </w:pPr>
      <w:r>
        <w:rPr>
          <w:rFonts w:hint="eastAsia" w:ascii="Times New Roman" w:hAnsi="Times New Roman"/>
          <w:color w:val="auto"/>
          <w:highlight w:val="none"/>
        </w:rPr>
        <w:t>中标银行</w:t>
      </w:r>
      <w:r>
        <w:rPr>
          <w:rFonts w:ascii="Times New Roman" w:hAnsi="Times New Roman"/>
          <w:color w:val="auto"/>
          <w:highlight w:val="none"/>
        </w:rPr>
        <w:t>数量：</w:t>
      </w:r>
      <w:r>
        <w:rPr>
          <w:rFonts w:hint="eastAsia" w:ascii="Times New Roman" w:hAnsi="Times New Roman"/>
          <w:color w:val="auto"/>
          <w:highlight w:val="none"/>
          <w:lang w:val="en-US" w:eastAsia="zh-CN"/>
        </w:rPr>
        <w:t>每个标项1家，共2</w:t>
      </w:r>
      <w:r>
        <w:rPr>
          <w:rFonts w:ascii="Times New Roman" w:hAnsi="Times New Roman"/>
          <w:color w:val="auto"/>
          <w:highlight w:val="none"/>
        </w:rPr>
        <w:t>家。</w:t>
      </w:r>
    </w:p>
    <w:p w14:paraId="2F80E8BB">
      <w:pPr>
        <w:widowControl/>
        <w:spacing w:line="360" w:lineRule="auto"/>
        <w:ind w:firstLine="480"/>
        <w:jc w:val="left"/>
        <w:rPr>
          <w:b/>
          <w:color w:val="auto"/>
          <w:sz w:val="24"/>
          <w:highlight w:val="none"/>
        </w:rPr>
      </w:pPr>
      <w:r>
        <w:rPr>
          <w:b/>
          <w:color w:val="auto"/>
          <w:sz w:val="24"/>
          <w:highlight w:val="none"/>
        </w:rPr>
        <w:t>7、评标报告</w:t>
      </w:r>
    </w:p>
    <w:p w14:paraId="034F9C0E">
      <w:pPr>
        <w:widowControl/>
        <w:spacing w:line="360" w:lineRule="auto"/>
        <w:ind w:firstLine="480"/>
        <w:jc w:val="left"/>
        <w:rPr>
          <w:color w:val="auto"/>
          <w:sz w:val="24"/>
          <w:highlight w:val="none"/>
        </w:rPr>
      </w:pPr>
      <w:r>
        <w:rPr>
          <w:color w:val="auto"/>
          <w:sz w:val="24"/>
          <w:highlight w:val="none"/>
        </w:rPr>
        <w:t>评标委员会应根据评标情况和结果，向招标人提交评标报告。评标报告应由评标委员会起草，按少数人服从多数人的原则通过。评标委员会全体成员应在评标报告上签字认可，评标专家如有保留意见可以在评标报告中阐明。</w:t>
      </w:r>
    </w:p>
    <w:p w14:paraId="58130C09">
      <w:pPr>
        <w:widowControl/>
        <w:spacing w:line="360" w:lineRule="auto"/>
        <w:ind w:firstLine="480"/>
        <w:jc w:val="left"/>
        <w:rPr>
          <w:b/>
          <w:color w:val="auto"/>
          <w:sz w:val="24"/>
          <w:highlight w:val="none"/>
        </w:rPr>
      </w:pPr>
      <w:r>
        <w:rPr>
          <w:b/>
          <w:color w:val="auto"/>
          <w:sz w:val="24"/>
          <w:highlight w:val="none"/>
        </w:rPr>
        <w:t>8、定标</w:t>
      </w:r>
    </w:p>
    <w:p w14:paraId="2703A08C">
      <w:pPr>
        <w:widowControl/>
        <w:spacing w:line="360" w:lineRule="auto"/>
        <w:ind w:firstLine="480"/>
        <w:jc w:val="left"/>
        <w:rPr>
          <w:color w:val="auto"/>
          <w:sz w:val="24"/>
          <w:highlight w:val="none"/>
        </w:rPr>
      </w:pPr>
      <w:r>
        <w:rPr>
          <w:color w:val="auto"/>
          <w:sz w:val="24"/>
          <w:highlight w:val="none"/>
        </w:rPr>
        <w:t>1）、招标结果经招标人确认生效后，招标人将在招标公告发布的网站上发布中标公示，并向中标人发出中标通知书。</w:t>
      </w:r>
    </w:p>
    <w:p w14:paraId="324BF9AE">
      <w:pPr>
        <w:widowControl/>
        <w:spacing w:line="360" w:lineRule="auto"/>
        <w:jc w:val="left"/>
        <w:rPr>
          <w:color w:val="auto"/>
          <w:sz w:val="24"/>
          <w:highlight w:val="none"/>
        </w:rPr>
      </w:pPr>
      <w:r>
        <w:rPr>
          <w:color w:val="auto"/>
          <w:sz w:val="24"/>
          <w:highlight w:val="none"/>
        </w:rPr>
        <w:t xml:space="preserve">    2）、当确定的中标人放弃中标时</w:t>
      </w:r>
      <w:r>
        <w:rPr>
          <w:rFonts w:hint="eastAsia"/>
          <w:color w:val="auto"/>
          <w:sz w:val="24"/>
          <w:highlight w:val="none"/>
          <w:lang w:eastAsia="zh-CN"/>
        </w:rPr>
        <w:t>（</w:t>
      </w:r>
      <w:r>
        <w:rPr>
          <w:color w:val="auto"/>
          <w:sz w:val="24"/>
          <w:highlight w:val="none"/>
        </w:rPr>
        <w:t>因不可抗力提出不能履行合同</w:t>
      </w:r>
      <w:r>
        <w:rPr>
          <w:rFonts w:hint="eastAsia"/>
          <w:color w:val="auto"/>
          <w:sz w:val="24"/>
          <w:highlight w:val="none"/>
          <w:lang w:eastAsia="zh-CN"/>
        </w:rPr>
        <w:t>除外）</w:t>
      </w:r>
      <w:r>
        <w:rPr>
          <w:color w:val="auto"/>
          <w:sz w:val="24"/>
          <w:highlight w:val="none"/>
        </w:rPr>
        <w:t>，取消该中标人3年内投标资格。</w:t>
      </w:r>
      <w:r>
        <w:rPr>
          <w:rFonts w:hint="eastAsia"/>
          <w:color w:val="auto"/>
          <w:sz w:val="24"/>
          <w:highlight w:val="none"/>
          <w:lang w:eastAsia="zh-CN"/>
        </w:rPr>
        <w:t>招标人</w:t>
      </w:r>
      <w:r>
        <w:rPr>
          <w:rFonts w:hint="eastAsia"/>
          <w:color w:val="auto"/>
          <w:sz w:val="24"/>
          <w:highlight w:val="none"/>
        </w:rPr>
        <w:t>有权</w:t>
      </w:r>
      <w:r>
        <w:rPr>
          <w:color w:val="auto"/>
          <w:sz w:val="24"/>
          <w:highlight w:val="none"/>
        </w:rPr>
        <w:t>重新按评标总分从高到低排序，顺延给其他投标人</w:t>
      </w:r>
      <w:r>
        <w:rPr>
          <w:rFonts w:hint="eastAsia"/>
          <w:color w:val="auto"/>
          <w:sz w:val="24"/>
          <w:highlight w:val="none"/>
        </w:rPr>
        <w:t>，或重新组织招标</w:t>
      </w:r>
      <w:r>
        <w:rPr>
          <w:color w:val="auto"/>
          <w:sz w:val="24"/>
          <w:highlight w:val="none"/>
        </w:rPr>
        <w:t>。</w:t>
      </w:r>
    </w:p>
    <w:p w14:paraId="0C320BE8">
      <w:pPr>
        <w:widowControl/>
        <w:spacing w:line="360" w:lineRule="auto"/>
        <w:jc w:val="left"/>
        <w:rPr>
          <w:color w:val="auto"/>
          <w:sz w:val="24"/>
          <w:highlight w:val="none"/>
        </w:rPr>
      </w:pPr>
      <w:r>
        <w:rPr>
          <w:color w:val="auto"/>
          <w:highlight w:val="none"/>
        </w:rPr>
        <w:t xml:space="preserve"> </w:t>
      </w:r>
      <w:r>
        <w:rPr>
          <w:color w:val="auto"/>
          <w:sz w:val="24"/>
          <w:highlight w:val="none"/>
        </w:rPr>
        <w:t xml:space="preserve">   3）、招标人不向未中标方解释落标原因，不退还投标文件。</w:t>
      </w:r>
    </w:p>
    <w:p w14:paraId="2515FD29">
      <w:pPr>
        <w:widowControl/>
        <w:spacing w:line="360" w:lineRule="auto"/>
        <w:ind w:firstLine="482" w:firstLineChars="200"/>
        <w:jc w:val="left"/>
        <w:rPr>
          <w:rFonts w:hint="eastAsia" w:eastAsia="宋体"/>
          <w:b/>
          <w:color w:val="auto"/>
          <w:highlight w:val="none"/>
          <w:lang w:eastAsia="zh-CN"/>
        </w:rPr>
      </w:pPr>
      <w:r>
        <w:rPr>
          <w:b/>
          <w:color w:val="auto"/>
          <w:sz w:val="24"/>
          <w:highlight w:val="none"/>
        </w:rPr>
        <w:t>四、评标细则</w:t>
      </w:r>
      <w:r>
        <w:rPr>
          <w:rFonts w:hint="eastAsia"/>
          <w:b/>
          <w:color w:val="auto"/>
          <w:sz w:val="24"/>
          <w:highlight w:val="none"/>
          <w:lang w:eastAsia="zh-CN"/>
        </w:rPr>
        <w:t>（</w:t>
      </w:r>
      <w:r>
        <w:rPr>
          <w:rFonts w:hint="eastAsia"/>
          <w:b/>
          <w:color w:val="auto"/>
          <w:sz w:val="24"/>
          <w:highlight w:val="none"/>
          <w:lang w:val="en-US" w:eastAsia="zh-CN"/>
        </w:rPr>
        <w:t>标项1-标项3</w:t>
      </w:r>
      <w:r>
        <w:rPr>
          <w:rFonts w:hint="eastAsia"/>
          <w:b/>
          <w:color w:val="auto"/>
          <w:sz w:val="24"/>
          <w:highlight w:val="none"/>
          <w:lang w:eastAsia="zh-CN"/>
        </w:rPr>
        <w:t>）</w:t>
      </w:r>
    </w:p>
    <w:p w14:paraId="336532D6">
      <w:pPr>
        <w:widowControl/>
        <w:snapToGrid w:val="0"/>
        <w:spacing w:line="360" w:lineRule="auto"/>
        <w:ind w:firstLine="480" w:firstLineChars="200"/>
        <w:rPr>
          <w:color w:val="auto"/>
          <w:sz w:val="24"/>
          <w:highlight w:val="none"/>
        </w:rPr>
      </w:pPr>
      <w:r>
        <w:rPr>
          <w:color w:val="auto"/>
          <w:sz w:val="24"/>
          <w:highlight w:val="none"/>
        </w:rPr>
        <w:t>采取综合评</w:t>
      </w:r>
      <w:r>
        <w:rPr>
          <w:rFonts w:hint="eastAsia"/>
          <w:color w:val="auto"/>
          <w:sz w:val="24"/>
          <w:highlight w:val="none"/>
        </w:rPr>
        <w:t>分</w:t>
      </w:r>
      <w:r>
        <w:rPr>
          <w:color w:val="auto"/>
          <w:sz w:val="24"/>
          <w:highlight w:val="none"/>
        </w:rPr>
        <w:t>法，通过对和投标人</w:t>
      </w:r>
      <w:r>
        <w:rPr>
          <w:rFonts w:hint="eastAsia"/>
          <w:color w:val="auto"/>
          <w:sz w:val="24"/>
          <w:highlight w:val="none"/>
          <w:lang w:val="en-US" w:eastAsia="zh-CN"/>
        </w:rPr>
        <w:t>经营状况、服务水平、利率水平和经济贡献度等</w:t>
      </w:r>
      <w:r>
        <w:rPr>
          <w:color w:val="auto"/>
          <w:sz w:val="24"/>
          <w:highlight w:val="none"/>
        </w:rPr>
        <w:t>指标进行评分，满分为100分。</w:t>
      </w:r>
    </w:p>
    <w:p w14:paraId="10E836C2">
      <w:pPr>
        <w:numPr>
          <w:ilvl w:val="0"/>
          <w:numId w:val="9"/>
        </w:numPr>
        <w:adjustRightInd w:val="0"/>
        <w:snapToGrid w:val="0"/>
        <w:spacing w:line="360" w:lineRule="auto"/>
        <w:ind w:firstLine="480" w:firstLineChars="200"/>
        <w:rPr>
          <w:rFonts w:hint="eastAsia"/>
          <w:color w:val="auto"/>
          <w:kern w:val="0"/>
          <w:sz w:val="24"/>
          <w:highlight w:val="none"/>
        </w:rPr>
      </w:pPr>
      <w:r>
        <w:rPr>
          <w:color w:val="auto"/>
          <w:kern w:val="0"/>
          <w:sz w:val="24"/>
          <w:highlight w:val="none"/>
        </w:rPr>
        <w:t>技术资信部分评审（除商务评分外内容）。由评标专家负责对投标文件的技术资信部分采用记名方式各自评分。如发现某个单项的评分超出了评分细则所规定的分值范围的，则该张评分表无效。</w:t>
      </w:r>
      <w:r>
        <w:rPr>
          <w:rFonts w:hint="eastAsia"/>
          <w:color w:val="auto"/>
          <w:kern w:val="0"/>
          <w:sz w:val="24"/>
          <w:highlight w:val="none"/>
        </w:rPr>
        <w:t>（</w:t>
      </w:r>
      <w:r>
        <w:rPr>
          <w:color w:val="auto"/>
          <w:kern w:val="0"/>
          <w:sz w:val="24"/>
          <w:highlight w:val="none"/>
        </w:rPr>
        <w:t>保留</w:t>
      </w:r>
      <w:r>
        <w:rPr>
          <w:rFonts w:hint="eastAsia"/>
          <w:color w:val="auto"/>
          <w:kern w:val="0"/>
          <w:sz w:val="24"/>
          <w:highlight w:val="none"/>
        </w:rPr>
        <w:t>1位小数）</w:t>
      </w:r>
    </w:p>
    <w:p w14:paraId="6BC301F8">
      <w:pPr>
        <w:numPr>
          <w:ilvl w:val="0"/>
          <w:numId w:val="0"/>
        </w:numPr>
        <w:adjustRightInd w:val="0"/>
        <w:snapToGrid w:val="0"/>
        <w:spacing w:line="360" w:lineRule="auto"/>
        <w:rPr>
          <w:rFonts w:hint="default" w:eastAsia="宋体"/>
          <w:color w:val="auto"/>
          <w:kern w:val="0"/>
          <w:sz w:val="24"/>
          <w:highlight w:val="none"/>
          <w:lang w:val="en-US" w:eastAsia="zh-CN"/>
        </w:rPr>
      </w:pPr>
      <w:r>
        <w:rPr>
          <w:rFonts w:hint="eastAsia"/>
          <w:color w:val="auto"/>
          <w:kern w:val="0"/>
          <w:sz w:val="24"/>
          <w:highlight w:val="none"/>
          <w:lang w:val="en-US" w:eastAsia="zh-CN"/>
        </w:rPr>
        <w:t xml:space="preserve">    经营状况指标及经济贡献度指标数据由区财政局向有关部门获取后统一提供。</w:t>
      </w:r>
    </w:p>
    <w:p w14:paraId="777C1138">
      <w:pPr>
        <w:adjustRightInd w:val="0"/>
        <w:snapToGrid w:val="0"/>
        <w:spacing w:line="360" w:lineRule="auto"/>
        <w:ind w:firstLine="480" w:firstLineChars="200"/>
        <w:rPr>
          <w:color w:val="auto"/>
          <w:kern w:val="0"/>
          <w:sz w:val="24"/>
          <w:highlight w:val="none"/>
        </w:rPr>
      </w:pPr>
      <w:r>
        <w:rPr>
          <w:color w:val="auto"/>
          <w:kern w:val="0"/>
          <w:sz w:val="24"/>
          <w:highlight w:val="none"/>
        </w:rPr>
        <w:t>此项得分为：评标专家的有效评分的算术平均值（保留小数2位）。</w:t>
      </w:r>
    </w:p>
    <w:p w14:paraId="217FA205">
      <w:pPr>
        <w:keepNext w:val="0"/>
        <w:keepLines w:val="0"/>
        <w:pageBreakBefore w:val="0"/>
        <w:numPr>
          <w:ilvl w:val="0"/>
          <w:numId w:val="9"/>
        </w:numPr>
        <w:kinsoku/>
        <w:wordWrap/>
        <w:overflowPunct/>
        <w:topLinePunct w:val="0"/>
        <w:autoSpaceDE/>
        <w:autoSpaceDN/>
        <w:bidi w:val="0"/>
        <w:adjustRightInd w:val="0"/>
        <w:snapToGrid w:val="0"/>
        <w:spacing w:line="360" w:lineRule="auto"/>
        <w:ind w:left="0" w:leftChars="0" w:firstLine="480" w:firstLineChars="200"/>
        <w:rPr>
          <w:color w:val="auto"/>
          <w:sz w:val="24"/>
          <w:highlight w:val="none"/>
        </w:rPr>
      </w:pPr>
      <w:r>
        <w:rPr>
          <w:color w:val="auto"/>
          <w:sz w:val="24"/>
          <w:highlight w:val="none"/>
        </w:rPr>
        <w:t>商务报价（利率</w:t>
      </w:r>
      <w:r>
        <w:rPr>
          <w:rFonts w:hint="eastAsia"/>
          <w:color w:val="auto"/>
          <w:sz w:val="24"/>
          <w:highlight w:val="none"/>
        </w:rPr>
        <w:t>水平</w:t>
      </w:r>
      <w:r>
        <w:rPr>
          <w:color w:val="auto"/>
          <w:sz w:val="24"/>
          <w:highlight w:val="none"/>
        </w:rPr>
        <w:t>指标）评审。由评标专家对投标文件进行商务评审。评标专家应对商务报价的进行全面审阅和对比分析，找出报价差异的原因及存在的问题。商务报价评审应以报价口径范围一致的评标价为依据。评标价应在最终报价的基础上，按照招标文件约定的因素和方法进行计算。凡属招标文件的原因造成报价口径范围不一致的，应调整投标人报价，但因投标人自身失误造成多算、少算、漏算的，不得调整。</w:t>
      </w:r>
    </w:p>
    <w:p w14:paraId="2226897B">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200"/>
        <w:rPr>
          <w:color w:val="auto"/>
          <w:sz w:val="24"/>
          <w:highlight w:val="none"/>
        </w:rPr>
      </w:pPr>
      <w:r>
        <w:rPr>
          <w:rFonts w:hint="eastAsia"/>
          <w:b/>
          <w:bCs/>
          <w:lang w:eastAsia="zh-CN"/>
        </w:rPr>
        <w:t>标项</w:t>
      </w:r>
      <w:r>
        <w:rPr>
          <w:rFonts w:hint="eastAsia"/>
          <w:b/>
          <w:bCs/>
          <w:lang w:val="en-US" w:eastAsia="zh-CN"/>
        </w:rPr>
        <w:t>1:杭州市萧山区人民政府新塘街道办事处基本户开户银行招标项目</w:t>
      </w:r>
    </w:p>
    <w:p w14:paraId="432E5593">
      <w:pPr>
        <w:pStyle w:val="25"/>
        <w:ind w:left="0" w:leftChars="0" w:firstLine="0" w:firstLineChars="0"/>
        <w:jc w:val="center"/>
        <w:rPr>
          <w:rFonts w:hint="default"/>
          <w:b/>
          <w:bCs/>
          <w:lang w:val="en-US" w:eastAsia="zh-CN"/>
        </w:rPr>
      </w:pPr>
      <w:r>
        <w:rPr>
          <w:rFonts w:hint="eastAsia"/>
          <w:b/>
          <w:bCs/>
          <w:lang w:val="en-US" w:eastAsia="zh-CN"/>
        </w:rPr>
        <w:t>评分规则</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980"/>
        <w:gridCol w:w="4320"/>
        <w:gridCol w:w="1394"/>
      </w:tblGrid>
      <w:tr w14:paraId="1464B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28" w:type="dxa"/>
            <w:noWrap w:val="0"/>
            <w:vAlign w:val="center"/>
          </w:tcPr>
          <w:p w14:paraId="621DD615">
            <w:pPr>
              <w:keepNext w:val="0"/>
              <w:keepLines w:val="0"/>
              <w:pageBreakBefore w:val="0"/>
              <w:kinsoku/>
              <w:wordWrap/>
              <w:overflowPunct/>
              <w:topLinePunct w:val="0"/>
              <w:autoSpaceDE/>
              <w:autoSpaceDN/>
              <w:bidi w:val="0"/>
              <w:spacing w:line="360" w:lineRule="auto"/>
              <w:jc w:val="center"/>
              <w:rPr>
                <w:rFonts w:hint="eastAsia"/>
                <w:b/>
                <w:color w:val="auto"/>
                <w:highlight w:val="none"/>
              </w:rPr>
            </w:pPr>
            <w:r>
              <w:rPr>
                <w:rFonts w:hint="eastAsia"/>
                <w:b/>
                <w:color w:val="auto"/>
                <w:highlight w:val="none"/>
              </w:rPr>
              <w:t>指标</w:t>
            </w:r>
          </w:p>
        </w:tc>
        <w:tc>
          <w:tcPr>
            <w:tcW w:w="1980" w:type="dxa"/>
            <w:noWrap w:val="0"/>
            <w:vAlign w:val="center"/>
          </w:tcPr>
          <w:p w14:paraId="4EBFB590">
            <w:pPr>
              <w:keepNext w:val="0"/>
              <w:keepLines w:val="0"/>
              <w:pageBreakBefore w:val="0"/>
              <w:kinsoku/>
              <w:wordWrap/>
              <w:overflowPunct/>
              <w:topLinePunct w:val="0"/>
              <w:autoSpaceDE/>
              <w:autoSpaceDN/>
              <w:bidi w:val="0"/>
              <w:spacing w:line="360" w:lineRule="auto"/>
              <w:jc w:val="center"/>
              <w:rPr>
                <w:rFonts w:hint="eastAsia"/>
                <w:b/>
                <w:color w:val="auto"/>
                <w:highlight w:val="none"/>
              </w:rPr>
            </w:pPr>
            <w:r>
              <w:rPr>
                <w:rFonts w:hint="eastAsia"/>
                <w:b/>
                <w:color w:val="auto"/>
                <w:highlight w:val="none"/>
              </w:rPr>
              <w:t>项目</w:t>
            </w:r>
          </w:p>
        </w:tc>
        <w:tc>
          <w:tcPr>
            <w:tcW w:w="4320" w:type="dxa"/>
            <w:noWrap w:val="0"/>
            <w:vAlign w:val="center"/>
          </w:tcPr>
          <w:p w14:paraId="3B34AE56">
            <w:pPr>
              <w:keepNext w:val="0"/>
              <w:keepLines w:val="0"/>
              <w:pageBreakBefore w:val="0"/>
              <w:kinsoku/>
              <w:wordWrap/>
              <w:overflowPunct/>
              <w:topLinePunct w:val="0"/>
              <w:autoSpaceDE/>
              <w:autoSpaceDN/>
              <w:bidi w:val="0"/>
              <w:spacing w:line="360" w:lineRule="auto"/>
              <w:jc w:val="center"/>
              <w:rPr>
                <w:rFonts w:hint="eastAsia"/>
                <w:b/>
                <w:color w:val="auto"/>
                <w:highlight w:val="none"/>
              </w:rPr>
            </w:pPr>
            <w:r>
              <w:rPr>
                <w:rFonts w:hint="eastAsia"/>
                <w:b/>
                <w:color w:val="auto"/>
                <w:highlight w:val="none"/>
              </w:rPr>
              <w:t>评审内容及评分细则</w:t>
            </w:r>
          </w:p>
        </w:tc>
        <w:tc>
          <w:tcPr>
            <w:tcW w:w="1394" w:type="dxa"/>
            <w:noWrap w:val="0"/>
            <w:vAlign w:val="center"/>
          </w:tcPr>
          <w:p w14:paraId="2E9DDC83">
            <w:pPr>
              <w:keepNext w:val="0"/>
              <w:keepLines w:val="0"/>
              <w:pageBreakBefore w:val="0"/>
              <w:kinsoku/>
              <w:wordWrap/>
              <w:overflowPunct/>
              <w:topLinePunct w:val="0"/>
              <w:autoSpaceDE/>
              <w:autoSpaceDN/>
              <w:bidi w:val="0"/>
              <w:spacing w:line="360" w:lineRule="auto"/>
              <w:jc w:val="center"/>
              <w:rPr>
                <w:rFonts w:hint="eastAsia"/>
                <w:b/>
                <w:color w:val="auto"/>
                <w:highlight w:val="none"/>
              </w:rPr>
            </w:pPr>
            <w:r>
              <w:rPr>
                <w:rFonts w:hint="eastAsia"/>
                <w:b/>
                <w:color w:val="auto"/>
                <w:highlight w:val="none"/>
              </w:rPr>
              <w:t>分值</w:t>
            </w:r>
          </w:p>
        </w:tc>
      </w:tr>
      <w:tr w14:paraId="17321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828" w:type="dxa"/>
            <w:vMerge w:val="restart"/>
            <w:noWrap w:val="0"/>
            <w:vAlign w:val="center"/>
          </w:tcPr>
          <w:p w14:paraId="53CBF6DD">
            <w:pPr>
              <w:keepNext w:val="0"/>
              <w:keepLines w:val="0"/>
              <w:pageBreakBefore w:val="0"/>
              <w:kinsoku/>
              <w:wordWrap/>
              <w:overflowPunct/>
              <w:topLinePunct w:val="0"/>
              <w:autoSpaceDE/>
              <w:autoSpaceDN/>
              <w:bidi w:val="0"/>
              <w:spacing w:line="360" w:lineRule="auto"/>
              <w:jc w:val="center"/>
              <w:rPr>
                <w:rFonts w:hint="eastAsia"/>
                <w:color w:val="auto"/>
                <w:highlight w:val="none"/>
              </w:rPr>
            </w:pPr>
            <w:r>
              <w:rPr>
                <w:rFonts w:hint="eastAsia"/>
                <w:color w:val="auto"/>
                <w:highlight w:val="none"/>
              </w:rPr>
              <w:t>经营状况指标</w:t>
            </w:r>
          </w:p>
          <w:p w14:paraId="4197B880">
            <w:pPr>
              <w:keepNext w:val="0"/>
              <w:keepLines w:val="0"/>
              <w:pageBreakBefore w:val="0"/>
              <w:kinsoku/>
              <w:wordWrap/>
              <w:overflowPunct/>
              <w:topLinePunct w:val="0"/>
              <w:autoSpaceDE/>
              <w:autoSpaceDN/>
              <w:bidi w:val="0"/>
              <w:spacing w:line="360" w:lineRule="auto"/>
              <w:jc w:val="center"/>
              <w:rPr>
                <w:rFonts w:hint="eastAsia"/>
                <w:color w:val="auto"/>
                <w:highlight w:val="none"/>
              </w:rPr>
            </w:pPr>
            <w:r>
              <w:rPr>
                <w:rFonts w:hint="eastAsia"/>
                <w:color w:val="auto"/>
                <w:highlight w:val="none"/>
              </w:rPr>
              <w:t>（</w:t>
            </w:r>
            <w:r>
              <w:rPr>
                <w:rFonts w:hint="eastAsia"/>
                <w:color w:val="auto"/>
                <w:highlight w:val="none"/>
                <w:lang w:val="en-US" w:eastAsia="zh-CN"/>
              </w:rPr>
              <w:t>30</w:t>
            </w:r>
            <w:r>
              <w:rPr>
                <w:rFonts w:hint="eastAsia"/>
                <w:color w:val="auto"/>
                <w:highlight w:val="none"/>
              </w:rPr>
              <w:t>分）</w:t>
            </w:r>
          </w:p>
          <w:p w14:paraId="4085A099">
            <w:pPr>
              <w:keepNext w:val="0"/>
              <w:keepLines w:val="0"/>
              <w:pageBreakBefore w:val="0"/>
              <w:kinsoku/>
              <w:wordWrap/>
              <w:overflowPunct/>
              <w:topLinePunct w:val="0"/>
              <w:autoSpaceDE/>
              <w:autoSpaceDN/>
              <w:bidi w:val="0"/>
              <w:spacing w:line="360" w:lineRule="auto"/>
              <w:jc w:val="center"/>
              <w:rPr>
                <w:rFonts w:hint="eastAsia"/>
                <w:color w:val="auto"/>
                <w:highlight w:val="none"/>
              </w:rPr>
            </w:pPr>
          </w:p>
        </w:tc>
        <w:tc>
          <w:tcPr>
            <w:tcW w:w="1980" w:type="dxa"/>
            <w:vMerge w:val="restart"/>
            <w:noWrap w:val="0"/>
            <w:vAlign w:val="center"/>
          </w:tcPr>
          <w:p w14:paraId="32E0A6F0">
            <w:pPr>
              <w:keepNext w:val="0"/>
              <w:keepLines w:val="0"/>
              <w:pageBreakBefore w:val="0"/>
              <w:kinsoku/>
              <w:wordWrap/>
              <w:overflowPunct/>
              <w:topLinePunct w:val="0"/>
              <w:autoSpaceDE/>
              <w:autoSpaceDN/>
              <w:bidi w:val="0"/>
              <w:spacing w:line="360" w:lineRule="auto"/>
              <w:jc w:val="center"/>
              <w:rPr>
                <w:rFonts w:hint="eastAsia" w:eastAsia="宋体"/>
                <w:color w:val="auto"/>
                <w:highlight w:val="none"/>
                <w:lang w:eastAsia="zh-CN"/>
              </w:rPr>
            </w:pPr>
            <w:r>
              <w:rPr>
                <w:rFonts w:hint="eastAsia"/>
                <w:color w:val="auto"/>
                <w:highlight w:val="none"/>
                <w:lang w:eastAsia="zh-CN"/>
              </w:rPr>
              <w:t>资产质量</w:t>
            </w:r>
          </w:p>
        </w:tc>
        <w:tc>
          <w:tcPr>
            <w:tcW w:w="4320" w:type="dxa"/>
            <w:noWrap w:val="0"/>
            <w:vAlign w:val="center"/>
          </w:tcPr>
          <w:p w14:paraId="02B62EC4">
            <w:pPr>
              <w:keepNext w:val="0"/>
              <w:keepLines w:val="0"/>
              <w:pageBreakBefore w:val="0"/>
              <w:widowControl/>
              <w:suppressLineNumbers w:val="0"/>
              <w:kinsoku/>
              <w:wordWrap/>
              <w:overflowPunct/>
              <w:topLinePunct w:val="0"/>
              <w:autoSpaceDE/>
              <w:autoSpaceDN/>
              <w:bidi w:val="0"/>
              <w:spacing w:line="360" w:lineRule="auto"/>
              <w:jc w:val="both"/>
              <w:textAlignment w:val="center"/>
              <w:rPr>
                <w:rFonts w:hint="eastAsia"/>
                <w:color w:val="auto"/>
                <w:highlight w:val="none"/>
              </w:rPr>
            </w:pPr>
            <w:r>
              <w:rPr>
                <w:rFonts w:hint="eastAsia" w:ascii="宋体" w:hAnsi="宋体" w:eastAsia="宋体" w:cs="宋体"/>
                <w:i w:val="0"/>
                <w:iCs w:val="0"/>
                <w:color w:val="auto"/>
                <w:kern w:val="0"/>
                <w:sz w:val="21"/>
                <w:szCs w:val="21"/>
                <w:highlight w:val="none"/>
                <w:u w:val="none"/>
                <w:lang w:val="en-US" w:eastAsia="zh-CN" w:bidi="ar"/>
              </w:rPr>
              <w:t>竞标银行在2023年度末在萧</w:t>
            </w:r>
            <w:r>
              <w:rPr>
                <w:rFonts w:hint="eastAsia" w:ascii="宋体" w:hAnsi="宋体" w:cs="宋体"/>
                <w:i w:val="0"/>
                <w:iCs w:val="0"/>
                <w:color w:val="auto"/>
                <w:kern w:val="0"/>
                <w:sz w:val="21"/>
                <w:szCs w:val="21"/>
                <w:highlight w:val="none"/>
                <w:u w:val="none"/>
                <w:lang w:val="en-US" w:eastAsia="zh-CN" w:bidi="ar"/>
              </w:rPr>
              <w:t>本外币</w:t>
            </w:r>
            <w:r>
              <w:rPr>
                <w:rFonts w:hint="eastAsia" w:ascii="宋体" w:hAnsi="宋体" w:eastAsia="宋体" w:cs="宋体"/>
                <w:i w:val="0"/>
                <w:iCs w:val="0"/>
                <w:color w:val="auto"/>
                <w:kern w:val="0"/>
                <w:sz w:val="21"/>
                <w:szCs w:val="21"/>
                <w:highlight w:val="none"/>
                <w:u w:val="none"/>
                <w:lang w:val="en-US" w:eastAsia="zh-CN" w:bidi="ar"/>
              </w:rPr>
              <w:t>存款余额（以人民银行公布为准），</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00亿（含）以上得</w:t>
            </w:r>
            <w:r>
              <w:rPr>
                <w:rFonts w:hint="eastAsia" w:ascii="宋体" w:hAnsi="宋体" w:eastAsia="宋体" w:cs="宋体"/>
                <w:i w:val="0"/>
                <w:iCs w:val="0"/>
                <w:color w:val="auto"/>
                <w:kern w:val="0"/>
                <w:sz w:val="21"/>
                <w:szCs w:val="21"/>
                <w:highlight w:val="none"/>
                <w:u w:val="single"/>
                <w:lang w:val="en-US" w:eastAsia="zh-CN" w:bidi="ar"/>
              </w:rPr>
              <w:t xml:space="preserve"> 6</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cs="宋体"/>
                <w:i w:val="0"/>
                <w:iCs w:val="0"/>
                <w:color w:val="auto"/>
                <w:kern w:val="0"/>
                <w:sz w:val="21"/>
                <w:szCs w:val="21"/>
                <w:highlight w:val="none"/>
                <w:u w:val="none"/>
                <w:lang w:val="en-US" w:eastAsia="zh-CN" w:bidi="ar"/>
              </w:rPr>
              <w:t>200</w:t>
            </w:r>
            <w:r>
              <w:rPr>
                <w:rFonts w:hint="eastAsia" w:ascii="宋体" w:hAnsi="宋体" w:eastAsia="宋体" w:cs="宋体"/>
                <w:i w:val="0"/>
                <w:iCs w:val="0"/>
                <w:color w:val="auto"/>
                <w:kern w:val="0"/>
                <w:sz w:val="21"/>
                <w:szCs w:val="21"/>
                <w:highlight w:val="none"/>
                <w:u w:val="none"/>
                <w:lang w:val="en-US" w:eastAsia="zh-CN" w:bidi="ar"/>
              </w:rPr>
              <w:t>（含）-</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00亿得</w:t>
            </w:r>
            <w:r>
              <w:rPr>
                <w:rFonts w:hint="eastAsia" w:ascii="宋体" w:hAnsi="宋体" w:eastAsia="宋体" w:cs="宋体"/>
                <w:i w:val="0"/>
                <w:iCs w:val="0"/>
                <w:color w:val="auto"/>
                <w:kern w:val="0"/>
                <w:sz w:val="21"/>
                <w:szCs w:val="21"/>
                <w:highlight w:val="none"/>
                <w:u w:val="single"/>
                <w:lang w:val="en-US" w:eastAsia="zh-CN" w:bidi="ar"/>
              </w:rPr>
              <w:t xml:space="preserve"> 5 </w:t>
            </w:r>
            <w:r>
              <w:rPr>
                <w:rFonts w:hint="eastAsia" w:ascii="宋体" w:hAnsi="宋体" w:eastAsia="宋体" w:cs="宋体"/>
                <w:i w:val="0"/>
                <w:iCs w:val="0"/>
                <w:color w:val="auto"/>
                <w:kern w:val="0"/>
                <w:sz w:val="21"/>
                <w:szCs w:val="21"/>
                <w:highlight w:val="none"/>
                <w:u w:val="none"/>
                <w:lang w:val="en-US" w:eastAsia="zh-CN" w:bidi="ar"/>
              </w:rPr>
              <w:t>分，100（含）-</w:t>
            </w:r>
            <w:r>
              <w:rPr>
                <w:rFonts w:hint="eastAsia" w:ascii="宋体" w:hAnsi="宋体" w:cs="宋体"/>
                <w:i w:val="0"/>
                <w:iCs w:val="0"/>
                <w:color w:val="auto"/>
                <w:kern w:val="0"/>
                <w:sz w:val="21"/>
                <w:szCs w:val="21"/>
                <w:highlight w:val="none"/>
                <w:u w:val="none"/>
                <w:lang w:val="en-US" w:eastAsia="zh-CN" w:bidi="ar"/>
              </w:rPr>
              <w:t>20</w:t>
            </w:r>
            <w:r>
              <w:rPr>
                <w:rFonts w:hint="eastAsia" w:ascii="宋体" w:hAnsi="宋体" w:eastAsia="宋体" w:cs="宋体"/>
                <w:i w:val="0"/>
                <w:iCs w:val="0"/>
                <w:color w:val="auto"/>
                <w:kern w:val="0"/>
                <w:sz w:val="21"/>
                <w:szCs w:val="21"/>
                <w:highlight w:val="none"/>
                <w:u w:val="none"/>
                <w:lang w:val="en-US" w:eastAsia="zh-CN" w:bidi="ar"/>
              </w:rPr>
              <w:t>0亿得</w:t>
            </w:r>
            <w:r>
              <w:rPr>
                <w:rFonts w:hint="eastAsia" w:ascii="宋体" w:hAnsi="宋体" w:eastAsia="宋体" w:cs="宋体"/>
                <w:i w:val="0"/>
                <w:iCs w:val="0"/>
                <w:color w:val="auto"/>
                <w:kern w:val="0"/>
                <w:sz w:val="21"/>
                <w:szCs w:val="21"/>
                <w:highlight w:val="none"/>
                <w:u w:val="single"/>
                <w:lang w:val="en-US" w:eastAsia="zh-CN" w:bidi="ar"/>
              </w:rPr>
              <w:t xml:space="preserve"> 4 </w:t>
            </w:r>
            <w:r>
              <w:rPr>
                <w:rFonts w:hint="eastAsia" w:ascii="宋体" w:hAnsi="宋体" w:eastAsia="宋体" w:cs="宋体"/>
                <w:i w:val="0"/>
                <w:iCs w:val="0"/>
                <w:color w:val="auto"/>
                <w:kern w:val="0"/>
                <w:sz w:val="21"/>
                <w:szCs w:val="21"/>
                <w:highlight w:val="none"/>
                <w:u w:val="none"/>
                <w:lang w:val="en-US" w:eastAsia="zh-CN" w:bidi="ar"/>
              </w:rPr>
              <w:t>分， 50（含）-100亿得</w:t>
            </w:r>
            <w:r>
              <w:rPr>
                <w:rFonts w:hint="eastAsia" w:ascii="宋体" w:hAnsi="宋体" w:eastAsia="宋体" w:cs="宋体"/>
                <w:i w:val="0"/>
                <w:iCs w:val="0"/>
                <w:color w:val="auto"/>
                <w:kern w:val="0"/>
                <w:sz w:val="21"/>
                <w:szCs w:val="21"/>
                <w:highlight w:val="none"/>
                <w:u w:val="single"/>
                <w:lang w:val="en-US" w:eastAsia="zh-CN" w:bidi="ar"/>
              </w:rPr>
              <w:t xml:space="preserve"> 3 </w:t>
            </w:r>
            <w:r>
              <w:rPr>
                <w:rFonts w:hint="eastAsia" w:ascii="宋体" w:hAnsi="宋体" w:eastAsia="宋体" w:cs="宋体"/>
                <w:i w:val="0"/>
                <w:iCs w:val="0"/>
                <w:color w:val="auto"/>
                <w:kern w:val="0"/>
                <w:sz w:val="21"/>
                <w:szCs w:val="21"/>
                <w:highlight w:val="none"/>
                <w:u w:val="none"/>
                <w:lang w:val="en-US" w:eastAsia="zh-CN" w:bidi="ar"/>
              </w:rPr>
              <w:t>分，20（含）-50亿得</w:t>
            </w:r>
            <w:r>
              <w:rPr>
                <w:rFonts w:hint="eastAsia" w:ascii="宋体" w:hAnsi="宋体" w:eastAsia="宋体" w:cs="宋体"/>
                <w:i w:val="0"/>
                <w:iCs w:val="0"/>
                <w:color w:val="auto"/>
                <w:kern w:val="0"/>
                <w:sz w:val="21"/>
                <w:szCs w:val="21"/>
                <w:highlight w:val="none"/>
                <w:u w:val="single"/>
                <w:lang w:val="en-US" w:eastAsia="zh-CN" w:bidi="ar"/>
              </w:rPr>
              <w:t xml:space="preserve"> 2 </w:t>
            </w:r>
            <w:r>
              <w:rPr>
                <w:rFonts w:hint="eastAsia" w:ascii="宋体" w:hAnsi="宋体" w:eastAsia="宋体" w:cs="宋体"/>
                <w:i w:val="0"/>
                <w:iCs w:val="0"/>
                <w:color w:val="auto"/>
                <w:kern w:val="0"/>
                <w:sz w:val="21"/>
                <w:szCs w:val="21"/>
                <w:highlight w:val="none"/>
                <w:u w:val="none"/>
                <w:lang w:val="en-US" w:eastAsia="zh-CN" w:bidi="ar"/>
              </w:rPr>
              <w:t>分，20亿以下不得分。</w:t>
            </w:r>
          </w:p>
        </w:tc>
        <w:tc>
          <w:tcPr>
            <w:tcW w:w="1394" w:type="dxa"/>
            <w:noWrap w:val="0"/>
            <w:vAlign w:val="center"/>
          </w:tcPr>
          <w:p w14:paraId="52DDDDB8">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6</w:t>
            </w:r>
          </w:p>
        </w:tc>
      </w:tr>
      <w:tr w14:paraId="6E05A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828" w:type="dxa"/>
            <w:vMerge w:val="continue"/>
            <w:noWrap w:val="0"/>
            <w:vAlign w:val="center"/>
          </w:tcPr>
          <w:p w14:paraId="2022CA44">
            <w:pPr>
              <w:keepNext w:val="0"/>
              <w:keepLines w:val="0"/>
              <w:pageBreakBefore w:val="0"/>
              <w:kinsoku/>
              <w:wordWrap/>
              <w:overflowPunct/>
              <w:topLinePunct w:val="0"/>
              <w:autoSpaceDE/>
              <w:autoSpaceDN/>
              <w:bidi w:val="0"/>
              <w:spacing w:line="360" w:lineRule="auto"/>
              <w:ind w:left="1260" w:hanging="420"/>
              <w:jc w:val="center"/>
              <w:rPr>
                <w:rFonts w:hint="eastAsia"/>
                <w:color w:val="auto"/>
                <w:highlight w:val="none"/>
              </w:rPr>
            </w:pPr>
          </w:p>
        </w:tc>
        <w:tc>
          <w:tcPr>
            <w:tcW w:w="1980" w:type="dxa"/>
            <w:vMerge w:val="continue"/>
            <w:noWrap w:val="0"/>
            <w:vAlign w:val="center"/>
          </w:tcPr>
          <w:p w14:paraId="2C267C6A">
            <w:pPr>
              <w:keepNext w:val="0"/>
              <w:keepLines w:val="0"/>
              <w:pageBreakBefore w:val="0"/>
              <w:kinsoku/>
              <w:wordWrap/>
              <w:overflowPunct/>
              <w:topLinePunct w:val="0"/>
              <w:autoSpaceDE/>
              <w:autoSpaceDN/>
              <w:bidi w:val="0"/>
              <w:spacing w:line="360" w:lineRule="auto"/>
              <w:jc w:val="center"/>
              <w:rPr>
                <w:rFonts w:hint="eastAsia"/>
                <w:color w:val="auto"/>
                <w:highlight w:val="none"/>
              </w:rPr>
            </w:pPr>
          </w:p>
        </w:tc>
        <w:tc>
          <w:tcPr>
            <w:tcW w:w="4320" w:type="dxa"/>
            <w:noWrap w:val="0"/>
            <w:vAlign w:val="center"/>
          </w:tcPr>
          <w:p w14:paraId="206F2C77">
            <w:pPr>
              <w:keepNext w:val="0"/>
              <w:keepLines w:val="0"/>
              <w:pageBreakBefore w:val="0"/>
              <w:widowControl/>
              <w:suppressLineNumbers w:val="0"/>
              <w:kinsoku/>
              <w:wordWrap/>
              <w:overflowPunct/>
              <w:topLinePunct w:val="0"/>
              <w:autoSpaceDE/>
              <w:autoSpaceDN/>
              <w:bidi w:val="0"/>
              <w:spacing w:line="360" w:lineRule="auto"/>
              <w:jc w:val="both"/>
              <w:textAlignment w:val="center"/>
              <w:rPr>
                <w:rFonts w:hint="eastAsia"/>
                <w:color w:val="auto"/>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竞标银行</w:t>
            </w:r>
            <w:r>
              <w:rPr>
                <w:rFonts w:hint="default" w:ascii="Times New Roman" w:hAnsi="Times New Roman" w:eastAsia="宋体" w:cs="Times New Roman"/>
                <w:i w:val="0"/>
                <w:iCs w:val="0"/>
                <w:color w:val="auto"/>
                <w:kern w:val="0"/>
                <w:sz w:val="21"/>
                <w:szCs w:val="21"/>
                <w:highlight w:val="none"/>
                <w:u w:val="none"/>
                <w:lang w:val="en-US" w:eastAsia="zh-CN" w:bidi="ar"/>
              </w:rPr>
              <w:t>202</w:t>
            </w:r>
            <w:r>
              <w:rPr>
                <w:rFonts w:hint="eastAsia"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年末不良</w:t>
            </w:r>
            <w:r>
              <w:rPr>
                <w:rFonts w:hint="eastAsia" w:ascii="Times New Roman" w:hAnsi="Times New Roman" w:eastAsia="宋体" w:cs="Times New Roman"/>
                <w:i w:val="0"/>
                <w:iCs w:val="0"/>
                <w:color w:val="auto"/>
                <w:kern w:val="0"/>
                <w:sz w:val="21"/>
                <w:szCs w:val="21"/>
                <w:highlight w:val="none"/>
                <w:u w:val="none"/>
                <w:lang w:val="en-US" w:eastAsia="zh-CN" w:bidi="ar"/>
              </w:rPr>
              <w:t>贷款</w:t>
            </w:r>
            <w:r>
              <w:rPr>
                <w:rFonts w:hint="default" w:ascii="Times New Roman" w:hAnsi="Times New Roman" w:eastAsia="宋体" w:cs="Times New Roman"/>
                <w:i w:val="0"/>
                <w:iCs w:val="0"/>
                <w:color w:val="auto"/>
                <w:kern w:val="0"/>
                <w:sz w:val="21"/>
                <w:szCs w:val="21"/>
                <w:highlight w:val="none"/>
                <w:u w:val="none"/>
                <w:lang w:val="en-US" w:eastAsia="zh-CN" w:bidi="ar"/>
              </w:rPr>
              <w:t>率（萧山区）排名进行评分，不良</w:t>
            </w:r>
            <w:r>
              <w:rPr>
                <w:rFonts w:hint="eastAsia" w:ascii="Times New Roman" w:hAnsi="Times New Roman" w:eastAsia="宋体" w:cs="Times New Roman"/>
                <w:i w:val="0"/>
                <w:iCs w:val="0"/>
                <w:color w:val="auto"/>
                <w:kern w:val="0"/>
                <w:sz w:val="21"/>
                <w:szCs w:val="21"/>
                <w:highlight w:val="none"/>
                <w:u w:val="none"/>
                <w:lang w:val="en-US" w:eastAsia="zh-CN" w:bidi="ar"/>
              </w:rPr>
              <w:t>贷款</w:t>
            </w:r>
            <w:r>
              <w:rPr>
                <w:rFonts w:hint="default" w:ascii="Times New Roman" w:hAnsi="Times New Roman" w:eastAsia="宋体" w:cs="Times New Roman"/>
                <w:i w:val="0"/>
                <w:iCs w:val="0"/>
                <w:color w:val="auto"/>
                <w:kern w:val="0"/>
                <w:sz w:val="21"/>
                <w:szCs w:val="21"/>
                <w:highlight w:val="none"/>
                <w:u w:val="none"/>
                <w:lang w:val="en-US" w:eastAsia="zh-CN" w:bidi="ar"/>
              </w:rPr>
              <w:t>率最低的为第一名得</w:t>
            </w:r>
            <w:r>
              <w:rPr>
                <w:rFonts w:hint="eastAsia"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分，每降一名减0.</w:t>
            </w:r>
            <w:r>
              <w:rPr>
                <w:rFonts w:hint="eastAsia" w:ascii="Times New Roman" w:hAnsi="Times New Roman" w:eastAsia="宋体"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分</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减完为止。</w:t>
            </w:r>
          </w:p>
        </w:tc>
        <w:tc>
          <w:tcPr>
            <w:tcW w:w="1394" w:type="dxa"/>
            <w:noWrap w:val="0"/>
            <w:vAlign w:val="center"/>
          </w:tcPr>
          <w:p w14:paraId="4CE1186B">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5</w:t>
            </w:r>
          </w:p>
        </w:tc>
      </w:tr>
      <w:tr w14:paraId="4ED1B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828" w:type="dxa"/>
            <w:vMerge w:val="continue"/>
            <w:noWrap w:val="0"/>
            <w:vAlign w:val="center"/>
          </w:tcPr>
          <w:p w14:paraId="106CB9D0">
            <w:pPr>
              <w:keepNext w:val="0"/>
              <w:keepLines w:val="0"/>
              <w:pageBreakBefore w:val="0"/>
              <w:kinsoku/>
              <w:wordWrap/>
              <w:overflowPunct/>
              <w:topLinePunct w:val="0"/>
              <w:autoSpaceDE/>
              <w:autoSpaceDN/>
              <w:bidi w:val="0"/>
              <w:spacing w:line="360" w:lineRule="auto"/>
              <w:ind w:left="1260" w:hanging="420"/>
              <w:jc w:val="center"/>
              <w:rPr>
                <w:rFonts w:hint="eastAsia"/>
                <w:color w:val="auto"/>
                <w:highlight w:val="none"/>
              </w:rPr>
            </w:pPr>
          </w:p>
        </w:tc>
        <w:tc>
          <w:tcPr>
            <w:tcW w:w="1980" w:type="dxa"/>
            <w:noWrap w:val="0"/>
            <w:vAlign w:val="center"/>
          </w:tcPr>
          <w:p w14:paraId="6A790E3B">
            <w:pPr>
              <w:keepNext w:val="0"/>
              <w:keepLines w:val="0"/>
              <w:pageBreakBefore w:val="0"/>
              <w:kinsoku/>
              <w:wordWrap/>
              <w:overflowPunct/>
              <w:topLinePunct w:val="0"/>
              <w:autoSpaceDE/>
              <w:autoSpaceDN/>
              <w:bidi w:val="0"/>
              <w:spacing w:line="360" w:lineRule="auto"/>
              <w:jc w:val="center"/>
              <w:rPr>
                <w:rFonts w:hint="eastAsia" w:eastAsia="宋体"/>
                <w:color w:val="auto"/>
                <w:highlight w:val="none"/>
                <w:lang w:eastAsia="zh-CN"/>
              </w:rPr>
            </w:pPr>
            <w:r>
              <w:rPr>
                <w:rFonts w:hint="eastAsia"/>
                <w:color w:val="auto"/>
                <w:highlight w:val="none"/>
                <w:lang w:eastAsia="zh-CN"/>
              </w:rPr>
              <w:t>运营状况</w:t>
            </w:r>
          </w:p>
        </w:tc>
        <w:tc>
          <w:tcPr>
            <w:tcW w:w="4320" w:type="dxa"/>
            <w:noWrap w:val="0"/>
            <w:vAlign w:val="top"/>
          </w:tcPr>
          <w:p w14:paraId="3DDB27CA">
            <w:pPr>
              <w:keepNext w:val="0"/>
              <w:keepLines w:val="0"/>
              <w:pageBreakBefore w:val="0"/>
              <w:widowControl/>
              <w:suppressLineNumbers w:val="0"/>
              <w:kinsoku/>
              <w:wordWrap/>
              <w:overflowPunct/>
              <w:topLinePunct w:val="0"/>
              <w:autoSpaceDE/>
              <w:autoSpaceDN/>
              <w:bidi w:val="0"/>
              <w:spacing w:line="360" w:lineRule="auto"/>
              <w:jc w:val="left"/>
              <w:textAlignment w:val="top"/>
              <w:rPr>
                <w:rFonts w:hint="eastAsia"/>
                <w:color w:val="auto"/>
                <w:kern w:val="2"/>
                <w:sz w:val="21"/>
                <w:szCs w:val="24"/>
                <w:highlight w:val="none"/>
                <w:lang w:val="en-US" w:eastAsia="zh-CN" w:bidi="ar-SA"/>
              </w:rPr>
            </w:pPr>
            <w:r>
              <w:rPr>
                <w:rStyle w:val="50"/>
                <w:rFonts w:hint="eastAsia" w:eastAsia="宋体"/>
                <w:color w:val="auto"/>
                <w:highlight w:val="none"/>
                <w:lang w:val="en-US" w:eastAsia="zh-CN" w:bidi="ar"/>
              </w:rPr>
              <w:t>竞标银行2023年利润总额（萧山区）情况进行评分，利润总额达到20亿元及以上的得5分，利润总额在15亿元（含）-20亿元的得4分，10亿元（含）-15亿元的得3分，5亿元（含）-10亿元的得2分，0-5亿元的得1分。</w:t>
            </w:r>
          </w:p>
        </w:tc>
        <w:tc>
          <w:tcPr>
            <w:tcW w:w="1394" w:type="dxa"/>
            <w:noWrap w:val="0"/>
            <w:vAlign w:val="center"/>
          </w:tcPr>
          <w:p w14:paraId="56C30FB9">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5</w:t>
            </w:r>
          </w:p>
        </w:tc>
      </w:tr>
      <w:tr w14:paraId="5AACC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828" w:type="dxa"/>
            <w:vMerge w:val="continue"/>
            <w:noWrap w:val="0"/>
            <w:vAlign w:val="center"/>
          </w:tcPr>
          <w:p w14:paraId="4D8C9E89">
            <w:pPr>
              <w:keepNext w:val="0"/>
              <w:keepLines w:val="0"/>
              <w:pageBreakBefore w:val="0"/>
              <w:kinsoku/>
              <w:wordWrap/>
              <w:overflowPunct/>
              <w:topLinePunct w:val="0"/>
              <w:autoSpaceDE/>
              <w:autoSpaceDN/>
              <w:bidi w:val="0"/>
              <w:spacing w:line="360" w:lineRule="auto"/>
              <w:ind w:left="1260" w:hanging="420"/>
              <w:jc w:val="center"/>
              <w:rPr>
                <w:rFonts w:hint="eastAsia"/>
                <w:color w:val="auto"/>
                <w:highlight w:val="none"/>
              </w:rPr>
            </w:pPr>
          </w:p>
        </w:tc>
        <w:tc>
          <w:tcPr>
            <w:tcW w:w="1980" w:type="dxa"/>
            <w:vMerge w:val="restart"/>
            <w:noWrap w:val="0"/>
            <w:vAlign w:val="center"/>
          </w:tcPr>
          <w:p w14:paraId="58082AC4">
            <w:pPr>
              <w:widowControl/>
              <w:spacing w:line="360" w:lineRule="auto"/>
              <w:jc w:val="center"/>
              <w:textAlignment w:val="center"/>
              <w:rPr>
                <w:rFonts w:hint="eastAsia" w:ascii="宋体" w:hAnsi="宋体" w:eastAsia="宋体" w:cs="宋体"/>
                <w:kern w:val="2"/>
                <w:sz w:val="21"/>
                <w:szCs w:val="21"/>
                <w:u w:val="none"/>
                <w:lang w:val="en-US" w:eastAsia="zh-CN" w:bidi="ar-SA"/>
              </w:rPr>
            </w:pPr>
            <w:r>
              <w:rPr>
                <w:rFonts w:hint="eastAsia" w:ascii="宋体" w:hAnsi="宋体" w:cs="宋体"/>
                <w:kern w:val="0"/>
                <w:szCs w:val="21"/>
                <w:u w:val="none"/>
                <w:lang w:bidi="ar"/>
              </w:rPr>
              <w:t>对萧贷款</w:t>
            </w:r>
          </w:p>
        </w:tc>
        <w:tc>
          <w:tcPr>
            <w:tcW w:w="4320" w:type="dxa"/>
            <w:noWrap w:val="0"/>
            <w:vAlign w:val="center"/>
          </w:tcPr>
          <w:p w14:paraId="59FEDC79">
            <w:pPr>
              <w:widowControl/>
              <w:spacing w:line="360" w:lineRule="auto"/>
              <w:jc w:val="left"/>
              <w:textAlignment w:val="center"/>
              <w:rPr>
                <w:rFonts w:hint="eastAsia" w:ascii="宋体" w:hAnsi="宋体" w:eastAsia="宋体" w:cs="宋体"/>
                <w:kern w:val="2"/>
                <w:sz w:val="21"/>
                <w:szCs w:val="21"/>
                <w:u w:val="none"/>
                <w:lang w:val="en-US" w:eastAsia="zh-CN" w:bidi="ar-SA"/>
              </w:rPr>
            </w:pPr>
            <w:r>
              <w:rPr>
                <w:rFonts w:hint="eastAsia" w:ascii="宋体" w:hAnsi="宋体" w:cs="宋体"/>
                <w:kern w:val="0"/>
                <w:szCs w:val="21"/>
                <w:highlight w:val="none"/>
                <w:u w:val="none"/>
                <w:lang w:eastAsia="zh-CN" w:bidi="ar"/>
              </w:rPr>
              <w:t>竞标银行</w:t>
            </w:r>
            <w:r>
              <w:rPr>
                <w:rFonts w:hint="eastAsia" w:ascii="宋体" w:hAnsi="宋体" w:cs="宋体"/>
                <w:kern w:val="0"/>
                <w:szCs w:val="21"/>
                <w:highlight w:val="none"/>
                <w:u w:val="none"/>
                <w:lang w:bidi="ar"/>
              </w:rPr>
              <w:t>截止202</w:t>
            </w:r>
            <w:r>
              <w:rPr>
                <w:rFonts w:hint="eastAsia" w:ascii="宋体" w:hAnsi="宋体" w:cs="宋体"/>
                <w:kern w:val="0"/>
                <w:szCs w:val="21"/>
                <w:highlight w:val="none"/>
                <w:u w:val="none"/>
                <w:lang w:val="en-US" w:eastAsia="zh-CN" w:bidi="ar"/>
              </w:rPr>
              <w:t>3</w:t>
            </w:r>
            <w:r>
              <w:rPr>
                <w:rFonts w:hint="eastAsia" w:ascii="宋体" w:hAnsi="宋体" w:cs="宋体"/>
                <w:kern w:val="0"/>
                <w:szCs w:val="21"/>
                <w:highlight w:val="none"/>
                <w:u w:val="none"/>
                <w:lang w:bidi="ar"/>
              </w:rPr>
              <w:t>年末对萧山区的</w:t>
            </w:r>
            <w:r>
              <w:rPr>
                <w:rFonts w:hint="eastAsia" w:ascii="宋体" w:hAnsi="宋体" w:cs="宋体"/>
                <w:kern w:val="0"/>
                <w:szCs w:val="21"/>
                <w:highlight w:val="none"/>
                <w:u w:val="none"/>
                <w:lang w:val="en-US" w:eastAsia="zh-CN" w:bidi="ar"/>
              </w:rPr>
              <w:t>本外币</w:t>
            </w:r>
            <w:r>
              <w:rPr>
                <w:rFonts w:hint="eastAsia" w:ascii="宋体" w:hAnsi="宋体" w:cs="宋体"/>
                <w:kern w:val="0"/>
                <w:szCs w:val="21"/>
                <w:highlight w:val="none"/>
                <w:u w:val="none"/>
                <w:lang w:bidi="ar"/>
              </w:rPr>
              <w:t>贷款支持情况，</w:t>
            </w:r>
            <w:r>
              <w:rPr>
                <w:rFonts w:hint="eastAsia" w:ascii="宋体" w:hAnsi="宋体" w:cs="宋体"/>
                <w:kern w:val="0"/>
                <w:szCs w:val="21"/>
                <w:highlight w:val="none"/>
                <w:u w:val="none"/>
                <w:lang w:eastAsia="zh-CN" w:bidi="ar"/>
              </w:rPr>
              <w:t>人民币</w:t>
            </w:r>
            <w:r>
              <w:rPr>
                <w:rFonts w:hint="eastAsia" w:ascii="宋体" w:hAnsi="宋体" w:cs="宋体"/>
                <w:kern w:val="0"/>
                <w:szCs w:val="21"/>
                <w:highlight w:val="none"/>
                <w:u w:val="none"/>
                <w:lang w:bidi="ar"/>
              </w:rPr>
              <w:t>贷款余额</w:t>
            </w:r>
            <w:r>
              <w:rPr>
                <w:rFonts w:hint="eastAsia" w:ascii="宋体" w:hAnsi="宋体" w:cs="宋体"/>
                <w:kern w:val="0"/>
                <w:szCs w:val="21"/>
                <w:highlight w:val="none"/>
                <w:u w:val="none"/>
                <w:lang w:val="en-US" w:eastAsia="zh-CN" w:bidi="ar"/>
              </w:rPr>
              <w:t>最高的为第一名得4分，每降一个名次减0.5分，减完为止。</w:t>
            </w:r>
          </w:p>
        </w:tc>
        <w:tc>
          <w:tcPr>
            <w:tcW w:w="1394" w:type="dxa"/>
            <w:noWrap w:val="0"/>
            <w:vAlign w:val="center"/>
          </w:tcPr>
          <w:p w14:paraId="79944A0A">
            <w:pPr>
              <w:widowControl/>
              <w:spacing w:line="360" w:lineRule="auto"/>
              <w:jc w:val="center"/>
              <w:textAlignment w:val="center"/>
              <w:rPr>
                <w:rFonts w:hint="eastAsia" w:eastAsia="宋体"/>
                <w:kern w:val="2"/>
                <w:sz w:val="21"/>
                <w:szCs w:val="21"/>
                <w:u w:val="none"/>
                <w:lang w:val="en-US" w:eastAsia="zh-CN" w:bidi="ar-SA"/>
              </w:rPr>
            </w:pPr>
            <w:r>
              <w:rPr>
                <w:rFonts w:hint="eastAsia" w:eastAsia="宋体"/>
                <w:kern w:val="2"/>
                <w:sz w:val="21"/>
                <w:szCs w:val="21"/>
                <w:u w:val="none"/>
                <w:lang w:val="en-US" w:eastAsia="zh-CN" w:bidi="ar-SA"/>
              </w:rPr>
              <w:t>4</w:t>
            </w:r>
          </w:p>
        </w:tc>
      </w:tr>
      <w:tr w14:paraId="1D2B9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828" w:type="dxa"/>
            <w:vMerge w:val="continue"/>
            <w:noWrap w:val="0"/>
            <w:vAlign w:val="center"/>
          </w:tcPr>
          <w:p w14:paraId="3A29A09F">
            <w:pPr>
              <w:keepNext w:val="0"/>
              <w:keepLines w:val="0"/>
              <w:pageBreakBefore w:val="0"/>
              <w:kinsoku/>
              <w:wordWrap/>
              <w:overflowPunct/>
              <w:topLinePunct w:val="0"/>
              <w:autoSpaceDE/>
              <w:autoSpaceDN/>
              <w:bidi w:val="0"/>
              <w:spacing w:line="360" w:lineRule="auto"/>
              <w:ind w:left="1260" w:hanging="420"/>
              <w:jc w:val="center"/>
              <w:rPr>
                <w:rFonts w:hint="eastAsia"/>
                <w:color w:val="auto"/>
                <w:highlight w:val="none"/>
              </w:rPr>
            </w:pPr>
          </w:p>
        </w:tc>
        <w:tc>
          <w:tcPr>
            <w:tcW w:w="1980" w:type="dxa"/>
            <w:vMerge w:val="continue"/>
            <w:noWrap w:val="0"/>
            <w:vAlign w:val="center"/>
          </w:tcPr>
          <w:p w14:paraId="7CA27C91">
            <w:pPr>
              <w:widowControl/>
              <w:spacing w:line="360" w:lineRule="auto"/>
              <w:jc w:val="center"/>
              <w:textAlignment w:val="center"/>
              <w:rPr>
                <w:rFonts w:hint="eastAsia" w:eastAsia="宋体"/>
                <w:color w:val="auto"/>
                <w:highlight w:val="none"/>
                <w:lang w:eastAsia="zh-CN"/>
              </w:rPr>
            </w:pPr>
          </w:p>
        </w:tc>
        <w:tc>
          <w:tcPr>
            <w:tcW w:w="4320" w:type="dxa"/>
            <w:noWrap w:val="0"/>
            <w:vAlign w:val="center"/>
          </w:tcPr>
          <w:p w14:paraId="17E852DB">
            <w:pPr>
              <w:widowControl/>
              <w:spacing w:line="360" w:lineRule="auto"/>
              <w:jc w:val="left"/>
              <w:textAlignment w:val="center"/>
              <w:rPr>
                <w:rFonts w:hint="eastAsia" w:ascii="Times New Roman" w:hAnsi="Times New Roman" w:eastAsia="宋体" w:cs="Times New Roman"/>
                <w:i w:val="0"/>
                <w:iCs w:val="0"/>
                <w:color w:val="auto"/>
                <w:kern w:val="2"/>
                <w:sz w:val="21"/>
                <w:szCs w:val="21"/>
                <w:highlight w:val="none"/>
                <w:u w:val="none"/>
                <w:lang w:val="en-US" w:eastAsia="zh-CN" w:bidi="ar"/>
              </w:rPr>
            </w:pPr>
            <w:r>
              <w:rPr>
                <w:rFonts w:hint="eastAsia" w:ascii="宋体" w:hAnsi="宋体" w:cs="宋体"/>
                <w:kern w:val="0"/>
                <w:szCs w:val="21"/>
                <w:highlight w:val="none"/>
                <w:u w:val="none"/>
                <w:lang w:eastAsia="zh-CN" w:bidi="ar"/>
              </w:rPr>
              <w:t>竞标银行</w:t>
            </w:r>
            <w:r>
              <w:rPr>
                <w:rFonts w:hint="eastAsia" w:ascii="宋体" w:hAnsi="宋体" w:cs="宋体"/>
                <w:kern w:val="0"/>
                <w:szCs w:val="21"/>
                <w:highlight w:val="none"/>
                <w:u w:val="none"/>
                <w:lang w:bidi="ar"/>
              </w:rPr>
              <w:t>截止202</w:t>
            </w:r>
            <w:r>
              <w:rPr>
                <w:rFonts w:hint="eastAsia" w:ascii="宋体" w:hAnsi="宋体" w:cs="宋体"/>
                <w:kern w:val="0"/>
                <w:szCs w:val="21"/>
                <w:highlight w:val="none"/>
                <w:u w:val="none"/>
                <w:lang w:val="en-US" w:eastAsia="zh-CN" w:bidi="ar"/>
              </w:rPr>
              <w:t>3</w:t>
            </w:r>
            <w:r>
              <w:rPr>
                <w:rFonts w:hint="eastAsia" w:ascii="宋体" w:hAnsi="宋体" w:cs="宋体"/>
                <w:kern w:val="0"/>
                <w:szCs w:val="21"/>
                <w:highlight w:val="none"/>
                <w:u w:val="none"/>
                <w:lang w:bidi="ar"/>
              </w:rPr>
              <w:t>年末对萧山区的</w:t>
            </w:r>
            <w:r>
              <w:rPr>
                <w:rFonts w:hint="eastAsia" w:ascii="宋体" w:hAnsi="宋体" w:cs="宋体"/>
                <w:kern w:val="0"/>
                <w:szCs w:val="21"/>
                <w:highlight w:val="none"/>
                <w:u w:val="none"/>
                <w:lang w:val="en-US" w:eastAsia="zh-CN" w:bidi="ar"/>
              </w:rPr>
              <w:t>本外币</w:t>
            </w:r>
            <w:r>
              <w:rPr>
                <w:rFonts w:hint="eastAsia" w:ascii="宋体" w:hAnsi="宋体" w:cs="宋体"/>
                <w:kern w:val="0"/>
                <w:szCs w:val="21"/>
                <w:highlight w:val="none"/>
                <w:u w:val="none"/>
                <w:lang w:bidi="ar"/>
              </w:rPr>
              <w:t>贷款支持情况，</w:t>
            </w:r>
            <w:r>
              <w:rPr>
                <w:rFonts w:hint="eastAsia" w:ascii="宋体" w:hAnsi="宋体" w:cs="宋体"/>
                <w:kern w:val="0"/>
                <w:szCs w:val="21"/>
                <w:highlight w:val="none"/>
                <w:u w:val="none"/>
                <w:lang w:eastAsia="zh-CN" w:bidi="ar"/>
              </w:rPr>
              <w:t>人民币</w:t>
            </w:r>
            <w:r>
              <w:rPr>
                <w:rFonts w:hint="eastAsia" w:ascii="宋体" w:hAnsi="宋体" w:cs="宋体"/>
                <w:kern w:val="0"/>
                <w:szCs w:val="21"/>
                <w:highlight w:val="none"/>
                <w:u w:val="none"/>
                <w:lang w:bidi="ar"/>
              </w:rPr>
              <w:t>贷款余额比上一年增</w:t>
            </w:r>
            <w:r>
              <w:rPr>
                <w:rFonts w:hint="eastAsia" w:ascii="宋体" w:hAnsi="宋体" w:cs="宋体"/>
                <w:kern w:val="0"/>
                <w:szCs w:val="21"/>
                <w:highlight w:val="none"/>
                <w:u w:val="none"/>
                <w:lang w:val="en-US" w:eastAsia="zh-CN" w:bidi="ar"/>
              </w:rPr>
              <w:t>量</w:t>
            </w:r>
            <w:r>
              <w:rPr>
                <w:rFonts w:hint="eastAsia" w:ascii="宋体" w:hAnsi="宋体" w:cs="宋体"/>
                <w:kern w:val="0"/>
                <w:szCs w:val="21"/>
                <w:highlight w:val="none"/>
                <w:u w:val="none"/>
                <w:lang w:bidi="ar"/>
              </w:rPr>
              <w:t>（202</w:t>
            </w:r>
            <w:r>
              <w:rPr>
                <w:rFonts w:hint="eastAsia" w:ascii="宋体" w:hAnsi="宋体" w:cs="宋体"/>
                <w:kern w:val="0"/>
                <w:szCs w:val="21"/>
                <w:highlight w:val="none"/>
                <w:u w:val="none"/>
                <w:lang w:val="en-US" w:eastAsia="zh-CN" w:bidi="ar"/>
              </w:rPr>
              <w:t>3</w:t>
            </w:r>
            <w:r>
              <w:rPr>
                <w:rFonts w:hint="eastAsia" w:ascii="宋体" w:hAnsi="宋体" w:cs="宋体"/>
                <w:kern w:val="0"/>
                <w:szCs w:val="21"/>
                <w:highlight w:val="none"/>
                <w:u w:val="none"/>
                <w:lang w:bidi="ar"/>
              </w:rPr>
              <w:t>年末贷款余额-</w:t>
            </w:r>
            <w:r>
              <w:rPr>
                <w:rFonts w:hint="eastAsia" w:ascii="宋体" w:hAnsi="宋体" w:cs="宋体"/>
                <w:kern w:val="0"/>
                <w:szCs w:val="21"/>
                <w:highlight w:val="none"/>
                <w:u w:val="none"/>
                <w:lang w:eastAsia="zh-CN" w:bidi="ar"/>
              </w:rPr>
              <w:t>202</w:t>
            </w:r>
            <w:r>
              <w:rPr>
                <w:rFonts w:hint="eastAsia" w:ascii="宋体" w:hAnsi="宋体" w:cs="宋体"/>
                <w:kern w:val="0"/>
                <w:szCs w:val="21"/>
                <w:highlight w:val="none"/>
                <w:u w:val="none"/>
                <w:lang w:val="en-US" w:eastAsia="zh-CN" w:bidi="ar"/>
              </w:rPr>
              <w:t>2</w:t>
            </w:r>
            <w:r>
              <w:rPr>
                <w:rFonts w:hint="eastAsia" w:ascii="宋体" w:hAnsi="宋体" w:cs="宋体"/>
                <w:kern w:val="0"/>
                <w:szCs w:val="21"/>
                <w:highlight w:val="none"/>
                <w:u w:val="none"/>
                <w:lang w:bidi="ar"/>
              </w:rPr>
              <w:t>年末贷款余额）</w:t>
            </w:r>
            <w:r>
              <w:rPr>
                <w:rFonts w:hint="eastAsia" w:ascii="宋体" w:hAnsi="宋体" w:cs="宋体"/>
                <w:kern w:val="0"/>
                <w:szCs w:val="21"/>
                <w:u w:val="none"/>
                <w:lang w:val="en-US" w:eastAsia="zh-CN" w:bidi="ar"/>
              </w:rPr>
              <w:t>为0-20（不含）亿元的，得1分，20（含）-40（不含）亿元的，得2分，40（含）亿元以上的得4分</w:t>
            </w:r>
            <w:r>
              <w:rPr>
                <w:rFonts w:hint="eastAsia" w:ascii="宋体" w:hAnsi="宋体" w:cs="宋体"/>
                <w:kern w:val="0"/>
                <w:szCs w:val="21"/>
                <w:highlight w:val="none"/>
                <w:u w:val="none"/>
                <w:lang w:val="en-US" w:eastAsia="zh-CN" w:bidi="ar"/>
              </w:rPr>
              <w:t>。</w:t>
            </w:r>
          </w:p>
        </w:tc>
        <w:tc>
          <w:tcPr>
            <w:tcW w:w="1394" w:type="dxa"/>
            <w:noWrap w:val="0"/>
            <w:vAlign w:val="center"/>
          </w:tcPr>
          <w:p w14:paraId="5A210A7F">
            <w:pPr>
              <w:widowControl/>
              <w:spacing w:line="36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kern w:val="0"/>
                <w:szCs w:val="21"/>
                <w:u w:val="none"/>
                <w:lang w:val="en-US" w:eastAsia="zh-CN" w:bidi="ar"/>
              </w:rPr>
              <w:t>4</w:t>
            </w:r>
          </w:p>
        </w:tc>
      </w:tr>
      <w:tr w14:paraId="0A953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dxa"/>
            <w:vMerge w:val="continue"/>
            <w:noWrap w:val="0"/>
            <w:vAlign w:val="center"/>
          </w:tcPr>
          <w:p w14:paraId="4038AAB2">
            <w:pPr>
              <w:keepNext w:val="0"/>
              <w:keepLines w:val="0"/>
              <w:pageBreakBefore w:val="0"/>
              <w:kinsoku/>
              <w:wordWrap/>
              <w:overflowPunct/>
              <w:topLinePunct w:val="0"/>
              <w:autoSpaceDE/>
              <w:autoSpaceDN/>
              <w:bidi w:val="0"/>
              <w:spacing w:line="360" w:lineRule="auto"/>
              <w:ind w:left="1260" w:hanging="420"/>
              <w:jc w:val="center"/>
              <w:rPr>
                <w:rFonts w:hint="eastAsia"/>
                <w:color w:val="auto"/>
                <w:highlight w:val="none"/>
              </w:rPr>
            </w:pPr>
          </w:p>
        </w:tc>
        <w:tc>
          <w:tcPr>
            <w:tcW w:w="1980" w:type="dxa"/>
            <w:noWrap w:val="0"/>
            <w:vAlign w:val="center"/>
          </w:tcPr>
          <w:p w14:paraId="2962C5AC">
            <w:pPr>
              <w:widowControl/>
              <w:spacing w:line="360" w:lineRule="auto"/>
              <w:jc w:val="center"/>
              <w:textAlignment w:val="center"/>
              <w:rPr>
                <w:rFonts w:hint="eastAsia"/>
                <w:color w:val="auto"/>
                <w:highlight w:val="none"/>
                <w:lang w:eastAsia="zh-CN"/>
              </w:rPr>
            </w:pPr>
            <w:r>
              <w:rPr>
                <w:rFonts w:hint="eastAsia" w:ascii="宋体" w:hAnsi="宋体" w:cs="宋体"/>
                <w:kern w:val="0"/>
                <w:szCs w:val="21"/>
                <w:u w:val="none"/>
                <w:lang w:bidi="ar"/>
              </w:rPr>
              <w:t>偿付能力</w:t>
            </w:r>
          </w:p>
        </w:tc>
        <w:tc>
          <w:tcPr>
            <w:tcW w:w="4320" w:type="dxa"/>
            <w:noWrap w:val="0"/>
            <w:vAlign w:val="center"/>
          </w:tcPr>
          <w:p w14:paraId="091AD759">
            <w:pPr>
              <w:widowControl/>
              <w:spacing w:line="360" w:lineRule="auto"/>
              <w:jc w:val="left"/>
              <w:textAlignment w:val="center"/>
              <w:rPr>
                <w:rStyle w:val="50"/>
                <w:rFonts w:hint="default" w:eastAsia="宋体"/>
                <w:color w:val="auto"/>
                <w:highlight w:val="none"/>
                <w:lang w:val="en-US" w:eastAsia="zh-CN" w:bidi="ar"/>
              </w:rPr>
            </w:pPr>
            <w:r>
              <w:rPr>
                <w:rFonts w:hint="eastAsia"/>
                <w:kern w:val="0"/>
                <w:szCs w:val="21"/>
                <w:u w:val="none"/>
                <w:lang w:eastAsia="zh-CN" w:bidi="ar"/>
              </w:rPr>
              <w:t>竞标银行</w:t>
            </w:r>
            <w:r>
              <w:rPr>
                <w:kern w:val="0"/>
                <w:szCs w:val="21"/>
                <w:u w:val="none"/>
                <w:lang w:bidi="ar"/>
              </w:rPr>
              <w:t>202</w:t>
            </w:r>
            <w:r>
              <w:rPr>
                <w:rFonts w:hint="eastAsia"/>
                <w:kern w:val="0"/>
                <w:szCs w:val="21"/>
                <w:u w:val="none"/>
                <w:lang w:val="en-US" w:eastAsia="zh-CN" w:bidi="ar"/>
              </w:rPr>
              <w:t>3</w:t>
            </w:r>
            <w:r>
              <w:rPr>
                <w:rFonts w:hint="eastAsia" w:ascii="宋体" w:hAnsi="宋体" w:cs="宋体"/>
                <w:kern w:val="0"/>
                <w:szCs w:val="21"/>
                <w:u w:val="none"/>
                <w:lang w:bidi="ar"/>
              </w:rPr>
              <w:t>年末不良处置额（萧山区）排名进行评分，不良处置额最多为第一名得</w:t>
            </w:r>
            <w:r>
              <w:rPr>
                <w:rFonts w:hint="eastAsia"/>
                <w:kern w:val="0"/>
                <w:szCs w:val="21"/>
                <w:u w:val="none"/>
                <w:lang w:val="en-US" w:eastAsia="zh-CN" w:bidi="ar"/>
              </w:rPr>
              <w:t>4</w:t>
            </w:r>
            <w:r>
              <w:rPr>
                <w:rFonts w:hint="eastAsia" w:ascii="宋体" w:hAnsi="宋体" w:cs="宋体"/>
                <w:kern w:val="0"/>
                <w:szCs w:val="21"/>
                <w:u w:val="none"/>
                <w:lang w:bidi="ar"/>
              </w:rPr>
              <w:t>分，每降一名减</w:t>
            </w:r>
            <w:r>
              <w:rPr>
                <w:kern w:val="0"/>
                <w:szCs w:val="21"/>
                <w:u w:val="none"/>
                <w:lang w:bidi="ar"/>
              </w:rPr>
              <w:t>0.</w:t>
            </w:r>
            <w:r>
              <w:rPr>
                <w:rFonts w:hint="eastAsia"/>
                <w:kern w:val="0"/>
                <w:szCs w:val="21"/>
                <w:u w:val="none"/>
                <w:lang w:val="en-US" w:eastAsia="zh-CN" w:bidi="ar"/>
              </w:rPr>
              <w:t>5</w:t>
            </w:r>
            <w:r>
              <w:rPr>
                <w:rFonts w:hint="eastAsia" w:ascii="宋体" w:hAnsi="宋体" w:cs="宋体"/>
                <w:kern w:val="0"/>
                <w:szCs w:val="21"/>
                <w:u w:val="none"/>
                <w:lang w:bidi="ar"/>
              </w:rPr>
              <w:t>分</w:t>
            </w:r>
            <w:r>
              <w:rPr>
                <w:rFonts w:hint="eastAsia"/>
                <w:kern w:val="0"/>
                <w:szCs w:val="21"/>
                <w:u w:val="none"/>
                <w:lang w:eastAsia="zh-CN" w:bidi="ar"/>
              </w:rPr>
              <w:t>，</w:t>
            </w:r>
            <w:r>
              <w:rPr>
                <w:rFonts w:hint="eastAsia" w:ascii="宋体" w:hAnsi="宋体" w:cs="宋体"/>
                <w:kern w:val="0"/>
                <w:szCs w:val="21"/>
                <w:u w:val="none"/>
                <w:lang w:bidi="ar"/>
              </w:rPr>
              <w:t>减完为止。</w:t>
            </w:r>
          </w:p>
        </w:tc>
        <w:tc>
          <w:tcPr>
            <w:tcW w:w="1394" w:type="dxa"/>
            <w:noWrap w:val="0"/>
            <w:vAlign w:val="center"/>
          </w:tcPr>
          <w:p w14:paraId="15146685">
            <w:pPr>
              <w:widowControl/>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kern w:val="0"/>
                <w:szCs w:val="21"/>
                <w:u w:val="none"/>
                <w:lang w:val="en-US" w:eastAsia="zh-CN" w:bidi="ar"/>
              </w:rPr>
              <w:t>4</w:t>
            </w:r>
          </w:p>
        </w:tc>
      </w:tr>
      <w:tr w14:paraId="272E7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828" w:type="dxa"/>
            <w:vMerge w:val="continue"/>
            <w:noWrap w:val="0"/>
            <w:vAlign w:val="center"/>
          </w:tcPr>
          <w:p w14:paraId="20213734">
            <w:pPr>
              <w:keepNext w:val="0"/>
              <w:keepLines w:val="0"/>
              <w:pageBreakBefore w:val="0"/>
              <w:kinsoku/>
              <w:wordWrap/>
              <w:overflowPunct/>
              <w:topLinePunct w:val="0"/>
              <w:autoSpaceDE/>
              <w:autoSpaceDN/>
              <w:bidi w:val="0"/>
              <w:spacing w:line="360" w:lineRule="auto"/>
              <w:ind w:left="1260" w:hanging="420"/>
              <w:jc w:val="center"/>
              <w:rPr>
                <w:rFonts w:hint="eastAsia"/>
                <w:color w:val="auto"/>
                <w:highlight w:val="none"/>
              </w:rPr>
            </w:pPr>
          </w:p>
        </w:tc>
        <w:tc>
          <w:tcPr>
            <w:tcW w:w="1980" w:type="dxa"/>
            <w:noWrap w:val="0"/>
            <w:vAlign w:val="center"/>
          </w:tcPr>
          <w:p w14:paraId="5B7EA258">
            <w:pPr>
              <w:keepNext w:val="0"/>
              <w:keepLines w:val="0"/>
              <w:pageBreakBefore w:val="0"/>
              <w:kinsoku/>
              <w:wordWrap/>
              <w:overflowPunct/>
              <w:topLinePunct w:val="0"/>
              <w:autoSpaceDE/>
              <w:autoSpaceDN/>
              <w:bidi w:val="0"/>
              <w:spacing w:line="360" w:lineRule="auto"/>
              <w:jc w:val="center"/>
              <w:rPr>
                <w:rFonts w:hint="eastAsia" w:eastAsia="宋体"/>
                <w:color w:val="auto"/>
                <w:highlight w:val="none"/>
                <w:lang w:eastAsia="zh-CN"/>
              </w:rPr>
            </w:pPr>
            <w:r>
              <w:rPr>
                <w:rFonts w:hint="eastAsia"/>
                <w:color w:val="auto"/>
                <w:highlight w:val="none"/>
                <w:lang w:eastAsia="zh-CN"/>
              </w:rPr>
              <w:t>内控水平</w:t>
            </w:r>
          </w:p>
        </w:tc>
        <w:tc>
          <w:tcPr>
            <w:tcW w:w="4320" w:type="dxa"/>
            <w:noWrap w:val="0"/>
            <w:vAlign w:val="top"/>
          </w:tcPr>
          <w:p w14:paraId="4653B234">
            <w:pPr>
              <w:widowControl/>
              <w:spacing w:line="360" w:lineRule="auto"/>
              <w:jc w:val="left"/>
              <w:textAlignment w:val="top"/>
              <w:rPr>
                <w:rStyle w:val="50"/>
                <w:rFonts w:eastAsia="宋体"/>
                <w:color w:val="auto"/>
                <w:highlight w:val="none"/>
                <w:lang w:val="en-US" w:eastAsia="zh-CN" w:bidi="ar"/>
              </w:rPr>
            </w:pPr>
            <w:r>
              <w:rPr>
                <w:rFonts w:hint="eastAsia"/>
                <w:kern w:val="0"/>
                <w:szCs w:val="21"/>
                <w:u w:val="none"/>
                <w:lang w:eastAsia="zh-CN" w:bidi="ar"/>
              </w:rPr>
              <w:t>竞标银行</w:t>
            </w:r>
            <w:r>
              <w:rPr>
                <w:kern w:val="0"/>
                <w:szCs w:val="21"/>
                <w:u w:val="none"/>
                <w:lang w:bidi="ar"/>
              </w:rPr>
              <w:t>202</w:t>
            </w:r>
            <w:r>
              <w:rPr>
                <w:rFonts w:hint="eastAsia"/>
                <w:kern w:val="0"/>
                <w:szCs w:val="21"/>
                <w:u w:val="none"/>
                <w:lang w:val="en-US" w:eastAsia="zh-CN" w:bidi="ar"/>
              </w:rPr>
              <w:t>3</w:t>
            </w:r>
            <w:r>
              <w:rPr>
                <w:rFonts w:hint="eastAsia" w:ascii="宋体" w:hAnsi="宋体" w:cs="宋体"/>
                <w:kern w:val="0"/>
                <w:szCs w:val="21"/>
                <w:u w:val="none"/>
                <w:lang w:bidi="ar"/>
              </w:rPr>
              <w:t>年银监行政处罚情况（萧山区），每处罚一次扣1分，扣完为止。</w:t>
            </w:r>
          </w:p>
        </w:tc>
        <w:tc>
          <w:tcPr>
            <w:tcW w:w="1394" w:type="dxa"/>
            <w:noWrap w:val="0"/>
            <w:vAlign w:val="center"/>
          </w:tcPr>
          <w:p w14:paraId="6B93C8F1">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r>
      <w:tr w14:paraId="172710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828" w:type="dxa"/>
            <w:vMerge w:val="restart"/>
            <w:noWrap w:val="0"/>
            <w:vAlign w:val="center"/>
          </w:tcPr>
          <w:p w14:paraId="55BEF805">
            <w:pPr>
              <w:keepNext w:val="0"/>
              <w:keepLines w:val="0"/>
              <w:pageBreakBefore w:val="0"/>
              <w:kinsoku/>
              <w:wordWrap/>
              <w:overflowPunct/>
              <w:topLinePunct w:val="0"/>
              <w:autoSpaceDE/>
              <w:autoSpaceDN/>
              <w:bidi w:val="0"/>
              <w:spacing w:line="360" w:lineRule="auto"/>
              <w:jc w:val="center"/>
              <w:rPr>
                <w:rFonts w:hint="eastAsia"/>
                <w:color w:val="auto"/>
                <w:highlight w:val="none"/>
              </w:rPr>
            </w:pPr>
            <w:r>
              <w:rPr>
                <w:rFonts w:hint="eastAsia"/>
                <w:color w:val="auto"/>
                <w:highlight w:val="none"/>
              </w:rPr>
              <w:t>服务水平指标（</w:t>
            </w:r>
            <w:r>
              <w:rPr>
                <w:rFonts w:hint="eastAsia"/>
                <w:color w:val="auto"/>
                <w:highlight w:val="none"/>
                <w:lang w:val="en-US" w:eastAsia="zh-CN"/>
              </w:rPr>
              <w:t>20</w:t>
            </w:r>
            <w:r>
              <w:rPr>
                <w:rFonts w:hint="eastAsia"/>
                <w:color w:val="auto"/>
                <w:highlight w:val="none"/>
              </w:rPr>
              <w:t>）</w:t>
            </w:r>
          </w:p>
        </w:tc>
        <w:tc>
          <w:tcPr>
            <w:tcW w:w="1980" w:type="dxa"/>
            <w:noWrap w:val="0"/>
            <w:vAlign w:val="center"/>
          </w:tcPr>
          <w:p w14:paraId="1F310AF6">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kern w:val="2"/>
                <w:sz w:val="21"/>
                <w:szCs w:val="24"/>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投标人信息系统建设情况</w:t>
            </w:r>
          </w:p>
        </w:tc>
        <w:tc>
          <w:tcPr>
            <w:tcW w:w="4320" w:type="dxa"/>
            <w:noWrap w:val="0"/>
            <w:vAlign w:val="center"/>
          </w:tcPr>
          <w:p w14:paraId="5AB93B72">
            <w:pPr>
              <w:keepNext w:val="0"/>
              <w:keepLines w:val="0"/>
              <w:pageBreakBefore w:val="0"/>
              <w:widowControl/>
              <w:suppressLineNumbers w:val="0"/>
              <w:kinsoku/>
              <w:wordWrap/>
              <w:overflowPunct/>
              <w:topLinePunct w:val="0"/>
              <w:autoSpaceDE/>
              <w:autoSpaceDN/>
              <w:bidi w:val="0"/>
              <w:spacing w:line="360" w:lineRule="auto"/>
              <w:jc w:val="both"/>
              <w:textAlignment w:val="center"/>
              <w:rPr>
                <w:rFonts w:hint="default" w:ascii="Times New Roman" w:hAnsi="Times New Roman" w:eastAsia="宋体" w:cs="Times New Roman"/>
                <w:i w:val="0"/>
                <w:iCs w:val="0"/>
                <w:color w:val="auto"/>
                <w:kern w:val="2"/>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信息系统建设是否完善、数据安全保障情况、操作流程是否清晰、便捷，密钥等远程操作的安全性、便捷性等进行综合评分：优</w:t>
            </w:r>
            <w:r>
              <w:rPr>
                <w:rStyle w:val="55"/>
                <w:rFonts w:ascii="宋体" w:hAnsi="宋体" w:eastAsia="宋体" w:cs="宋体"/>
                <w:color w:val="auto"/>
                <w:sz w:val="21"/>
                <w:szCs w:val="21"/>
                <w:highlight w:val="none"/>
                <w:lang w:val="en-US" w:eastAsia="zh-CN" w:bidi="ar"/>
              </w:rPr>
              <w:t xml:space="preserve">  </w:t>
            </w:r>
            <w:r>
              <w:rPr>
                <w:rStyle w:val="55"/>
                <w:rFonts w:hint="eastAsia" w:ascii="宋体" w:hAnsi="宋体" w:eastAsia="宋体" w:cs="宋体"/>
                <w:color w:val="auto"/>
                <w:sz w:val="21"/>
                <w:szCs w:val="21"/>
                <w:highlight w:val="none"/>
                <w:lang w:val="en-US" w:eastAsia="zh-CN" w:bidi="ar"/>
              </w:rPr>
              <w:t>2-</w:t>
            </w:r>
            <w:r>
              <w:rPr>
                <w:rFonts w:hint="eastAsia" w:ascii="Times New Roman" w:hAnsi="Times New Roman" w:eastAsia="宋体" w:cs="Times New Roman"/>
                <w:i w:val="0"/>
                <w:iCs w:val="0"/>
                <w:color w:val="auto"/>
                <w:kern w:val="0"/>
                <w:sz w:val="21"/>
                <w:szCs w:val="21"/>
                <w:highlight w:val="none"/>
                <w:u w:val="single"/>
                <w:lang w:val="en-US" w:eastAsia="zh-CN" w:bidi="ar"/>
              </w:rPr>
              <w:t>3</w:t>
            </w:r>
            <w:r>
              <w:rPr>
                <w:rStyle w:val="55"/>
                <w:rFonts w:ascii="宋体" w:hAnsi="宋体" w:eastAsia="宋体" w:cs="宋体"/>
                <w:color w:val="auto"/>
                <w:sz w:val="21"/>
                <w:szCs w:val="21"/>
                <w:highlight w:val="none"/>
                <w:lang w:val="en-US" w:eastAsia="zh-CN" w:bidi="ar"/>
              </w:rPr>
              <w:t xml:space="preserve"> </w:t>
            </w:r>
            <w:r>
              <w:rPr>
                <w:rStyle w:val="56"/>
                <w:color w:val="auto"/>
                <w:sz w:val="21"/>
                <w:szCs w:val="21"/>
                <w:highlight w:val="none"/>
                <w:lang w:val="en-US" w:eastAsia="zh-CN" w:bidi="ar"/>
              </w:rPr>
              <w:t>分，良好</w:t>
            </w:r>
            <w:r>
              <w:rPr>
                <w:rStyle w:val="55"/>
                <w:rFonts w:ascii="宋体" w:hAnsi="宋体" w:eastAsia="宋体" w:cs="宋体"/>
                <w:color w:val="auto"/>
                <w:sz w:val="21"/>
                <w:szCs w:val="21"/>
                <w:highlight w:val="none"/>
                <w:lang w:val="en-US" w:eastAsia="zh-CN" w:bidi="ar"/>
              </w:rPr>
              <w:t xml:space="preserve">  </w:t>
            </w:r>
            <w:r>
              <w:rPr>
                <w:rStyle w:val="55"/>
                <w:rFonts w:hint="eastAsia" w:ascii="宋体" w:hAnsi="宋体" w:eastAsia="宋体" w:cs="宋体"/>
                <w:color w:val="auto"/>
                <w:sz w:val="21"/>
                <w:szCs w:val="21"/>
                <w:highlight w:val="none"/>
                <w:lang w:val="en-US" w:eastAsia="zh-CN" w:bidi="ar"/>
              </w:rPr>
              <w:t>1-</w:t>
            </w:r>
            <w:r>
              <w:rPr>
                <w:rStyle w:val="55"/>
                <w:rFonts w:ascii="宋体" w:hAnsi="宋体" w:eastAsia="宋体" w:cs="宋体"/>
                <w:color w:val="auto"/>
                <w:sz w:val="21"/>
                <w:szCs w:val="21"/>
                <w:highlight w:val="none"/>
                <w:lang w:val="en-US" w:eastAsia="zh-CN" w:bidi="ar"/>
              </w:rPr>
              <w:t xml:space="preserve">2 </w:t>
            </w:r>
            <w:r>
              <w:rPr>
                <w:rStyle w:val="56"/>
                <w:color w:val="auto"/>
                <w:sz w:val="21"/>
                <w:szCs w:val="21"/>
                <w:highlight w:val="none"/>
                <w:lang w:val="en-US" w:eastAsia="zh-CN" w:bidi="ar"/>
              </w:rPr>
              <w:t>分，一般的</w:t>
            </w:r>
            <w:r>
              <w:rPr>
                <w:rStyle w:val="55"/>
                <w:rFonts w:ascii="宋体" w:hAnsi="宋体" w:eastAsia="宋体" w:cs="宋体"/>
                <w:color w:val="auto"/>
                <w:sz w:val="21"/>
                <w:szCs w:val="21"/>
                <w:highlight w:val="none"/>
                <w:lang w:val="en-US" w:eastAsia="zh-CN" w:bidi="ar"/>
              </w:rPr>
              <w:t xml:space="preserve"> </w:t>
            </w:r>
            <w:r>
              <w:rPr>
                <w:rStyle w:val="55"/>
                <w:rFonts w:hint="eastAsia" w:ascii="宋体" w:hAnsi="宋体" w:eastAsia="宋体" w:cs="宋体"/>
                <w:color w:val="auto"/>
                <w:sz w:val="21"/>
                <w:szCs w:val="21"/>
                <w:highlight w:val="none"/>
                <w:lang w:val="en-US" w:eastAsia="zh-CN" w:bidi="ar"/>
              </w:rPr>
              <w:t>0-</w:t>
            </w:r>
            <w:r>
              <w:rPr>
                <w:rStyle w:val="55"/>
                <w:rFonts w:ascii="宋体" w:hAnsi="宋体" w:eastAsia="宋体" w:cs="宋体"/>
                <w:color w:val="auto"/>
                <w:sz w:val="21"/>
                <w:szCs w:val="21"/>
                <w:highlight w:val="none"/>
                <w:lang w:val="en-US" w:eastAsia="zh-CN" w:bidi="ar"/>
              </w:rPr>
              <w:t xml:space="preserve">1 </w:t>
            </w:r>
            <w:r>
              <w:rPr>
                <w:rStyle w:val="56"/>
                <w:color w:val="auto"/>
                <w:sz w:val="21"/>
                <w:szCs w:val="21"/>
                <w:highlight w:val="none"/>
                <w:lang w:val="en-US" w:eastAsia="zh-CN" w:bidi="ar"/>
              </w:rPr>
              <w:t>分，其他</w:t>
            </w:r>
            <w:r>
              <w:rPr>
                <w:rStyle w:val="56"/>
                <w:color w:val="auto"/>
                <w:highlight w:val="none"/>
                <w:lang w:val="en-US" w:eastAsia="zh-CN" w:bidi="ar"/>
              </w:rPr>
              <w:t>不得分（需提供证明材料）</w:t>
            </w:r>
          </w:p>
        </w:tc>
        <w:tc>
          <w:tcPr>
            <w:tcW w:w="1394" w:type="dxa"/>
            <w:noWrap w:val="0"/>
            <w:vAlign w:val="center"/>
          </w:tcPr>
          <w:p w14:paraId="18AEE04C">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r>
      <w:tr w14:paraId="20028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828" w:type="dxa"/>
            <w:vMerge w:val="continue"/>
            <w:noWrap w:val="0"/>
            <w:vAlign w:val="center"/>
          </w:tcPr>
          <w:p w14:paraId="6EB9BE75">
            <w:pPr>
              <w:keepNext w:val="0"/>
              <w:keepLines w:val="0"/>
              <w:pageBreakBefore w:val="0"/>
              <w:kinsoku/>
              <w:wordWrap/>
              <w:overflowPunct/>
              <w:topLinePunct w:val="0"/>
              <w:autoSpaceDE/>
              <w:autoSpaceDN/>
              <w:bidi w:val="0"/>
              <w:spacing w:line="360" w:lineRule="auto"/>
              <w:ind w:left="1260" w:hanging="420"/>
              <w:jc w:val="center"/>
              <w:rPr>
                <w:rFonts w:hint="eastAsia"/>
                <w:color w:val="auto"/>
                <w:highlight w:val="none"/>
              </w:rPr>
            </w:pPr>
          </w:p>
        </w:tc>
        <w:tc>
          <w:tcPr>
            <w:tcW w:w="1980" w:type="dxa"/>
            <w:noWrap w:val="0"/>
            <w:vAlign w:val="center"/>
          </w:tcPr>
          <w:p w14:paraId="761DEC73">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kern w:val="2"/>
                <w:sz w:val="21"/>
                <w:szCs w:val="24"/>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投标银行的服务质量和风险控制方案</w:t>
            </w:r>
          </w:p>
        </w:tc>
        <w:tc>
          <w:tcPr>
            <w:tcW w:w="4320" w:type="dxa"/>
            <w:noWrap w:val="0"/>
            <w:vAlign w:val="center"/>
          </w:tcPr>
          <w:p w14:paraId="5766A4D7">
            <w:pPr>
              <w:keepNext w:val="0"/>
              <w:keepLines w:val="0"/>
              <w:pageBreakBefore w:val="0"/>
              <w:widowControl/>
              <w:suppressLineNumbers w:val="0"/>
              <w:kinsoku/>
              <w:wordWrap/>
              <w:overflowPunct/>
              <w:topLinePunct w:val="0"/>
              <w:autoSpaceDE/>
              <w:autoSpaceDN/>
              <w:bidi w:val="0"/>
              <w:spacing w:line="360" w:lineRule="auto"/>
              <w:jc w:val="both"/>
              <w:textAlignment w:val="center"/>
              <w:rPr>
                <w:rFonts w:hint="default" w:ascii="Times New Roman" w:hAnsi="Times New Roman" w:eastAsia="宋体" w:cs="Times New Roman"/>
                <w:i w:val="0"/>
                <w:iCs w:val="0"/>
                <w:color w:val="auto"/>
                <w:kern w:val="2"/>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服务理念和目标的合理性：投标人对行政事业单位的理解和掌握情况，结合项目的特点，提出服务的定位、目标、标准和承诺情况，服务模式能够切合实际，且安全可行，保密性、安全性、文明服务的计划及承诺情况等；优1-3分，一般0-1分。</w:t>
            </w:r>
          </w:p>
        </w:tc>
        <w:tc>
          <w:tcPr>
            <w:tcW w:w="1394" w:type="dxa"/>
            <w:noWrap w:val="0"/>
            <w:vAlign w:val="center"/>
          </w:tcPr>
          <w:p w14:paraId="763B5F02">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r>
      <w:tr w14:paraId="256CD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828" w:type="dxa"/>
            <w:vMerge w:val="continue"/>
            <w:noWrap w:val="0"/>
            <w:vAlign w:val="center"/>
          </w:tcPr>
          <w:p w14:paraId="315C8FD2">
            <w:pPr>
              <w:keepNext w:val="0"/>
              <w:keepLines w:val="0"/>
              <w:pageBreakBefore w:val="0"/>
              <w:kinsoku/>
              <w:wordWrap/>
              <w:overflowPunct/>
              <w:topLinePunct w:val="0"/>
              <w:autoSpaceDE/>
              <w:autoSpaceDN/>
              <w:bidi w:val="0"/>
              <w:spacing w:line="360" w:lineRule="auto"/>
              <w:ind w:left="1260" w:hanging="420"/>
              <w:jc w:val="center"/>
              <w:rPr>
                <w:rFonts w:hint="eastAsia"/>
                <w:color w:val="auto"/>
                <w:highlight w:val="none"/>
              </w:rPr>
            </w:pPr>
          </w:p>
        </w:tc>
        <w:tc>
          <w:tcPr>
            <w:tcW w:w="1980" w:type="dxa"/>
            <w:noWrap w:val="0"/>
            <w:vAlign w:val="center"/>
          </w:tcPr>
          <w:p w14:paraId="4DF69233">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highlight w:val="none"/>
              </w:rPr>
            </w:pPr>
            <w:r>
              <w:rPr>
                <w:rFonts w:hint="eastAsia" w:ascii="宋体" w:hAnsi="宋体" w:eastAsia="宋体" w:cs="宋体"/>
                <w:i w:val="0"/>
                <w:iCs w:val="0"/>
                <w:color w:val="auto"/>
                <w:kern w:val="0"/>
                <w:sz w:val="21"/>
                <w:szCs w:val="21"/>
                <w:highlight w:val="none"/>
                <w:u w:val="none"/>
                <w:lang w:val="en-US" w:eastAsia="zh-CN" w:bidi="ar"/>
              </w:rPr>
              <w:t>账务、分账核算服务</w:t>
            </w:r>
          </w:p>
        </w:tc>
        <w:tc>
          <w:tcPr>
            <w:tcW w:w="4320" w:type="dxa"/>
            <w:noWrap w:val="0"/>
            <w:vAlign w:val="center"/>
          </w:tcPr>
          <w:p w14:paraId="5CFB1F1F">
            <w:pPr>
              <w:keepNext w:val="0"/>
              <w:keepLines w:val="0"/>
              <w:pageBreakBefore w:val="0"/>
              <w:widowControl/>
              <w:suppressLineNumbers w:val="0"/>
              <w:kinsoku/>
              <w:wordWrap/>
              <w:overflowPunct/>
              <w:topLinePunct w:val="0"/>
              <w:autoSpaceDE/>
              <w:autoSpaceDN/>
              <w:bidi w:val="0"/>
              <w:spacing w:line="360" w:lineRule="auto"/>
              <w:jc w:val="both"/>
              <w:textAlignment w:val="center"/>
              <w:rPr>
                <w:rFonts w:hint="default" w:ascii="Times New Roman" w:hAnsi="Times New Roman" w:eastAsia="宋体" w:cs="Times New Roman"/>
                <w:i w:val="0"/>
                <w:iCs w:val="0"/>
                <w:color w:val="auto"/>
                <w:kern w:val="2"/>
                <w:sz w:val="21"/>
                <w:szCs w:val="21"/>
                <w:highlight w:val="none"/>
                <w:u w:val="none"/>
                <w:lang w:val="en-US" w:eastAsia="zh-CN" w:bidi="ar"/>
              </w:rPr>
            </w:pPr>
            <w:r>
              <w:rPr>
                <w:rStyle w:val="56"/>
                <w:color w:val="auto"/>
                <w:highlight w:val="none"/>
                <w:lang w:val="en-US" w:eastAsia="zh-CN" w:bidi="ar"/>
              </w:rPr>
              <w:t>对账务、分账核算服务的水平及方案综合评价情况</w:t>
            </w:r>
            <w:r>
              <w:rPr>
                <w:rFonts w:hint="eastAsia" w:ascii="宋体" w:hAnsi="宋体" w:eastAsia="宋体" w:cs="宋体"/>
                <w:i w:val="0"/>
                <w:iCs w:val="0"/>
                <w:color w:val="auto"/>
                <w:kern w:val="0"/>
                <w:sz w:val="21"/>
                <w:szCs w:val="21"/>
                <w:highlight w:val="none"/>
                <w:u w:val="none"/>
                <w:lang w:val="en-US" w:eastAsia="zh-CN" w:bidi="ar"/>
              </w:rPr>
              <w:t>，优得 1-2 分、一般 0-1 分。</w:t>
            </w:r>
          </w:p>
        </w:tc>
        <w:tc>
          <w:tcPr>
            <w:tcW w:w="1394" w:type="dxa"/>
            <w:noWrap w:val="0"/>
            <w:vAlign w:val="center"/>
          </w:tcPr>
          <w:p w14:paraId="2C387BF3">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2C483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828" w:type="dxa"/>
            <w:vMerge w:val="continue"/>
            <w:noWrap w:val="0"/>
            <w:vAlign w:val="center"/>
          </w:tcPr>
          <w:p w14:paraId="5FF8C299">
            <w:pPr>
              <w:keepNext w:val="0"/>
              <w:keepLines w:val="0"/>
              <w:pageBreakBefore w:val="0"/>
              <w:kinsoku/>
              <w:wordWrap/>
              <w:overflowPunct/>
              <w:topLinePunct w:val="0"/>
              <w:autoSpaceDE/>
              <w:autoSpaceDN/>
              <w:bidi w:val="0"/>
              <w:spacing w:line="360" w:lineRule="auto"/>
              <w:ind w:left="1260" w:hanging="420"/>
              <w:jc w:val="center"/>
              <w:rPr>
                <w:rFonts w:hint="eastAsia"/>
                <w:color w:val="auto"/>
                <w:highlight w:val="none"/>
              </w:rPr>
            </w:pPr>
          </w:p>
        </w:tc>
        <w:tc>
          <w:tcPr>
            <w:tcW w:w="1980" w:type="dxa"/>
            <w:noWrap w:val="0"/>
            <w:vAlign w:val="center"/>
          </w:tcPr>
          <w:p w14:paraId="59CDCCB3">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kern w:val="2"/>
                <w:sz w:val="21"/>
                <w:szCs w:val="24"/>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对账服务</w:t>
            </w:r>
          </w:p>
          <w:p w14:paraId="6BDCB573">
            <w:pPr>
              <w:keepNext w:val="0"/>
              <w:keepLines w:val="0"/>
              <w:pageBreakBefore w:val="0"/>
              <w:kinsoku/>
              <w:wordWrap/>
              <w:overflowPunct/>
              <w:topLinePunct w:val="0"/>
              <w:autoSpaceDE/>
              <w:autoSpaceDN/>
              <w:bidi w:val="0"/>
              <w:spacing w:line="360" w:lineRule="auto"/>
              <w:jc w:val="center"/>
              <w:rPr>
                <w:rFonts w:hint="eastAsia"/>
                <w:color w:val="auto"/>
                <w:highlight w:val="none"/>
              </w:rPr>
            </w:pPr>
          </w:p>
        </w:tc>
        <w:tc>
          <w:tcPr>
            <w:tcW w:w="4320" w:type="dxa"/>
            <w:noWrap w:val="0"/>
            <w:vAlign w:val="center"/>
          </w:tcPr>
          <w:p w14:paraId="4E61E6DC">
            <w:pPr>
              <w:keepNext w:val="0"/>
              <w:keepLines w:val="0"/>
              <w:pageBreakBefore w:val="0"/>
              <w:widowControl/>
              <w:suppressLineNumbers w:val="0"/>
              <w:kinsoku/>
              <w:wordWrap/>
              <w:overflowPunct/>
              <w:topLinePunct w:val="0"/>
              <w:autoSpaceDE/>
              <w:autoSpaceDN/>
              <w:bidi w:val="0"/>
              <w:spacing w:line="360" w:lineRule="auto"/>
              <w:jc w:val="both"/>
              <w:textAlignment w:val="center"/>
              <w:rPr>
                <w:rFonts w:hint="default" w:ascii="Times New Roman" w:hAnsi="Times New Roman" w:eastAsia="宋体" w:cs="Times New Roman"/>
                <w:i w:val="0"/>
                <w:iCs w:val="0"/>
                <w:color w:val="auto"/>
                <w:kern w:val="2"/>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承诺提供网上对账服务或每月</w:t>
            </w:r>
            <w:r>
              <w:rPr>
                <w:rStyle w:val="57"/>
                <w:rFonts w:eastAsia="宋体"/>
                <w:color w:val="auto"/>
                <w:highlight w:val="none"/>
                <w:lang w:val="en-US" w:eastAsia="zh-CN" w:bidi="ar"/>
              </w:rPr>
              <w:t>5</w:t>
            </w:r>
            <w:r>
              <w:rPr>
                <w:rStyle w:val="56"/>
                <w:color w:val="auto"/>
                <w:highlight w:val="none"/>
                <w:lang w:val="en-US" w:eastAsia="zh-CN" w:bidi="ar"/>
              </w:rPr>
              <w:t>日前及时送达对账单得</w:t>
            </w:r>
            <w:r>
              <w:rPr>
                <w:rStyle w:val="55"/>
                <w:rFonts w:ascii="宋体" w:hAnsi="宋体" w:eastAsia="宋体" w:cs="宋体"/>
                <w:color w:val="auto"/>
                <w:sz w:val="24"/>
                <w:szCs w:val="24"/>
                <w:highlight w:val="none"/>
                <w:lang w:val="en-US" w:eastAsia="zh-CN" w:bidi="ar"/>
              </w:rPr>
              <w:t xml:space="preserve">  1 </w:t>
            </w:r>
            <w:r>
              <w:rPr>
                <w:rStyle w:val="56"/>
                <w:color w:val="auto"/>
                <w:highlight w:val="none"/>
                <w:lang w:val="en-US" w:eastAsia="zh-CN" w:bidi="ar"/>
              </w:rPr>
              <w:t>分，不承诺的不得分。</w:t>
            </w:r>
          </w:p>
        </w:tc>
        <w:tc>
          <w:tcPr>
            <w:tcW w:w="1394" w:type="dxa"/>
            <w:noWrap w:val="0"/>
            <w:vAlign w:val="center"/>
          </w:tcPr>
          <w:p w14:paraId="1B4CF000">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B81A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dxa"/>
            <w:vMerge w:val="continue"/>
            <w:noWrap w:val="0"/>
            <w:vAlign w:val="center"/>
          </w:tcPr>
          <w:p w14:paraId="7F1F23B9">
            <w:pPr>
              <w:keepNext w:val="0"/>
              <w:keepLines w:val="0"/>
              <w:pageBreakBefore w:val="0"/>
              <w:kinsoku/>
              <w:wordWrap/>
              <w:overflowPunct/>
              <w:topLinePunct w:val="0"/>
              <w:autoSpaceDE/>
              <w:autoSpaceDN/>
              <w:bidi w:val="0"/>
              <w:spacing w:line="360" w:lineRule="auto"/>
              <w:ind w:left="1260" w:hanging="420"/>
              <w:jc w:val="center"/>
              <w:rPr>
                <w:rFonts w:hint="eastAsia"/>
                <w:color w:val="auto"/>
                <w:highlight w:val="none"/>
              </w:rPr>
            </w:pPr>
          </w:p>
        </w:tc>
        <w:tc>
          <w:tcPr>
            <w:tcW w:w="1980" w:type="dxa"/>
            <w:vMerge w:val="restart"/>
            <w:noWrap w:val="0"/>
            <w:vAlign w:val="center"/>
          </w:tcPr>
          <w:p w14:paraId="6B822DF6">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kern w:val="2"/>
                <w:sz w:val="21"/>
                <w:szCs w:val="24"/>
                <w:highlight w:val="none"/>
                <w:lang w:val="en-US" w:eastAsia="zh-CN" w:bidi="ar-SA"/>
              </w:rPr>
            </w:pPr>
            <w:r>
              <w:rPr>
                <w:rFonts w:hint="eastAsia"/>
                <w:color w:val="auto"/>
                <w:kern w:val="2"/>
                <w:sz w:val="21"/>
                <w:szCs w:val="24"/>
                <w:highlight w:val="none"/>
                <w:lang w:val="en-US" w:eastAsia="zh-CN" w:bidi="ar-SA"/>
              </w:rPr>
              <w:t>投标银行服务网点情况及服务方案</w:t>
            </w:r>
          </w:p>
        </w:tc>
        <w:tc>
          <w:tcPr>
            <w:tcW w:w="4320" w:type="dxa"/>
            <w:noWrap w:val="0"/>
            <w:vAlign w:val="center"/>
          </w:tcPr>
          <w:p w14:paraId="1F480915">
            <w:pPr>
              <w:spacing w:line="360" w:lineRule="auto"/>
              <w:rPr>
                <w:rFonts w:hint="default" w:ascii="Times New Roman" w:hAnsi="Times New Roman" w:eastAsia="宋体" w:cs="Times New Roman"/>
                <w:i w:val="0"/>
                <w:iCs w:val="0"/>
                <w:color w:val="auto"/>
                <w:kern w:val="2"/>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① </w:t>
            </w:r>
            <w:r>
              <w:rPr>
                <w:rFonts w:hint="eastAsia"/>
                <w:highlight w:val="none"/>
              </w:rPr>
              <w:t>萧山区内（不含大江东区域）设网点数，具有</w:t>
            </w:r>
            <w:r>
              <w:rPr>
                <w:rFonts w:hint="eastAsia"/>
                <w:highlight w:val="none"/>
                <w:lang w:val="en-US" w:eastAsia="zh-CN"/>
              </w:rPr>
              <w:t>20</w:t>
            </w:r>
            <w:r>
              <w:rPr>
                <w:rFonts w:hint="eastAsia"/>
                <w:highlight w:val="none"/>
              </w:rPr>
              <w:t>个（含）及以上人工网点的，得</w:t>
            </w:r>
            <w:r>
              <w:rPr>
                <w:rFonts w:hint="eastAsia"/>
                <w:highlight w:val="none"/>
                <w:u w:val="single"/>
              </w:rPr>
              <w:t xml:space="preserve"> </w:t>
            </w:r>
            <w:r>
              <w:rPr>
                <w:rFonts w:hint="eastAsia"/>
                <w:highlight w:val="none"/>
                <w:u w:val="single"/>
                <w:lang w:val="en-US" w:eastAsia="zh-CN"/>
              </w:rPr>
              <w:t>2</w:t>
            </w:r>
            <w:r>
              <w:rPr>
                <w:rFonts w:hint="eastAsia"/>
                <w:highlight w:val="none"/>
                <w:u w:val="single"/>
              </w:rPr>
              <w:t xml:space="preserve"> </w:t>
            </w:r>
            <w:r>
              <w:rPr>
                <w:rFonts w:hint="eastAsia"/>
                <w:highlight w:val="none"/>
              </w:rPr>
              <w:t>分，</w:t>
            </w:r>
            <w:r>
              <w:rPr>
                <w:rFonts w:hint="eastAsia"/>
                <w:highlight w:val="none"/>
                <w:lang w:val="en-US" w:eastAsia="zh-CN"/>
              </w:rPr>
              <w:t>20</w:t>
            </w:r>
            <w:r>
              <w:rPr>
                <w:rFonts w:hint="eastAsia"/>
                <w:highlight w:val="none"/>
              </w:rPr>
              <w:t>个以下得</w:t>
            </w:r>
            <w:r>
              <w:rPr>
                <w:rFonts w:hint="eastAsia"/>
                <w:highlight w:val="none"/>
                <w:u w:val="single"/>
              </w:rPr>
              <w:t xml:space="preserve">  </w:t>
            </w:r>
            <w:r>
              <w:rPr>
                <w:rFonts w:hint="eastAsia"/>
                <w:highlight w:val="none"/>
                <w:u w:val="single"/>
                <w:lang w:val="en-US" w:eastAsia="zh-CN"/>
              </w:rPr>
              <w:t>1</w:t>
            </w:r>
            <w:r>
              <w:rPr>
                <w:rFonts w:hint="eastAsia"/>
                <w:highlight w:val="none"/>
                <w:u w:val="single"/>
              </w:rPr>
              <w:t xml:space="preserve">  </w:t>
            </w:r>
            <w:r>
              <w:rPr>
                <w:rFonts w:hint="eastAsia"/>
                <w:highlight w:val="none"/>
              </w:rPr>
              <w:t>分。（要求提供人工网点清单及营业执照复印件，无证明材料的不得分。）</w:t>
            </w:r>
          </w:p>
        </w:tc>
        <w:tc>
          <w:tcPr>
            <w:tcW w:w="1394" w:type="dxa"/>
            <w:noWrap w:val="0"/>
            <w:vAlign w:val="center"/>
          </w:tcPr>
          <w:p w14:paraId="1BC71C38">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r>
      <w:tr w14:paraId="78CCE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828" w:type="dxa"/>
            <w:vMerge w:val="continue"/>
            <w:noWrap w:val="0"/>
            <w:vAlign w:val="center"/>
          </w:tcPr>
          <w:p w14:paraId="1855BE7A">
            <w:pPr>
              <w:keepNext w:val="0"/>
              <w:keepLines w:val="0"/>
              <w:pageBreakBefore w:val="0"/>
              <w:kinsoku/>
              <w:wordWrap/>
              <w:overflowPunct/>
              <w:topLinePunct w:val="0"/>
              <w:autoSpaceDE/>
              <w:autoSpaceDN/>
              <w:bidi w:val="0"/>
              <w:spacing w:line="360" w:lineRule="auto"/>
              <w:ind w:left="1260" w:hanging="420"/>
              <w:jc w:val="center"/>
              <w:rPr>
                <w:rFonts w:hint="eastAsia"/>
                <w:color w:val="auto"/>
                <w:highlight w:val="none"/>
              </w:rPr>
            </w:pPr>
          </w:p>
        </w:tc>
        <w:tc>
          <w:tcPr>
            <w:tcW w:w="1980" w:type="dxa"/>
            <w:vMerge w:val="continue"/>
            <w:noWrap w:val="0"/>
            <w:vAlign w:val="center"/>
          </w:tcPr>
          <w:p w14:paraId="687EFB8A">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highlight w:val="none"/>
              </w:rPr>
            </w:pPr>
          </w:p>
        </w:tc>
        <w:tc>
          <w:tcPr>
            <w:tcW w:w="4320" w:type="dxa"/>
            <w:noWrap w:val="0"/>
            <w:vAlign w:val="center"/>
          </w:tcPr>
          <w:p w14:paraId="7B294C86">
            <w:pPr>
              <w:keepNext w:val="0"/>
              <w:keepLines w:val="0"/>
              <w:pageBreakBefore w:val="0"/>
              <w:widowControl/>
              <w:suppressLineNumbers w:val="0"/>
              <w:kinsoku/>
              <w:wordWrap/>
              <w:overflowPunct/>
              <w:topLinePunct w:val="0"/>
              <w:autoSpaceDE/>
              <w:autoSpaceDN/>
              <w:bidi w:val="0"/>
              <w:spacing w:line="360" w:lineRule="auto"/>
              <w:jc w:val="both"/>
              <w:textAlignment w:val="center"/>
              <w:rPr>
                <w:rFonts w:hint="default" w:ascii="Times New Roman" w:hAnsi="Times New Roman" w:eastAsia="宋体" w:cs="Times New Roman"/>
                <w:i w:val="0"/>
                <w:iCs w:val="0"/>
                <w:color w:val="auto"/>
                <w:kern w:val="2"/>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②</w:t>
            </w:r>
            <w:r>
              <w:rPr>
                <w:rFonts w:hint="eastAsia" w:ascii="宋体" w:hAnsi="宋体" w:eastAsia="宋体" w:cs="宋体"/>
                <w:i w:val="0"/>
                <w:iCs w:val="0"/>
                <w:color w:val="auto"/>
                <w:kern w:val="0"/>
                <w:sz w:val="21"/>
                <w:szCs w:val="21"/>
                <w:highlight w:val="none"/>
                <w:u w:val="none"/>
                <w:lang w:val="en-US" w:eastAsia="zh-CN" w:bidi="ar"/>
              </w:rPr>
              <w:t>上门服务：投标人有专车接送对账单和票据，根据招标人需求及时提供上门业务的得</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r>
              <w:rPr>
                <w:rFonts w:hint="eastAsia" w:ascii="Times New Roman" w:hAnsi="Times New Roman" w:eastAsia="宋体"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分；没有不得分。</w:t>
            </w:r>
          </w:p>
        </w:tc>
        <w:tc>
          <w:tcPr>
            <w:tcW w:w="1394" w:type="dxa"/>
            <w:noWrap w:val="0"/>
            <w:vAlign w:val="center"/>
          </w:tcPr>
          <w:p w14:paraId="56CB2F54">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r>
      <w:tr w14:paraId="5CE29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828" w:type="dxa"/>
            <w:vMerge w:val="continue"/>
            <w:noWrap w:val="0"/>
            <w:vAlign w:val="center"/>
          </w:tcPr>
          <w:p w14:paraId="67A98091">
            <w:pPr>
              <w:keepNext w:val="0"/>
              <w:keepLines w:val="0"/>
              <w:pageBreakBefore w:val="0"/>
              <w:kinsoku/>
              <w:wordWrap/>
              <w:overflowPunct/>
              <w:topLinePunct w:val="0"/>
              <w:autoSpaceDE/>
              <w:autoSpaceDN/>
              <w:bidi w:val="0"/>
              <w:spacing w:line="360" w:lineRule="auto"/>
              <w:ind w:left="1260" w:hanging="420"/>
              <w:jc w:val="center"/>
              <w:rPr>
                <w:rFonts w:hint="eastAsia"/>
                <w:color w:val="auto"/>
                <w:highlight w:val="none"/>
              </w:rPr>
            </w:pPr>
          </w:p>
        </w:tc>
        <w:tc>
          <w:tcPr>
            <w:tcW w:w="1980" w:type="dxa"/>
            <w:noWrap w:val="0"/>
            <w:vAlign w:val="center"/>
          </w:tcPr>
          <w:p w14:paraId="1CBFD03F">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kern w:val="2"/>
                <w:sz w:val="21"/>
                <w:szCs w:val="24"/>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服务费用减免等银行服务优惠措施</w:t>
            </w:r>
          </w:p>
        </w:tc>
        <w:tc>
          <w:tcPr>
            <w:tcW w:w="4320" w:type="dxa"/>
            <w:noWrap w:val="0"/>
            <w:vAlign w:val="center"/>
          </w:tcPr>
          <w:p w14:paraId="2057822B">
            <w:pPr>
              <w:keepNext w:val="0"/>
              <w:keepLines w:val="0"/>
              <w:pageBreakBefore w:val="0"/>
              <w:widowControl/>
              <w:suppressLineNumbers w:val="0"/>
              <w:kinsoku/>
              <w:wordWrap/>
              <w:overflowPunct/>
              <w:topLinePunct w:val="0"/>
              <w:autoSpaceDE/>
              <w:autoSpaceDN/>
              <w:bidi w:val="0"/>
              <w:spacing w:line="360" w:lineRule="auto"/>
              <w:jc w:val="both"/>
              <w:textAlignment w:val="center"/>
              <w:rPr>
                <w:rFonts w:hint="eastAsia" w:ascii="Times New Roman" w:hAnsi="Times New Roman" w:eastAsia="宋体" w:cs="Times New Roman"/>
                <w:i w:val="0"/>
                <w:iCs w:val="0"/>
                <w:color w:val="auto"/>
                <w:kern w:val="2"/>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根据提供的服务费用情况及优惠措施进行综合评分（提供一般业务服务费用清单，并明确是否全免）</w:t>
            </w:r>
          </w:p>
        </w:tc>
        <w:tc>
          <w:tcPr>
            <w:tcW w:w="1394" w:type="dxa"/>
            <w:noWrap w:val="0"/>
            <w:vAlign w:val="center"/>
          </w:tcPr>
          <w:p w14:paraId="19D5243B">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r>
      <w:tr w14:paraId="611401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28" w:type="dxa"/>
            <w:vMerge w:val="continue"/>
            <w:noWrap w:val="0"/>
            <w:vAlign w:val="center"/>
          </w:tcPr>
          <w:p w14:paraId="0D38DF42">
            <w:pPr>
              <w:keepNext w:val="0"/>
              <w:keepLines w:val="0"/>
              <w:pageBreakBefore w:val="0"/>
              <w:kinsoku/>
              <w:wordWrap/>
              <w:overflowPunct/>
              <w:topLinePunct w:val="0"/>
              <w:autoSpaceDE/>
              <w:autoSpaceDN/>
              <w:bidi w:val="0"/>
              <w:spacing w:line="360" w:lineRule="auto"/>
              <w:jc w:val="center"/>
              <w:rPr>
                <w:rFonts w:hint="eastAsia"/>
                <w:color w:val="auto"/>
                <w:highlight w:val="none"/>
              </w:rPr>
            </w:pPr>
          </w:p>
        </w:tc>
        <w:tc>
          <w:tcPr>
            <w:tcW w:w="1980" w:type="dxa"/>
            <w:noWrap w:val="0"/>
            <w:vAlign w:val="center"/>
          </w:tcPr>
          <w:p w14:paraId="749F9A3F">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kern w:val="2"/>
                <w:sz w:val="21"/>
                <w:szCs w:val="24"/>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以往服务经验</w:t>
            </w:r>
          </w:p>
        </w:tc>
        <w:tc>
          <w:tcPr>
            <w:tcW w:w="4320" w:type="dxa"/>
            <w:noWrap w:val="0"/>
            <w:vAlign w:val="center"/>
          </w:tcPr>
          <w:p w14:paraId="7AB04494">
            <w:pPr>
              <w:keepNext w:val="0"/>
              <w:keepLines w:val="0"/>
              <w:pageBreakBefore w:val="0"/>
              <w:widowControl/>
              <w:suppressLineNumbers w:val="0"/>
              <w:kinsoku/>
              <w:wordWrap/>
              <w:overflowPunct/>
              <w:topLinePunct w:val="0"/>
              <w:autoSpaceDE/>
              <w:autoSpaceDN/>
              <w:bidi w:val="0"/>
              <w:spacing w:line="360" w:lineRule="auto"/>
              <w:jc w:val="both"/>
              <w:textAlignment w:val="center"/>
              <w:rPr>
                <w:rFonts w:hint="eastAsia"/>
                <w:color w:val="auto"/>
                <w:kern w:val="2"/>
                <w:sz w:val="21"/>
                <w:szCs w:val="24"/>
                <w:highlight w:val="none"/>
                <w:lang w:val="en-US" w:eastAsia="zh-CN" w:bidi="ar-SA"/>
              </w:rPr>
            </w:pPr>
            <w:r>
              <w:rPr>
                <w:rFonts w:hint="eastAsia"/>
                <w:lang w:val="en-US" w:eastAsia="zh-CN"/>
              </w:rPr>
              <w:t>2021年以来为萧山区各乡镇街道提供过基本户服务，熟悉乡镇街道账户特性，且服务情况良好的，每一个账户得1分，满分4分（提供开户证明复印件，加盖公章）</w:t>
            </w:r>
          </w:p>
        </w:tc>
        <w:tc>
          <w:tcPr>
            <w:tcW w:w="1394" w:type="dxa"/>
            <w:noWrap w:val="0"/>
            <w:vAlign w:val="center"/>
          </w:tcPr>
          <w:p w14:paraId="73ACC9C8">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kern w:val="2"/>
                <w:sz w:val="21"/>
                <w:szCs w:val="24"/>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4</w:t>
            </w:r>
          </w:p>
        </w:tc>
      </w:tr>
      <w:tr w14:paraId="1ACD4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28" w:type="dxa"/>
            <w:vMerge w:val="continue"/>
            <w:noWrap w:val="0"/>
            <w:vAlign w:val="center"/>
          </w:tcPr>
          <w:p w14:paraId="3ED42E1F">
            <w:pPr>
              <w:keepNext w:val="0"/>
              <w:keepLines w:val="0"/>
              <w:pageBreakBefore w:val="0"/>
              <w:kinsoku/>
              <w:wordWrap/>
              <w:overflowPunct/>
              <w:topLinePunct w:val="0"/>
              <w:autoSpaceDE/>
              <w:autoSpaceDN/>
              <w:bidi w:val="0"/>
              <w:spacing w:line="360" w:lineRule="auto"/>
              <w:ind w:left="1260" w:hanging="420"/>
              <w:jc w:val="center"/>
              <w:rPr>
                <w:rFonts w:hint="eastAsia"/>
                <w:color w:val="auto"/>
                <w:highlight w:val="none"/>
              </w:rPr>
            </w:pPr>
          </w:p>
        </w:tc>
        <w:tc>
          <w:tcPr>
            <w:tcW w:w="1980" w:type="dxa"/>
            <w:noWrap w:val="0"/>
            <w:vAlign w:val="center"/>
          </w:tcPr>
          <w:p w14:paraId="55F9394D">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增值服务方案</w:t>
            </w:r>
          </w:p>
        </w:tc>
        <w:tc>
          <w:tcPr>
            <w:tcW w:w="4320" w:type="dxa"/>
            <w:noWrap w:val="0"/>
            <w:vAlign w:val="center"/>
          </w:tcPr>
          <w:p w14:paraId="002FEE10">
            <w:pPr>
              <w:spacing w:line="360" w:lineRule="auto"/>
              <w:rPr>
                <w:rFonts w:hint="eastAsia" w:eastAsia="宋体"/>
                <w:color w:val="auto"/>
                <w:kern w:val="2"/>
                <w:sz w:val="21"/>
                <w:szCs w:val="24"/>
                <w:highlight w:val="none"/>
                <w:lang w:val="en-US" w:eastAsia="zh-CN" w:bidi="ar-SA"/>
              </w:rPr>
            </w:pPr>
            <w:r>
              <w:rPr>
                <w:rFonts w:hint="eastAsia"/>
                <w:color w:val="auto"/>
                <w:highlight w:val="none"/>
                <w:lang w:val="en-US" w:eastAsia="zh-CN"/>
              </w:rPr>
              <w:t>根据可提供的其他增值服务、个性化服务方案、优惠措施进行综合评分（如服务人员保障、活动协助支持、培训等方案）</w:t>
            </w:r>
          </w:p>
        </w:tc>
        <w:tc>
          <w:tcPr>
            <w:tcW w:w="1394" w:type="dxa"/>
            <w:noWrap w:val="0"/>
            <w:vAlign w:val="center"/>
          </w:tcPr>
          <w:p w14:paraId="4A09E6CD">
            <w:pPr>
              <w:spacing w:line="360" w:lineRule="auto"/>
              <w:jc w:val="center"/>
              <w:rPr>
                <w:rFonts w:hint="eastAsia"/>
                <w:color w:val="auto"/>
                <w:kern w:val="2"/>
                <w:sz w:val="21"/>
                <w:szCs w:val="24"/>
                <w:highlight w:val="none"/>
                <w:lang w:val="en-US" w:eastAsia="zh-CN" w:bidi="ar-SA"/>
              </w:rPr>
            </w:pPr>
            <w:r>
              <w:rPr>
                <w:rFonts w:hint="eastAsia"/>
                <w:color w:val="auto"/>
                <w:highlight w:val="none"/>
                <w:lang w:val="en-US" w:eastAsia="zh-CN"/>
              </w:rPr>
              <w:t>2</w:t>
            </w:r>
          </w:p>
        </w:tc>
      </w:tr>
      <w:tr w14:paraId="49EE0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828" w:type="dxa"/>
            <w:vMerge w:val="restart"/>
            <w:noWrap w:val="0"/>
            <w:vAlign w:val="center"/>
          </w:tcPr>
          <w:p w14:paraId="55481A5A">
            <w:pPr>
              <w:keepNext w:val="0"/>
              <w:keepLines w:val="0"/>
              <w:pageBreakBefore w:val="0"/>
              <w:kinsoku/>
              <w:wordWrap/>
              <w:overflowPunct/>
              <w:topLinePunct w:val="0"/>
              <w:autoSpaceDE/>
              <w:autoSpaceDN/>
              <w:bidi w:val="0"/>
              <w:spacing w:line="360" w:lineRule="auto"/>
              <w:jc w:val="center"/>
              <w:rPr>
                <w:rFonts w:hint="eastAsia"/>
                <w:color w:val="auto"/>
                <w:highlight w:val="none"/>
              </w:rPr>
            </w:pPr>
            <w:r>
              <w:rPr>
                <w:rFonts w:hint="eastAsia"/>
                <w:color w:val="auto"/>
                <w:highlight w:val="none"/>
              </w:rPr>
              <w:t>经济发展贡献指标（</w:t>
            </w:r>
            <w:r>
              <w:rPr>
                <w:rFonts w:hint="eastAsia"/>
                <w:color w:val="auto"/>
                <w:highlight w:val="none"/>
                <w:lang w:val="en-US" w:eastAsia="zh-CN"/>
              </w:rPr>
              <w:t>30</w:t>
            </w:r>
            <w:r>
              <w:rPr>
                <w:rFonts w:hint="eastAsia"/>
                <w:color w:val="auto"/>
                <w:highlight w:val="none"/>
              </w:rPr>
              <w:t>）</w:t>
            </w:r>
          </w:p>
        </w:tc>
        <w:tc>
          <w:tcPr>
            <w:tcW w:w="1980" w:type="dxa"/>
            <w:noWrap w:val="0"/>
            <w:vAlign w:val="center"/>
          </w:tcPr>
          <w:p w14:paraId="5A2F5EA6">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highlight w:val="none"/>
              </w:rPr>
            </w:pPr>
            <w:r>
              <w:rPr>
                <w:rFonts w:hint="eastAsia" w:ascii="宋体" w:hAnsi="宋体" w:eastAsia="宋体" w:cs="宋体"/>
                <w:i w:val="0"/>
                <w:iCs w:val="0"/>
                <w:color w:val="auto"/>
                <w:kern w:val="0"/>
                <w:sz w:val="21"/>
                <w:szCs w:val="21"/>
                <w:highlight w:val="none"/>
                <w:u w:val="none"/>
                <w:lang w:val="en-US" w:eastAsia="zh-CN" w:bidi="ar"/>
              </w:rPr>
              <w:t>年度贡献评价结果指标</w:t>
            </w:r>
          </w:p>
        </w:tc>
        <w:tc>
          <w:tcPr>
            <w:tcW w:w="4320" w:type="dxa"/>
            <w:noWrap w:val="0"/>
            <w:vAlign w:val="center"/>
          </w:tcPr>
          <w:p w14:paraId="53E5870A">
            <w:pPr>
              <w:spacing w:line="360" w:lineRule="auto"/>
              <w:rPr>
                <w:rFonts w:hint="eastAsia"/>
                <w:color w:val="auto"/>
                <w:highlight w:val="none"/>
              </w:rPr>
            </w:pPr>
            <w:r>
              <w:rPr>
                <w:rFonts w:hint="eastAsia"/>
                <w:color w:val="auto"/>
                <w:highlight w:val="none"/>
                <w:lang w:val="en-US" w:eastAsia="zh-CN"/>
              </w:rPr>
              <w:t>2021-</w:t>
            </w:r>
            <w:r>
              <w:rPr>
                <w:rFonts w:hint="eastAsia"/>
                <w:color w:val="auto"/>
                <w:highlight w:val="none"/>
              </w:rPr>
              <w:t>20</w:t>
            </w:r>
            <w:r>
              <w:rPr>
                <w:rFonts w:hint="eastAsia"/>
                <w:color w:val="auto"/>
                <w:highlight w:val="none"/>
                <w:lang w:val="en-US" w:eastAsia="zh-CN"/>
              </w:rPr>
              <w:t>23</w:t>
            </w:r>
            <w:r>
              <w:rPr>
                <w:rFonts w:hint="eastAsia"/>
                <w:color w:val="auto"/>
                <w:highlight w:val="none"/>
              </w:rPr>
              <w:t>年度在萧银行机构金融机构支持萧山经济社会发展情况，</w:t>
            </w:r>
            <w:r>
              <w:rPr>
                <w:rFonts w:hint="eastAsia"/>
                <w:color w:val="auto"/>
                <w:highlight w:val="none"/>
                <w:lang w:eastAsia="zh-CN"/>
              </w:rPr>
              <w:t>每获得一次</w:t>
            </w:r>
            <w:r>
              <w:rPr>
                <w:rFonts w:hint="eastAsia"/>
                <w:color w:val="auto"/>
                <w:highlight w:val="none"/>
              </w:rPr>
              <w:t>一等奖得</w:t>
            </w:r>
            <w:r>
              <w:rPr>
                <w:rFonts w:hint="eastAsia"/>
                <w:color w:val="auto"/>
                <w:highlight w:val="none"/>
                <w:u w:val="single"/>
              </w:rPr>
              <w:t xml:space="preserve"> </w:t>
            </w:r>
            <w:r>
              <w:rPr>
                <w:rFonts w:hint="eastAsia"/>
                <w:color w:val="auto"/>
                <w:highlight w:val="none"/>
                <w:u w:val="single"/>
                <w:lang w:val="en-US" w:eastAsia="zh-CN"/>
              </w:rPr>
              <w:t>3</w:t>
            </w:r>
            <w:r>
              <w:rPr>
                <w:rFonts w:hint="eastAsia"/>
                <w:color w:val="auto"/>
                <w:highlight w:val="none"/>
                <w:u w:val="single"/>
              </w:rPr>
              <w:t xml:space="preserve"> </w:t>
            </w:r>
            <w:r>
              <w:rPr>
                <w:rFonts w:hint="eastAsia"/>
                <w:color w:val="auto"/>
                <w:highlight w:val="none"/>
              </w:rPr>
              <w:t>分，</w:t>
            </w:r>
            <w:r>
              <w:rPr>
                <w:rFonts w:hint="eastAsia"/>
                <w:color w:val="auto"/>
                <w:highlight w:val="none"/>
                <w:lang w:eastAsia="zh-CN"/>
              </w:rPr>
              <w:t>每获得一次</w:t>
            </w:r>
            <w:r>
              <w:rPr>
                <w:rFonts w:hint="eastAsia"/>
                <w:color w:val="auto"/>
                <w:highlight w:val="none"/>
              </w:rPr>
              <w:t xml:space="preserve">二等奖得 </w:t>
            </w:r>
            <w:r>
              <w:rPr>
                <w:rFonts w:hint="eastAsia"/>
                <w:color w:val="auto"/>
                <w:highlight w:val="none"/>
                <w:u w:val="single"/>
              </w:rPr>
              <w:t xml:space="preserve"> </w:t>
            </w:r>
            <w:r>
              <w:rPr>
                <w:rFonts w:hint="eastAsia"/>
                <w:color w:val="auto"/>
                <w:highlight w:val="none"/>
                <w:u w:val="single"/>
                <w:lang w:val="en-US" w:eastAsia="zh-CN"/>
              </w:rPr>
              <w:t>2</w:t>
            </w:r>
            <w:r>
              <w:rPr>
                <w:rFonts w:hint="eastAsia"/>
                <w:color w:val="auto"/>
                <w:highlight w:val="none"/>
                <w:u w:val="single"/>
              </w:rPr>
              <w:t xml:space="preserve"> </w:t>
            </w:r>
            <w:r>
              <w:rPr>
                <w:rFonts w:hint="eastAsia"/>
                <w:color w:val="auto"/>
                <w:highlight w:val="none"/>
              </w:rPr>
              <w:t>分，</w:t>
            </w:r>
            <w:r>
              <w:rPr>
                <w:rFonts w:hint="eastAsia"/>
                <w:color w:val="auto"/>
                <w:highlight w:val="none"/>
                <w:lang w:eastAsia="zh-CN"/>
              </w:rPr>
              <w:t>每获得一次</w:t>
            </w:r>
            <w:r>
              <w:rPr>
                <w:rFonts w:hint="eastAsia"/>
                <w:color w:val="auto"/>
                <w:highlight w:val="none"/>
              </w:rPr>
              <w:t>三等奖得</w:t>
            </w:r>
            <w:r>
              <w:rPr>
                <w:rFonts w:hint="eastAsia"/>
                <w:color w:val="auto"/>
                <w:highlight w:val="none"/>
                <w:u w:val="single"/>
              </w:rPr>
              <w:t xml:space="preserve"> </w:t>
            </w:r>
            <w:r>
              <w:rPr>
                <w:rFonts w:hint="eastAsia"/>
                <w:color w:val="auto"/>
                <w:highlight w:val="none"/>
                <w:u w:val="single"/>
                <w:lang w:val="en-US" w:eastAsia="zh-CN"/>
              </w:rPr>
              <w:t>1</w:t>
            </w:r>
            <w:r>
              <w:rPr>
                <w:rFonts w:hint="eastAsia"/>
                <w:color w:val="auto"/>
                <w:highlight w:val="none"/>
                <w:u w:val="single"/>
              </w:rPr>
              <w:t xml:space="preserve"> </w:t>
            </w:r>
            <w:r>
              <w:rPr>
                <w:rFonts w:hint="eastAsia"/>
                <w:color w:val="auto"/>
                <w:highlight w:val="none"/>
              </w:rPr>
              <w:t>分</w:t>
            </w:r>
            <w:r>
              <w:rPr>
                <w:rFonts w:hint="eastAsia"/>
                <w:color w:val="auto"/>
                <w:highlight w:val="none"/>
                <w:lang w:eastAsia="zh-CN"/>
              </w:rPr>
              <w:t>，满分</w:t>
            </w:r>
            <w:r>
              <w:rPr>
                <w:rFonts w:hint="eastAsia"/>
                <w:color w:val="auto"/>
                <w:highlight w:val="none"/>
                <w:lang w:val="en-US" w:eastAsia="zh-CN"/>
              </w:rPr>
              <w:t>9分</w:t>
            </w:r>
            <w:r>
              <w:rPr>
                <w:rFonts w:hint="eastAsia"/>
                <w:color w:val="auto"/>
                <w:highlight w:val="none"/>
              </w:rPr>
              <w:t>。（提供证明材料：</w:t>
            </w:r>
            <w:r>
              <w:rPr>
                <w:rFonts w:hint="eastAsia"/>
                <w:color w:val="auto"/>
                <w:highlight w:val="none"/>
                <w:lang w:val="en-US" w:eastAsia="zh-CN"/>
              </w:rPr>
              <w:t>2021-</w:t>
            </w:r>
            <w:r>
              <w:rPr>
                <w:rFonts w:hint="eastAsia"/>
                <w:color w:val="auto"/>
                <w:highlight w:val="none"/>
              </w:rPr>
              <w:t>20</w:t>
            </w:r>
            <w:r>
              <w:rPr>
                <w:rFonts w:hint="eastAsia"/>
                <w:color w:val="auto"/>
                <w:highlight w:val="none"/>
                <w:lang w:val="en-US" w:eastAsia="zh-CN"/>
              </w:rPr>
              <w:t>23</w:t>
            </w:r>
            <w:r>
              <w:rPr>
                <w:rFonts w:hint="eastAsia"/>
                <w:color w:val="auto"/>
                <w:highlight w:val="none"/>
              </w:rPr>
              <w:t>年度萧山区银行业金融机构评价奖励）</w:t>
            </w:r>
          </w:p>
        </w:tc>
        <w:tc>
          <w:tcPr>
            <w:tcW w:w="1394" w:type="dxa"/>
            <w:noWrap w:val="0"/>
            <w:vAlign w:val="center"/>
          </w:tcPr>
          <w:p w14:paraId="3DCA8C34">
            <w:pPr>
              <w:spacing w:line="360" w:lineRule="auto"/>
              <w:jc w:val="center"/>
              <w:rPr>
                <w:rFonts w:hint="eastAsia"/>
                <w:color w:val="auto"/>
                <w:highlight w:val="none"/>
              </w:rPr>
            </w:pPr>
            <w:r>
              <w:rPr>
                <w:rFonts w:hint="eastAsia" w:eastAsia="宋体"/>
                <w:color w:val="auto"/>
                <w:highlight w:val="none"/>
                <w:lang w:val="en-US" w:eastAsia="zh-CN"/>
              </w:rPr>
              <w:t>9</w:t>
            </w:r>
          </w:p>
        </w:tc>
      </w:tr>
      <w:tr w14:paraId="6B538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828" w:type="dxa"/>
            <w:vMerge w:val="continue"/>
            <w:noWrap w:val="0"/>
            <w:vAlign w:val="center"/>
          </w:tcPr>
          <w:p w14:paraId="3570F924">
            <w:pPr>
              <w:keepNext w:val="0"/>
              <w:keepLines w:val="0"/>
              <w:pageBreakBefore w:val="0"/>
              <w:kinsoku/>
              <w:wordWrap/>
              <w:overflowPunct/>
              <w:topLinePunct w:val="0"/>
              <w:autoSpaceDE/>
              <w:autoSpaceDN/>
              <w:bidi w:val="0"/>
              <w:spacing w:line="360" w:lineRule="auto"/>
              <w:jc w:val="center"/>
              <w:rPr>
                <w:rFonts w:hint="eastAsia"/>
                <w:color w:val="auto"/>
                <w:highlight w:val="none"/>
              </w:rPr>
            </w:pPr>
          </w:p>
        </w:tc>
        <w:tc>
          <w:tcPr>
            <w:tcW w:w="1980" w:type="dxa"/>
            <w:noWrap w:val="0"/>
            <w:vAlign w:val="center"/>
          </w:tcPr>
          <w:p w14:paraId="74944D96">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202</w:t>
            </w:r>
            <w:r>
              <w:rPr>
                <w:rFonts w:hint="eastAsia" w:ascii="Times New Roman" w:hAnsi="Times New Roman" w:eastAsia="宋体" w:cs="Times New Roman"/>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年在萧纳税情况</w:t>
            </w:r>
          </w:p>
        </w:tc>
        <w:tc>
          <w:tcPr>
            <w:tcW w:w="4320" w:type="dxa"/>
            <w:noWrap w:val="0"/>
            <w:vAlign w:val="center"/>
          </w:tcPr>
          <w:p w14:paraId="7D908932">
            <w:pPr>
              <w:keepNext w:val="0"/>
              <w:keepLines w:val="0"/>
              <w:pageBreakBefore w:val="0"/>
              <w:widowControl/>
              <w:suppressLineNumbers w:val="0"/>
              <w:kinsoku/>
              <w:wordWrap/>
              <w:overflowPunct/>
              <w:topLinePunct w:val="0"/>
              <w:autoSpaceDE/>
              <w:autoSpaceDN/>
              <w:bidi w:val="0"/>
              <w:spacing w:line="360" w:lineRule="auto"/>
              <w:jc w:val="both"/>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202</w:t>
            </w:r>
            <w:r>
              <w:rPr>
                <w:rFonts w:hint="eastAsia" w:ascii="Times New Roman" w:hAnsi="Times New Roman" w:eastAsia="宋体" w:cs="Times New Roman"/>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年纳税总额（萧山区）排名进行评分，第一</w:t>
            </w:r>
            <w:r>
              <w:rPr>
                <w:rStyle w:val="60"/>
                <w:color w:val="auto"/>
                <w:highlight w:val="none"/>
                <w:lang w:val="en-US" w:eastAsia="zh-CN" w:bidi="ar"/>
              </w:rPr>
              <w:t>名</w:t>
            </w:r>
            <w:r>
              <w:rPr>
                <w:rFonts w:hint="eastAsia" w:ascii="Times New Roman" w:hAnsi="Times New Roman" w:eastAsia="宋体" w:cs="Times New Roman"/>
                <w:i w:val="0"/>
                <w:iCs w:val="0"/>
                <w:color w:val="auto"/>
                <w:kern w:val="0"/>
                <w:sz w:val="21"/>
                <w:szCs w:val="21"/>
                <w:highlight w:val="none"/>
                <w:u w:val="none"/>
                <w:lang w:val="en-US" w:eastAsia="zh-CN" w:bidi="ar"/>
              </w:rPr>
              <w:t>3</w:t>
            </w:r>
            <w:r>
              <w:rPr>
                <w:rStyle w:val="60"/>
                <w:color w:val="auto"/>
                <w:highlight w:val="none"/>
                <w:lang w:val="en-US" w:eastAsia="zh-CN" w:bidi="ar"/>
              </w:rPr>
              <w:t>分</w:t>
            </w:r>
            <w:r>
              <w:rPr>
                <w:rFonts w:hint="eastAsia" w:ascii="宋体" w:hAnsi="宋体" w:eastAsia="宋体" w:cs="宋体"/>
                <w:i w:val="0"/>
                <w:iCs w:val="0"/>
                <w:color w:val="auto"/>
                <w:kern w:val="0"/>
                <w:sz w:val="21"/>
                <w:szCs w:val="21"/>
                <w:highlight w:val="none"/>
                <w:u w:val="none"/>
                <w:lang w:val="en-US" w:eastAsia="zh-CN" w:bidi="ar"/>
              </w:rPr>
              <w:t>，每降一名减</w:t>
            </w:r>
            <w:r>
              <w:rPr>
                <w:rStyle w:val="61"/>
                <w:rFonts w:hint="eastAsia" w:eastAsia="宋体"/>
                <w:color w:val="auto"/>
                <w:highlight w:val="none"/>
                <w:lang w:val="en-US" w:eastAsia="zh-CN" w:bidi="ar"/>
              </w:rPr>
              <w:t>0.5</w:t>
            </w:r>
            <w:r>
              <w:rPr>
                <w:rFonts w:hint="eastAsia" w:ascii="宋体" w:hAnsi="宋体" w:eastAsia="宋体" w:cs="宋体"/>
                <w:i w:val="0"/>
                <w:iCs w:val="0"/>
                <w:color w:val="auto"/>
                <w:kern w:val="0"/>
                <w:sz w:val="21"/>
                <w:szCs w:val="21"/>
                <w:highlight w:val="none"/>
                <w:u w:val="none"/>
                <w:lang w:val="en-US" w:eastAsia="zh-CN" w:bidi="ar"/>
              </w:rPr>
              <w:t>分，减完为止。（按排名减分，未在萧纳税的按最低名次计分。）</w:t>
            </w:r>
          </w:p>
        </w:tc>
        <w:tc>
          <w:tcPr>
            <w:tcW w:w="1394" w:type="dxa"/>
            <w:noWrap w:val="0"/>
            <w:vAlign w:val="center"/>
          </w:tcPr>
          <w:p w14:paraId="397F755C">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r>
      <w:tr w14:paraId="44941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828" w:type="dxa"/>
            <w:vMerge w:val="continue"/>
            <w:noWrap w:val="0"/>
            <w:vAlign w:val="center"/>
          </w:tcPr>
          <w:p w14:paraId="2EFF8F04">
            <w:pPr>
              <w:keepNext w:val="0"/>
              <w:keepLines w:val="0"/>
              <w:pageBreakBefore w:val="0"/>
              <w:kinsoku/>
              <w:wordWrap/>
              <w:overflowPunct/>
              <w:topLinePunct w:val="0"/>
              <w:autoSpaceDE/>
              <w:autoSpaceDN/>
              <w:bidi w:val="0"/>
              <w:spacing w:line="360" w:lineRule="auto"/>
              <w:jc w:val="center"/>
              <w:rPr>
                <w:rFonts w:hint="eastAsia"/>
                <w:color w:val="auto"/>
                <w:highlight w:val="none"/>
              </w:rPr>
            </w:pPr>
          </w:p>
        </w:tc>
        <w:tc>
          <w:tcPr>
            <w:tcW w:w="1980" w:type="dxa"/>
            <w:noWrap w:val="0"/>
            <w:vAlign w:val="center"/>
          </w:tcPr>
          <w:p w14:paraId="20B6642D">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kern w:val="2"/>
                <w:sz w:val="21"/>
                <w:szCs w:val="24"/>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在萧山的存贷款比（贷款</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存款比值）情况</w:t>
            </w:r>
          </w:p>
        </w:tc>
        <w:tc>
          <w:tcPr>
            <w:tcW w:w="4320" w:type="dxa"/>
            <w:noWrap w:val="0"/>
            <w:vAlign w:val="center"/>
          </w:tcPr>
          <w:p w14:paraId="02B5179D">
            <w:pPr>
              <w:keepNext w:val="0"/>
              <w:keepLines w:val="0"/>
              <w:pageBreakBefore w:val="0"/>
              <w:widowControl/>
              <w:suppressLineNumbers w:val="0"/>
              <w:kinsoku/>
              <w:wordWrap/>
              <w:overflowPunct/>
              <w:topLinePunct w:val="0"/>
              <w:autoSpaceDE/>
              <w:autoSpaceDN/>
              <w:bidi w:val="0"/>
              <w:spacing w:line="360" w:lineRule="auto"/>
              <w:jc w:val="both"/>
              <w:textAlignment w:val="center"/>
              <w:rPr>
                <w:rFonts w:hint="eastAsia"/>
                <w:color w:val="auto"/>
                <w:kern w:val="2"/>
                <w:sz w:val="21"/>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202</w:t>
            </w:r>
            <w:r>
              <w:rPr>
                <w:rFonts w:hint="eastAsia"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年在萧山存贷款比规模情况，比值在1.</w:t>
            </w: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（含）以上得</w:t>
            </w:r>
            <w:r>
              <w:rPr>
                <w:rFonts w:hint="default" w:ascii="Times New Roman" w:hAnsi="Times New Roman" w:eastAsia="宋体" w:cs="Times New Roman"/>
                <w:i w:val="0"/>
                <w:iCs w:val="0"/>
                <w:color w:val="auto"/>
                <w:kern w:val="0"/>
                <w:sz w:val="21"/>
                <w:szCs w:val="21"/>
                <w:highlight w:val="none"/>
                <w:u w:val="single"/>
                <w:lang w:val="en-US" w:eastAsia="zh-CN" w:bidi="ar"/>
              </w:rPr>
              <w:t xml:space="preserve"> </w:t>
            </w:r>
            <w:r>
              <w:rPr>
                <w:rFonts w:hint="eastAsia" w:ascii="Times New Roman" w:hAnsi="Times New Roman" w:eastAsia="宋体" w:cs="Times New Roman"/>
                <w:i w:val="0"/>
                <w:iCs w:val="0"/>
                <w:color w:val="auto"/>
                <w:kern w:val="0"/>
                <w:sz w:val="21"/>
                <w:szCs w:val="21"/>
                <w:highlight w:val="none"/>
                <w:u w:val="single"/>
                <w:lang w:val="en-US" w:eastAsia="zh-CN" w:bidi="ar"/>
              </w:rPr>
              <w:t>3</w:t>
            </w:r>
            <w:r>
              <w:rPr>
                <w:rFonts w:hint="default" w:ascii="Times New Roman" w:hAnsi="Times New Roman" w:eastAsia="宋体" w:cs="Times New Roman"/>
                <w:i w:val="0"/>
                <w:iCs w:val="0"/>
                <w:color w:val="auto"/>
                <w:kern w:val="0"/>
                <w:sz w:val="21"/>
                <w:szCs w:val="21"/>
                <w:highlight w:val="none"/>
                <w:u w:val="single"/>
                <w:lang w:val="en-US" w:eastAsia="zh-CN" w:bidi="ar"/>
              </w:rPr>
              <w:t xml:space="preserve"> </w:t>
            </w:r>
            <w:r>
              <w:rPr>
                <w:rFonts w:hint="default" w:ascii="Times New Roman" w:hAnsi="Times New Roman" w:eastAsia="宋体" w:cs="Times New Roman"/>
                <w:i w:val="0"/>
                <w:iCs w:val="0"/>
                <w:color w:val="auto"/>
                <w:kern w:val="0"/>
                <w:sz w:val="21"/>
                <w:szCs w:val="21"/>
                <w:highlight w:val="none"/>
                <w:u w:val="none"/>
                <w:lang w:val="en-US" w:eastAsia="zh-CN" w:bidi="ar"/>
              </w:rPr>
              <w:t>分，比值在0.</w:t>
            </w:r>
            <w:r>
              <w:rPr>
                <w:rFonts w:hint="eastAsia" w:ascii="Times New Roman" w:hAnsi="Times New Roman" w:eastAsia="宋体"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（含）-1.</w:t>
            </w: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之间得</w:t>
            </w:r>
            <w:r>
              <w:rPr>
                <w:rFonts w:hint="default" w:ascii="Times New Roman" w:hAnsi="Times New Roman" w:eastAsia="宋体" w:cs="Times New Roman"/>
                <w:i w:val="0"/>
                <w:iCs w:val="0"/>
                <w:color w:val="auto"/>
                <w:kern w:val="0"/>
                <w:sz w:val="21"/>
                <w:szCs w:val="21"/>
                <w:highlight w:val="none"/>
                <w:u w:val="single"/>
                <w:lang w:val="en-US" w:eastAsia="zh-CN" w:bidi="ar"/>
              </w:rPr>
              <w:t xml:space="preserve"> </w:t>
            </w:r>
            <w:r>
              <w:rPr>
                <w:rFonts w:hint="eastAsia" w:ascii="Times New Roman" w:hAnsi="Times New Roman" w:eastAsia="宋体" w:cs="Times New Roman"/>
                <w:i w:val="0"/>
                <w:iCs w:val="0"/>
                <w:color w:val="auto"/>
                <w:kern w:val="0"/>
                <w:sz w:val="21"/>
                <w:szCs w:val="21"/>
                <w:highlight w:val="none"/>
                <w:u w:val="single"/>
                <w:lang w:val="en-US" w:eastAsia="zh-CN" w:bidi="ar"/>
              </w:rPr>
              <w:t>2</w:t>
            </w:r>
            <w:r>
              <w:rPr>
                <w:rFonts w:hint="default" w:ascii="Times New Roman" w:hAnsi="Times New Roman" w:eastAsia="宋体" w:cs="Times New Roman"/>
                <w:i w:val="0"/>
                <w:iCs w:val="0"/>
                <w:color w:val="auto"/>
                <w:kern w:val="0"/>
                <w:sz w:val="21"/>
                <w:szCs w:val="21"/>
                <w:highlight w:val="none"/>
                <w:u w:val="single"/>
                <w:lang w:val="en-US" w:eastAsia="zh-CN" w:bidi="ar"/>
              </w:rPr>
              <w:t xml:space="preserve"> </w:t>
            </w:r>
            <w:r>
              <w:rPr>
                <w:rFonts w:hint="default" w:ascii="Times New Roman" w:hAnsi="Times New Roman" w:eastAsia="宋体" w:cs="Times New Roman"/>
                <w:i w:val="0"/>
                <w:iCs w:val="0"/>
                <w:color w:val="auto"/>
                <w:kern w:val="0"/>
                <w:sz w:val="21"/>
                <w:szCs w:val="21"/>
                <w:highlight w:val="none"/>
                <w:u w:val="none"/>
                <w:lang w:val="en-US" w:eastAsia="zh-CN" w:bidi="ar"/>
              </w:rPr>
              <w:t>分，</w:t>
            </w:r>
            <w:r>
              <w:rPr>
                <w:rFonts w:hint="eastAsia" w:ascii="Times New Roman" w:hAnsi="Times New Roman" w:eastAsia="宋体" w:cs="Times New Roman"/>
                <w:i w:val="0"/>
                <w:iCs w:val="0"/>
                <w:color w:val="auto"/>
                <w:kern w:val="0"/>
                <w:sz w:val="21"/>
                <w:szCs w:val="21"/>
                <w:highlight w:val="none"/>
                <w:u w:val="none"/>
                <w:lang w:val="en-US" w:eastAsia="zh-CN" w:bidi="ar"/>
              </w:rPr>
              <w:t>比值在0.7以下得</w:t>
            </w:r>
            <w:r>
              <w:rPr>
                <w:rFonts w:hint="default" w:ascii="Times New Roman" w:hAnsi="Times New Roman" w:eastAsia="宋体" w:cs="Times New Roman"/>
                <w:i w:val="0"/>
                <w:iCs w:val="0"/>
                <w:color w:val="auto"/>
                <w:kern w:val="0"/>
                <w:sz w:val="21"/>
                <w:szCs w:val="21"/>
                <w:highlight w:val="none"/>
                <w:u w:val="single"/>
                <w:lang w:val="en-US" w:eastAsia="zh-CN" w:bidi="ar"/>
              </w:rPr>
              <w:t xml:space="preserve"> </w:t>
            </w:r>
            <w:r>
              <w:rPr>
                <w:rFonts w:hint="eastAsia" w:ascii="Times New Roman" w:hAnsi="Times New Roman" w:eastAsia="宋体" w:cs="Times New Roman"/>
                <w:i w:val="0"/>
                <w:iCs w:val="0"/>
                <w:color w:val="auto"/>
                <w:kern w:val="0"/>
                <w:sz w:val="21"/>
                <w:szCs w:val="21"/>
                <w:highlight w:val="none"/>
                <w:u w:val="single"/>
                <w:lang w:val="en-US" w:eastAsia="zh-CN" w:bidi="ar"/>
              </w:rPr>
              <w:t>1</w:t>
            </w:r>
            <w:r>
              <w:rPr>
                <w:rFonts w:hint="default" w:ascii="Times New Roman" w:hAnsi="Times New Roman" w:eastAsia="宋体" w:cs="Times New Roman"/>
                <w:i w:val="0"/>
                <w:iCs w:val="0"/>
                <w:color w:val="auto"/>
                <w:kern w:val="0"/>
                <w:sz w:val="21"/>
                <w:szCs w:val="21"/>
                <w:highlight w:val="none"/>
                <w:u w:val="single"/>
                <w:lang w:val="en-US" w:eastAsia="zh-CN" w:bidi="ar"/>
              </w:rPr>
              <w:t xml:space="preserve"> </w:t>
            </w:r>
            <w:r>
              <w:rPr>
                <w:rFonts w:hint="eastAsia" w:ascii="Times New Roman" w:hAnsi="Times New Roman" w:eastAsia="宋体" w:cs="Times New Roman"/>
                <w:i w:val="0"/>
                <w:iCs w:val="0"/>
                <w:color w:val="auto"/>
                <w:kern w:val="0"/>
                <w:sz w:val="21"/>
                <w:szCs w:val="21"/>
                <w:highlight w:val="none"/>
                <w:u w:val="none"/>
                <w:lang w:val="en-US" w:eastAsia="zh-CN" w:bidi="ar"/>
              </w:rPr>
              <w:t>分</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94" w:type="dxa"/>
            <w:noWrap w:val="0"/>
            <w:vAlign w:val="center"/>
          </w:tcPr>
          <w:p w14:paraId="52564F4B">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color w:val="auto"/>
                <w:kern w:val="2"/>
                <w:sz w:val="21"/>
                <w:szCs w:val="24"/>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r>
      <w:tr w14:paraId="1DD543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828" w:type="dxa"/>
            <w:vMerge w:val="continue"/>
            <w:noWrap w:val="0"/>
            <w:vAlign w:val="center"/>
          </w:tcPr>
          <w:p w14:paraId="674A08FF">
            <w:pPr>
              <w:keepNext w:val="0"/>
              <w:keepLines w:val="0"/>
              <w:pageBreakBefore w:val="0"/>
              <w:kinsoku/>
              <w:wordWrap/>
              <w:overflowPunct/>
              <w:topLinePunct w:val="0"/>
              <w:autoSpaceDE/>
              <w:autoSpaceDN/>
              <w:bidi w:val="0"/>
              <w:spacing w:line="360" w:lineRule="auto"/>
              <w:jc w:val="center"/>
              <w:rPr>
                <w:rFonts w:hint="eastAsia"/>
                <w:color w:val="auto"/>
                <w:highlight w:val="none"/>
              </w:rPr>
            </w:pPr>
          </w:p>
        </w:tc>
        <w:tc>
          <w:tcPr>
            <w:tcW w:w="1980" w:type="dxa"/>
            <w:noWrap w:val="0"/>
            <w:vAlign w:val="center"/>
          </w:tcPr>
          <w:p w14:paraId="73EC6EFD">
            <w:pPr>
              <w:spacing w:line="360" w:lineRule="auto"/>
              <w:rPr>
                <w:rFonts w:hint="eastAsia"/>
                <w:color w:val="auto"/>
                <w:kern w:val="2"/>
                <w:sz w:val="21"/>
                <w:szCs w:val="24"/>
                <w:highlight w:val="none"/>
                <w:lang w:val="en-US" w:eastAsia="zh-CN" w:bidi="ar-SA"/>
              </w:rPr>
            </w:pPr>
            <w:r>
              <w:rPr>
                <w:rFonts w:hint="eastAsia"/>
                <w:color w:val="auto"/>
                <w:highlight w:val="none"/>
              </w:rPr>
              <w:t>非税收缴代理情况</w:t>
            </w:r>
          </w:p>
        </w:tc>
        <w:tc>
          <w:tcPr>
            <w:tcW w:w="4320" w:type="dxa"/>
            <w:noWrap w:val="0"/>
            <w:vAlign w:val="center"/>
          </w:tcPr>
          <w:p w14:paraId="3F877DE7">
            <w:pPr>
              <w:spacing w:line="360" w:lineRule="auto"/>
              <w:jc w:val="left"/>
              <w:rPr>
                <w:rFonts w:hint="eastAsia"/>
                <w:color w:val="auto"/>
                <w:highlight w:val="none"/>
                <w:lang w:val="en-US" w:eastAsia="zh-CN"/>
              </w:rPr>
            </w:pPr>
            <w:r>
              <w:rPr>
                <w:rFonts w:hint="eastAsia"/>
                <w:color w:val="auto"/>
                <w:highlight w:val="none"/>
                <w:lang w:eastAsia="zh-CN"/>
              </w:rPr>
              <w:t>根据</w:t>
            </w:r>
            <w:r>
              <w:rPr>
                <w:rFonts w:hint="eastAsia"/>
                <w:color w:val="auto"/>
                <w:highlight w:val="none"/>
              </w:rPr>
              <w:t>20</w:t>
            </w:r>
            <w:r>
              <w:rPr>
                <w:rFonts w:hint="eastAsia"/>
                <w:color w:val="auto"/>
                <w:highlight w:val="none"/>
                <w:lang w:val="en-US" w:eastAsia="zh-CN"/>
              </w:rPr>
              <w:t>23</w:t>
            </w:r>
            <w:r>
              <w:rPr>
                <w:rFonts w:hint="eastAsia"/>
                <w:color w:val="auto"/>
                <w:highlight w:val="none"/>
              </w:rPr>
              <w:t>年度萧山区非税收缴代理业务</w:t>
            </w:r>
            <w:r>
              <w:rPr>
                <w:rFonts w:hint="eastAsia"/>
                <w:color w:val="auto"/>
                <w:highlight w:val="none"/>
                <w:lang w:eastAsia="zh-CN"/>
              </w:rPr>
              <w:t>情况，有非税缴纳代理业务业绩的，得</w:t>
            </w:r>
            <w:r>
              <w:rPr>
                <w:rFonts w:hint="eastAsia"/>
                <w:color w:val="auto"/>
                <w:highlight w:val="none"/>
                <w:lang w:val="en-US" w:eastAsia="zh-CN"/>
              </w:rPr>
              <w:t>2分。没有的不得分。</w:t>
            </w:r>
          </w:p>
          <w:p w14:paraId="62E419CB">
            <w:pPr>
              <w:spacing w:line="360" w:lineRule="auto"/>
              <w:jc w:val="left"/>
              <w:rPr>
                <w:rFonts w:hint="default"/>
                <w:color w:val="auto"/>
                <w:highlight w:val="none"/>
                <w:lang w:val="en-US" w:eastAsia="zh-CN"/>
              </w:rPr>
            </w:pPr>
            <w:r>
              <w:rPr>
                <w:rFonts w:hint="eastAsia"/>
                <w:color w:val="auto"/>
                <w:highlight w:val="none"/>
                <w:lang w:val="en-US" w:eastAsia="zh-CN"/>
              </w:rPr>
              <w:t>根据非税缴纳代理业务笔数进行排序，最高的得满分2分，每降一个名减0.5分，减完为止。</w:t>
            </w:r>
          </w:p>
        </w:tc>
        <w:tc>
          <w:tcPr>
            <w:tcW w:w="1394" w:type="dxa"/>
            <w:noWrap w:val="0"/>
            <w:vAlign w:val="center"/>
          </w:tcPr>
          <w:p w14:paraId="0F15D0D7">
            <w:pPr>
              <w:spacing w:line="360" w:lineRule="auto"/>
              <w:jc w:val="center"/>
              <w:rPr>
                <w:rFonts w:hint="eastAsia" w:eastAsia="宋体"/>
                <w:color w:val="auto"/>
                <w:kern w:val="2"/>
                <w:sz w:val="21"/>
                <w:szCs w:val="24"/>
                <w:highlight w:val="none"/>
                <w:lang w:val="en-US" w:eastAsia="zh-CN" w:bidi="ar-SA"/>
              </w:rPr>
            </w:pPr>
            <w:r>
              <w:rPr>
                <w:rFonts w:hint="eastAsia" w:eastAsia="宋体"/>
                <w:color w:val="auto"/>
                <w:highlight w:val="none"/>
                <w:lang w:val="en-US" w:eastAsia="zh-CN"/>
              </w:rPr>
              <w:t>4</w:t>
            </w:r>
          </w:p>
        </w:tc>
      </w:tr>
      <w:tr w14:paraId="74B0B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828" w:type="dxa"/>
            <w:vMerge w:val="continue"/>
            <w:noWrap w:val="0"/>
            <w:vAlign w:val="center"/>
          </w:tcPr>
          <w:p w14:paraId="513C4C11">
            <w:pPr>
              <w:keepNext w:val="0"/>
              <w:keepLines w:val="0"/>
              <w:pageBreakBefore w:val="0"/>
              <w:kinsoku/>
              <w:wordWrap/>
              <w:overflowPunct/>
              <w:topLinePunct w:val="0"/>
              <w:autoSpaceDE/>
              <w:autoSpaceDN/>
              <w:bidi w:val="0"/>
              <w:spacing w:line="360" w:lineRule="auto"/>
              <w:jc w:val="center"/>
              <w:rPr>
                <w:rFonts w:hint="eastAsia"/>
                <w:color w:val="auto"/>
                <w:highlight w:val="none"/>
              </w:rPr>
            </w:pPr>
          </w:p>
        </w:tc>
        <w:tc>
          <w:tcPr>
            <w:tcW w:w="1980" w:type="dxa"/>
            <w:noWrap w:val="0"/>
            <w:vAlign w:val="center"/>
          </w:tcPr>
          <w:p w14:paraId="44932F0B">
            <w:pPr>
              <w:spacing w:line="360" w:lineRule="auto"/>
              <w:jc w:val="center"/>
              <w:rPr>
                <w:rFonts w:hint="eastAsia" w:eastAsia="宋体"/>
                <w:color w:val="auto"/>
                <w:kern w:val="2"/>
                <w:sz w:val="21"/>
                <w:szCs w:val="24"/>
                <w:highlight w:val="none"/>
                <w:lang w:val="en-US" w:eastAsia="zh-CN" w:bidi="ar-SA"/>
              </w:rPr>
            </w:pPr>
            <w:r>
              <w:rPr>
                <w:rFonts w:hint="eastAsia" w:eastAsia="宋体"/>
                <w:color w:val="auto"/>
                <w:highlight w:val="none"/>
                <w:lang w:eastAsia="zh-CN"/>
              </w:rPr>
              <w:t>涉农贷款余额</w:t>
            </w:r>
          </w:p>
        </w:tc>
        <w:tc>
          <w:tcPr>
            <w:tcW w:w="4320" w:type="dxa"/>
            <w:noWrap w:val="0"/>
            <w:vAlign w:val="center"/>
          </w:tcPr>
          <w:p w14:paraId="2A6DCDF2">
            <w:pPr>
              <w:widowControl/>
              <w:spacing w:line="360" w:lineRule="auto"/>
              <w:textAlignment w:val="center"/>
              <w:rPr>
                <w:rFonts w:hint="eastAsia" w:eastAsia="宋体"/>
                <w:color w:val="auto"/>
                <w:kern w:val="2"/>
                <w:sz w:val="21"/>
                <w:szCs w:val="24"/>
                <w:highlight w:val="none"/>
                <w:lang w:val="en-US" w:eastAsia="zh-CN" w:bidi="ar-SA"/>
              </w:rPr>
            </w:pPr>
            <w:r>
              <w:rPr>
                <w:rFonts w:hint="eastAsia" w:eastAsia="宋体"/>
                <w:color w:val="auto"/>
                <w:highlight w:val="none"/>
                <w:lang w:eastAsia="zh-CN"/>
              </w:rPr>
              <w:t>2023年度萧山区涉农贷款余额，达到</w:t>
            </w:r>
            <w:r>
              <w:rPr>
                <w:rFonts w:hint="eastAsia" w:eastAsia="宋体"/>
                <w:color w:val="auto"/>
                <w:highlight w:val="none"/>
                <w:lang w:val="en-US" w:eastAsia="zh-CN"/>
              </w:rPr>
              <w:t>50亿元及以上的得4分，30亿元（含）—50亿元的得3分，20亿元（含）—30亿元的得2分，10亿元（含）—20亿元的得1分，10亿元以下不得分。</w:t>
            </w:r>
          </w:p>
        </w:tc>
        <w:tc>
          <w:tcPr>
            <w:tcW w:w="1394" w:type="dxa"/>
            <w:noWrap w:val="0"/>
            <w:vAlign w:val="center"/>
          </w:tcPr>
          <w:p w14:paraId="74029FA5">
            <w:pPr>
              <w:widowControl/>
              <w:spacing w:line="360" w:lineRule="auto"/>
              <w:jc w:val="center"/>
              <w:textAlignment w:val="center"/>
              <w:rPr>
                <w:rFonts w:hint="eastAsia"/>
                <w:color w:val="auto"/>
                <w:kern w:val="2"/>
                <w:sz w:val="21"/>
                <w:szCs w:val="24"/>
                <w:highlight w:val="none"/>
                <w:lang w:val="en-US" w:eastAsia="zh-CN" w:bidi="ar-SA"/>
              </w:rPr>
            </w:pPr>
            <w:r>
              <w:rPr>
                <w:rFonts w:hint="eastAsia"/>
                <w:szCs w:val="21"/>
                <w:u w:val="none"/>
                <w:lang w:val="en-US" w:eastAsia="zh-CN"/>
              </w:rPr>
              <w:t>4</w:t>
            </w:r>
          </w:p>
        </w:tc>
      </w:tr>
      <w:tr w14:paraId="707A4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828" w:type="dxa"/>
            <w:vMerge w:val="continue"/>
            <w:noWrap w:val="0"/>
            <w:vAlign w:val="center"/>
          </w:tcPr>
          <w:p w14:paraId="74D54847">
            <w:pPr>
              <w:keepNext w:val="0"/>
              <w:keepLines w:val="0"/>
              <w:pageBreakBefore w:val="0"/>
              <w:kinsoku/>
              <w:wordWrap/>
              <w:overflowPunct/>
              <w:topLinePunct w:val="0"/>
              <w:autoSpaceDE/>
              <w:autoSpaceDN/>
              <w:bidi w:val="0"/>
              <w:spacing w:line="360" w:lineRule="auto"/>
              <w:jc w:val="center"/>
              <w:rPr>
                <w:rFonts w:hint="eastAsia"/>
                <w:color w:val="auto"/>
                <w:highlight w:val="none"/>
              </w:rPr>
            </w:pPr>
          </w:p>
        </w:tc>
        <w:tc>
          <w:tcPr>
            <w:tcW w:w="1980" w:type="dxa"/>
            <w:noWrap w:val="0"/>
            <w:vAlign w:val="center"/>
          </w:tcPr>
          <w:p w14:paraId="1AE44765">
            <w:pPr>
              <w:spacing w:line="360" w:lineRule="auto"/>
              <w:jc w:val="center"/>
              <w:rPr>
                <w:rFonts w:hint="eastAsia" w:eastAsia="宋体"/>
                <w:color w:val="auto"/>
                <w:kern w:val="2"/>
                <w:sz w:val="21"/>
                <w:szCs w:val="24"/>
                <w:highlight w:val="none"/>
                <w:lang w:val="en-US" w:eastAsia="zh-CN" w:bidi="ar-SA"/>
              </w:rPr>
            </w:pPr>
            <w:r>
              <w:rPr>
                <w:rFonts w:hint="eastAsia"/>
                <w:color w:val="auto"/>
                <w:highlight w:val="none"/>
                <w:lang w:val="en-US" w:eastAsia="zh-CN"/>
              </w:rPr>
              <w:t>小微</w:t>
            </w:r>
            <w:r>
              <w:rPr>
                <w:rFonts w:hint="eastAsia"/>
                <w:color w:val="auto"/>
                <w:highlight w:val="none"/>
                <w:lang w:eastAsia="zh-CN"/>
              </w:rPr>
              <w:t>企业贷款</w:t>
            </w:r>
          </w:p>
        </w:tc>
        <w:tc>
          <w:tcPr>
            <w:tcW w:w="4320" w:type="dxa"/>
            <w:noWrap w:val="0"/>
            <w:vAlign w:val="center"/>
          </w:tcPr>
          <w:p w14:paraId="642291F5">
            <w:pPr>
              <w:widowControl/>
              <w:spacing w:line="360" w:lineRule="auto"/>
              <w:textAlignment w:val="center"/>
              <w:rPr>
                <w:rFonts w:hint="default"/>
                <w:color w:val="auto"/>
                <w:kern w:val="2"/>
                <w:sz w:val="21"/>
                <w:szCs w:val="24"/>
                <w:highlight w:val="none"/>
                <w:lang w:val="en-US" w:eastAsia="zh-CN" w:bidi="ar-SA"/>
              </w:rPr>
            </w:pPr>
            <w:r>
              <w:rPr>
                <w:rFonts w:hint="default" w:ascii="宋体" w:hAnsi="宋体" w:eastAsia="宋体" w:cs="宋体"/>
                <w:kern w:val="0"/>
                <w:szCs w:val="21"/>
                <w:u w:val="none"/>
                <w:lang w:val="en-US" w:eastAsia="zh-CN" w:bidi="ar"/>
              </w:rPr>
              <w:t>202</w:t>
            </w:r>
            <w:r>
              <w:rPr>
                <w:rFonts w:hint="eastAsia" w:ascii="宋体" w:hAnsi="宋体" w:eastAsia="宋体" w:cs="宋体"/>
                <w:kern w:val="0"/>
                <w:szCs w:val="21"/>
                <w:u w:val="none"/>
                <w:lang w:val="en-US" w:eastAsia="zh-CN" w:bidi="ar"/>
              </w:rPr>
              <w:t>3</w:t>
            </w:r>
            <w:r>
              <w:rPr>
                <w:rFonts w:hint="default" w:ascii="宋体" w:hAnsi="宋体" w:eastAsia="宋体" w:cs="宋体"/>
                <w:kern w:val="0"/>
                <w:szCs w:val="21"/>
                <w:u w:val="none"/>
                <w:lang w:val="en-US" w:eastAsia="zh-CN" w:bidi="ar"/>
              </w:rPr>
              <w:t>年萧山区</w:t>
            </w:r>
            <w:r>
              <w:rPr>
                <w:rFonts w:hint="eastAsia" w:ascii="宋体" w:hAnsi="宋体" w:eastAsia="宋体" w:cs="宋体"/>
                <w:kern w:val="0"/>
                <w:szCs w:val="21"/>
                <w:u w:val="none"/>
                <w:lang w:val="en-US" w:eastAsia="zh-CN" w:bidi="ar"/>
              </w:rPr>
              <w:t>小微</w:t>
            </w:r>
            <w:r>
              <w:rPr>
                <w:rFonts w:hint="default" w:ascii="宋体" w:hAnsi="宋体" w:eastAsia="宋体" w:cs="宋体"/>
                <w:kern w:val="0"/>
                <w:szCs w:val="21"/>
                <w:u w:val="none"/>
                <w:lang w:val="en-US" w:eastAsia="zh-CN" w:bidi="ar"/>
              </w:rPr>
              <w:t>企业贷款余额</w:t>
            </w:r>
            <w:r>
              <w:rPr>
                <w:rFonts w:hint="eastAsia" w:ascii="宋体" w:hAnsi="宋体" w:eastAsia="宋体" w:cs="宋体"/>
                <w:kern w:val="0"/>
                <w:szCs w:val="21"/>
                <w:u w:val="none"/>
                <w:lang w:val="en-US" w:eastAsia="zh-CN" w:bidi="ar"/>
              </w:rPr>
              <w:t>，余额达到150亿元（含）以上的得4分，余额为100（含）-150亿元的得3分，50（含）-100亿元的得2分，30（含）-50亿元的得1分，30亿元以下不得分。</w:t>
            </w:r>
          </w:p>
        </w:tc>
        <w:tc>
          <w:tcPr>
            <w:tcW w:w="1394" w:type="dxa"/>
            <w:noWrap w:val="0"/>
            <w:vAlign w:val="center"/>
          </w:tcPr>
          <w:p w14:paraId="1BC761C7">
            <w:pPr>
              <w:widowControl/>
              <w:spacing w:line="360" w:lineRule="auto"/>
              <w:jc w:val="center"/>
              <w:textAlignment w:val="center"/>
              <w:rPr>
                <w:rFonts w:hint="eastAsia"/>
                <w:color w:val="auto"/>
                <w:kern w:val="2"/>
                <w:sz w:val="21"/>
                <w:szCs w:val="24"/>
                <w:highlight w:val="none"/>
                <w:lang w:val="en-US" w:eastAsia="zh-CN" w:bidi="ar-SA"/>
              </w:rPr>
            </w:pPr>
            <w:r>
              <w:rPr>
                <w:rFonts w:hint="eastAsia"/>
                <w:szCs w:val="21"/>
                <w:u w:val="none"/>
                <w:lang w:val="en-US" w:eastAsia="zh-CN"/>
              </w:rPr>
              <w:t>4</w:t>
            </w:r>
          </w:p>
        </w:tc>
      </w:tr>
      <w:tr w14:paraId="09C7B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828" w:type="dxa"/>
            <w:vMerge w:val="continue"/>
            <w:noWrap w:val="0"/>
            <w:vAlign w:val="center"/>
          </w:tcPr>
          <w:p w14:paraId="0069018D">
            <w:pPr>
              <w:keepNext w:val="0"/>
              <w:keepLines w:val="0"/>
              <w:pageBreakBefore w:val="0"/>
              <w:kinsoku/>
              <w:wordWrap/>
              <w:overflowPunct/>
              <w:topLinePunct w:val="0"/>
              <w:autoSpaceDE/>
              <w:autoSpaceDN/>
              <w:bidi w:val="0"/>
              <w:spacing w:line="360" w:lineRule="auto"/>
              <w:jc w:val="center"/>
              <w:rPr>
                <w:rFonts w:hint="eastAsia"/>
                <w:color w:val="auto"/>
                <w:highlight w:val="none"/>
              </w:rPr>
            </w:pPr>
          </w:p>
        </w:tc>
        <w:tc>
          <w:tcPr>
            <w:tcW w:w="1980" w:type="dxa"/>
            <w:noWrap w:val="0"/>
            <w:vAlign w:val="center"/>
          </w:tcPr>
          <w:p w14:paraId="26BD151E">
            <w:pPr>
              <w:spacing w:line="360" w:lineRule="auto"/>
              <w:jc w:val="center"/>
              <w:rPr>
                <w:rFonts w:hint="eastAsia"/>
                <w:kern w:val="2"/>
                <w:sz w:val="21"/>
                <w:szCs w:val="24"/>
                <w:highlight w:val="none"/>
                <w:lang w:val="en-US" w:eastAsia="zh-CN" w:bidi="ar-SA"/>
              </w:rPr>
            </w:pPr>
            <w:r>
              <w:rPr>
                <w:rFonts w:hint="eastAsia"/>
                <w:highlight w:val="none"/>
              </w:rPr>
              <w:t>社会公益情况</w:t>
            </w:r>
          </w:p>
        </w:tc>
        <w:tc>
          <w:tcPr>
            <w:tcW w:w="4320" w:type="dxa"/>
            <w:noWrap w:val="0"/>
            <w:vAlign w:val="center"/>
          </w:tcPr>
          <w:p w14:paraId="6909A96F">
            <w:pPr>
              <w:spacing w:line="360" w:lineRule="auto"/>
              <w:rPr>
                <w:rFonts w:hint="eastAsia" w:eastAsia="宋体"/>
                <w:kern w:val="2"/>
                <w:sz w:val="21"/>
                <w:szCs w:val="24"/>
                <w:highlight w:val="none"/>
                <w:lang w:val="en-US" w:eastAsia="zh-CN" w:bidi="ar-SA"/>
              </w:rPr>
            </w:pPr>
            <w:r>
              <w:rPr>
                <w:rFonts w:hint="eastAsia"/>
                <w:highlight w:val="none"/>
              </w:rPr>
              <w:t>20</w:t>
            </w:r>
            <w:r>
              <w:rPr>
                <w:rFonts w:hint="eastAsia"/>
                <w:highlight w:val="none"/>
                <w:lang w:val="en-US" w:eastAsia="zh-CN"/>
              </w:rPr>
              <w:t>23</w:t>
            </w:r>
            <w:r>
              <w:rPr>
                <w:rFonts w:hint="eastAsia"/>
                <w:highlight w:val="none"/>
              </w:rPr>
              <w:t>年度对萧山区公益事业资助的情况，</w:t>
            </w:r>
            <w:r>
              <w:rPr>
                <w:rFonts w:hint="eastAsia"/>
                <w:highlight w:val="none"/>
                <w:lang w:eastAsia="zh-CN"/>
              </w:rPr>
              <w:t>以社会公益资助最多的为满分</w:t>
            </w:r>
            <w:r>
              <w:rPr>
                <w:rFonts w:hint="eastAsia"/>
                <w:highlight w:val="none"/>
                <w:lang w:val="en-US" w:eastAsia="zh-CN"/>
              </w:rPr>
              <w:t>3分</w:t>
            </w:r>
            <w:r>
              <w:rPr>
                <w:rFonts w:hint="eastAsia"/>
                <w:highlight w:val="none"/>
                <w:lang w:eastAsia="zh-CN"/>
              </w:rPr>
              <w:t>，每降一个名次扣</w:t>
            </w:r>
            <w:r>
              <w:rPr>
                <w:rFonts w:hint="eastAsia"/>
                <w:highlight w:val="none"/>
                <w:lang w:val="en-US" w:eastAsia="zh-CN"/>
              </w:rPr>
              <w:t>1分，扣完为止，没有公益资助的不得分</w:t>
            </w:r>
            <w:r>
              <w:rPr>
                <w:rFonts w:hint="eastAsia"/>
                <w:highlight w:val="none"/>
              </w:rPr>
              <w:t>。（提供公益汇总表及对应证明材料）</w:t>
            </w:r>
          </w:p>
        </w:tc>
        <w:tc>
          <w:tcPr>
            <w:tcW w:w="1394" w:type="dxa"/>
            <w:noWrap w:val="0"/>
            <w:vAlign w:val="center"/>
          </w:tcPr>
          <w:p w14:paraId="24C16B8F">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color w:val="auto"/>
                <w:kern w:val="2"/>
                <w:sz w:val="21"/>
                <w:szCs w:val="24"/>
                <w:highlight w:val="none"/>
                <w:lang w:val="en-US" w:eastAsia="zh-CN" w:bidi="ar-SA"/>
              </w:rPr>
            </w:pPr>
            <w:r>
              <w:rPr>
                <w:rFonts w:hint="eastAsia"/>
                <w:color w:val="auto"/>
                <w:kern w:val="2"/>
                <w:sz w:val="21"/>
                <w:szCs w:val="24"/>
                <w:highlight w:val="none"/>
                <w:lang w:val="en-US" w:eastAsia="zh-CN" w:bidi="ar-SA"/>
              </w:rPr>
              <w:t>3</w:t>
            </w:r>
          </w:p>
        </w:tc>
      </w:tr>
      <w:tr w14:paraId="691C7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 w:type="dxa"/>
            <w:noWrap w:val="0"/>
            <w:vAlign w:val="center"/>
          </w:tcPr>
          <w:p w14:paraId="42489687">
            <w:pPr>
              <w:keepNext w:val="0"/>
              <w:keepLines w:val="0"/>
              <w:pageBreakBefore w:val="0"/>
              <w:kinsoku/>
              <w:wordWrap/>
              <w:overflowPunct/>
              <w:topLinePunct w:val="0"/>
              <w:autoSpaceDE/>
              <w:autoSpaceDN/>
              <w:bidi w:val="0"/>
              <w:spacing w:line="360" w:lineRule="auto"/>
              <w:jc w:val="center"/>
              <w:rPr>
                <w:rFonts w:hint="eastAsia"/>
                <w:color w:val="auto"/>
                <w:highlight w:val="none"/>
              </w:rPr>
            </w:pPr>
            <w:r>
              <w:rPr>
                <w:rFonts w:hint="eastAsia"/>
                <w:color w:val="auto"/>
                <w:highlight w:val="none"/>
              </w:rPr>
              <w:t>利率水平（</w:t>
            </w:r>
            <w:r>
              <w:rPr>
                <w:rFonts w:hint="eastAsia"/>
                <w:color w:val="auto"/>
                <w:highlight w:val="none"/>
                <w:lang w:val="en-US" w:eastAsia="zh-CN"/>
              </w:rPr>
              <w:t>20</w:t>
            </w:r>
            <w:r>
              <w:rPr>
                <w:rFonts w:hint="eastAsia"/>
                <w:color w:val="auto"/>
                <w:highlight w:val="none"/>
              </w:rPr>
              <w:t>）</w:t>
            </w:r>
          </w:p>
        </w:tc>
        <w:tc>
          <w:tcPr>
            <w:tcW w:w="6300" w:type="dxa"/>
            <w:gridSpan w:val="2"/>
            <w:noWrap w:val="0"/>
            <w:vAlign w:val="center"/>
          </w:tcPr>
          <w:p w14:paraId="023B5F1A">
            <w:pPr>
              <w:keepNext w:val="0"/>
              <w:keepLines w:val="0"/>
              <w:pageBreakBefore w:val="0"/>
              <w:widowControl/>
              <w:numPr>
                <w:ilvl w:val="0"/>
                <w:numId w:val="10"/>
              </w:numPr>
              <w:kinsoku/>
              <w:wordWrap/>
              <w:overflowPunct/>
              <w:topLinePunct w:val="0"/>
              <w:autoSpaceDE/>
              <w:autoSpaceDN/>
              <w:bidi w:val="0"/>
              <w:spacing w:line="360" w:lineRule="auto"/>
              <w:jc w:val="left"/>
              <w:rPr>
                <w:rFonts w:hint="eastAsia"/>
                <w:color w:val="auto"/>
                <w:highlight w:val="yellow"/>
                <w:lang w:val="en-US" w:eastAsia="zh-CN"/>
              </w:rPr>
            </w:pPr>
            <w:r>
              <w:rPr>
                <w:rFonts w:hint="eastAsia"/>
                <w:color w:val="auto"/>
                <w:highlight w:val="yellow"/>
                <w:lang w:eastAsia="zh-CN"/>
              </w:rPr>
              <w:t>活期存款利率</w:t>
            </w:r>
            <w:r>
              <w:rPr>
                <w:rFonts w:hint="eastAsia"/>
                <w:color w:val="auto"/>
                <w:highlight w:val="yellow"/>
                <w:lang w:val="en-US" w:eastAsia="zh-CN"/>
              </w:rPr>
              <w:t xml:space="preserve">  0-4分（权重：4分）</w:t>
            </w:r>
          </w:p>
          <w:p w14:paraId="5EE17EFD">
            <w:pPr>
              <w:keepNext w:val="0"/>
              <w:keepLines w:val="0"/>
              <w:pageBreakBefore w:val="0"/>
              <w:widowControl/>
              <w:numPr>
                <w:ilvl w:val="0"/>
                <w:numId w:val="10"/>
              </w:numPr>
              <w:kinsoku/>
              <w:wordWrap/>
              <w:overflowPunct/>
              <w:topLinePunct w:val="0"/>
              <w:autoSpaceDE/>
              <w:autoSpaceDN/>
              <w:bidi w:val="0"/>
              <w:spacing w:line="360" w:lineRule="auto"/>
              <w:jc w:val="left"/>
              <w:rPr>
                <w:rFonts w:hint="default" w:eastAsia="宋体"/>
                <w:color w:val="auto"/>
                <w:highlight w:val="yellow"/>
                <w:lang w:val="en-US" w:eastAsia="zh-CN"/>
              </w:rPr>
            </w:pPr>
            <w:r>
              <w:rPr>
                <w:rFonts w:hint="eastAsia"/>
                <w:color w:val="auto"/>
                <w:highlight w:val="yellow"/>
                <w:lang w:val="en-US" w:eastAsia="zh-CN"/>
              </w:rPr>
              <w:t>七天通知存款利率 0-4分（权重：4分）</w:t>
            </w:r>
          </w:p>
          <w:p w14:paraId="0C872385">
            <w:pPr>
              <w:keepNext w:val="0"/>
              <w:keepLines w:val="0"/>
              <w:pageBreakBefore w:val="0"/>
              <w:widowControl/>
              <w:numPr>
                <w:ilvl w:val="0"/>
                <w:numId w:val="10"/>
              </w:numPr>
              <w:kinsoku/>
              <w:wordWrap/>
              <w:overflowPunct/>
              <w:topLinePunct w:val="0"/>
              <w:autoSpaceDE/>
              <w:autoSpaceDN/>
              <w:bidi w:val="0"/>
              <w:spacing w:line="360" w:lineRule="auto"/>
              <w:jc w:val="left"/>
              <w:rPr>
                <w:rFonts w:hint="eastAsia"/>
                <w:color w:val="auto"/>
                <w:highlight w:val="yellow"/>
                <w:lang w:val="en-US" w:eastAsia="zh-CN"/>
              </w:rPr>
            </w:pPr>
            <w:r>
              <w:rPr>
                <w:rFonts w:hint="eastAsia"/>
                <w:color w:val="auto"/>
                <w:highlight w:val="yellow"/>
              </w:rPr>
              <w:t>协定</w:t>
            </w:r>
            <w:r>
              <w:rPr>
                <w:color w:val="auto"/>
                <w:highlight w:val="yellow"/>
              </w:rPr>
              <w:t>存款利率</w:t>
            </w:r>
            <w:r>
              <w:rPr>
                <w:rFonts w:hint="eastAsia"/>
                <w:color w:val="auto"/>
                <w:highlight w:val="yellow"/>
                <w:lang w:val="en-US" w:eastAsia="zh-CN"/>
              </w:rPr>
              <w:t xml:space="preserve">   0-4分（权重：4分）</w:t>
            </w:r>
          </w:p>
          <w:p w14:paraId="73A9C381">
            <w:pPr>
              <w:keepNext w:val="0"/>
              <w:keepLines w:val="0"/>
              <w:pageBreakBefore w:val="0"/>
              <w:widowControl/>
              <w:numPr>
                <w:ilvl w:val="0"/>
                <w:numId w:val="10"/>
              </w:numPr>
              <w:kinsoku/>
              <w:wordWrap/>
              <w:overflowPunct/>
              <w:topLinePunct w:val="0"/>
              <w:autoSpaceDE/>
              <w:autoSpaceDN/>
              <w:bidi w:val="0"/>
              <w:spacing w:line="360" w:lineRule="auto"/>
              <w:jc w:val="left"/>
              <w:rPr>
                <w:color w:val="auto"/>
                <w:highlight w:val="yellow"/>
              </w:rPr>
            </w:pPr>
            <w:r>
              <w:rPr>
                <w:rFonts w:hint="eastAsia"/>
                <w:color w:val="auto"/>
                <w:highlight w:val="yellow"/>
                <w:lang w:val="en-US" w:eastAsia="zh-CN"/>
              </w:rPr>
              <w:t>六个月定期存款</w:t>
            </w:r>
            <w:r>
              <w:rPr>
                <w:color w:val="auto"/>
                <w:highlight w:val="yellow"/>
              </w:rPr>
              <w:t>利率</w:t>
            </w:r>
            <w:r>
              <w:rPr>
                <w:rFonts w:hint="eastAsia"/>
                <w:color w:val="auto"/>
                <w:highlight w:val="yellow"/>
                <w:lang w:val="en-US" w:eastAsia="zh-CN"/>
              </w:rPr>
              <w:t xml:space="preserve">   0-4分（权重：4分）</w:t>
            </w:r>
          </w:p>
          <w:p w14:paraId="27B7F5C6">
            <w:pPr>
              <w:keepNext w:val="0"/>
              <w:keepLines w:val="0"/>
              <w:pageBreakBefore w:val="0"/>
              <w:widowControl/>
              <w:numPr>
                <w:ilvl w:val="0"/>
                <w:numId w:val="10"/>
              </w:numPr>
              <w:kinsoku/>
              <w:wordWrap/>
              <w:overflowPunct/>
              <w:topLinePunct w:val="0"/>
              <w:autoSpaceDE/>
              <w:autoSpaceDN/>
              <w:bidi w:val="0"/>
              <w:spacing w:line="360" w:lineRule="auto"/>
              <w:jc w:val="left"/>
              <w:rPr>
                <w:color w:val="auto"/>
                <w:highlight w:val="yellow"/>
              </w:rPr>
            </w:pPr>
            <w:r>
              <w:rPr>
                <w:rFonts w:hint="eastAsia"/>
                <w:color w:val="auto"/>
                <w:highlight w:val="yellow"/>
                <w:lang w:eastAsia="zh-CN"/>
              </w:rPr>
              <w:t>一年期</w:t>
            </w:r>
            <w:r>
              <w:rPr>
                <w:rFonts w:hint="eastAsia"/>
                <w:color w:val="auto"/>
                <w:highlight w:val="yellow"/>
              </w:rPr>
              <w:t>定期存款</w:t>
            </w:r>
            <w:r>
              <w:rPr>
                <w:color w:val="auto"/>
                <w:highlight w:val="yellow"/>
              </w:rPr>
              <w:t>年利率得</w:t>
            </w:r>
            <w:r>
              <w:rPr>
                <w:rFonts w:hint="eastAsia"/>
                <w:color w:val="auto"/>
                <w:highlight w:val="yellow"/>
                <w:lang w:val="en-US" w:eastAsia="zh-CN"/>
              </w:rPr>
              <w:t xml:space="preserve"> 0-4分（权重：4分）</w:t>
            </w:r>
          </w:p>
          <w:p w14:paraId="3B36E093">
            <w:pPr>
              <w:keepNext w:val="0"/>
              <w:keepLines w:val="0"/>
              <w:pageBreakBefore w:val="0"/>
              <w:widowControl/>
              <w:kinsoku/>
              <w:wordWrap/>
              <w:overflowPunct/>
              <w:topLinePunct w:val="0"/>
              <w:autoSpaceDE/>
              <w:autoSpaceDN/>
              <w:bidi w:val="0"/>
              <w:spacing w:line="360" w:lineRule="auto"/>
              <w:jc w:val="left"/>
              <w:rPr>
                <w:color w:val="auto"/>
                <w:highlight w:val="none"/>
              </w:rPr>
            </w:pPr>
            <w:r>
              <w:rPr>
                <w:color w:val="auto"/>
                <w:highlight w:val="none"/>
              </w:rPr>
              <w:t>a 每期存款年利率=基准利率+每期存款年利率较基准利率的</w:t>
            </w:r>
            <w:r>
              <w:rPr>
                <w:rFonts w:hint="eastAsia"/>
                <w:color w:val="auto"/>
                <w:highlight w:val="none"/>
                <w:lang w:eastAsia="zh-CN"/>
              </w:rPr>
              <w:t>浮动</w:t>
            </w:r>
            <w:r>
              <w:rPr>
                <w:rFonts w:hint="eastAsia"/>
                <w:color w:val="auto"/>
                <w:highlight w:val="none"/>
              </w:rPr>
              <w:t>基点</w:t>
            </w:r>
          </w:p>
          <w:p w14:paraId="517996C0">
            <w:pPr>
              <w:keepNext w:val="0"/>
              <w:keepLines w:val="0"/>
              <w:pageBreakBefore w:val="0"/>
              <w:widowControl/>
              <w:kinsoku/>
              <w:wordWrap/>
              <w:overflowPunct/>
              <w:topLinePunct w:val="0"/>
              <w:autoSpaceDE/>
              <w:autoSpaceDN/>
              <w:bidi w:val="0"/>
              <w:spacing w:line="360" w:lineRule="auto"/>
              <w:jc w:val="left"/>
              <w:rPr>
                <w:color w:val="auto"/>
                <w:highlight w:val="none"/>
              </w:rPr>
            </w:pPr>
            <w:r>
              <w:rPr>
                <w:color w:val="auto"/>
                <w:highlight w:val="none"/>
              </w:rPr>
              <w:t>b利率指标得分计算方法：</w:t>
            </w:r>
          </w:p>
          <w:p w14:paraId="0553F694">
            <w:pPr>
              <w:keepNext w:val="0"/>
              <w:keepLines w:val="0"/>
              <w:pageBreakBefore w:val="0"/>
              <w:widowControl/>
              <w:kinsoku/>
              <w:wordWrap/>
              <w:overflowPunct/>
              <w:topLinePunct w:val="0"/>
              <w:autoSpaceDE/>
              <w:autoSpaceDN/>
              <w:bidi w:val="0"/>
              <w:spacing w:line="360" w:lineRule="auto"/>
              <w:jc w:val="left"/>
              <w:rPr>
                <w:color w:val="auto"/>
                <w:highlight w:val="none"/>
              </w:rPr>
            </w:pPr>
            <w:r>
              <w:rPr>
                <w:color w:val="auto"/>
                <w:highlight w:val="none"/>
              </w:rPr>
              <w:t>（投标人每期定期存款年利率</w:t>
            </w:r>
            <w:r>
              <w:rPr>
                <w:rFonts w:hint="eastAsia"/>
                <w:color w:val="auto"/>
                <w:highlight w:val="none"/>
              </w:rPr>
              <w:t>（基准利率+</w:t>
            </w:r>
            <w:r>
              <w:rPr>
                <w:rFonts w:hint="eastAsia"/>
                <w:color w:val="auto"/>
                <w:highlight w:val="none"/>
                <w:lang w:val="en-US" w:eastAsia="zh-CN"/>
              </w:rPr>
              <w:t>/-</w:t>
            </w:r>
            <w:r>
              <w:rPr>
                <w:rFonts w:hint="eastAsia"/>
                <w:color w:val="auto"/>
                <w:highlight w:val="none"/>
              </w:rPr>
              <w:t>基点）</w:t>
            </w:r>
            <w:r>
              <w:rPr>
                <w:color w:val="auto"/>
                <w:highlight w:val="none"/>
              </w:rPr>
              <w:t>/每期最高定期存款年利率</w:t>
            </w:r>
            <w:r>
              <w:rPr>
                <w:rFonts w:hint="eastAsia"/>
                <w:color w:val="auto"/>
                <w:highlight w:val="none"/>
              </w:rPr>
              <w:t>（基准利率+</w:t>
            </w:r>
            <w:r>
              <w:rPr>
                <w:rFonts w:hint="eastAsia"/>
                <w:color w:val="auto"/>
                <w:highlight w:val="none"/>
                <w:lang w:val="en-US" w:eastAsia="zh-CN"/>
              </w:rPr>
              <w:t>/-</w:t>
            </w:r>
            <w:r>
              <w:rPr>
                <w:rFonts w:hint="eastAsia"/>
                <w:color w:val="auto"/>
                <w:highlight w:val="none"/>
              </w:rPr>
              <w:t>基点）</w:t>
            </w:r>
            <w:r>
              <w:rPr>
                <w:color w:val="auto"/>
                <w:highlight w:val="none"/>
              </w:rPr>
              <w:t>）×利率权重。</w:t>
            </w:r>
          </w:p>
          <w:p w14:paraId="6ABEF54B">
            <w:pPr>
              <w:keepNext w:val="0"/>
              <w:keepLines w:val="0"/>
              <w:pageBreakBefore w:val="0"/>
              <w:widowControl/>
              <w:kinsoku/>
              <w:wordWrap/>
              <w:overflowPunct/>
              <w:topLinePunct w:val="0"/>
              <w:autoSpaceDE/>
              <w:autoSpaceDN/>
              <w:bidi w:val="0"/>
              <w:spacing w:line="360" w:lineRule="auto"/>
              <w:jc w:val="left"/>
              <w:rPr>
                <w:rFonts w:hint="eastAsia"/>
                <w:color w:val="auto"/>
                <w:highlight w:val="none"/>
              </w:rPr>
            </w:pPr>
            <w:r>
              <w:rPr>
                <w:color w:val="auto"/>
                <w:highlight w:val="none"/>
              </w:rPr>
              <w:t>投标人存款年利率总得分=（1）~（</w:t>
            </w:r>
            <w:r>
              <w:rPr>
                <w:rFonts w:hint="eastAsia"/>
                <w:color w:val="auto"/>
                <w:highlight w:val="none"/>
                <w:lang w:val="en-US" w:eastAsia="zh-CN"/>
              </w:rPr>
              <w:t>5</w:t>
            </w:r>
            <w:r>
              <w:rPr>
                <w:color w:val="auto"/>
                <w:highlight w:val="none"/>
              </w:rPr>
              <w:t>）分数的总和。</w:t>
            </w:r>
          </w:p>
          <w:p w14:paraId="5C35769C">
            <w:pPr>
              <w:keepNext w:val="0"/>
              <w:keepLines w:val="0"/>
              <w:pageBreakBefore w:val="0"/>
              <w:kinsoku/>
              <w:wordWrap/>
              <w:overflowPunct/>
              <w:topLinePunct w:val="0"/>
              <w:autoSpaceDE/>
              <w:autoSpaceDN/>
              <w:bidi w:val="0"/>
              <w:spacing w:line="360" w:lineRule="auto"/>
              <w:jc w:val="left"/>
              <w:rPr>
                <w:rFonts w:hint="eastAsia"/>
                <w:color w:val="auto"/>
                <w:highlight w:val="none"/>
              </w:rPr>
            </w:pPr>
            <w:r>
              <w:rPr>
                <w:color w:val="auto"/>
                <w:highlight w:val="none"/>
              </w:rPr>
              <w:t>不接受有附加条件的利率上浮。</w:t>
            </w:r>
          </w:p>
        </w:tc>
        <w:tc>
          <w:tcPr>
            <w:tcW w:w="1394" w:type="dxa"/>
            <w:noWrap w:val="0"/>
            <w:vAlign w:val="center"/>
          </w:tcPr>
          <w:p w14:paraId="3458A9C9">
            <w:pPr>
              <w:keepNext w:val="0"/>
              <w:keepLines w:val="0"/>
              <w:pageBreakBefore w:val="0"/>
              <w:kinsoku/>
              <w:wordWrap/>
              <w:overflowPunct/>
              <w:topLinePunct w:val="0"/>
              <w:autoSpaceDE/>
              <w:autoSpaceDN/>
              <w:bidi w:val="0"/>
              <w:spacing w:line="360" w:lineRule="auto"/>
              <w:jc w:val="center"/>
              <w:rPr>
                <w:rFonts w:hint="default" w:eastAsia="宋体"/>
                <w:color w:val="auto"/>
                <w:highlight w:val="none"/>
                <w:lang w:val="en-US" w:eastAsia="zh-CN"/>
              </w:rPr>
            </w:pPr>
            <w:r>
              <w:rPr>
                <w:rFonts w:hint="eastAsia"/>
                <w:color w:val="auto"/>
                <w:highlight w:val="none"/>
                <w:lang w:val="en-US" w:eastAsia="zh-CN"/>
              </w:rPr>
              <w:t>20</w:t>
            </w:r>
          </w:p>
        </w:tc>
      </w:tr>
    </w:tbl>
    <w:p w14:paraId="249F1742">
      <w:pPr>
        <w:keepNext w:val="0"/>
        <w:keepLines w:val="0"/>
        <w:pageBreakBefore w:val="0"/>
        <w:widowControl/>
        <w:kinsoku/>
        <w:wordWrap/>
        <w:overflowPunct/>
        <w:topLinePunct w:val="0"/>
        <w:autoSpaceDE/>
        <w:autoSpaceDN/>
        <w:bidi w:val="0"/>
        <w:spacing w:line="360" w:lineRule="auto"/>
        <w:ind w:firstLine="422" w:firstLineChars="200"/>
        <w:jc w:val="center"/>
        <w:rPr>
          <w:rFonts w:hint="eastAsia"/>
          <w:b/>
          <w:bCs/>
          <w:color w:val="auto"/>
          <w:sz w:val="24"/>
          <w:highlight w:val="none"/>
          <w:lang w:val="en-US" w:eastAsia="zh-CN"/>
        </w:rPr>
      </w:pPr>
      <w:r>
        <w:rPr>
          <w:rFonts w:hint="eastAsia"/>
          <w:b/>
          <w:bCs/>
          <w:color w:val="auto"/>
          <w:highlight w:val="none"/>
          <w:lang w:eastAsia="zh-CN"/>
        </w:rPr>
        <w:t>标项</w:t>
      </w:r>
      <w:r>
        <w:rPr>
          <w:rFonts w:hint="eastAsia"/>
          <w:b/>
          <w:bCs/>
          <w:color w:val="auto"/>
          <w:highlight w:val="none"/>
          <w:lang w:val="en-US" w:eastAsia="zh-CN"/>
        </w:rPr>
        <w:t>2：</w:t>
      </w:r>
      <w:r>
        <w:rPr>
          <w:rFonts w:hint="eastAsia"/>
          <w:b/>
          <w:bCs/>
          <w:color w:val="auto"/>
          <w:sz w:val="24"/>
          <w:highlight w:val="none"/>
          <w:lang w:val="en-US" w:eastAsia="zh-CN"/>
        </w:rPr>
        <w:t>杭州市萧山区人民政府新塘街道办事处党费专户开户银行招标项目</w:t>
      </w:r>
    </w:p>
    <w:p w14:paraId="05E062FC">
      <w:pPr>
        <w:keepNext w:val="0"/>
        <w:keepLines w:val="0"/>
        <w:pageBreakBefore w:val="0"/>
        <w:widowControl/>
        <w:kinsoku/>
        <w:wordWrap/>
        <w:overflowPunct/>
        <w:topLinePunct w:val="0"/>
        <w:autoSpaceDE/>
        <w:autoSpaceDN/>
        <w:bidi w:val="0"/>
        <w:spacing w:line="360" w:lineRule="auto"/>
        <w:ind w:firstLine="482" w:firstLineChars="200"/>
        <w:jc w:val="center"/>
        <w:rPr>
          <w:rFonts w:hint="eastAsia"/>
          <w:b/>
          <w:bCs/>
          <w:color w:val="auto"/>
          <w:sz w:val="24"/>
          <w:highlight w:val="none"/>
          <w:lang w:val="en-US" w:eastAsia="zh-CN"/>
        </w:rPr>
      </w:pPr>
      <w:r>
        <w:rPr>
          <w:rFonts w:hint="eastAsia"/>
          <w:b/>
          <w:bCs/>
          <w:color w:val="auto"/>
          <w:sz w:val="24"/>
          <w:highlight w:val="none"/>
          <w:lang w:val="en-US" w:eastAsia="zh-CN"/>
        </w:rPr>
        <w:t>评分规则</w:t>
      </w:r>
    </w:p>
    <w:tbl>
      <w:tblPr>
        <w:tblStyle w:val="31"/>
        <w:tblW w:w="9030" w:type="dxa"/>
        <w:tblInd w:w="-4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75"/>
        <w:gridCol w:w="1725"/>
        <w:gridCol w:w="4320"/>
        <w:gridCol w:w="1410"/>
      </w:tblGrid>
      <w:tr w14:paraId="43E25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575" w:type="dxa"/>
            <w:tcBorders>
              <w:top w:val="single" w:color="000000" w:sz="12" w:space="0"/>
              <w:left w:val="single" w:color="000000" w:sz="12" w:space="0"/>
              <w:bottom w:val="single" w:color="000000" w:sz="8" w:space="0"/>
              <w:right w:val="single" w:color="000000" w:sz="8" w:space="0"/>
            </w:tcBorders>
            <w:noWrap w:val="0"/>
            <w:vAlign w:val="center"/>
          </w:tcPr>
          <w:p w14:paraId="0D4EE25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指标</w:t>
            </w:r>
          </w:p>
        </w:tc>
        <w:tc>
          <w:tcPr>
            <w:tcW w:w="1725" w:type="dxa"/>
            <w:tcBorders>
              <w:top w:val="single" w:color="000000" w:sz="12" w:space="0"/>
              <w:left w:val="single" w:color="000000" w:sz="8" w:space="0"/>
              <w:bottom w:val="single" w:color="000000" w:sz="8" w:space="0"/>
              <w:right w:val="single" w:color="000000" w:sz="8" w:space="0"/>
            </w:tcBorders>
            <w:noWrap w:val="0"/>
            <w:vAlign w:val="center"/>
          </w:tcPr>
          <w:p w14:paraId="6CC21F7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w:t>
            </w:r>
          </w:p>
        </w:tc>
        <w:tc>
          <w:tcPr>
            <w:tcW w:w="4320" w:type="dxa"/>
            <w:tcBorders>
              <w:top w:val="single" w:color="000000" w:sz="12" w:space="0"/>
              <w:left w:val="single" w:color="000000" w:sz="8" w:space="0"/>
              <w:bottom w:val="single" w:color="000000" w:sz="8" w:space="0"/>
              <w:right w:val="single" w:color="000000" w:sz="8" w:space="0"/>
            </w:tcBorders>
            <w:noWrap w:val="0"/>
            <w:vAlign w:val="center"/>
          </w:tcPr>
          <w:p w14:paraId="7F68F7D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评审内容及评分细则</w:t>
            </w:r>
          </w:p>
        </w:tc>
        <w:tc>
          <w:tcPr>
            <w:tcW w:w="1410" w:type="dxa"/>
            <w:tcBorders>
              <w:top w:val="single" w:color="000000" w:sz="12" w:space="0"/>
              <w:left w:val="single" w:color="000000" w:sz="8" w:space="0"/>
              <w:bottom w:val="single" w:color="000000" w:sz="8" w:space="0"/>
              <w:right w:val="single" w:color="000000" w:sz="12" w:space="0"/>
            </w:tcBorders>
            <w:noWrap w:val="0"/>
            <w:vAlign w:val="center"/>
          </w:tcPr>
          <w:p w14:paraId="6BEB79D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w:t>
            </w:r>
          </w:p>
        </w:tc>
      </w:tr>
      <w:tr w14:paraId="6FA31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575" w:type="dxa"/>
            <w:vMerge w:val="restart"/>
            <w:tcBorders>
              <w:top w:val="single" w:color="000000" w:sz="8" w:space="0"/>
              <w:left w:val="single" w:color="000000" w:sz="12" w:space="0"/>
              <w:right w:val="single" w:color="000000" w:sz="8" w:space="0"/>
            </w:tcBorders>
            <w:noWrap w:val="0"/>
            <w:vAlign w:val="center"/>
          </w:tcPr>
          <w:p w14:paraId="6BCCDFF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经营状况指标</w:t>
            </w:r>
          </w:p>
          <w:p w14:paraId="3DEBCF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Style w:val="63"/>
                <w:rFonts w:eastAsia="宋体"/>
                <w:lang w:val="en-US" w:eastAsia="zh-CN" w:bidi="ar"/>
              </w:rPr>
              <w:t>30</w:t>
            </w:r>
            <w:r>
              <w:rPr>
                <w:rStyle w:val="64"/>
                <w:lang w:val="en-US" w:eastAsia="zh-CN" w:bidi="ar"/>
              </w:rPr>
              <w:t>分）</w:t>
            </w:r>
          </w:p>
        </w:tc>
        <w:tc>
          <w:tcPr>
            <w:tcW w:w="1725" w:type="dxa"/>
            <w:vMerge w:val="restart"/>
            <w:tcBorders>
              <w:top w:val="single" w:color="000000" w:sz="8" w:space="0"/>
              <w:left w:val="single" w:color="000000" w:sz="8" w:space="0"/>
              <w:bottom w:val="single" w:color="000000" w:sz="8" w:space="0"/>
              <w:right w:val="single" w:color="000000" w:sz="8" w:space="0"/>
            </w:tcBorders>
            <w:noWrap w:val="0"/>
            <w:vAlign w:val="center"/>
          </w:tcPr>
          <w:p w14:paraId="2A54D7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资产质量</w:t>
            </w: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5A61B72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竞标银行在202</w:t>
            </w: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年度末在萧人民币存款余额（以人民银行公布为准），300亿（含）以上得</w:t>
            </w:r>
            <w:r>
              <w:rPr>
                <w:rFonts w:hint="eastAsia" w:ascii="宋体" w:hAnsi="宋体" w:eastAsia="宋体" w:cs="宋体"/>
                <w:i w:val="0"/>
                <w:iCs w:val="0"/>
                <w:color w:val="000000"/>
                <w:kern w:val="0"/>
                <w:sz w:val="21"/>
                <w:szCs w:val="21"/>
                <w:u w:val="single"/>
                <w:lang w:val="en-US" w:eastAsia="zh-CN" w:bidi="ar"/>
              </w:rPr>
              <w:t xml:space="preserve"> 6</w:t>
            </w:r>
            <w:r>
              <w:rPr>
                <w:rStyle w:val="64"/>
                <w:lang w:val="en-US" w:eastAsia="zh-CN" w:bidi="ar"/>
              </w:rPr>
              <w:t>分，200（含）-300亿得</w:t>
            </w:r>
            <w:r>
              <w:rPr>
                <w:rFonts w:hint="eastAsia" w:ascii="宋体" w:hAnsi="宋体" w:eastAsia="宋体" w:cs="宋体"/>
                <w:i w:val="0"/>
                <w:iCs w:val="0"/>
                <w:color w:val="000000"/>
                <w:kern w:val="0"/>
                <w:sz w:val="21"/>
                <w:szCs w:val="21"/>
                <w:u w:val="single"/>
                <w:lang w:val="en-US" w:eastAsia="zh-CN" w:bidi="ar"/>
              </w:rPr>
              <w:t xml:space="preserve">  4  </w:t>
            </w:r>
            <w:r>
              <w:rPr>
                <w:rStyle w:val="64"/>
                <w:lang w:val="en-US" w:eastAsia="zh-CN" w:bidi="ar"/>
              </w:rPr>
              <w:t>分，100（含）-200亿得</w:t>
            </w:r>
            <w:r>
              <w:rPr>
                <w:rFonts w:hint="eastAsia" w:ascii="宋体" w:hAnsi="宋体" w:eastAsia="宋体" w:cs="宋体"/>
                <w:i w:val="0"/>
                <w:iCs w:val="0"/>
                <w:color w:val="000000"/>
                <w:kern w:val="0"/>
                <w:sz w:val="21"/>
                <w:szCs w:val="21"/>
                <w:u w:val="single"/>
                <w:lang w:val="en-US" w:eastAsia="zh-CN" w:bidi="ar"/>
              </w:rPr>
              <w:t xml:space="preserve">  2  </w:t>
            </w:r>
            <w:r>
              <w:rPr>
                <w:rStyle w:val="64"/>
                <w:lang w:val="en-US" w:eastAsia="zh-CN" w:bidi="ar"/>
              </w:rPr>
              <w:t>分， 100亿以下不得分。</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39FE8A6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r>
      <w:tr w14:paraId="616A9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575" w:type="dxa"/>
            <w:vMerge w:val="continue"/>
            <w:tcBorders>
              <w:left w:val="single" w:color="000000" w:sz="12" w:space="0"/>
              <w:right w:val="single" w:color="000000" w:sz="8" w:space="0"/>
            </w:tcBorders>
            <w:noWrap w:val="0"/>
            <w:vAlign w:val="center"/>
          </w:tcPr>
          <w:p w14:paraId="3B2318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725" w:type="dxa"/>
            <w:vMerge w:val="continue"/>
            <w:tcBorders>
              <w:top w:val="single" w:color="000000" w:sz="8" w:space="0"/>
              <w:left w:val="single" w:color="000000" w:sz="8" w:space="0"/>
              <w:bottom w:val="single" w:color="000000" w:sz="8" w:space="0"/>
              <w:right w:val="single" w:color="000000" w:sz="8" w:space="0"/>
            </w:tcBorders>
            <w:noWrap w:val="0"/>
            <w:vAlign w:val="center"/>
          </w:tcPr>
          <w:p w14:paraId="5A90BD1B">
            <w:pPr>
              <w:jc w:val="center"/>
              <w:rPr>
                <w:rFonts w:hint="eastAsia" w:ascii="宋体" w:hAnsi="宋体" w:eastAsia="宋体" w:cs="宋体"/>
                <w:i w:val="0"/>
                <w:iCs w:val="0"/>
                <w:color w:val="000000"/>
                <w:sz w:val="21"/>
                <w:szCs w:val="21"/>
                <w:u w:val="none"/>
              </w:rPr>
            </w:pP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7FE23D8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竞标银行</w:t>
            </w:r>
            <w:r>
              <w:rPr>
                <w:rStyle w:val="65"/>
                <w:rFonts w:eastAsia="宋体"/>
                <w:lang w:val="en-US" w:eastAsia="zh-CN" w:bidi="ar"/>
              </w:rPr>
              <w:t>202</w:t>
            </w:r>
            <w:r>
              <w:rPr>
                <w:rStyle w:val="65"/>
                <w:rFonts w:hint="eastAsia"/>
                <w:lang w:val="en-US" w:eastAsia="zh-CN" w:bidi="ar"/>
              </w:rPr>
              <w:t>3</w:t>
            </w:r>
            <w:r>
              <w:rPr>
                <w:rStyle w:val="64"/>
                <w:lang w:val="en-US" w:eastAsia="zh-CN" w:bidi="ar"/>
              </w:rPr>
              <w:t>年末不良贷款率（萧山区）排名进行评分，不良贷款率最低的为第一名得</w:t>
            </w:r>
            <w:r>
              <w:rPr>
                <w:rStyle w:val="65"/>
                <w:rFonts w:eastAsia="宋体"/>
                <w:lang w:val="en-US" w:eastAsia="zh-CN" w:bidi="ar"/>
              </w:rPr>
              <w:t>5</w:t>
            </w:r>
            <w:r>
              <w:rPr>
                <w:rStyle w:val="64"/>
                <w:lang w:val="en-US" w:eastAsia="zh-CN" w:bidi="ar"/>
              </w:rPr>
              <w:t>分，每降一名减</w:t>
            </w:r>
            <w:r>
              <w:rPr>
                <w:rStyle w:val="65"/>
                <w:rFonts w:eastAsia="宋体"/>
                <w:lang w:val="en-US" w:eastAsia="zh-CN" w:bidi="ar"/>
              </w:rPr>
              <w:t>0.2</w:t>
            </w:r>
            <w:r>
              <w:rPr>
                <w:rStyle w:val="64"/>
                <w:lang w:val="en-US" w:eastAsia="zh-CN" w:bidi="ar"/>
              </w:rPr>
              <w:t>分，减完为止。</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69781CF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73BAD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575" w:type="dxa"/>
            <w:vMerge w:val="continue"/>
            <w:tcBorders>
              <w:left w:val="single" w:color="000000" w:sz="12" w:space="0"/>
              <w:right w:val="single" w:color="000000" w:sz="8" w:space="0"/>
            </w:tcBorders>
            <w:noWrap w:val="0"/>
            <w:vAlign w:val="center"/>
          </w:tcPr>
          <w:p w14:paraId="620C36FB">
            <w:pPr>
              <w:jc w:val="center"/>
              <w:rPr>
                <w:rFonts w:hint="eastAsia" w:ascii="宋体" w:hAnsi="宋体" w:eastAsia="宋体" w:cs="宋体"/>
                <w:i w:val="0"/>
                <w:iCs w:val="0"/>
                <w:color w:val="000000"/>
                <w:sz w:val="21"/>
                <w:szCs w:val="21"/>
                <w:u w:val="none"/>
              </w:rPr>
            </w:pPr>
          </w:p>
        </w:tc>
        <w:tc>
          <w:tcPr>
            <w:tcW w:w="1725" w:type="dxa"/>
            <w:tcBorders>
              <w:top w:val="single" w:color="000000" w:sz="8" w:space="0"/>
              <w:left w:val="single" w:color="000000" w:sz="8" w:space="0"/>
              <w:bottom w:val="single" w:color="000000" w:sz="8" w:space="0"/>
              <w:right w:val="single" w:color="000000" w:sz="8" w:space="0"/>
            </w:tcBorders>
            <w:noWrap w:val="0"/>
            <w:vAlign w:val="center"/>
          </w:tcPr>
          <w:p w14:paraId="0E2167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运营状况</w:t>
            </w:r>
          </w:p>
        </w:tc>
        <w:tc>
          <w:tcPr>
            <w:tcW w:w="4320" w:type="dxa"/>
            <w:tcBorders>
              <w:top w:val="single" w:color="000000" w:sz="8" w:space="0"/>
              <w:left w:val="single" w:color="000000" w:sz="8" w:space="0"/>
              <w:bottom w:val="single" w:color="000000" w:sz="8" w:space="0"/>
              <w:right w:val="single" w:color="000000" w:sz="8" w:space="0"/>
            </w:tcBorders>
            <w:noWrap w:val="0"/>
            <w:vAlign w:val="top"/>
          </w:tcPr>
          <w:p w14:paraId="0FB063A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竞标银行</w:t>
            </w:r>
            <w:r>
              <w:rPr>
                <w:rFonts w:hint="default" w:ascii="Times New Roman" w:hAnsi="Times New Roman" w:eastAsia="宋体" w:cs="Times New Roman"/>
                <w:i w:val="0"/>
                <w:iCs w:val="0"/>
                <w:color w:val="000000"/>
                <w:kern w:val="0"/>
                <w:sz w:val="21"/>
                <w:szCs w:val="21"/>
                <w:u w:val="none"/>
                <w:lang w:val="en-US" w:eastAsia="zh-CN" w:bidi="ar"/>
              </w:rPr>
              <w:t>202</w:t>
            </w:r>
            <w:r>
              <w:rPr>
                <w:rFonts w:hint="eastAsia" w:cs="Times New Roman"/>
                <w:i w:val="0"/>
                <w:iCs w:val="0"/>
                <w:color w:val="000000"/>
                <w:kern w:val="0"/>
                <w:sz w:val="21"/>
                <w:szCs w:val="21"/>
                <w:u w:val="none"/>
                <w:lang w:val="en-US" w:eastAsia="zh-CN" w:bidi="ar"/>
              </w:rPr>
              <w:t>3</w:t>
            </w:r>
            <w:r>
              <w:rPr>
                <w:rStyle w:val="66"/>
                <w:lang w:val="en-US" w:eastAsia="zh-CN" w:bidi="ar"/>
              </w:rPr>
              <w:t>年利润总额（萧山区）情况进行评分，利润总额最高的为满分6分，每降一名减1分，减完为止。</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7B96AC5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r>
      <w:tr w14:paraId="24763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1575" w:type="dxa"/>
            <w:vMerge w:val="continue"/>
            <w:tcBorders>
              <w:left w:val="single" w:color="000000" w:sz="12" w:space="0"/>
              <w:right w:val="single" w:color="000000" w:sz="8" w:space="0"/>
            </w:tcBorders>
            <w:noWrap/>
            <w:vAlign w:val="center"/>
          </w:tcPr>
          <w:p w14:paraId="4CFF560C">
            <w:pPr>
              <w:rPr>
                <w:rFonts w:hint="eastAsia" w:ascii="宋体" w:hAnsi="宋体" w:eastAsia="宋体" w:cs="宋体"/>
                <w:i w:val="0"/>
                <w:iCs w:val="0"/>
                <w:color w:val="000000"/>
                <w:sz w:val="24"/>
                <w:szCs w:val="24"/>
                <w:u w:val="none"/>
              </w:rPr>
            </w:pPr>
          </w:p>
        </w:tc>
        <w:tc>
          <w:tcPr>
            <w:tcW w:w="1725" w:type="dxa"/>
            <w:tcBorders>
              <w:top w:val="single" w:color="000000" w:sz="8" w:space="0"/>
              <w:left w:val="single" w:color="000000" w:sz="8" w:space="0"/>
              <w:bottom w:val="single" w:color="000000" w:sz="8" w:space="0"/>
              <w:right w:val="single" w:color="000000" w:sz="8" w:space="0"/>
            </w:tcBorders>
            <w:noWrap w:val="0"/>
            <w:vAlign w:val="center"/>
          </w:tcPr>
          <w:p w14:paraId="10F688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对萧贷款增量</w:t>
            </w: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699852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竞标银行截止202</w:t>
            </w: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年末对萧山区的人民币贷款支持情况，人民币贷款余额比上一年增幅（</w:t>
            </w:r>
            <w:r>
              <w:rPr>
                <w:rFonts w:hint="eastAsia" w:ascii="宋体" w:hAnsi="宋体" w:cs="宋体"/>
                <w:i w:val="0"/>
                <w:iCs w:val="0"/>
                <w:color w:val="000000"/>
                <w:kern w:val="0"/>
                <w:sz w:val="21"/>
                <w:szCs w:val="21"/>
                <w:u w:val="none"/>
                <w:lang w:val="en-US" w:eastAsia="zh-CN" w:bidi="ar"/>
              </w:rPr>
              <w:t>2023</w:t>
            </w:r>
            <w:r>
              <w:rPr>
                <w:rFonts w:hint="eastAsia" w:ascii="宋体" w:hAnsi="宋体" w:eastAsia="宋体" w:cs="宋体"/>
                <w:i w:val="0"/>
                <w:iCs w:val="0"/>
                <w:color w:val="000000"/>
                <w:kern w:val="0"/>
                <w:sz w:val="21"/>
                <w:szCs w:val="21"/>
                <w:u w:val="none"/>
                <w:lang w:val="en-US" w:eastAsia="zh-CN" w:bidi="ar"/>
              </w:rPr>
              <w:t>年末贷款余额-202</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年末贷款余额）为100（不含）亿元以上的得5分，50（含）-100（不含）亿元的得4分，30（含）-50亿元（不含）的得3分，30亿（不含）以下的得2分。</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60AA69E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321C0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trPr>
        <w:tc>
          <w:tcPr>
            <w:tcW w:w="1575" w:type="dxa"/>
            <w:vMerge w:val="continue"/>
            <w:tcBorders>
              <w:left w:val="single" w:color="000000" w:sz="12" w:space="0"/>
              <w:right w:val="single" w:color="000000" w:sz="8" w:space="0"/>
            </w:tcBorders>
            <w:noWrap/>
            <w:vAlign w:val="center"/>
          </w:tcPr>
          <w:p w14:paraId="57295C29">
            <w:pPr>
              <w:rPr>
                <w:rFonts w:hint="eastAsia" w:ascii="宋体" w:hAnsi="宋体" w:eastAsia="宋体" w:cs="宋体"/>
                <w:i w:val="0"/>
                <w:iCs w:val="0"/>
                <w:color w:val="000000"/>
                <w:sz w:val="24"/>
                <w:szCs w:val="24"/>
                <w:u w:val="none"/>
              </w:rPr>
            </w:pPr>
          </w:p>
        </w:tc>
        <w:tc>
          <w:tcPr>
            <w:tcW w:w="1725" w:type="dxa"/>
            <w:tcBorders>
              <w:top w:val="single" w:color="000000" w:sz="8" w:space="0"/>
              <w:left w:val="single" w:color="000000" w:sz="8" w:space="0"/>
              <w:bottom w:val="single" w:color="000000" w:sz="8" w:space="0"/>
              <w:right w:val="single" w:color="000000" w:sz="8" w:space="0"/>
            </w:tcBorders>
            <w:noWrap w:val="0"/>
            <w:vAlign w:val="center"/>
          </w:tcPr>
          <w:p w14:paraId="419DD5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偿付能力</w:t>
            </w: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269E15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竞标银行</w:t>
            </w:r>
            <w:r>
              <w:rPr>
                <w:rStyle w:val="65"/>
                <w:rFonts w:eastAsia="宋体"/>
                <w:lang w:val="en-US" w:eastAsia="zh-CN" w:bidi="ar"/>
              </w:rPr>
              <w:t>202</w:t>
            </w:r>
            <w:r>
              <w:rPr>
                <w:rStyle w:val="65"/>
                <w:rFonts w:hint="eastAsia"/>
                <w:lang w:val="en-US" w:eastAsia="zh-CN" w:bidi="ar"/>
              </w:rPr>
              <w:t>3</w:t>
            </w:r>
            <w:r>
              <w:rPr>
                <w:rStyle w:val="64"/>
                <w:lang w:val="en-US" w:eastAsia="zh-CN" w:bidi="ar"/>
              </w:rPr>
              <w:t>年末不良资产余额（萧山区）排名进行评分，不良资产余额最少为第一名得5分，每降一名减</w:t>
            </w:r>
            <w:r>
              <w:rPr>
                <w:rStyle w:val="65"/>
                <w:rFonts w:eastAsia="宋体"/>
                <w:lang w:val="en-US" w:eastAsia="zh-CN" w:bidi="ar"/>
              </w:rPr>
              <w:t>0.2</w:t>
            </w:r>
            <w:r>
              <w:rPr>
                <w:rStyle w:val="64"/>
                <w:lang w:val="en-US" w:eastAsia="zh-CN" w:bidi="ar"/>
              </w:rPr>
              <w:t>分，减完为止。</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59559F5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4B42E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1575" w:type="dxa"/>
            <w:vMerge w:val="continue"/>
            <w:tcBorders>
              <w:left w:val="single" w:color="000000" w:sz="12" w:space="0"/>
              <w:bottom w:val="single" w:color="000000" w:sz="8" w:space="0"/>
              <w:right w:val="single" w:color="000000" w:sz="8" w:space="0"/>
            </w:tcBorders>
            <w:noWrap/>
            <w:vAlign w:val="center"/>
          </w:tcPr>
          <w:p w14:paraId="780024FD">
            <w:pPr>
              <w:rPr>
                <w:rFonts w:hint="eastAsia" w:ascii="宋体" w:hAnsi="宋体" w:eastAsia="宋体" w:cs="宋体"/>
                <w:i w:val="0"/>
                <w:iCs w:val="0"/>
                <w:color w:val="000000"/>
                <w:sz w:val="24"/>
                <w:szCs w:val="24"/>
                <w:u w:val="none"/>
              </w:rPr>
            </w:pPr>
          </w:p>
        </w:tc>
        <w:tc>
          <w:tcPr>
            <w:tcW w:w="1725" w:type="dxa"/>
            <w:tcBorders>
              <w:top w:val="single" w:color="000000" w:sz="8" w:space="0"/>
              <w:left w:val="single" w:color="000000" w:sz="8" w:space="0"/>
              <w:bottom w:val="single" w:color="000000" w:sz="8" w:space="0"/>
              <w:right w:val="single" w:color="000000" w:sz="8" w:space="0"/>
            </w:tcBorders>
            <w:noWrap w:val="0"/>
            <w:vAlign w:val="center"/>
          </w:tcPr>
          <w:p w14:paraId="3A1990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内控水平</w:t>
            </w:r>
          </w:p>
        </w:tc>
        <w:tc>
          <w:tcPr>
            <w:tcW w:w="4320" w:type="dxa"/>
            <w:tcBorders>
              <w:top w:val="single" w:color="000000" w:sz="8" w:space="0"/>
              <w:left w:val="single" w:color="000000" w:sz="8" w:space="0"/>
              <w:bottom w:val="single" w:color="000000" w:sz="8" w:space="0"/>
              <w:right w:val="single" w:color="000000" w:sz="8" w:space="0"/>
            </w:tcBorders>
            <w:noWrap w:val="0"/>
            <w:vAlign w:val="top"/>
          </w:tcPr>
          <w:p w14:paraId="0266AC5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竞标银行</w:t>
            </w:r>
            <w:r>
              <w:rPr>
                <w:rStyle w:val="63"/>
                <w:lang w:val="en-US" w:eastAsia="zh-CN" w:bidi="ar"/>
              </w:rPr>
              <w:t>2023</w:t>
            </w:r>
            <w:r>
              <w:rPr>
                <w:rStyle w:val="64"/>
                <w:lang w:val="en-US" w:eastAsia="zh-CN" w:bidi="ar"/>
              </w:rPr>
              <w:t>年银监行政处罚情况（萧山区），每处罚一次扣1分，扣完为止。</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7C8F9C9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2D9C0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3" w:hRule="atLeast"/>
        </w:trPr>
        <w:tc>
          <w:tcPr>
            <w:tcW w:w="1575" w:type="dxa"/>
            <w:vMerge w:val="restart"/>
            <w:tcBorders>
              <w:top w:val="single" w:color="000000" w:sz="8" w:space="0"/>
              <w:left w:val="single" w:color="000000" w:sz="12" w:space="0"/>
              <w:bottom w:val="single" w:color="000000" w:sz="8" w:space="0"/>
              <w:right w:val="single" w:color="000000" w:sz="8" w:space="0"/>
            </w:tcBorders>
            <w:noWrap w:val="0"/>
            <w:vAlign w:val="center"/>
          </w:tcPr>
          <w:p w14:paraId="79411E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服务水平指标（</w:t>
            </w:r>
            <w:r>
              <w:rPr>
                <w:rStyle w:val="63"/>
                <w:rFonts w:eastAsia="宋体"/>
                <w:lang w:val="en-US" w:eastAsia="zh-CN" w:bidi="ar"/>
              </w:rPr>
              <w:t>20</w:t>
            </w:r>
            <w:r>
              <w:rPr>
                <w:rStyle w:val="64"/>
                <w:lang w:val="en-US" w:eastAsia="zh-CN" w:bidi="ar"/>
              </w:rPr>
              <w:t>）</w:t>
            </w:r>
          </w:p>
        </w:tc>
        <w:tc>
          <w:tcPr>
            <w:tcW w:w="1725" w:type="dxa"/>
            <w:tcBorders>
              <w:top w:val="single" w:color="000000" w:sz="8" w:space="0"/>
              <w:left w:val="single" w:color="000000" w:sz="8" w:space="0"/>
              <w:bottom w:val="single" w:color="000000" w:sz="8" w:space="0"/>
              <w:right w:val="single" w:color="000000" w:sz="8" w:space="0"/>
            </w:tcBorders>
            <w:noWrap w:val="0"/>
            <w:vAlign w:val="center"/>
          </w:tcPr>
          <w:p w14:paraId="2C0D63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投标人信息系统建设情况</w:t>
            </w: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2287C06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信息系统建设是否完善、数据安全保障情况、操作流程是否清晰、便捷，密钥等远程操作的安全性、便捷性等进行综合评分：优</w:t>
            </w:r>
            <w:r>
              <w:rPr>
                <w:rStyle w:val="67"/>
                <w:lang w:val="en-US" w:eastAsia="zh-CN" w:bidi="ar"/>
              </w:rPr>
              <w:t xml:space="preserve">  1-</w:t>
            </w:r>
            <w:r>
              <w:rPr>
                <w:rFonts w:hint="default" w:ascii="Times New Roman" w:hAnsi="Times New Roman" w:eastAsia="宋体" w:cs="Times New Roman"/>
                <w:i w:val="0"/>
                <w:iCs w:val="0"/>
                <w:color w:val="000000"/>
                <w:kern w:val="0"/>
                <w:sz w:val="21"/>
                <w:szCs w:val="21"/>
                <w:u w:val="single"/>
                <w:lang w:val="en-US" w:eastAsia="zh-CN" w:bidi="ar"/>
              </w:rPr>
              <w:t>3</w:t>
            </w:r>
            <w:r>
              <w:rPr>
                <w:rStyle w:val="67"/>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分，良好</w:t>
            </w:r>
            <w:r>
              <w:rPr>
                <w:rStyle w:val="67"/>
                <w:lang w:val="en-US" w:eastAsia="zh-CN" w:bidi="ar"/>
              </w:rPr>
              <w:t xml:space="preserve">  1-2 </w:t>
            </w:r>
            <w:r>
              <w:rPr>
                <w:rFonts w:hint="eastAsia" w:ascii="宋体" w:hAnsi="宋体" w:eastAsia="宋体" w:cs="宋体"/>
                <w:i w:val="0"/>
                <w:iCs w:val="0"/>
                <w:color w:val="000000"/>
                <w:kern w:val="0"/>
                <w:sz w:val="21"/>
                <w:szCs w:val="21"/>
                <w:u w:val="none"/>
                <w:lang w:val="en-US" w:eastAsia="zh-CN" w:bidi="ar"/>
              </w:rPr>
              <w:t>分，一般的</w:t>
            </w:r>
            <w:r>
              <w:rPr>
                <w:rStyle w:val="67"/>
                <w:lang w:val="en-US" w:eastAsia="zh-CN" w:bidi="ar"/>
              </w:rPr>
              <w:t xml:space="preserve"> 0-1 </w:t>
            </w:r>
            <w:r>
              <w:rPr>
                <w:rFonts w:hint="eastAsia" w:ascii="宋体" w:hAnsi="宋体" w:eastAsia="宋体" w:cs="宋体"/>
                <w:i w:val="0"/>
                <w:iCs w:val="0"/>
                <w:color w:val="000000"/>
                <w:kern w:val="0"/>
                <w:sz w:val="21"/>
                <w:szCs w:val="21"/>
                <w:u w:val="none"/>
                <w:lang w:val="en-US" w:eastAsia="zh-CN" w:bidi="ar"/>
              </w:rPr>
              <w:t>分，其他不得分（需提供证明材料）</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712D56A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3F9CA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1575" w:type="dxa"/>
            <w:vMerge w:val="continue"/>
            <w:tcBorders>
              <w:top w:val="single" w:color="000000" w:sz="8" w:space="0"/>
              <w:left w:val="single" w:color="000000" w:sz="12" w:space="0"/>
              <w:bottom w:val="single" w:color="000000" w:sz="8" w:space="0"/>
              <w:right w:val="single" w:color="000000" w:sz="8" w:space="0"/>
            </w:tcBorders>
            <w:noWrap w:val="0"/>
            <w:vAlign w:val="center"/>
          </w:tcPr>
          <w:p w14:paraId="2B990746">
            <w:pPr>
              <w:jc w:val="center"/>
              <w:rPr>
                <w:rFonts w:hint="eastAsia" w:ascii="宋体" w:hAnsi="宋体" w:eastAsia="宋体" w:cs="宋体"/>
                <w:i w:val="0"/>
                <w:iCs w:val="0"/>
                <w:color w:val="000000"/>
                <w:sz w:val="21"/>
                <w:szCs w:val="21"/>
                <w:u w:val="none"/>
              </w:rPr>
            </w:pPr>
          </w:p>
        </w:tc>
        <w:tc>
          <w:tcPr>
            <w:tcW w:w="1725" w:type="dxa"/>
            <w:tcBorders>
              <w:top w:val="single" w:color="000000" w:sz="8" w:space="0"/>
              <w:left w:val="single" w:color="000000" w:sz="8" w:space="0"/>
              <w:bottom w:val="single" w:color="000000" w:sz="8" w:space="0"/>
              <w:right w:val="single" w:color="000000" w:sz="8" w:space="0"/>
            </w:tcBorders>
            <w:noWrap w:val="0"/>
            <w:vAlign w:val="center"/>
          </w:tcPr>
          <w:p w14:paraId="5C0711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投标银行的服务质量和风险控制方案</w:t>
            </w: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46916D7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理念和目标的合理性：投标人对行政事业单位的理解和掌握情况，结合项目的特点，提出服务的定位、目标、标准和承诺情况，服务模式能够切合实际，且安全可行，保密性、安全性、文明服务的计划及承诺情况等；优1-3分，一般0-1分。</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1100A96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6CEBA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trPr>
        <w:tc>
          <w:tcPr>
            <w:tcW w:w="1575" w:type="dxa"/>
            <w:vMerge w:val="continue"/>
            <w:tcBorders>
              <w:top w:val="single" w:color="000000" w:sz="8" w:space="0"/>
              <w:left w:val="single" w:color="000000" w:sz="12" w:space="0"/>
              <w:bottom w:val="single" w:color="000000" w:sz="8" w:space="0"/>
              <w:right w:val="single" w:color="000000" w:sz="8" w:space="0"/>
            </w:tcBorders>
            <w:noWrap w:val="0"/>
            <w:vAlign w:val="center"/>
          </w:tcPr>
          <w:p w14:paraId="4B886989">
            <w:pPr>
              <w:jc w:val="center"/>
              <w:rPr>
                <w:rFonts w:hint="eastAsia" w:ascii="宋体" w:hAnsi="宋体" w:eastAsia="宋体" w:cs="宋体"/>
                <w:i w:val="0"/>
                <w:iCs w:val="0"/>
                <w:color w:val="000000"/>
                <w:sz w:val="21"/>
                <w:szCs w:val="21"/>
                <w:u w:val="none"/>
              </w:rPr>
            </w:pPr>
          </w:p>
        </w:tc>
        <w:tc>
          <w:tcPr>
            <w:tcW w:w="1725" w:type="dxa"/>
            <w:tcBorders>
              <w:top w:val="single" w:color="000000" w:sz="8" w:space="0"/>
              <w:left w:val="single" w:color="000000" w:sz="8" w:space="0"/>
              <w:bottom w:val="single" w:color="000000" w:sz="8" w:space="0"/>
              <w:right w:val="single" w:color="000000" w:sz="8" w:space="0"/>
            </w:tcBorders>
            <w:noWrap w:val="0"/>
            <w:vAlign w:val="center"/>
          </w:tcPr>
          <w:p w14:paraId="1647F6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账务、分账核算服务</w:t>
            </w: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372E316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对账务、分账核算服务的水平及方案综合评价情况</w:t>
            </w:r>
            <w:r>
              <w:rPr>
                <w:rStyle w:val="64"/>
                <w:lang w:val="en-US" w:eastAsia="zh-CN" w:bidi="ar"/>
              </w:rPr>
              <w:t>，优得 1-2 分、一般 0-1 分。</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5AA1B84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495BA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75" w:type="dxa"/>
            <w:vMerge w:val="continue"/>
            <w:tcBorders>
              <w:top w:val="single" w:color="000000" w:sz="8" w:space="0"/>
              <w:left w:val="single" w:color="000000" w:sz="12" w:space="0"/>
              <w:bottom w:val="single" w:color="000000" w:sz="8" w:space="0"/>
              <w:right w:val="single" w:color="000000" w:sz="8" w:space="0"/>
            </w:tcBorders>
            <w:noWrap w:val="0"/>
            <w:vAlign w:val="center"/>
          </w:tcPr>
          <w:p w14:paraId="7115A65A">
            <w:pPr>
              <w:jc w:val="center"/>
              <w:rPr>
                <w:rFonts w:hint="eastAsia" w:ascii="宋体" w:hAnsi="宋体" w:eastAsia="宋体" w:cs="宋体"/>
                <w:i w:val="0"/>
                <w:iCs w:val="0"/>
                <w:color w:val="000000"/>
                <w:sz w:val="21"/>
                <w:szCs w:val="21"/>
                <w:u w:val="none"/>
              </w:rPr>
            </w:pPr>
          </w:p>
        </w:tc>
        <w:tc>
          <w:tcPr>
            <w:tcW w:w="1725" w:type="dxa"/>
            <w:vMerge w:val="restart"/>
            <w:tcBorders>
              <w:top w:val="single" w:color="000000" w:sz="8" w:space="0"/>
              <w:left w:val="single" w:color="000000" w:sz="8" w:space="0"/>
              <w:bottom w:val="single" w:color="000000" w:sz="8" w:space="0"/>
              <w:right w:val="single" w:color="000000" w:sz="8" w:space="0"/>
            </w:tcBorders>
            <w:noWrap w:val="0"/>
            <w:vAlign w:val="center"/>
          </w:tcPr>
          <w:p w14:paraId="3D69BD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对账服务</w:t>
            </w:r>
          </w:p>
        </w:tc>
        <w:tc>
          <w:tcPr>
            <w:tcW w:w="4320" w:type="dxa"/>
            <w:vMerge w:val="restart"/>
            <w:tcBorders>
              <w:top w:val="single" w:color="000000" w:sz="8" w:space="0"/>
              <w:left w:val="single" w:color="000000" w:sz="8" w:space="0"/>
              <w:bottom w:val="single" w:color="000000" w:sz="8" w:space="0"/>
              <w:right w:val="single" w:color="000000" w:sz="8" w:space="0"/>
            </w:tcBorders>
            <w:noWrap w:val="0"/>
            <w:vAlign w:val="center"/>
          </w:tcPr>
          <w:p w14:paraId="139817C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承诺提供网上对账服务或每月</w:t>
            </w:r>
            <w:r>
              <w:rPr>
                <w:rStyle w:val="65"/>
                <w:rFonts w:eastAsia="宋体"/>
                <w:lang w:val="en-US" w:eastAsia="zh-CN" w:bidi="ar"/>
              </w:rPr>
              <w:t>5</w:t>
            </w:r>
            <w:r>
              <w:rPr>
                <w:rFonts w:hint="eastAsia" w:ascii="宋体" w:hAnsi="宋体" w:eastAsia="宋体" w:cs="宋体"/>
                <w:i w:val="0"/>
                <w:iCs w:val="0"/>
                <w:color w:val="000000"/>
                <w:kern w:val="0"/>
                <w:sz w:val="21"/>
                <w:szCs w:val="21"/>
                <w:u w:val="none"/>
                <w:lang w:val="en-US" w:eastAsia="zh-CN" w:bidi="ar"/>
              </w:rPr>
              <w:t>日前及时送达对账单得</w:t>
            </w:r>
            <w:r>
              <w:rPr>
                <w:rStyle w:val="67"/>
                <w:lang w:val="en-US" w:eastAsia="zh-CN" w:bidi="ar"/>
              </w:rPr>
              <w:t xml:space="preserve">  1 </w:t>
            </w:r>
            <w:r>
              <w:rPr>
                <w:rFonts w:hint="eastAsia" w:ascii="宋体" w:hAnsi="宋体" w:eastAsia="宋体" w:cs="宋体"/>
                <w:i w:val="0"/>
                <w:iCs w:val="0"/>
                <w:color w:val="000000"/>
                <w:kern w:val="0"/>
                <w:sz w:val="21"/>
                <w:szCs w:val="21"/>
                <w:u w:val="none"/>
                <w:lang w:val="en-US" w:eastAsia="zh-CN" w:bidi="ar"/>
              </w:rPr>
              <w:t>分，不承诺的不得分。</w:t>
            </w:r>
          </w:p>
        </w:tc>
        <w:tc>
          <w:tcPr>
            <w:tcW w:w="1410" w:type="dxa"/>
            <w:vMerge w:val="restart"/>
            <w:tcBorders>
              <w:top w:val="single" w:color="000000" w:sz="8" w:space="0"/>
              <w:left w:val="single" w:color="000000" w:sz="8" w:space="0"/>
              <w:bottom w:val="single" w:color="000000" w:sz="8" w:space="0"/>
              <w:right w:val="single" w:color="000000" w:sz="12" w:space="0"/>
            </w:tcBorders>
            <w:noWrap w:val="0"/>
            <w:vAlign w:val="center"/>
          </w:tcPr>
          <w:p w14:paraId="6C6011E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AE2F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75" w:type="dxa"/>
            <w:vMerge w:val="continue"/>
            <w:tcBorders>
              <w:top w:val="single" w:color="000000" w:sz="8" w:space="0"/>
              <w:left w:val="single" w:color="000000" w:sz="12" w:space="0"/>
              <w:bottom w:val="single" w:color="000000" w:sz="8" w:space="0"/>
              <w:right w:val="single" w:color="000000" w:sz="8" w:space="0"/>
            </w:tcBorders>
            <w:noWrap w:val="0"/>
            <w:vAlign w:val="center"/>
          </w:tcPr>
          <w:p w14:paraId="402264DA">
            <w:pPr>
              <w:jc w:val="center"/>
              <w:rPr>
                <w:rFonts w:hint="eastAsia" w:ascii="宋体" w:hAnsi="宋体" w:eastAsia="宋体" w:cs="宋体"/>
                <w:i w:val="0"/>
                <w:iCs w:val="0"/>
                <w:color w:val="000000"/>
                <w:sz w:val="21"/>
                <w:szCs w:val="21"/>
                <w:u w:val="none"/>
              </w:rPr>
            </w:pPr>
          </w:p>
        </w:tc>
        <w:tc>
          <w:tcPr>
            <w:tcW w:w="1725" w:type="dxa"/>
            <w:vMerge w:val="continue"/>
            <w:tcBorders>
              <w:top w:val="single" w:color="000000" w:sz="8" w:space="0"/>
              <w:left w:val="single" w:color="000000" w:sz="8" w:space="0"/>
              <w:bottom w:val="single" w:color="000000" w:sz="8" w:space="0"/>
              <w:right w:val="single" w:color="000000" w:sz="8" w:space="0"/>
            </w:tcBorders>
            <w:noWrap w:val="0"/>
            <w:vAlign w:val="center"/>
          </w:tcPr>
          <w:p w14:paraId="63568425">
            <w:pPr>
              <w:jc w:val="center"/>
              <w:rPr>
                <w:rFonts w:hint="eastAsia" w:ascii="宋体" w:hAnsi="宋体" w:eastAsia="宋体" w:cs="宋体"/>
                <w:i w:val="0"/>
                <w:iCs w:val="0"/>
                <w:color w:val="000000"/>
                <w:sz w:val="21"/>
                <w:szCs w:val="21"/>
                <w:u w:val="none"/>
              </w:rPr>
            </w:pPr>
          </w:p>
        </w:tc>
        <w:tc>
          <w:tcPr>
            <w:tcW w:w="4320" w:type="dxa"/>
            <w:vMerge w:val="continue"/>
            <w:tcBorders>
              <w:top w:val="single" w:color="000000" w:sz="8" w:space="0"/>
              <w:left w:val="single" w:color="000000" w:sz="8" w:space="0"/>
              <w:bottom w:val="single" w:color="000000" w:sz="8" w:space="0"/>
              <w:right w:val="single" w:color="000000" w:sz="8" w:space="0"/>
            </w:tcBorders>
            <w:noWrap w:val="0"/>
            <w:vAlign w:val="center"/>
          </w:tcPr>
          <w:p w14:paraId="497CB418">
            <w:pPr>
              <w:jc w:val="both"/>
              <w:rPr>
                <w:rFonts w:hint="eastAsia" w:ascii="宋体" w:hAnsi="宋体" w:eastAsia="宋体" w:cs="宋体"/>
                <w:i w:val="0"/>
                <w:iCs w:val="0"/>
                <w:color w:val="000000"/>
                <w:sz w:val="21"/>
                <w:szCs w:val="21"/>
                <w:u w:val="none"/>
              </w:rPr>
            </w:pPr>
          </w:p>
        </w:tc>
        <w:tc>
          <w:tcPr>
            <w:tcW w:w="1410" w:type="dxa"/>
            <w:vMerge w:val="continue"/>
            <w:tcBorders>
              <w:top w:val="single" w:color="000000" w:sz="8" w:space="0"/>
              <w:left w:val="single" w:color="000000" w:sz="8" w:space="0"/>
              <w:bottom w:val="single" w:color="000000" w:sz="8" w:space="0"/>
              <w:right w:val="single" w:color="000000" w:sz="12" w:space="0"/>
            </w:tcBorders>
            <w:noWrap w:val="0"/>
            <w:vAlign w:val="center"/>
          </w:tcPr>
          <w:p w14:paraId="1F4173B0">
            <w:pPr>
              <w:jc w:val="center"/>
              <w:rPr>
                <w:rFonts w:hint="default" w:ascii="Times New Roman" w:hAnsi="Times New Roman" w:eastAsia="宋体" w:cs="Times New Roman"/>
                <w:i w:val="0"/>
                <w:iCs w:val="0"/>
                <w:color w:val="000000"/>
                <w:sz w:val="21"/>
                <w:szCs w:val="21"/>
                <w:u w:val="none"/>
              </w:rPr>
            </w:pPr>
          </w:p>
        </w:tc>
      </w:tr>
      <w:tr w14:paraId="3D27E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575" w:type="dxa"/>
            <w:vMerge w:val="continue"/>
            <w:tcBorders>
              <w:top w:val="single" w:color="000000" w:sz="8" w:space="0"/>
              <w:left w:val="single" w:color="000000" w:sz="12" w:space="0"/>
              <w:bottom w:val="single" w:color="000000" w:sz="8" w:space="0"/>
              <w:right w:val="single" w:color="000000" w:sz="8" w:space="0"/>
            </w:tcBorders>
            <w:noWrap w:val="0"/>
            <w:vAlign w:val="center"/>
          </w:tcPr>
          <w:p w14:paraId="638566A9">
            <w:pPr>
              <w:jc w:val="center"/>
              <w:rPr>
                <w:rFonts w:hint="eastAsia" w:ascii="宋体" w:hAnsi="宋体" w:eastAsia="宋体" w:cs="宋体"/>
                <w:i w:val="0"/>
                <w:iCs w:val="0"/>
                <w:color w:val="000000"/>
                <w:sz w:val="21"/>
                <w:szCs w:val="21"/>
                <w:u w:val="none"/>
              </w:rPr>
            </w:pPr>
          </w:p>
        </w:tc>
        <w:tc>
          <w:tcPr>
            <w:tcW w:w="1725" w:type="dxa"/>
            <w:vMerge w:val="restart"/>
            <w:tcBorders>
              <w:top w:val="single" w:color="000000" w:sz="8" w:space="0"/>
              <w:left w:val="single" w:color="000000" w:sz="8" w:space="0"/>
              <w:bottom w:val="single" w:color="000000" w:sz="8" w:space="0"/>
              <w:right w:val="single" w:color="000000" w:sz="8" w:space="0"/>
            </w:tcBorders>
            <w:noWrap w:val="0"/>
            <w:vAlign w:val="center"/>
          </w:tcPr>
          <w:p w14:paraId="189485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投标银行服务网点情况及服务方案</w:t>
            </w: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3F1F3D7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 地理位置便捷，最终服务网点与招标人（杭州市萧山区南秀路2699号）距离</w:t>
            </w: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公里内得</w:t>
            </w:r>
            <w:r>
              <w:rPr>
                <w:rFonts w:hint="eastAsia" w:ascii="宋体" w:hAnsi="宋体" w:eastAsia="宋体" w:cs="宋体"/>
                <w:i w:val="0"/>
                <w:iCs w:val="0"/>
                <w:color w:val="000000"/>
                <w:kern w:val="0"/>
                <w:sz w:val="21"/>
                <w:szCs w:val="21"/>
                <w:u w:val="single"/>
                <w:lang w:val="en-US" w:eastAsia="zh-CN" w:bidi="ar"/>
              </w:rPr>
              <w:t xml:space="preserve"> 3 </w:t>
            </w:r>
            <w:r>
              <w:rPr>
                <w:rStyle w:val="64"/>
                <w:lang w:val="en-US" w:eastAsia="zh-CN" w:bidi="ar"/>
              </w:rPr>
              <w:t>分，</w:t>
            </w:r>
            <w:r>
              <w:rPr>
                <w:rStyle w:val="64"/>
                <w:rFonts w:hint="eastAsia"/>
                <w:lang w:val="en-US" w:eastAsia="zh-CN" w:bidi="ar"/>
              </w:rPr>
              <w:t>5</w:t>
            </w:r>
            <w:r>
              <w:rPr>
                <w:rStyle w:val="64"/>
                <w:lang w:val="en-US" w:eastAsia="zh-CN" w:bidi="ar"/>
              </w:rPr>
              <w:t xml:space="preserve"> 公里以内得2分，</w:t>
            </w:r>
            <w:r>
              <w:rPr>
                <w:rStyle w:val="64"/>
                <w:rFonts w:hint="eastAsia"/>
                <w:lang w:val="en-US" w:eastAsia="zh-CN" w:bidi="ar"/>
              </w:rPr>
              <w:t>10</w:t>
            </w:r>
            <w:r>
              <w:rPr>
                <w:rStyle w:val="64"/>
                <w:lang w:val="en-US" w:eastAsia="zh-CN" w:bidi="ar"/>
              </w:rPr>
              <w:t>公里以外得1分；（以百度地图自驾车线路公里数为准，需提供路径图片）；</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0B04DF4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18160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8" w:hRule="atLeast"/>
        </w:trPr>
        <w:tc>
          <w:tcPr>
            <w:tcW w:w="1575" w:type="dxa"/>
            <w:vMerge w:val="continue"/>
            <w:tcBorders>
              <w:top w:val="single" w:color="000000" w:sz="8" w:space="0"/>
              <w:left w:val="single" w:color="000000" w:sz="12" w:space="0"/>
              <w:bottom w:val="single" w:color="000000" w:sz="8" w:space="0"/>
              <w:right w:val="single" w:color="000000" w:sz="8" w:space="0"/>
            </w:tcBorders>
            <w:noWrap w:val="0"/>
            <w:vAlign w:val="center"/>
          </w:tcPr>
          <w:p w14:paraId="67B571D1">
            <w:pPr>
              <w:jc w:val="center"/>
              <w:rPr>
                <w:rFonts w:hint="eastAsia" w:ascii="宋体" w:hAnsi="宋体" w:eastAsia="宋体" w:cs="宋体"/>
                <w:i w:val="0"/>
                <w:iCs w:val="0"/>
                <w:color w:val="000000"/>
                <w:sz w:val="21"/>
                <w:szCs w:val="21"/>
                <w:u w:val="none"/>
              </w:rPr>
            </w:pPr>
          </w:p>
        </w:tc>
        <w:tc>
          <w:tcPr>
            <w:tcW w:w="1725" w:type="dxa"/>
            <w:vMerge w:val="continue"/>
            <w:tcBorders>
              <w:top w:val="single" w:color="000000" w:sz="8" w:space="0"/>
              <w:left w:val="single" w:color="000000" w:sz="8" w:space="0"/>
              <w:bottom w:val="single" w:color="000000" w:sz="8" w:space="0"/>
              <w:right w:val="single" w:color="000000" w:sz="8" w:space="0"/>
            </w:tcBorders>
            <w:noWrap w:val="0"/>
            <w:vAlign w:val="center"/>
          </w:tcPr>
          <w:p w14:paraId="4919A59A">
            <w:pPr>
              <w:jc w:val="center"/>
              <w:rPr>
                <w:rFonts w:hint="eastAsia" w:ascii="宋体" w:hAnsi="宋体" w:eastAsia="宋体" w:cs="宋体"/>
                <w:i w:val="0"/>
                <w:iCs w:val="0"/>
                <w:color w:val="000000"/>
                <w:sz w:val="21"/>
                <w:szCs w:val="21"/>
                <w:u w:val="none"/>
              </w:rPr>
            </w:pP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5FED0A7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②萧山区内（不含大江东区域）设网点数，具有20个（含）及以上人工网点的，得3分，10个（含）-20个人工网点的，得2分，10个以下得1分。（要求提供人工网点清单及营业执照复印件，无证明材料的不得分。）</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3729EC2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46EBE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575" w:type="dxa"/>
            <w:vMerge w:val="continue"/>
            <w:tcBorders>
              <w:top w:val="single" w:color="000000" w:sz="8" w:space="0"/>
              <w:left w:val="single" w:color="000000" w:sz="12" w:space="0"/>
              <w:bottom w:val="single" w:color="000000" w:sz="8" w:space="0"/>
              <w:right w:val="single" w:color="000000" w:sz="8" w:space="0"/>
            </w:tcBorders>
            <w:noWrap w:val="0"/>
            <w:vAlign w:val="center"/>
          </w:tcPr>
          <w:p w14:paraId="4715F140">
            <w:pPr>
              <w:jc w:val="center"/>
              <w:rPr>
                <w:rFonts w:hint="eastAsia" w:ascii="宋体" w:hAnsi="宋体" w:eastAsia="宋体" w:cs="宋体"/>
                <w:i w:val="0"/>
                <w:iCs w:val="0"/>
                <w:color w:val="000000"/>
                <w:sz w:val="21"/>
                <w:szCs w:val="21"/>
                <w:u w:val="none"/>
              </w:rPr>
            </w:pPr>
          </w:p>
        </w:tc>
        <w:tc>
          <w:tcPr>
            <w:tcW w:w="1725" w:type="dxa"/>
            <w:vMerge w:val="continue"/>
            <w:tcBorders>
              <w:top w:val="single" w:color="000000" w:sz="8" w:space="0"/>
              <w:left w:val="single" w:color="000000" w:sz="8" w:space="0"/>
              <w:bottom w:val="single" w:color="000000" w:sz="8" w:space="0"/>
              <w:right w:val="single" w:color="000000" w:sz="8" w:space="0"/>
            </w:tcBorders>
            <w:noWrap w:val="0"/>
            <w:vAlign w:val="center"/>
          </w:tcPr>
          <w:p w14:paraId="4693F52B">
            <w:pPr>
              <w:jc w:val="center"/>
              <w:rPr>
                <w:rFonts w:hint="eastAsia" w:ascii="宋体" w:hAnsi="宋体" w:eastAsia="宋体" w:cs="宋体"/>
                <w:i w:val="0"/>
                <w:iCs w:val="0"/>
                <w:color w:val="000000"/>
                <w:sz w:val="21"/>
                <w:szCs w:val="21"/>
                <w:u w:val="none"/>
              </w:rPr>
            </w:pP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7561C6A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②上门服务：投标人有专车接送对账单和票据，根据招标人需求及时提供上门业务的得</w:t>
            </w:r>
            <w:r>
              <w:rPr>
                <w:rStyle w:val="63"/>
                <w:rFonts w:eastAsia="宋体"/>
                <w:lang w:val="en-US" w:eastAsia="zh-CN" w:bidi="ar"/>
              </w:rPr>
              <w:t xml:space="preserve"> 1 </w:t>
            </w:r>
            <w:r>
              <w:rPr>
                <w:rStyle w:val="64"/>
                <w:lang w:val="en-US" w:eastAsia="zh-CN" w:bidi="ar"/>
              </w:rPr>
              <w:t>分；没有不得分。</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1D03CF9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52C2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575" w:type="dxa"/>
            <w:vMerge w:val="continue"/>
            <w:tcBorders>
              <w:top w:val="single" w:color="000000" w:sz="8" w:space="0"/>
              <w:left w:val="single" w:color="000000" w:sz="12" w:space="0"/>
              <w:bottom w:val="single" w:color="000000" w:sz="8" w:space="0"/>
              <w:right w:val="single" w:color="000000" w:sz="8" w:space="0"/>
            </w:tcBorders>
            <w:noWrap w:val="0"/>
            <w:vAlign w:val="center"/>
          </w:tcPr>
          <w:p w14:paraId="27155ABB">
            <w:pPr>
              <w:jc w:val="center"/>
              <w:rPr>
                <w:rFonts w:hint="eastAsia" w:ascii="宋体" w:hAnsi="宋体" w:eastAsia="宋体" w:cs="宋体"/>
                <w:i w:val="0"/>
                <w:iCs w:val="0"/>
                <w:color w:val="000000"/>
                <w:sz w:val="21"/>
                <w:szCs w:val="21"/>
                <w:u w:val="none"/>
              </w:rPr>
            </w:pPr>
          </w:p>
        </w:tc>
        <w:tc>
          <w:tcPr>
            <w:tcW w:w="1725" w:type="dxa"/>
            <w:tcBorders>
              <w:top w:val="single" w:color="000000" w:sz="8" w:space="0"/>
              <w:left w:val="single" w:color="000000" w:sz="8" w:space="0"/>
              <w:bottom w:val="single" w:color="000000" w:sz="8" w:space="0"/>
              <w:right w:val="single" w:color="000000" w:sz="8" w:space="0"/>
            </w:tcBorders>
            <w:noWrap w:val="0"/>
            <w:vAlign w:val="center"/>
          </w:tcPr>
          <w:p w14:paraId="673556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服务费用减免等银行服务优惠措施</w:t>
            </w: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17714E7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根据提供的服务费用情况及优惠措施进行综合评分（提供一般业务服务费用清单，并明确是否全免）</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79B4D0C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39CF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575" w:type="dxa"/>
            <w:vMerge w:val="continue"/>
            <w:tcBorders>
              <w:top w:val="single" w:color="000000" w:sz="8" w:space="0"/>
              <w:left w:val="single" w:color="000000" w:sz="12" w:space="0"/>
              <w:bottom w:val="single" w:color="000000" w:sz="8" w:space="0"/>
              <w:right w:val="single" w:color="000000" w:sz="8" w:space="0"/>
            </w:tcBorders>
            <w:noWrap w:val="0"/>
            <w:vAlign w:val="center"/>
          </w:tcPr>
          <w:p w14:paraId="013E5CE4">
            <w:pPr>
              <w:jc w:val="center"/>
              <w:rPr>
                <w:rFonts w:hint="eastAsia" w:ascii="宋体" w:hAnsi="宋体" w:eastAsia="宋体" w:cs="宋体"/>
                <w:i w:val="0"/>
                <w:iCs w:val="0"/>
                <w:color w:val="000000"/>
                <w:sz w:val="21"/>
                <w:szCs w:val="21"/>
                <w:u w:val="none"/>
              </w:rPr>
            </w:pPr>
          </w:p>
        </w:tc>
        <w:tc>
          <w:tcPr>
            <w:tcW w:w="1725" w:type="dxa"/>
            <w:tcBorders>
              <w:top w:val="single" w:color="000000" w:sz="8" w:space="0"/>
              <w:left w:val="single" w:color="000000" w:sz="8" w:space="0"/>
              <w:bottom w:val="single" w:color="000000" w:sz="8" w:space="0"/>
              <w:right w:val="single" w:color="000000" w:sz="8" w:space="0"/>
            </w:tcBorders>
            <w:noWrap w:val="0"/>
            <w:vAlign w:val="center"/>
          </w:tcPr>
          <w:p w14:paraId="16DB14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以往服务经验</w:t>
            </w: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0B2B688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2023</w:t>
            </w:r>
            <w:r>
              <w:rPr>
                <w:rFonts w:hint="eastAsia" w:ascii="宋体" w:hAnsi="宋体" w:eastAsia="宋体" w:cs="宋体"/>
                <w:i w:val="0"/>
                <w:iCs w:val="0"/>
                <w:color w:val="000000"/>
                <w:kern w:val="0"/>
                <w:sz w:val="21"/>
                <w:szCs w:val="21"/>
                <w:u w:val="none"/>
                <w:lang w:val="en-US" w:eastAsia="zh-CN" w:bidi="ar"/>
              </w:rPr>
              <w:t>年以来，竞标银行在萧山区行政事业单位具有党费账户开户经验的，每一个开户证明得1分，满分3分（提供开户许可证或中标通知书，加盖公章）</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28868D7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6F3FE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1575" w:type="dxa"/>
            <w:vMerge w:val="restart"/>
            <w:tcBorders>
              <w:top w:val="single" w:color="000000" w:sz="8" w:space="0"/>
              <w:left w:val="single" w:color="000000" w:sz="12" w:space="0"/>
              <w:bottom w:val="single" w:color="000000" w:sz="8" w:space="0"/>
              <w:right w:val="single" w:color="000000" w:sz="8" w:space="0"/>
            </w:tcBorders>
            <w:noWrap w:val="0"/>
            <w:vAlign w:val="center"/>
          </w:tcPr>
          <w:p w14:paraId="6572E3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经济发展贡献指标（</w:t>
            </w:r>
            <w:r>
              <w:rPr>
                <w:rStyle w:val="63"/>
                <w:rFonts w:eastAsia="宋体"/>
                <w:lang w:val="en-US" w:eastAsia="zh-CN" w:bidi="ar"/>
              </w:rPr>
              <w:t>3</w:t>
            </w:r>
            <w:r>
              <w:rPr>
                <w:rStyle w:val="63"/>
                <w:rFonts w:hint="eastAsia"/>
                <w:lang w:val="en-US" w:eastAsia="zh-CN" w:bidi="ar"/>
              </w:rPr>
              <w:t>0</w:t>
            </w:r>
            <w:r>
              <w:rPr>
                <w:rStyle w:val="64"/>
                <w:lang w:val="en-US" w:eastAsia="zh-CN" w:bidi="ar"/>
              </w:rPr>
              <w:t>）</w:t>
            </w:r>
          </w:p>
        </w:tc>
        <w:tc>
          <w:tcPr>
            <w:tcW w:w="1725" w:type="dxa"/>
            <w:tcBorders>
              <w:top w:val="single" w:color="000000" w:sz="8" w:space="0"/>
              <w:left w:val="single" w:color="000000" w:sz="8" w:space="0"/>
              <w:bottom w:val="single" w:color="000000" w:sz="8" w:space="0"/>
              <w:right w:val="single" w:color="000000" w:sz="8" w:space="0"/>
            </w:tcBorders>
            <w:noWrap w:val="0"/>
            <w:vAlign w:val="center"/>
          </w:tcPr>
          <w:p w14:paraId="3D228F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年度贡献评价结果指标</w:t>
            </w: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03EF323B">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w:t>
            </w:r>
            <w:r>
              <w:rPr>
                <w:rFonts w:hint="eastAsia" w:cs="Times New Roman"/>
                <w:i w:val="0"/>
                <w:iCs w:val="0"/>
                <w:color w:val="000000"/>
                <w:kern w:val="0"/>
                <w:sz w:val="21"/>
                <w:szCs w:val="21"/>
                <w:u w:val="none"/>
                <w:lang w:val="en-US" w:eastAsia="zh-CN" w:bidi="ar"/>
              </w:rPr>
              <w:t>3</w:t>
            </w:r>
            <w:r>
              <w:rPr>
                <w:rStyle w:val="64"/>
                <w:lang w:val="en-US" w:eastAsia="zh-CN" w:bidi="ar"/>
              </w:rPr>
              <w:t>年度在萧银行机构金融机构支持萧山经济社会发展情况，一等奖得</w:t>
            </w:r>
            <w:r>
              <w:rPr>
                <w:rFonts w:hint="eastAsia" w:ascii="宋体" w:hAnsi="宋体" w:eastAsia="宋体" w:cs="宋体"/>
                <w:i w:val="0"/>
                <w:iCs w:val="0"/>
                <w:color w:val="000000"/>
                <w:kern w:val="0"/>
                <w:sz w:val="21"/>
                <w:szCs w:val="21"/>
                <w:u w:val="single"/>
                <w:lang w:val="en-US" w:eastAsia="zh-CN" w:bidi="ar"/>
              </w:rPr>
              <w:t xml:space="preserve"> </w:t>
            </w:r>
            <w:r>
              <w:rPr>
                <w:rFonts w:hint="default" w:ascii="Times New Roman" w:hAnsi="Times New Roman" w:eastAsia="宋体" w:cs="Times New Roman"/>
                <w:i w:val="0"/>
                <w:iCs w:val="0"/>
                <w:color w:val="000000"/>
                <w:kern w:val="0"/>
                <w:sz w:val="21"/>
                <w:szCs w:val="21"/>
                <w:u w:val="single"/>
                <w:lang w:val="en-US" w:eastAsia="zh-CN" w:bidi="ar"/>
              </w:rPr>
              <w:t>6</w:t>
            </w:r>
            <w:r>
              <w:rPr>
                <w:rFonts w:hint="eastAsia" w:ascii="宋体" w:hAnsi="宋体" w:eastAsia="宋体" w:cs="宋体"/>
                <w:i w:val="0"/>
                <w:iCs w:val="0"/>
                <w:color w:val="000000"/>
                <w:kern w:val="0"/>
                <w:sz w:val="21"/>
                <w:szCs w:val="21"/>
                <w:u w:val="single"/>
                <w:lang w:val="en-US" w:eastAsia="zh-CN" w:bidi="ar"/>
              </w:rPr>
              <w:t xml:space="preserve"> </w:t>
            </w:r>
            <w:r>
              <w:rPr>
                <w:rStyle w:val="64"/>
                <w:lang w:val="en-US" w:eastAsia="zh-CN" w:bidi="ar"/>
              </w:rPr>
              <w:t xml:space="preserve">分，二等奖得 </w:t>
            </w:r>
            <w:r>
              <w:rPr>
                <w:rFonts w:hint="eastAsia" w:ascii="宋体" w:hAnsi="宋体" w:eastAsia="宋体" w:cs="宋体"/>
                <w:i w:val="0"/>
                <w:iCs w:val="0"/>
                <w:color w:val="000000"/>
                <w:kern w:val="0"/>
                <w:sz w:val="21"/>
                <w:szCs w:val="21"/>
                <w:u w:val="single"/>
                <w:lang w:val="en-US" w:eastAsia="zh-CN" w:bidi="ar"/>
              </w:rPr>
              <w:t xml:space="preserve">  </w:t>
            </w:r>
            <w:r>
              <w:rPr>
                <w:rFonts w:hint="default" w:ascii="Times New Roman" w:hAnsi="Times New Roman" w:eastAsia="宋体" w:cs="Times New Roman"/>
                <w:i w:val="0"/>
                <w:iCs w:val="0"/>
                <w:color w:val="000000"/>
                <w:kern w:val="0"/>
                <w:sz w:val="21"/>
                <w:szCs w:val="21"/>
                <w:u w:val="single"/>
                <w:lang w:val="en-US" w:eastAsia="zh-CN" w:bidi="ar"/>
              </w:rPr>
              <w:t>4</w:t>
            </w:r>
            <w:r>
              <w:rPr>
                <w:rFonts w:hint="eastAsia" w:ascii="宋体" w:hAnsi="宋体" w:eastAsia="宋体" w:cs="宋体"/>
                <w:i w:val="0"/>
                <w:iCs w:val="0"/>
                <w:color w:val="000000"/>
                <w:kern w:val="0"/>
                <w:sz w:val="21"/>
                <w:szCs w:val="21"/>
                <w:u w:val="single"/>
                <w:lang w:val="en-US" w:eastAsia="zh-CN" w:bidi="ar"/>
              </w:rPr>
              <w:t xml:space="preserve"> </w:t>
            </w:r>
            <w:r>
              <w:rPr>
                <w:rStyle w:val="64"/>
                <w:lang w:val="en-US" w:eastAsia="zh-CN" w:bidi="ar"/>
              </w:rPr>
              <w:t>分，三等奖得</w:t>
            </w:r>
            <w:r>
              <w:rPr>
                <w:rFonts w:hint="eastAsia" w:ascii="宋体" w:hAnsi="宋体" w:eastAsia="宋体" w:cs="宋体"/>
                <w:i w:val="0"/>
                <w:iCs w:val="0"/>
                <w:color w:val="000000"/>
                <w:kern w:val="0"/>
                <w:sz w:val="21"/>
                <w:szCs w:val="21"/>
                <w:u w:val="single"/>
                <w:lang w:val="en-US" w:eastAsia="zh-CN" w:bidi="ar"/>
              </w:rPr>
              <w:t xml:space="preserve">  </w:t>
            </w:r>
            <w:r>
              <w:rPr>
                <w:rFonts w:hint="default" w:ascii="Times New Roman" w:hAnsi="Times New Roman" w:eastAsia="宋体" w:cs="Times New Roman"/>
                <w:i w:val="0"/>
                <w:iCs w:val="0"/>
                <w:color w:val="000000"/>
                <w:kern w:val="0"/>
                <w:sz w:val="21"/>
                <w:szCs w:val="21"/>
                <w:u w:val="single"/>
                <w:lang w:val="en-US" w:eastAsia="zh-CN" w:bidi="ar"/>
              </w:rPr>
              <w:t>2</w:t>
            </w:r>
            <w:r>
              <w:rPr>
                <w:rFonts w:hint="eastAsia" w:ascii="宋体" w:hAnsi="宋体" w:eastAsia="宋体" w:cs="宋体"/>
                <w:i w:val="0"/>
                <w:iCs w:val="0"/>
                <w:color w:val="000000"/>
                <w:kern w:val="0"/>
                <w:sz w:val="21"/>
                <w:szCs w:val="21"/>
                <w:u w:val="single"/>
                <w:lang w:val="en-US" w:eastAsia="zh-CN" w:bidi="ar"/>
              </w:rPr>
              <w:t xml:space="preserve"> </w:t>
            </w:r>
            <w:r>
              <w:rPr>
                <w:rStyle w:val="64"/>
                <w:lang w:val="en-US" w:eastAsia="zh-CN" w:bidi="ar"/>
              </w:rPr>
              <w:t>分。（提供证明材料：</w:t>
            </w:r>
            <w:r>
              <w:rPr>
                <w:rStyle w:val="63"/>
                <w:lang w:val="en-US" w:eastAsia="zh-CN" w:bidi="ar"/>
              </w:rPr>
              <w:t>2023</w:t>
            </w:r>
            <w:r>
              <w:rPr>
                <w:rStyle w:val="64"/>
                <w:lang w:val="en-US" w:eastAsia="zh-CN" w:bidi="ar"/>
              </w:rPr>
              <w:t>年度萧山区银行业金融机构评价奖励）</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7D66A5F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r>
      <w:tr w14:paraId="49F0C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trPr>
        <w:tc>
          <w:tcPr>
            <w:tcW w:w="1575" w:type="dxa"/>
            <w:vMerge w:val="continue"/>
            <w:tcBorders>
              <w:top w:val="single" w:color="000000" w:sz="8" w:space="0"/>
              <w:left w:val="single" w:color="000000" w:sz="12" w:space="0"/>
              <w:bottom w:val="single" w:color="000000" w:sz="8" w:space="0"/>
              <w:right w:val="single" w:color="000000" w:sz="8" w:space="0"/>
            </w:tcBorders>
            <w:noWrap w:val="0"/>
            <w:vAlign w:val="center"/>
          </w:tcPr>
          <w:p w14:paraId="454B6717">
            <w:pPr>
              <w:jc w:val="center"/>
              <w:rPr>
                <w:rFonts w:hint="eastAsia" w:ascii="宋体" w:hAnsi="宋体" w:eastAsia="宋体" w:cs="宋体"/>
                <w:i w:val="0"/>
                <w:iCs w:val="0"/>
                <w:color w:val="000000"/>
                <w:sz w:val="21"/>
                <w:szCs w:val="21"/>
                <w:u w:val="none"/>
              </w:rPr>
            </w:pPr>
          </w:p>
        </w:tc>
        <w:tc>
          <w:tcPr>
            <w:tcW w:w="1725" w:type="dxa"/>
            <w:tcBorders>
              <w:top w:val="single" w:color="000000" w:sz="8" w:space="0"/>
              <w:left w:val="single" w:color="000000" w:sz="8" w:space="0"/>
              <w:bottom w:val="single" w:color="000000" w:sz="8" w:space="0"/>
              <w:right w:val="single" w:color="000000" w:sz="8" w:space="0"/>
            </w:tcBorders>
            <w:noWrap w:val="0"/>
            <w:vAlign w:val="center"/>
          </w:tcPr>
          <w:p w14:paraId="4A82542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2023</w:t>
            </w:r>
            <w:r>
              <w:rPr>
                <w:rStyle w:val="64"/>
                <w:lang w:val="en-US" w:eastAsia="zh-CN" w:bidi="ar"/>
              </w:rPr>
              <w:t>年在萧纳税情况</w:t>
            </w: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578FEDCE">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2023</w:t>
            </w:r>
            <w:r>
              <w:rPr>
                <w:rStyle w:val="64"/>
                <w:lang w:val="en-US" w:eastAsia="zh-CN" w:bidi="ar"/>
              </w:rPr>
              <w:t>年纳税总额（萧山区）排名进行评分，第一</w:t>
            </w:r>
            <w:r>
              <w:rPr>
                <w:rFonts w:hint="eastAsia" w:ascii="宋体" w:hAnsi="宋体" w:eastAsia="宋体" w:cs="宋体"/>
                <w:i w:val="0"/>
                <w:iCs w:val="0"/>
                <w:color w:val="000000"/>
                <w:kern w:val="0"/>
                <w:sz w:val="21"/>
                <w:szCs w:val="21"/>
                <w:u w:val="none"/>
                <w:lang w:val="en-US" w:eastAsia="zh-CN" w:bidi="ar"/>
              </w:rPr>
              <w:t>名</w:t>
            </w:r>
            <w:r>
              <w:rPr>
                <w:rStyle w:val="63"/>
                <w:rFonts w:hint="eastAsia"/>
                <w:lang w:val="en-US" w:eastAsia="zh-CN" w:bidi="ar"/>
              </w:rPr>
              <w:t>3</w:t>
            </w:r>
            <w:r>
              <w:rPr>
                <w:rFonts w:hint="eastAsia" w:ascii="宋体" w:hAnsi="宋体" w:eastAsia="宋体" w:cs="宋体"/>
                <w:i w:val="0"/>
                <w:iCs w:val="0"/>
                <w:color w:val="000000"/>
                <w:kern w:val="0"/>
                <w:sz w:val="21"/>
                <w:szCs w:val="21"/>
                <w:u w:val="none"/>
                <w:lang w:val="en-US" w:eastAsia="zh-CN" w:bidi="ar"/>
              </w:rPr>
              <w:t>分</w:t>
            </w:r>
            <w:r>
              <w:rPr>
                <w:rStyle w:val="64"/>
                <w:lang w:val="en-US" w:eastAsia="zh-CN" w:bidi="ar"/>
              </w:rPr>
              <w:t>，每降一名减</w:t>
            </w:r>
            <w:r>
              <w:rPr>
                <w:rStyle w:val="68"/>
                <w:rFonts w:eastAsia="宋体"/>
                <w:color w:val="000000"/>
                <w:lang w:val="en-US" w:eastAsia="zh-CN" w:bidi="ar"/>
              </w:rPr>
              <w:t>0.2</w:t>
            </w:r>
            <w:r>
              <w:rPr>
                <w:rStyle w:val="64"/>
                <w:lang w:val="en-US" w:eastAsia="zh-CN" w:bidi="ar"/>
              </w:rPr>
              <w:t>分，减完为止。（按排名减分，未在萧纳税的按最低名次计分。）</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11579E6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3</w:t>
            </w:r>
          </w:p>
        </w:tc>
      </w:tr>
      <w:tr w14:paraId="260C9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1575" w:type="dxa"/>
            <w:vMerge w:val="continue"/>
            <w:tcBorders>
              <w:top w:val="single" w:color="000000" w:sz="8" w:space="0"/>
              <w:left w:val="single" w:color="000000" w:sz="12" w:space="0"/>
              <w:bottom w:val="single" w:color="000000" w:sz="8" w:space="0"/>
              <w:right w:val="single" w:color="000000" w:sz="8" w:space="0"/>
            </w:tcBorders>
            <w:noWrap w:val="0"/>
            <w:vAlign w:val="center"/>
          </w:tcPr>
          <w:p w14:paraId="49B02E33">
            <w:pPr>
              <w:jc w:val="center"/>
              <w:rPr>
                <w:rFonts w:hint="eastAsia" w:ascii="宋体" w:hAnsi="宋体" w:eastAsia="宋体" w:cs="宋体"/>
                <w:i w:val="0"/>
                <w:iCs w:val="0"/>
                <w:color w:val="000000"/>
                <w:sz w:val="21"/>
                <w:szCs w:val="21"/>
                <w:u w:val="none"/>
              </w:rPr>
            </w:pPr>
          </w:p>
        </w:tc>
        <w:tc>
          <w:tcPr>
            <w:tcW w:w="1725" w:type="dxa"/>
            <w:tcBorders>
              <w:top w:val="single" w:color="000000" w:sz="8" w:space="0"/>
              <w:left w:val="single" w:color="000000" w:sz="8" w:space="0"/>
              <w:bottom w:val="single" w:color="000000" w:sz="8" w:space="0"/>
              <w:right w:val="single" w:color="000000" w:sz="8" w:space="0"/>
            </w:tcBorders>
            <w:noWrap w:val="0"/>
            <w:vAlign w:val="center"/>
          </w:tcPr>
          <w:p w14:paraId="679E79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在萧山的存贷款比（贷款</w:t>
            </w:r>
            <w:r>
              <w:rPr>
                <w:rStyle w:val="63"/>
                <w:rFonts w:eastAsia="宋体"/>
                <w:lang w:val="en-US" w:eastAsia="zh-CN" w:bidi="ar"/>
              </w:rPr>
              <w:t>/</w:t>
            </w:r>
            <w:r>
              <w:rPr>
                <w:rStyle w:val="64"/>
                <w:lang w:val="en-US" w:eastAsia="zh-CN" w:bidi="ar"/>
              </w:rPr>
              <w:t>存款比值）情况</w:t>
            </w: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597DB61E">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w:t>
            </w:r>
            <w:r>
              <w:rPr>
                <w:rFonts w:hint="eastAsia" w:cs="Times New Roman"/>
                <w:i w:val="0"/>
                <w:iCs w:val="0"/>
                <w:color w:val="000000"/>
                <w:kern w:val="0"/>
                <w:sz w:val="21"/>
                <w:szCs w:val="21"/>
                <w:u w:val="none"/>
                <w:lang w:val="en-US" w:eastAsia="zh-CN" w:bidi="ar"/>
              </w:rPr>
              <w:t>3</w:t>
            </w:r>
            <w:r>
              <w:rPr>
                <w:rStyle w:val="69"/>
                <w:lang w:val="en-US" w:eastAsia="zh-CN" w:bidi="ar"/>
              </w:rPr>
              <w:t>年在萧山存贷款比规模情况，比值在</w:t>
            </w:r>
            <w:r>
              <w:rPr>
                <w:rStyle w:val="63"/>
                <w:rFonts w:eastAsia="宋体"/>
                <w:lang w:val="en-US" w:eastAsia="zh-CN" w:bidi="ar"/>
              </w:rPr>
              <w:t>1.0</w:t>
            </w:r>
            <w:r>
              <w:rPr>
                <w:rStyle w:val="69"/>
                <w:lang w:val="en-US" w:eastAsia="zh-CN" w:bidi="ar"/>
              </w:rPr>
              <w:t>（含）以上得</w:t>
            </w:r>
            <w:r>
              <w:rPr>
                <w:rFonts w:hint="default" w:ascii="Times New Roman" w:hAnsi="Times New Roman" w:eastAsia="宋体" w:cs="Times New Roman"/>
                <w:i w:val="0"/>
                <w:iCs w:val="0"/>
                <w:color w:val="000000"/>
                <w:kern w:val="0"/>
                <w:sz w:val="21"/>
                <w:szCs w:val="21"/>
                <w:u w:val="single"/>
                <w:lang w:val="en-US" w:eastAsia="zh-CN" w:bidi="ar"/>
              </w:rPr>
              <w:t xml:space="preserve"> </w:t>
            </w:r>
            <w:r>
              <w:rPr>
                <w:rFonts w:hint="eastAsia" w:cs="Times New Roman"/>
                <w:i w:val="0"/>
                <w:iCs w:val="0"/>
                <w:color w:val="000000"/>
                <w:kern w:val="0"/>
                <w:sz w:val="21"/>
                <w:szCs w:val="21"/>
                <w:u w:val="single"/>
                <w:lang w:val="en-US" w:eastAsia="zh-CN" w:bidi="ar"/>
              </w:rPr>
              <w:t>4</w:t>
            </w:r>
            <w:r>
              <w:rPr>
                <w:rFonts w:hint="default" w:ascii="Times New Roman" w:hAnsi="Times New Roman" w:eastAsia="宋体" w:cs="Times New Roman"/>
                <w:i w:val="0"/>
                <w:iCs w:val="0"/>
                <w:color w:val="000000"/>
                <w:kern w:val="0"/>
                <w:sz w:val="21"/>
                <w:szCs w:val="21"/>
                <w:u w:val="single"/>
                <w:lang w:val="en-US" w:eastAsia="zh-CN" w:bidi="ar"/>
              </w:rPr>
              <w:t xml:space="preserve"> </w:t>
            </w:r>
            <w:r>
              <w:rPr>
                <w:rStyle w:val="69"/>
                <w:lang w:val="en-US" w:eastAsia="zh-CN" w:bidi="ar"/>
              </w:rPr>
              <w:t>分，比值在</w:t>
            </w:r>
            <w:r>
              <w:rPr>
                <w:rStyle w:val="63"/>
                <w:rFonts w:eastAsia="宋体"/>
                <w:lang w:val="en-US" w:eastAsia="zh-CN" w:bidi="ar"/>
              </w:rPr>
              <w:t>0.8</w:t>
            </w:r>
            <w:r>
              <w:rPr>
                <w:rStyle w:val="69"/>
                <w:lang w:val="en-US" w:eastAsia="zh-CN" w:bidi="ar"/>
              </w:rPr>
              <w:t>（含）</w:t>
            </w:r>
            <w:r>
              <w:rPr>
                <w:rStyle w:val="63"/>
                <w:rFonts w:eastAsia="宋体"/>
                <w:lang w:val="en-US" w:eastAsia="zh-CN" w:bidi="ar"/>
              </w:rPr>
              <w:t>-1.0</w:t>
            </w:r>
            <w:r>
              <w:rPr>
                <w:rStyle w:val="69"/>
                <w:lang w:val="en-US" w:eastAsia="zh-CN" w:bidi="ar"/>
              </w:rPr>
              <w:t>之间得</w:t>
            </w:r>
            <w:r>
              <w:rPr>
                <w:rFonts w:hint="default" w:ascii="Times New Roman" w:hAnsi="Times New Roman" w:eastAsia="宋体" w:cs="Times New Roman"/>
                <w:i w:val="0"/>
                <w:iCs w:val="0"/>
                <w:color w:val="000000"/>
                <w:kern w:val="0"/>
                <w:sz w:val="21"/>
                <w:szCs w:val="21"/>
                <w:u w:val="single"/>
                <w:lang w:val="en-US" w:eastAsia="zh-CN" w:bidi="ar"/>
              </w:rPr>
              <w:t xml:space="preserve"> </w:t>
            </w:r>
            <w:r>
              <w:rPr>
                <w:rFonts w:hint="eastAsia" w:cs="Times New Roman"/>
                <w:i w:val="0"/>
                <w:iCs w:val="0"/>
                <w:color w:val="000000"/>
                <w:kern w:val="0"/>
                <w:sz w:val="21"/>
                <w:szCs w:val="21"/>
                <w:u w:val="single"/>
                <w:lang w:val="en-US" w:eastAsia="zh-CN" w:bidi="ar"/>
              </w:rPr>
              <w:t>3</w:t>
            </w:r>
            <w:r>
              <w:rPr>
                <w:rFonts w:hint="default" w:ascii="Times New Roman" w:hAnsi="Times New Roman" w:eastAsia="宋体" w:cs="Times New Roman"/>
                <w:i w:val="0"/>
                <w:iCs w:val="0"/>
                <w:color w:val="000000"/>
                <w:kern w:val="0"/>
                <w:sz w:val="21"/>
                <w:szCs w:val="21"/>
                <w:u w:val="single"/>
                <w:lang w:val="en-US" w:eastAsia="zh-CN" w:bidi="ar"/>
              </w:rPr>
              <w:t xml:space="preserve"> </w:t>
            </w:r>
            <w:r>
              <w:rPr>
                <w:rStyle w:val="69"/>
                <w:lang w:val="en-US" w:eastAsia="zh-CN" w:bidi="ar"/>
              </w:rPr>
              <w:t>分，比值在</w:t>
            </w:r>
            <w:r>
              <w:rPr>
                <w:rStyle w:val="63"/>
                <w:rFonts w:eastAsia="宋体"/>
                <w:lang w:val="en-US" w:eastAsia="zh-CN" w:bidi="ar"/>
              </w:rPr>
              <w:t>0.8</w:t>
            </w:r>
            <w:r>
              <w:rPr>
                <w:rStyle w:val="69"/>
                <w:lang w:val="en-US" w:eastAsia="zh-CN" w:bidi="ar"/>
              </w:rPr>
              <w:t>以下得</w:t>
            </w:r>
            <w:r>
              <w:rPr>
                <w:rFonts w:hint="default" w:ascii="Times New Roman" w:hAnsi="Times New Roman" w:eastAsia="宋体" w:cs="Times New Roman"/>
                <w:i w:val="0"/>
                <w:iCs w:val="0"/>
                <w:color w:val="000000"/>
                <w:kern w:val="0"/>
                <w:sz w:val="21"/>
                <w:szCs w:val="21"/>
                <w:u w:val="single"/>
                <w:lang w:val="en-US" w:eastAsia="zh-CN" w:bidi="ar"/>
              </w:rPr>
              <w:t xml:space="preserve"> </w:t>
            </w:r>
            <w:r>
              <w:rPr>
                <w:rFonts w:hint="eastAsia" w:cs="Times New Roman"/>
                <w:i w:val="0"/>
                <w:iCs w:val="0"/>
                <w:color w:val="000000"/>
                <w:kern w:val="0"/>
                <w:sz w:val="21"/>
                <w:szCs w:val="21"/>
                <w:u w:val="single"/>
                <w:lang w:val="en-US" w:eastAsia="zh-CN" w:bidi="ar"/>
              </w:rPr>
              <w:t>2</w:t>
            </w:r>
            <w:r>
              <w:rPr>
                <w:rFonts w:hint="default" w:ascii="Times New Roman" w:hAnsi="Times New Roman" w:eastAsia="宋体" w:cs="Times New Roman"/>
                <w:i w:val="0"/>
                <w:iCs w:val="0"/>
                <w:color w:val="000000"/>
                <w:kern w:val="0"/>
                <w:sz w:val="21"/>
                <w:szCs w:val="21"/>
                <w:u w:val="single"/>
                <w:lang w:val="en-US" w:eastAsia="zh-CN" w:bidi="ar"/>
              </w:rPr>
              <w:t xml:space="preserve"> </w:t>
            </w:r>
            <w:r>
              <w:rPr>
                <w:rStyle w:val="69"/>
                <w:lang w:val="en-US" w:eastAsia="zh-CN" w:bidi="ar"/>
              </w:rPr>
              <w:t>分。</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415C9F4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4</w:t>
            </w:r>
          </w:p>
        </w:tc>
      </w:tr>
      <w:tr w14:paraId="70369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trPr>
        <w:tc>
          <w:tcPr>
            <w:tcW w:w="1575" w:type="dxa"/>
            <w:vMerge w:val="continue"/>
            <w:tcBorders>
              <w:top w:val="single" w:color="000000" w:sz="8" w:space="0"/>
              <w:left w:val="single" w:color="000000" w:sz="12" w:space="0"/>
              <w:bottom w:val="single" w:color="000000" w:sz="8" w:space="0"/>
              <w:right w:val="single" w:color="000000" w:sz="8" w:space="0"/>
            </w:tcBorders>
            <w:noWrap w:val="0"/>
            <w:vAlign w:val="center"/>
          </w:tcPr>
          <w:p w14:paraId="68246389">
            <w:pPr>
              <w:jc w:val="center"/>
              <w:rPr>
                <w:rFonts w:hint="eastAsia" w:ascii="宋体" w:hAnsi="宋体" w:eastAsia="宋体" w:cs="宋体"/>
                <w:i w:val="0"/>
                <w:iCs w:val="0"/>
                <w:color w:val="000000"/>
                <w:sz w:val="21"/>
                <w:szCs w:val="21"/>
                <w:u w:val="none"/>
              </w:rPr>
            </w:pPr>
          </w:p>
        </w:tc>
        <w:tc>
          <w:tcPr>
            <w:tcW w:w="1725" w:type="dxa"/>
            <w:tcBorders>
              <w:top w:val="single" w:color="000000" w:sz="8" w:space="0"/>
              <w:left w:val="single" w:color="000000" w:sz="8" w:space="0"/>
              <w:bottom w:val="single" w:color="000000" w:sz="8" w:space="0"/>
              <w:right w:val="single" w:color="000000" w:sz="8" w:space="0"/>
            </w:tcBorders>
            <w:noWrap w:val="0"/>
            <w:vAlign w:val="center"/>
          </w:tcPr>
          <w:p w14:paraId="3AD0658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非税收缴代理情况</w:t>
            </w: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02A1B3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w:t>
            </w:r>
            <w:r>
              <w:rPr>
                <w:rStyle w:val="65"/>
                <w:rFonts w:eastAsia="宋体"/>
                <w:lang w:val="en-US" w:eastAsia="zh-CN" w:bidi="ar"/>
              </w:rPr>
              <w:t>202</w:t>
            </w:r>
            <w:r>
              <w:rPr>
                <w:rStyle w:val="65"/>
                <w:rFonts w:hint="eastAsia"/>
                <w:lang w:val="en-US" w:eastAsia="zh-CN" w:bidi="ar"/>
              </w:rPr>
              <w:t>3</w:t>
            </w:r>
            <w:r>
              <w:rPr>
                <w:rStyle w:val="64"/>
                <w:lang w:val="en-US" w:eastAsia="zh-CN" w:bidi="ar"/>
              </w:rPr>
              <w:t>年度萧山区非税收缴代理业务情况，按</w:t>
            </w:r>
            <w:r>
              <w:rPr>
                <w:rStyle w:val="65"/>
                <w:rFonts w:eastAsia="宋体"/>
                <w:lang w:val="en-US" w:eastAsia="zh-CN" w:bidi="ar"/>
              </w:rPr>
              <w:t>202</w:t>
            </w:r>
            <w:r>
              <w:rPr>
                <w:rStyle w:val="65"/>
                <w:rFonts w:hint="eastAsia"/>
                <w:lang w:val="en-US" w:eastAsia="zh-CN" w:bidi="ar"/>
              </w:rPr>
              <w:t>3</w:t>
            </w:r>
            <w:r>
              <w:rPr>
                <w:rStyle w:val="64"/>
                <w:lang w:val="en-US" w:eastAsia="zh-CN" w:bidi="ar"/>
              </w:rPr>
              <w:t>年代缴笔数排名，最多的得3分，每降一名减0.5分，减完为止。</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446A50A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1626F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trPr>
        <w:tc>
          <w:tcPr>
            <w:tcW w:w="1575" w:type="dxa"/>
            <w:vMerge w:val="continue"/>
            <w:tcBorders>
              <w:top w:val="single" w:color="000000" w:sz="8" w:space="0"/>
              <w:left w:val="single" w:color="000000" w:sz="12" w:space="0"/>
              <w:bottom w:val="single" w:color="000000" w:sz="8" w:space="0"/>
              <w:right w:val="single" w:color="000000" w:sz="8" w:space="0"/>
            </w:tcBorders>
            <w:noWrap w:val="0"/>
            <w:vAlign w:val="center"/>
          </w:tcPr>
          <w:p w14:paraId="298938A9">
            <w:pPr>
              <w:jc w:val="center"/>
              <w:rPr>
                <w:rFonts w:hint="eastAsia" w:ascii="宋体" w:hAnsi="宋体" w:eastAsia="宋体" w:cs="宋体"/>
                <w:i w:val="0"/>
                <w:iCs w:val="0"/>
                <w:color w:val="000000"/>
                <w:sz w:val="21"/>
                <w:szCs w:val="21"/>
                <w:u w:val="none"/>
              </w:rPr>
            </w:pPr>
          </w:p>
        </w:tc>
        <w:tc>
          <w:tcPr>
            <w:tcW w:w="1725" w:type="dxa"/>
            <w:vMerge w:val="restart"/>
            <w:tcBorders>
              <w:top w:val="single" w:color="000000" w:sz="8" w:space="0"/>
              <w:left w:val="single" w:color="000000" w:sz="8" w:space="0"/>
              <w:bottom w:val="single" w:color="000000" w:sz="8" w:space="0"/>
              <w:right w:val="single" w:color="000000" w:sz="8" w:space="0"/>
            </w:tcBorders>
            <w:noWrap w:val="0"/>
            <w:vAlign w:val="center"/>
          </w:tcPr>
          <w:p w14:paraId="607391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绿色贷款</w:t>
            </w: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3A9D5FF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2023</w:t>
            </w:r>
            <w:r>
              <w:rPr>
                <w:rFonts w:hint="eastAsia" w:ascii="宋体" w:hAnsi="宋体" w:eastAsia="宋体" w:cs="宋体"/>
                <w:i w:val="0"/>
                <w:iCs w:val="0"/>
                <w:color w:val="000000"/>
                <w:kern w:val="0"/>
                <w:sz w:val="21"/>
                <w:szCs w:val="21"/>
                <w:u w:val="none"/>
                <w:lang w:val="en-US" w:eastAsia="zh-CN" w:bidi="ar"/>
              </w:rPr>
              <w:t>年萧山区绿色贷款余额情况，根据萧山区绿色贷款余额最多的为满分5分，每降一个名次扣0.5分，扣完为止。</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7DD457C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182DA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575" w:type="dxa"/>
            <w:vMerge w:val="continue"/>
            <w:tcBorders>
              <w:top w:val="single" w:color="000000" w:sz="8" w:space="0"/>
              <w:left w:val="single" w:color="000000" w:sz="12" w:space="0"/>
              <w:bottom w:val="single" w:color="000000" w:sz="8" w:space="0"/>
              <w:right w:val="single" w:color="000000" w:sz="8" w:space="0"/>
            </w:tcBorders>
            <w:noWrap w:val="0"/>
            <w:vAlign w:val="center"/>
          </w:tcPr>
          <w:p w14:paraId="6A45345B">
            <w:pPr>
              <w:jc w:val="center"/>
              <w:rPr>
                <w:rFonts w:hint="eastAsia" w:ascii="宋体" w:hAnsi="宋体" w:eastAsia="宋体" w:cs="宋体"/>
                <w:i w:val="0"/>
                <w:iCs w:val="0"/>
                <w:color w:val="000000"/>
                <w:sz w:val="21"/>
                <w:szCs w:val="21"/>
                <w:u w:val="none"/>
              </w:rPr>
            </w:pPr>
          </w:p>
        </w:tc>
        <w:tc>
          <w:tcPr>
            <w:tcW w:w="1725" w:type="dxa"/>
            <w:vMerge w:val="continue"/>
            <w:tcBorders>
              <w:top w:val="single" w:color="000000" w:sz="8" w:space="0"/>
              <w:left w:val="single" w:color="000000" w:sz="8" w:space="0"/>
              <w:bottom w:val="single" w:color="000000" w:sz="8" w:space="0"/>
              <w:right w:val="single" w:color="000000" w:sz="8" w:space="0"/>
            </w:tcBorders>
            <w:noWrap w:val="0"/>
            <w:vAlign w:val="center"/>
          </w:tcPr>
          <w:p w14:paraId="40B08169">
            <w:pPr>
              <w:jc w:val="center"/>
              <w:rPr>
                <w:rFonts w:hint="eastAsia" w:ascii="宋体" w:hAnsi="宋体" w:eastAsia="宋体" w:cs="宋体"/>
                <w:i w:val="0"/>
                <w:iCs w:val="0"/>
                <w:color w:val="000000"/>
                <w:sz w:val="21"/>
                <w:szCs w:val="21"/>
                <w:u w:val="none"/>
              </w:rPr>
            </w:pP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0CCEADAE">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2023</w:t>
            </w:r>
            <w:r>
              <w:rPr>
                <w:rStyle w:val="64"/>
                <w:lang w:val="en-US" w:eastAsia="zh-CN" w:bidi="ar"/>
              </w:rPr>
              <w:t>年萧山区绿色贷款增量排名，根据萧山区绿色贷款余额最多的为满分5分，每降一个名次扣0.5分，扣完为止。</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44A0991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2BA42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575" w:type="dxa"/>
            <w:vMerge w:val="continue"/>
            <w:tcBorders>
              <w:top w:val="single" w:color="000000" w:sz="8" w:space="0"/>
              <w:left w:val="single" w:color="000000" w:sz="12" w:space="0"/>
              <w:bottom w:val="single" w:color="000000" w:sz="8" w:space="0"/>
              <w:right w:val="single" w:color="000000" w:sz="8" w:space="0"/>
            </w:tcBorders>
            <w:noWrap w:val="0"/>
            <w:vAlign w:val="center"/>
          </w:tcPr>
          <w:p w14:paraId="760C6541">
            <w:pPr>
              <w:jc w:val="center"/>
              <w:rPr>
                <w:rFonts w:hint="eastAsia" w:ascii="宋体" w:hAnsi="宋体" w:eastAsia="宋体" w:cs="宋体"/>
                <w:i w:val="0"/>
                <w:iCs w:val="0"/>
                <w:color w:val="000000"/>
                <w:sz w:val="21"/>
                <w:szCs w:val="21"/>
                <w:u w:val="none"/>
              </w:rPr>
            </w:pPr>
          </w:p>
        </w:tc>
        <w:tc>
          <w:tcPr>
            <w:tcW w:w="1725" w:type="dxa"/>
            <w:tcBorders>
              <w:top w:val="single" w:color="000000" w:sz="8" w:space="0"/>
              <w:left w:val="single" w:color="000000" w:sz="8" w:space="0"/>
              <w:bottom w:val="single" w:color="000000" w:sz="8" w:space="0"/>
              <w:right w:val="single" w:color="000000" w:sz="8" w:space="0"/>
            </w:tcBorders>
            <w:noWrap w:val="0"/>
            <w:vAlign w:val="center"/>
          </w:tcPr>
          <w:p w14:paraId="7B2DAD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社会公益情况</w:t>
            </w:r>
          </w:p>
        </w:tc>
        <w:tc>
          <w:tcPr>
            <w:tcW w:w="4320" w:type="dxa"/>
            <w:tcBorders>
              <w:top w:val="single" w:color="000000" w:sz="8" w:space="0"/>
              <w:left w:val="single" w:color="000000" w:sz="8" w:space="0"/>
              <w:bottom w:val="single" w:color="000000" w:sz="8" w:space="0"/>
              <w:right w:val="single" w:color="000000" w:sz="8" w:space="0"/>
            </w:tcBorders>
            <w:noWrap w:val="0"/>
            <w:vAlign w:val="center"/>
          </w:tcPr>
          <w:p w14:paraId="302FF5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2023</w:t>
            </w:r>
            <w:r>
              <w:rPr>
                <w:rFonts w:hint="eastAsia" w:ascii="宋体" w:hAnsi="宋体" w:eastAsia="宋体" w:cs="宋体"/>
                <w:i w:val="0"/>
                <w:iCs w:val="0"/>
                <w:color w:val="000000"/>
                <w:kern w:val="0"/>
                <w:sz w:val="21"/>
                <w:szCs w:val="21"/>
                <w:u w:val="none"/>
                <w:lang w:val="en-US" w:eastAsia="zh-CN" w:bidi="ar"/>
              </w:rPr>
              <w:t>年度对萧山区公益事业资助的情况，按公益事业资助金额进行由高到低排序，最多的得满分</w:t>
            </w: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分，每降一名扣0.</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分，扣完为止，无公益资助按最低档次排名计分。</w:t>
            </w:r>
          </w:p>
        </w:tc>
        <w:tc>
          <w:tcPr>
            <w:tcW w:w="1410" w:type="dxa"/>
            <w:tcBorders>
              <w:top w:val="single" w:color="000000" w:sz="8" w:space="0"/>
              <w:left w:val="single" w:color="000000" w:sz="8" w:space="0"/>
              <w:bottom w:val="single" w:color="000000" w:sz="8" w:space="0"/>
              <w:right w:val="single" w:color="000000" w:sz="12" w:space="0"/>
            </w:tcBorders>
            <w:noWrap w:val="0"/>
            <w:vAlign w:val="center"/>
          </w:tcPr>
          <w:p w14:paraId="669AD51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4</w:t>
            </w:r>
          </w:p>
        </w:tc>
      </w:tr>
      <w:tr w14:paraId="3437D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8" w:hRule="atLeast"/>
        </w:trPr>
        <w:tc>
          <w:tcPr>
            <w:tcW w:w="1575" w:type="dxa"/>
            <w:tcBorders>
              <w:top w:val="single" w:color="000000" w:sz="8" w:space="0"/>
              <w:left w:val="single" w:color="000000" w:sz="12" w:space="0"/>
              <w:bottom w:val="single" w:color="000000" w:sz="12" w:space="0"/>
              <w:right w:val="single" w:color="000000" w:sz="8" w:space="0"/>
            </w:tcBorders>
            <w:noWrap w:val="0"/>
            <w:vAlign w:val="center"/>
          </w:tcPr>
          <w:p w14:paraId="6495ED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利率水平（</w:t>
            </w:r>
            <w:r>
              <w:rPr>
                <w:rStyle w:val="63"/>
                <w:rFonts w:hint="eastAsia"/>
                <w:lang w:val="en-US" w:eastAsia="zh-CN" w:bidi="ar"/>
              </w:rPr>
              <w:t>20</w:t>
            </w:r>
            <w:r>
              <w:rPr>
                <w:rStyle w:val="64"/>
                <w:lang w:val="en-US" w:eastAsia="zh-CN" w:bidi="ar"/>
              </w:rPr>
              <w:t>）</w:t>
            </w:r>
          </w:p>
        </w:tc>
        <w:tc>
          <w:tcPr>
            <w:tcW w:w="6045" w:type="dxa"/>
            <w:gridSpan w:val="2"/>
            <w:tcBorders>
              <w:top w:val="single" w:color="000000" w:sz="8" w:space="0"/>
              <w:left w:val="single" w:color="000000" w:sz="8" w:space="0"/>
              <w:bottom w:val="single" w:color="000000" w:sz="12" w:space="0"/>
              <w:right w:val="single" w:color="000000" w:sz="8" w:space="0"/>
            </w:tcBorders>
            <w:noWrap w:val="0"/>
            <w:vAlign w:val="center"/>
          </w:tcPr>
          <w:p w14:paraId="7601086E">
            <w:pPr>
              <w:pStyle w:val="59"/>
              <w:keepNext w:val="0"/>
              <w:keepLines w:val="0"/>
              <w:widowControl/>
              <w:numPr>
                <w:ilvl w:val="0"/>
                <w:numId w:val="11"/>
              </w:numPr>
              <w:suppressLineNumbers w:val="0"/>
              <w:spacing w:line="360" w:lineRule="auto"/>
              <w:ind w:left="0" w:leftChars="0" w:firstLine="0" w:firstLineChars="0"/>
              <w:jc w:val="left"/>
              <w:textAlignment w:val="center"/>
              <w:rPr>
                <w:rFonts w:hint="eastAsia" w:ascii="宋体" w:hAnsi="宋体" w:eastAsia="宋体" w:cs="宋体"/>
              </w:rPr>
            </w:pPr>
            <w:r>
              <w:rPr>
                <w:rFonts w:hint="eastAsia" w:ascii="宋体" w:hAnsi="宋体" w:eastAsia="宋体" w:cs="宋体"/>
              </w:rPr>
              <w:t>活期存款利率</w:t>
            </w:r>
            <w:r>
              <w:rPr>
                <w:rFonts w:hint="eastAsia" w:ascii="宋体" w:hAnsi="宋体" w:eastAsia="宋体" w:cs="宋体"/>
                <w:u w:val="single"/>
              </w:rPr>
              <w:t>0-5</w:t>
            </w:r>
            <w:r>
              <w:rPr>
                <w:rFonts w:hint="eastAsia" w:ascii="宋体" w:hAnsi="宋体" w:eastAsia="宋体" w:cs="宋体"/>
              </w:rPr>
              <w:t>分 （权重：5分）</w:t>
            </w:r>
          </w:p>
          <w:p w14:paraId="0CD82A75">
            <w:pPr>
              <w:pStyle w:val="59"/>
              <w:keepNext w:val="0"/>
              <w:keepLines w:val="0"/>
              <w:widowControl/>
              <w:numPr>
                <w:ilvl w:val="0"/>
                <w:numId w:val="11"/>
              </w:numPr>
              <w:suppressLineNumbers w:val="0"/>
              <w:spacing w:line="360" w:lineRule="auto"/>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rPr>
              <w:t>协定存款利率</w:t>
            </w:r>
            <w:r>
              <w:rPr>
                <w:rFonts w:hint="eastAsia" w:ascii="宋体" w:hAnsi="宋体" w:eastAsia="宋体" w:cs="宋体"/>
                <w:u w:val="single"/>
              </w:rPr>
              <w:t>0-</w:t>
            </w:r>
            <w:r>
              <w:rPr>
                <w:rFonts w:hint="eastAsia" w:ascii="宋体" w:hAnsi="宋体" w:cs="宋体"/>
                <w:u w:val="single"/>
                <w:lang w:val="en-US" w:eastAsia="zh-CN"/>
              </w:rPr>
              <w:t>3</w:t>
            </w:r>
            <w:r>
              <w:rPr>
                <w:rFonts w:hint="eastAsia" w:ascii="宋体" w:hAnsi="宋体" w:eastAsia="宋体" w:cs="宋体"/>
              </w:rPr>
              <w:t>分 （权重：</w:t>
            </w:r>
            <w:r>
              <w:rPr>
                <w:rFonts w:hint="eastAsia" w:ascii="宋体" w:hAnsi="宋体" w:cs="宋体"/>
                <w:lang w:val="en-US" w:eastAsia="zh-CN"/>
              </w:rPr>
              <w:t>3</w:t>
            </w:r>
            <w:r>
              <w:rPr>
                <w:rFonts w:hint="eastAsia" w:ascii="宋体" w:hAnsi="宋体" w:eastAsia="宋体" w:cs="宋体"/>
              </w:rPr>
              <w:t>分）</w:t>
            </w:r>
          </w:p>
          <w:p w14:paraId="49864BFC">
            <w:pPr>
              <w:pStyle w:val="59"/>
              <w:keepNext w:val="0"/>
              <w:keepLines w:val="0"/>
              <w:widowControl/>
              <w:numPr>
                <w:ilvl w:val="0"/>
                <w:numId w:val="11"/>
              </w:numPr>
              <w:suppressLineNumbers w:val="0"/>
              <w:spacing w:line="360" w:lineRule="auto"/>
              <w:ind w:left="0" w:leftChars="0" w:firstLine="0" w:firstLineChars="0"/>
              <w:jc w:val="left"/>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rPr>
              <w:t>七天通知存款利率</w:t>
            </w:r>
            <w:r>
              <w:rPr>
                <w:rFonts w:hint="eastAsia" w:ascii="宋体" w:hAnsi="宋体" w:eastAsia="宋体" w:cs="宋体"/>
                <w:u w:val="single"/>
              </w:rPr>
              <w:t>0-</w:t>
            </w:r>
            <w:r>
              <w:rPr>
                <w:rFonts w:hint="eastAsia" w:ascii="宋体" w:hAnsi="宋体" w:cs="宋体"/>
                <w:u w:val="single"/>
                <w:lang w:val="en-US" w:eastAsia="zh-CN"/>
              </w:rPr>
              <w:t>4</w:t>
            </w:r>
            <w:r>
              <w:rPr>
                <w:rFonts w:hint="eastAsia" w:ascii="宋体" w:hAnsi="宋体" w:eastAsia="宋体" w:cs="宋体"/>
              </w:rPr>
              <w:t>分 （权重：</w:t>
            </w:r>
            <w:r>
              <w:rPr>
                <w:rFonts w:hint="eastAsia" w:ascii="宋体" w:hAnsi="宋体" w:cs="宋体"/>
                <w:lang w:val="en-US" w:eastAsia="zh-CN"/>
              </w:rPr>
              <w:t>4</w:t>
            </w:r>
            <w:r>
              <w:rPr>
                <w:rFonts w:hint="eastAsia" w:ascii="宋体" w:hAnsi="宋体" w:eastAsia="宋体" w:cs="宋体"/>
              </w:rPr>
              <w:t>分）</w:t>
            </w:r>
          </w:p>
          <w:p w14:paraId="41C33A65">
            <w:pPr>
              <w:pStyle w:val="59"/>
              <w:keepNext w:val="0"/>
              <w:keepLines w:val="0"/>
              <w:widowControl/>
              <w:numPr>
                <w:ilvl w:val="0"/>
                <w:numId w:val="11"/>
              </w:numPr>
              <w:suppressLineNumbers w:val="0"/>
              <w:spacing w:line="360" w:lineRule="auto"/>
              <w:ind w:left="0" w:leftChars="0" w:firstLine="0" w:firstLineChars="0"/>
              <w:jc w:val="left"/>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rPr>
              <w:t>六个月定期存款利率</w:t>
            </w:r>
            <w:r>
              <w:rPr>
                <w:rFonts w:hint="eastAsia" w:ascii="宋体" w:hAnsi="宋体" w:eastAsia="宋体" w:cs="宋体"/>
                <w:u w:val="single"/>
              </w:rPr>
              <w:t>0-</w:t>
            </w:r>
            <w:r>
              <w:rPr>
                <w:rFonts w:hint="eastAsia" w:ascii="宋体" w:hAnsi="宋体" w:cs="宋体"/>
                <w:u w:val="single"/>
                <w:lang w:val="en-US" w:eastAsia="zh-CN"/>
              </w:rPr>
              <w:t>4</w:t>
            </w:r>
            <w:r>
              <w:rPr>
                <w:rFonts w:hint="eastAsia" w:ascii="宋体" w:hAnsi="宋体" w:eastAsia="宋体" w:cs="宋体"/>
                <w:u w:val="single"/>
              </w:rPr>
              <w:t>分</w:t>
            </w:r>
            <w:r>
              <w:rPr>
                <w:rFonts w:hint="eastAsia" w:ascii="宋体" w:hAnsi="宋体" w:eastAsia="宋体" w:cs="宋体"/>
              </w:rPr>
              <w:t xml:space="preserve"> （权重：</w:t>
            </w:r>
            <w:r>
              <w:rPr>
                <w:rFonts w:hint="eastAsia" w:ascii="宋体" w:hAnsi="宋体" w:cs="宋体"/>
                <w:lang w:val="en-US" w:eastAsia="zh-CN"/>
              </w:rPr>
              <w:t>4</w:t>
            </w:r>
            <w:r>
              <w:rPr>
                <w:rFonts w:hint="eastAsia" w:ascii="宋体" w:hAnsi="宋体" w:eastAsia="宋体" w:cs="宋体"/>
              </w:rPr>
              <w:t>分）</w:t>
            </w:r>
          </w:p>
          <w:p w14:paraId="6474A476">
            <w:pPr>
              <w:pStyle w:val="59"/>
              <w:keepNext w:val="0"/>
              <w:keepLines w:val="0"/>
              <w:widowControl/>
              <w:numPr>
                <w:ilvl w:val="0"/>
                <w:numId w:val="11"/>
              </w:numPr>
              <w:suppressLineNumbers w:val="0"/>
              <w:spacing w:line="360" w:lineRule="auto"/>
              <w:ind w:left="0" w:leftChars="0" w:firstLine="0" w:firstLineChars="0"/>
              <w:jc w:val="left"/>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rPr>
              <w:t>一年期定期存款利率</w:t>
            </w:r>
            <w:r>
              <w:rPr>
                <w:rFonts w:hint="eastAsia" w:ascii="宋体" w:hAnsi="宋体" w:eastAsia="宋体" w:cs="宋体"/>
                <w:u w:val="single"/>
              </w:rPr>
              <w:t>0-</w:t>
            </w:r>
            <w:r>
              <w:rPr>
                <w:rFonts w:hint="eastAsia" w:ascii="宋体" w:hAnsi="宋体" w:cs="宋体"/>
                <w:u w:val="single"/>
                <w:lang w:val="en-US" w:eastAsia="zh-CN"/>
              </w:rPr>
              <w:t>4</w:t>
            </w:r>
            <w:r>
              <w:rPr>
                <w:rFonts w:hint="eastAsia" w:ascii="宋体" w:hAnsi="宋体" w:eastAsia="宋体" w:cs="宋体"/>
                <w:u w:val="single"/>
              </w:rPr>
              <w:t xml:space="preserve">分 </w:t>
            </w:r>
            <w:r>
              <w:rPr>
                <w:rFonts w:hint="eastAsia" w:ascii="宋体" w:hAnsi="宋体" w:eastAsia="宋体" w:cs="宋体"/>
              </w:rPr>
              <w:t>（权重：</w:t>
            </w:r>
            <w:r>
              <w:rPr>
                <w:rFonts w:hint="eastAsia" w:ascii="宋体" w:hAnsi="宋体" w:cs="宋体"/>
                <w:lang w:val="en-US" w:eastAsia="zh-CN"/>
              </w:rPr>
              <w:t>4</w:t>
            </w:r>
            <w:r>
              <w:rPr>
                <w:rFonts w:hint="eastAsia" w:ascii="宋体" w:hAnsi="宋体" w:eastAsia="宋体" w:cs="宋体"/>
              </w:rPr>
              <w:t>分）</w:t>
            </w:r>
          </w:p>
          <w:p w14:paraId="5F93C0AD">
            <w:pPr>
              <w:keepNext w:val="0"/>
              <w:keepLines w:val="0"/>
              <w:widowControl/>
              <w:suppressLineNumbers w:val="0"/>
              <w:spacing w:line="360" w:lineRule="auto"/>
              <w:jc w:val="left"/>
              <w:textAlignment w:val="center"/>
              <w:rPr>
                <w:rFonts w:hint="eastAsia" w:ascii="Times New Roman" w:hAnsi="Times New Roman" w:eastAsia="宋体" w:cs="Times New Roman"/>
                <w:i w:val="0"/>
                <w:iCs w:val="0"/>
                <w:color w:val="000000"/>
                <w:sz w:val="21"/>
                <w:szCs w:val="21"/>
                <w:u w:val="none"/>
                <w:lang w:eastAsia="zh-CN"/>
              </w:rPr>
            </w:pPr>
            <w:r>
              <w:rPr>
                <w:rFonts w:hint="eastAsia" w:ascii="宋体" w:hAnsi="宋体" w:eastAsia="宋体" w:cs="宋体"/>
              </w:rPr>
              <w:t>a 每期存款年利率=基准利率+每期存款利率较基准利率的上浮</w:t>
            </w:r>
            <w:r>
              <w:rPr>
                <w:rFonts w:hint="eastAsia" w:ascii="宋体" w:hAnsi="宋体" w:eastAsia="宋体" w:cs="宋体"/>
                <w:lang w:eastAsia="zh-CN"/>
              </w:rPr>
              <w:t>或者下浮</w:t>
            </w:r>
            <w:r>
              <w:rPr>
                <w:rFonts w:hint="eastAsia" w:ascii="宋体" w:hAnsi="宋体" w:eastAsia="宋体" w:cs="宋体"/>
              </w:rPr>
              <w:t>基点</w:t>
            </w:r>
            <w:r>
              <w:rPr>
                <w:rFonts w:hint="eastAsia" w:ascii="宋体" w:hAnsi="宋体" w:cs="宋体"/>
                <w:lang w:eastAsia="zh-CN"/>
              </w:rPr>
              <w:t>；</w:t>
            </w:r>
          </w:p>
          <w:p w14:paraId="03B94273">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rPr>
              <w:t xml:space="preserve">b利率指标得分计算方法： </w:t>
            </w:r>
          </w:p>
          <w:p w14:paraId="79EE7C3B">
            <w:pPr>
              <w:keepNext w:val="0"/>
              <w:keepLines w:val="0"/>
              <w:widowControl/>
              <w:suppressLineNumbers w:val="0"/>
              <w:spacing w:line="360" w:lineRule="auto"/>
              <w:jc w:val="left"/>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rPr>
              <w:t>（投标人每期定期存款年利率（基准利率+基点）/每期最高定期存款年利率（基准利率+基点））×利率权重。</w:t>
            </w:r>
          </w:p>
          <w:p w14:paraId="4B904B4A">
            <w:pPr>
              <w:keepNext w:val="0"/>
              <w:keepLines w:val="0"/>
              <w:widowControl/>
              <w:suppressLineNumbers w:val="0"/>
              <w:spacing w:line="360" w:lineRule="auto"/>
              <w:jc w:val="left"/>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rPr>
              <w:t>投标人存款年利率总得分=①-⑤分数的总和。</w:t>
            </w:r>
          </w:p>
        </w:tc>
        <w:tc>
          <w:tcPr>
            <w:tcW w:w="1410" w:type="dxa"/>
            <w:tcBorders>
              <w:top w:val="single" w:color="000000" w:sz="8" w:space="0"/>
              <w:left w:val="single" w:color="000000" w:sz="8" w:space="0"/>
              <w:bottom w:val="single" w:color="000000" w:sz="12" w:space="0"/>
              <w:right w:val="single" w:color="000000" w:sz="12" w:space="0"/>
            </w:tcBorders>
            <w:noWrap w:val="0"/>
            <w:vAlign w:val="center"/>
          </w:tcPr>
          <w:p w14:paraId="31349EB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20</w:t>
            </w:r>
          </w:p>
        </w:tc>
      </w:tr>
    </w:tbl>
    <w:p w14:paraId="1C7F8488">
      <w:pPr>
        <w:keepNext w:val="0"/>
        <w:keepLines w:val="0"/>
        <w:pageBreakBefore w:val="0"/>
        <w:widowControl/>
        <w:kinsoku/>
        <w:wordWrap/>
        <w:overflowPunct/>
        <w:topLinePunct w:val="0"/>
        <w:autoSpaceDE/>
        <w:autoSpaceDN/>
        <w:bidi w:val="0"/>
        <w:spacing w:line="360" w:lineRule="auto"/>
        <w:ind w:firstLine="482" w:firstLineChars="200"/>
        <w:jc w:val="center"/>
        <w:rPr>
          <w:rFonts w:hint="default"/>
          <w:b/>
          <w:bCs/>
          <w:color w:val="auto"/>
          <w:sz w:val="24"/>
          <w:highlight w:val="none"/>
          <w:lang w:val="en-US" w:eastAsia="zh-CN"/>
        </w:rPr>
      </w:pPr>
    </w:p>
    <w:p w14:paraId="2102504E">
      <w:pPr>
        <w:keepNext w:val="0"/>
        <w:keepLines w:val="0"/>
        <w:pageBreakBefore w:val="0"/>
        <w:widowControl/>
        <w:kinsoku/>
        <w:wordWrap/>
        <w:overflowPunct/>
        <w:topLinePunct w:val="0"/>
        <w:autoSpaceDE/>
        <w:autoSpaceDN/>
        <w:bidi w:val="0"/>
        <w:spacing w:line="360" w:lineRule="auto"/>
        <w:ind w:firstLine="482" w:firstLineChars="200"/>
        <w:jc w:val="center"/>
        <w:rPr>
          <w:rFonts w:hint="default"/>
          <w:b/>
          <w:bCs/>
          <w:color w:val="auto"/>
          <w:sz w:val="24"/>
          <w:highlight w:val="none"/>
          <w:lang w:val="en-US" w:eastAsia="zh-CN"/>
        </w:rPr>
      </w:pPr>
    </w:p>
    <w:p w14:paraId="07A856D4">
      <w:pPr>
        <w:keepNext w:val="0"/>
        <w:keepLines w:val="0"/>
        <w:pageBreakBefore w:val="0"/>
        <w:widowControl/>
        <w:kinsoku/>
        <w:wordWrap/>
        <w:overflowPunct/>
        <w:topLinePunct w:val="0"/>
        <w:autoSpaceDE/>
        <w:autoSpaceDN/>
        <w:bidi w:val="0"/>
        <w:spacing w:line="360" w:lineRule="auto"/>
        <w:ind w:firstLine="480" w:firstLineChars="200"/>
        <w:jc w:val="left"/>
        <w:rPr>
          <w:color w:val="auto"/>
          <w:sz w:val="24"/>
          <w:highlight w:val="none"/>
        </w:rPr>
      </w:pPr>
      <w:r>
        <w:rPr>
          <w:color w:val="auto"/>
          <w:sz w:val="24"/>
          <w:highlight w:val="none"/>
        </w:rPr>
        <w:t>注：</w:t>
      </w:r>
    </w:p>
    <w:p w14:paraId="5A3196EC">
      <w:pPr>
        <w:keepNext w:val="0"/>
        <w:keepLines w:val="0"/>
        <w:pageBreakBefore w:val="0"/>
        <w:widowControl/>
        <w:kinsoku/>
        <w:wordWrap/>
        <w:overflowPunct/>
        <w:topLinePunct w:val="0"/>
        <w:autoSpaceDE/>
        <w:autoSpaceDN/>
        <w:bidi w:val="0"/>
        <w:spacing w:line="360" w:lineRule="auto"/>
        <w:ind w:firstLine="480" w:firstLineChars="200"/>
        <w:jc w:val="left"/>
        <w:rPr>
          <w:color w:val="auto"/>
          <w:sz w:val="24"/>
          <w:highlight w:val="none"/>
        </w:rPr>
      </w:pPr>
      <w:r>
        <w:rPr>
          <w:color w:val="auto"/>
          <w:sz w:val="24"/>
          <w:highlight w:val="none"/>
        </w:rPr>
        <w:t>1、以上评分原则中提到的投标银行即为投标的主体。</w:t>
      </w:r>
    </w:p>
    <w:p w14:paraId="5C61A934">
      <w:pPr>
        <w:keepNext w:val="0"/>
        <w:keepLines w:val="0"/>
        <w:pageBreakBefore w:val="0"/>
        <w:widowControl/>
        <w:kinsoku/>
        <w:wordWrap/>
        <w:overflowPunct/>
        <w:topLinePunct w:val="0"/>
        <w:autoSpaceDE/>
        <w:autoSpaceDN/>
        <w:bidi w:val="0"/>
        <w:spacing w:line="360" w:lineRule="auto"/>
        <w:ind w:firstLine="480" w:firstLineChars="200"/>
        <w:jc w:val="left"/>
        <w:rPr>
          <w:color w:val="auto"/>
          <w:sz w:val="24"/>
          <w:highlight w:val="none"/>
        </w:rPr>
      </w:pPr>
      <w:r>
        <w:rPr>
          <w:color w:val="auto"/>
          <w:sz w:val="24"/>
          <w:highlight w:val="none"/>
        </w:rPr>
        <w:t>2、以上评分中要求提供的证明材料，</w:t>
      </w:r>
      <w:r>
        <w:rPr>
          <w:rFonts w:hint="eastAsia"/>
          <w:color w:val="auto"/>
          <w:sz w:val="24"/>
          <w:highlight w:val="none"/>
          <w:lang w:eastAsia="zh-CN"/>
        </w:rPr>
        <w:t>提供扫描件并加盖公章</w:t>
      </w:r>
      <w:r>
        <w:rPr>
          <w:color w:val="auto"/>
          <w:sz w:val="24"/>
          <w:highlight w:val="none"/>
        </w:rPr>
        <w:t>，否则评标委员会有权不予认可。</w:t>
      </w:r>
    </w:p>
    <w:p w14:paraId="2A073792">
      <w:pPr>
        <w:widowControl/>
        <w:spacing w:line="360" w:lineRule="auto"/>
        <w:ind w:firstLine="480" w:firstLineChars="200"/>
        <w:jc w:val="left"/>
        <w:rPr>
          <w:color w:val="auto"/>
          <w:sz w:val="24"/>
          <w:highlight w:val="none"/>
        </w:rPr>
      </w:pPr>
      <w:r>
        <w:rPr>
          <w:color w:val="auto"/>
          <w:sz w:val="24"/>
          <w:highlight w:val="none"/>
        </w:rPr>
        <w:t>3、以上评分计算结果保留2位小数。</w:t>
      </w:r>
    </w:p>
    <w:p w14:paraId="652E7F5C">
      <w:pPr>
        <w:spacing w:line="360" w:lineRule="auto"/>
        <w:ind w:firstLine="470" w:firstLineChars="196"/>
        <w:rPr>
          <w:rFonts w:hint="eastAsia"/>
          <w:color w:val="auto"/>
          <w:sz w:val="24"/>
          <w:highlight w:val="none"/>
        </w:rPr>
      </w:pPr>
      <w:r>
        <w:rPr>
          <w:color w:val="auto"/>
          <w:sz w:val="24"/>
          <w:highlight w:val="none"/>
        </w:rPr>
        <w:t>4、当评标总分相同时，依次按商务分分值由高到低排名推荐、若商务分分值相同的，则根据</w:t>
      </w:r>
      <w:r>
        <w:rPr>
          <w:color w:val="auto"/>
          <w:kern w:val="0"/>
          <w:sz w:val="24"/>
          <w:highlight w:val="none"/>
        </w:rPr>
        <w:t>技术资信部分评审的</w:t>
      </w:r>
      <w:r>
        <w:rPr>
          <w:color w:val="auto"/>
          <w:sz w:val="24"/>
          <w:highlight w:val="none"/>
        </w:rPr>
        <w:t>分值由高到低排名。若评分均相同的，由评标委员会按少数服从多数的原则投票表决，得票多的优先。</w:t>
      </w:r>
    </w:p>
    <w:p w14:paraId="7D6671CB">
      <w:pPr>
        <w:widowControl/>
        <w:spacing w:line="360" w:lineRule="auto"/>
        <w:jc w:val="left"/>
        <w:rPr>
          <w:rFonts w:hint="eastAsia"/>
          <w:color w:val="auto"/>
          <w:highlight w:val="none"/>
        </w:rPr>
      </w:pPr>
      <w:r>
        <w:rPr>
          <w:rFonts w:hint="eastAsia"/>
          <w:color w:val="auto"/>
          <w:highlight w:val="none"/>
        </w:rPr>
        <w:t xml:space="preserve">    </w:t>
      </w:r>
      <w:r>
        <w:rPr>
          <w:rFonts w:hint="eastAsia"/>
          <w:color w:val="auto"/>
          <w:sz w:val="24"/>
          <w:highlight w:val="none"/>
        </w:rPr>
        <w:t>5</w:t>
      </w:r>
      <w:r>
        <w:rPr>
          <w:rFonts w:ascii="宋体" w:hAnsi="宋体"/>
          <w:b/>
          <w:color w:val="auto"/>
          <w:sz w:val="24"/>
          <w:highlight w:val="none"/>
        </w:rPr>
        <w:t>、</w:t>
      </w:r>
      <w:r>
        <w:rPr>
          <w:rFonts w:hint="eastAsia" w:ascii="宋体" w:hAnsi="宋体"/>
          <w:b/>
          <w:color w:val="auto"/>
          <w:sz w:val="24"/>
          <w:highlight w:val="none"/>
        </w:rPr>
        <w:t>要求各投标人在投标文件最前页根据本评标细则制作评分自评表，提供自评分并清楚标注相应证明材料的所在页码，若不提供的，评标委员会将不承担在评标过程中应漏看或误看造成的投标人评分错计或漏记的后果。</w:t>
      </w:r>
    </w:p>
    <w:p w14:paraId="4A441DAC">
      <w:pPr>
        <w:widowControl/>
        <w:spacing w:line="360" w:lineRule="auto"/>
        <w:jc w:val="left"/>
        <w:rPr>
          <w:color w:val="auto"/>
          <w:highlight w:val="none"/>
        </w:rPr>
      </w:pPr>
    </w:p>
    <w:p w14:paraId="4D9DC5F5">
      <w:pPr>
        <w:widowControl/>
        <w:spacing w:line="360" w:lineRule="auto"/>
        <w:jc w:val="left"/>
        <w:rPr>
          <w:color w:val="auto"/>
          <w:highlight w:val="none"/>
        </w:rPr>
        <w:sectPr>
          <w:pgSz w:w="11906" w:h="16838"/>
          <w:pgMar w:top="1474" w:right="1797" w:bottom="1247" w:left="1797" w:header="851" w:footer="851" w:gutter="0"/>
          <w:pgBorders w:offsetFrom="page">
            <w:top w:val="none" w:sz="0" w:space="0"/>
            <w:left w:val="none" w:sz="0" w:space="0"/>
            <w:bottom w:val="none" w:sz="0" w:space="0"/>
            <w:right w:val="none" w:sz="0" w:space="0"/>
          </w:pgBorders>
          <w:pgNumType w:fmt="numberInDash"/>
          <w:cols w:space="720" w:num="1"/>
          <w:docGrid w:linePitch="312" w:charSpace="0"/>
        </w:sectPr>
      </w:pPr>
    </w:p>
    <w:p w14:paraId="5EB4BB4C">
      <w:pPr>
        <w:adjustRightInd w:val="0"/>
        <w:spacing w:line="360" w:lineRule="auto"/>
        <w:jc w:val="center"/>
        <w:rPr>
          <w:rFonts w:eastAsia="黑体"/>
          <w:bCs/>
          <w:color w:val="auto"/>
          <w:sz w:val="30"/>
          <w:szCs w:val="30"/>
          <w:highlight w:val="none"/>
        </w:rPr>
      </w:pPr>
      <w:r>
        <w:rPr>
          <w:rFonts w:eastAsia="黑体"/>
          <w:color w:val="auto"/>
          <w:sz w:val="30"/>
          <w:szCs w:val="30"/>
          <w:highlight w:val="none"/>
        </w:rPr>
        <w:t xml:space="preserve">第五章 </w:t>
      </w:r>
      <w:r>
        <w:rPr>
          <w:rFonts w:eastAsia="黑体"/>
          <w:bCs/>
          <w:color w:val="auto"/>
          <w:sz w:val="30"/>
          <w:szCs w:val="30"/>
          <w:highlight w:val="none"/>
        </w:rPr>
        <w:t>合同主要条款</w:t>
      </w:r>
    </w:p>
    <w:p w14:paraId="1F5D1377">
      <w:pPr>
        <w:snapToGrid w:val="0"/>
        <w:spacing w:line="360" w:lineRule="auto"/>
        <w:jc w:val="center"/>
        <w:rPr>
          <w:b/>
          <w:bCs/>
          <w:color w:val="auto"/>
          <w:sz w:val="18"/>
          <w:szCs w:val="18"/>
          <w:highlight w:val="none"/>
        </w:rPr>
      </w:pPr>
    </w:p>
    <w:p w14:paraId="1E846659">
      <w:pPr>
        <w:widowControl/>
        <w:spacing w:line="360" w:lineRule="auto"/>
        <w:ind w:firstLine="480" w:firstLineChars="200"/>
        <w:jc w:val="center"/>
        <w:rPr>
          <w:rFonts w:hint="eastAsia" w:hAnsi="Calibri"/>
          <w:color w:val="auto"/>
          <w:sz w:val="24"/>
          <w:highlight w:val="none"/>
        </w:rPr>
      </w:pPr>
      <w:r>
        <w:rPr>
          <w:rFonts w:hint="eastAsia" w:hAnsi="Calibri"/>
          <w:color w:val="auto"/>
          <w:sz w:val="24"/>
          <w:highlight w:val="none"/>
        </w:rPr>
        <w:t>（合同书以最终签订版本为准）</w:t>
      </w:r>
    </w:p>
    <w:p w14:paraId="2970F93B">
      <w:pPr>
        <w:widowControl/>
        <w:spacing w:line="360" w:lineRule="auto"/>
        <w:jc w:val="center"/>
        <w:rPr>
          <w:rFonts w:hint="eastAsia" w:hAnsi="Calibri"/>
          <w:b/>
          <w:color w:val="auto"/>
          <w:sz w:val="28"/>
          <w:szCs w:val="28"/>
          <w:highlight w:val="none"/>
        </w:rPr>
      </w:pPr>
    </w:p>
    <w:p w14:paraId="4590F7FF">
      <w:pPr>
        <w:widowControl/>
        <w:spacing w:line="360" w:lineRule="auto"/>
        <w:jc w:val="center"/>
        <w:rPr>
          <w:rFonts w:hint="eastAsia" w:ascii="Times New Roman" w:hAnsi="Calibri" w:eastAsia="宋体" w:cs="Times New Roman"/>
          <w:b/>
          <w:color w:val="auto"/>
          <w:sz w:val="28"/>
          <w:szCs w:val="28"/>
          <w:highlight w:val="none"/>
        </w:rPr>
      </w:pPr>
      <w:r>
        <w:rPr>
          <w:rFonts w:hint="eastAsia" w:hAnsi="Calibri" w:cs="Times New Roman"/>
          <w:b/>
          <w:color w:val="auto"/>
          <w:sz w:val="28"/>
          <w:szCs w:val="28"/>
          <w:highlight w:val="none"/>
          <w:lang w:val="en-US" w:eastAsia="zh-CN"/>
        </w:rPr>
        <w:t>杭州市萧山区人民政府新塘街道办事处2025</w:t>
      </w:r>
      <w:r>
        <w:rPr>
          <w:rFonts w:hint="eastAsia" w:ascii="Times New Roman" w:hAnsi="Calibri" w:eastAsia="宋体" w:cs="Times New Roman"/>
          <w:b/>
          <w:color w:val="auto"/>
          <w:sz w:val="28"/>
          <w:szCs w:val="28"/>
          <w:highlight w:val="none"/>
          <w:lang w:val="en-US" w:eastAsia="zh-CN"/>
        </w:rPr>
        <w:t>年度账户开立招标项目</w:t>
      </w:r>
      <w:r>
        <w:rPr>
          <w:rFonts w:hint="eastAsia" w:ascii="Times New Roman" w:hAnsi="Calibri" w:eastAsia="宋体" w:cs="Times New Roman"/>
          <w:b/>
          <w:color w:val="auto"/>
          <w:sz w:val="28"/>
          <w:szCs w:val="28"/>
          <w:highlight w:val="none"/>
        </w:rPr>
        <w:t>委托合同</w:t>
      </w:r>
    </w:p>
    <w:p w14:paraId="36F6F9AD">
      <w:pPr>
        <w:widowControl/>
        <w:spacing w:line="360" w:lineRule="auto"/>
        <w:ind w:firstLine="480" w:firstLineChars="200"/>
        <w:jc w:val="left"/>
        <w:rPr>
          <w:rFonts w:hint="eastAsia" w:hAnsi="Calibri"/>
          <w:color w:val="auto"/>
          <w:sz w:val="24"/>
          <w:highlight w:val="none"/>
        </w:rPr>
      </w:pPr>
    </w:p>
    <w:p w14:paraId="7767AE65">
      <w:pPr>
        <w:widowControl/>
        <w:spacing w:line="360" w:lineRule="auto"/>
        <w:jc w:val="center"/>
        <w:rPr>
          <w:rFonts w:eastAsia="方正小标宋简体"/>
          <w:bCs/>
          <w:color w:val="auto"/>
          <w:kern w:val="0"/>
          <w:sz w:val="36"/>
          <w:szCs w:val="36"/>
          <w:highlight w:val="none"/>
        </w:rPr>
      </w:pPr>
      <w:r>
        <w:rPr>
          <w:rFonts w:eastAsia="方正小标宋简体"/>
          <w:bCs/>
          <w:color w:val="auto"/>
          <w:kern w:val="0"/>
          <w:sz w:val="36"/>
          <w:szCs w:val="36"/>
          <w:highlight w:val="none"/>
        </w:rPr>
        <w:t>项目协议书</w:t>
      </w:r>
    </w:p>
    <w:p w14:paraId="465DD0B5">
      <w:pPr>
        <w:widowControl/>
        <w:spacing w:line="360" w:lineRule="auto"/>
        <w:ind w:firstLine="6370"/>
        <w:rPr>
          <w:rFonts w:eastAsia="仿宋_GB2312"/>
          <w:b/>
          <w:bCs/>
          <w:color w:val="auto"/>
          <w:kern w:val="0"/>
          <w:sz w:val="24"/>
          <w:highlight w:val="none"/>
        </w:rPr>
      </w:pPr>
      <w:r>
        <w:rPr>
          <w:rFonts w:eastAsia="仿宋_GB2312"/>
          <w:b/>
          <w:bCs/>
          <w:color w:val="auto"/>
          <w:kern w:val="0"/>
          <w:sz w:val="24"/>
          <w:highlight w:val="none"/>
        </w:rPr>
        <w:t>招标编号：</w:t>
      </w:r>
      <w:r>
        <w:rPr>
          <w:rFonts w:eastAsia="仿宋_GB2312"/>
          <w:b/>
          <w:bCs/>
          <w:color w:val="auto"/>
          <w:kern w:val="0"/>
          <w:sz w:val="24"/>
          <w:highlight w:val="none"/>
          <w:u w:val="single"/>
        </w:rPr>
        <w:t xml:space="preserve">         </w:t>
      </w:r>
      <w:r>
        <w:rPr>
          <w:rFonts w:eastAsia="仿宋_GB2312"/>
          <w:b/>
          <w:bCs/>
          <w:color w:val="auto"/>
          <w:kern w:val="0"/>
          <w:sz w:val="24"/>
          <w:highlight w:val="none"/>
        </w:rPr>
        <w:t xml:space="preserve">  </w:t>
      </w:r>
    </w:p>
    <w:p w14:paraId="0AA47EED">
      <w:pPr>
        <w:widowControl/>
        <w:spacing w:line="360" w:lineRule="auto"/>
        <w:rPr>
          <w:color w:val="auto"/>
          <w:kern w:val="0"/>
          <w:sz w:val="24"/>
          <w:highlight w:val="none"/>
        </w:rPr>
      </w:pPr>
      <w:r>
        <w:rPr>
          <w:color w:val="auto"/>
          <w:kern w:val="0"/>
          <w:sz w:val="24"/>
          <w:highlight w:val="none"/>
        </w:rPr>
        <w:t>甲方</w:t>
      </w:r>
      <w:r>
        <w:rPr>
          <w:rFonts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杭州市萧山区人民政府新塘街道办事处</w:t>
      </w:r>
      <w:r>
        <w:rPr>
          <w:rFonts w:ascii="Times New Roman" w:hAnsi="Times New Roman" w:eastAsia="宋体" w:cs="Times New Roman"/>
          <w:color w:val="auto"/>
          <w:kern w:val="0"/>
          <w:sz w:val="24"/>
          <w:highlight w:val="none"/>
        </w:rPr>
        <w:t xml:space="preserve"> </w:t>
      </w:r>
    </w:p>
    <w:p w14:paraId="4295BF54">
      <w:pPr>
        <w:widowControl/>
        <w:spacing w:line="360" w:lineRule="auto"/>
        <w:rPr>
          <w:color w:val="auto"/>
          <w:kern w:val="0"/>
          <w:sz w:val="24"/>
          <w:highlight w:val="none"/>
        </w:rPr>
      </w:pPr>
      <w:r>
        <w:rPr>
          <w:color w:val="auto"/>
          <w:kern w:val="0"/>
          <w:sz w:val="24"/>
          <w:highlight w:val="none"/>
        </w:rPr>
        <w:t>乙方：</w:t>
      </w:r>
      <w:r>
        <w:rPr>
          <w:color w:val="auto"/>
          <w:kern w:val="0"/>
          <w:sz w:val="24"/>
          <w:highlight w:val="none"/>
          <w:u w:val="single"/>
        </w:rPr>
        <w:t xml:space="preserve">                      </w:t>
      </w:r>
      <w:r>
        <w:rPr>
          <w:color w:val="auto"/>
          <w:kern w:val="0"/>
          <w:sz w:val="24"/>
          <w:highlight w:val="none"/>
        </w:rPr>
        <w:t xml:space="preserve"> </w:t>
      </w:r>
    </w:p>
    <w:p w14:paraId="58394230">
      <w:pPr>
        <w:widowControl/>
        <w:spacing w:line="360" w:lineRule="auto"/>
        <w:rPr>
          <w:color w:val="auto"/>
          <w:kern w:val="0"/>
          <w:sz w:val="24"/>
          <w:highlight w:val="none"/>
        </w:rPr>
      </w:pPr>
      <w:r>
        <w:rPr>
          <w:rFonts w:hint="eastAsia"/>
          <w:color w:val="auto"/>
          <w:kern w:val="0"/>
          <w:sz w:val="24"/>
          <w:highlight w:val="none"/>
          <w:lang w:val="en-US" w:eastAsia="zh-CN"/>
        </w:rPr>
        <w:t>鉴证</w:t>
      </w:r>
      <w:r>
        <w:rPr>
          <w:color w:val="auto"/>
          <w:kern w:val="0"/>
          <w:sz w:val="24"/>
          <w:highlight w:val="none"/>
        </w:rPr>
        <w:t>方：</w:t>
      </w:r>
      <w:r>
        <w:rPr>
          <w:color w:val="auto"/>
          <w:kern w:val="0"/>
          <w:sz w:val="24"/>
          <w:highlight w:val="none"/>
          <w:u w:val="single"/>
        </w:rPr>
        <w:t xml:space="preserve">                      </w:t>
      </w:r>
    </w:p>
    <w:p w14:paraId="26826165">
      <w:pPr>
        <w:widowControl/>
        <w:spacing w:line="360" w:lineRule="auto"/>
        <w:ind w:firstLine="480" w:firstLineChars="200"/>
        <w:rPr>
          <w:color w:val="auto"/>
          <w:kern w:val="0"/>
          <w:sz w:val="24"/>
          <w:highlight w:val="none"/>
        </w:rPr>
      </w:pPr>
      <w:r>
        <w:rPr>
          <w:color w:val="auto"/>
          <w:kern w:val="0"/>
          <w:sz w:val="24"/>
          <w:highlight w:val="none"/>
        </w:rPr>
        <w:t>为明确双方</w:t>
      </w:r>
      <w:r>
        <w:rPr>
          <w:rFonts w:ascii="Times New Roman" w:hAnsi="Times New Roman" w:eastAsia="宋体" w:cs="Times New Roman"/>
          <w:color w:val="auto"/>
          <w:kern w:val="0"/>
          <w:sz w:val="24"/>
          <w:highlight w:val="none"/>
        </w:rPr>
        <w:t>在</w:t>
      </w:r>
      <w:r>
        <w:rPr>
          <w:rFonts w:hint="eastAsia" w:ascii="Times New Roman" w:hAnsi="Times New Roman" w:eastAsia="宋体" w:cs="Times New Roman"/>
          <w:color w:val="auto"/>
          <w:kern w:val="0"/>
          <w:sz w:val="24"/>
          <w:highlight w:val="none"/>
          <w:lang w:val="en-US" w:eastAsia="zh-CN"/>
        </w:rPr>
        <w:t>杭州市</w:t>
      </w:r>
      <w:r>
        <w:rPr>
          <w:rFonts w:hint="eastAsia" w:cs="Times New Roman"/>
          <w:color w:val="auto"/>
          <w:kern w:val="0"/>
          <w:sz w:val="24"/>
          <w:highlight w:val="none"/>
          <w:lang w:val="en-US" w:eastAsia="zh-CN"/>
        </w:rPr>
        <w:t>杭州市萧山区人民政府新塘街道办事处</w:t>
      </w:r>
      <w:r>
        <w:rPr>
          <w:rFonts w:hint="eastAsia" w:ascii="Times New Roman" w:hAnsi="Times New Roman" w:eastAsia="宋体" w:cs="Times New Roman"/>
          <w:color w:val="auto"/>
          <w:kern w:val="0"/>
          <w:sz w:val="24"/>
          <w:highlight w:val="none"/>
          <w:u w:val="single"/>
          <w:lang w:val="en-US" w:eastAsia="zh-CN"/>
        </w:rPr>
        <w:t xml:space="preserve">   </w:t>
      </w:r>
      <w:r>
        <w:rPr>
          <w:rFonts w:hint="eastAsia" w:ascii="Times New Roman" w:hAnsi="Times New Roman" w:eastAsia="宋体" w:cs="Times New Roman"/>
          <w:color w:val="auto"/>
          <w:kern w:val="0"/>
          <w:sz w:val="24"/>
          <w:highlight w:val="none"/>
          <w:lang w:val="en-US" w:eastAsia="zh-CN"/>
        </w:rPr>
        <w:t>账户</w:t>
      </w:r>
      <w:r>
        <w:rPr>
          <w:rFonts w:hint="eastAsia"/>
          <w:color w:val="auto"/>
          <w:kern w:val="0"/>
          <w:sz w:val="24"/>
          <w:highlight w:val="none"/>
        </w:rPr>
        <w:t>开立</w:t>
      </w:r>
      <w:r>
        <w:rPr>
          <w:color w:val="auto"/>
          <w:kern w:val="0"/>
          <w:sz w:val="24"/>
          <w:highlight w:val="none"/>
        </w:rPr>
        <w:t>存放业务活动中的权利与义务，甲、乙双方</w:t>
      </w:r>
      <w:r>
        <w:rPr>
          <w:rFonts w:hint="eastAsia"/>
          <w:color w:val="auto"/>
          <w:kern w:val="0"/>
          <w:sz w:val="24"/>
          <w:highlight w:val="none"/>
          <w:lang w:val="en-US" w:eastAsia="zh-CN"/>
        </w:rPr>
        <w:t>协商一致，</w:t>
      </w:r>
      <w:r>
        <w:rPr>
          <w:color w:val="auto"/>
          <w:kern w:val="0"/>
          <w:sz w:val="24"/>
          <w:highlight w:val="none"/>
        </w:rPr>
        <w:t>达成本协议。</w:t>
      </w:r>
    </w:p>
    <w:p w14:paraId="292B06D3">
      <w:pPr>
        <w:widowControl/>
        <w:spacing w:line="360" w:lineRule="auto"/>
        <w:ind w:firstLine="480"/>
        <w:rPr>
          <w:b/>
          <w:bCs/>
          <w:color w:val="auto"/>
          <w:kern w:val="0"/>
          <w:sz w:val="24"/>
          <w:highlight w:val="none"/>
        </w:rPr>
      </w:pPr>
      <w:r>
        <w:rPr>
          <w:b/>
          <w:bCs/>
          <w:color w:val="auto"/>
          <w:kern w:val="0"/>
          <w:sz w:val="24"/>
          <w:highlight w:val="none"/>
        </w:rPr>
        <w:t>一、总则</w:t>
      </w:r>
    </w:p>
    <w:p w14:paraId="3A1F7D95">
      <w:pPr>
        <w:widowControl/>
        <w:spacing w:line="360" w:lineRule="auto"/>
        <w:ind w:firstLine="600"/>
        <w:rPr>
          <w:color w:val="auto"/>
          <w:kern w:val="0"/>
          <w:sz w:val="24"/>
          <w:highlight w:val="none"/>
        </w:rPr>
      </w:pPr>
      <w:r>
        <w:rPr>
          <w:color w:val="auto"/>
          <w:kern w:val="0"/>
          <w:sz w:val="24"/>
          <w:highlight w:val="none"/>
        </w:rPr>
        <w:t>第一条  根据有关法律法规和关于</w:t>
      </w:r>
      <w:r>
        <w:rPr>
          <w:rFonts w:hint="eastAsia" w:ascii="Times New Roman" w:hAnsi="Times New Roman" w:eastAsia="宋体" w:cs="Times New Roman"/>
          <w:color w:val="auto"/>
          <w:kern w:val="0"/>
          <w:sz w:val="24"/>
          <w:highlight w:val="none"/>
          <w:lang w:val="en-US" w:eastAsia="zh-CN"/>
        </w:rPr>
        <w:t>杭州市</w:t>
      </w:r>
      <w:r>
        <w:rPr>
          <w:rFonts w:hint="eastAsia" w:cs="Times New Roman"/>
          <w:color w:val="auto"/>
          <w:kern w:val="0"/>
          <w:sz w:val="24"/>
          <w:highlight w:val="none"/>
          <w:lang w:val="en-US" w:eastAsia="zh-CN"/>
        </w:rPr>
        <w:t>杭州市萧山区人民政府新塘街道办事处</w:t>
      </w:r>
      <w:r>
        <w:rPr>
          <w:rFonts w:hint="eastAsia" w:ascii="Times New Roman" w:hAnsi="Times New Roman" w:eastAsia="宋体" w:cs="Times New Roman"/>
          <w:color w:val="auto"/>
          <w:kern w:val="0"/>
          <w:sz w:val="24"/>
          <w:highlight w:val="none"/>
          <w:u w:val="single"/>
          <w:lang w:val="en-US" w:eastAsia="zh-CN"/>
        </w:rPr>
        <w:t xml:space="preserve">   </w:t>
      </w:r>
      <w:r>
        <w:rPr>
          <w:rFonts w:hint="eastAsia" w:ascii="Times New Roman" w:hAnsi="Times New Roman" w:eastAsia="宋体" w:cs="Times New Roman"/>
          <w:color w:val="auto"/>
          <w:kern w:val="0"/>
          <w:sz w:val="24"/>
          <w:highlight w:val="none"/>
          <w:lang w:val="en-US" w:eastAsia="zh-CN"/>
        </w:rPr>
        <w:t>账户</w:t>
      </w:r>
      <w:r>
        <w:rPr>
          <w:rFonts w:hint="eastAsia"/>
          <w:color w:val="auto"/>
          <w:kern w:val="0"/>
          <w:sz w:val="24"/>
          <w:highlight w:val="none"/>
        </w:rPr>
        <w:t>开立</w:t>
      </w:r>
      <w:r>
        <w:rPr>
          <w:color w:val="auto"/>
          <w:kern w:val="0"/>
          <w:sz w:val="24"/>
          <w:highlight w:val="none"/>
        </w:rPr>
        <w:t>招标等相关规定和要求，经甲、乙双方平等协商，签订本协议。</w:t>
      </w:r>
    </w:p>
    <w:p w14:paraId="4EB1AA91">
      <w:pPr>
        <w:widowControl/>
        <w:spacing w:line="360" w:lineRule="auto"/>
        <w:ind w:firstLine="480"/>
        <w:rPr>
          <w:color w:val="auto"/>
          <w:kern w:val="0"/>
          <w:sz w:val="24"/>
          <w:highlight w:val="none"/>
        </w:rPr>
      </w:pPr>
      <w:r>
        <w:rPr>
          <w:color w:val="auto"/>
          <w:kern w:val="0"/>
          <w:sz w:val="24"/>
          <w:highlight w:val="none"/>
        </w:rPr>
        <w:t>第二条  通过公开招标的方式</w:t>
      </w:r>
      <w:r>
        <w:rPr>
          <w:rFonts w:hint="eastAsia"/>
          <w:color w:val="auto"/>
          <w:kern w:val="0"/>
          <w:sz w:val="24"/>
          <w:highlight w:val="none"/>
          <w:lang w:eastAsia="zh-CN"/>
        </w:rPr>
        <w:t>，</w:t>
      </w:r>
      <w:r>
        <w:rPr>
          <w:color w:val="auto"/>
          <w:kern w:val="0"/>
          <w:sz w:val="24"/>
          <w:highlight w:val="none"/>
        </w:rPr>
        <w:t>择优确定</w:t>
      </w:r>
      <w:r>
        <w:rPr>
          <w:rFonts w:hint="eastAsia" w:ascii="Times New Roman" w:hAnsi="Times New Roman" w:eastAsia="宋体" w:cs="Times New Roman"/>
          <w:color w:val="auto"/>
          <w:kern w:val="0"/>
          <w:sz w:val="24"/>
          <w:highlight w:val="none"/>
          <w:lang w:val="en-US" w:eastAsia="zh-CN"/>
        </w:rPr>
        <w:t>杭州市</w:t>
      </w:r>
      <w:r>
        <w:rPr>
          <w:rFonts w:hint="eastAsia" w:cs="Times New Roman"/>
          <w:color w:val="auto"/>
          <w:kern w:val="0"/>
          <w:sz w:val="24"/>
          <w:highlight w:val="none"/>
          <w:lang w:val="en-US" w:eastAsia="zh-CN"/>
        </w:rPr>
        <w:t>杭州市萧山区人民政府新塘街道办事处</w:t>
      </w:r>
      <w:r>
        <w:rPr>
          <w:rFonts w:hint="eastAsia" w:ascii="Times New Roman" w:hAnsi="Times New Roman" w:eastAsia="宋体" w:cs="Times New Roman"/>
          <w:color w:val="auto"/>
          <w:kern w:val="0"/>
          <w:sz w:val="24"/>
          <w:highlight w:val="none"/>
          <w:u w:val="single"/>
          <w:lang w:val="en-US" w:eastAsia="zh-CN"/>
        </w:rPr>
        <w:t xml:space="preserve">   </w:t>
      </w:r>
      <w:r>
        <w:rPr>
          <w:rFonts w:hint="eastAsia" w:ascii="Times New Roman" w:hAnsi="Times New Roman" w:eastAsia="宋体" w:cs="Times New Roman"/>
          <w:color w:val="auto"/>
          <w:kern w:val="0"/>
          <w:sz w:val="24"/>
          <w:highlight w:val="none"/>
          <w:lang w:val="en-US" w:eastAsia="zh-CN"/>
        </w:rPr>
        <w:t>账户</w:t>
      </w:r>
      <w:r>
        <w:rPr>
          <w:rFonts w:hint="eastAsia"/>
          <w:color w:val="auto"/>
          <w:kern w:val="0"/>
          <w:sz w:val="24"/>
          <w:highlight w:val="none"/>
        </w:rPr>
        <w:t>开立</w:t>
      </w:r>
      <w:r>
        <w:rPr>
          <w:color w:val="auto"/>
          <w:kern w:val="0"/>
          <w:sz w:val="24"/>
          <w:highlight w:val="none"/>
        </w:rPr>
        <w:t>银行，其存款有关的资金管理、本息收回、银行对口服务等活动适用本协议。</w:t>
      </w:r>
    </w:p>
    <w:p w14:paraId="7B54C25C">
      <w:pPr>
        <w:widowControl/>
        <w:spacing w:line="360" w:lineRule="auto"/>
        <w:ind w:firstLine="480"/>
        <w:rPr>
          <w:color w:val="auto"/>
          <w:kern w:val="0"/>
          <w:sz w:val="24"/>
          <w:highlight w:val="none"/>
        </w:rPr>
      </w:pPr>
      <w:r>
        <w:rPr>
          <w:color w:val="auto"/>
          <w:kern w:val="0"/>
          <w:sz w:val="24"/>
          <w:highlight w:val="none"/>
        </w:rPr>
        <w:t>第三条 经确定，甲方在乙方开立</w:t>
      </w:r>
      <w:r>
        <w:rPr>
          <w:rFonts w:hint="eastAsia"/>
          <w:color w:val="auto"/>
          <w:kern w:val="0"/>
          <w:sz w:val="24"/>
          <w:highlight w:val="none"/>
          <w:u w:val="single"/>
        </w:rPr>
        <w:t xml:space="preserve">            </w:t>
      </w:r>
      <w:r>
        <w:rPr>
          <w:rFonts w:hint="eastAsia"/>
          <w:color w:val="auto"/>
          <w:kern w:val="0"/>
          <w:sz w:val="24"/>
          <w:highlight w:val="none"/>
        </w:rPr>
        <w:t>户，</w:t>
      </w:r>
      <w:r>
        <w:rPr>
          <w:rFonts w:hint="eastAsia"/>
          <w:color w:val="auto"/>
          <w:sz w:val="24"/>
          <w:highlight w:val="none"/>
        </w:rPr>
        <w:t>用于</w:t>
      </w:r>
      <w:r>
        <w:rPr>
          <w:color w:val="auto"/>
          <w:kern w:val="0"/>
          <w:sz w:val="24"/>
          <w:highlight w:val="none"/>
          <w:u w:val="single"/>
        </w:rPr>
        <w:t xml:space="preserve">           </w:t>
      </w:r>
      <w:r>
        <w:rPr>
          <w:color w:val="auto"/>
          <w:kern w:val="0"/>
          <w:sz w:val="24"/>
          <w:highlight w:val="none"/>
        </w:rPr>
        <w:t>，存入约</w:t>
      </w:r>
      <w:r>
        <w:rPr>
          <w:color w:val="auto"/>
          <w:kern w:val="0"/>
          <w:sz w:val="24"/>
          <w:highlight w:val="none"/>
          <w:u w:val="single"/>
        </w:rPr>
        <w:t xml:space="preserve">    </w:t>
      </w:r>
      <w:r>
        <w:rPr>
          <w:rFonts w:hint="eastAsia"/>
          <w:color w:val="auto"/>
          <w:kern w:val="0"/>
          <w:sz w:val="24"/>
          <w:highlight w:val="none"/>
          <w:u w:val="single"/>
        </w:rPr>
        <w:t xml:space="preserve">     </w:t>
      </w:r>
      <w:r>
        <w:rPr>
          <w:color w:val="auto"/>
          <w:kern w:val="0"/>
          <w:sz w:val="24"/>
          <w:highlight w:val="none"/>
          <w:u w:val="single"/>
        </w:rPr>
        <w:t xml:space="preserve"> </w:t>
      </w:r>
      <w:r>
        <w:rPr>
          <w:color w:val="auto"/>
          <w:kern w:val="0"/>
          <w:sz w:val="24"/>
          <w:highlight w:val="none"/>
        </w:rPr>
        <w:t>万元，乙方指定服务网点</w:t>
      </w:r>
      <w:r>
        <w:rPr>
          <w:color w:val="auto"/>
          <w:kern w:val="0"/>
          <w:sz w:val="24"/>
          <w:highlight w:val="none"/>
          <w:u w:val="single"/>
        </w:rPr>
        <w:t xml:space="preserve">            </w:t>
      </w:r>
      <w:r>
        <w:rPr>
          <w:rFonts w:hint="eastAsia"/>
          <w:color w:val="auto"/>
          <w:kern w:val="0"/>
          <w:sz w:val="24"/>
          <w:highlight w:val="none"/>
        </w:rPr>
        <w:t>，</w:t>
      </w:r>
      <w:r>
        <w:rPr>
          <w:color w:val="auto"/>
          <w:kern w:val="0"/>
          <w:sz w:val="24"/>
          <w:highlight w:val="none"/>
        </w:rPr>
        <w:t xml:space="preserve">拟派客户经理 </w:t>
      </w:r>
      <w:r>
        <w:rPr>
          <w:color w:val="auto"/>
          <w:kern w:val="0"/>
          <w:sz w:val="24"/>
          <w:highlight w:val="none"/>
          <w:u w:val="single"/>
        </w:rPr>
        <w:t xml:space="preserve">            </w:t>
      </w:r>
      <w:r>
        <w:rPr>
          <w:rFonts w:hint="eastAsia"/>
          <w:color w:val="auto"/>
          <w:kern w:val="0"/>
          <w:sz w:val="24"/>
          <w:highlight w:val="none"/>
          <w:u w:val="none"/>
          <w:lang w:eastAsia="zh-CN"/>
        </w:rPr>
        <w:t>，</w:t>
      </w:r>
      <w:r>
        <w:rPr>
          <w:rFonts w:hint="eastAsia"/>
          <w:color w:val="auto"/>
          <w:kern w:val="0"/>
          <w:sz w:val="24"/>
          <w:highlight w:val="none"/>
          <w:u w:val="none"/>
          <w:lang w:val="en-US" w:eastAsia="zh-CN"/>
        </w:rPr>
        <w:t>联系电话：</w:t>
      </w:r>
      <w:r>
        <w:rPr>
          <w:rFonts w:hint="eastAsia"/>
          <w:color w:val="auto"/>
          <w:kern w:val="0"/>
          <w:sz w:val="24"/>
          <w:highlight w:val="none"/>
          <w:u w:val="single"/>
          <w:lang w:val="en-US" w:eastAsia="zh-CN"/>
        </w:rPr>
        <w:t xml:space="preserve">             </w:t>
      </w:r>
      <w:r>
        <w:rPr>
          <w:color w:val="auto"/>
          <w:kern w:val="0"/>
          <w:sz w:val="24"/>
          <w:highlight w:val="none"/>
        </w:rPr>
        <w:t>。</w:t>
      </w:r>
    </w:p>
    <w:tbl>
      <w:tblPr>
        <w:tblStyle w:val="3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2592"/>
        <w:gridCol w:w="4871"/>
      </w:tblGrid>
      <w:tr w14:paraId="3958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89" w:type="dxa"/>
            <w:noWrap w:val="0"/>
            <w:vAlign w:val="center"/>
          </w:tcPr>
          <w:p w14:paraId="581C9A95">
            <w:pPr>
              <w:snapToGrid w:val="0"/>
              <w:spacing w:line="360" w:lineRule="auto"/>
              <w:jc w:val="center"/>
              <w:rPr>
                <w:color w:val="auto"/>
                <w:sz w:val="24"/>
                <w:highlight w:val="none"/>
              </w:rPr>
            </w:pPr>
            <w:r>
              <w:rPr>
                <w:color w:val="auto"/>
                <w:sz w:val="24"/>
                <w:highlight w:val="none"/>
              </w:rPr>
              <w:t>序号</w:t>
            </w:r>
          </w:p>
        </w:tc>
        <w:tc>
          <w:tcPr>
            <w:tcW w:w="2592" w:type="dxa"/>
            <w:noWrap w:val="0"/>
            <w:vAlign w:val="center"/>
          </w:tcPr>
          <w:p w14:paraId="202EAF88">
            <w:pPr>
              <w:snapToGrid w:val="0"/>
              <w:spacing w:line="360" w:lineRule="auto"/>
              <w:jc w:val="center"/>
              <w:rPr>
                <w:color w:val="auto"/>
                <w:sz w:val="24"/>
                <w:highlight w:val="none"/>
              </w:rPr>
            </w:pPr>
            <w:r>
              <w:rPr>
                <w:color w:val="auto"/>
                <w:sz w:val="24"/>
                <w:highlight w:val="none"/>
              </w:rPr>
              <w:t>存款期</w:t>
            </w:r>
          </w:p>
        </w:tc>
        <w:tc>
          <w:tcPr>
            <w:tcW w:w="4871" w:type="dxa"/>
            <w:noWrap w:val="0"/>
            <w:vAlign w:val="center"/>
          </w:tcPr>
          <w:p w14:paraId="5DAFA6D5">
            <w:pPr>
              <w:snapToGrid w:val="0"/>
              <w:spacing w:line="360" w:lineRule="auto"/>
              <w:jc w:val="center"/>
              <w:rPr>
                <w:color w:val="auto"/>
                <w:sz w:val="24"/>
                <w:highlight w:val="none"/>
              </w:rPr>
            </w:pPr>
            <w:r>
              <w:rPr>
                <w:rFonts w:hint="eastAsia"/>
                <w:color w:val="auto"/>
                <w:sz w:val="24"/>
                <w:highlight w:val="none"/>
              </w:rPr>
              <w:t>存款年利率</w:t>
            </w:r>
            <w:r>
              <w:rPr>
                <w:color w:val="auto"/>
                <w:sz w:val="24"/>
                <w:highlight w:val="none"/>
              </w:rPr>
              <w:t>较基准利率的上浮</w:t>
            </w:r>
            <w:r>
              <w:rPr>
                <w:rFonts w:hint="eastAsia"/>
                <w:color w:val="auto"/>
                <w:sz w:val="24"/>
                <w:highlight w:val="none"/>
                <w:lang w:eastAsia="zh-CN"/>
              </w:rPr>
              <w:t>或者下浮</w:t>
            </w:r>
            <w:r>
              <w:rPr>
                <w:rFonts w:hint="eastAsia"/>
                <w:color w:val="auto"/>
                <w:sz w:val="24"/>
                <w:highlight w:val="none"/>
              </w:rPr>
              <w:t>基点</w:t>
            </w:r>
            <w:r>
              <w:rPr>
                <w:color w:val="auto"/>
                <w:sz w:val="24"/>
                <w:highlight w:val="none"/>
              </w:rPr>
              <w:t>（</w:t>
            </w:r>
            <w:r>
              <w:rPr>
                <w:rFonts w:hint="eastAsia"/>
                <w:color w:val="auto"/>
                <w:sz w:val="24"/>
                <w:highlight w:val="none"/>
              </w:rPr>
              <w:t>BP</w:t>
            </w:r>
            <w:r>
              <w:rPr>
                <w:color w:val="auto"/>
                <w:sz w:val="24"/>
                <w:highlight w:val="none"/>
              </w:rPr>
              <w:t>）</w:t>
            </w:r>
          </w:p>
          <w:p w14:paraId="3CE5FAB2">
            <w:pPr>
              <w:snapToGrid w:val="0"/>
              <w:spacing w:line="360" w:lineRule="auto"/>
              <w:jc w:val="center"/>
              <w:rPr>
                <w:color w:val="auto"/>
                <w:sz w:val="24"/>
                <w:highlight w:val="none"/>
              </w:rPr>
            </w:pPr>
            <w:r>
              <w:rPr>
                <w:rFonts w:hint="eastAsia"/>
                <w:color w:val="auto"/>
                <w:sz w:val="24"/>
                <w:highlight w:val="none"/>
              </w:rPr>
              <w:t>（</w:t>
            </w:r>
            <w:r>
              <w:rPr>
                <w:rFonts w:hint="eastAsia"/>
                <w:color w:val="auto"/>
                <w:highlight w:val="none"/>
              </w:rPr>
              <w:t>基准利率+基点</w:t>
            </w:r>
            <w:r>
              <w:rPr>
                <w:rFonts w:hint="eastAsia"/>
                <w:color w:val="auto"/>
                <w:sz w:val="24"/>
                <w:highlight w:val="none"/>
              </w:rPr>
              <w:t>）</w:t>
            </w:r>
          </w:p>
        </w:tc>
      </w:tr>
      <w:tr w14:paraId="3AB5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689" w:type="dxa"/>
            <w:noWrap w:val="0"/>
            <w:vAlign w:val="center"/>
          </w:tcPr>
          <w:p w14:paraId="2915D446">
            <w:pPr>
              <w:snapToGrid w:val="0"/>
              <w:spacing w:line="360" w:lineRule="auto"/>
              <w:ind w:firstLine="240" w:firstLineChars="100"/>
              <w:rPr>
                <w:color w:val="auto"/>
                <w:sz w:val="24"/>
                <w:highlight w:val="none"/>
              </w:rPr>
            </w:pPr>
            <w:r>
              <w:rPr>
                <w:color w:val="auto"/>
                <w:sz w:val="24"/>
                <w:highlight w:val="none"/>
              </w:rPr>
              <w:t>1</w:t>
            </w:r>
          </w:p>
        </w:tc>
        <w:tc>
          <w:tcPr>
            <w:tcW w:w="2592" w:type="dxa"/>
            <w:noWrap w:val="0"/>
            <w:vAlign w:val="center"/>
          </w:tcPr>
          <w:p w14:paraId="41509F8F">
            <w:pPr>
              <w:snapToGrid w:val="0"/>
              <w:spacing w:line="360" w:lineRule="auto"/>
              <w:ind w:firstLine="480" w:firstLineChars="200"/>
              <w:rPr>
                <w:color w:val="auto"/>
                <w:sz w:val="24"/>
                <w:highlight w:val="none"/>
              </w:rPr>
            </w:pPr>
            <w:r>
              <w:rPr>
                <w:color w:val="auto"/>
                <w:sz w:val="24"/>
                <w:highlight w:val="none"/>
              </w:rPr>
              <w:t>活期存款利率</w:t>
            </w:r>
          </w:p>
        </w:tc>
        <w:tc>
          <w:tcPr>
            <w:tcW w:w="4871" w:type="dxa"/>
            <w:noWrap w:val="0"/>
            <w:vAlign w:val="center"/>
          </w:tcPr>
          <w:p w14:paraId="2EC28350">
            <w:pPr>
              <w:widowControl/>
              <w:spacing w:line="360" w:lineRule="auto"/>
              <w:jc w:val="center"/>
              <w:rPr>
                <w:color w:val="auto"/>
                <w:highlight w:val="none"/>
              </w:rPr>
            </w:pPr>
            <w:r>
              <w:rPr>
                <w:rFonts w:hint="eastAsia"/>
                <w:color w:val="auto"/>
                <w:sz w:val="24"/>
                <w:highlight w:val="none"/>
              </w:rPr>
              <w:t xml:space="preserve">基准利率+ </w:t>
            </w:r>
            <w:r>
              <w:rPr>
                <w:rFonts w:hint="eastAsia"/>
                <w:color w:val="auto"/>
                <w:sz w:val="24"/>
                <w:highlight w:val="none"/>
                <w:u w:val="single"/>
              </w:rPr>
              <w:t xml:space="preserve">      </w:t>
            </w:r>
            <w:r>
              <w:rPr>
                <w:rFonts w:hint="eastAsia"/>
                <w:color w:val="auto"/>
                <w:sz w:val="24"/>
                <w:highlight w:val="none"/>
              </w:rPr>
              <w:t>BP</w:t>
            </w:r>
          </w:p>
        </w:tc>
      </w:tr>
      <w:tr w14:paraId="1390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689" w:type="dxa"/>
            <w:noWrap w:val="0"/>
            <w:vAlign w:val="center"/>
          </w:tcPr>
          <w:p w14:paraId="02D5DB5A">
            <w:pPr>
              <w:snapToGrid w:val="0"/>
              <w:spacing w:line="360" w:lineRule="auto"/>
              <w:ind w:firstLine="240" w:firstLineChars="100"/>
              <w:rPr>
                <w:color w:val="auto"/>
                <w:sz w:val="24"/>
                <w:highlight w:val="none"/>
              </w:rPr>
            </w:pPr>
            <w:r>
              <w:rPr>
                <w:color w:val="auto"/>
                <w:sz w:val="24"/>
                <w:highlight w:val="none"/>
              </w:rPr>
              <w:t>2</w:t>
            </w:r>
          </w:p>
        </w:tc>
        <w:tc>
          <w:tcPr>
            <w:tcW w:w="2592" w:type="dxa"/>
            <w:noWrap w:val="0"/>
            <w:vAlign w:val="center"/>
          </w:tcPr>
          <w:p w14:paraId="0ED887F4">
            <w:pPr>
              <w:snapToGrid w:val="0"/>
              <w:spacing w:line="360" w:lineRule="auto"/>
              <w:ind w:firstLine="480" w:firstLineChars="200"/>
              <w:rPr>
                <w:rFonts w:hint="eastAsia"/>
                <w:color w:val="auto"/>
                <w:sz w:val="24"/>
                <w:highlight w:val="none"/>
              </w:rPr>
            </w:pPr>
            <w:r>
              <w:rPr>
                <w:rFonts w:hint="eastAsia"/>
                <w:color w:val="auto"/>
                <w:sz w:val="24"/>
                <w:highlight w:val="none"/>
              </w:rPr>
              <w:t>协定存款利率</w:t>
            </w:r>
          </w:p>
        </w:tc>
        <w:tc>
          <w:tcPr>
            <w:tcW w:w="4871" w:type="dxa"/>
            <w:noWrap w:val="0"/>
            <w:vAlign w:val="center"/>
          </w:tcPr>
          <w:p w14:paraId="294922A9">
            <w:pPr>
              <w:widowControl/>
              <w:spacing w:line="360" w:lineRule="auto"/>
              <w:jc w:val="center"/>
              <w:rPr>
                <w:color w:val="auto"/>
                <w:highlight w:val="none"/>
              </w:rPr>
            </w:pPr>
            <w:r>
              <w:rPr>
                <w:rFonts w:hint="eastAsia"/>
                <w:color w:val="auto"/>
                <w:sz w:val="24"/>
                <w:highlight w:val="none"/>
              </w:rPr>
              <w:t xml:space="preserve">基准利率+ </w:t>
            </w:r>
            <w:r>
              <w:rPr>
                <w:rFonts w:hint="eastAsia"/>
                <w:color w:val="auto"/>
                <w:sz w:val="24"/>
                <w:highlight w:val="none"/>
                <w:u w:val="single"/>
              </w:rPr>
              <w:t xml:space="preserve">      </w:t>
            </w:r>
            <w:r>
              <w:rPr>
                <w:rFonts w:hint="eastAsia"/>
                <w:color w:val="auto"/>
                <w:sz w:val="24"/>
                <w:highlight w:val="none"/>
              </w:rPr>
              <w:t>BP</w:t>
            </w:r>
          </w:p>
        </w:tc>
      </w:tr>
      <w:tr w14:paraId="2A92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689" w:type="dxa"/>
            <w:noWrap w:val="0"/>
            <w:vAlign w:val="center"/>
          </w:tcPr>
          <w:p w14:paraId="7BAE50FD">
            <w:pPr>
              <w:snapToGrid w:val="0"/>
              <w:spacing w:line="360" w:lineRule="auto"/>
              <w:ind w:firstLine="240" w:firstLineChars="100"/>
              <w:rPr>
                <w:rFonts w:hint="eastAsia"/>
                <w:color w:val="auto"/>
                <w:sz w:val="24"/>
                <w:highlight w:val="none"/>
              </w:rPr>
            </w:pPr>
            <w:r>
              <w:rPr>
                <w:rFonts w:hint="eastAsia"/>
                <w:color w:val="auto"/>
                <w:sz w:val="24"/>
                <w:highlight w:val="none"/>
              </w:rPr>
              <w:t>3</w:t>
            </w:r>
          </w:p>
        </w:tc>
        <w:tc>
          <w:tcPr>
            <w:tcW w:w="2592" w:type="dxa"/>
            <w:noWrap w:val="0"/>
            <w:vAlign w:val="center"/>
          </w:tcPr>
          <w:p w14:paraId="64A1AA2C">
            <w:pPr>
              <w:snapToGrid w:val="0"/>
              <w:spacing w:line="360" w:lineRule="auto"/>
              <w:ind w:firstLine="420" w:firstLineChars="200"/>
              <w:rPr>
                <w:color w:val="auto"/>
                <w:sz w:val="24"/>
                <w:highlight w:val="none"/>
              </w:rPr>
            </w:pPr>
            <w:r>
              <w:rPr>
                <w:rFonts w:hint="eastAsia" w:ascii="宋体" w:hAnsi="宋体" w:eastAsia="宋体" w:cs="宋体"/>
              </w:rPr>
              <w:t>七天通知存款利率</w:t>
            </w:r>
          </w:p>
        </w:tc>
        <w:tc>
          <w:tcPr>
            <w:tcW w:w="4871" w:type="dxa"/>
            <w:noWrap w:val="0"/>
            <w:vAlign w:val="center"/>
          </w:tcPr>
          <w:p w14:paraId="5DF70479">
            <w:pPr>
              <w:widowControl/>
              <w:spacing w:line="360" w:lineRule="auto"/>
              <w:jc w:val="center"/>
              <w:rPr>
                <w:rFonts w:hint="eastAsia"/>
                <w:color w:val="auto"/>
                <w:highlight w:val="none"/>
              </w:rPr>
            </w:pPr>
            <w:r>
              <w:rPr>
                <w:rFonts w:hint="eastAsia"/>
                <w:color w:val="auto"/>
                <w:sz w:val="24"/>
                <w:highlight w:val="none"/>
              </w:rPr>
              <w:t xml:space="preserve">基准利率+ </w:t>
            </w:r>
            <w:r>
              <w:rPr>
                <w:rFonts w:hint="eastAsia"/>
                <w:color w:val="auto"/>
                <w:sz w:val="24"/>
                <w:highlight w:val="none"/>
                <w:u w:val="single"/>
              </w:rPr>
              <w:t xml:space="preserve">      </w:t>
            </w:r>
            <w:r>
              <w:rPr>
                <w:rFonts w:hint="eastAsia"/>
                <w:color w:val="auto"/>
                <w:sz w:val="24"/>
                <w:highlight w:val="none"/>
              </w:rPr>
              <w:t>BP</w:t>
            </w:r>
          </w:p>
        </w:tc>
      </w:tr>
      <w:tr w14:paraId="4C1C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689" w:type="dxa"/>
            <w:noWrap w:val="0"/>
            <w:vAlign w:val="center"/>
          </w:tcPr>
          <w:p w14:paraId="0B534103">
            <w:pPr>
              <w:snapToGrid w:val="0"/>
              <w:spacing w:line="360" w:lineRule="auto"/>
              <w:ind w:firstLine="240" w:firstLineChars="100"/>
              <w:rPr>
                <w:rFonts w:hint="eastAsia" w:eastAsia="宋体"/>
                <w:color w:val="auto"/>
                <w:sz w:val="24"/>
                <w:highlight w:val="none"/>
                <w:lang w:val="en-US" w:eastAsia="zh-CN"/>
              </w:rPr>
            </w:pPr>
            <w:r>
              <w:rPr>
                <w:rFonts w:hint="eastAsia"/>
                <w:color w:val="auto"/>
                <w:sz w:val="24"/>
                <w:highlight w:val="none"/>
                <w:lang w:val="en-US" w:eastAsia="zh-CN"/>
              </w:rPr>
              <w:t>4</w:t>
            </w:r>
          </w:p>
        </w:tc>
        <w:tc>
          <w:tcPr>
            <w:tcW w:w="2592" w:type="dxa"/>
            <w:noWrap w:val="0"/>
            <w:vAlign w:val="center"/>
          </w:tcPr>
          <w:p w14:paraId="30556992">
            <w:pPr>
              <w:snapToGrid w:val="0"/>
              <w:spacing w:line="360" w:lineRule="auto"/>
              <w:ind w:firstLine="420" w:firstLineChars="200"/>
              <w:rPr>
                <w:rFonts w:hint="eastAsia" w:ascii="宋体" w:hAnsi="宋体" w:eastAsia="宋体" w:cs="宋体"/>
              </w:rPr>
            </w:pPr>
            <w:r>
              <w:rPr>
                <w:rFonts w:hint="eastAsia" w:ascii="宋体" w:hAnsi="宋体" w:eastAsia="宋体" w:cs="宋体"/>
              </w:rPr>
              <w:t>六个月定期存款利率</w:t>
            </w:r>
          </w:p>
        </w:tc>
        <w:tc>
          <w:tcPr>
            <w:tcW w:w="4871" w:type="dxa"/>
            <w:noWrap w:val="0"/>
            <w:vAlign w:val="center"/>
          </w:tcPr>
          <w:p w14:paraId="01740470">
            <w:pPr>
              <w:widowControl/>
              <w:spacing w:line="360" w:lineRule="auto"/>
              <w:jc w:val="center"/>
              <w:rPr>
                <w:rFonts w:hint="eastAsia"/>
                <w:color w:val="auto"/>
                <w:sz w:val="24"/>
                <w:highlight w:val="none"/>
              </w:rPr>
            </w:pPr>
            <w:r>
              <w:rPr>
                <w:rFonts w:hint="eastAsia"/>
                <w:color w:val="auto"/>
                <w:sz w:val="24"/>
                <w:highlight w:val="none"/>
              </w:rPr>
              <w:t xml:space="preserve">基准利率+ </w:t>
            </w:r>
            <w:r>
              <w:rPr>
                <w:rFonts w:hint="eastAsia"/>
                <w:color w:val="auto"/>
                <w:sz w:val="24"/>
                <w:highlight w:val="none"/>
                <w:u w:val="single"/>
              </w:rPr>
              <w:t xml:space="preserve">      </w:t>
            </w:r>
            <w:r>
              <w:rPr>
                <w:rFonts w:hint="eastAsia"/>
                <w:color w:val="auto"/>
                <w:sz w:val="24"/>
                <w:highlight w:val="none"/>
              </w:rPr>
              <w:t>BP</w:t>
            </w:r>
          </w:p>
        </w:tc>
      </w:tr>
      <w:tr w14:paraId="497C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689" w:type="dxa"/>
            <w:noWrap w:val="0"/>
            <w:vAlign w:val="center"/>
          </w:tcPr>
          <w:p w14:paraId="6E2F904B">
            <w:pPr>
              <w:snapToGrid w:val="0"/>
              <w:spacing w:line="360" w:lineRule="auto"/>
              <w:ind w:firstLine="240" w:firstLineChars="100"/>
              <w:rPr>
                <w:rFonts w:hint="eastAsia" w:eastAsia="宋体"/>
                <w:color w:val="auto"/>
                <w:sz w:val="24"/>
                <w:highlight w:val="none"/>
                <w:lang w:val="en-US" w:eastAsia="zh-CN"/>
              </w:rPr>
            </w:pPr>
            <w:r>
              <w:rPr>
                <w:rFonts w:hint="eastAsia"/>
                <w:color w:val="auto"/>
                <w:sz w:val="24"/>
                <w:highlight w:val="none"/>
                <w:lang w:val="en-US" w:eastAsia="zh-CN"/>
              </w:rPr>
              <w:t>5</w:t>
            </w:r>
          </w:p>
        </w:tc>
        <w:tc>
          <w:tcPr>
            <w:tcW w:w="2592" w:type="dxa"/>
            <w:noWrap w:val="0"/>
            <w:vAlign w:val="center"/>
          </w:tcPr>
          <w:p w14:paraId="3339FF2F">
            <w:pPr>
              <w:snapToGrid w:val="0"/>
              <w:spacing w:line="360" w:lineRule="auto"/>
              <w:ind w:firstLine="420" w:firstLineChars="200"/>
              <w:rPr>
                <w:rFonts w:hint="eastAsia" w:ascii="宋体" w:hAnsi="宋体" w:eastAsia="宋体" w:cs="宋体"/>
              </w:rPr>
            </w:pPr>
            <w:r>
              <w:rPr>
                <w:rFonts w:hint="eastAsia" w:ascii="宋体" w:hAnsi="宋体" w:eastAsia="宋体" w:cs="宋体"/>
              </w:rPr>
              <w:t>一年期定期存款利率</w:t>
            </w:r>
          </w:p>
        </w:tc>
        <w:tc>
          <w:tcPr>
            <w:tcW w:w="4871" w:type="dxa"/>
            <w:noWrap w:val="0"/>
            <w:vAlign w:val="center"/>
          </w:tcPr>
          <w:p w14:paraId="6C084269">
            <w:pPr>
              <w:widowControl/>
              <w:spacing w:line="360" w:lineRule="auto"/>
              <w:jc w:val="center"/>
              <w:rPr>
                <w:rFonts w:hint="eastAsia"/>
                <w:color w:val="auto"/>
                <w:sz w:val="24"/>
                <w:highlight w:val="none"/>
              </w:rPr>
            </w:pPr>
            <w:r>
              <w:rPr>
                <w:rFonts w:hint="eastAsia"/>
                <w:color w:val="auto"/>
                <w:sz w:val="24"/>
                <w:highlight w:val="none"/>
              </w:rPr>
              <w:t xml:space="preserve">基准利率+ </w:t>
            </w:r>
            <w:r>
              <w:rPr>
                <w:rFonts w:hint="eastAsia"/>
                <w:color w:val="auto"/>
                <w:sz w:val="24"/>
                <w:highlight w:val="none"/>
                <w:u w:val="single"/>
              </w:rPr>
              <w:t xml:space="preserve">      </w:t>
            </w:r>
            <w:r>
              <w:rPr>
                <w:rFonts w:hint="eastAsia"/>
                <w:color w:val="auto"/>
                <w:sz w:val="24"/>
                <w:highlight w:val="none"/>
              </w:rPr>
              <w:t>BP</w:t>
            </w:r>
          </w:p>
        </w:tc>
      </w:tr>
    </w:tbl>
    <w:p w14:paraId="0923CF52">
      <w:pPr>
        <w:widowControl/>
        <w:spacing w:line="360" w:lineRule="auto"/>
        <w:ind w:firstLine="480"/>
        <w:rPr>
          <w:color w:val="auto"/>
          <w:kern w:val="0"/>
          <w:sz w:val="24"/>
          <w:highlight w:val="none"/>
        </w:rPr>
      </w:pPr>
    </w:p>
    <w:p w14:paraId="35DA63D2">
      <w:pPr>
        <w:widowControl/>
        <w:spacing w:line="360" w:lineRule="auto"/>
        <w:ind w:firstLine="480"/>
        <w:rPr>
          <w:b/>
          <w:bCs/>
          <w:color w:val="auto"/>
          <w:kern w:val="0"/>
          <w:sz w:val="24"/>
          <w:highlight w:val="none"/>
        </w:rPr>
      </w:pPr>
      <w:r>
        <w:rPr>
          <w:b/>
          <w:bCs/>
          <w:color w:val="auto"/>
          <w:kern w:val="0"/>
          <w:sz w:val="24"/>
          <w:highlight w:val="none"/>
        </w:rPr>
        <w:t>二、甲方权利与义务。</w:t>
      </w:r>
    </w:p>
    <w:p w14:paraId="28460612">
      <w:pPr>
        <w:widowControl/>
        <w:spacing w:line="360" w:lineRule="auto"/>
        <w:ind w:firstLine="480"/>
        <w:rPr>
          <w:color w:val="auto"/>
          <w:kern w:val="0"/>
          <w:sz w:val="24"/>
          <w:highlight w:val="none"/>
        </w:rPr>
      </w:pPr>
      <w:r>
        <w:rPr>
          <w:color w:val="auto"/>
          <w:kern w:val="0"/>
          <w:sz w:val="24"/>
          <w:highlight w:val="none"/>
        </w:rPr>
        <w:t>（一）甲方权利主要包括：</w:t>
      </w:r>
    </w:p>
    <w:p w14:paraId="7E1085BF">
      <w:pPr>
        <w:widowControl/>
        <w:spacing w:line="360" w:lineRule="auto"/>
        <w:ind w:firstLine="480"/>
        <w:rPr>
          <w:color w:val="auto"/>
          <w:kern w:val="0"/>
          <w:sz w:val="24"/>
          <w:highlight w:val="none"/>
        </w:rPr>
      </w:pPr>
      <w:r>
        <w:rPr>
          <w:color w:val="auto"/>
          <w:kern w:val="0"/>
          <w:sz w:val="24"/>
          <w:highlight w:val="none"/>
        </w:rPr>
        <w:t>1. 要求乙方提供存款证明；；</w:t>
      </w:r>
    </w:p>
    <w:p w14:paraId="2DB262F3">
      <w:pPr>
        <w:widowControl/>
        <w:spacing w:line="360" w:lineRule="auto"/>
        <w:ind w:firstLine="480"/>
        <w:rPr>
          <w:color w:val="auto"/>
          <w:kern w:val="0"/>
          <w:sz w:val="24"/>
          <w:highlight w:val="none"/>
        </w:rPr>
      </w:pPr>
      <w:r>
        <w:rPr>
          <w:color w:val="auto"/>
          <w:kern w:val="0"/>
          <w:sz w:val="24"/>
          <w:highlight w:val="none"/>
        </w:rPr>
        <w:t>2. 对乙方在的基本存款业务实施监督管理。</w:t>
      </w:r>
    </w:p>
    <w:p w14:paraId="5BC95475">
      <w:pPr>
        <w:widowControl/>
        <w:spacing w:line="360" w:lineRule="auto"/>
        <w:ind w:firstLine="480"/>
        <w:rPr>
          <w:color w:val="auto"/>
          <w:kern w:val="0"/>
          <w:sz w:val="24"/>
          <w:highlight w:val="none"/>
        </w:rPr>
      </w:pPr>
      <w:r>
        <w:rPr>
          <w:color w:val="auto"/>
          <w:kern w:val="0"/>
          <w:sz w:val="24"/>
          <w:highlight w:val="none"/>
        </w:rPr>
        <w:t>（二）甲方义务主要包括：</w:t>
      </w:r>
    </w:p>
    <w:p w14:paraId="0851EC69">
      <w:pPr>
        <w:widowControl/>
        <w:spacing w:line="360" w:lineRule="auto"/>
        <w:ind w:firstLine="480"/>
        <w:rPr>
          <w:color w:val="auto"/>
          <w:kern w:val="0"/>
          <w:sz w:val="24"/>
          <w:highlight w:val="none"/>
        </w:rPr>
      </w:pPr>
      <w:r>
        <w:rPr>
          <w:color w:val="auto"/>
          <w:kern w:val="0"/>
          <w:sz w:val="24"/>
          <w:highlight w:val="none"/>
        </w:rPr>
        <w:t>1.按规定签发划拨存款资金的指令。</w:t>
      </w:r>
    </w:p>
    <w:p w14:paraId="62BB84F1">
      <w:pPr>
        <w:widowControl/>
        <w:spacing w:line="360" w:lineRule="auto"/>
        <w:ind w:firstLine="480"/>
        <w:rPr>
          <w:b/>
          <w:bCs/>
          <w:color w:val="auto"/>
          <w:kern w:val="0"/>
          <w:sz w:val="24"/>
          <w:highlight w:val="none"/>
        </w:rPr>
      </w:pPr>
      <w:r>
        <w:rPr>
          <w:b/>
          <w:bCs/>
          <w:color w:val="auto"/>
          <w:kern w:val="0"/>
          <w:sz w:val="24"/>
          <w:highlight w:val="none"/>
        </w:rPr>
        <w:t>三、乙方权利与义务。</w:t>
      </w:r>
    </w:p>
    <w:p w14:paraId="0402BE2A">
      <w:pPr>
        <w:widowControl/>
        <w:spacing w:line="360" w:lineRule="auto"/>
        <w:ind w:firstLine="480"/>
        <w:rPr>
          <w:color w:val="auto"/>
          <w:kern w:val="0"/>
          <w:sz w:val="24"/>
          <w:highlight w:val="none"/>
        </w:rPr>
      </w:pPr>
      <w:r>
        <w:rPr>
          <w:color w:val="auto"/>
          <w:kern w:val="0"/>
          <w:sz w:val="24"/>
          <w:highlight w:val="none"/>
        </w:rPr>
        <w:t>（一）乙方权利主要包括：</w:t>
      </w:r>
    </w:p>
    <w:p w14:paraId="20E6E71F">
      <w:pPr>
        <w:widowControl/>
        <w:spacing w:line="360" w:lineRule="auto"/>
        <w:ind w:firstLine="480"/>
        <w:rPr>
          <w:color w:val="auto"/>
          <w:kern w:val="0"/>
          <w:sz w:val="24"/>
          <w:highlight w:val="none"/>
        </w:rPr>
      </w:pPr>
      <w:r>
        <w:rPr>
          <w:color w:val="auto"/>
          <w:kern w:val="0"/>
          <w:sz w:val="24"/>
          <w:highlight w:val="none"/>
        </w:rPr>
        <w:t>1.参与甲方组织的资金竞争性存放工作；</w:t>
      </w:r>
    </w:p>
    <w:p w14:paraId="1D5883DE">
      <w:pPr>
        <w:widowControl/>
        <w:spacing w:line="360" w:lineRule="auto"/>
        <w:ind w:firstLine="480"/>
        <w:rPr>
          <w:color w:val="auto"/>
          <w:kern w:val="0"/>
          <w:sz w:val="24"/>
          <w:highlight w:val="none"/>
        </w:rPr>
      </w:pPr>
      <w:r>
        <w:rPr>
          <w:color w:val="auto"/>
          <w:kern w:val="0"/>
          <w:sz w:val="24"/>
          <w:highlight w:val="none"/>
        </w:rPr>
        <w:t>2.按规定金额存放甲方存款。</w:t>
      </w:r>
    </w:p>
    <w:p w14:paraId="4ED9C8BE">
      <w:pPr>
        <w:widowControl/>
        <w:spacing w:line="360" w:lineRule="auto"/>
        <w:ind w:firstLine="480"/>
        <w:rPr>
          <w:color w:val="auto"/>
          <w:kern w:val="0"/>
          <w:sz w:val="24"/>
          <w:highlight w:val="none"/>
        </w:rPr>
      </w:pPr>
      <w:r>
        <w:rPr>
          <w:color w:val="auto"/>
          <w:kern w:val="0"/>
          <w:sz w:val="24"/>
          <w:highlight w:val="none"/>
        </w:rPr>
        <w:t>（二）乙方义务主要包括：</w:t>
      </w:r>
    </w:p>
    <w:p w14:paraId="7FBE1E0E">
      <w:pPr>
        <w:widowControl/>
        <w:spacing w:line="360" w:lineRule="auto"/>
        <w:ind w:firstLine="480"/>
        <w:rPr>
          <w:color w:val="auto"/>
          <w:kern w:val="0"/>
          <w:sz w:val="24"/>
          <w:highlight w:val="none"/>
        </w:rPr>
      </w:pPr>
      <w:r>
        <w:rPr>
          <w:color w:val="auto"/>
          <w:kern w:val="0"/>
          <w:sz w:val="24"/>
          <w:highlight w:val="none"/>
        </w:rPr>
        <w:t>1.按规定向甲方预留印鉴、办理账户信息备案手续；</w:t>
      </w:r>
    </w:p>
    <w:p w14:paraId="0D6B1938">
      <w:pPr>
        <w:widowControl/>
        <w:spacing w:line="360" w:lineRule="auto"/>
        <w:ind w:firstLine="480"/>
        <w:rPr>
          <w:color w:val="auto"/>
          <w:kern w:val="0"/>
          <w:sz w:val="24"/>
          <w:highlight w:val="none"/>
        </w:rPr>
      </w:pPr>
      <w:r>
        <w:rPr>
          <w:color w:val="auto"/>
          <w:kern w:val="0"/>
          <w:sz w:val="24"/>
          <w:highlight w:val="none"/>
        </w:rPr>
        <w:t>2.向甲方提供存款证明；</w:t>
      </w:r>
    </w:p>
    <w:p w14:paraId="0EF4BCA5">
      <w:pPr>
        <w:widowControl/>
        <w:spacing w:line="360" w:lineRule="auto"/>
        <w:ind w:firstLine="480"/>
        <w:rPr>
          <w:color w:val="auto"/>
          <w:kern w:val="0"/>
          <w:sz w:val="24"/>
          <w:highlight w:val="none"/>
        </w:rPr>
      </w:pPr>
      <w:r>
        <w:rPr>
          <w:color w:val="auto"/>
          <w:kern w:val="0"/>
          <w:sz w:val="24"/>
          <w:highlight w:val="none"/>
        </w:rPr>
        <w:t>3.存款到期及时足额缴清甲方存款本息；</w:t>
      </w:r>
    </w:p>
    <w:p w14:paraId="2921F943">
      <w:pPr>
        <w:widowControl/>
        <w:spacing w:line="360" w:lineRule="auto"/>
        <w:ind w:firstLine="480"/>
        <w:rPr>
          <w:color w:val="auto"/>
          <w:kern w:val="0"/>
          <w:sz w:val="24"/>
          <w:highlight w:val="none"/>
        </w:rPr>
      </w:pPr>
      <w:r>
        <w:rPr>
          <w:color w:val="auto"/>
          <w:kern w:val="0"/>
          <w:sz w:val="24"/>
          <w:highlight w:val="none"/>
        </w:rPr>
        <w:t>4.确保甲方存款存续期间的资金安全；</w:t>
      </w:r>
    </w:p>
    <w:p w14:paraId="612F2AB0">
      <w:pPr>
        <w:widowControl/>
        <w:spacing w:line="360" w:lineRule="auto"/>
        <w:ind w:firstLine="480"/>
        <w:rPr>
          <w:color w:val="auto"/>
          <w:kern w:val="0"/>
          <w:sz w:val="24"/>
          <w:highlight w:val="none"/>
        </w:rPr>
      </w:pPr>
      <w:r>
        <w:rPr>
          <w:color w:val="auto"/>
          <w:kern w:val="0"/>
          <w:sz w:val="24"/>
          <w:highlight w:val="none"/>
        </w:rPr>
        <w:t>5.接受甲方对存款业务的监督管理。</w:t>
      </w:r>
    </w:p>
    <w:p w14:paraId="124F5073">
      <w:pPr>
        <w:widowControl/>
        <w:spacing w:line="360" w:lineRule="auto"/>
        <w:ind w:firstLine="600"/>
        <w:rPr>
          <w:b/>
          <w:bCs/>
          <w:color w:val="auto"/>
          <w:kern w:val="0"/>
          <w:sz w:val="24"/>
          <w:highlight w:val="none"/>
        </w:rPr>
      </w:pPr>
      <w:r>
        <w:rPr>
          <w:b/>
          <w:bCs/>
          <w:color w:val="auto"/>
          <w:kern w:val="0"/>
          <w:sz w:val="24"/>
          <w:highlight w:val="none"/>
        </w:rPr>
        <w:t>四、违约责任。</w:t>
      </w:r>
    </w:p>
    <w:p w14:paraId="2A969AA4">
      <w:pPr>
        <w:widowControl/>
        <w:spacing w:line="360" w:lineRule="auto"/>
        <w:ind w:firstLine="600"/>
        <w:rPr>
          <w:color w:val="auto"/>
          <w:kern w:val="0"/>
          <w:sz w:val="24"/>
          <w:highlight w:val="none"/>
        </w:rPr>
      </w:pPr>
      <w:r>
        <w:rPr>
          <w:color w:val="auto"/>
          <w:kern w:val="0"/>
          <w:sz w:val="24"/>
          <w:highlight w:val="none"/>
        </w:rPr>
        <w:t>除发生不可抗力外，违约责任按以下条款执行：</w:t>
      </w:r>
    </w:p>
    <w:p w14:paraId="77EDEF6B">
      <w:pPr>
        <w:widowControl/>
        <w:spacing w:line="360" w:lineRule="auto"/>
        <w:ind w:firstLine="600"/>
        <w:rPr>
          <w:color w:val="auto"/>
          <w:kern w:val="0"/>
          <w:sz w:val="24"/>
          <w:highlight w:val="none"/>
        </w:rPr>
      </w:pPr>
      <w:r>
        <w:rPr>
          <w:color w:val="auto"/>
          <w:kern w:val="0"/>
          <w:sz w:val="24"/>
          <w:highlight w:val="none"/>
        </w:rPr>
        <w:t>1.乙方未及时向甲方缴清到期存款本息的，应以当期存款协议中定期存款利率的两倍折成日利率，按日向甲方支付违约金；</w:t>
      </w:r>
    </w:p>
    <w:p w14:paraId="6468C11E">
      <w:pPr>
        <w:widowControl/>
        <w:spacing w:line="360" w:lineRule="auto"/>
        <w:ind w:firstLine="600"/>
        <w:rPr>
          <w:color w:val="auto"/>
          <w:highlight w:val="none"/>
        </w:rPr>
      </w:pPr>
      <w:r>
        <w:rPr>
          <w:color w:val="auto"/>
          <w:kern w:val="0"/>
          <w:sz w:val="24"/>
          <w:highlight w:val="none"/>
        </w:rPr>
        <w:t>2.乙方有下列情形之一的，甲方有权提前</w:t>
      </w:r>
      <w:r>
        <w:rPr>
          <w:rFonts w:hint="eastAsia"/>
          <w:color w:val="auto"/>
          <w:kern w:val="0"/>
          <w:sz w:val="24"/>
          <w:highlight w:val="none"/>
          <w:lang w:val="en-US" w:eastAsia="zh-CN"/>
        </w:rPr>
        <w:t>单方面解除本协议，并提前</w:t>
      </w:r>
      <w:r>
        <w:rPr>
          <w:color w:val="auto"/>
          <w:kern w:val="0"/>
          <w:sz w:val="24"/>
          <w:highlight w:val="none"/>
        </w:rPr>
        <w:t>收回定期存款</w:t>
      </w:r>
      <w:r>
        <w:rPr>
          <w:rFonts w:hint="eastAsia"/>
          <w:color w:val="auto"/>
          <w:kern w:val="0"/>
          <w:sz w:val="24"/>
          <w:highlight w:val="none"/>
          <w:lang w:eastAsia="zh-CN"/>
        </w:rPr>
        <w:t>（</w:t>
      </w:r>
      <w:r>
        <w:rPr>
          <w:rFonts w:hint="eastAsia"/>
          <w:color w:val="auto"/>
          <w:kern w:val="0"/>
          <w:sz w:val="24"/>
          <w:highlight w:val="none"/>
          <w:lang w:val="en-US" w:eastAsia="zh-CN"/>
        </w:rPr>
        <w:t>包括利息）</w:t>
      </w:r>
      <w:r>
        <w:rPr>
          <w:color w:val="auto"/>
          <w:kern w:val="0"/>
          <w:sz w:val="24"/>
          <w:highlight w:val="none"/>
        </w:rPr>
        <w:t>，</w:t>
      </w:r>
      <w:r>
        <w:rPr>
          <w:rFonts w:hint="eastAsia"/>
          <w:color w:val="auto"/>
          <w:kern w:val="0"/>
          <w:sz w:val="24"/>
          <w:highlight w:val="none"/>
          <w:lang w:val="en-US" w:eastAsia="zh-CN"/>
        </w:rPr>
        <w:t>同时</w:t>
      </w:r>
      <w:r>
        <w:rPr>
          <w:color w:val="auto"/>
          <w:kern w:val="0"/>
          <w:sz w:val="24"/>
          <w:highlight w:val="none"/>
        </w:rPr>
        <w:t>取消乙方在以后各期的竞争性存放投标资格：</w:t>
      </w:r>
    </w:p>
    <w:p w14:paraId="1D0A52B3">
      <w:pPr>
        <w:widowControl/>
        <w:spacing w:line="360" w:lineRule="auto"/>
        <w:ind w:firstLine="600"/>
        <w:rPr>
          <w:color w:val="auto"/>
          <w:kern w:val="0"/>
          <w:sz w:val="24"/>
          <w:highlight w:val="none"/>
        </w:rPr>
      </w:pPr>
      <w:r>
        <w:rPr>
          <w:rFonts w:hAnsi="宋体"/>
          <w:color w:val="auto"/>
          <w:kern w:val="0"/>
          <w:sz w:val="24"/>
          <w:highlight w:val="none"/>
        </w:rPr>
        <w:t>⑴</w:t>
      </w:r>
      <w:r>
        <w:rPr>
          <w:color w:val="auto"/>
          <w:kern w:val="0"/>
          <w:sz w:val="24"/>
          <w:highlight w:val="none"/>
        </w:rPr>
        <w:t>出现资金安全事故和重大违法违规情况或财务恶化；</w:t>
      </w:r>
    </w:p>
    <w:p w14:paraId="4801FD75">
      <w:pPr>
        <w:widowControl/>
        <w:spacing w:line="360" w:lineRule="auto"/>
        <w:ind w:firstLine="600"/>
        <w:rPr>
          <w:color w:val="auto"/>
          <w:kern w:val="0"/>
          <w:sz w:val="24"/>
          <w:highlight w:val="none"/>
        </w:rPr>
      </w:pPr>
      <w:r>
        <w:rPr>
          <w:rFonts w:hAnsi="宋体"/>
          <w:color w:val="auto"/>
          <w:kern w:val="0"/>
          <w:sz w:val="24"/>
          <w:highlight w:val="none"/>
        </w:rPr>
        <w:t>⑵</w:t>
      </w:r>
      <w:r>
        <w:rPr>
          <w:color w:val="auto"/>
          <w:kern w:val="0"/>
          <w:sz w:val="24"/>
          <w:highlight w:val="none"/>
        </w:rPr>
        <w:t>监管评级降低，监管部门认为存在较大运营风险；</w:t>
      </w:r>
    </w:p>
    <w:p w14:paraId="0D276A71">
      <w:pPr>
        <w:widowControl/>
        <w:spacing w:line="360" w:lineRule="auto"/>
        <w:ind w:firstLine="600"/>
        <w:rPr>
          <w:color w:val="auto"/>
          <w:kern w:val="0"/>
          <w:sz w:val="24"/>
          <w:highlight w:val="none"/>
        </w:rPr>
      </w:pPr>
      <w:r>
        <w:rPr>
          <w:rFonts w:hAnsi="宋体"/>
          <w:color w:val="auto"/>
          <w:kern w:val="0"/>
          <w:sz w:val="24"/>
          <w:highlight w:val="none"/>
        </w:rPr>
        <w:t>⑶</w:t>
      </w:r>
      <w:r>
        <w:rPr>
          <w:color w:val="auto"/>
          <w:kern w:val="0"/>
          <w:sz w:val="24"/>
          <w:highlight w:val="none"/>
        </w:rPr>
        <w:t>进行严重不正当投标；</w:t>
      </w:r>
    </w:p>
    <w:p w14:paraId="0B30C0FB">
      <w:pPr>
        <w:widowControl/>
        <w:spacing w:line="360" w:lineRule="auto"/>
        <w:ind w:firstLine="600"/>
        <w:rPr>
          <w:color w:val="auto"/>
          <w:kern w:val="0"/>
          <w:sz w:val="24"/>
          <w:highlight w:val="none"/>
        </w:rPr>
      </w:pPr>
      <w:r>
        <w:rPr>
          <w:rFonts w:hAnsi="宋体"/>
          <w:color w:val="auto"/>
          <w:kern w:val="0"/>
          <w:sz w:val="24"/>
          <w:highlight w:val="none"/>
        </w:rPr>
        <w:t>⑷</w:t>
      </w:r>
      <w:r>
        <w:rPr>
          <w:color w:val="auto"/>
          <w:kern w:val="0"/>
          <w:sz w:val="24"/>
          <w:highlight w:val="none"/>
        </w:rPr>
        <w:t>未按照中标协议承诺履行相应的责任和义务；</w:t>
      </w:r>
    </w:p>
    <w:p w14:paraId="4834C8B9">
      <w:pPr>
        <w:widowControl/>
        <w:spacing w:line="360" w:lineRule="auto"/>
        <w:ind w:firstLine="600"/>
        <w:rPr>
          <w:color w:val="auto"/>
          <w:kern w:val="0"/>
          <w:sz w:val="24"/>
          <w:highlight w:val="none"/>
        </w:rPr>
      </w:pPr>
      <w:r>
        <w:rPr>
          <w:rFonts w:hAnsi="宋体"/>
          <w:color w:val="auto"/>
          <w:kern w:val="0"/>
          <w:sz w:val="24"/>
          <w:highlight w:val="none"/>
        </w:rPr>
        <w:t>⑸</w:t>
      </w:r>
      <w:r>
        <w:rPr>
          <w:color w:val="auto"/>
          <w:kern w:val="0"/>
          <w:sz w:val="24"/>
          <w:highlight w:val="none"/>
        </w:rPr>
        <w:t>擅自降低服务条件和服务内容；</w:t>
      </w:r>
    </w:p>
    <w:p w14:paraId="398BC58D">
      <w:pPr>
        <w:widowControl/>
        <w:spacing w:line="360" w:lineRule="auto"/>
        <w:ind w:firstLine="600"/>
        <w:rPr>
          <w:rFonts w:hint="eastAsia"/>
          <w:color w:val="auto"/>
          <w:kern w:val="0"/>
          <w:sz w:val="24"/>
          <w:highlight w:val="none"/>
        </w:rPr>
      </w:pPr>
      <w:r>
        <w:rPr>
          <w:rFonts w:hAnsi="宋体"/>
          <w:color w:val="auto"/>
          <w:kern w:val="0"/>
          <w:sz w:val="24"/>
          <w:highlight w:val="none"/>
        </w:rPr>
        <w:t>⑹</w:t>
      </w:r>
      <w:r>
        <w:rPr>
          <w:color w:val="auto"/>
          <w:kern w:val="0"/>
          <w:sz w:val="24"/>
          <w:highlight w:val="none"/>
        </w:rPr>
        <w:t>出现银行挤兑、存款被盗或其他可能妨害资金安全的情形。</w:t>
      </w:r>
    </w:p>
    <w:p w14:paraId="32C9058A">
      <w:pPr>
        <w:widowControl/>
        <w:spacing w:line="360" w:lineRule="auto"/>
        <w:ind w:firstLine="400" w:firstLineChars="200"/>
        <w:rPr>
          <w:rFonts w:hint="eastAsia"/>
          <w:color w:val="auto"/>
          <w:kern w:val="0"/>
          <w:sz w:val="20"/>
          <w:szCs w:val="20"/>
          <w:highlight w:val="none"/>
        </w:rPr>
      </w:pPr>
    </w:p>
    <w:p w14:paraId="4190F50A">
      <w:pPr>
        <w:widowControl/>
        <w:spacing w:line="360" w:lineRule="auto"/>
        <w:ind w:firstLine="479" w:firstLineChars="199"/>
        <w:rPr>
          <w:color w:val="auto"/>
          <w:sz w:val="24"/>
          <w:highlight w:val="none"/>
          <w:u w:val="single"/>
        </w:rPr>
      </w:pPr>
      <w:r>
        <w:rPr>
          <w:b/>
          <w:bCs/>
          <w:color w:val="auto"/>
          <w:kern w:val="0"/>
          <w:sz w:val="24"/>
          <w:highlight w:val="none"/>
        </w:rPr>
        <w:t>五、提前支取。</w:t>
      </w:r>
      <w:r>
        <w:rPr>
          <w:color w:val="auto"/>
          <w:kern w:val="0"/>
          <w:sz w:val="24"/>
          <w:highlight w:val="none"/>
        </w:rPr>
        <w:t>经与乙方协商，甲方有权在到期日前提前支取定期存款，甲方至少应在</w:t>
      </w:r>
      <w:r>
        <w:rPr>
          <w:color w:val="auto"/>
          <w:kern w:val="0"/>
          <w:sz w:val="24"/>
          <w:highlight w:val="none"/>
          <w:u w:val="single"/>
        </w:rPr>
        <w:t xml:space="preserve">  </w:t>
      </w:r>
      <w:r>
        <w:rPr>
          <w:rFonts w:hint="eastAsia"/>
          <w:color w:val="auto"/>
          <w:kern w:val="0"/>
          <w:sz w:val="24"/>
          <w:highlight w:val="none"/>
          <w:u w:val="single"/>
        </w:rPr>
        <w:t xml:space="preserve">  </w:t>
      </w:r>
      <w:r>
        <w:rPr>
          <w:color w:val="auto"/>
          <w:kern w:val="0"/>
          <w:sz w:val="24"/>
          <w:highlight w:val="none"/>
          <w:u w:val="single"/>
        </w:rPr>
        <w:t xml:space="preserve"> </w:t>
      </w:r>
      <w:r>
        <w:rPr>
          <w:color w:val="auto"/>
          <w:kern w:val="0"/>
          <w:sz w:val="24"/>
          <w:highlight w:val="none"/>
        </w:rPr>
        <w:t>个工作日前通知乙方</w:t>
      </w:r>
      <w:r>
        <w:rPr>
          <w:rFonts w:hint="eastAsia"/>
          <w:color w:val="auto"/>
          <w:kern w:val="0"/>
          <w:sz w:val="24"/>
          <w:highlight w:val="none"/>
        </w:rPr>
        <w:t>，</w:t>
      </w:r>
      <w:r>
        <w:rPr>
          <w:color w:val="auto"/>
          <w:sz w:val="24"/>
          <w:highlight w:val="none"/>
        </w:rPr>
        <w:t>定期存款提前支取的计息规则：</w:t>
      </w:r>
      <w:r>
        <w:rPr>
          <w:color w:val="auto"/>
          <w:sz w:val="24"/>
          <w:highlight w:val="none"/>
          <w:u w:val="single"/>
        </w:rPr>
        <w:t xml:space="preserve">                                       </w:t>
      </w:r>
    </w:p>
    <w:p w14:paraId="2C37D1D3">
      <w:pPr>
        <w:widowControl/>
        <w:spacing w:line="360" w:lineRule="auto"/>
        <w:jc w:val="left"/>
        <w:rPr>
          <w:color w:val="auto"/>
          <w:highlight w:val="none"/>
        </w:rPr>
      </w:pPr>
    </w:p>
    <w:p w14:paraId="62BA03DF">
      <w:pPr>
        <w:widowControl/>
        <w:spacing w:line="360" w:lineRule="auto"/>
        <w:ind w:firstLine="472" w:firstLineChars="196"/>
        <w:rPr>
          <w:color w:val="auto"/>
          <w:kern w:val="0"/>
          <w:sz w:val="24"/>
          <w:highlight w:val="none"/>
          <w:u w:val="single"/>
        </w:rPr>
      </w:pPr>
      <w:r>
        <w:rPr>
          <w:rFonts w:hint="eastAsia"/>
          <w:b/>
          <w:bCs/>
          <w:color w:val="auto"/>
          <w:kern w:val="0"/>
          <w:sz w:val="24"/>
          <w:highlight w:val="none"/>
        </w:rPr>
        <w:t>六</w:t>
      </w:r>
      <w:r>
        <w:rPr>
          <w:b/>
          <w:bCs/>
          <w:color w:val="auto"/>
          <w:kern w:val="0"/>
          <w:sz w:val="24"/>
          <w:highlight w:val="none"/>
        </w:rPr>
        <w:t>、协议期限。</w:t>
      </w:r>
      <w:r>
        <w:rPr>
          <w:color w:val="auto"/>
          <w:kern w:val="0"/>
          <w:sz w:val="24"/>
          <w:highlight w:val="none"/>
        </w:rPr>
        <w:t>本协议期限为</w:t>
      </w:r>
      <w:r>
        <w:rPr>
          <w:color w:val="auto"/>
          <w:kern w:val="0"/>
          <w:sz w:val="24"/>
          <w:highlight w:val="none"/>
          <w:u w:val="single"/>
        </w:rPr>
        <w:t xml:space="preserve">     </w:t>
      </w:r>
      <w:r>
        <w:rPr>
          <w:color w:val="auto"/>
          <w:kern w:val="0"/>
          <w:sz w:val="24"/>
          <w:highlight w:val="none"/>
        </w:rPr>
        <w:t>，自</w:t>
      </w:r>
      <w:r>
        <w:rPr>
          <w:color w:val="auto"/>
          <w:kern w:val="0"/>
          <w:sz w:val="24"/>
          <w:highlight w:val="none"/>
          <w:u w:val="single"/>
        </w:rPr>
        <w:t xml:space="preserve">      </w:t>
      </w:r>
      <w:r>
        <w:rPr>
          <w:color w:val="auto"/>
          <w:kern w:val="0"/>
          <w:sz w:val="24"/>
          <w:highlight w:val="none"/>
        </w:rPr>
        <w:t>年</w:t>
      </w:r>
      <w:r>
        <w:rPr>
          <w:color w:val="auto"/>
          <w:kern w:val="0"/>
          <w:sz w:val="24"/>
          <w:highlight w:val="none"/>
          <w:u w:val="single"/>
        </w:rPr>
        <w:t xml:space="preserve">   </w:t>
      </w:r>
      <w:r>
        <w:rPr>
          <w:color w:val="auto"/>
          <w:kern w:val="0"/>
          <w:sz w:val="24"/>
          <w:highlight w:val="none"/>
        </w:rPr>
        <w:t>月</w:t>
      </w:r>
      <w:r>
        <w:rPr>
          <w:color w:val="auto"/>
          <w:kern w:val="0"/>
          <w:sz w:val="24"/>
          <w:highlight w:val="none"/>
          <w:u w:val="single"/>
        </w:rPr>
        <w:t xml:space="preserve">   </w:t>
      </w:r>
      <w:r>
        <w:rPr>
          <w:color w:val="auto"/>
          <w:kern w:val="0"/>
          <w:sz w:val="24"/>
          <w:highlight w:val="none"/>
        </w:rPr>
        <w:t>日起至</w:t>
      </w:r>
      <w:r>
        <w:rPr>
          <w:color w:val="auto"/>
          <w:kern w:val="0"/>
          <w:sz w:val="24"/>
          <w:highlight w:val="none"/>
          <w:u w:val="single"/>
        </w:rPr>
        <w:t xml:space="preserve">     </w:t>
      </w:r>
      <w:r>
        <w:rPr>
          <w:color w:val="auto"/>
          <w:kern w:val="0"/>
          <w:sz w:val="24"/>
          <w:highlight w:val="none"/>
        </w:rPr>
        <w:t>年</w:t>
      </w:r>
      <w:r>
        <w:rPr>
          <w:color w:val="auto"/>
          <w:kern w:val="0"/>
          <w:sz w:val="24"/>
          <w:highlight w:val="none"/>
          <w:u w:val="single"/>
        </w:rPr>
        <w:t xml:space="preserve">   </w:t>
      </w:r>
      <w:r>
        <w:rPr>
          <w:color w:val="auto"/>
          <w:kern w:val="0"/>
          <w:sz w:val="24"/>
          <w:highlight w:val="none"/>
        </w:rPr>
        <w:t>月</w:t>
      </w:r>
      <w:r>
        <w:rPr>
          <w:color w:val="auto"/>
          <w:kern w:val="0"/>
          <w:sz w:val="24"/>
          <w:highlight w:val="none"/>
          <w:u w:val="single"/>
        </w:rPr>
        <w:t xml:space="preserve">   </w:t>
      </w:r>
      <w:r>
        <w:rPr>
          <w:color w:val="auto"/>
          <w:kern w:val="0"/>
          <w:sz w:val="24"/>
          <w:highlight w:val="none"/>
        </w:rPr>
        <w:t>日止。</w:t>
      </w:r>
    </w:p>
    <w:p w14:paraId="78E3E2F2">
      <w:pPr>
        <w:widowControl/>
        <w:spacing w:line="360" w:lineRule="auto"/>
        <w:ind w:firstLine="480"/>
        <w:rPr>
          <w:color w:val="auto"/>
          <w:kern w:val="0"/>
          <w:sz w:val="24"/>
          <w:highlight w:val="none"/>
        </w:rPr>
      </w:pPr>
      <w:r>
        <w:rPr>
          <w:rFonts w:hint="eastAsia"/>
          <w:b/>
          <w:bCs/>
          <w:color w:val="auto"/>
          <w:kern w:val="0"/>
          <w:sz w:val="24"/>
          <w:highlight w:val="none"/>
        </w:rPr>
        <w:t>七</w:t>
      </w:r>
      <w:r>
        <w:rPr>
          <w:b/>
          <w:bCs/>
          <w:color w:val="auto"/>
          <w:kern w:val="0"/>
          <w:sz w:val="24"/>
          <w:highlight w:val="none"/>
        </w:rPr>
        <w:t>、附件。</w:t>
      </w:r>
      <w:r>
        <w:rPr>
          <w:color w:val="auto"/>
          <w:kern w:val="0"/>
          <w:sz w:val="24"/>
          <w:highlight w:val="none"/>
        </w:rPr>
        <w:t>附件是本协议不可分割的组成部分，具有同等法律效力。本协议附件包括：甲乙双方签字授权书。</w:t>
      </w:r>
    </w:p>
    <w:p w14:paraId="2BF83862">
      <w:pPr>
        <w:widowControl/>
        <w:spacing w:line="360" w:lineRule="auto"/>
        <w:ind w:firstLine="555"/>
        <w:rPr>
          <w:color w:val="auto"/>
          <w:kern w:val="0"/>
          <w:sz w:val="24"/>
          <w:highlight w:val="none"/>
        </w:rPr>
      </w:pPr>
      <w:r>
        <w:rPr>
          <w:rFonts w:hint="eastAsia"/>
          <w:b/>
          <w:bCs/>
          <w:color w:val="auto"/>
          <w:kern w:val="0"/>
          <w:sz w:val="24"/>
          <w:highlight w:val="none"/>
        </w:rPr>
        <w:t>八</w:t>
      </w:r>
      <w:r>
        <w:rPr>
          <w:b/>
          <w:bCs/>
          <w:color w:val="auto"/>
          <w:kern w:val="0"/>
          <w:sz w:val="24"/>
          <w:highlight w:val="none"/>
        </w:rPr>
        <w:t>、</w:t>
      </w:r>
      <w:r>
        <w:rPr>
          <w:color w:val="auto"/>
          <w:kern w:val="0"/>
          <w:sz w:val="24"/>
          <w:highlight w:val="none"/>
        </w:rPr>
        <w:t>本协议</w:t>
      </w:r>
      <w:r>
        <w:rPr>
          <w:rFonts w:hint="eastAsia"/>
          <w:color w:val="auto"/>
          <w:kern w:val="0"/>
          <w:sz w:val="24"/>
          <w:highlight w:val="none"/>
          <w:lang w:eastAsia="zh-CN"/>
        </w:rPr>
        <w:t>一式</w:t>
      </w:r>
      <w:r>
        <w:rPr>
          <w:rFonts w:hint="eastAsia"/>
          <w:color w:val="auto"/>
          <w:kern w:val="0"/>
          <w:sz w:val="24"/>
          <w:highlight w:val="none"/>
          <w:lang w:val="en-US" w:eastAsia="zh-CN"/>
        </w:rPr>
        <w:t>五</w:t>
      </w:r>
      <w:r>
        <w:rPr>
          <w:rFonts w:hint="eastAsia"/>
          <w:color w:val="auto"/>
          <w:kern w:val="0"/>
          <w:sz w:val="24"/>
          <w:highlight w:val="none"/>
          <w:lang w:eastAsia="zh-CN"/>
        </w:rPr>
        <w:t>份</w:t>
      </w:r>
      <w:r>
        <w:rPr>
          <w:color w:val="auto"/>
          <w:kern w:val="0"/>
          <w:sz w:val="24"/>
          <w:highlight w:val="none"/>
        </w:rPr>
        <w:t>，甲乙双方各执</w:t>
      </w:r>
      <w:r>
        <w:rPr>
          <w:rFonts w:hint="eastAsia"/>
          <w:color w:val="auto"/>
          <w:kern w:val="0"/>
          <w:sz w:val="24"/>
          <w:highlight w:val="none"/>
          <w:lang w:val="en-US" w:eastAsia="zh-CN"/>
        </w:rPr>
        <w:t>二</w:t>
      </w:r>
      <w:r>
        <w:rPr>
          <w:color w:val="auto"/>
          <w:kern w:val="0"/>
          <w:sz w:val="24"/>
          <w:highlight w:val="none"/>
        </w:rPr>
        <w:t>份，</w:t>
      </w:r>
      <w:r>
        <w:rPr>
          <w:rFonts w:hint="eastAsia"/>
          <w:color w:val="auto"/>
          <w:kern w:val="0"/>
          <w:sz w:val="24"/>
          <w:highlight w:val="none"/>
          <w:lang w:val="en-US" w:eastAsia="zh-CN"/>
        </w:rPr>
        <w:t>鉴证方一份。鉴证方</w:t>
      </w:r>
      <w:r>
        <w:rPr>
          <w:color w:val="auto"/>
          <w:kern w:val="0"/>
          <w:sz w:val="24"/>
          <w:highlight w:val="none"/>
        </w:rPr>
        <w:t>具有同等法律效力。执行中如对本协议产生争议，通过协商解决</w:t>
      </w:r>
      <w:r>
        <w:rPr>
          <w:rFonts w:hint="eastAsia"/>
          <w:color w:val="auto"/>
          <w:kern w:val="0"/>
          <w:sz w:val="24"/>
          <w:highlight w:val="none"/>
          <w:lang w:eastAsia="zh-CN"/>
        </w:rPr>
        <w:t>，</w:t>
      </w:r>
      <w:r>
        <w:rPr>
          <w:rFonts w:hint="eastAsia"/>
          <w:color w:val="auto"/>
          <w:kern w:val="0"/>
          <w:sz w:val="24"/>
          <w:highlight w:val="none"/>
          <w:lang w:val="en-US" w:eastAsia="zh-CN"/>
        </w:rPr>
        <w:t>协商不成由杭州市萧山区人民法院管辖。</w:t>
      </w:r>
    </w:p>
    <w:p w14:paraId="54F79BA9">
      <w:pPr>
        <w:widowControl/>
        <w:spacing w:line="360" w:lineRule="auto"/>
        <w:jc w:val="left"/>
        <w:rPr>
          <w:color w:val="auto"/>
          <w:highlight w:val="none"/>
        </w:rPr>
      </w:pPr>
    </w:p>
    <w:p w14:paraId="120DDF46">
      <w:pPr>
        <w:widowControl/>
        <w:spacing w:line="360" w:lineRule="auto"/>
        <w:ind w:firstLine="360"/>
        <w:rPr>
          <w:color w:val="auto"/>
          <w:kern w:val="0"/>
          <w:sz w:val="24"/>
          <w:highlight w:val="none"/>
        </w:rPr>
      </w:pPr>
      <w:r>
        <w:rPr>
          <w:color w:val="auto"/>
          <w:kern w:val="0"/>
          <w:sz w:val="24"/>
          <w:highlight w:val="none"/>
        </w:rPr>
        <w:t>甲方（盖章）：</w:t>
      </w:r>
      <w:r>
        <w:rPr>
          <w:color w:val="auto"/>
          <w:kern w:val="0"/>
          <w:sz w:val="24"/>
          <w:highlight w:val="none"/>
          <w:u w:val="single"/>
        </w:rPr>
        <w:t xml:space="preserve">          </w:t>
      </w:r>
      <w:r>
        <w:rPr>
          <w:color w:val="auto"/>
          <w:kern w:val="0"/>
          <w:sz w:val="24"/>
          <w:highlight w:val="none"/>
        </w:rPr>
        <w:t xml:space="preserve">                 乙方（盖章）：</w:t>
      </w:r>
      <w:r>
        <w:rPr>
          <w:color w:val="auto"/>
          <w:kern w:val="0"/>
          <w:sz w:val="24"/>
          <w:highlight w:val="none"/>
          <w:u w:val="single"/>
        </w:rPr>
        <w:t xml:space="preserve">           </w:t>
      </w:r>
    </w:p>
    <w:p w14:paraId="2C39CA93">
      <w:pPr>
        <w:widowControl/>
        <w:spacing w:line="360" w:lineRule="auto"/>
        <w:ind w:firstLine="360"/>
        <w:rPr>
          <w:color w:val="auto"/>
          <w:kern w:val="0"/>
          <w:sz w:val="24"/>
          <w:highlight w:val="none"/>
        </w:rPr>
      </w:pPr>
      <w:r>
        <w:rPr>
          <w:color w:val="auto"/>
          <w:kern w:val="0"/>
          <w:sz w:val="24"/>
          <w:highlight w:val="none"/>
        </w:rPr>
        <w:t>甲方代表（签字）：</w:t>
      </w:r>
      <w:r>
        <w:rPr>
          <w:color w:val="auto"/>
          <w:kern w:val="0"/>
          <w:sz w:val="24"/>
          <w:highlight w:val="none"/>
          <w:u w:val="single"/>
        </w:rPr>
        <w:t xml:space="preserve">         </w:t>
      </w:r>
      <w:r>
        <w:rPr>
          <w:color w:val="auto"/>
          <w:kern w:val="0"/>
          <w:sz w:val="24"/>
          <w:highlight w:val="none"/>
        </w:rPr>
        <w:t xml:space="preserve">              乙方代表（签字）：</w:t>
      </w:r>
      <w:r>
        <w:rPr>
          <w:color w:val="auto"/>
          <w:kern w:val="0"/>
          <w:sz w:val="24"/>
          <w:highlight w:val="none"/>
          <w:u w:val="single"/>
        </w:rPr>
        <w:t xml:space="preserve">          </w:t>
      </w:r>
    </w:p>
    <w:p w14:paraId="240E2182">
      <w:pPr>
        <w:widowControl/>
        <w:spacing w:line="360" w:lineRule="auto"/>
        <w:ind w:firstLine="960"/>
        <w:rPr>
          <w:color w:val="auto"/>
          <w:kern w:val="0"/>
          <w:sz w:val="24"/>
          <w:highlight w:val="none"/>
        </w:rPr>
      </w:pPr>
      <w:r>
        <w:rPr>
          <w:color w:val="auto"/>
          <w:kern w:val="0"/>
          <w:sz w:val="24"/>
          <w:highlight w:val="none"/>
          <w:u w:val="single"/>
        </w:rPr>
        <w:t xml:space="preserve">      </w:t>
      </w:r>
      <w:r>
        <w:rPr>
          <w:color w:val="auto"/>
          <w:kern w:val="0"/>
          <w:sz w:val="24"/>
          <w:highlight w:val="none"/>
        </w:rPr>
        <w:t>年</w:t>
      </w:r>
      <w:r>
        <w:rPr>
          <w:color w:val="auto"/>
          <w:kern w:val="0"/>
          <w:sz w:val="24"/>
          <w:highlight w:val="none"/>
          <w:u w:val="single"/>
        </w:rPr>
        <w:t xml:space="preserve">   </w:t>
      </w:r>
      <w:r>
        <w:rPr>
          <w:color w:val="auto"/>
          <w:kern w:val="0"/>
          <w:sz w:val="24"/>
          <w:highlight w:val="none"/>
        </w:rPr>
        <w:t>月</w:t>
      </w:r>
      <w:r>
        <w:rPr>
          <w:color w:val="auto"/>
          <w:kern w:val="0"/>
          <w:sz w:val="24"/>
          <w:highlight w:val="none"/>
          <w:u w:val="single"/>
        </w:rPr>
        <w:t xml:space="preserve">   </w:t>
      </w:r>
      <w:r>
        <w:rPr>
          <w:color w:val="auto"/>
          <w:kern w:val="0"/>
          <w:sz w:val="24"/>
          <w:highlight w:val="none"/>
        </w:rPr>
        <w:t xml:space="preserve">日                 </w:t>
      </w:r>
      <w:r>
        <w:rPr>
          <w:color w:val="auto"/>
          <w:kern w:val="0"/>
          <w:sz w:val="24"/>
          <w:highlight w:val="none"/>
          <w:u w:val="single"/>
        </w:rPr>
        <w:t xml:space="preserve">      </w:t>
      </w:r>
      <w:r>
        <w:rPr>
          <w:color w:val="auto"/>
          <w:kern w:val="0"/>
          <w:sz w:val="24"/>
          <w:highlight w:val="none"/>
        </w:rPr>
        <w:t>年</w:t>
      </w:r>
      <w:r>
        <w:rPr>
          <w:color w:val="auto"/>
          <w:kern w:val="0"/>
          <w:sz w:val="24"/>
          <w:highlight w:val="none"/>
          <w:u w:val="single"/>
        </w:rPr>
        <w:t xml:space="preserve">   </w:t>
      </w:r>
      <w:r>
        <w:rPr>
          <w:color w:val="auto"/>
          <w:kern w:val="0"/>
          <w:sz w:val="24"/>
          <w:highlight w:val="none"/>
        </w:rPr>
        <w:t>月</w:t>
      </w:r>
      <w:r>
        <w:rPr>
          <w:color w:val="auto"/>
          <w:kern w:val="0"/>
          <w:sz w:val="24"/>
          <w:highlight w:val="none"/>
          <w:u w:val="single"/>
        </w:rPr>
        <w:t xml:space="preserve">   </w:t>
      </w:r>
      <w:r>
        <w:rPr>
          <w:color w:val="auto"/>
          <w:kern w:val="0"/>
          <w:sz w:val="24"/>
          <w:highlight w:val="none"/>
        </w:rPr>
        <w:t xml:space="preserve">日 </w:t>
      </w:r>
    </w:p>
    <w:p w14:paraId="76872B1C">
      <w:pPr>
        <w:widowControl/>
        <w:spacing w:line="360" w:lineRule="auto"/>
        <w:rPr>
          <w:color w:val="auto"/>
          <w:kern w:val="0"/>
          <w:sz w:val="24"/>
          <w:highlight w:val="none"/>
        </w:rPr>
      </w:pPr>
    </w:p>
    <w:p w14:paraId="1D862A1D">
      <w:pPr>
        <w:widowControl/>
        <w:spacing w:line="360" w:lineRule="auto"/>
        <w:ind w:firstLine="5640"/>
        <w:rPr>
          <w:color w:val="auto"/>
          <w:kern w:val="0"/>
          <w:sz w:val="24"/>
          <w:highlight w:val="none"/>
        </w:rPr>
      </w:pPr>
    </w:p>
    <w:p w14:paraId="027492B2">
      <w:pPr>
        <w:widowControl/>
        <w:spacing w:line="360" w:lineRule="auto"/>
        <w:ind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鉴证方（盖章）</w:t>
      </w:r>
      <w:r>
        <w:rPr>
          <w:color w:val="auto"/>
          <w:kern w:val="0"/>
          <w:sz w:val="24"/>
          <w:highlight w:val="none"/>
        </w:rPr>
        <w:t>：</w:t>
      </w:r>
      <w:r>
        <w:rPr>
          <w:color w:val="auto"/>
          <w:kern w:val="0"/>
          <w:sz w:val="24"/>
          <w:highlight w:val="none"/>
          <w:u w:val="single"/>
        </w:rPr>
        <w:t xml:space="preserve">          </w:t>
      </w:r>
    </w:p>
    <w:p w14:paraId="038EFEED">
      <w:pPr>
        <w:widowControl/>
        <w:spacing w:line="360" w:lineRule="auto"/>
        <w:ind w:firstLine="480" w:firstLineChars="200"/>
        <w:rPr>
          <w:color w:val="auto"/>
          <w:kern w:val="0"/>
          <w:sz w:val="24"/>
          <w:highlight w:val="none"/>
          <w:u w:val="single"/>
        </w:rPr>
      </w:pPr>
      <w:r>
        <w:rPr>
          <w:rFonts w:hint="eastAsia"/>
          <w:color w:val="auto"/>
          <w:kern w:val="0"/>
          <w:sz w:val="24"/>
          <w:highlight w:val="none"/>
          <w:lang w:val="en-US" w:eastAsia="zh-CN"/>
        </w:rPr>
        <w:t>鉴证方</w:t>
      </w:r>
      <w:r>
        <w:rPr>
          <w:color w:val="auto"/>
          <w:kern w:val="0"/>
          <w:sz w:val="24"/>
          <w:highlight w:val="none"/>
        </w:rPr>
        <w:t>代表（签字）：</w:t>
      </w:r>
      <w:r>
        <w:rPr>
          <w:color w:val="auto"/>
          <w:kern w:val="0"/>
          <w:sz w:val="24"/>
          <w:highlight w:val="none"/>
          <w:u w:val="single"/>
        </w:rPr>
        <w:t xml:space="preserve">         </w:t>
      </w:r>
    </w:p>
    <w:p w14:paraId="46E98F69">
      <w:pPr>
        <w:widowControl/>
        <w:spacing w:line="360" w:lineRule="auto"/>
        <w:ind w:firstLine="960" w:firstLineChars="400"/>
        <w:rPr>
          <w:rFonts w:hint="default"/>
          <w:color w:val="auto"/>
          <w:kern w:val="0"/>
          <w:sz w:val="24"/>
          <w:highlight w:val="none"/>
          <w:u w:val="single"/>
          <w:lang w:val="en-US" w:eastAsia="zh-CN"/>
        </w:rPr>
      </w:pPr>
      <w:r>
        <w:rPr>
          <w:rFonts w:hint="eastAsia"/>
          <w:color w:val="auto"/>
          <w:kern w:val="0"/>
          <w:sz w:val="24"/>
          <w:highlight w:val="none"/>
          <w:u w:val="single"/>
          <w:lang w:val="en-US" w:eastAsia="zh-CN"/>
        </w:rPr>
        <w:t xml:space="preserve"> </w:t>
      </w:r>
      <w:r>
        <w:rPr>
          <w:color w:val="auto"/>
          <w:kern w:val="0"/>
          <w:sz w:val="24"/>
          <w:highlight w:val="none"/>
          <w:u w:val="single"/>
        </w:rPr>
        <w:t xml:space="preserve">     </w:t>
      </w:r>
      <w:r>
        <w:rPr>
          <w:color w:val="auto"/>
          <w:kern w:val="0"/>
          <w:sz w:val="24"/>
          <w:highlight w:val="none"/>
        </w:rPr>
        <w:t>年</w:t>
      </w:r>
      <w:r>
        <w:rPr>
          <w:color w:val="auto"/>
          <w:kern w:val="0"/>
          <w:sz w:val="24"/>
          <w:highlight w:val="none"/>
          <w:u w:val="single"/>
        </w:rPr>
        <w:t xml:space="preserve">   </w:t>
      </w:r>
      <w:r>
        <w:rPr>
          <w:color w:val="auto"/>
          <w:kern w:val="0"/>
          <w:sz w:val="24"/>
          <w:highlight w:val="none"/>
        </w:rPr>
        <w:t>月</w:t>
      </w:r>
      <w:r>
        <w:rPr>
          <w:color w:val="auto"/>
          <w:kern w:val="0"/>
          <w:sz w:val="24"/>
          <w:highlight w:val="none"/>
          <w:u w:val="single"/>
        </w:rPr>
        <w:t xml:space="preserve">   </w:t>
      </w:r>
      <w:r>
        <w:rPr>
          <w:color w:val="auto"/>
          <w:kern w:val="0"/>
          <w:sz w:val="24"/>
          <w:highlight w:val="none"/>
        </w:rPr>
        <w:t>日</w:t>
      </w:r>
    </w:p>
    <w:p w14:paraId="0B859C03">
      <w:pPr>
        <w:widowControl/>
        <w:spacing w:line="360" w:lineRule="auto"/>
        <w:rPr>
          <w:color w:val="auto"/>
          <w:kern w:val="0"/>
          <w:sz w:val="24"/>
          <w:highlight w:val="none"/>
        </w:rPr>
      </w:pPr>
    </w:p>
    <w:p w14:paraId="04C84B40">
      <w:pPr>
        <w:widowControl/>
        <w:spacing w:line="360" w:lineRule="auto"/>
        <w:ind w:firstLine="5640"/>
        <w:rPr>
          <w:color w:val="auto"/>
          <w:kern w:val="0"/>
          <w:sz w:val="24"/>
          <w:highlight w:val="none"/>
          <w:u w:val="single"/>
        </w:rPr>
      </w:pPr>
      <w:r>
        <w:rPr>
          <w:color w:val="auto"/>
          <w:kern w:val="0"/>
          <w:sz w:val="24"/>
          <w:highlight w:val="none"/>
        </w:rPr>
        <w:t>签署日期：</w:t>
      </w:r>
    </w:p>
    <w:p w14:paraId="07C5C62E">
      <w:pPr>
        <w:snapToGrid w:val="0"/>
        <w:spacing w:before="120" w:beforeLines="50" w:after="120" w:afterLines="50" w:line="360" w:lineRule="auto"/>
        <w:ind w:firstLine="720" w:firstLineChars="200"/>
        <w:jc w:val="center"/>
        <w:rPr>
          <w:rFonts w:eastAsia="黑体"/>
          <w:color w:val="auto"/>
          <w:sz w:val="36"/>
          <w:szCs w:val="36"/>
          <w:highlight w:val="none"/>
        </w:rPr>
        <w:sectPr>
          <w:pgSz w:w="11906" w:h="16838"/>
          <w:pgMar w:top="1474" w:right="1797" w:bottom="1247" w:left="1797" w:header="851" w:footer="851" w:gutter="0"/>
          <w:pgBorders w:offsetFrom="page">
            <w:top w:val="none" w:sz="0" w:space="0"/>
            <w:left w:val="none" w:sz="0" w:space="0"/>
            <w:bottom w:val="none" w:sz="0" w:space="0"/>
            <w:right w:val="none" w:sz="0" w:space="0"/>
          </w:pgBorders>
          <w:pgNumType w:fmt="numberInDash"/>
          <w:cols w:space="720" w:num="1"/>
          <w:docGrid w:linePitch="312" w:charSpace="0"/>
        </w:sectPr>
      </w:pPr>
    </w:p>
    <w:p w14:paraId="3DB315BE">
      <w:pPr>
        <w:snapToGrid w:val="0"/>
        <w:spacing w:before="120" w:beforeLines="50" w:after="120" w:afterLines="50" w:line="360" w:lineRule="auto"/>
        <w:ind w:firstLine="720" w:firstLineChars="200"/>
        <w:jc w:val="center"/>
        <w:rPr>
          <w:rFonts w:eastAsia="黑体"/>
          <w:color w:val="auto"/>
          <w:sz w:val="36"/>
          <w:szCs w:val="36"/>
          <w:highlight w:val="none"/>
        </w:rPr>
      </w:pPr>
      <w:r>
        <w:rPr>
          <w:rFonts w:eastAsia="黑体"/>
          <w:color w:val="auto"/>
          <w:sz w:val="36"/>
          <w:szCs w:val="36"/>
          <w:highlight w:val="none"/>
        </w:rPr>
        <w:t>第六章　投标文件格式</w:t>
      </w:r>
    </w:p>
    <w:p w14:paraId="42208920">
      <w:pPr>
        <w:spacing w:line="360" w:lineRule="auto"/>
        <w:jc w:val="left"/>
        <w:rPr>
          <w:color w:val="auto"/>
          <w:sz w:val="30"/>
          <w:highlight w:val="none"/>
        </w:rPr>
      </w:pPr>
      <w:r>
        <w:rPr>
          <w:color w:val="auto"/>
          <w:sz w:val="28"/>
          <w:highlight w:val="none"/>
        </w:rPr>
        <w:t xml:space="preserve">附件一　                    </w:t>
      </w:r>
      <w:r>
        <w:rPr>
          <w:color w:val="auto"/>
          <w:sz w:val="30"/>
          <w:highlight w:val="none"/>
        </w:rPr>
        <w:t>投标函</w:t>
      </w:r>
    </w:p>
    <w:p w14:paraId="5541344C">
      <w:pPr>
        <w:spacing w:line="360" w:lineRule="auto"/>
        <w:jc w:val="center"/>
        <w:rPr>
          <w:color w:val="auto"/>
          <w:highlight w:val="none"/>
        </w:rPr>
      </w:pPr>
    </w:p>
    <w:p w14:paraId="1D2BD54C">
      <w:pPr>
        <w:spacing w:line="360" w:lineRule="auto"/>
        <w:rPr>
          <w:color w:val="auto"/>
          <w:sz w:val="24"/>
          <w:highlight w:val="none"/>
          <w:u w:val="single"/>
        </w:rPr>
      </w:pPr>
      <w:r>
        <w:rPr>
          <w:rFonts w:hint="eastAsia"/>
          <w:color w:val="auto"/>
          <w:sz w:val="24"/>
          <w:highlight w:val="none"/>
          <w:u w:val="single"/>
          <w:lang w:eastAsia="zh-CN"/>
        </w:rPr>
        <w:t>浙江华域高宇项目管理有限公司</w:t>
      </w:r>
      <w:r>
        <w:rPr>
          <w:color w:val="auto"/>
          <w:sz w:val="24"/>
          <w:highlight w:val="none"/>
          <w:u w:val="single"/>
        </w:rPr>
        <w:t>:</w:t>
      </w:r>
    </w:p>
    <w:p w14:paraId="15B1784A">
      <w:pPr>
        <w:spacing w:line="360" w:lineRule="auto"/>
        <w:rPr>
          <w:color w:val="auto"/>
          <w:sz w:val="24"/>
          <w:highlight w:val="none"/>
        </w:rPr>
      </w:pPr>
      <w:r>
        <w:rPr>
          <w:color w:val="auto"/>
          <w:sz w:val="24"/>
          <w:highlight w:val="none"/>
        </w:rPr>
        <w:t xml:space="preserve">     </w:t>
      </w:r>
    </w:p>
    <w:p w14:paraId="575CBA84">
      <w:pPr>
        <w:spacing w:line="360" w:lineRule="auto"/>
        <w:rPr>
          <w:color w:val="auto"/>
          <w:sz w:val="24"/>
          <w:highlight w:val="none"/>
        </w:rPr>
      </w:pPr>
      <w:r>
        <w:rPr>
          <w:color w:val="auto"/>
          <w:sz w:val="24"/>
          <w:highlight w:val="none"/>
        </w:rPr>
        <w:t xml:space="preserve">   根据贵方为</w:t>
      </w:r>
      <w:r>
        <w:rPr>
          <w:color w:val="auto"/>
          <w:sz w:val="24"/>
          <w:highlight w:val="none"/>
          <w:u w:val="single"/>
        </w:rPr>
        <w:t xml:space="preserve">                  </w:t>
      </w:r>
      <w:r>
        <w:rPr>
          <w:color w:val="auto"/>
          <w:sz w:val="24"/>
          <w:highlight w:val="none"/>
        </w:rPr>
        <w:t>项目的投标邀请</w:t>
      </w:r>
      <w:r>
        <w:rPr>
          <w:color w:val="auto"/>
          <w:sz w:val="24"/>
          <w:highlight w:val="none"/>
          <w:u w:val="single"/>
        </w:rPr>
        <w:t>（招标编号）</w:t>
      </w:r>
      <w:r>
        <w:rPr>
          <w:color w:val="auto"/>
          <w:sz w:val="24"/>
          <w:highlight w:val="none"/>
        </w:rPr>
        <w:t>，</w:t>
      </w:r>
      <w:r>
        <w:rPr>
          <w:rFonts w:hint="eastAsia"/>
          <w:color w:val="auto"/>
          <w:sz w:val="24"/>
          <w:highlight w:val="none"/>
          <w:lang w:val="en-US" w:eastAsia="zh-CN"/>
        </w:rPr>
        <w:t>投标标项</w:t>
      </w:r>
      <w:r>
        <w:rPr>
          <w:color w:val="auto"/>
          <w:sz w:val="24"/>
          <w:highlight w:val="none"/>
          <w:u w:val="single"/>
        </w:rPr>
        <w:t>（</w:t>
      </w:r>
      <w:r>
        <w:rPr>
          <w:rFonts w:hint="eastAsia"/>
          <w:color w:val="auto"/>
          <w:sz w:val="24"/>
          <w:highlight w:val="none"/>
          <w:u w:val="single"/>
          <w:lang w:val="en-US" w:eastAsia="zh-CN"/>
        </w:rPr>
        <w:t>标项</w:t>
      </w:r>
      <w:r>
        <w:rPr>
          <w:color w:val="auto"/>
          <w:sz w:val="24"/>
          <w:highlight w:val="none"/>
          <w:u w:val="single"/>
        </w:rPr>
        <w:t>编号）</w:t>
      </w:r>
      <w:r>
        <w:rPr>
          <w:rFonts w:hint="eastAsia"/>
          <w:color w:val="auto"/>
          <w:sz w:val="24"/>
          <w:highlight w:val="none"/>
          <w:u w:val="none"/>
          <w:lang w:eastAsia="zh-CN"/>
        </w:rPr>
        <w:t>，</w:t>
      </w:r>
      <w:r>
        <w:rPr>
          <w:color w:val="auto"/>
          <w:sz w:val="24"/>
          <w:highlight w:val="none"/>
        </w:rPr>
        <w:t>签字代表</w:t>
      </w:r>
      <w:r>
        <w:rPr>
          <w:color w:val="auto"/>
          <w:sz w:val="24"/>
          <w:highlight w:val="none"/>
          <w:u w:val="single"/>
        </w:rPr>
        <w:t xml:space="preserve">    （全名、职务）</w:t>
      </w:r>
      <w:r>
        <w:rPr>
          <w:color w:val="auto"/>
          <w:sz w:val="24"/>
          <w:highlight w:val="none"/>
        </w:rPr>
        <w:t>经正式授权并代表投标人</w:t>
      </w:r>
      <w:r>
        <w:rPr>
          <w:color w:val="auto"/>
          <w:sz w:val="24"/>
          <w:highlight w:val="none"/>
          <w:u w:val="single"/>
        </w:rPr>
        <w:t>（投标人名称、地址</w:t>
      </w:r>
      <w:r>
        <w:rPr>
          <w:color w:val="auto"/>
          <w:sz w:val="24"/>
          <w:highlight w:val="none"/>
        </w:rPr>
        <w:t>）提交下述文件正本一份及副本</w:t>
      </w:r>
      <w:r>
        <w:rPr>
          <w:color w:val="auto"/>
          <w:sz w:val="24"/>
          <w:highlight w:val="none"/>
          <w:u w:val="single"/>
        </w:rPr>
        <w:t xml:space="preserve">    </w:t>
      </w:r>
      <w:r>
        <w:rPr>
          <w:color w:val="auto"/>
          <w:sz w:val="24"/>
          <w:highlight w:val="none"/>
        </w:rPr>
        <w:t>份：</w:t>
      </w:r>
    </w:p>
    <w:p w14:paraId="0EA01FB0">
      <w:pPr>
        <w:spacing w:line="360" w:lineRule="auto"/>
        <w:rPr>
          <w:color w:val="auto"/>
          <w:sz w:val="24"/>
          <w:highlight w:val="none"/>
        </w:rPr>
      </w:pPr>
    </w:p>
    <w:p w14:paraId="661808CC">
      <w:pPr>
        <w:spacing w:line="360" w:lineRule="auto"/>
        <w:rPr>
          <w:color w:val="auto"/>
          <w:sz w:val="24"/>
          <w:highlight w:val="none"/>
        </w:rPr>
      </w:pPr>
      <w:r>
        <w:rPr>
          <w:color w:val="auto"/>
          <w:sz w:val="24"/>
          <w:highlight w:val="none"/>
        </w:rPr>
        <w:t xml:space="preserve">   据此函，签字代表宣布同意如下：</w:t>
      </w:r>
    </w:p>
    <w:p w14:paraId="6C2A5616">
      <w:pPr>
        <w:numPr>
          <w:ilvl w:val="0"/>
          <w:numId w:val="12"/>
        </w:numPr>
        <w:spacing w:line="360" w:lineRule="auto"/>
        <w:rPr>
          <w:color w:val="auto"/>
          <w:sz w:val="24"/>
          <w:highlight w:val="none"/>
        </w:rPr>
      </w:pPr>
      <w:r>
        <w:rPr>
          <w:color w:val="auto"/>
          <w:sz w:val="24"/>
          <w:highlight w:val="none"/>
        </w:rPr>
        <w:t>所附规定的应提交公款竞争性存放定期存款年利率较基准利率的上浮</w:t>
      </w:r>
      <w:r>
        <w:rPr>
          <w:rFonts w:hint="eastAsia"/>
          <w:color w:val="auto"/>
          <w:sz w:val="24"/>
          <w:highlight w:val="none"/>
          <w:lang w:eastAsia="zh-CN"/>
        </w:rPr>
        <w:t>或者下浮</w:t>
      </w:r>
      <w:r>
        <w:rPr>
          <w:color w:val="auto"/>
          <w:sz w:val="24"/>
          <w:highlight w:val="none"/>
        </w:rPr>
        <w:t>率（</w:t>
      </w:r>
      <w:r>
        <w:rPr>
          <w:color w:val="auto"/>
          <w:sz w:val="24"/>
          <w:highlight w:val="none"/>
          <w:u w:val="single"/>
        </w:rPr>
        <w:t>见开标一览表）</w:t>
      </w:r>
      <w:r>
        <w:rPr>
          <w:color w:val="auto"/>
          <w:sz w:val="24"/>
          <w:highlight w:val="none"/>
        </w:rPr>
        <w:t xml:space="preserve">。 </w:t>
      </w:r>
    </w:p>
    <w:p w14:paraId="4C3094EB">
      <w:pPr>
        <w:numPr>
          <w:ilvl w:val="0"/>
          <w:numId w:val="12"/>
        </w:numPr>
        <w:spacing w:line="360" w:lineRule="auto"/>
        <w:rPr>
          <w:color w:val="auto"/>
          <w:sz w:val="24"/>
          <w:highlight w:val="none"/>
        </w:rPr>
      </w:pPr>
      <w:r>
        <w:rPr>
          <w:color w:val="auto"/>
          <w:sz w:val="24"/>
          <w:highlight w:val="none"/>
        </w:rPr>
        <w:t>投标方将按招标文件的规定履行合同责任和义务。</w:t>
      </w:r>
    </w:p>
    <w:p w14:paraId="4A1EB741">
      <w:pPr>
        <w:numPr>
          <w:ilvl w:val="0"/>
          <w:numId w:val="12"/>
        </w:numPr>
        <w:spacing w:line="360" w:lineRule="auto"/>
        <w:rPr>
          <w:color w:val="auto"/>
          <w:sz w:val="24"/>
          <w:highlight w:val="none"/>
        </w:rPr>
      </w:pPr>
      <w:r>
        <w:rPr>
          <w:color w:val="auto"/>
          <w:sz w:val="24"/>
          <w:highlight w:val="none"/>
        </w:rPr>
        <w:t>投标人已详细审查全部招标文件,包括第（插入编号）补遗书（如果有的话）。我们完全理解并同意放弃对这方面有不明及误解的权力。</w:t>
      </w:r>
    </w:p>
    <w:p w14:paraId="4C20F512">
      <w:pPr>
        <w:numPr>
          <w:ilvl w:val="0"/>
          <w:numId w:val="12"/>
        </w:numPr>
        <w:spacing w:line="360" w:lineRule="auto"/>
        <w:rPr>
          <w:color w:val="auto"/>
          <w:sz w:val="24"/>
          <w:highlight w:val="none"/>
        </w:rPr>
      </w:pPr>
      <w:r>
        <w:rPr>
          <w:color w:val="auto"/>
          <w:sz w:val="24"/>
          <w:highlight w:val="none"/>
        </w:rPr>
        <w:t>本投标有效期为自开标日起</w:t>
      </w:r>
      <w:r>
        <w:rPr>
          <w:color w:val="auto"/>
          <w:sz w:val="24"/>
          <w:highlight w:val="none"/>
          <w:u w:val="single"/>
        </w:rPr>
        <w:t xml:space="preserve">        </w:t>
      </w:r>
      <w:r>
        <w:rPr>
          <w:color w:val="auto"/>
          <w:sz w:val="24"/>
          <w:highlight w:val="none"/>
        </w:rPr>
        <w:t>个日历日。</w:t>
      </w:r>
    </w:p>
    <w:p w14:paraId="4ADD9AFB">
      <w:pPr>
        <w:numPr>
          <w:ilvl w:val="0"/>
          <w:numId w:val="12"/>
        </w:numPr>
        <w:spacing w:line="360" w:lineRule="auto"/>
        <w:rPr>
          <w:color w:val="auto"/>
          <w:sz w:val="24"/>
          <w:highlight w:val="none"/>
        </w:rPr>
      </w:pPr>
      <w:r>
        <w:rPr>
          <w:color w:val="auto"/>
          <w:sz w:val="24"/>
          <w:highlight w:val="none"/>
        </w:rPr>
        <w:t>如果在规定的开标时间后，投标人在投标有效期内撤回投标，其</w:t>
      </w:r>
      <w:r>
        <w:rPr>
          <w:rFonts w:hint="eastAsia"/>
          <w:color w:val="auto"/>
          <w:sz w:val="24"/>
          <w:highlight w:val="none"/>
          <w:lang w:val="en-US" w:eastAsia="zh-CN"/>
        </w:rPr>
        <w:t>投标无效</w:t>
      </w:r>
      <w:r>
        <w:rPr>
          <w:color w:val="auto"/>
          <w:sz w:val="24"/>
          <w:highlight w:val="none"/>
        </w:rPr>
        <w:t>。</w:t>
      </w:r>
    </w:p>
    <w:p w14:paraId="6ECD86D2">
      <w:pPr>
        <w:numPr>
          <w:ilvl w:val="0"/>
          <w:numId w:val="12"/>
        </w:numPr>
        <w:spacing w:line="360" w:lineRule="auto"/>
        <w:rPr>
          <w:color w:val="auto"/>
          <w:sz w:val="24"/>
          <w:highlight w:val="none"/>
        </w:rPr>
      </w:pPr>
      <w:r>
        <w:rPr>
          <w:color w:val="auto"/>
          <w:sz w:val="24"/>
          <w:highlight w:val="none"/>
        </w:rPr>
        <w:t>我方承诺，与买方聘请的为此项目提供咨询服务的公司及任何附属机构均无联系，我方不是买方的附属机构。</w:t>
      </w:r>
    </w:p>
    <w:p w14:paraId="6286934B">
      <w:pPr>
        <w:numPr>
          <w:ilvl w:val="0"/>
          <w:numId w:val="12"/>
        </w:numPr>
        <w:spacing w:line="360" w:lineRule="auto"/>
        <w:rPr>
          <w:color w:val="auto"/>
          <w:sz w:val="24"/>
          <w:highlight w:val="none"/>
        </w:rPr>
      </w:pPr>
      <w:r>
        <w:rPr>
          <w:color w:val="auto"/>
          <w:sz w:val="24"/>
          <w:highlight w:val="none"/>
        </w:rPr>
        <w:t>与本投标有关的一切正式往来通讯请寄：</w:t>
      </w:r>
    </w:p>
    <w:p w14:paraId="083858D2">
      <w:pPr>
        <w:spacing w:line="360" w:lineRule="auto"/>
        <w:rPr>
          <w:color w:val="auto"/>
          <w:sz w:val="24"/>
          <w:highlight w:val="none"/>
        </w:rPr>
      </w:pPr>
    </w:p>
    <w:p w14:paraId="49F3BF3E">
      <w:pPr>
        <w:spacing w:line="360" w:lineRule="auto"/>
        <w:rPr>
          <w:color w:val="auto"/>
          <w:sz w:val="24"/>
          <w:highlight w:val="none"/>
        </w:rPr>
      </w:pPr>
      <w:r>
        <w:rPr>
          <w:color w:val="auto"/>
          <w:sz w:val="24"/>
          <w:highlight w:val="none"/>
        </w:rPr>
        <w:t xml:space="preserve">    地址：____________________________________________________</w:t>
      </w:r>
    </w:p>
    <w:p w14:paraId="225BA2E1">
      <w:pPr>
        <w:spacing w:line="360" w:lineRule="auto"/>
        <w:rPr>
          <w:color w:val="auto"/>
          <w:sz w:val="24"/>
          <w:highlight w:val="none"/>
        </w:rPr>
      </w:pPr>
      <w:r>
        <w:rPr>
          <w:color w:val="auto"/>
          <w:sz w:val="24"/>
          <w:highlight w:val="none"/>
        </w:rPr>
        <w:t xml:space="preserve">    邮编：____________　电话：____________　传真：____________</w:t>
      </w:r>
    </w:p>
    <w:p w14:paraId="12123762">
      <w:pPr>
        <w:spacing w:line="360" w:lineRule="auto"/>
        <w:ind w:firstLine="3960"/>
        <w:rPr>
          <w:color w:val="auto"/>
          <w:sz w:val="24"/>
          <w:highlight w:val="none"/>
        </w:rPr>
      </w:pPr>
      <w:r>
        <w:rPr>
          <w:color w:val="auto"/>
          <w:sz w:val="24"/>
          <w:highlight w:val="none"/>
        </w:rPr>
        <w:t>投标人名称(盖章)：</w:t>
      </w:r>
    </w:p>
    <w:p w14:paraId="667A03B4">
      <w:pPr>
        <w:spacing w:line="360" w:lineRule="auto"/>
        <w:ind w:firstLine="3960"/>
        <w:rPr>
          <w:color w:val="auto"/>
          <w:sz w:val="24"/>
          <w:highlight w:val="none"/>
        </w:rPr>
      </w:pPr>
      <w:r>
        <w:rPr>
          <w:color w:val="auto"/>
          <w:sz w:val="24"/>
          <w:highlight w:val="none"/>
        </w:rPr>
        <w:t>投标人代表：(签字)：</w:t>
      </w:r>
    </w:p>
    <w:p w14:paraId="6DB1A80B">
      <w:pPr>
        <w:spacing w:line="360" w:lineRule="auto"/>
        <w:ind w:firstLine="3960"/>
        <w:rPr>
          <w:color w:val="auto"/>
          <w:sz w:val="24"/>
          <w:highlight w:val="none"/>
        </w:rPr>
      </w:pPr>
    </w:p>
    <w:p w14:paraId="1B1B726E">
      <w:pPr>
        <w:widowControl/>
        <w:spacing w:line="360" w:lineRule="auto"/>
        <w:jc w:val="left"/>
        <w:rPr>
          <w:color w:val="auto"/>
          <w:highlight w:val="none"/>
        </w:rPr>
        <w:sectPr>
          <w:pgSz w:w="11906" w:h="16838"/>
          <w:pgMar w:top="1474" w:right="1797" w:bottom="1247" w:left="1797" w:header="851" w:footer="851" w:gutter="0"/>
          <w:pgBorders w:offsetFrom="page">
            <w:top w:val="none" w:sz="0" w:space="0"/>
            <w:left w:val="none" w:sz="0" w:space="0"/>
            <w:bottom w:val="none" w:sz="0" w:space="0"/>
            <w:right w:val="none" w:sz="0" w:space="0"/>
          </w:pgBorders>
          <w:pgNumType w:fmt="numberInDash"/>
          <w:cols w:space="720" w:num="1"/>
          <w:docGrid w:linePitch="312" w:charSpace="0"/>
        </w:sectPr>
      </w:pPr>
      <w:r>
        <w:rPr>
          <w:color w:val="auto"/>
          <w:sz w:val="24"/>
          <w:highlight w:val="none"/>
        </w:rPr>
        <w:t xml:space="preserve">                                       日　期：</w:t>
      </w:r>
    </w:p>
    <w:p w14:paraId="31180AF9">
      <w:pPr>
        <w:widowControl/>
        <w:spacing w:line="360" w:lineRule="auto"/>
        <w:rPr>
          <w:b/>
          <w:color w:val="auto"/>
          <w:kern w:val="0"/>
          <w:sz w:val="32"/>
          <w:szCs w:val="32"/>
          <w:highlight w:val="none"/>
        </w:rPr>
      </w:pPr>
      <w:r>
        <w:rPr>
          <w:color w:val="auto"/>
          <w:sz w:val="28"/>
          <w:highlight w:val="none"/>
        </w:rPr>
        <w:t xml:space="preserve">附件二                                </w:t>
      </w:r>
      <w:r>
        <w:rPr>
          <w:b/>
          <w:color w:val="auto"/>
          <w:kern w:val="0"/>
          <w:sz w:val="32"/>
          <w:szCs w:val="32"/>
          <w:highlight w:val="none"/>
        </w:rPr>
        <w:t>开标一览表</w:t>
      </w:r>
    </w:p>
    <w:p w14:paraId="2585DB74">
      <w:pPr>
        <w:widowControl/>
        <w:spacing w:line="360" w:lineRule="auto"/>
        <w:rPr>
          <w:rFonts w:hint="default" w:eastAsia="宋体"/>
          <w:color w:val="auto"/>
          <w:kern w:val="0"/>
          <w:sz w:val="24"/>
          <w:highlight w:val="none"/>
          <w:lang w:val="en-US" w:eastAsia="zh-CN"/>
        </w:rPr>
      </w:pPr>
      <w:r>
        <w:rPr>
          <w:color w:val="auto"/>
          <w:kern w:val="0"/>
          <w:sz w:val="24"/>
          <w:highlight w:val="none"/>
        </w:rPr>
        <w:t>投标人名称：________________________</w:t>
      </w:r>
      <w:r>
        <w:rPr>
          <w:rFonts w:hint="eastAsia"/>
          <w:color w:val="auto"/>
          <w:kern w:val="0"/>
          <w:sz w:val="24"/>
          <w:highlight w:val="none"/>
          <w:lang w:val="en-US" w:eastAsia="zh-CN"/>
        </w:rPr>
        <w:t xml:space="preserve">        </w:t>
      </w:r>
      <w:r>
        <w:rPr>
          <w:rFonts w:hint="eastAsia"/>
          <w:color w:val="auto"/>
          <w:kern w:val="0"/>
          <w:sz w:val="24"/>
          <w:highlight w:val="none"/>
        </w:rPr>
        <w:t xml:space="preserve">招标编号：  </w:t>
      </w:r>
      <w:r>
        <w:rPr>
          <w:color w:val="auto"/>
          <w:kern w:val="0"/>
          <w:sz w:val="24"/>
          <w:highlight w:val="none"/>
        </w:rPr>
        <w:t>_____________________</w:t>
      </w:r>
      <w:r>
        <w:rPr>
          <w:rFonts w:hint="eastAsia"/>
          <w:color w:val="auto"/>
          <w:kern w:val="0"/>
          <w:sz w:val="24"/>
          <w:highlight w:val="none"/>
          <w:lang w:val="en-US" w:eastAsia="zh-CN"/>
        </w:rPr>
        <w:t xml:space="preserve">  标项序号：</w:t>
      </w:r>
      <w:r>
        <w:rPr>
          <w:rFonts w:hint="eastAsia"/>
          <w:color w:val="auto"/>
          <w:kern w:val="0"/>
          <w:sz w:val="24"/>
          <w:highlight w:val="none"/>
        </w:rPr>
        <w:t xml:space="preserve">  </w:t>
      </w:r>
      <w:r>
        <w:rPr>
          <w:color w:val="auto"/>
          <w:kern w:val="0"/>
          <w:sz w:val="24"/>
          <w:highlight w:val="none"/>
        </w:rPr>
        <w:t>_____________________</w:t>
      </w:r>
    </w:p>
    <w:tbl>
      <w:tblPr>
        <w:tblStyle w:val="3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2813"/>
        <w:gridCol w:w="5016"/>
        <w:gridCol w:w="2813"/>
        <w:gridCol w:w="1884"/>
      </w:tblGrid>
      <w:tr w14:paraId="13FB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096" w:type="dxa"/>
            <w:tcBorders>
              <w:top w:val="single" w:color="auto" w:sz="12" w:space="0"/>
              <w:left w:val="single" w:color="auto" w:sz="12" w:space="0"/>
            </w:tcBorders>
            <w:noWrap w:val="0"/>
            <w:vAlign w:val="center"/>
          </w:tcPr>
          <w:p w14:paraId="65775131">
            <w:pPr>
              <w:snapToGrid w:val="0"/>
              <w:spacing w:line="360" w:lineRule="auto"/>
              <w:jc w:val="center"/>
              <w:rPr>
                <w:color w:val="auto"/>
                <w:sz w:val="24"/>
                <w:highlight w:val="none"/>
              </w:rPr>
            </w:pPr>
            <w:r>
              <w:rPr>
                <w:color w:val="auto"/>
                <w:sz w:val="24"/>
                <w:highlight w:val="none"/>
              </w:rPr>
              <w:t>序号</w:t>
            </w:r>
          </w:p>
        </w:tc>
        <w:tc>
          <w:tcPr>
            <w:tcW w:w="2813" w:type="dxa"/>
            <w:tcBorders>
              <w:top w:val="single" w:color="auto" w:sz="12" w:space="0"/>
            </w:tcBorders>
            <w:noWrap w:val="0"/>
            <w:vAlign w:val="center"/>
          </w:tcPr>
          <w:p w14:paraId="302DE689">
            <w:pPr>
              <w:snapToGrid w:val="0"/>
              <w:spacing w:line="360" w:lineRule="auto"/>
              <w:jc w:val="center"/>
              <w:rPr>
                <w:color w:val="auto"/>
                <w:kern w:val="2"/>
                <w:sz w:val="24"/>
                <w:szCs w:val="24"/>
                <w:highlight w:val="none"/>
                <w:lang w:val="en-US" w:eastAsia="zh-CN" w:bidi="ar-SA"/>
              </w:rPr>
            </w:pPr>
            <w:r>
              <w:rPr>
                <w:color w:val="auto"/>
                <w:sz w:val="24"/>
                <w:highlight w:val="none"/>
              </w:rPr>
              <w:t>存款期</w:t>
            </w:r>
          </w:p>
        </w:tc>
        <w:tc>
          <w:tcPr>
            <w:tcW w:w="5016" w:type="dxa"/>
            <w:tcBorders>
              <w:top w:val="single" w:color="auto" w:sz="12" w:space="0"/>
            </w:tcBorders>
            <w:noWrap w:val="0"/>
            <w:vAlign w:val="center"/>
          </w:tcPr>
          <w:p w14:paraId="0A6FF55E">
            <w:pPr>
              <w:snapToGrid w:val="0"/>
              <w:spacing w:line="360" w:lineRule="auto"/>
              <w:jc w:val="center"/>
              <w:rPr>
                <w:color w:val="auto"/>
                <w:sz w:val="24"/>
                <w:highlight w:val="none"/>
              </w:rPr>
            </w:pPr>
            <w:r>
              <w:rPr>
                <w:rFonts w:hint="eastAsia"/>
                <w:color w:val="auto"/>
                <w:sz w:val="24"/>
                <w:highlight w:val="none"/>
              </w:rPr>
              <w:t>存款年利率</w:t>
            </w:r>
            <w:r>
              <w:rPr>
                <w:color w:val="auto"/>
                <w:sz w:val="24"/>
                <w:highlight w:val="none"/>
              </w:rPr>
              <w:t>较基准利率的上浮</w:t>
            </w:r>
            <w:r>
              <w:rPr>
                <w:rFonts w:hint="eastAsia"/>
                <w:color w:val="auto"/>
                <w:sz w:val="24"/>
                <w:highlight w:val="none"/>
                <w:lang w:eastAsia="zh-CN"/>
              </w:rPr>
              <w:t>或者下浮</w:t>
            </w:r>
            <w:r>
              <w:rPr>
                <w:rFonts w:hint="eastAsia"/>
                <w:color w:val="auto"/>
                <w:sz w:val="24"/>
                <w:highlight w:val="none"/>
              </w:rPr>
              <w:t>基点</w:t>
            </w:r>
            <w:r>
              <w:rPr>
                <w:color w:val="auto"/>
                <w:sz w:val="24"/>
                <w:highlight w:val="none"/>
              </w:rPr>
              <w:t>（</w:t>
            </w:r>
            <w:r>
              <w:rPr>
                <w:rFonts w:hint="eastAsia"/>
                <w:color w:val="auto"/>
                <w:sz w:val="24"/>
                <w:highlight w:val="none"/>
              </w:rPr>
              <w:t>BP</w:t>
            </w:r>
            <w:r>
              <w:rPr>
                <w:color w:val="auto"/>
                <w:sz w:val="24"/>
                <w:highlight w:val="none"/>
              </w:rPr>
              <w:t>）</w:t>
            </w:r>
          </w:p>
          <w:p w14:paraId="243B9492">
            <w:pPr>
              <w:snapToGrid w:val="0"/>
              <w:spacing w:line="360" w:lineRule="auto"/>
              <w:jc w:val="center"/>
              <w:rPr>
                <w:color w:val="auto"/>
                <w:kern w:val="2"/>
                <w:sz w:val="24"/>
                <w:szCs w:val="24"/>
                <w:highlight w:val="none"/>
                <w:lang w:val="en-US" w:eastAsia="zh-CN" w:bidi="ar-SA"/>
              </w:rPr>
            </w:pPr>
            <w:r>
              <w:rPr>
                <w:rFonts w:hint="eastAsia"/>
                <w:color w:val="auto"/>
                <w:sz w:val="24"/>
                <w:highlight w:val="none"/>
              </w:rPr>
              <w:t>（</w:t>
            </w:r>
            <w:r>
              <w:rPr>
                <w:rFonts w:hint="eastAsia"/>
                <w:color w:val="auto"/>
                <w:highlight w:val="none"/>
              </w:rPr>
              <w:t>基准利率+基点</w:t>
            </w:r>
            <w:r>
              <w:rPr>
                <w:rFonts w:hint="eastAsia"/>
                <w:color w:val="auto"/>
                <w:sz w:val="24"/>
                <w:highlight w:val="none"/>
              </w:rPr>
              <w:t>）</w:t>
            </w:r>
          </w:p>
        </w:tc>
        <w:tc>
          <w:tcPr>
            <w:tcW w:w="2813" w:type="dxa"/>
            <w:tcBorders>
              <w:top w:val="single" w:color="auto" w:sz="12" w:space="0"/>
            </w:tcBorders>
            <w:noWrap w:val="0"/>
            <w:vAlign w:val="center"/>
          </w:tcPr>
          <w:p w14:paraId="72E8C94D">
            <w:pPr>
              <w:snapToGrid w:val="0"/>
              <w:spacing w:line="360" w:lineRule="auto"/>
              <w:jc w:val="center"/>
              <w:rPr>
                <w:rFonts w:hint="eastAsia" w:eastAsia="宋体"/>
                <w:color w:val="auto"/>
                <w:sz w:val="24"/>
                <w:highlight w:val="none"/>
                <w:lang w:eastAsia="zh-CN"/>
              </w:rPr>
            </w:pPr>
            <w:r>
              <w:rPr>
                <w:rFonts w:hint="eastAsia"/>
                <w:color w:val="auto"/>
                <w:sz w:val="24"/>
                <w:highlight w:val="none"/>
                <w:lang w:eastAsia="zh-CN"/>
              </w:rPr>
              <w:t>年利率（</w:t>
            </w:r>
            <w:r>
              <w:rPr>
                <w:rFonts w:hint="eastAsia"/>
                <w:color w:val="auto"/>
                <w:sz w:val="24"/>
                <w:highlight w:val="none"/>
                <w:lang w:val="en-US" w:eastAsia="zh-CN"/>
              </w:rPr>
              <w:t>%</w:t>
            </w:r>
            <w:r>
              <w:rPr>
                <w:rFonts w:hint="eastAsia"/>
                <w:color w:val="auto"/>
                <w:sz w:val="24"/>
                <w:highlight w:val="none"/>
                <w:lang w:eastAsia="zh-CN"/>
              </w:rPr>
              <w:t>）</w:t>
            </w:r>
          </w:p>
        </w:tc>
        <w:tc>
          <w:tcPr>
            <w:tcW w:w="1884" w:type="dxa"/>
            <w:tcBorders>
              <w:top w:val="single" w:color="auto" w:sz="12" w:space="0"/>
              <w:right w:val="single" w:color="auto" w:sz="12" w:space="0"/>
            </w:tcBorders>
            <w:noWrap w:val="0"/>
            <w:vAlign w:val="center"/>
          </w:tcPr>
          <w:p w14:paraId="4F66544A">
            <w:pPr>
              <w:snapToGrid w:val="0"/>
              <w:spacing w:line="360" w:lineRule="auto"/>
              <w:jc w:val="center"/>
              <w:rPr>
                <w:color w:val="auto"/>
                <w:sz w:val="24"/>
                <w:highlight w:val="none"/>
              </w:rPr>
            </w:pPr>
            <w:r>
              <w:rPr>
                <w:color w:val="auto"/>
                <w:sz w:val="24"/>
                <w:highlight w:val="none"/>
              </w:rPr>
              <w:t>备注</w:t>
            </w:r>
          </w:p>
        </w:tc>
      </w:tr>
      <w:tr w14:paraId="30A2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096" w:type="dxa"/>
            <w:tcBorders>
              <w:left w:val="single" w:color="auto" w:sz="12" w:space="0"/>
            </w:tcBorders>
            <w:noWrap w:val="0"/>
            <w:vAlign w:val="center"/>
          </w:tcPr>
          <w:p w14:paraId="2C8BA076">
            <w:pPr>
              <w:snapToGrid w:val="0"/>
              <w:spacing w:line="360" w:lineRule="auto"/>
              <w:jc w:val="center"/>
              <w:rPr>
                <w:color w:val="auto"/>
                <w:sz w:val="24"/>
                <w:highlight w:val="none"/>
              </w:rPr>
            </w:pPr>
            <w:r>
              <w:rPr>
                <w:color w:val="auto"/>
                <w:sz w:val="24"/>
                <w:highlight w:val="none"/>
              </w:rPr>
              <w:t>1</w:t>
            </w:r>
          </w:p>
        </w:tc>
        <w:tc>
          <w:tcPr>
            <w:tcW w:w="2813" w:type="dxa"/>
            <w:noWrap w:val="0"/>
            <w:vAlign w:val="center"/>
          </w:tcPr>
          <w:p w14:paraId="01A55E99">
            <w:pPr>
              <w:snapToGrid w:val="0"/>
              <w:spacing w:line="360" w:lineRule="auto"/>
              <w:ind w:firstLine="480" w:firstLineChars="200"/>
              <w:rPr>
                <w:color w:val="auto"/>
                <w:kern w:val="2"/>
                <w:sz w:val="24"/>
                <w:szCs w:val="24"/>
                <w:highlight w:val="none"/>
                <w:lang w:val="en-US" w:eastAsia="zh-CN" w:bidi="ar-SA"/>
              </w:rPr>
            </w:pPr>
            <w:r>
              <w:rPr>
                <w:color w:val="auto"/>
                <w:sz w:val="24"/>
                <w:highlight w:val="none"/>
              </w:rPr>
              <w:t>活期存款利率</w:t>
            </w:r>
          </w:p>
        </w:tc>
        <w:tc>
          <w:tcPr>
            <w:tcW w:w="5016" w:type="dxa"/>
            <w:noWrap w:val="0"/>
            <w:vAlign w:val="center"/>
          </w:tcPr>
          <w:p w14:paraId="6F567E64">
            <w:pPr>
              <w:widowControl/>
              <w:spacing w:line="360" w:lineRule="auto"/>
              <w:jc w:val="center"/>
              <w:rPr>
                <w:color w:val="auto"/>
                <w:kern w:val="2"/>
                <w:sz w:val="21"/>
                <w:szCs w:val="24"/>
                <w:highlight w:val="none"/>
                <w:lang w:val="en-US" w:eastAsia="zh-CN" w:bidi="ar-SA"/>
              </w:rPr>
            </w:pPr>
            <w:r>
              <w:rPr>
                <w:rFonts w:hint="eastAsia"/>
                <w:color w:val="auto"/>
                <w:sz w:val="24"/>
                <w:highlight w:val="none"/>
              </w:rPr>
              <w:t xml:space="preserve">基准利率+ </w:t>
            </w:r>
            <w:r>
              <w:rPr>
                <w:rFonts w:hint="eastAsia"/>
                <w:color w:val="auto"/>
                <w:sz w:val="24"/>
                <w:highlight w:val="none"/>
                <w:u w:val="single"/>
              </w:rPr>
              <w:t xml:space="preserve">      </w:t>
            </w:r>
            <w:r>
              <w:rPr>
                <w:rFonts w:hint="eastAsia"/>
                <w:color w:val="auto"/>
                <w:sz w:val="24"/>
                <w:highlight w:val="none"/>
              </w:rPr>
              <w:t>BP</w:t>
            </w:r>
          </w:p>
        </w:tc>
        <w:tc>
          <w:tcPr>
            <w:tcW w:w="2813" w:type="dxa"/>
            <w:noWrap w:val="0"/>
            <w:vAlign w:val="center"/>
          </w:tcPr>
          <w:p w14:paraId="0C8BABA3">
            <w:pPr>
              <w:snapToGrid w:val="0"/>
              <w:spacing w:line="360" w:lineRule="auto"/>
              <w:jc w:val="center"/>
              <w:rPr>
                <w:rFonts w:hint="eastAsia" w:eastAsia="宋体"/>
                <w:color w:val="auto"/>
                <w:sz w:val="24"/>
                <w:highlight w:val="none"/>
                <w:lang w:val="en-US" w:eastAsia="zh-CN"/>
              </w:rPr>
            </w:pPr>
            <w:r>
              <w:rPr>
                <w:rFonts w:hint="eastAsia"/>
                <w:color w:val="auto"/>
                <w:sz w:val="24"/>
                <w:highlight w:val="none"/>
                <w:u w:val="single"/>
              </w:rPr>
              <w:t xml:space="preserve">      </w:t>
            </w:r>
            <w:r>
              <w:rPr>
                <w:rFonts w:hint="eastAsia"/>
                <w:color w:val="auto"/>
                <w:sz w:val="24"/>
                <w:highlight w:val="none"/>
                <w:u w:val="none"/>
                <w:lang w:val="en-US" w:eastAsia="zh-CN"/>
              </w:rPr>
              <w:t>%</w:t>
            </w:r>
          </w:p>
        </w:tc>
        <w:tc>
          <w:tcPr>
            <w:tcW w:w="1884" w:type="dxa"/>
            <w:vMerge w:val="restart"/>
            <w:tcBorders>
              <w:right w:val="single" w:color="auto" w:sz="12" w:space="0"/>
            </w:tcBorders>
            <w:noWrap w:val="0"/>
            <w:vAlign w:val="top"/>
          </w:tcPr>
          <w:p w14:paraId="3F59AB54">
            <w:pPr>
              <w:snapToGrid w:val="0"/>
              <w:spacing w:line="360" w:lineRule="auto"/>
              <w:jc w:val="center"/>
              <w:rPr>
                <w:color w:val="auto"/>
                <w:sz w:val="24"/>
                <w:highlight w:val="none"/>
              </w:rPr>
            </w:pPr>
          </w:p>
        </w:tc>
      </w:tr>
      <w:tr w14:paraId="7A23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096" w:type="dxa"/>
            <w:tcBorders>
              <w:left w:val="single" w:color="auto" w:sz="12" w:space="0"/>
            </w:tcBorders>
            <w:noWrap w:val="0"/>
            <w:vAlign w:val="center"/>
          </w:tcPr>
          <w:p w14:paraId="65AABAEE">
            <w:pPr>
              <w:snapToGrid w:val="0"/>
              <w:spacing w:line="360" w:lineRule="auto"/>
              <w:jc w:val="center"/>
              <w:rPr>
                <w:color w:val="auto"/>
                <w:sz w:val="24"/>
                <w:highlight w:val="none"/>
              </w:rPr>
            </w:pPr>
            <w:r>
              <w:rPr>
                <w:color w:val="auto"/>
                <w:sz w:val="24"/>
                <w:highlight w:val="none"/>
              </w:rPr>
              <w:t>2</w:t>
            </w:r>
          </w:p>
        </w:tc>
        <w:tc>
          <w:tcPr>
            <w:tcW w:w="2813" w:type="dxa"/>
            <w:noWrap w:val="0"/>
            <w:vAlign w:val="center"/>
          </w:tcPr>
          <w:p w14:paraId="13DD1CDB">
            <w:pPr>
              <w:snapToGrid w:val="0"/>
              <w:spacing w:line="360" w:lineRule="auto"/>
              <w:ind w:firstLine="480" w:firstLineChars="200"/>
              <w:rPr>
                <w:rFonts w:hint="eastAsia"/>
                <w:color w:val="auto"/>
                <w:kern w:val="2"/>
                <w:sz w:val="24"/>
                <w:szCs w:val="24"/>
                <w:highlight w:val="none"/>
                <w:lang w:val="en-US" w:eastAsia="zh-CN" w:bidi="ar-SA"/>
              </w:rPr>
            </w:pPr>
            <w:r>
              <w:rPr>
                <w:rFonts w:hint="eastAsia"/>
                <w:color w:val="auto"/>
                <w:sz w:val="24"/>
                <w:highlight w:val="none"/>
              </w:rPr>
              <w:t>协定存款利率</w:t>
            </w:r>
          </w:p>
        </w:tc>
        <w:tc>
          <w:tcPr>
            <w:tcW w:w="5016" w:type="dxa"/>
            <w:noWrap w:val="0"/>
            <w:vAlign w:val="center"/>
          </w:tcPr>
          <w:p w14:paraId="1531D6DE">
            <w:pPr>
              <w:widowControl/>
              <w:spacing w:line="360" w:lineRule="auto"/>
              <w:jc w:val="center"/>
              <w:rPr>
                <w:color w:val="auto"/>
                <w:kern w:val="2"/>
                <w:sz w:val="21"/>
                <w:szCs w:val="24"/>
                <w:highlight w:val="none"/>
                <w:lang w:val="en-US" w:eastAsia="zh-CN" w:bidi="ar-SA"/>
              </w:rPr>
            </w:pPr>
            <w:r>
              <w:rPr>
                <w:rFonts w:hint="eastAsia"/>
                <w:color w:val="auto"/>
                <w:sz w:val="24"/>
                <w:highlight w:val="none"/>
              </w:rPr>
              <w:t xml:space="preserve">基准利率+ </w:t>
            </w:r>
            <w:r>
              <w:rPr>
                <w:rFonts w:hint="eastAsia"/>
                <w:color w:val="auto"/>
                <w:sz w:val="24"/>
                <w:highlight w:val="none"/>
                <w:u w:val="single"/>
              </w:rPr>
              <w:t xml:space="preserve">      </w:t>
            </w:r>
            <w:r>
              <w:rPr>
                <w:rFonts w:hint="eastAsia"/>
                <w:color w:val="auto"/>
                <w:sz w:val="24"/>
                <w:highlight w:val="none"/>
              </w:rPr>
              <w:t>BP</w:t>
            </w:r>
          </w:p>
        </w:tc>
        <w:tc>
          <w:tcPr>
            <w:tcW w:w="2813" w:type="dxa"/>
            <w:noWrap w:val="0"/>
            <w:vAlign w:val="center"/>
          </w:tcPr>
          <w:p w14:paraId="2FBDB1FB">
            <w:pPr>
              <w:snapToGrid w:val="0"/>
              <w:spacing w:line="360" w:lineRule="auto"/>
              <w:jc w:val="center"/>
              <w:rPr>
                <w:color w:val="auto"/>
                <w:sz w:val="24"/>
                <w:highlight w:val="none"/>
              </w:rPr>
            </w:pPr>
            <w:r>
              <w:rPr>
                <w:rFonts w:hint="eastAsia"/>
                <w:color w:val="auto"/>
                <w:sz w:val="24"/>
                <w:highlight w:val="none"/>
                <w:u w:val="single"/>
              </w:rPr>
              <w:t xml:space="preserve">      </w:t>
            </w:r>
            <w:r>
              <w:rPr>
                <w:rFonts w:hint="eastAsia"/>
                <w:color w:val="auto"/>
                <w:sz w:val="24"/>
                <w:highlight w:val="none"/>
                <w:u w:val="none"/>
                <w:lang w:val="en-US" w:eastAsia="zh-CN"/>
              </w:rPr>
              <w:t>%</w:t>
            </w:r>
          </w:p>
        </w:tc>
        <w:tc>
          <w:tcPr>
            <w:tcW w:w="1884" w:type="dxa"/>
            <w:vMerge w:val="continue"/>
            <w:tcBorders>
              <w:right w:val="single" w:color="auto" w:sz="12" w:space="0"/>
            </w:tcBorders>
            <w:noWrap w:val="0"/>
            <w:vAlign w:val="top"/>
          </w:tcPr>
          <w:p w14:paraId="56198698">
            <w:pPr>
              <w:snapToGrid w:val="0"/>
              <w:spacing w:line="360" w:lineRule="auto"/>
              <w:jc w:val="center"/>
              <w:rPr>
                <w:color w:val="auto"/>
                <w:sz w:val="24"/>
                <w:highlight w:val="none"/>
              </w:rPr>
            </w:pPr>
          </w:p>
        </w:tc>
      </w:tr>
      <w:tr w14:paraId="316F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096" w:type="dxa"/>
            <w:tcBorders>
              <w:left w:val="single" w:color="auto" w:sz="12" w:space="0"/>
            </w:tcBorders>
            <w:noWrap w:val="0"/>
            <w:vAlign w:val="center"/>
          </w:tcPr>
          <w:p w14:paraId="2C40619D">
            <w:pPr>
              <w:snapToGrid w:val="0"/>
              <w:spacing w:line="360" w:lineRule="auto"/>
              <w:jc w:val="center"/>
              <w:rPr>
                <w:rFonts w:hint="eastAsia"/>
                <w:color w:val="auto"/>
                <w:sz w:val="24"/>
                <w:highlight w:val="none"/>
              </w:rPr>
            </w:pPr>
            <w:r>
              <w:rPr>
                <w:rFonts w:hint="eastAsia"/>
                <w:color w:val="auto"/>
                <w:sz w:val="24"/>
                <w:highlight w:val="none"/>
              </w:rPr>
              <w:t>3</w:t>
            </w:r>
          </w:p>
        </w:tc>
        <w:tc>
          <w:tcPr>
            <w:tcW w:w="2813" w:type="dxa"/>
            <w:noWrap w:val="0"/>
            <w:vAlign w:val="center"/>
          </w:tcPr>
          <w:p w14:paraId="404A06F6">
            <w:pPr>
              <w:snapToGrid w:val="0"/>
              <w:spacing w:line="360" w:lineRule="auto"/>
              <w:ind w:firstLine="420" w:firstLineChars="200"/>
              <w:rPr>
                <w:rFonts w:hint="eastAsia" w:eastAsia="宋体"/>
                <w:color w:val="auto"/>
                <w:kern w:val="2"/>
                <w:sz w:val="24"/>
                <w:szCs w:val="24"/>
                <w:highlight w:val="none"/>
                <w:lang w:val="en-US" w:eastAsia="zh-CN" w:bidi="ar-SA"/>
              </w:rPr>
            </w:pPr>
            <w:r>
              <w:rPr>
                <w:rFonts w:hint="eastAsia" w:ascii="宋体" w:hAnsi="宋体" w:eastAsia="宋体" w:cs="宋体"/>
              </w:rPr>
              <w:t>七天通知存款利率</w:t>
            </w:r>
          </w:p>
        </w:tc>
        <w:tc>
          <w:tcPr>
            <w:tcW w:w="5016" w:type="dxa"/>
            <w:noWrap w:val="0"/>
            <w:vAlign w:val="center"/>
          </w:tcPr>
          <w:p w14:paraId="093AEB85">
            <w:pPr>
              <w:widowControl/>
              <w:spacing w:line="360" w:lineRule="auto"/>
              <w:jc w:val="center"/>
              <w:rPr>
                <w:rFonts w:hint="eastAsia"/>
                <w:color w:val="auto"/>
                <w:kern w:val="2"/>
                <w:sz w:val="21"/>
                <w:szCs w:val="24"/>
                <w:highlight w:val="none"/>
                <w:lang w:val="en-US" w:eastAsia="zh-CN" w:bidi="ar-SA"/>
              </w:rPr>
            </w:pPr>
            <w:r>
              <w:rPr>
                <w:rFonts w:hint="eastAsia"/>
                <w:color w:val="auto"/>
                <w:sz w:val="24"/>
                <w:highlight w:val="none"/>
              </w:rPr>
              <w:t xml:space="preserve">基准利率+ </w:t>
            </w:r>
            <w:r>
              <w:rPr>
                <w:rFonts w:hint="eastAsia"/>
                <w:color w:val="auto"/>
                <w:sz w:val="24"/>
                <w:highlight w:val="none"/>
                <w:u w:val="single"/>
              </w:rPr>
              <w:t xml:space="preserve">      </w:t>
            </w:r>
            <w:r>
              <w:rPr>
                <w:rFonts w:hint="eastAsia"/>
                <w:color w:val="auto"/>
                <w:sz w:val="24"/>
                <w:highlight w:val="none"/>
              </w:rPr>
              <w:t>BP</w:t>
            </w:r>
          </w:p>
        </w:tc>
        <w:tc>
          <w:tcPr>
            <w:tcW w:w="2813" w:type="dxa"/>
            <w:noWrap w:val="0"/>
            <w:vAlign w:val="center"/>
          </w:tcPr>
          <w:p w14:paraId="4BC85AC1">
            <w:pPr>
              <w:snapToGrid w:val="0"/>
              <w:spacing w:line="360" w:lineRule="auto"/>
              <w:jc w:val="center"/>
              <w:rPr>
                <w:rFonts w:hint="eastAsia"/>
                <w:color w:val="auto"/>
                <w:sz w:val="24"/>
                <w:highlight w:val="none"/>
              </w:rPr>
            </w:pPr>
            <w:r>
              <w:rPr>
                <w:rFonts w:hint="eastAsia"/>
                <w:color w:val="auto"/>
                <w:sz w:val="24"/>
                <w:highlight w:val="none"/>
                <w:u w:val="single"/>
              </w:rPr>
              <w:t xml:space="preserve">      </w:t>
            </w:r>
            <w:r>
              <w:rPr>
                <w:rFonts w:hint="eastAsia"/>
                <w:color w:val="auto"/>
                <w:sz w:val="24"/>
                <w:highlight w:val="none"/>
                <w:u w:val="none"/>
                <w:lang w:val="en-US" w:eastAsia="zh-CN"/>
              </w:rPr>
              <w:t>%</w:t>
            </w:r>
          </w:p>
        </w:tc>
        <w:tc>
          <w:tcPr>
            <w:tcW w:w="1884" w:type="dxa"/>
            <w:vMerge w:val="continue"/>
            <w:tcBorders>
              <w:right w:val="single" w:color="auto" w:sz="12" w:space="0"/>
            </w:tcBorders>
            <w:noWrap w:val="0"/>
            <w:vAlign w:val="top"/>
          </w:tcPr>
          <w:p w14:paraId="64951A43">
            <w:pPr>
              <w:snapToGrid w:val="0"/>
              <w:spacing w:line="360" w:lineRule="auto"/>
              <w:jc w:val="center"/>
              <w:rPr>
                <w:color w:val="auto"/>
                <w:sz w:val="24"/>
                <w:highlight w:val="none"/>
              </w:rPr>
            </w:pPr>
          </w:p>
        </w:tc>
      </w:tr>
      <w:tr w14:paraId="0FEA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096" w:type="dxa"/>
            <w:tcBorders>
              <w:left w:val="single" w:color="auto" w:sz="12" w:space="0"/>
            </w:tcBorders>
            <w:noWrap w:val="0"/>
            <w:vAlign w:val="center"/>
          </w:tcPr>
          <w:p w14:paraId="2F309E76">
            <w:pPr>
              <w:snapToGrid w:val="0"/>
              <w:spacing w:line="360" w:lineRule="auto"/>
              <w:jc w:val="center"/>
              <w:rPr>
                <w:rFonts w:hint="eastAsia" w:eastAsia="宋体"/>
                <w:color w:val="auto"/>
                <w:sz w:val="24"/>
                <w:highlight w:val="none"/>
                <w:lang w:val="en-US" w:eastAsia="zh-CN"/>
              </w:rPr>
            </w:pPr>
            <w:r>
              <w:rPr>
                <w:rFonts w:hint="eastAsia"/>
                <w:color w:val="auto"/>
                <w:sz w:val="24"/>
                <w:highlight w:val="none"/>
                <w:lang w:val="en-US" w:eastAsia="zh-CN"/>
              </w:rPr>
              <w:t>4</w:t>
            </w:r>
          </w:p>
        </w:tc>
        <w:tc>
          <w:tcPr>
            <w:tcW w:w="2813" w:type="dxa"/>
            <w:noWrap w:val="0"/>
            <w:vAlign w:val="center"/>
          </w:tcPr>
          <w:p w14:paraId="4E8270E2">
            <w:pPr>
              <w:snapToGrid w:val="0"/>
              <w:spacing w:line="360" w:lineRule="auto"/>
              <w:ind w:firstLine="420" w:firstLineChars="200"/>
              <w:rPr>
                <w:rFonts w:hint="eastAsia"/>
                <w:color w:val="auto"/>
                <w:sz w:val="24"/>
                <w:highlight w:val="none"/>
              </w:rPr>
            </w:pPr>
            <w:r>
              <w:rPr>
                <w:rFonts w:hint="eastAsia" w:ascii="宋体" w:hAnsi="宋体" w:eastAsia="宋体" w:cs="宋体"/>
              </w:rPr>
              <w:t>六个月定期存款利率</w:t>
            </w:r>
          </w:p>
        </w:tc>
        <w:tc>
          <w:tcPr>
            <w:tcW w:w="5016" w:type="dxa"/>
            <w:noWrap w:val="0"/>
            <w:vAlign w:val="center"/>
          </w:tcPr>
          <w:p w14:paraId="3C16A72D">
            <w:pPr>
              <w:widowControl/>
              <w:spacing w:line="360" w:lineRule="auto"/>
              <w:jc w:val="center"/>
              <w:rPr>
                <w:rFonts w:hint="eastAsia"/>
                <w:color w:val="auto"/>
                <w:sz w:val="24"/>
                <w:highlight w:val="none"/>
              </w:rPr>
            </w:pPr>
            <w:r>
              <w:rPr>
                <w:rFonts w:hint="eastAsia"/>
                <w:color w:val="auto"/>
                <w:sz w:val="24"/>
                <w:highlight w:val="none"/>
              </w:rPr>
              <w:t xml:space="preserve">基准利率+ </w:t>
            </w:r>
            <w:r>
              <w:rPr>
                <w:rFonts w:hint="eastAsia"/>
                <w:color w:val="auto"/>
                <w:sz w:val="24"/>
                <w:highlight w:val="none"/>
                <w:u w:val="single"/>
              </w:rPr>
              <w:t xml:space="preserve">      </w:t>
            </w:r>
            <w:r>
              <w:rPr>
                <w:rFonts w:hint="eastAsia"/>
                <w:color w:val="auto"/>
                <w:sz w:val="24"/>
                <w:highlight w:val="none"/>
              </w:rPr>
              <w:t>BP</w:t>
            </w:r>
          </w:p>
        </w:tc>
        <w:tc>
          <w:tcPr>
            <w:tcW w:w="2813" w:type="dxa"/>
            <w:noWrap w:val="0"/>
            <w:vAlign w:val="center"/>
          </w:tcPr>
          <w:p w14:paraId="51CA8EB1">
            <w:pPr>
              <w:snapToGrid w:val="0"/>
              <w:spacing w:line="360" w:lineRule="auto"/>
              <w:jc w:val="center"/>
              <w:rPr>
                <w:rFonts w:hint="eastAsia"/>
                <w:color w:val="auto"/>
                <w:sz w:val="24"/>
                <w:highlight w:val="none"/>
                <w:u w:val="single"/>
              </w:rPr>
            </w:pPr>
            <w:r>
              <w:rPr>
                <w:rFonts w:hint="eastAsia"/>
                <w:color w:val="auto"/>
                <w:sz w:val="24"/>
                <w:highlight w:val="none"/>
                <w:u w:val="single"/>
              </w:rPr>
              <w:t xml:space="preserve">      </w:t>
            </w:r>
            <w:r>
              <w:rPr>
                <w:rFonts w:hint="eastAsia"/>
                <w:color w:val="auto"/>
                <w:sz w:val="24"/>
                <w:highlight w:val="none"/>
                <w:u w:val="none"/>
                <w:lang w:val="en-US" w:eastAsia="zh-CN"/>
              </w:rPr>
              <w:t>%</w:t>
            </w:r>
          </w:p>
        </w:tc>
        <w:tc>
          <w:tcPr>
            <w:tcW w:w="1884" w:type="dxa"/>
            <w:vMerge w:val="continue"/>
            <w:tcBorders>
              <w:right w:val="single" w:color="auto" w:sz="12" w:space="0"/>
            </w:tcBorders>
            <w:noWrap w:val="0"/>
            <w:vAlign w:val="top"/>
          </w:tcPr>
          <w:p w14:paraId="02E74C0F">
            <w:pPr>
              <w:snapToGrid w:val="0"/>
              <w:spacing w:line="360" w:lineRule="auto"/>
              <w:jc w:val="center"/>
              <w:rPr>
                <w:color w:val="auto"/>
                <w:sz w:val="24"/>
                <w:highlight w:val="none"/>
              </w:rPr>
            </w:pPr>
          </w:p>
        </w:tc>
      </w:tr>
      <w:tr w14:paraId="20C7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096" w:type="dxa"/>
            <w:tcBorders>
              <w:left w:val="single" w:color="auto" w:sz="12" w:space="0"/>
              <w:bottom w:val="single" w:color="auto" w:sz="12" w:space="0"/>
            </w:tcBorders>
            <w:noWrap w:val="0"/>
            <w:vAlign w:val="center"/>
          </w:tcPr>
          <w:p w14:paraId="7E4D109D">
            <w:pPr>
              <w:snapToGrid w:val="0"/>
              <w:spacing w:line="360" w:lineRule="auto"/>
              <w:jc w:val="center"/>
              <w:rPr>
                <w:rFonts w:hint="eastAsia" w:eastAsia="宋体"/>
                <w:color w:val="auto"/>
                <w:sz w:val="24"/>
                <w:highlight w:val="none"/>
                <w:lang w:val="en-US" w:eastAsia="zh-CN"/>
              </w:rPr>
            </w:pPr>
            <w:r>
              <w:rPr>
                <w:rFonts w:hint="eastAsia"/>
                <w:color w:val="auto"/>
                <w:sz w:val="24"/>
                <w:highlight w:val="none"/>
                <w:lang w:val="en-US" w:eastAsia="zh-CN"/>
              </w:rPr>
              <w:t>5</w:t>
            </w:r>
          </w:p>
        </w:tc>
        <w:tc>
          <w:tcPr>
            <w:tcW w:w="2813" w:type="dxa"/>
            <w:tcBorders>
              <w:bottom w:val="single" w:color="auto" w:sz="12" w:space="0"/>
            </w:tcBorders>
            <w:noWrap w:val="0"/>
            <w:vAlign w:val="center"/>
          </w:tcPr>
          <w:p w14:paraId="7D4A2258">
            <w:pPr>
              <w:snapToGrid w:val="0"/>
              <w:spacing w:line="360" w:lineRule="auto"/>
              <w:ind w:firstLine="420" w:firstLineChars="200"/>
              <w:rPr>
                <w:rFonts w:hint="eastAsia"/>
                <w:color w:val="auto"/>
                <w:sz w:val="24"/>
                <w:highlight w:val="none"/>
              </w:rPr>
            </w:pPr>
            <w:r>
              <w:rPr>
                <w:rFonts w:hint="eastAsia" w:ascii="宋体" w:hAnsi="宋体" w:eastAsia="宋体" w:cs="宋体"/>
              </w:rPr>
              <w:t>一年期定期存款利率</w:t>
            </w:r>
          </w:p>
        </w:tc>
        <w:tc>
          <w:tcPr>
            <w:tcW w:w="5016" w:type="dxa"/>
            <w:tcBorders>
              <w:bottom w:val="single" w:color="auto" w:sz="12" w:space="0"/>
            </w:tcBorders>
            <w:noWrap w:val="0"/>
            <w:vAlign w:val="center"/>
          </w:tcPr>
          <w:p w14:paraId="570F4C13">
            <w:pPr>
              <w:widowControl/>
              <w:spacing w:line="360" w:lineRule="auto"/>
              <w:jc w:val="center"/>
              <w:rPr>
                <w:rFonts w:hint="eastAsia"/>
                <w:color w:val="auto"/>
                <w:sz w:val="24"/>
                <w:highlight w:val="none"/>
              </w:rPr>
            </w:pPr>
            <w:r>
              <w:rPr>
                <w:rFonts w:hint="eastAsia"/>
                <w:color w:val="auto"/>
                <w:sz w:val="24"/>
                <w:highlight w:val="none"/>
              </w:rPr>
              <w:t xml:space="preserve">基准利率+ </w:t>
            </w:r>
            <w:r>
              <w:rPr>
                <w:rFonts w:hint="eastAsia"/>
                <w:color w:val="auto"/>
                <w:sz w:val="24"/>
                <w:highlight w:val="none"/>
                <w:u w:val="single"/>
              </w:rPr>
              <w:t xml:space="preserve">      </w:t>
            </w:r>
            <w:r>
              <w:rPr>
                <w:rFonts w:hint="eastAsia"/>
                <w:color w:val="auto"/>
                <w:sz w:val="24"/>
                <w:highlight w:val="none"/>
              </w:rPr>
              <w:t>BP</w:t>
            </w:r>
          </w:p>
        </w:tc>
        <w:tc>
          <w:tcPr>
            <w:tcW w:w="2813" w:type="dxa"/>
            <w:tcBorders>
              <w:bottom w:val="single" w:color="auto" w:sz="12" w:space="0"/>
            </w:tcBorders>
            <w:noWrap w:val="0"/>
            <w:vAlign w:val="center"/>
          </w:tcPr>
          <w:p w14:paraId="0F7033DC">
            <w:pPr>
              <w:snapToGrid w:val="0"/>
              <w:spacing w:line="360" w:lineRule="auto"/>
              <w:jc w:val="center"/>
              <w:rPr>
                <w:rFonts w:hint="eastAsia"/>
                <w:color w:val="auto"/>
                <w:sz w:val="24"/>
                <w:highlight w:val="none"/>
                <w:u w:val="single"/>
              </w:rPr>
            </w:pPr>
            <w:r>
              <w:rPr>
                <w:rFonts w:hint="eastAsia"/>
                <w:color w:val="auto"/>
                <w:sz w:val="24"/>
                <w:highlight w:val="none"/>
                <w:u w:val="single"/>
              </w:rPr>
              <w:t xml:space="preserve">      </w:t>
            </w:r>
            <w:r>
              <w:rPr>
                <w:rFonts w:hint="eastAsia"/>
                <w:color w:val="auto"/>
                <w:sz w:val="24"/>
                <w:highlight w:val="none"/>
                <w:u w:val="none"/>
                <w:lang w:val="en-US" w:eastAsia="zh-CN"/>
              </w:rPr>
              <w:t>%</w:t>
            </w:r>
          </w:p>
        </w:tc>
        <w:tc>
          <w:tcPr>
            <w:tcW w:w="1884" w:type="dxa"/>
            <w:vMerge w:val="continue"/>
            <w:tcBorders>
              <w:bottom w:val="single" w:color="auto" w:sz="12" w:space="0"/>
              <w:right w:val="single" w:color="auto" w:sz="12" w:space="0"/>
            </w:tcBorders>
            <w:noWrap w:val="0"/>
            <w:vAlign w:val="top"/>
          </w:tcPr>
          <w:p w14:paraId="2019E333">
            <w:pPr>
              <w:snapToGrid w:val="0"/>
              <w:spacing w:line="360" w:lineRule="auto"/>
              <w:jc w:val="center"/>
              <w:rPr>
                <w:color w:val="auto"/>
                <w:sz w:val="24"/>
                <w:highlight w:val="none"/>
              </w:rPr>
            </w:pPr>
          </w:p>
        </w:tc>
      </w:tr>
    </w:tbl>
    <w:p w14:paraId="52E6815A">
      <w:pPr>
        <w:snapToGrid w:val="0"/>
        <w:spacing w:line="360" w:lineRule="auto"/>
        <w:rPr>
          <w:color w:val="auto"/>
          <w:sz w:val="24"/>
          <w:highlight w:val="none"/>
        </w:rPr>
      </w:pPr>
    </w:p>
    <w:p w14:paraId="709459F0">
      <w:pPr>
        <w:snapToGrid w:val="0"/>
        <w:spacing w:line="360" w:lineRule="auto"/>
        <w:rPr>
          <w:color w:val="auto"/>
          <w:sz w:val="24"/>
          <w:highlight w:val="none"/>
        </w:rPr>
      </w:pPr>
      <w:r>
        <w:rPr>
          <w:color w:val="auto"/>
          <w:sz w:val="24"/>
          <w:highlight w:val="none"/>
        </w:rPr>
        <w:t>注：1. 存款上浮</w:t>
      </w:r>
      <w:r>
        <w:rPr>
          <w:rFonts w:hint="eastAsia"/>
          <w:color w:val="auto"/>
          <w:sz w:val="24"/>
          <w:highlight w:val="none"/>
          <w:lang w:eastAsia="zh-CN"/>
        </w:rPr>
        <w:t>或者下浮</w:t>
      </w:r>
      <w:r>
        <w:rPr>
          <w:color w:val="auto"/>
          <w:sz w:val="24"/>
          <w:highlight w:val="none"/>
        </w:rPr>
        <w:t>率不得违反国家利率政策</w:t>
      </w:r>
      <w:r>
        <w:rPr>
          <w:rFonts w:hint="eastAsia"/>
          <w:color w:val="auto"/>
          <w:sz w:val="24"/>
          <w:highlight w:val="none"/>
        </w:rPr>
        <w:t>及浙江省市场利率定价自律公约</w:t>
      </w:r>
      <w:r>
        <w:rPr>
          <w:color w:val="auto"/>
          <w:sz w:val="24"/>
          <w:highlight w:val="none"/>
        </w:rPr>
        <w:t>，否则将视为无效标。</w:t>
      </w:r>
    </w:p>
    <w:p w14:paraId="64C28636">
      <w:pPr>
        <w:widowControl/>
        <w:spacing w:line="360" w:lineRule="auto"/>
        <w:ind w:firstLine="480" w:firstLineChars="200"/>
        <w:jc w:val="left"/>
        <w:rPr>
          <w:color w:val="auto"/>
          <w:sz w:val="24"/>
          <w:highlight w:val="none"/>
        </w:rPr>
      </w:pPr>
      <w:r>
        <w:rPr>
          <w:color w:val="auto"/>
          <w:sz w:val="24"/>
          <w:highlight w:val="none"/>
        </w:rPr>
        <w:t>2、本投标书填写须清晰、不得涂改。</w:t>
      </w:r>
    </w:p>
    <w:p w14:paraId="6B6F2A0B">
      <w:pPr>
        <w:snapToGrid w:val="0"/>
        <w:spacing w:line="360" w:lineRule="auto"/>
        <w:ind w:firstLine="5040" w:firstLineChars="2100"/>
        <w:rPr>
          <w:color w:val="auto"/>
          <w:sz w:val="24"/>
          <w:highlight w:val="none"/>
        </w:rPr>
      </w:pPr>
      <w:r>
        <w:rPr>
          <w:color w:val="auto"/>
          <w:sz w:val="24"/>
          <w:highlight w:val="none"/>
        </w:rPr>
        <w:t>投标方代表（签字）</w:t>
      </w:r>
    </w:p>
    <w:p w14:paraId="6343181C">
      <w:pPr>
        <w:widowControl/>
        <w:spacing w:line="360" w:lineRule="auto"/>
        <w:jc w:val="left"/>
        <w:rPr>
          <w:color w:val="auto"/>
          <w:sz w:val="24"/>
          <w:highlight w:val="none"/>
        </w:rPr>
      </w:pPr>
      <w:r>
        <w:rPr>
          <w:color w:val="auto"/>
          <w:sz w:val="24"/>
          <w:highlight w:val="none"/>
        </w:rPr>
        <w:t xml:space="preserve">                                          投标人公章</w:t>
      </w:r>
    </w:p>
    <w:p w14:paraId="1F7FB516">
      <w:pPr>
        <w:snapToGrid w:val="0"/>
        <w:spacing w:before="120" w:beforeLines="50" w:after="50" w:line="360" w:lineRule="auto"/>
        <w:ind w:firstLine="5040" w:firstLineChars="2100"/>
        <w:rPr>
          <w:color w:val="auto"/>
          <w:sz w:val="24"/>
          <w:highlight w:val="none"/>
        </w:rPr>
        <w:sectPr>
          <w:pgSz w:w="16838" w:h="11906" w:orient="landscape"/>
          <w:pgMar w:top="1797" w:right="1247" w:bottom="1797" w:left="1474" w:header="851" w:footer="851" w:gutter="0"/>
          <w:pgBorders w:offsetFrom="page">
            <w:top w:val="none" w:sz="0" w:space="0"/>
            <w:left w:val="none" w:sz="0" w:space="0"/>
            <w:bottom w:val="none" w:sz="0" w:space="0"/>
            <w:right w:val="none" w:sz="0" w:space="0"/>
          </w:pgBorders>
          <w:pgNumType w:fmt="numberInDash"/>
          <w:cols w:space="720" w:num="1"/>
          <w:docGrid w:linePitch="312" w:charSpace="0"/>
        </w:sectPr>
      </w:pPr>
      <w:r>
        <w:rPr>
          <w:color w:val="auto"/>
          <w:sz w:val="24"/>
          <w:highlight w:val="none"/>
        </w:rPr>
        <w:t>日期：     年    月     日</w:t>
      </w:r>
    </w:p>
    <w:p w14:paraId="64E37649">
      <w:pPr>
        <w:spacing w:before="120" w:beforeLines="50" w:line="360" w:lineRule="auto"/>
        <w:rPr>
          <w:rFonts w:hint="eastAsia" w:eastAsia="宋体"/>
          <w:b/>
          <w:color w:val="auto"/>
          <w:sz w:val="28"/>
          <w:szCs w:val="28"/>
          <w:highlight w:val="none"/>
          <w:lang w:eastAsia="zh-CN"/>
        </w:rPr>
      </w:pPr>
      <w:r>
        <w:rPr>
          <w:rFonts w:hAnsi="宋体"/>
          <w:b/>
          <w:color w:val="auto"/>
          <w:sz w:val="28"/>
          <w:szCs w:val="28"/>
          <w:highlight w:val="none"/>
        </w:rPr>
        <w:t>附件三、</w:t>
      </w:r>
      <w:r>
        <w:rPr>
          <w:b/>
          <w:color w:val="auto"/>
          <w:sz w:val="28"/>
          <w:szCs w:val="28"/>
          <w:highlight w:val="none"/>
        </w:rPr>
        <w:t xml:space="preserve">             </w:t>
      </w:r>
      <w:r>
        <w:rPr>
          <w:rFonts w:hAnsi="宋体"/>
          <w:b/>
          <w:color w:val="auto"/>
          <w:sz w:val="28"/>
          <w:szCs w:val="28"/>
          <w:highlight w:val="none"/>
        </w:rPr>
        <w:t>投标保证金</w:t>
      </w:r>
      <w:r>
        <w:rPr>
          <w:rFonts w:hint="eastAsia" w:hAnsi="宋体"/>
          <w:b/>
          <w:color w:val="auto"/>
          <w:sz w:val="28"/>
          <w:szCs w:val="28"/>
          <w:highlight w:val="none"/>
          <w:lang w:eastAsia="zh-CN"/>
        </w:rPr>
        <w:t>（</w:t>
      </w:r>
      <w:r>
        <w:rPr>
          <w:rFonts w:hint="eastAsia" w:hAnsi="宋体"/>
          <w:b/>
          <w:color w:val="auto"/>
          <w:sz w:val="28"/>
          <w:szCs w:val="28"/>
          <w:highlight w:val="none"/>
          <w:lang w:val="en-US" w:eastAsia="zh-CN"/>
        </w:rPr>
        <w:t>本项目不设置投标保证金</w:t>
      </w:r>
      <w:r>
        <w:rPr>
          <w:rFonts w:hint="eastAsia" w:hAnsi="宋体"/>
          <w:b/>
          <w:color w:val="auto"/>
          <w:sz w:val="28"/>
          <w:szCs w:val="28"/>
          <w:highlight w:val="none"/>
          <w:lang w:eastAsia="zh-CN"/>
        </w:rPr>
        <w:t>）</w:t>
      </w:r>
    </w:p>
    <w:p w14:paraId="5ED4F421">
      <w:pPr>
        <w:widowControl/>
        <w:spacing w:line="360" w:lineRule="auto"/>
        <w:jc w:val="left"/>
        <w:rPr>
          <w:color w:val="auto"/>
          <w:highlight w:val="none"/>
        </w:rPr>
      </w:pPr>
    </w:p>
    <w:p w14:paraId="562A77EF">
      <w:pPr>
        <w:spacing w:line="360" w:lineRule="auto"/>
        <w:ind w:firstLine="723" w:firstLineChars="343"/>
        <w:rPr>
          <w:b/>
          <w:color w:val="auto"/>
          <w:kern w:val="0"/>
          <w:szCs w:val="21"/>
          <w:highlight w:val="none"/>
        </w:rPr>
      </w:pPr>
      <w:r>
        <w:rPr>
          <w:rFonts w:hAnsi="宋体"/>
          <w:b/>
          <w:color w:val="auto"/>
          <w:kern w:val="0"/>
          <w:szCs w:val="21"/>
          <w:highlight w:val="none"/>
        </w:rPr>
        <w:t>（</w:t>
      </w:r>
      <w:r>
        <w:rPr>
          <w:rFonts w:hint="eastAsia" w:hAnsi="宋体"/>
          <w:b/>
          <w:color w:val="auto"/>
          <w:szCs w:val="21"/>
          <w:highlight w:val="none"/>
          <w:lang w:val="en-US" w:eastAsia="zh-CN"/>
        </w:rPr>
        <w:t>无需提交</w:t>
      </w:r>
      <w:r>
        <w:rPr>
          <w:rFonts w:hAnsi="宋体"/>
          <w:b/>
          <w:color w:val="auto"/>
          <w:kern w:val="0"/>
          <w:szCs w:val="21"/>
          <w:highlight w:val="none"/>
        </w:rPr>
        <w:t>）</w:t>
      </w:r>
    </w:p>
    <w:p w14:paraId="39841963">
      <w:pPr>
        <w:spacing w:line="360" w:lineRule="auto"/>
        <w:rPr>
          <w:color w:val="auto"/>
          <w:highlight w:val="none"/>
        </w:rPr>
      </w:pPr>
    </w:p>
    <w:p w14:paraId="69D0F40D">
      <w:pPr>
        <w:spacing w:line="360" w:lineRule="auto"/>
        <w:rPr>
          <w:color w:val="auto"/>
          <w:highlight w:val="none"/>
        </w:rPr>
      </w:pPr>
    </w:p>
    <w:p w14:paraId="02D974E8">
      <w:pPr>
        <w:widowControl/>
        <w:spacing w:line="360" w:lineRule="auto"/>
        <w:jc w:val="left"/>
        <w:rPr>
          <w:color w:val="auto"/>
          <w:highlight w:val="none"/>
        </w:rPr>
      </w:pPr>
    </w:p>
    <w:p w14:paraId="41C04290">
      <w:pPr>
        <w:widowControl/>
        <w:spacing w:line="360" w:lineRule="auto"/>
        <w:jc w:val="left"/>
        <w:rPr>
          <w:color w:val="auto"/>
          <w:highlight w:val="none"/>
        </w:rPr>
      </w:pPr>
    </w:p>
    <w:p w14:paraId="671615F4">
      <w:pPr>
        <w:widowControl/>
        <w:spacing w:line="360" w:lineRule="auto"/>
        <w:jc w:val="left"/>
        <w:rPr>
          <w:color w:val="auto"/>
          <w:highlight w:val="none"/>
        </w:rPr>
      </w:pPr>
    </w:p>
    <w:p w14:paraId="42EC27C8">
      <w:pPr>
        <w:widowControl/>
        <w:spacing w:line="360" w:lineRule="auto"/>
        <w:jc w:val="left"/>
        <w:rPr>
          <w:color w:val="auto"/>
          <w:highlight w:val="none"/>
        </w:rPr>
      </w:pPr>
    </w:p>
    <w:p w14:paraId="794D2335">
      <w:pPr>
        <w:widowControl/>
        <w:spacing w:line="360" w:lineRule="auto"/>
        <w:jc w:val="left"/>
        <w:rPr>
          <w:color w:val="auto"/>
          <w:highlight w:val="none"/>
        </w:rPr>
      </w:pPr>
    </w:p>
    <w:p w14:paraId="2C062BC1">
      <w:pPr>
        <w:widowControl/>
        <w:spacing w:line="360" w:lineRule="auto"/>
        <w:jc w:val="left"/>
        <w:rPr>
          <w:color w:val="auto"/>
          <w:highlight w:val="none"/>
        </w:rPr>
      </w:pPr>
    </w:p>
    <w:p w14:paraId="043C0AC8">
      <w:pPr>
        <w:widowControl/>
        <w:spacing w:line="360" w:lineRule="auto"/>
        <w:jc w:val="left"/>
        <w:rPr>
          <w:color w:val="auto"/>
          <w:highlight w:val="none"/>
        </w:rPr>
      </w:pPr>
    </w:p>
    <w:p w14:paraId="3B3665C5">
      <w:pPr>
        <w:widowControl/>
        <w:spacing w:line="360" w:lineRule="auto"/>
        <w:jc w:val="left"/>
        <w:rPr>
          <w:color w:val="auto"/>
          <w:highlight w:val="none"/>
        </w:rPr>
      </w:pPr>
    </w:p>
    <w:p w14:paraId="7C0168CB">
      <w:pPr>
        <w:widowControl/>
        <w:spacing w:line="360" w:lineRule="auto"/>
        <w:jc w:val="left"/>
        <w:rPr>
          <w:color w:val="auto"/>
          <w:highlight w:val="none"/>
        </w:rPr>
      </w:pPr>
    </w:p>
    <w:p w14:paraId="2CA7F739">
      <w:pPr>
        <w:spacing w:line="360" w:lineRule="auto"/>
        <w:rPr>
          <w:color w:val="auto"/>
          <w:highlight w:val="none"/>
        </w:rPr>
      </w:pPr>
    </w:p>
    <w:p w14:paraId="234CA3D9">
      <w:pPr>
        <w:autoSpaceDE w:val="0"/>
        <w:autoSpaceDN w:val="0"/>
        <w:adjustRightInd w:val="0"/>
        <w:spacing w:line="360" w:lineRule="auto"/>
        <w:jc w:val="center"/>
        <w:rPr>
          <w:rFonts w:hint="default" w:eastAsia="宋体"/>
          <w:b/>
          <w:color w:val="auto"/>
          <w:w w:val="80"/>
          <w:sz w:val="24"/>
          <w:highlight w:val="none"/>
          <w:lang w:val="en-US" w:eastAsia="zh-CN"/>
        </w:rPr>
      </w:pPr>
      <w:r>
        <w:rPr>
          <w:rFonts w:hAnsi="宋体"/>
          <w:b/>
          <w:color w:val="auto"/>
          <w:w w:val="80"/>
          <w:sz w:val="24"/>
          <w:highlight w:val="none"/>
        </w:rPr>
        <w:t>投标保证金退款信息表</w:t>
      </w:r>
      <w:r>
        <w:rPr>
          <w:rFonts w:hint="eastAsia" w:hAnsi="宋体"/>
          <w:b/>
          <w:color w:val="auto"/>
          <w:w w:val="80"/>
          <w:sz w:val="24"/>
          <w:highlight w:val="none"/>
          <w:lang w:eastAsia="zh-CN"/>
        </w:rPr>
        <w:t>（</w:t>
      </w:r>
      <w:r>
        <w:rPr>
          <w:rFonts w:hint="eastAsia" w:hAnsi="宋体"/>
          <w:b/>
          <w:color w:val="auto"/>
          <w:w w:val="80"/>
          <w:sz w:val="24"/>
          <w:highlight w:val="none"/>
          <w:lang w:val="en-US" w:eastAsia="zh-CN"/>
        </w:rPr>
        <w:t>本项目不设置投标保证金，无需填写</w:t>
      </w:r>
      <w:r>
        <w:rPr>
          <w:rFonts w:hint="eastAsia" w:hAnsi="宋体"/>
          <w:b/>
          <w:color w:val="auto"/>
          <w:w w:val="80"/>
          <w:sz w:val="24"/>
          <w:highlight w:val="none"/>
          <w:lang w:eastAsia="zh-CN"/>
        </w:rPr>
        <w:t>）</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6724"/>
      </w:tblGrid>
      <w:tr w14:paraId="39E1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7" w:hRule="atLeast"/>
        </w:trPr>
        <w:tc>
          <w:tcPr>
            <w:tcW w:w="1804" w:type="dxa"/>
            <w:noWrap w:val="0"/>
            <w:vAlign w:val="center"/>
          </w:tcPr>
          <w:p w14:paraId="1BA41EAD">
            <w:pPr>
              <w:autoSpaceDE w:val="0"/>
              <w:autoSpaceDN w:val="0"/>
              <w:adjustRightInd w:val="0"/>
              <w:spacing w:line="360" w:lineRule="auto"/>
              <w:jc w:val="center"/>
              <w:rPr>
                <w:bCs/>
                <w:color w:val="auto"/>
                <w:w w:val="80"/>
                <w:kern w:val="24"/>
                <w:sz w:val="24"/>
                <w:highlight w:val="none"/>
              </w:rPr>
            </w:pPr>
            <w:r>
              <w:rPr>
                <w:rFonts w:hAnsi="宋体"/>
                <w:bCs/>
                <w:color w:val="auto"/>
                <w:w w:val="80"/>
                <w:kern w:val="24"/>
                <w:sz w:val="24"/>
                <w:highlight w:val="none"/>
              </w:rPr>
              <w:t>单位名称</w:t>
            </w:r>
          </w:p>
        </w:tc>
        <w:tc>
          <w:tcPr>
            <w:tcW w:w="6724" w:type="dxa"/>
            <w:noWrap w:val="0"/>
            <w:vAlign w:val="center"/>
          </w:tcPr>
          <w:p w14:paraId="42956E96">
            <w:pPr>
              <w:autoSpaceDE w:val="0"/>
              <w:autoSpaceDN w:val="0"/>
              <w:adjustRightInd w:val="0"/>
              <w:spacing w:line="360" w:lineRule="auto"/>
              <w:rPr>
                <w:b/>
                <w:bCs/>
                <w:color w:val="auto"/>
                <w:w w:val="80"/>
                <w:kern w:val="24"/>
                <w:sz w:val="24"/>
                <w:highlight w:val="none"/>
              </w:rPr>
            </w:pPr>
          </w:p>
        </w:tc>
      </w:tr>
      <w:tr w14:paraId="2278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7" w:hRule="atLeast"/>
        </w:trPr>
        <w:tc>
          <w:tcPr>
            <w:tcW w:w="1804" w:type="dxa"/>
            <w:noWrap w:val="0"/>
            <w:vAlign w:val="center"/>
          </w:tcPr>
          <w:p w14:paraId="07DE5658">
            <w:pPr>
              <w:autoSpaceDE w:val="0"/>
              <w:autoSpaceDN w:val="0"/>
              <w:adjustRightInd w:val="0"/>
              <w:spacing w:line="360" w:lineRule="auto"/>
              <w:jc w:val="center"/>
              <w:rPr>
                <w:rFonts w:hint="eastAsia"/>
                <w:bCs/>
                <w:color w:val="auto"/>
                <w:w w:val="80"/>
                <w:kern w:val="24"/>
                <w:sz w:val="24"/>
                <w:highlight w:val="none"/>
              </w:rPr>
            </w:pPr>
            <w:r>
              <w:rPr>
                <w:rFonts w:hint="eastAsia" w:hAnsi="宋体"/>
                <w:bCs/>
                <w:color w:val="auto"/>
                <w:w w:val="80"/>
                <w:kern w:val="24"/>
                <w:sz w:val="24"/>
                <w:highlight w:val="none"/>
              </w:rPr>
              <w:t>开立</w:t>
            </w:r>
          </w:p>
        </w:tc>
        <w:tc>
          <w:tcPr>
            <w:tcW w:w="6724" w:type="dxa"/>
            <w:noWrap w:val="0"/>
            <w:vAlign w:val="center"/>
          </w:tcPr>
          <w:p w14:paraId="3216312E">
            <w:pPr>
              <w:autoSpaceDE w:val="0"/>
              <w:autoSpaceDN w:val="0"/>
              <w:adjustRightInd w:val="0"/>
              <w:spacing w:line="360" w:lineRule="auto"/>
              <w:rPr>
                <w:b/>
                <w:bCs/>
                <w:color w:val="auto"/>
                <w:w w:val="80"/>
                <w:kern w:val="24"/>
                <w:sz w:val="24"/>
                <w:highlight w:val="none"/>
              </w:rPr>
            </w:pPr>
          </w:p>
        </w:tc>
      </w:tr>
      <w:tr w14:paraId="139A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7" w:hRule="atLeast"/>
        </w:trPr>
        <w:tc>
          <w:tcPr>
            <w:tcW w:w="1804" w:type="dxa"/>
            <w:noWrap w:val="0"/>
            <w:vAlign w:val="center"/>
          </w:tcPr>
          <w:p w14:paraId="2321CDA4">
            <w:pPr>
              <w:autoSpaceDE w:val="0"/>
              <w:autoSpaceDN w:val="0"/>
              <w:adjustRightInd w:val="0"/>
              <w:spacing w:line="360" w:lineRule="auto"/>
              <w:jc w:val="center"/>
              <w:rPr>
                <w:bCs/>
                <w:color w:val="auto"/>
                <w:w w:val="80"/>
                <w:kern w:val="24"/>
                <w:sz w:val="24"/>
                <w:highlight w:val="none"/>
              </w:rPr>
            </w:pPr>
            <w:r>
              <w:rPr>
                <w:rFonts w:hAnsi="宋体"/>
                <w:bCs/>
                <w:color w:val="auto"/>
                <w:w w:val="80"/>
                <w:kern w:val="24"/>
                <w:sz w:val="24"/>
                <w:highlight w:val="none"/>
              </w:rPr>
              <w:t>银行账号</w:t>
            </w:r>
          </w:p>
        </w:tc>
        <w:tc>
          <w:tcPr>
            <w:tcW w:w="6724" w:type="dxa"/>
            <w:noWrap w:val="0"/>
            <w:vAlign w:val="center"/>
          </w:tcPr>
          <w:p w14:paraId="14E9D9F5">
            <w:pPr>
              <w:autoSpaceDE w:val="0"/>
              <w:autoSpaceDN w:val="0"/>
              <w:adjustRightInd w:val="0"/>
              <w:spacing w:line="360" w:lineRule="auto"/>
              <w:rPr>
                <w:b/>
                <w:bCs/>
                <w:color w:val="auto"/>
                <w:w w:val="80"/>
                <w:kern w:val="24"/>
                <w:sz w:val="24"/>
                <w:highlight w:val="none"/>
              </w:rPr>
            </w:pPr>
          </w:p>
        </w:tc>
      </w:tr>
      <w:tr w14:paraId="1F10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7" w:hRule="atLeast"/>
        </w:trPr>
        <w:tc>
          <w:tcPr>
            <w:tcW w:w="1804" w:type="dxa"/>
            <w:noWrap w:val="0"/>
            <w:vAlign w:val="center"/>
          </w:tcPr>
          <w:p w14:paraId="5D3EDC78">
            <w:pPr>
              <w:autoSpaceDE w:val="0"/>
              <w:autoSpaceDN w:val="0"/>
              <w:adjustRightInd w:val="0"/>
              <w:spacing w:line="360" w:lineRule="auto"/>
              <w:jc w:val="center"/>
              <w:rPr>
                <w:bCs/>
                <w:color w:val="auto"/>
                <w:w w:val="80"/>
                <w:kern w:val="24"/>
                <w:sz w:val="24"/>
                <w:highlight w:val="none"/>
              </w:rPr>
            </w:pPr>
            <w:r>
              <w:rPr>
                <w:rFonts w:hAnsi="宋体"/>
                <w:bCs/>
                <w:color w:val="auto"/>
                <w:w w:val="80"/>
                <w:kern w:val="24"/>
                <w:sz w:val="24"/>
                <w:highlight w:val="none"/>
              </w:rPr>
              <w:t>税</w:t>
            </w:r>
            <w:r>
              <w:rPr>
                <w:bCs/>
                <w:color w:val="auto"/>
                <w:w w:val="80"/>
                <w:kern w:val="24"/>
                <w:sz w:val="24"/>
                <w:highlight w:val="none"/>
              </w:rPr>
              <w:t xml:space="preserve"> </w:t>
            </w:r>
            <w:r>
              <w:rPr>
                <w:rFonts w:hAnsi="宋体"/>
                <w:bCs/>
                <w:color w:val="auto"/>
                <w:w w:val="80"/>
                <w:kern w:val="24"/>
                <w:sz w:val="24"/>
                <w:highlight w:val="none"/>
              </w:rPr>
              <w:t>号</w:t>
            </w:r>
          </w:p>
        </w:tc>
        <w:tc>
          <w:tcPr>
            <w:tcW w:w="6724" w:type="dxa"/>
            <w:noWrap w:val="0"/>
            <w:vAlign w:val="center"/>
          </w:tcPr>
          <w:p w14:paraId="2226FB1C">
            <w:pPr>
              <w:autoSpaceDE w:val="0"/>
              <w:autoSpaceDN w:val="0"/>
              <w:adjustRightInd w:val="0"/>
              <w:spacing w:line="360" w:lineRule="auto"/>
              <w:rPr>
                <w:b/>
                <w:bCs/>
                <w:color w:val="auto"/>
                <w:w w:val="80"/>
                <w:kern w:val="24"/>
                <w:sz w:val="24"/>
                <w:highlight w:val="none"/>
              </w:rPr>
            </w:pPr>
          </w:p>
        </w:tc>
      </w:tr>
      <w:tr w14:paraId="0F4E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7" w:hRule="atLeast"/>
        </w:trPr>
        <w:tc>
          <w:tcPr>
            <w:tcW w:w="1804" w:type="dxa"/>
            <w:noWrap w:val="0"/>
            <w:vAlign w:val="center"/>
          </w:tcPr>
          <w:p w14:paraId="7D2065E6">
            <w:pPr>
              <w:autoSpaceDE w:val="0"/>
              <w:autoSpaceDN w:val="0"/>
              <w:adjustRightInd w:val="0"/>
              <w:spacing w:line="360" w:lineRule="auto"/>
              <w:jc w:val="center"/>
              <w:rPr>
                <w:bCs/>
                <w:color w:val="auto"/>
                <w:w w:val="80"/>
                <w:kern w:val="24"/>
                <w:sz w:val="24"/>
                <w:highlight w:val="none"/>
              </w:rPr>
            </w:pPr>
            <w:r>
              <w:rPr>
                <w:rFonts w:hint="eastAsia" w:hAnsi="宋体"/>
                <w:bCs/>
                <w:color w:val="auto"/>
                <w:w w:val="80"/>
                <w:kern w:val="24"/>
                <w:sz w:val="24"/>
                <w:highlight w:val="none"/>
              </w:rPr>
              <w:t>项目</w:t>
            </w:r>
            <w:r>
              <w:rPr>
                <w:rFonts w:hAnsi="宋体"/>
                <w:bCs/>
                <w:color w:val="auto"/>
                <w:w w:val="80"/>
                <w:kern w:val="24"/>
                <w:sz w:val="24"/>
                <w:highlight w:val="none"/>
              </w:rPr>
              <w:t>编号</w:t>
            </w:r>
          </w:p>
        </w:tc>
        <w:tc>
          <w:tcPr>
            <w:tcW w:w="6724" w:type="dxa"/>
            <w:noWrap w:val="0"/>
            <w:vAlign w:val="center"/>
          </w:tcPr>
          <w:p w14:paraId="432D25FA">
            <w:pPr>
              <w:autoSpaceDE w:val="0"/>
              <w:autoSpaceDN w:val="0"/>
              <w:adjustRightInd w:val="0"/>
              <w:spacing w:line="360" w:lineRule="auto"/>
              <w:rPr>
                <w:b/>
                <w:bCs/>
                <w:color w:val="auto"/>
                <w:w w:val="80"/>
                <w:kern w:val="24"/>
                <w:sz w:val="24"/>
                <w:highlight w:val="none"/>
              </w:rPr>
            </w:pPr>
          </w:p>
        </w:tc>
      </w:tr>
      <w:tr w14:paraId="4A06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2" w:hRule="atLeast"/>
        </w:trPr>
        <w:tc>
          <w:tcPr>
            <w:tcW w:w="1804" w:type="dxa"/>
            <w:noWrap w:val="0"/>
            <w:vAlign w:val="center"/>
          </w:tcPr>
          <w:p w14:paraId="54F0F710">
            <w:pPr>
              <w:autoSpaceDE w:val="0"/>
              <w:autoSpaceDN w:val="0"/>
              <w:adjustRightInd w:val="0"/>
              <w:spacing w:line="360" w:lineRule="auto"/>
              <w:jc w:val="center"/>
              <w:rPr>
                <w:bCs/>
                <w:color w:val="auto"/>
                <w:w w:val="80"/>
                <w:kern w:val="24"/>
                <w:sz w:val="24"/>
                <w:highlight w:val="none"/>
              </w:rPr>
            </w:pPr>
            <w:r>
              <w:rPr>
                <w:rFonts w:hAnsi="宋体"/>
                <w:bCs/>
                <w:color w:val="auto"/>
                <w:w w:val="80"/>
                <w:kern w:val="24"/>
                <w:sz w:val="24"/>
                <w:highlight w:val="none"/>
              </w:rPr>
              <w:t>缴纳金额</w:t>
            </w:r>
          </w:p>
        </w:tc>
        <w:tc>
          <w:tcPr>
            <w:tcW w:w="6724" w:type="dxa"/>
            <w:noWrap w:val="0"/>
            <w:vAlign w:val="center"/>
          </w:tcPr>
          <w:p w14:paraId="1A6046EF">
            <w:pPr>
              <w:autoSpaceDE w:val="0"/>
              <w:autoSpaceDN w:val="0"/>
              <w:adjustRightInd w:val="0"/>
              <w:spacing w:line="360" w:lineRule="auto"/>
              <w:rPr>
                <w:b/>
                <w:bCs/>
                <w:color w:val="auto"/>
                <w:w w:val="80"/>
                <w:kern w:val="24"/>
                <w:sz w:val="24"/>
                <w:highlight w:val="none"/>
              </w:rPr>
            </w:pPr>
          </w:p>
        </w:tc>
      </w:tr>
      <w:tr w14:paraId="0ACE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7" w:hRule="atLeast"/>
        </w:trPr>
        <w:tc>
          <w:tcPr>
            <w:tcW w:w="1804" w:type="dxa"/>
            <w:noWrap w:val="0"/>
            <w:vAlign w:val="center"/>
          </w:tcPr>
          <w:p w14:paraId="3DB48BBF">
            <w:pPr>
              <w:autoSpaceDE w:val="0"/>
              <w:autoSpaceDN w:val="0"/>
              <w:adjustRightInd w:val="0"/>
              <w:spacing w:line="360" w:lineRule="auto"/>
              <w:jc w:val="center"/>
              <w:rPr>
                <w:bCs/>
                <w:color w:val="auto"/>
                <w:w w:val="80"/>
                <w:kern w:val="24"/>
                <w:sz w:val="24"/>
                <w:highlight w:val="none"/>
              </w:rPr>
            </w:pPr>
            <w:r>
              <w:rPr>
                <w:rFonts w:hAnsi="宋体"/>
                <w:bCs/>
                <w:color w:val="auto"/>
                <w:w w:val="80"/>
                <w:kern w:val="24"/>
                <w:sz w:val="24"/>
                <w:highlight w:val="none"/>
              </w:rPr>
              <w:t>联系人</w:t>
            </w:r>
          </w:p>
        </w:tc>
        <w:tc>
          <w:tcPr>
            <w:tcW w:w="6724" w:type="dxa"/>
            <w:noWrap w:val="0"/>
            <w:vAlign w:val="center"/>
          </w:tcPr>
          <w:p w14:paraId="00EDF21E">
            <w:pPr>
              <w:autoSpaceDE w:val="0"/>
              <w:autoSpaceDN w:val="0"/>
              <w:adjustRightInd w:val="0"/>
              <w:spacing w:line="360" w:lineRule="auto"/>
              <w:rPr>
                <w:b/>
                <w:bCs/>
                <w:color w:val="auto"/>
                <w:w w:val="80"/>
                <w:kern w:val="24"/>
                <w:sz w:val="24"/>
                <w:highlight w:val="none"/>
              </w:rPr>
            </w:pPr>
          </w:p>
        </w:tc>
      </w:tr>
      <w:tr w14:paraId="2110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7" w:hRule="atLeast"/>
        </w:trPr>
        <w:tc>
          <w:tcPr>
            <w:tcW w:w="1804" w:type="dxa"/>
            <w:noWrap w:val="0"/>
            <w:vAlign w:val="center"/>
          </w:tcPr>
          <w:p w14:paraId="3B710006">
            <w:pPr>
              <w:autoSpaceDE w:val="0"/>
              <w:autoSpaceDN w:val="0"/>
              <w:adjustRightInd w:val="0"/>
              <w:spacing w:line="360" w:lineRule="auto"/>
              <w:jc w:val="center"/>
              <w:rPr>
                <w:bCs/>
                <w:color w:val="auto"/>
                <w:w w:val="80"/>
                <w:kern w:val="24"/>
                <w:sz w:val="24"/>
                <w:highlight w:val="none"/>
              </w:rPr>
            </w:pPr>
            <w:r>
              <w:rPr>
                <w:rFonts w:hAnsi="宋体"/>
                <w:bCs/>
                <w:color w:val="auto"/>
                <w:w w:val="80"/>
                <w:kern w:val="24"/>
                <w:sz w:val="24"/>
                <w:highlight w:val="none"/>
              </w:rPr>
              <w:t>联系电话</w:t>
            </w:r>
          </w:p>
        </w:tc>
        <w:tc>
          <w:tcPr>
            <w:tcW w:w="6724" w:type="dxa"/>
            <w:noWrap w:val="0"/>
            <w:vAlign w:val="center"/>
          </w:tcPr>
          <w:p w14:paraId="36CE3D8D">
            <w:pPr>
              <w:autoSpaceDE w:val="0"/>
              <w:autoSpaceDN w:val="0"/>
              <w:adjustRightInd w:val="0"/>
              <w:spacing w:line="360" w:lineRule="auto"/>
              <w:rPr>
                <w:b/>
                <w:bCs/>
                <w:color w:val="auto"/>
                <w:w w:val="80"/>
                <w:kern w:val="24"/>
                <w:sz w:val="24"/>
                <w:highlight w:val="none"/>
              </w:rPr>
            </w:pPr>
          </w:p>
        </w:tc>
      </w:tr>
      <w:tr w14:paraId="6754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3" w:hRule="atLeast"/>
        </w:trPr>
        <w:tc>
          <w:tcPr>
            <w:tcW w:w="1804" w:type="dxa"/>
            <w:noWrap w:val="0"/>
            <w:vAlign w:val="center"/>
          </w:tcPr>
          <w:p w14:paraId="1222FE36">
            <w:pPr>
              <w:autoSpaceDE w:val="0"/>
              <w:autoSpaceDN w:val="0"/>
              <w:adjustRightInd w:val="0"/>
              <w:spacing w:line="360" w:lineRule="auto"/>
              <w:jc w:val="center"/>
              <w:rPr>
                <w:bCs/>
                <w:color w:val="auto"/>
                <w:w w:val="80"/>
                <w:kern w:val="24"/>
                <w:sz w:val="24"/>
                <w:highlight w:val="none"/>
              </w:rPr>
            </w:pPr>
            <w:r>
              <w:rPr>
                <w:rFonts w:hAnsi="宋体"/>
                <w:bCs/>
                <w:color w:val="auto"/>
                <w:w w:val="80"/>
                <w:kern w:val="24"/>
                <w:sz w:val="24"/>
                <w:highlight w:val="none"/>
              </w:rPr>
              <w:t>单位地址</w:t>
            </w:r>
          </w:p>
        </w:tc>
        <w:tc>
          <w:tcPr>
            <w:tcW w:w="6724" w:type="dxa"/>
            <w:noWrap w:val="0"/>
            <w:vAlign w:val="center"/>
          </w:tcPr>
          <w:p w14:paraId="3C4F72ED">
            <w:pPr>
              <w:autoSpaceDE w:val="0"/>
              <w:autoSpaceDN w:val="0"/>
              <w:adjustRightInd w:val="0"/>
              <w:spacing w:line="360" w:lineRule="auto"/>
              <w:rPr>
                <w:b/>
                <w:bCs/>
                <w:color w:val="auto"/>
                <w:w w:val="80"/>
                <w:kern w:val="24"/>
                <w:sz w:val="24"/>
                <w:highlight w:val="none"/>
              </w:rPr>
            </w:pPr>
          </w:p>
        </w:tc>
      </w:tr>
    </w:tbl>
    <w:p w14:paraId="2C9CE883">
      <w:pPr>
        <w:autoSpaceDE w:val="0"/>
        <w:autoSpaceDN w:val="0"/>
        <w:adjustRightInd w:val="0"/>
        <w:snapToGrid w:val="0"/>
        <w:spacing w:line="360" w:lineRule="auto"/>
        <w:rPr>
          <w:b/>
          <w:bCs/>
          <w:snapToGrid w:val="0"/>
          <w:color w:val="auto"/>
          <w:kern w:val="0"/>
          <w:sz w:val="24"/>
          <w:highlight w:val="none"/>
        </w:rPr>
      </w:pPr>
    </w:p>
    <w:p w14:paraId="3189FADB">
      <w:pPr>
        <w:snapToGrid w:val="0"/>
        <w:spacing w:before="120" w:beforeLines="50" w:after="50" w:line="360" w:lineRule="auto"/>
        <w:ind w:firstLine="5040" w:firstLineChars="2100"/>
        <w:rPr>
          <w:color w:val="auto"/>
          <w:sz w:val="24"/>
          <w:highlight w:val="none"/>
        </w:rPr>
      </w:pPr>
    </w:p>
    <w:p w14:paraId="16080EF0">
      <w:pPr>
        <w:snapToGrid w:val="0"/>
        <w:spacing w:before="120" w:beforeLines="50" w:after="50" w:line="360" w:lineRule="auto"/>
        <w:rPr>
          <w:color w:val="auto"/>
          <w:sz w:val="24"/>
          <w:highlight w:val="none"/>
        </w:rPr>
      </w:pPr>
    </w:p>
    <w:p w14:paraId="2F82FBD1">
      <w:pPr>
        <w:widowControl/>
        <w:spacing w:line="360" w:lineRule="auto"/>
        <w:jc w:val="left"/>
        <w:rPr>
          <w:color w:val="auto"/>
          <w:highlight w:val="none"/>
        </w:rPr>
        <w:sectPr>
          <w:pgSz w:w="11906" w:h="16838"/>
          <w:pgMar w:top="1247" w:right="1797" w:bottom="1474" w:left="1797" w:header="851" w:footer="851" w:gutter="0"/>
          <w:pgBorders w:offsetFrom="page">
            <w:top w:val="none" w:sz="0" w:space="0"/>
            <w:left w:val="none" w:sz="0" w:space="0"/>
            <w:bottom w:val="none" w:sz="0" w:space="0"/>
            <w:right w:val="none" w:sz="0" w:space="0"/>
          </w:pgBorders>
          <w:pgNumType w:fmt="numberInDash"/>
          <w:cols w:space="720" w:num="1"/>
          <w:docGrid w:linePitch="312" w:charSpace="0"/>
        </w:sectPr>
      </w:pPr>
    </w:p>
    <w:p w14:paraId="12558383">
      <w:pPr>
        <w:spacing w:line="360" w:lineRule="auto"/>
        <w:rPr>
          <w:b/>
          <w:color w:val="auto"/>
          <w:sz w:val="28"/>
          <w:szCs w:val="28"/>
          <w:highlight w:val="none"/>
        </w:rPr>
        <w:sectPr>
          <w:pgSz w:w="11906" w:h="16838"/>
          <w:pgMar w:top="1474" w:right="1797" w:bottom="1247" w:left="1797" w:header="851" w:footer="851" w:gutter="0"/>
          <w:pgBorders w:offsetFrom="page">
            <w:top w:val="none" w:sz="0" w:space="0"/>
            <w:left w:val="none" w:sz="0" w:space="0"/>
            <w:bottom w:val="none" w:sz="0" w:space="0"/>
            <w:right w:val="none" w:sz="0" w:space="0"/>
          </w:pgBorders>
          <w:pgNumType w:fmt="numberInDash"/>
          <w:cols w:space="720" w:num="1"/>
          <w:docGrid w:linePitch="312" w:charSpace="0"/>
        </w:sectPr>
      </w:pPr>
      <w:r>
        <w:rPr>
          <w:b/>
          <w:color w:val="auto"/>
          <w:sz w:val="28"/>
          <w:szCs w:val="28"/>
          <w:highlight w:val="none"/>
        </w:rPr>
        <w:t>附件</w:t>
      </w:r>
      <w:r>
        <w:rPr>
          <w:rFonts w:hint="eastAsia"/>
          <w:b/>
          <w:color w:val="auto"/>
          <w:sz w:val="28"/>
          <w:szCs w:val="28"/>
          <w:highlight w:val="none"/>
        </w:rPr>
        <w:t>四</w:t>
      </w:r>
      <w:r>
        <w:rPr>
          <w:b/>
          <w:color w:val="auto"/>
          <w:sz w:val="28"/>
          <w:szCs w:val="28"/>
          <w:highlight w:val="none"/>
        </w:rPr>
        <w:t>、</w:t>
      </w:r>
      <w:r>
        <w:rPr>
          <w:rFonts w:hint="eastAsia"/>
          <w:b/>
          <w:color w:val="auto"/>
          <w:sz w:val="28"/>
          <w:szCs w:val="28"/>
          <w:highlight w:val="none"/>
        </w:rPr>
        <w:t>针对本项目的指定服务机构（网点）。</w:t>
      </w:r>
    </w:p>
    <w:p w14:paraId="436EF02B">
      <w:pPr>
        <w:snapToGrid w:val="0"/>
        <w:spacing w:before="120" w:beforeLines="50" w:after="50" w:line="360" w:lineRule="auto"/>
        <w:rPr>
          <w:color w:val="auto"/>
          <w:sz w:val="24"/>
          <w:highlight w:val="none"/>
        </w:rPr>
      </w:pPr>
      <w:r>
        <w:rPr>
          <w:color w:val="auto"/>
          <w:sz w:val="28"/>
          <w:szCs w:val="28"/>
          <w:highlight w:val="none"/>
        </w:rPr>
        <w:t>附件</w:t>
      </w:r>
      <w:r>
        <w:rPr>
          <w:rFonts w:hint="eastAsia"/>
          <w:color w:val="auto"/>
          <w:sz w:val="28"/>
          <w:szCs w:val="28"/>
          <w:highlight w:val="none"/>
          <w:lang w:val="en-US" w:eastAsia="zh-CN"/>
        </w:rPr>
        <w:t>五</w:t>
      </w:r>
      <w:r>
        <w:rPr>
          <w:color w:val="auto"/>
          <w:sz w:val="24"/>
          <w:highlight w:val="none"/>
        </w:rPr>
        <w:t>：</w:t>
      </w:r>
    </w:p>
    <w:p w14:paraId="64ABDD60">
      <w:pPr>
        <w:snapToGrid w:val="0"/>
        <w:spacing w:before="120" w:beforeLines="50" w:after="50" w:line="360" w:lineRule="auto"/>
        <w:jc w:val="center"/>
        <w:rPr>
          <w:color w:val="auto"/>
          <w:kern w:val="0"/>
          <w:sz w:val="24"/>
          <w:highlight w:val="none"/>
        </w:rPr>
      </w:pPr>
    </w:p>
    <w:p w14:paraId="71781E97">
      <w:pPr>
        <w:snapToGrid w:val="0"/>
        <w:spacing w:before="120" w:beforeLines="50" w:after="50" w:line="360" w:lineRule="auto"/>
        <w:jc w:val="center"/>
        <w:rPr>
          <w:b/>
          <w:color w:val="auto"/>
          <w:sz w:val="32"/>
          <w:szCs w:val="32"/>
          <w:highlight w:val="none"/>
        </w:rPr>
      </w:pPr>
      <w:r>
        <w:rPr>
          <w:b/>
          <w:color w:val="auto"/>
          <w:sz w:val="32"/>
          <w:szCs w:val="32"/>
          <w:highlight w:val="none"/>
        </w:rPr>
        <w:t>投标人声明书</w:t>
      </w:r>
    </w:p>
    <w:p w14:paraId="7D5B1816">
      <w:pPr>
        <w:snapToGrid w:val="0"/>
        <w:spacing w:line="360" w:lineRule="auto"/>
        <w:rPr>
          <w:color w:val="auto"/>
          <w:sz w:val="24"/>
          <w:highlight w:val="none"/>
        </w:rPr>
      </w:pPr>
    </w:p>
    <w:p w14:paraId="111CA6B7">
      <w:pPr>
        <w:snapToGrid w:val="0"/>
        <w:spacing w:line="360" w:lineRule="auto"/>
        <w:rPr>
          <w:color w:val="auto"/>
          <w:sz w:val="24"/>
          <w:highlight w:val="none"/>
        </w:rPr>
      </w:pPr>
      <w:r>
        <w:rPr>
          <w:color w:val="auto"/>
          <w:sz w:val="24"/>
          <w:highlight w:val="none"/>
        </w:rPr>
        <w:t>致：</w:t>
      </w:r>
      <w:r>
        <w:rPr>
          <w:color w:val="auto"/>
          <w:sz w:val="24"/>
          <w:highlight w:val="none"/>
          <w:u w:val="single"/>
        </w:rPr>
        <w:t>_</w:t>
      </w:r>
      <w:r>
        <w:rPr>
          <w:rFonts w:hint="eastAsia"/>
          <w:color w:val="auto"/>
          <w:sz w:val="24"/>
          <w:highlight w:val="none"/>
          <w:u w:val="single"/>
          <w:lang w:eastAsia="zh-CN"/>
        </w:rPr>
        <w:t>浙江华域高宇项目管理有限公司</w:t>
      </w:r>
      <w:r>
        <w:rPr>
          <w:color w:val="auto"/>
          <w:sz w:val="24"/>
          <w:highlight w:val="none"/>
        </w:rPr>
        <w:t>_：</w:t>
      </w:r>
    </w:p>
    <w:p w14:paraId="1E47A3D9">
      <w:pPr>
        <w:widowControl/>
        <w:spacing w:line="360" w:lineRule="auto"/>
        <w:jc w:val="left"/>
        <w:rPr>
          <w:color w:val="auto"/>
          <w:highlight w:val="none"/>
        </w:rPr>
      </w:pPr>
    </w:p>
    <w:p w14:paraId="4EA869E8">
      <w:pPr>
        <w:snapToGrid w:val="0"/>
        <w:spacing w:line="360" w:lineRule="auto"/>
        <w:ind w:firstLine="720" w:firstLineChars="300"/>
        <w:rPr>
          <w:color w:val="auto"/>
          <w:sz w:val="24"/>
          <w:szCs w:val="20"/>
          <w:highlight w:val="none"/>
        </w:rPr>
      </w:pPr>
      <w:r>
        <w:rPr>
          <w:color w:val="auto"/>
          <w:sz w:val="24"/>
          <w:highlight w:val="none"/>
          <w:u w:val="single"/>
        </w:rPr>
        <w:t xml:space="preserve">                 </w:t>
      </w:r>
      <w:r>
        <w:rPr>
          <w:color w:val="auto"/>
          <w:sz w:val="24"/>
          <w:highlight w:val="none"/>
        </w:rPr>
        <w:t>（投标人名称）系中华人民共和国合法企业（单位），经营地址</w:t>
      </w:r>
      <w:r>
        <w:rPr>
          <w:color w:val="auto"/>
          <w:sz w:val="24"/>
          <w:highlight w:val="none"/>
          <w:u w:val="single"/>
        </w:rPr>
        <w:t xml:space="preserve">                               </w:t>
      </w:r>
      <w:r>
        <w:rPr>
          <w:color w:val="auto"/>
          <w:sz w:val="24"/>
          <w:highlight w:val="none"/>
        </w:rPr>
        <w:t>。</w:t>
      </w:r>
    </w:p>
    <w:p w14:paraId="5AFE2E1D">
      <w:pPr>
        <w:snapToGrid w:val="0"/>
        <w:spacing w:line="360" w:lineRule="auto"/>
        <w:ind w:firstLine="645"/>
        <w:rPr>
          <w:color w:val="auto"/>
          <w:sz w:val="24"/>
          <w:szCs w:val="20"/>
          <w:highlight w:val="none"/>
        </w:rPr>
      </w:pPr>
      <w:r>
        <w:rPr>
          <w:color w:val="auto"/>
          <w:sz w:val="24"/>
          <w:highlight w:val="none"/>
        </w:rPr>
        <w:t>我</w:t>
      </w:r>
      <w:r>
        <w:rPr>
          <w:color w:val="auto"/>
          <w:sz w:val="24"/>
          <w:highlight w:val="none"/>
          <w:u w:val="single"/>
        </w:rPr>
        <w:t xml:space="preserve">              </w:t>
      </w:r>
      <w:r>
        <w:rPr>
          <w:color w:val="auto"/>
          <w:sz w:val="24"/>
          <w:highlight w:val="none"/>
        </w:rPr>
        <w:t>（姓名）系</w:t>
      </w:r>
      <w:r>
        <w:rPr>
          <w:color w:val="auto"/>
          <w:sz w:val="24"/>
          <w:highlight w:val="none"/>
          <w:u w:val="single"/>
        </w:rPr>
        <w:t xml:space="preserve">              </w:t>
      </w:r>
      <w:r>
        <w:rPr>
          <w:color w:val="auto"/>
          <w:sz w:val="24"/>
          <w:highlight w:val="none"/>
        </w:rPr>
        <w:t>（投标人名称）的法定代表人（或负责人），我方愿意参加贵方组织的</w:t>
      </w:r>
      <w:r>
        <w:rPr>
          <w:color w:val="auto"/>
          <w:sz w:val="24"/>
          <w:highlight w:val="none"/>
          <w:u w:val="single"/>
        </w:rPr>
        <w:t xml:space="preserve">            </w:t>
      </w:r>
      <w:r>
        <w:rPr>
          <w:color w:val="auto"/>
          <w:sz w:val="24"/>
          <w:highlight w:val="none"/>
        </w:rPr>
        <w:t>项目的投标，为便于贵方公正、择优地确定中标人及其投标产品和服务，我方就本次投标有关事项郑重声明如下：</w:t>
      </w:r>
    </w:p>
    <w:p w14:paraId="18B29701">
      <w:pPr>
        <w:snapToGrid w:val="0"/>
        <w:spacing w:line="360" w:lineRule="auto"/>
        <w:ind w:firstLine="480" w:firstLineChars="200"/>
        <w:rPr>
          <w:color w:val="auto"/>
          <w:sz w:val="24"/>
          <w:szCs w:val="20"/>
          <w:highlight w:val="none"/>
        </w:rPr>
      </w:pPr>
      <w:r>
        <w:rPr>
          <w:color w:val="auto"/>
          <w:sz w:val="24"/>
          <w:highlight w:val="none"/>
        </w:rPr>
        <w:t>1.我方向贵方提交的所有投标文件、资料都是准确的和真实的。</w:t>
      </w:r>
    </w:p>
    <w:p w14:paraId="41A7401D">
      <w:pPr>
        <w:pStyle w:val="13"/>
        <w:snapToGrid w:val="0"/>
        <w:spacing w:line="360" w:lineRule="auto"/>
        <w:ind w:firstLine="464" w:firstLineChars="200"/>
        <w:rPr>
          <w:rFonts w:ascii="Times New Roman" w:hAnsi="Times New Roman"/>
          <w:color w:val="auto"/>
          <w:sz w:val="24"/>
          <w:highlight w:val="none"/>
        </w:rPr>
      </w:pPr>
      <w:r>
        <w:rPr>
          <w:rFonts w:ascii="Times New Roman" w:hAnsi="Times New Roman"/>
          <w:color w:val="auto"/>
          <w:sz w:val="24"/>
          <w:highlight w:val="none"/>
        </w:rPr>
        <w:t>2.我方及由本人担任法定代表人</w:t>
      </w:r>
      <w:r>
        <w:rPr>
          <w:rFonts w:ascii="Times New Roman" w:hAnsi="宋体"/>
          <w:color w:val="auto"/>
          <w:sz w:val="24"/>
          <w:highlight w:val="none"/>
        </w:rPr>
        <w:t>（</w:t>
      </w:r>
      <w:r>
        <w:rPr>
          <w:rFonts w:ascii="Times New Roman" w:hAnsi="Times New Roman"/>
          <w:color w:val="auto"/>
          <w:sz w:val="24"/>
          <w:highlight w:val="none"/>
        </w:rPr>
        <w:t>或负责人</w:t>
      </w:r>
      <w:r>
        <w:rPr>
          <w:rFonts w:ascii="Times New Roman" w:hAnsi="宋体"/>
          <w:color w:val="auto"/>
          <w:sz w:val="24"/>
          <w:highlight w:val="none"/>
        </w:rPr>
        <w:t>）</w:t>
      </w:r>
      <w:r>
        <w:rPr>
          <w:rFonts w:ascii="Times New Roman" w:hAnsi="Times New Roman"/>
          <w:color w:val="auto"/>
          <w:sz w:val="24"/>
          <w:highlight w:val="none"/>
        </w:rPr>
        <w:t>的其他机构最近三年内被通报或者被处罚的违法行为有：</w:t>
      </w:r>
    </w:p>
    <w:p w14:paraId="290CDB20">
      <w:pPr>
        <w:snapToGrid w:val="0"/>
        <w:spacing w:line="360" w:lineRule="auto"/>
        <w:ind w:firstLine="480" w:firstLineChars="200"/>
        <w:rPr>
          <w:color w:val="auto"/>
          <w:sz w:val="24"/>
          <w:szCs w:val="20"/>
          <w:highlight w:val="none"/>
          <w:u w:val="single"/>
        </w:rPr>
      </w:pPr>
      <w:r>
        <w:rPr>
          <w:color w:val="auto"/>
          <w:sz w:val="24"/>
          <w:highlight w:val="none"/>
          <w:u w:val="single"/>
        </w:rPr>
        <w:t>　　　　　　　　　　　　　　　　　　　　　　　　　　　</w:t>
      </w:r>
    </w:p>
    <w:p w14:paraId="6CEAC131">
      <w:pPr>
        <w:snapToGrid w:val="0"/>
        <w:spacing w:line="360" w:lineRule="auto"/>
        <w:ind w:firstLine="480" w:firstLineChars="200"/>
        <w:rPr>
          <w:color w:val="auto"/>
          <w:sz w:val="24"/>
          <w:szCs w:val="20"/>
          <w:highlight w:val="none"/>
        </w:rPr>
      </w:pPr>
      <w:r>
        <w:rPr>
          <w:color w:val="auto"/>
          <w:sz w:val="24"/>
          <w:highlight w:val="none"/>
        </w:rPr>
        <w:t>3.以上事项如有虚假或隐瞒，我方愿意承担一切后果，并不再寻求任何旨在减轻或免除法律责任的辩解。</w:t>
      </w:r>
    </w:p>
    <w:p w14:paraId="02CAC37E">
      <w:pPr>
        <w:snapToGrid w:val="0"/>
        <w:spacing w:line="360" w:lineRule="auto"/>
        <w:ind w:firstLine="480" w:firstLineChars="200"/>
        <w:rPr>
          <w:color w:val="auto"/>
          <w:sz w:val="24"/>
          <w:szCs w:val="20"/>
          <w:highlight w:val="none"/>
        </w:rPr>
      </w:pPr>
      <w:r>
        <w:rPr>
          <w:color w:val="auto"/>
          <w:sz w:val="24"/>
          <w:szCs w:val="20"/>
          <w:highlight w:val="none"/>
        </w:rPr>
        <w:t>4、我单位承诺完全接受招标人的存款分配额度。</w:t>
      </w:r>
    </w:p>
    <w:p w14:paraId="00C3BD43">
      <w:pPr>
        <w:snapToGrid w:val="0"/>
        <w:spacing w:line="360" w:lineRule="auto"/>
        <w:ind w:firstLine="645"/>
        <w:rPr>
          <w:color w:val="auto"/>
          <w:sz w:val="24"/>
          <w:szCs w:val="20"/>
          <w:highlight w:val="none"/>
        </w:rPr>
      </w:pPr>
      <w:r>
        <w:rPr>
          <w:color w:val="auto"/>
          <w:sz w:val="24"/>
          <w:szCs w:val="20"/>
          <w:highlight w:val="none"/>
        </w:rPr>
        <w:t xml:space="preserve">   </w:t>
      </w:r>
    </w:p>
    <w:p w14:paraId="739C6F4F">
      <w:pPr>
        <w:snapToGrid w:val="0"/>
        <w:spacing w:line="360" w:lineRule="auto"/>
        <w:ind w:firstLine="200"/>
        <w:rPr>
          <w:color w:val="auto"/>
          <w:sz w:val="24"/>
          <w:szCs w:val="20"/>
          <w:highlight w:val="none"/>
          <w:u w:val="single"/>
        </w:rPr>
      </w:pPr>
      <w:r>
        <w:rPr>
          <w:color w:val="auto"/>
          <w:sz w:val="24"/>
          <w:highlight w:val="none"/>
        </w:rPr>
        <w:t>法定代表人或负责人（签字或盖章）：</w:t>
      </w:r>
      <w:r>
        <w:rPr>
          <w:color w:val="auto"/>
          <w:sz w:val="24"/>
          <w:highlight w:val="none"/>
          <w:u w:val="single"/>
        </w:rPr>
        <w:t xml:space="preserve">             </w:t>
      </w:r>
    </w:p>
    <w:p w14:paraId="065E6230">
      <w:pPr>
        <w:snapToGrid w:val="0"/>
        <w:spacing w:line="360" w:lineRule="auto"/>
        <w:ind w:firstLine="240" w:firstLineChars="100"/>
        <w:rPr>
          <w:color w:val="auto"/>
          <w:sz w:val="24"/>
          <w:highlight w:val="none"/>
        </w:rPr>
      </w:pPr>
      <w:r>
        <w:rPr>
          <w:color w:val="auto"/>
          <w:sz w:val="24"/>
          <w:highlight w:val="none"/>
        </w:rPr>
        <w:t>投标人公章：</w:t>
      </w:r>
      <w:r>
        <w:rPr>
          <w:color w:val="auto"/>
          <w:sz w:val="24"/>
          <w:highlight w:val="none"/>
          <w:u w:val="single"/>
        </w:rPr>
        <w:t xml:space="preserve">               </w:t>
      </w:r>
      <w:r>
        <w:rPr>
          <w:color w:val="auto"/>
          <w:sz w:val="24"/>
          <w:highlight w:val="none"/>
        </w:rPr>
        <w:t xml:space="preserve">                      </w:t>
      </w:r>
    </w:p>
    <w:p w14:paraId="2B2B1FCD">
      <w:pPr>
        <w:snapToGrid w:val="0"/>
        <w:spacing w:line="360" w:lineRule="auto"/>
        <w:ind w:firstLine="240" w:firstLineChars="100"/>
        <w:jc w:val="right"/>
        <w:rPr>
          <w:color w:val="auto"/>
          <w:sz w:val="24"/>
          <w:highlight w:val="none"/>
        </w:rPr>
      </w:pPr>
    </w:p>
    <w:p w14:paraId="5B9E8830">
      <w:pPr>
        <w:snapToGrid w:val="0"/>
        <w:spacing w:line="360" w:lineRule="auto"/>
        <w:ind w:firstLine="240" w:firstLineChars="100"/>
        <w:jc w:val="right"/>
        <w:rPr>
          <w:color w:val="auto"/>
          <w:sz w:val="24"/>
          <w:highlight w:val="none"/>
        </w:rPr>
      </w:pPr>
    </w:p>
    <w:p w14:paraId="15E603B5">
      <w:pPr>
        <w:snapToGrid w:val="0"/>
        <w:spacing w:line="360" w:lineRule="auto"/>
        <w:ind w:firstLine="240" w:firstLineChars="100"/>
        <w:jc w:val="right"/>
        <w:rPr>
          <w:color w:val="auto"/>
          <w:sz w:val="24"/>
          <w:highlight w:val="none"/>
        </w:rPr>
      </w:pPr>
    </w:p>
    <w:p w14:paraId="608D3792">
      <w:pPr>
        <w:snapToGrid w:val="0"/>
        <w:spacing w:line="360" w:lineRule="auto"/>
        <w:ind w:firstLine="240" w:firstLineChars="100"/>
        <w:jc w:val="right"/>
        <w:rPr>
          <w:color w:val="auto"/>
          <w:sz w:val="24"/>
          <w:szCs w:val="20"/>
          <w:highlight w:val="none"/>
        </w:rPr>
      </w:pPr>
      <w:r>
        <w:rPr>
          <w:color w:val="auto"/>
          <w:sz w:val="24"/>
          <w:highlight w:val="none"/>
        </w:rPr>
        <w:t>年    月    日</w:t>
      </w:r>
    </w:p>
    <w:p w14:paraId="4781961D">
      <w:pPr>
        <w:pStyle w:val="16"/>
        <w:snapToGrid w:val="0"/>
        <w:spacing w:before="0" w:beforeLines="0" w:after="0" w:afterLines="0" w:line="360" w:lineRule="auto"/>
        <w:rPr>
          <w:rFonts w:ascii="Times New Roman" w:hAnsi="Times New Roman"/>
          <w:color w:val="auto"/>
          <w:highlight w:val="none"/>
        </w:rPr>
      </w:pPr>
    </w:p>
    <w:p w14:paraId="6C606966">
      <w:pPr>
        <w:snapToGrid w:val="0"/>
        <w:spacing w:before="120" w:beforeLines="50" w:after="50" w:line="360" w:lineRule="auto"/>
        <w:ind w:firstLine="4200" w:firstLineChars="2000"/>
        <w:rPr>
          <w:color w:val="auto"/>
          <w:highlight w:val="none"/>
        </w:rPr>
      </w:pPr>
    </w:p>
    <w:p w14:paraId="151C88D7">
      <w:pPr>
        <w:snapToGrid w:val="0"/>
        <w:spacing w:before="120" w:beforeLines="50" w:after="50" w:line="360" w:lineRule="auto"/>
        <w:ind w:firstLine="4200" w:firstLineChars="2000"/>
        <w:rPr>
          <w:color w:val="auto"/>
          <w:highlight w:val="none"/>
        </w:rPr>
      </w:pPr>
    </w:p>
    <w:p w14:paraId="3F74D4E0">
      <w:pPr>
        <w:snapToGrid w:val="0"/>
        <w:spacing w:before="120" w:beforeLines="50" w:after="50" w:line="360" w:lineRule="auto"/>
        <w:jc w:val="left"/>
        <w:rPr>
          <w:color w:val="auto"/>
          <w:sz w:val="24"/>
          <w:highlight w:val="none"/>
        </w:rPr>
        <w:sectPr>
          <w:pgSz w:w="11906" w:h="16838"/>
          <w:pgMar w:top="1474" w:right="1797" w:bottom="1247" w:left="1797" w:header="851" w:footer="851" w:gutter="0"/>
          <w:pgBorders w:offsetFrom="page">
            <w:top w:val="none" w:sz="0" w:space="0"/>
            <w:left w:val="none" w:sz="0" w:space="0"/>
            <w:bottom w:val="none" w:sz="0" w:space="0"/>
            <w:right w:val="none" w:sz="0" w:space="0"/>
          </w:pgBorders>
          <w:pgNumType w:fmt="numberInDash"/>
          <w:cols w:space="720" w:num="1"/>
          <w:docGrid w:linePitch="312" w:charSpace="0"/>
        </w:sectPr>
      </w:pPr>
    </w:p>
    <w:p w14:paraId="7F57B3F5">
      <w:pPr>
        <w:snapToGrid w:val="0"/>
        <w:spacing w:before="120" w:beforeLines="50" w:after="50" w:line="360" w:lineRule="auto"/>
        <w:jc w:val="left"/>
        <w:rPr>
          <w:color w:val="auto"/>
          <w:sz w:val="28"/>
          <w:szCs w:val="28"/>
          <w:highlight w:val="none"/>
        </w:rPr>
      </w:pPr>
      <w:r>
        <w:rPr>
          <w:color w:val="auto"/>
          <w:sz w:val="28"/>
          <w:szCs w:val="28"/>
          <w:highlight w:val="none"/>
        </w:rPr>
        <w:t>附件</w:t>
      </w:r>
      <w:r>
        <w:rPr>
          <w:rFonts w:hint="eastAsia"/>
          <w:color w:val="auto"/>
          <w:sz w:val="28"/>
          <w:szCs w:val="28"/>
          <w:highlight w:val="none"/>
          <w:lang w:val="en-US" w:eastAsia="zh-CN"/>
        </w:rPr>
        <w:t>六</w:t>
      </w:r>
      <w:r>
        <w:rPr>
          <w:color w:val="auto"/>
          <w:sz w:val="28"/>
          <w:szCs w:val="28"/>
          <w:highlight w:val="none"/>
        </w:rPr>
        <w:t>：</w:t>
      </w:r>
    </w:p>
    <w:p w14:paraId="4A78DDBA">
      <w:pPr>
        <w:snapToGrid w:val="0"/>
        <w:spacing w:before="50" w:after="120" w:afterLines="50" w:line="360" w:lineRule="auto"/>
        <w:jc w:val="left"/>
        <w:rPr>
          <w:b/>
          <w:color w:val="auto"/>
          <w:sz w:val="24"/>
          <w:highlight w:val="none"/>
        </w:rPr>
      </w:pPr>
    </w:p>
    <w:p w14:paraId="48287782">
      <w:pPr>
        <w:widowControl/>
        <w:spacing w:line="360" w:lineRule="auto"/>
        <w:jc w:val="center"/>
        <w:rPr>
          <w:color w:val="auto"/>
          <w:highlight w:val="none"/>
        </w:rPr>
      </w:pPr>
      <w:r>
        <w:rPr>
          <w:b/>
          <w:color w:val="auto"/>
          <w:sz w:val="32"/>
          <w:szCs w:val="32"/>
          <w:highlight w:val="none"/>
        </w:rPr>
        <w:t>投标人代表授权书</w:t>
      </w:r>
    </w:p>
    <w:p w14:paraId="6EBCA664">
      <w:pPr>
        <w:widowControl/>
        <w:spacing w:line="360" w:lineRule="auto"/>
        <w:jc w:val="left"/>
        <w:rPr>
          <w:color w:val="auto"/>
          <w:highlight w:val="none"/>
        </w:rPr>
      </w:pPr>
    </w:p>
    <w:p w14:paraId="538DF4E5">
      <w:pPr>
        <w:widowControl/>
        <w:spacing w:line="360" w:lineRule="auto"/>
        <w:jc w:val="left"/>
        <w:rPr>
          <w:color w:val="auto"/>
          <w:highlight w:val="none"/>
        </w:rPr>
      </w:pPr>
    </w:p>
    <w:p w14:paraId="18A7EEE9">
      <w:pPr>
        <w:widowControl/>
        <w:spacing w:line="360" w:lineRule="auto"/>
        <w:jc w:val="left"/>
        <w:rPr>
          <w:color w:val="auto"/>
          <w:sz w:val="24"/>
          <w:highlight w:val="none"/>
        </w:rPr>
      </w:pPr>
      <w:r>
        <w:rPr>
          <w:color w:val="auto"/>
          <w:sz w:val="24"/>
          <w:highlight w:val="none"/>
        </w:rPr>
        <w:t>致：</w:t>
      </w:r>
      <w:r>
        <w:rPr>
          <w:rFonts w:hint="eastAsia"/>
          <w:color w:val="auto"/>
          <w:sz w:val="24"/>
          <w:highlight w:val="none"/>
          <w:lang w:eastAsia="zh-CN"/>
        </w:rPr>
        <w:t>浙江华域高宇项目管理有限公司</w:t>
      </w:r>
      <w:r>
        <w:rPr>
          <w:color w:val="auto"/>
          <w:sz w:val="24"/>
          <w:highlight w:val="none"/>
        </w:rPr>
        <w:t>：</w:t>
      </w:r>
    </w:p>
    <w:p w14:paraId="595FA201">
      <w:pPr>
        <w:widowControl/>
        <w:spacing w:line="360" w:lineRule="auto"/>
        <w:jc w:val="left"/>
        <w:rPr>
          <w:color w:val="auto"/>
          <w:sz w:val="24"/>
          <w:highlight w:val="none"/>
        </w:rPr>
      </w:pPr>
    </w:p>
    <w:p w14:paraId="32FB0CB1">
      <w:pPr>
        <w:snapToGrid w:val="0"/>
        <w:spacing w:line="360" w:lineRule="auto"/>
        <w:ind w:firstLine="480"/>
        <w:rPr>
          <w:color w:val="auto"/>
          <w:spacing w:val="12"/>
          <w:sz w:val="24"/>
          <w:highlight w:val="none"/>
        </w:rPr>
      </w:pPr>
      <w:r>
        <w:rPr>
          <w:color w:val="auto"/>
          <w:sz w:val="24"/>
          <w:highlight w:val="none"/>
        </w:rPr>
        <w:t>兹授权我单位</w:t>
      </w:r>
      <w:r>
        <w:rPr>
          <w:color w:val="auto"/>
          <w:sz w:val="24"/>
          <w:highlight w:val="none"/>
          <w:u w:val="single"/>
        </w:rPr>
        <w:t xml:space="preserve">                </w:t>
      </w:r>
      <w:r>
        <w:rPr>
          <w:color w:val="auto"/>
          <w:sz w:val="24"/>
          <w:highlight w:val="none"/>
        </w:rPr>
        <w:t>（先生/女士），全权代表我单位参加</w:t>
      </w:r>
      <w:r>
        <w:rPr>
          <w:rFonts w:hint="eastAsia"/>
          <w:color w:val="auto"/>
          <w:sz w:val="24"/>
          <w:highlight w:val="none"/>
          <w:u w:val="single"/>
          <w:lang w:eastAsia="zh-CN"/>
        </w:rPr>
        <w:t>杭州市萧山区人民政府新塘街道办事处</w:t>
      </w:r>
      <w:r>
        <w:rPr>
          <w:color w:val="auto"/>
          <w:sz w:val="24"/>
          <w:highlight w:val="none"/>
          <w:u w:val="single"/>
        </w:rPr>
        <w:t xml:space="preserve">              项目</w:t>
      </w:r>
      <w:r>
        <w:rPr>
          <w:color w:val="auto"/>
          <w:sz w:val="24"/>
          <w:highlight w:val="none"/>
        </w:rPr>
        <w:t>（招标编号：</w:t>
      </w:r>
      <w:r>
        <w:rPr>
          <w:color w:val="auto"/>
          <w:sz w:val="24"/>
          <w:highlight w:val="none"/>
          <w:u w:val="single"/>
        </w:rPr>
        <w:t xml:space="preserve">                    </w:t>
      </w:r>
      <w:r>
        <w:rPr>
          <w:color w:val="auto"/>
          <w:sz w:val="24"/>
          <w:highlight w:val="none"/>
        </w:rPr>
        <w:t>）招标活动，</w:t>
      </w:r>
      <w:r>
        <w:rPr>
          <w:color w:val="auto"/>
          <w:spacing w:val="12"/>
          <w:sz w:val="24"/>
          <w:highlight w:val="none"/>
        </w:rPr>
        <w:t>以我单位的名义签署的投标文件及其它文件，参加开标、澄清以及处理与之有关的其它事务，我单位均予承认。</w:t>
      </w:r>
    </w:p>
    <w:p w14:paraId="005EAFA3">
      <w:pPr>
        <w:widowControl/>
        <w:spacing w:line="360" w:lineRule="auto"/>
        <w:jc w:val="left"/>
        <w:rPr>
          <w:color w:val="auto"/>
          <w:sz w:val="24"/>
          <w:highlight w:val="none"/>
        </w:rPr>
      </w:pPr>
    </w:p>
    <w:p w14:paraId="55D60915">
      <w:pPr>
        <w:widowControl/>
        <w:spacing w:line="360" w:lineRule="auto"/>
        <w:jc w:val="left"/>
        <w:rPr>
          <w:color w:val="auto"/>
          <w:sz w:val="24"/>
          <w:highlight w:val="none"/>
        </w:rPr>
      </w:pPr>
      <w:r>
        <w:rPr>
          <w:color w:val="auto"/>
          <w:sz w:val="24"/>
          <w:highlight w:val="none"/>
        </w:rPr>
        <w:t xml:space="preserve">                               单位名称（盖章）：</w:t>
      </w:r>
    </w:p>
    <w:p w14:paraId="389F9AA0">
      <w:pPr>
        <w:widowControl/>
        <w:spacing w:line="360" w:lineRule="auto"/>
        <w:jc w:val="left"/>
        <w:rPr>
          <w:color w:val="auto"/>
          <w:sz w:val="24"/>
          <w:highlight w:val="none"/>
        </w:rPr>
      </w:pPr>
      <w:r>
        <w:rPr>
          <w:color w:val="auto"/>
          <w:sz w:val="24"/>
          <w:highlight w:val="none"/>
        </w:rPr>
        <w:t xml:space="preserve">                               法定代表人或负责人（签字或盖章）：</w:t>
      </w:r>
    </w:p>
    <w:p w14:paraId="16AFDAEE">
      <w:pPr>
        <w:widowControl/>
        <w:spacing w:line="360" w:lineRule="auto"/>
        <w:jc w:val="left"/>
        <w:rPr>
          <w:color w:val="auto"/>
          <w:sz w:val="24"/>
          <w:highlight w:val="none"/>
        </w:rPr>
      </w:pPr>
      <w:r>
        <w:rPr>
          <w:color w:val="auto"/>
          <w:sz w:val="24"/>
          <w:highlight w:val="none"/>
        </w:rPr>
        <w:t xml:space="preserve">                                      </w:t>
      </w:r>
    </w:p>
    <w:p w14:paraId="09F018FD">
      <w:pPr>
        <w:widowControl/>
        <w:spacing w:line="360" w:lineRule="auto"/>
        <w:ind w:firstLine="4200" w:firstLineChars="1750"/>
        <w:jc w:val="left"/>
        <w:rPr>
          <w:color w:val="auto"/>
          <w:sz w:val="24"/>
          <w:highlight w:val="none"/>
        </w:rPr>
      </w:pPr>
      <w:r>
        <w:rPr>
          <w:color w:val="auto"/>
          <w:sz w:val="24"/>
          <w:highlight w:val="none"/>
        </w:rPr>
        <w:t>日期：      年      月      日</w:t>
      </w:r>
    </w:p>
    <w:p w14:paraId="307FE023">
      <w:pPr>
        <w:widowControl/>
        <w:spacing w:line="360" w:lineRule="auto"/>
        <w:jc w:val="left"/>
        <w:rPr>
          <w:color w:val="auto"/>
          <w:highlight w:val="none"/>
        </w:rPr>
      </w:pPr>
    </w:p>
    <w:p w14:paraId="17849AEA">
      <w:pPr>
        <w:widowControl/>
        <w:spacing w:line="360" w:lineRule="auto"/>
        <w:jc w:val="left"/>
        <w:rPr>
          <w:color w:val="auto"/>
          <w:sz w:val="24"/>
          <w:highlight w:val="none"/>
        </w:rPr>
      </w:pPr>
      <w:r>
        <w:rPr>
          <w:color w:val="auto"/>
          <w:sz w:val="24"/>
          <w:highlight w:val="none"/>
        </w:rPr>
        <w:t>附：</w:t>
      </w:r>
    </w:p>
    <w:p w14:paraId="76183B30">
      <w:pPr>
        <w:widowControl/>
        <w:spacing w:line="360" w:lineRule="auto"/>
        <w:jc w:val="left"/>
        <w:rPr>
          <w:color w:val="auto"/>
          <w:sz w:val="24"/>
          <w:highlight w:val="none"/>
        </w:rPr>
      </w:pPr>
      <w:r>
        <w:rPr>
          <w:color w:val="auto"/>
          <w:sz w:val="24"/>
          <w:highlight w:val="none"/>
        </w:rPr>
        <w:t>全权代表：</w:t>
      </w:r>
      <w:r>
        <w:rPr>
          <w:color w:val="auto"/>
          <w:sz w:val="24"/>
          <w:highlight w:val="none"/>
          <w:u w:val="single"/>
        </w:rPr>
        <w:t xml:space="preserve">                      </w:t>
      </w:r>
      <w:r>
        <w:rPr>
          <w:color w:val="auto"/>
          <w:sz w:val="24"/>
          <w:highlight w:val="none"/>
        </w:rPr>
        <w:t>，签字：</w:t>
      </w:r>
      <w:r>
        <w:rPr>
          <w:color w:val="auto"/>
          <w:sz w:val="24"/>
          <w:highlight w:val="none"/>
          <w:u w:val="single"/>
        </w:rPr>
        <w:t xml:space="preserve">                              </w:t>
      </w:r>
    </w:p>
    <w:p w14:paraId="608CB8AE">
      <w:pPr>
        <w:widowControl/>
        <w:spacing w:line="360" w:lineRule="auto"/>
        <w:jc w:val="left"/>
        <w:rPr>
          <w:color w:val="auto"/>
          <w:sz w:val="24"/>
          <w:highlight w:val="none"/>
        </w:rPr>
      </w:pPr>
      <w:r>
        <w:rPr>
          <w:color w:val="auto"/>
          <w:sz w:val="24"/>
          <w:highlight w:val="none"/>
        </w:rPr>
        <w:t>身份证号码：</w:t>
      </w:r>
      <w:r>
        <w:rPr>
          <w:color w:val="auto"/>
          <w:sz w:val="24"/>
          <w:highlight w:val="none"/>
          <w:u w:val="single"/>
        </w:rPr>
        <w:t xml:space="preserve">                                        </w:t>
      </w:r>
      <w:r>
        <w:rPr>
          <w:color w:val="auto"/>
          <w:sz w:val="24"/>
          <w:highlight w:val="none"/>
        </w:rPr>
        <w:t>，职务：</w:t>
      </w:r>
      <w:r>
        <w:rPr>
          <w:color w:val="auto"/>
          <w:sz w:val="24"/>
          <w:highlight w:val="none"/>
          <w:u w:val="single"/>
        </w:rPr>
        <w:t xml:space="preserve">          </w:t>
      </w:r>
    </w:p>
    <w:p w14:paraId="409F4E73">
      <w:pPr>
        <w:widowControl/>
        <w:spacing w:line="360" w:lineRule="auto"/>
        <w:jc w:val="left"/>
        <w:rPr>
          <w:color w:val="auto"/>
          <w:sz w:val="24"/>
          <w:highlight w:val="none"/>
          <w:u w:val="single"/>
        </w:rPr>
      </w:pPr>
      <w:r>
        <w:rPr>
          <w:color w:val="auto"/>
          <w:sz w:val="24"/>
          <w:highlight w:val="none"/>
        </w:rPr>
        <w:t>通讯地址：</w:t>
      </w:r>
      <w:r>
        <w:rPr>
          <w:color w:val="auto"/>
          <w:sz w:val="24"/>
          <w:highlight w:val="none"/>
          <w:u w:val="single"/>
        </w:rPr>
        <w:t xml:space="preserve">                                                            </w:t>
      </w:r>
    </w:p>
    <w:p w14:paraId="604AFB4F">
      <w:pPr>
        <w:widowControl/>
        <w:spacing w:line="360" w:lineRule="auto"/>
        <w:jc w:val="left"/>
        <w:rPr>
          <w:color w:val="auto"/>
          <w:sz w:val="24"/>
          <w:highlight w:val="none"/>
          <w:u w:val="single"/>
        </w:rPr>
      </w:pPr>
      <w:r>
        <w:rPr>
          <w:color w:val="auto"/>
          <w:sz w:val="24"/>
          <w:highlight w:val="none"/>
        </w:rPr>
        <w:t>传真：</w:t>
      </w:r>
      <w:r>
        <w:rPr>
          <w:color w:val="auto"/>
          <w:sz w:val="24"/>
          <w:highlight w:val="none"/>
          <w:u w:val="single"/>
        </w:rPr>
        <w:t xml:space="preserve">                    </w:t>
      </w:r>
      <w:r>
        <w:rPr>
          <w:color w:val="auto"/>
          <w:sz w:val="24"/>
          <w:highlight w:val="none"/>
        </w:rPr>
        <w:t>电话：</w:t>
      </w:r>
      <w:r>
        <w:rPr>
          <w:color w:val="auto"/>
          <w:sz w:val="24"/>
          <w:highlight w:val="none"/>
          <w:u w:val="single"/>
        </w:rPr>
        <w:t xml:space="preserve">                  </w:t>
      </w:r>
      <w:r>
        <w:rPr>
          <w:color w:val="auto"/>
          <w:sz w:val="24"/>
          <w:highlight w:val="none"/>
        </w:rPr>
        <w:t>邮编：</w:t>
      </w:r>
      <w:r>
        <w:rPr>
          <w:color w:val="auto"/>
          <w:sz w:val="24"/>
          <w:highlight w:val="none"/>
          <w:u w:val="single"/>
        </w:rPr>
        <w:t xml:space="preserve">              </w:t>
      </w:r>
    </w:p>
    <w:p w14:paraId="082835B2">
      <w:pPr>
        <w:widowControl/>
        <w:spacing w:line="360" w:lineRule="auto"/>
        <w:jc w:val="left"/>
        <w:rPr>
          <w:color w:val="auto"/>
          <w:highlight w:val="none"/>
        </w:rPr>
      </w:pPr>
    </w:p>
    <w:p w14:paraId="762568FC">
      <w:pPr>
        <w:spacing w:line="360" w:lineRule="auto"/>
        <w:jc w:val="center"/>
        <w:outlineLvl w:val="2"/>
        <w:rPr>
          <w:color w:val="auto"/>
          <w:sz w:val="24"/>
          <w:highlight w:val="none"/>
        </w:rPr>
      </w:pPr>
      <w:r>
        <w:rPr>
          <w:color w:val="auto"/>
          <w:sz w:val="24"/>
          <w:highlight w:val="none"/>
        </w:rPr>
        <w:t xml:space="preserve">          </w:t>
      </w:r>
    </w:p>
    <w:p w14:paraId="5C6CDFF0">
      <w:pPr>
        <w:spacing w:line="360" w:lineRule="auto"/>
        <w:jc w:val="center"/>
        <w:outlineLvl w:val="2"/>
        <w:rPr>
          <w:b/>
          <w:bCs/>
          <w:color w:val="auto"/>
          <w:sz w:val="32"/>
          <w:szCs w:val="32"/>
          <w:highlight w:val="none"/>
        </w:rPr>
      </w:pPr>
      <w:r>
        <w:rPr>
          <w:color w:val="auto"/>
          <w:sz w:val="24"/>
          <w:highlight w:val="none"/>
        </w:rPr>
        <w:t xml:space="preserve"> </w:t>
      </w:r>
      <w:r>
        <w:rPr>
          <w:rFonts w:hAnsi="宋体"/>
          <w:b/>
          <w:bCs/>
          <w:color w:val="auto"/>
          <w:sz w:val="32"/>
          <w:szCs w:val="32"/>
          <w:highlight w:val="none"/>
        </w:rPr>
        <w:t>法定代表人（或负责人）及其授权委托人的身份证</w:t>
      </w:r>
    </w:p>
    <w:p w14:paraId="52037FFF">
      <w:pPr>
        <w:spacing w:line="360" w:lineRule="auto"/>
        <w:jc w:val="center"/>
        <w:outlineLvl w:val="2"/>
        <w:rPr>
          <w:color w:val="auto"/>
          <w:sz w:val="24"/>
          <w:highlight w:val="none"/>
        </w:rPr>
        <w:sectPr>
          <w:pgSz w:w="11906" w:h="16838"/>
          <w:pgMar w:top="1474" w:right="1797" w:bottom="1247" w:left="1797" w:header="851" w:footer="851" w:gutter="0"/>
          <w:pgBorders w:offsetFrom="page">
            <w:top w:val="none" w:sz="0" w:space="0"/>
            <w:left w:val="none" w:sz="0" w:space="0"/>
            <w:bottom w:val="none" w:sz="0" w:space="0"/>
            <w:right w:val="none" w:sz="0" w:space="0"/>
          </w:pgBorders>
          <w:pgNumType w:fmt="numberInDash"/>
          <w:cols w:space="720" w:num="1"/>
          <w:docGrid w:linePitch="312" w:charSpace="0"/>
        </w:sectPr>
      </w:pPr>
      <w:r>
        <w:rPr>
          <w:b/>
          <w:bCs/>
          <w:color w:val="auto"/>
          <w:sz w:val="32"/>
          <w:szCs w:val="32"/>
          <w:highlight w:val="none"/>
        </w:rPr>
        <w:t xml:space="preserve"> (</w:t>
      </w:r>
      <w:r>
        <w:rPr>
          <w:rFonts w:hAnsi="宋体"/>
          <w:b/>
          <w:bCs/>
          <w:color w:val="auto"/>
          <w:sz w:val="32"/>
          <w:szCs w:val="32"/>
          <w:highlight w:val="none"/>
        </w:rPr>
        <w:t>复印件加盖公章</w:t>
      </w:r>
      <w:r>
        <w:rPr>
          <w:b/>
          <w:bCs/>
          <w:color w:val="auto"/>
          <w:sz w:val="32"/>
          <w:szCs w:val="32"/>
          <w:highlight w:val="none"/>
        </w:rPr>
        <w:t>)</w:t>
      </w:r>
    </w:p>
    <w:p w14:paraId="6C7F09B8">
      <w:pPr>
        <w:spacing w:line="360" w:lineRule="auto"/>
        <w:rPr>
          <w:rFonts w:hint="eastAsia" w:ascii="宋体" w:hAnsi="宋体"/>
          <w:color w:val="auto"/>
          <w:sz w:val="24"/>
          <w:highlight w:val="none"/>
        </w:rPr>
      </w:pPr>
    </w:p>
    <w:p w14:paraId="7DE30E72">
      <w:pPr>
        <w:widowControl/>
        <w:spacing w:line="360" w:lineRule="auto"/>
        <w:jc w:val="left"/>
        <w:rPr>
          <w:rFonts w:hint="eastAsia"/>
          <w:color w:val="auto"/>
          <w:sz w:val="28"/>
          <w:szCs w:val="28"/>
          <w:highlight w:val="none"/>
        </w:rPr>
      </w:pPr>
      <w:r>
        <w:rPr>
          <w:rFonts w:hint="eastAsia"/>
          <w:color w:val="auto"/>
          <w:sz w:val="28"/>
          <w:szCs w:val="28"/>
          <w:highlight w:val="none"/>
        </w:rPr>
        <w:t>附件</w:t>
      </w:r>
      <w:r>
        <w:rPr>
          <w:rFonts w:hint="eastAsia"/>
          <w:color w:val="auto"/>
          <w:sz w:val="28"/>
          <w:szCs w:val="28"/>
          <w:highlight w:val="none"/>
          <w:lang w:val="en-US" w:eastAsia="zh-CN"/>
        </w:rPr>
        <w:t>七</w:t>
      </w:r>
      <w:r>
        <w:rPr>
          <w:rFonts w:hint="eastAsia"/>
          <w:color w:val="auto"/>
          <w:sz w:val="28"/>
          <w:szCs w:val="28"/>
          <w:highlight w:val="none"/>
        </w:rPr>
        <w:t xml:space="preserve"> ：</w:t>
      </w:r>
    </w:p>
    <w:p w14:paraId="60C8E10C">
      <w:pPr>
        <w:snapToGrid w:val="0"/>
        <w:spacing w:before="120" w:beforeLines="50" w:after="50" w:line="360" w:lineRule="auto"/>
        <w:jc w:val="center"/>
        <w:rPr>
          <w:rFonts w:ascii="宋体" w:hAnsi="宋体"/>
          <w:b/>
          <w:color w:val="auto"/>
          <w:kern w:val="0"/>
          <w:sz w:val="32"/>
          <w:szCs w:val="32"/>
          <w:highlight w:val="none"/>
        </w:rPr>
      </w:pPr>
      <w:r>
        <w:rPr>
          <w:rFonts w:ascii="宋体" w:hAnsi="宋体"/>
          <w:b/>
          <w:color w:val="auto"/>
          <w:kern w:val="0"/>
          <w:sz w:val="32"/>
          <w:szCs w:val="32"/>
          <w:highlight w:val="none"/>
        </w:rPr>
        <w:t>银行经营状况</w:t>
      </w:r>
    </w:p>
    <w:p w14:paraId="1E28A3C9">
      <w:pPr>
        <w:widowControl/>
        <w:spacing w:line="360" w:lineRule="auto"/>
        <w:jc w:val="left"/>
        <w:rPr>
          <w:rFonts w:ascii="宋体" w:hAnsi="宋体"/>
          <w:color w:val="auto"/>
          <w:highlight w:val="none"/>
        </w:rPr>
      </w:pPr>
    </w:p>
    <w:tbl>
      <w:tblPr>
        <w:tblStyle w:val="31"/>
        <w:tblW w:w="8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705"/>
        <w:gridCol w:w="2701"/>
        <w:gridCol w:w="2339"/>
      </w:tblGrid>
      <w:tr w14:paraId="3A20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188" w:type="dxa"/>
            <w:tcBorders>
              <w:top w:val="single" w:color="auto" w:sz="12" w:space="0"/>
              <w:left w:val="single" w:color="auto" w:sz="12" w:space="0"/>
            </w:tcBorders>
            <w:noWrap w:val="0"/>
            <w:vAlign w:val="center"/>
          </w:tcPr>
          <w:p w14:paraId="4D80743E">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评审项目</w:t>
            </w:r>
          </w:p>
        </w:tc>
        <w:tc>
          <w:tcPr>
            <w:tcW w:w="2705" w:type="dxa"/>
            <w:tcBorders>
              <w:top w:val="single" w:color="auto" w:sz="12" w:space="0"/>
            </w:tcBorders>
            <w:noWrap w:val="0"/>
            <w:vAlign w:val="center"/>
          </w:tcPr>
          <w:p w14:paraId="2FD9C1E3">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评审类别</w:t>
            </w:r>
          </w:p>
        </w:tc>
        <w:tc>
          <w:tcPr>
            <w:tcW w:w="2701" w:type="dxa"/>
            <w:tcBorders>
              <w:top w:val="single" w:color="auto" w:sz="12" w:space="0"/>
            </w:tcBorders>
            <w:noWrap w:val="0"/>
            <w:vAlign w:val="center"/>
          </w:tcPr>
          <w:p w14:paraId="74B28B3D">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年度</w:t>
            </w:r>
          </w:p>
        </w:tc>
        <w:tc>
          <w:tcPr>
            <w:tcW w:w="2339" w:type="dxa"/>
            <w:tcBorders>
              <w:top w:val="single" w:color="auto" w:sz="12" w:space="0"/>
              <w:right w:val="single" w:color="auto" w:sz="12" w:space="0"/>
            </w:tcBorders>
            <w:noWrap w:val="0"/>
            <w:vAlign w:val="center"/>
          </w:tcPr>
          <w:p w14:paraId="228B6C24">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评价评级等级</w:t>
            </w:r>
          </w:p>
        </w:tc>
      </w:tr>
      <w:tr w14:paraId="7808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trPr>
        <w:tc>
          <w:tcPr>
            <w:tcW w:w="1188" w:type="dxa"/>
            <w:tcBorders>
              <w:left w:val="single" w:color="auto" w:sz="12" w:space="0"/>
            </w:tcBorders>
            <w:noWrap w:val="0"/>
            <w:vAlign w:val="center"/>
          </w:tcPr>
          <w:p w14:paraId="2334B243">
            <w:pPr>
              <w:snapToGrid w:val="0"/>
              <w:spacing w:line="360" w:lineRule="auto"/>
              <w:jc w:val="center"/>
              <w:rPr>
                <w:rFonts w:ascii="宋体" w:hAnsi="宋体"/>
                <w:color w:val="auto"/>
                <w:sz w:val="24"/>
                <w:highlight w:val="none"/>
              </w:rPr>
            </w:pPr>
            <w:r>
              <w:rPr>
                <w:rFonts w:ascii="宋体" w:hAnsi="宋体"/>
                <w:color w:val="auto"/>
                <w:sz w:val="24"/>
                <w:highlight w:val="none"/>
              </w:rPr>
              <w:t>银行</w:t>
            </w:r>
          </w:p>
          <w:p w14:paraId="71A5ACFD">
            <w:pPr>
              <w:snapToGrid w:val="0"/>
              <w:spacing w:line="360" w:lineRule="auto"/>
              <w:jc w:val="center"/>
              <w:rPr>
                <w:rFonts w:hint="eastAsia" w:ascii="宋体" w:hAnsi="宋体"/>
                <w:color w:val="auto"/>
                <w:sz w:val="24"/>
                <w:highlight w:val="none"/>
              </w:rPr>
            </w:pPr>
            <w:r>
              <w:rPr>
                <w:rFonts w:ascii="宋体" w:hAnsi="宋体"/>
                <w:color w:val="auto"/>
                <w:sz w:val="24"/>
                <w:highlight w:val="none"/>
              </w:rPr>
              <w:t>经营</w:t>
            </w:r>
          </w:p>
          <w:p w14:paraId="79C3F258">
            <w:pPr>
              <w:snapToGrid w:val="0"/>
              <w:spacing w:line="360" w:lineRule="auto"/>
              <w:jc w:val="center"/>
              <w:rPr>
                <w:rFonts w:ascii="宋体" w:hAnsi="宋体"/>
                <w:color w:val="auto"/>
                <w:sz w:val="24"/>
                <w:highlight w:val="none"/>
              </w:rPr>
            </w:pPr>
            <w:r>
              <w:rPr>
                <w:rFonts w:ascii="宋体" w:hAnsi="宋体"/>
                <w:color w:val="auto"/>
                <w:sz w:val="24"/>
                <w:highlight w:val="none"/>
              </w:rPr>
              <w:t>状况</w:t>
            </w:r>
          </w:p>
        </w:tc>
        <w:tc>
          <w:tcPr>
            <w:tcW w:w="2705" w:type="dxa"/>
            <w:noWrap w:val="0"/>
            <w:vAlign w:val="center"/>
          </w:tcPr>
          <w:p w14:paraId="0893D830">
            <w:pPr>
              <w:snapToGrid w:val="0"/>
              <w:spacing w:line="360" w:lineRule="auto"/>
              <w:rPr>
                <w:rFonts w:ascii="宋体" w:hAnsi="宋体"/>
                <w:color w:val="auto"/>
                <w:sz w:val="24"/>
                <w:highlight w:val="none"/>
              </w:rPr>
            </w:pPr>
            <w:r>
              <w:rPr>
                <w:rFonts w:ascii="宋体" w:hAnsi="宋体"/>
                <w:color w:val="auto"/>
                <w:sz w:val="24"/>
                <w:highlight w:val="none"/>
              </w:rPr>
              <w:t>人民银行</w:t>
            </w:r>
            <w:r>
              <w:rPr>
                <w:rFonts w:hint="eastAsia" w:ascii="宋体" w:hAnsi="宋体"/>
                <w:color w:val="auto"/>
                <w:sz w:val="24"/>
                <w:highlight w:val="none"/>
              </w:rPr>
              <w:t>萧山</w:t>
            </w:r>
            <w:r>
              <w:rPr>
                <w:rFonts w:ascii="宋体" w:hAnsi="宋体"/>
                <w:color w:val="auto"/>
                <w:sz w:val="24"/>
                <w:highlight w:val="none"/>
              </w:rPr>
              <w:t>中心支行</w:t>
            </w:r>
            <w:r>
              <w:rPr>
                <w:rFonts w:ascii="宋体" w:hAnsi="宋体"/>
                <w:color w:val="auto"/>
                <w:kern w:val="0"/>
                <w:sz w:val="24"/>
                <w:highlight w:val="none"/>
              </w:rPr>
              <w:t>对投标银行</w:t>
            </w:r>
            <w:r>
              <w:rPr>
                <w:rFonts w:hint="eastAsia" w:ascii="宋体" w:hAnsi="宋体"/>
                <w:color w:val="auto"/>
                <w:kern w:val="0"/>
                <w:sz w:val="24"/>
                <w:highlight w:val="none"/>
              </w:rPr>
              <w:t>所在萧山支行</w:t>
            </w:r>
            <w:r>
              <w:rPr>
                <w:rFonts w:ascii="宋体" w:hAnsi="宋体"/>
                <w:color w:val="auto"/>
                <w:kern w:val="0"/>
                <w:sz w:val="24"/>
                <w:highlight w:val="none"/>
              </w:rPr>
              <w:t>行</w:t>
            </w:r>
            <w:r>
              <w:rPr>
                <w:rFonts w:ascii="宋体" w:hAnsi="宋体"/>
                <w:color w:val="auto"/>
                <w:sz w:val="24"/>
                <w:highlight w:val="none"/>
              </w:rPr>
              <w:t>年度综合评价</w:t>
            </w:r>
          </w:p>
        </w:tc>
        <w:tc>
          <w:tcPr>
            <w:tcW w:w="2701" w:type="dxa"/>
            <w:noWrap w:val="0"/>
            <w:vAlign w:val="center"/>
          </w:tcPr>
          <w:p w14:paraId="7A9C03D8">
            <w:pPr>
              <w:snapToGrid w:val="0"/>
              <w:spacing w:line="360" w:lineRule="auto"/>
              <w:jc w:val="center"/>
              <w:rPr>
                <w:rFonts w:ascii="宋体" w:hAnsi="宋体"/>
                <w:color w:val="auto"/>
                <w:sz w:val="24"/>
                <w:highlight w:val="none"/>
              </w:rPr>
            </w:pPr>
            <w:r>
              <w:rPr>
                <w:rFonts w:hint="eastAsia" w:ascii="宋体" w:hAnsi="宋体"/>
                <w:color w:val="auto"/>
                <w:sz w:val="24"/>
                <w:highlight w:val="none"/>
                <w:lang w:val="en-US" w:eastAsia="zh-CN"/>
              </w:rPr>
              <w:t>2023</w:t>
            </w:r>
            <w:r>
              <w:rPr>
                <w:rFonts w:ascii="宋体" w:hAnsi="宋体"/>
                <w:color w:val="auto"/>
                <w:sz w:val="24"/>
                <w:highlight w:val="none"/>
              </w:rPr>
              <w:t>年度</w:t>
            </w:r>
          </w:p>
        </w:tc>
        <w:tc>
          <w:tcPr>
            <w:tcW w:w="2339" w:type="dxa"/>
            <w:tcBorders>
              <w:bottom w:val="single" w:color="auto" w:sz="12" w:space="0"/>
              <w:right w:val="single" w:color="auto" w:sz="12" w:space="0"/>
            </w:tcBorders>
            <w:noWrap w:val="0"/>
            <w:vAlign w:val="center"/>
          </w:tcPr>
          <w:p w14:paraId="034C1203">
            <w:pPr>
              <w:snapToGrid w:val="0"/>
              <w:spacing w:line="360" w:lineRule="auto"/>
              <w:rPr>
                <w:rFonts w:ascii="宋体" w:hAnsi="宋体"/>
                <w:color w:val="auto"/>
                <w:sz w:val="24"/>
                <w:highlight w:val="none"/>
              </w:rPr>
            </w:pPr>
          </w:p>
        </w:tc>
      </w:tr>
    </w:tbl>
    <w:p w14:paraId="6631E722">
      <w:pPr>
        <w:widowControl/>
        <w:spacing w:line="360" w:lineRule="auto"/>
        <w:jc w:val="left"/>
        <w:rPr>
          <w:rFonts w:ascii="宋体" w:hAnsi="宋体"/>
          <w:color w:val="auto"/>
          <w:highlight w:val="none"/>
        </w:rPr>
      </w:pPr>
    </w:p>
    <w:p w14:paraId="29C0004C">
      <w:pPr>
        <w:widowControl/>
        <w:spacing w:line="360" w:lineRule="auto"/>
        <w:jc w:val="left"/>
        <w:rPr>
          <w:rFonts w:hint="eastAsia" w:ascii="宋体" w:hAnsi="宋体"/>
          <w:b/>
          <w:color w:val="auto"/>
          <w:sz w:val="24"/>
          <w:highlight w:val="none"/>
        </w:rPr>
      </w:pPr>
      <w:r>
        <w:rPr>
          <w:rFonts w:ascii="宋体" w:hAnsi="宋体"/>
          <w:b/>
          <w:color w:val="auto"/>
          <w:sz w:val="24"/>
          <w:highlight w:val="none"/>
        </w:rPr>
        <w:t>附：投标人应提供</w:t>
      </w:r>
      <w:r>
        <w:rPr>
          <w:rFonts w:hint="eastAsia" w:ascii="宋体" w:hAnsi="宋体"/>
          <w:b/>
          <w:color w:val="auto"/>
          <w:sz w:val="24"/>
          <w:highlight w:val="none"/>
          <w:lang w:val="en-US" w:eastAsia="zh-CN"/>
        </w:rPr>
        <w:t>2023</w:t>
      </w:r>
      <w:r>
        <w:rPr>
          <w:rFonts w:hint="eastAsia" w:ascii="宋体" w:hAnsi="宋体"/>
          <w:b/>
          <w:color w:val="auto"/>
          <w:sz w:val="24"/>
          <w:highlight w:val="none"/>
        </w:rPr>
        <w:t>年度</w:t>
      </w:r>
      <w:r>
        <w:rPr>
          <w:rFonts w:ascii="宋体" w:hAnsi="宋体"/>
          <w:b/>
          <w:color w:val="auto"/>
          <w:sz w:val="24"/>
          <w:highlight w:val="none"/>
        </w:rPr>
        <w:t>评价（评级）文件</w:t>
      </w:r>
      <w:r>
        <w:rPr>
          <w:rFonts w:hint="eastAsia" w:ascii="宋体" w:hAnsi="宋体"/>
          <w:b/>
          <w:color w:val="auto"/>
          <w:sz w:val="24"/>
          <w:highlight w:val="none"/>
        </w:rPr>
        <w:t>、存款余额规模、上年度经审计的财务报表复印件</w:t>
      </w:r>
      <w:r>
        <w:rPr>
          <w:rFonts w:hint="eastAsia" w:ascii="宋体" w:hAnsi="宋体" w:eastAsia="宋体" w:cs="Times New Roman"/>
          <w:b/>
          <w:color w:val="auto"/>
          <w:sz w:val="24"/>
          <w:highlight w:val="none"/>
        </w:rPr>
        <w:t>等的</w:t>
      </w:r>
      <w:r>
        <w:rPr>
          <w:rFonts w:hint="eastAsia" w:ascii="宋体" w:hAnsi="宋体"/>
          <w:b/>
          <w:color w:val="auto"/>
          <w:sz w:val="24"/>
          <w:highlight w:val="none"/>
        </w:rPr>
        <w:t>相应</w:t>
      </w:r>
      <w:r>
        <w:rPr>
          <w:rFonts w:ascii="宋体" w:hAnsi="宋体"/>
          <w:b/>
          <w:color w:val="auto"/>
          <w:sz w:val="24"/>
          <w:highlight w:val="none"/>
        </w:rPr>
        <w:t>证明材料</w:t>
      </w:r>
    </w:p>
    <w:p w14:paraId="7278BDF2">
      <w:pPr>
        <w:widowControl/>
        <w:spacing w:line="360" w:lineRule="auto"/>
        <w:jc w:val="left"/>
        <w:rPr>
          <w:rFonts w:hint="eastAsia"/>
          <w:color w:val="auto"/>
          <w:highlight w:val="none"/>
        </w:rPr>
      </w:pPr>
    </w:p>
    <w:p w14:paraId="1B7D11E8">
      <w:pPr>
        <w:snapToGrid w:val="0"/>
        <w:spacing w:line="360" w:lineRule="auto"/>
        <w:ind w:firstLine="5040" w:firstLineChars="2100"/>
        <w:rPr>
          <w:rFonts w:ascii="宋体" w:hAnsi="宋体"/>
          <w:color w:val="auto"/>
          <w:sz w:val="24"/>
          <w:highlight w:val="none"/>
        </w:rPr>
      </w:pPr>
      <w:r>
        <w:rPr>
          <w:rFonts w:ascii="宋体" w:hAnsi="宋体"/>
          <w:color w:val="auto"/>
          <w:sz w:val="24"/>
          <w:highlight w:val="none"/>
        </w:rPr>
        <w:t>投标方代表（签字）</w:t>
      </w:r>
    </w:p>
    <w:p w14:paraId="643E7AFF">
      <w:pPr>
        <w:widowControl/>
        <w:spacing w:line="360" w:lineRule="auto"/>
        <w:jc w:val="left"/>
        <w:rPr>
          <w:rFonts w:ascii="宋体" w:hAnsi="宋体"/>
          <w:color w:val="auto"/>
          <w:sz w:val="24"/>
          <w:highlight w:val="none"/>
        </w:rPr>
      </w:pPr>
      <w:r>
        <w:rPr>
          <w:rFonts w:ascii="宋体" w:hAnsi="宋体"/>
          <w:color w:val="auto"/>
          <w:sz w:val="24"/>
          <w:highlight w:val="none"/>
        </w:rPr>
        <w:t xml:space="preserve">                                          投标人公章</w:t>
      </w:r>
    </w:p>
    <w:p w14:paraId="1BE2621F">
      <w:pPr>
        <w:widowControl/>
        <w:spacing w:line="360" w:lineRule="auto"/>
        <w:ind w:firstLine="5040" w:firstLineChars="2100"/>
        <w:jc w:val="left"/>
        <w:rPr>
          <w:rFonts w:ascii="宋体" w:hAnsi="宋体"/>
          <w:color w:val="auto"/>
          <w:sz w:val="24"/>
          <w:highlight w:val="none"/>
        </w:rPr>
        <w:sectPr>
          <w:pgSz w:w="11906" w:h="16838"/>
          <w:pgMar w:top="1474" w:right="1797" w:bottom="1247" w:left="1797" w:header="851" w:footer="851" w:gutter="0"/>
          <w:pgBorders w:offsetFrom="page">
            <w:top w:val="none" w:sz="0" w:space="0"/>
            <w:left w:val="none" w:sz="0" w:space="0"/>
            <w:bottom w:val="none" w:sz="0" w:space="0"/>
            <w:right w:val="none" w:sz="0" w:space="0"/>
          </w:pgBorders>
          <w:pgNumType w:fmt="numberInDash"/>
          <w:cols w:space="720" w:num="1"/>
          <w:docGrid w:linePitch="312" w:charSpace="0"/>
        </w:sectPr>
      </w:pPr>
      <w:r>
        <w:rPr>
          <w:rFonts w:ascii="宋体" w:hAnsi="宋体"/>
          <w:color w:val="auto"/>
          <w:sz w:val="24"/>
          <w:highlight w:val="none"/>
        </w:rPr>
        <w:t>日期：     年    月     日</w:t>
      </w:r>
    </w:p>
    <w:p w14:paraId="22DFFD74">
      <w:pPr>
        <w:widowControl/>
        <w:spacing w:line="360" w:lineRule="auto"/>
        <w:jc w:val="left"/>
        <w:rPr>
          <w:rFonts w:hint="eastAsia"/>
          <w:color w:val="auto"/>
          <w:sz w:val="28"/>
          <w:szCs w:val="28"/>
          <w:highlight w:val="none"/>
        </w:rPr>
      </w:pPr>
      <w:r>
        <w:rPr>
          <w:rFonts w:hint="eastAsia"/>
          <w:color w:val="auto"/>
          <w:sz w:val="28"/>
          <w:szCs w:val="28"/>
          <w:highlight w:val="none"/>
          <w:lang w:eastAsia="zh-CN"/>
        </w:rPr>
        <w:t>附件</w:t>
      </w:r>
      <w:r>
        <w:rPr>
          <w:rFonts w:hint="eastAsia"/>
          <w:color w:val="auto"/>
          <w:sz w:val="28"/>
          <w:szCs w:val="28"/>
          <w:highlight w:val="none"/>
          <w:lang w:val="en-US" w:eastAsia="zh-CN"/>
        </w:rPr>
        <w:t>八</w:t>
      </w:r>
      <w:r>
        <w:rPr>
          <w:rFonts w:hint="eastAsia"/>
          <w:color w:val="auto"/>
          <w:sz w:val="28"/>
          <w:szCs w:val="28"/>
          <w:highlight w:val="none"/>
          <w:lang w:eastAsia="zh-CN"/>
        </w:rPr>
        <w:t>：</w:t>
      </w:r>
    </w:p>
    <w:p w14:paraId="515E7090">
      <w:pPr>
        <w:widowControl/>
        <w:spacing w:line="360" w:lineRule="auto"/>
        <w:jc w:val="left"/>
        <w:rPr>
          <w:rFonts w:hint="eastAsia" w:eastAsia="宋体"/>
          <w:color w:val="auto"/>
          <w:sz w:val="28"/>
          <w:szCs w:val="28"/>
          <w:highlight w:val="none"/>
          <w:lang w:val="en-US" w:eastAsia="zh-CN"/>
        </w:rPr>
      </w:pPr>
      <w:r>
        <w:rPr>
          <w:rFonts w:hint="eastAsia"/>
          <w:b/>
          <w:bCs/>
          <w:color w:val="auto"/>
          <w:sz w:val="28"/>
          <w:szCs w:val="28"/>
          <w:highlight w:val="none"/>
          <w:lang w:eastAsia="zh-CN"/>
        </w:rPr>
        <w:t>（须事先扫描发至指定邮箱，否则有可能无法计分或导致无效投标。证明材料附于投标文件中）</w:t>
      </w:r>
    </w:p>
    <w:p w14:paraId="35B9A43F">
      <w:pPr>
        <w:widowControl/>
        <w:spacing w:line="360" w:lineRule="auto"/>
        <w:jc w:val="center"/>
        <w:rPr>
          <w:color w:val="auto"/>
          <w:sz w:val="28"/>
          <w:szCs w:val="28"/>
          <w:highlight w:val="none"/>
        </w:rPr>
      </w:pPr>
      <w:r>
        <w:rPr>
          <w:rFonts w:hint="eastAsia"/>
          <w:b/>
          <w:color w:val="auto"/>
          <w:sz w:val="32"/>
          <w:szCs w:val="32"/>
          <w:highlight w:val="none"/>
          <w:lang w:val="en-US" w:eastAsia="zh-CN"/>
        </w:rPr>
        <w:t>2023年</w:t>
      </w:r>
      <w:r>
        <w:rPr>
          <w:rFonts w:hint="eastAsia"/>
          <w:b/>
          <w:color w:val="auto"/>
          <w:sz w:val="32"/>
          <w:szCs w:val="32"/>
          <w:highlight w:val="none"/>
        </w:rPr>
        <w:t>相关上报人民银行数据</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216"/>
        <w:gridCol w:w="3233"/>
      </w:tblGrid>
      <w:tr w14:paraId="7A23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12" w:space="0"/>
              <w:left w:val="single" w:color="auto" w:sz="12" w:space="0"/>
              <w:bottom w:val="single" w:color="auto" w:sz="4" w:space="0"/>
            </w:tcBorders>
            <w:noWrap w:val="0"/>
            <w:vAlign w:val="center"/>
          </w:tcPr>
          <w:p w14:paraId="64A19239">
            <w:pPr>
              <w:snapToGrid w:val="0"/>
              <w:spacing w:before="120" w:beforeLines="50" w:after="50" w:line="360" w:lineRule="auto"/>
              <w:jc w:val="center"/>
              <w:rPr>
                <w:b/>
                <w:bCs/>
                <w:color w:val="auto"/>
                <w:sz w:val="28"/>
                <w:szCs w:val="28"/>
                <w:highlight w:val="none"/>
              </w:rPr>
            </w:pPr>
            <w:r>
              <w:rPr>
                <w:rFonts w:hAnsi="宋体"/>
                <w:b/>
                <w:bCs/>
                <w:color w:val="auto"/>
                <w:sz w:val="28"/>
                <w:szCs w:val="28"/>
                <w:highlight w:val="none"/>
              </w:rPr>
              <w:t>序号</w:t>
            </w:r>
          </w:p>
        </w:tc>
        <w:tc>
          <w:tcPr>
            <w:tcW w:w="4216" w:type="dxa"/>
            <w:tcBorders>
              <w:top w:val="single" w:color="auto" w:sz="12" w:space="0"/>
              <w:bottom w:val="single" w:color="auto" w:sz="4" w:space="0"/>
            </w:tcBorders>
            <w:noWrap w:val="0"/>
            <w:vAlign w:val="center"/>
          </w:tcPr>
          <w:p w14:paraId="25CE09F8">
            <w:pPr>
              <w:snapToGrid w:val="0"/>
              <w:spacing w:before="120" w:beforeLines="50" w:after="50" w:line="360" w:lineRule="auto"/>
              <w:jc w:val="center"/>
              <w:rPr>
                <w:rFonts w:hint="eastAsia"/>
                <w:b/>
                <w:bCs/>
                <w:color w:val="auto"/>
                <w:sz w:val="28"/>
                <w:szCs w:val="28"/>
                <w:highlight w:val="none"/>
              </w:rPr>
            </w:pPr>
            <w:r>
              <w:rPr>
                <w:rFonts w:hint="eastAsia" w:hAnsi="宋体"/>
                <w:b/>
                <w:bCs/>
                <w:color w:val="auto"/>
                <w:sz w:val="28"/>
                <w:szCs w:val="28"/>
                <w:highlight w:val="none"/>
              </w:rPr>
              <w:t>项目内容</w:t>
            </w:r>
          </w:p>
        </w:tc>
        <w:tc>
          <w:tcPr>
            <w:tcW w:w="3233" w:type="dxa"/>
            <w:tcBorders>
              <w:top w:val="single" w:color="auto" w:sz="12" w:space="0"/>
              <w:bottom w:val="single" w:color="auto" w:sz="4" w:space="0"/>
              <w:right w:val="single" w:color="auto" w:sz="12" w:space="0"/>
            </w:tcBorders>
            <w:noWrap w:val="0"/>
            <w:vAlign w:val="center"/>
          </w:tcPr>
          <w:p w14:paraId="65BF1ACB">
            <w:pPr>
              <w:snapToGrid w:val="0"/>
              <w:spacing w:before="120" w:beforeLines="50" w:after="50" w:line="360" w:lineRule="auto"/>
              <w:jc w:val="center"/>
              <w:rPr>
                <w:rFonts w:hint="eastAsia"/>
                <w:b/>
                <w:bCs/>
                <w:color w:val="auto"/>
                <w:sz w:val="28"/>
                <w:szCs w:val="28"/>
                <w:highlight w:val="none"/>
              </w:rPr>
            </w:pPr>
            <w:r>
              <w:rPr>
                <w:rFonts w:hint="eastAsia" w:hAnsi="宋体"/>
                <w:b/>
                <w:bCs/>
                <w:color w:val="auto"/>
                <w:sz w:val="28"/>
                <w:szCs w:val="28"/>
                <w:highlight w:val="none"/>
              </w:rPr>
              <w:t>上报数据</w:t>
            </w:r>
          </w:p>
        </w:tc>
      </w:tr>
      <w:tr w14:paraId="4D3B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12" w:space="0"/>
              <w:bottom w:val="single" w:color="auto" w:sz="4" w:space="0"/>
            </w:tcBorders>
            <w:noWrap w:val="0"/>
            <w:vAlign w:val="center"/>
          </w:tcPr>
          <w:p w14:paraId="4D2AB9D4">
            <w:pPr>
              <w:snapToGrid w:val="0"/>
              <w:spacing w:before="120" w:beforeLines="50" w:after="50" w:line="360" w:lineRule="auto"/>
              <w:jc w:val="center"/>
              <w:rPr>
                <w:color w:val="auto"/>
                <w:kern w:val="2"/>
                <w:sz w:val="28"/>
                <w:szCs w:val="28"/>
                <w:highlight w:val="none"/>
                <w:lang w:val="en-US" w:eastAsia="zh-CN" w:bidi="ar-SA"/>
              </w:rPr>
            </w:pPr>
            <w:r>
              <w:rPr>
                <w:color w:val="auto"/>
                <w:sz w:val="28"/>
                <w:szCs w:val="28"/>
                <w:highlight w:val="none"/>
              </w:rPr>
              <w:t>1</w:t>
            </w:r>
          </w:p>
        </w:tc>
        <w:tc>
          <w:tcPr>
            <w:tcW w:w="4216" w:type="dxa"/>
            <w:tcBorders>
              <w:top w:val="single" w:color="auto" w:sz="4" w:space="0"/>
              <w:bottom w:val="single" w:color="auto" w:sz="4" w:space="0"/>
            </w:tcBorders>
            <w:noWrap w:val="0"/>
            <w:vAlign w:val="center"/>
          </w:tcPr>
          <w:p w14:paraId="258A2567">
            <w:pPr>
              <w:snapToGrid w:val="0"/>
              <w:spacing w:before="120" w:beforeLines="50" w:after="50" w:line="360" w:lineRule="auto"/>
              <w:jc w:val="center"/>
              <w:rPr>
                <w:rFonts w:hint="default"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2023</w:t>
            </w:r>
            <w:r>
              <w:rPr>
                <w:rFonts w:hint="eastAsia" w:ascii="Times New Roman" w:hAnsi="宋体" w:eastAsia="宋体" w:cs="Times New Roman"/>
                <w:color w:val="auto"/>
                <w:sz w:val="24"/>
                <w:highlight w:val="none"/>
                <w:lang w:val="en-US" w:eastAsia="zh-CN"/>
              </w:rPr>
              <w:t>年末在萧存款余额（人民币）</w:t>
            </w:r>
          </w:p>
        </w:tc>
        <w:tc>
          <w:tcPr>
            <w:tcW w:w="3233" w:type="dxa"/>
            <w:tcBorders>
              <w:top w:val="single" w:color="auto" w:sz="4" w:space="0"/>
              <w:bottom w:val="single" w:color="auto" w:sz="4" w:space="0"/>
              <w:right w:val="single" w:color="auto" w:sz="12" w:space="0"/>
            </w:tcBorders>
            <w:noWrap w:val="0"/>
            <w:vAlign w:val="center"/>
          </w:tcPr>
          <w:p w14:paraId="7A217DC2">
            <w:pPr>
              <w:snapToGrid w:val="0"/>
              <w:spacing w:before="120" w:beforeLines="50" w:after="50" w:line="360" w:lineRule="auto"/>
              <w:jc w:val="center"/>
              <w:rPr>
                <w:rFonts w:hint="eastAsia" w:hAnsi="宋体"/>
                <w:b/>
                <w:bCs/>
                <w:color w:val="auto"/>
                <w:sz w:val="28"/>
                <w:szCs w:val="28"/>
                <w:highlight w:val="none"/>
              </w:rPr>
            </w:pPr>
          </w:p>
        </w:tc>
      </w:tr>
      <w:tr w14:paraId="0981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12" w:space="0"/>
              <w:bottom w:val="single" w:color="auto" w:sz="4" w:space="0"/>
            </w:tcBorders>
            <w:noWrap w:val="0"/>
            <w:vAlign w:val="center"/>
          </w:tcPr>
          <w:p w14:paraId="21981D04">
            <w:pPr>
              <w:snapToGrid w:val="0"/>
              <w:spacing w:before="120" w:beforeLines="50" w:after="50" w:line="360" w:lineRule="auto"/>
              <w:jc w:val="center"/>
              <w:rPr>
                <w:color w:val="auto"/>
                <w:kern w:val="2"/>
                <w:sz w:val="28"/>
                <w:szCs w:val="28"/>
                <w:highlight w:val="none"/>
                <w:lang w:val="en-US" w:eastAsia="zh-CN" w:bidi="ar-SA"/>
              </w:rPr>
            </w:pPr>
            <w:r>
              <w:rPr>
                <w:color w:val="auto"/>
                <w:sz w:val="28"/>
                <w:szCs w:val="28"/>
                <w:highlight w:val="none"/>
              </w:rPr>
              <w:t>2</w:t>
            </w:r>
          </w:p>
        </w:tc>
        <w:tc>
          <w:tcPr>
            <w:tcW w:w="4216" w:type="dxa"/>
            <w:tcBorders>
              <w:top w:val="single" w:color="auto" w:sz="4" w:space="0"/>
              <w:bottom w:val="single" w:color="auto" w:sz="4" w:space="0"/>
            </w:tcBorders>
            <w:noWrap w:val="0"/>
            <w:vAlign w:val="center"/>
          </w:tcPr>
          <w:p w14:paraId="7827560D">
            <w:pPr>
              <w:snapToGrid w:val="0"/>
              <w:spacing w:before="120" w:beforeLines="50" w:after="50" w:line="360" w:lineRule="auto"/>
              <w:jc w:val="center"/>
              <w:rPr>
                <w:rFonts w:hint="eastAsia"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2023</w:t>
            </w:r>
            <w:r>
              <w:rPr>
                <w:rFonts w:hint="eastAsia" w:ascii="Times New Roman" w:hAnsi="宋体" w:eastAsia="宋体" w:cs="Times New Roman"/>
                <w:color w:val="auto"/>
                <w:sz w:val="24"/>
                <w:highlight w:val="none"/>
                <w:lang w:val="en-US" w:eastAsia="zh-CN"/>
              </w:rPr>
              <w:t>年末不良贷款率（萧山区）</w:t>
            </w:r>
          </w:p>
        </w:tc>
        <w:tc>
          <w:tcPr>
            <w:tcW w:w="3233" w:type="dxa"/>
            <w:tcBorders>
              <w:top w:val="single" w:color="auto" w:sz="4" w:space="0"/>
              <w:bottom w:val="single" w:color="auto" w:sz="4" w:space="0"/>
              <w:right w:val="single" w:color="auto" w:sz="12" w:space="0"/>
            </w:tcBorders>
            <w:noWrap w:val="0"/>
            <w:vAlign w:val="center"/>
          </w:tcPr>
          <w:p w14:paraId="7F9539CC">
            <w:pPr>
              <w:snapToGrid w:val="0"/>
              <w:spacing w:before="120" w:beforeLines="50" w:after="50" w:line="360" w:lineRule="auto"/>
              <w:jc w:val="center"/>
              <w:rPr>
                <w:color w:val="auto"/>
                <w:sz w:val="28"/>
                <w:szCs w:val="28"/>
                <w:highlight w:val="none"/>
              </w:rPr>
            </w:pPr>
          </w:p>
        </w:tc>
      </w:tr>
      <w:tr w14:paraId="0BD8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12" w:space="0"/>
              <w:bottom w:val="single" w:color="auto" w:sz="4" w:space="0"/>
            </w:tcBorders>
            <w:noWrap w:val="0"/>
            <w:vAlign w:val="center"/>
          </w:tcPr>
          <w:p w14:paraId="68DA3026">
            <w:pPr>
              <w:snapToGrid w:val="0"/>
              <w:spacing w:before="120" w:beforeLines="50" w:after="50" w:line="360" w:lineRule="auto"/>
              <w:jc w:val="center"/>
              <w:rPr>
                <w:rFonts w:hint="eastAsia" w:eastAsia="宋体"/>
                <w:color w:val="auto"/>
                <w:sz w:val="28"/>
                <w:szCs w:val="28"/>
                <w:highlight w:val="none"/>
                <w:lang w:val="en-US" w:eastAsia="zh-CN"/>
              </w:rPr>
            </w:pPr>
            <w:r>
              <w:rPr>
                <w:rFonts w:hint="eastAsia"/>
                <w:color w:val="auto"/>
                <w:sz w:val="28"/>
                <w:szCs w:val="28"/>
                <w:highlight w:val="none"/>
                <w:lang w:val="en-US" w:eastAsia="zh-CN"/>
              </w:rPr>
              <w:t>3</w:t>
            </w:r>
          </w:p>
        </w:tc>
        <w:tc>
          <w:tcPr>
            <w:tcW w:w="4216" w:type="dxa"/>
            <w:tcBorders>
              <w:top w:val="single" w:color="auto" w:sz="4" w:space="0"/>
              <w:bottom w:val="single" w:color="auto" w:sz="4" w:space="0"/>
            </w:tcBorders>
            <w:noWrap w:val="0"/>
            <w:vAlign w:val="center"/>
          </w:tcPr>
          <w:p w14:paraId="1ED1DA80">
            <w:pPr>
              <w:snapToGrid w:val="0"/>
              <w:spacing w:before="120" w:beforeLines="50" w:after="50" w:line="360" w:lineRule="auto"/>
              <w:jc w:val="center"/>
              <w:rPr>
                <w:rFonts w:hint="eastAsia"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2023</w:t>
            </w:r>
            <w:r>
              <w:rPr>
                <w:rFonts w:hint="eastAsia" w:ascii="Times New Roman" w:hAnsi="宋体" w:eastAsia="宋体" w:cs="Times New Roman"/>
                <w:color w:val="auto"/>
                <w:sz w:val="24"/>
                <w:highlight w:val="none"/>
                <w:lang w:val="en-US" w:eastAsia="zh-CN"/>
              </w:rPr>
              <w:t>年拨备覆盖率（萧山区）</w:t>
            </w:r>
          </w:p>
        </w:tc>
        <w:tc>
          <w:tcPr>
            <w:tcW w:w="3233" w:type="dxa"/>
            <w:tcBorders>
              <w:top w:val="single" w:color="auto" w:sz="4" w:space="0"/>
              <w:bottom w:val="single" w:color="auto" w:sz="4" w:space="0"/>
              <w:right w:val="single" w:color="auto" w:sz="12" w:space="0"/>
            </w:tcBorders>
            <w:noWrap w:val="0"/>
            <w:vAlign w:val="center"/>
          </w:tcPr>
          <w:p w14:paraId="4F2BE44F">
            <w:pPr>
              <w:snapToGrid w:val="0"/>
              <w:spacing w:before="120" w:beforeLines="50" w:after="50" w:line="360" w:lineRule="auto"/>
              <w:jc w:val="center"/>
              <w:rPr>
                <w:color w:val="auto"/>
                <w:sz w:val="28"/>
                <w:szCs w:val="28"/>
                <w:highlight w:val="none"/>
              </w:rPr>
            </w:pPr>
          </w:p>
        </w:tc>
      </w:tr>
      <w:tr w14:paraId="4F8E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12" w:space="0"/>
              <w:bottom w:val="single" w:color="auto" w:sz="4" w:space="0"/>
            </w:tcBorders>
            <w:noWrap w:val="0"/>
            <w:vAlign w:val="center"/>
          </w:tcPr>
          <w:p w14:paraId="61E0DE41">
            <w:pPr>
              <w:snapToGrid w:val="0"/>
              <w:spacing w:before="120" w:beforeLines="50" w:after="50" w:line="360" w:lineRule="auto"/>
              <w:jc w:val="center"/>
              <w:rPr>
                <w:rFonts w:hint="eastAsia" w:eastAsia="宋体"/>
                <w:color w:val="auto"/>
                <w:kern w:val="2"/>
                <w:sz w:val="28"/>
                <w:szCs w:val="28"/>
                <w:highlight w:val="none"/>
                <w:lang w:val="en-US" w:eastAsia="zh-CN" w:bidi="ar-SA"/>
              </w:rPr>
            </w:pPr>
            <w:r>
              <w:rPr>
                <w:rFonts w:hint="eastAsia"/>
                <w:color w:val="auto"/>
                <w:sz w:val="28"/>
                <w:szCs w:val="28"/>
                <w:highlight w:val="none"/>
                <w:lang w:val="en-US" w:eastAsia="zh-CN"/>
              </w:rPr>
              <w:t>4</w:t>
            </w:r>
          </w:p>
        </w:tc>
        <w:tc>
          <w:tcPr>
            <w:tcW w:w="4216" w:type="dxa"/>
            <w:tcBorders>
              <w:top w:val="single" w:color="auto" w:sz="4" w:space="0"/>
              <w:bottom w:val="single" w:color="auto" w:sz="4" w:space="0"/>
            </w:tcBorders>
            <w:noWrap w:val="0"/>
            <w:vAlign w:val="center"/>
          </w:tcPr>
          <w:p w14:paraId="175398FA">
            <w:pPr>
              <w:snapToGrid w:val="0"/>
              <w:spacing w:before="120" w:beforeLines="50" w:after="50" w:line="360" w:lineRule="auto"/>
              <w:jc w:val="center"/>
              <w:rPr>
                <w:rFonts w:hint="eastAsia"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2023</w:t>
            </w:r>
            <w:r>
              <w:rPr>
                <w:rFonts w:hint="eastAsia" w:ascii="Times New Roman" w:hAnsi="宋体" w:eastAsia="宋体" w:cs="Times New Roman"/>
                <w:color w:val="auto"/>
                <w:sz w:val="24"/>
                <w:highlight w:val="none"/>
                <w:lang w:val="en-US" w:eastAsia="zh-CN"/>
              </w:rPr>
              <w:t>年利润增长率（萧山区）</w:t>
            </w:r>
          </w:p>
        </w:tc>
        <w:tc>
          <w:tcPr>
            <w:tcW w:w="3233" w:type="dxa"/>
            <w:tcBorders>
              <w:top w:val="single" w:color="auto" w:sz="4" w:space="0"/>
              <w:bottom w:val="single" w:color="auto" w:sz="4" w:space="0"/>
              <w:right w:val="single" w:color="auto" w:sz="12" w:space="0"/>
            </w:tcBorders>
            <w:noWrap w:val="0"/>
            <w:vAlign w:val="center"/>
          </w:tcPr>
          <w:p w14:paraId="18C3DA73">
            <w:pPr>
              <w:snapToGrid w:val="0"/>
              <w:spacing w:before="120" w:beforeLines="50" w:after="50" w:line="360" w:lineRule="auto"/>
              <w:jc w:val="center"/>
              <w:rPr>
                <w:color w:val="auto"/>
                <w:sz w:val="28"/>
                <w:szCs w:val="28"/>
                <w:highlight w:val="none"/>
              </w:rPr>
            </w:pPr>
          </w:p>
        </w:tc>
      </w:tr>
      <w:tr w14:paraId="44172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12" w:space="0"/>
              <w:bottom w:val="single" w:color="auto" w:sz="4" w:space="0"/>
            </w:tcBorders>
            <w:noWrap w:val="0"/>
            <w:vAlign w:val="center"/>
          </w:tcPr>
          <w:p w14:paraId="22130CAA">
            <w:pPr>
              <w:snapToGrid w:val="0"/>
              <w:spacing w:before="120" w:beforeLines="50" w:after="50" w:line="360" w:lineRule="auto"/>
              <w:jc w:val="center"/>
              <w:rPr>
                <w:rFonts w:hint="eastAsia" w:eastAsia="宋体"/>
                <w:color w:val="auto"/>
                <w:sz w:val="28"/>
                <w:szCs w:val="28"/>
                <w:highlight w:val="none"/>
                <w:lang w:val="en-US" w:eastAsia="zh-CN"/>
              </w:rPr>
            </w:pPr>
            <w:r>
              <w:rPr>
                <w:rFonts w:hint="eastAsia"/>
                <w:color w:val="auto"/>
                <w:sz w:val="28"/>
                <w:szCs w:val="28"/>
                <w:highlight w:val="none"/>
                <w:lang w:val="en-US" w:eastAsia="zh-CN"/>
              </w:rPr>
              <w:t>5</w:t>
            </w:r>
          </w:p>
        </w:tc>
        <w:tc>
          <w:tcPr>
            <w:tcW w:w="4216" w:type="dxa"/>
            <w:tcBorders>
              <w:top w:val="single" w:color="auto" w:sz="4" w:space="0"/>
              <w:bottom w:val="single" w:color="auto" w:sz="4" w:space="0"/>
            </w:tcBorders>
            <w:noWrap w:val="0"/>
            <w:vAlign w:val="center"/>
          </w:tcPr>
          <w:p w14:paraId="6F5B299E">
            <w:pPr>
              <w:snapToGrid w:val="0"/>
              <w:spacing w:before="120" w:beforeLines="50" w:after="50" w:line="360" w:lineRule="auto"/>
              <w:jc w:val="center"/>
              <w:rPr>
                <w:rFonts w:hint="eastAsia"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2023</w:t>
            </w:r>
            <w:r>
              <w:rPr>
                <w:rFonts w:hint="eastAsia" w:ascii="Times New Roman" w:hAnsi="宋体" w:eastAsia="宋体" w:cs="Times New Roman"/>
                <w:color w:val="auto"/>
                <w:sz w:val="24"/>
                <w:highlight w:val="none"/>
                <w:lang w:val="en-US" w:eastAsia="zh-CN"/>
              </w:rPr>
              <w:t>年纳税额（萧山区）</w:t>
            </w:r>
          </w:p>
        </w:tc>
        <w:tc>
          <w:tcPr>
            <w:tcW w:w="3233" w:type="dxa"/>
            <w:tcBorders>
              <w:top w:val="single" w:color="auto" w:sz="4" w:space="0"/>
              <w:bottom w:val="single" w:color="auto" w:sz="4" w:space="0"/>
              <w:right w:val="single" w:color="auto" w:sz="12" w:space="0"/>
            </w:tcBorders>
            <w:noWrap w:val="0"/>
            <w:vAlign w:val="center"/>
          </w:tcPr>
          <w:p w14:paraId="3B69F3FC">
            <w:pPr>
              <w:snapToGrid w:val="0"/>
              <w:spacing w:before="120" w:beforeLines="50" w:after="50" w:line="360" w:lineRule="auto"/>
              <w:jc w:val="center"/>
              <w:rPr>
                <w:color w:val="auto"/>
                <w:sz w:val="28"/>
                <w:szCs w:val="28"/>
                <w:highlight w:val="none"/>
              </w:rPr>
            </w:pPr>
          </w:p>
        </w:tc>
      </w:tr>
      <w:tr w14:paraId="7E86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12" w:space="0"/>
              <w:bottom w:val="single" w:color="auto" w:sz="4" w:space="0"/>
            </w:tcBorders>
            <w:noWrap w:val="0"/>
            <w:vAlign w:val="center"/>
          </w:tcPr>
          <w:p w14:paraId="58BF7ADA">
            <w:pPr>
              <w:snapToGrid w:val="0"/>
              <w:spacing w:before="120" w:beforeLines="50" w:after="50" w:line="360" w:lineRule="auto"/>
              <w:jc w:val="center"/>
              <w:rPr>
                <w:rFonts w:hint="eastAsia" w:eastAsia="宋体"/>
                <w:color w:val="auto"/>
                <w:sz w:val="28"/>
                <w:szCs w:val="28"/>
                <w:highlight w:val="none"/>
                <w:lang w:val="en-US" w:eastAsia="zh-CN"/>
              </w:rPr>
            </w:pPr>
            <w:r>
              <w:rPr>
                <w:rFonts w:hint="eastAsia"/>
                <w:color w:val="auto"/>
                <w:sz w:val="28"/>
                <w:szCs w:val="28"/>
                <w:highlight w:val="none"/>
                <w:lang w:val="en-US" w:eastAsia="zh-CN"/>
              </w:rPr>
              <w:t>6</w:t>
            </w:r>
          </w:p>
        </w:tc>
        <w:tc>
          <w:tcPr>
            <w:tcW w:w="4216" w:type="dxa"/>
            <w:tcBorders>
              <w:top w:val="single" w:color="auto" w:sz="4" w:space="0"/>
              <w:bottom w:val="single" w:color="auto" w:sz="4" w:space="0"/>
            </w:tcBorders>
            <w:noWrap w:val="0"/>
            <w:vAlign w:val="center"/>
          </w:tcPr>
          <w:p w14:paraId="2FDFB86B">
            <w:pPr>
              <w:snapToGrid w:val="0"/>
              <w:spacing w:before="120" w:beforeLines="50" w:after="50" w:line="360" w:lineRule="auto"/>
              <w:jc w:val="center"/>
              <w:rPr>
                <w:rFonts w:hint="eastAsia"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2023</w:t>
            </w:r>
            <w:r>
              <w:rPr>
                <w:rFonts w:hint="eastAsia" w:ascii="Times New Roman" w:hAnsi="宋体" w:eastAsia="宋体" w:cs="Times New Roman"/>
                <w:color w:val="auto"/>
                <w:sz w:val="24"/>
                <w:highlight w:val="none"/>
                <w:lang w:val="en-US" w:eastAsia="zh-CN"/>
              </w:rPr>
              <w:t>年人民币贷款余额（萧山区）</w:t>
            </w:r>
          </w:p>
        </w:tc>
        <w:tc>
          <w:tcPr>
            <w:tcW w:w="3233" w:type="dxa"/>
            <w:tcBorders>
              <w:top w:val="single" w:color="auto" w:sz="4" w:space="0"/>
              <w:bottom w:val="single" w:color="auto" w:sz="4" w:space="0"/>
              <w:right w:val="single" w:color="auto" w:sz="12" w:space="0"/>
            </w:tcBorders>
            <w:noWrap w:val="0"/>
            <w:vAlign w:val="center"/>
          </w:tcPr>
          <w:p w14:paraId="63828C3E">
            <w:pPr>
              <w:snapToGrid w:val="0"/>
              <w:spacing w:before="120" w:beforeLines="50" w:after="50" w:line="360" w:lineRule="auto"/>
              <w:jc w:val="center"/>
              <w:rPr>
                <w:color w:val="auto"/>
                <w:sz w:val="28"/>
                <w:szCs w:val="28"/>
                <w:highlight w:val="none"/>
              </w:rPr>
            </w:pPr>
          </w:p>
        </w:tc>
      </w:tr>
      <w:tr w14:paraId="5E9D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12" w:space="0"/>
              <w:bottom w:val="single" w:color="auto" w:sz="4" w:space="0"/>
            </w:tcBorders>
            <w:noWrap w:val="0"/>
            <w:vAlign w:val="center"/>
          </w:tcPr>
          <w:p w14:paraId="2B793E3B">
            <w:pPr>
              <w:snapToGrid w:val="0"/>
              <w:spacing w:before="120" w:beforeLines="50" w:after="50" w:line="360" w:lineRule="auto"/>
              <w:jc w:val="center"/>
              <w:rPr>
                <w:rFonts w:hint="eastAsia" w:eastAsia="宋体"/>
                <w:color w:val="auto"/>
                <w:sz w:val="28"/>
                <w:szCs w:val="28"/>
                <w:highlight w:val="none"/>
                <w:lang w:val="en-US" w:eastAsia="zh-CN"/>
              </w:rPr>
            </w:pPr>
            <w:r>
              <w:rPr>
                <w:rFonts w:hint="eastAsia"/>
                <w:color w:val="auto"/>
                <w:sz w:val="28"/>
                <w:szCs w:val="28"/>
                <w:highlight w:val="none"/>
                <w:lang w:val="en-US" w:eastAsia="zh-CN"/>
              </w:rPr>
              <w:t>7</w:t>
            </w:r>
          </w:p>
        </w:tc>
        <w:tc>
          <w:tcPr>
            <w:tcW w:w="4216" w:type="dxa"/>
            <w:tcBorders>
              <w:top w:val="single" w:color="auto" w:sz="4" w:space="0"/>
              <w:bottom w:val="single" w:color="auto" w:sz="4" w:space="0"/>
            </w:tcBorders>
            <w:noWrap w:val="0"/>
            <w:vAlign w:val="center"/>
          </w:tcPr>
          <w:p w14:paraId="3E26085B">
            <w:pPr>
              <w:snapToGrid w:val="0"/>
              <w:spacing w:before="120" w:beforeLines="50" w:after="50" w:line="360" w:lineRule="auto"/>
              <w:jc w:val="center"/>
              <w:rPr>
                <w:rFonts w:hint="eastAsia"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2023</w:t>
            </w:r>
            <w:r>
              <w:rPr>
                <w:rFonts w:hint="eastAsia" w:ascii="Times New Roman" w:hAnsi="宋体" w:eastAsia="宋体" w:cs="Times New Roman"/>
                <w:color w:val="auto"/>
                <w:sz w:val="24"/>
                <w:highlight w:val="none"/>
                <w:lang w:val="en-US" w:eastAsia="zh-CN"/>
              </w:rPr>
              <w:t>年人民币贷款新增余额（萧山区）</w:t>
            </w:r>
          </w:p>
        </w:tc>
        <w:tc>
          <w:tcPr>
            <w:tcW w:w="3233" w:type="dxa"/>
            <w:tcBorders>
              <w:top w:val="single" w:color="auto" w:sz="4" w:space="0"/>
              <w:bottom w:val="single" w:color="auto" w:sz="4" w:space="0"/>
              <w:right w:val="single" w:color="auto" w:sz="12" w:space="0"/>
            </w:tcBorders>
            <w:noWrap w:val="0"/>
            <w:vAlign w:val="center"/>
          </w:tcPr>
          <w:p w14:paraId="1086B7E2">
            <w:pPr>
              <w:snapToGrid w:val="0"/>
              <w:spacing w:before="120" w:beforeLines="50" w:after="50" w:line="360" w:lineRule="auto"/>
              <w:jc w:val="center"/>
              <w:rPr>
                <w:color w:val="auto"/>
                <w:sz w:val="28"/>
                <w:szCs w:val="28"/>
                <w:highlight w:val="none"/>
              </w:rPr>
            </w:pPr>
          </w:p>
        </w:tc>
      </w:tr>
      <w:tr w14:paraId="6114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12" w:space="0"/>
              <w:bottom w:val="single" w:color="auto" w:sz="4" w:space="0"/>
            </w:tcBorders>
            <w:noWrap w:val="0"/>
            <w:vAlign w:val="center"/>
          </w:tcPr>
          <w:p w14:paraId="188BDF65">
            <w:pPr>
              <w:snapToGrid w:val="0"/>
              <w:spacing w:before="120" w:beforeLines="50" w:after="50" w:line="360" w:lineRule="auto"/>
              <w:jc w:val="center"/>
              <w:rPr>
                <w:rFonts w:hint="eastAsia" w:eastAsia="宋体"/>
                <w:color w:val="auto"/>
                <w:sz w:val="28"/>
                <w:szCs w:val="28"/>
                <w:highlight w:val="none"/>
                <w:lang w:val="en-US" w:eastAsia="zh-CN"/>
              </w:rPr>
            </w:pPr>
            <w:r>
              <w:rPr>
                <w:rFonts w:hint="eastAsia"/>
                <w:color w:val="auto"/>
                <w:sz w:val="28"/>
                <w:szCs w:val="28"/>
                <w:highlight w:val="none"/>
                <w:lang w:val="en-US" w:eastAsia="zh-CN"/>
              </w:rPr>
              <w:t>8</w:t>
            </w:r>
          </w:p>
        </w:tc>
        <w:tc>
          <w:tcPr>
            <w:tcW w:w="4216" w:type="dxa"/>
            <w:tcBorders>
              <w:top w:val="single" w:color="auto" w:sz="4" w:space="0"/>
              <w:bottom w:val="single" w:color="auto" w:sz="4" w:space="0"/>
            </w:tcBorders>
            <w:noWrap w:val="0"/>
            <w:vAlign w:val="center"/>
          </w:tcPr>
          <w:p w14:paraId="469C6184">
            <w:pPr>
              <w:snapToGrid w:val="0"/>
              <w:spacing w:before="120" w:beforeLines="50" w:after="50" w:line="360" w:lineRule="auto"/>
              <w:jc w:val="center"/>
              <w:rPr>
                <w:rFonts w:hint="eastAsia"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2023</w:t>
            </w:r>
            <w:r>
              <w:rPr>
                <w:rFonts w:hint="eastAsia" w:ascii="Times New Roman" w:hAnsi="宋体" w:eastAsia="宋体" w:cs="Times New Roman"/>
                <w:color w:val="auto"/>
                <w:sz w:val="24"/>
                <w:highlight w:val="none"/>
                <w:lang w:val="en-US" w:eastAsia="zh-CN"/>
              </w:rPr>
              <w:t>年小微企业贷款余额（萧山区）</w:t>
            </w:r>
          </w:p>
        </w:tc>
        <w:tc>
          <w:tcPr>
            <w:tcW w:w="3233" w:type="dxa"/>
            <w:tcBorders>
              <w:top w:val="single" w:color="auto" w:sz="4" w:space="0"/>
              <w:bottom w:val="single" w:color="auto" w:sz="4" w:space="0"/>
              <w:right w:val="single" w:color="auto" w:sz="12" w:space="0"/>
            </w:tcBorders>
            <w:noWrap w:val="0"/>
            <w:vAlign w:val="center"/>
          </w:tcPr>
          <w:p w14:paraId="39C2E00D">
            <w:pPr>
              <w:snapToGrid w:val="0"/>
              <w:spacing w:before="120" w:beforeLines="50" w:after="50" w:line="360" w:lineRule="auto"/>
              <w:jc w:val="center"/>
              <w:rPr>
                <w:color w:val="auto"/>
                <w:sz w:val="28"/>
                <w:szCs w:val="28"/>
                <w:highlight w:val="none"/>
              </w:rPr>
            </w:pPr>
          </w:p>
        </w:tc>
      </w:tr>
      <w:tr w14:paraId="35AE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12" w:space="0"/>
              <w:bottom w:val="single" w:color="auto" w:sz="4" w:space="0"/>
            </w:tcBorders>
            <w:noWrap w:val="0"/>
            <w:vAlign w:val="center"/>
          </w:tcPr>
          <w:p w14:paraId="6E3CD66A">
            <w:pPr>
              <w:snapToGrid w:val="0"/>
              <w:spacing w:before="120" w:beforeLines="50" w:after="50" w:line="360" w:lineRule="auto"/>
              <w:jc w:val="center"/>
              <w:rPr>
                <w:rFonts w:hint="eastAsia" w:eastAsia="宋体"/>
                <w:color w:val="auto"/>
                <w:sz w:val="28"/>
                <w:szCs w:val="28"/>
                <w:highlight w:val="none"/>
                <w:lang w:val="en-US" w:eastAsia="zh-CN"/>
              </w:rPr>
            </w:pPr>
            <w:r>
              <w:rPr>
                <w:rFonts w:hint="eastAsia"/>
                <w:color w:val="auto"/>
                <w:sz w:val="28"/>
                <w:szCs w:val="28"/>
                <w:highlight w:val="none"/>
                <w:lang w:val="en-US" w:eastAsia="zh-CN"/>
              </w:rPr>
              <w:t>9</w:t>
            </w:r>
          </w:p>
        </w:tc>
        <w:tc>
          <w:tcPr>
            <w:tcW w:w="4216" w:type="dxa"/>
            <w:tcBorders>
              <w:top w:val="single" w:color="auto" w:sz="4" w:space="0"/>
              <w:bottom w:val="single" w:color="auto" w:sz="4" w:space="0"/>
            </w:tcBorders>
            <w:noWrap w:val="0"/>
            <w:vAlign w:val="center"/>
          </w:tcPr>
          <w:p w14:paraId="51D1D0A0">
            <w:pPr>
              <w:snapToGrid w:val="0"/>
              <w:spacing w:before="120" w:beforeLines="50" w:after="50" w:line="360" w:lineRule="auto"/>
              <w:jc w:val="center"/>
              <w:rPr>
                <w:rFonts w:hint="eastAsia"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2023</w:t>
            </w:r>
            <w:r>
              <w:rPr>
                <w:rFonts w:hint="eastAsia" w:ascii="Times New Roman" w:hAnsi="宋体" w:eastAsia="宋体" w:cs="Times New Roman"/>
                <w:color w:val="auto"/>
                <w:sz w:val="24"/>
                <w:highlight w:val="none"/>
                <w:lang w:val="en-US" w:eastAsia="zh-CN"/>
              </w:rPr>
              <w:t>年制造业企业贷款余额（萧山区）</w:t>
            </w:r>
          </w:p>
        </w:tc>
        <w:tc>
          <w:tcPr>
            <w:tcW w:w="3233" w:type="dxa"/>
            <w:tcBorders>
              <w:top w:val="single" w:color="auto" w:sz="4" w:space="0"/>
              <w:bottom w:val="single" w:color="auto" w:sz="4" w:space="0"/>
              <w:right w:val="single" w:color="auto" w:sz="12" w:space="0"/>
            </w:tcBorders>
            <w:noWrap w:val="0"/>
            <w:vAlign w:val="center"/>
          </w:tcPr>
          <w:p w14:paraId="133F2B9F">
            <w:pPr>
              <w:snapToGrid w:val="0"/>
              <w:spacing w:before="120" w:beforeLines="50" w:after="50" w:line="360" w:lineRule="auto"/>
              <w:jc w:val="center"/>
              <w:rPr>
                <w:color w:val="auto"/>
                <w:sz w:val="28"/>
                <w:szCs w:val="28"/>
                <w:highlight w:val="none"/>
              </w:rPr>
            </w:pPr>
          </w:p>
        </w:tc>
      </w:tr>
      <w:tr w14:paraId="5129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12" w:space="0"/>
              <w:bottom w:val="single" w:color="auto" w:sz="4" w:space="0"/>
            </w:tcBorders>
            <w:noWrap w:val="0"/>
            <w:vAlign w:val="center"/>
          </w:tcPr>
          <w:p w14:paraId="13C50152">
            <w:pPr>
              <w:snapToGrid w:val="0"/>
              <w:spacing w:before="120" w:beforeLines="50" w:after="50" w:line="360" w:lineRule="auto"/>
              <w:jc w:val="center"/>
              <w:rPr>
                <w:rFonts w:hint="default" w:eastAsia="宋体"/>
                <w:color w:val="auto"/>
                <w:sz w:val="28"/>
                <w:szCs w:val="28"/>
                <w:highlight w:val="none"/>
                <w:lang w:val="en-US" w:eastAsia="zh-CN"/>
              </w:rPr>
            </w:pPr>
            <w:r>
              <w:rPr>
                <w:rFonts w:hint="eastAsia"/>
                <w:color w:val="auto"/>
                <w:sz w:val="28"/>
                <w:szCs w:val="28"/>
                <w:highlight w:val="none"/>
                <w:lang w:val="en-US" w:eastAsia="zh-CN"/>
              </w:rPr>
              <w:t>10</w:t>
            </w:r>
          </w:p>
        </w:tc>
        <w:tc>
          <w:tcPr>
            <w:tcW w:w="4216" w:type="dxa"/>
            <w:tcBorders>
              <w:top w:val="single" w:color="auto" w:sz="4" w:space="0"/>
              <w:bottom w:val="single" w:color="auto" w:sz="4" w:space="0"/>
            </w:tcBorders>
            <w:noWrap w:val="0"/>
            <w:vAlign w:val="center"/>
          </w:tcPr>
          <w:p w14:paraId="4AA0E33E">
            <w:pPr>
              <w:snapToGrid w:val="0"/>
              <w:spacing w:before="120" w:beforeLines="50" w:after="50" w:line="360" w:lineRule="auto"/>
              <w:jc w:val="center"/>
              <w:rPr>
                <w:rFonts w:hint="eastAsia"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2023</w:t>
            </w:r>
            <w:r>
              <w:rPr>
                <w:rFonts w:hint="eastAsia" w:ascii="Times New Roman" w:hAnsi="宋体" w:eastAsia="宋体" w:cs="Times New Roman"/>
                <w:color w:val="auto"/>
                <w:sz w:val="24"/>
                <w:highlight w:val="none"/>
                <w:lang w:val="en-US" w:eastAsia="zh-CN"/>
              </w:rPr>
              <w:t>年民营企业贷款余额（萧山区）</w:t>
            </w:r>
          </w:p>
        </w:tc>
        <w:tc>
          <w:tcPr>
            <w:tcW w:w="3233" w:type="dxa"/>
            <w:tcBorders>
              <w:top w:val="single" w:color="auto" w:sz="4" w:space="0"/>
              <w:bottom w:val="single" w:color="auto" w:sz="4" w:space="0"/>
              <w:right w:val="single" w:color="auto" w:sz="12" w:space="0"/>
            </w:tcBorders>
            <w:noWrap w:val="0"/>
            <w:vAlign w:val="center"/>
          </w:tcPr>
          <w:p w14:paraId="5786EF5D">
            <w:pPr>
              <w:snapToGrid w:val="0"/>
              <w:spacing w:before="120" w:beforeLines="50" w:after="50" w:line="360" w:lineRule="auto"/>
              <w:jc w:val="center"/>
              <w:rPr>
                <w:color w:val="auto"/>
                <w:sz w:val="28"/>
                <w:szCs w:val="28"/>
                <w:highlight w:val="none"/>
              </w:rPr>
            </w:pPr>
          </w:p>
        </w:tc>
      </w:tr>
      <w:tr w14:paraId="3600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12" w:space="0"/>
              <w:bottom w:val="single" w:color="auto" w:sz="4" w:space="0"/>
            </w:tcBorders>
            <w:noWrap w:val="0"/>
            <w:vAlign w:val="center"/>
          </w:tcPr>
          <w:p w14:paraId="357FED05">
            <w:pPr>
              <w:snapToGrid w:val="0"/>
              <w:spacing w:before="120" w:beforeLines="50" w:after="50" w:line="360" w:lineRule="auto"/>
              <w:jc w:val="center"/>
              <w:rPr>
                <w:rFonts w:hint="default"/>
                <w:color w:val="auto"/>
                <w:kern w:val="2"/>
                <w:sz w:val="28"/>
                <w:szCs w:val="28"/>
                <w:highlight w:val="none"/>
                <w:lang w:val="en-US" w:eastAsia="zh-CN" w:bidi="ar-SA"/>
              </w:rPr>
            </w:pPr>
            <w:r>
              <w:rPr>
                <w:rFonts w:hint="eastAsia"/>
                <w:color w:val="auto"/>
                <w:kern w:val="2"/>
                <w:sz w:val="28"/>
                <w:szCs w:val="28"/>
                <w:highlight w:val="none"/>
                <w:lang w:val="en-US" w:eastAsia="zh-CN" w:bidi="ar-SA"/>
              </w:rPr>
              <w:t>11</w:t>
            </w:r>
          </w:p>
        </w:tc>
        <w:tc>
          <w:tcPr>
            <w:tcW w:w="4216" w:type="dxa"/>
            <w:tcBorders>
              <w:top w:val="single" w:color="auto" w:sz="4" w:space="0"/>
              <w:bottom w:val="single" w:color="auto" w:sz="4" w:space="0"/>
            </w:tcBorders>
            <w:noWrap w:val="0"/>
            <w:vAlign w:val="center"/>
          </w:tcPr>
          <w:p w14:paraId="38AE2EA5">
            <w:pPr>
              <w:snapToGrid w:val="0"/>
              <w:spacing w:before="120" w:beforeLines="50" w:after="50" w:line="360" w:lineRule="auto"/>
              <w:jc w:val="center"/>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近三年人民银行杭州中心支行</w:t>
            </w:r>
          </w:p>
          <w:p w14:paraId="74830F29">
            <w:pPr>
              <w:snapToGrid w:val="0"/>
              <w:spacing w:before="120" w:beforeLines="50" w:after="50" w:line="360" w:lineRule="auto"/>
              <w:jc w:val="center"/>
              <w:rPr>
                <w:rFonts w:hint="eastAsia"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支付业务管理综合评价等次</w:t>
            </w:r>
          </w:p>
        </w:tc>
        <w:tc>
          <w:tcPr>
            <w:tcW w:w="3233" w:type="dxa"/>
            <w:tcBorders>
              <w:top w:val="single" w:color="auto" w:sz="4" w:space="0"/>
              <w:bottom w:val="single" w:color="auto" w:sz="4" w:space="0"/>
              <w:right w:val="single" w:color="auto" w:sz="12" w:space="0"/>
            </w:tcBorders>
            <w:noWrap w:val="0"/>
            <w:vAlign w:val="center"/>
          </w:tcPr>
          <w:p w14:paraId="3B399450">
            <w:pPr>
              <w:snapToGrid w:val="0"/>
              <w:spacing w:before="120" w:beforeLines="50" w:after="50" w:line="360" w:lineRule="auto"/>
              <w:jc w:val="center"/>
              <w:rPr>
                <w:color w:val="auto"/>
                <w:sz w:val="28"/>
                <w:szCs w:val="28"/>
                <w:highlight w:val="none"/>
              </w:rPr>
            </w:pPr>
          </w:p>
        </w:tc>
      </w:tr>
      <w:tr w14:paraId="765D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12" w:space="0"/>
              <w:bottom w:val="single" w:color="auto" w:sz="4" w:space="0"/>
            </w:tcBorders>
            <w:noWrap w:val="0"/>
            <w:vAlign w:val="center"/>
          </w:tcPr>
          <w:p w14:paraId="3B6D48B8">
            <w:pPr>
              <w:snapToGrid w:val="0"/>
              <w:spacing w:before="120" w:beforeLines="50" w:after="50" w:line="360" w:lineRule="auto"/>
              <w:jc w:val="center"/>
              <w:rPr>
                <w:rFonts w:hint="default"/>
                <w:color w:val="auto"/>
                <w:kern w:val="2"/>
                <w:sz w:val="28"/>
                <w:szCs w:val="28"/>
                <w:highlight w:val="none"/>
                <w:lang w:val="en-US" w:eastAsia="zh-CN" w:bidi="ar-SA"/>
              </w:rPr>
            </w:pPr>
            <w:r>
              <w:rPr>
                <w:rFonts w:hint="eastAsia"/>
                <w:color w:val="auto"/>
                <w:kern w:val="2"/>
                <w:sz w:val="28"/>
                <w:szCs w:val="28"/>
                <w:highlight w:val="none"/>
                <w:lang w:val="en-US" w:eastAsia="zh-CN" w:bidi="ar-SA"/>
              </w:rPr>
              <w:t>12</w:t>
            </w:r>
          </w:p>
        </w:tc>
        <w:tc>
          <w:tcPr>
            <w:tcW w:w="4216" w:type="dxa"/>
            <w:tcBorders>
              <w:top w:val="single" w:color="auto" w:sz="4" w:space="0"/>
              <w:bottom w:val="single" w:color="auto" w:sz="4" w:space="0"/>
            </w:tcBorders>
            <w:noWrap w:val="0"/>
            <w:vAlign w:val="center"/>
          </w:tcPr>
          <w:p w14:paraId="3D14CEB2">
            <w:pPr>
              <w:snapToGrid w:val="0"/>
              <w:spacing w:before="120" w:beforeLines="50" w:after="50" w:line="360" w:lineRule="auto"/>
              <w:jc w:val="center"/>
              <w:rPr>
                <w:rFonts w:hint="eastAsia"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2023</w:t>
            </w:r>
            <w:r>
              <w:rPr>
                <w:rFonts w:hint="eastAsia" w:ascii="Times New Roman" w:hAnsi="宋体" w:eastAsia="宋体" w:cs="Times New Roman"/>
                <w:color w:val="auto"/>
                <w:sz w:val="24"/>
                <w:highlight w:val="none"/>
                <w:lang w:val="en-US" w:eastAsia="zh-CN"/>
              </w:rPr>
              <w:t>年银监行政处罚情况（萧山区）</w:t>
            </w:r>
          </w:p>
        </w:tc>
        <w:tc>
          <w:tcPr>
            <w:tcW w:w="3233" w:type="dxa"/>
            <w:tcBorders>
              <w:top w:val="single" w:color="auto" w:sz="4" w:space="0"/>
              <w:bottom w:val="single" w:color="auto" w:sz="4" w:space="0"/>
              <w:right w:val="single" w:color="auto" w:sz="12" w:space="0"/>
            </w:tcBorders>
            <w:noWrap w:val="0"/>
            <w:vAlign w:val="center"/>
          </w:tcPr>
          <w:p w14:paraId="2FE4507F">
            <w:pPr>
              <w:snapToGrid w:val="0"/>
              <w:spacing w:before="120" w:beforeLines="50" w:after="50" w:line="360" w:lineRule="auto"/>
              <w:jc w:val="center"/>
              <w:rPr>
                <w:color w:val="auto"/>
                <w:sz w:val="28"/>
                <w:szCs w:val="28"/>
                <w:highlight w:val="none"/>
              </w:rPr>
            </w:pPr>
          </w:p>
        </w:tc>
      </w:tr>
      <w:tr w14:paraId="5FE8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12" w:space="0"/>
              <w:bottom w:val="single" w:color="auto" w:sz="4" w:space="0"/>
            </w:tcBorders>
            <w:noWrap w:val="0"/>
            <w:vAlign w:val="center"/>
          </w:tcPr>
          <w:p w14:paraId="32D9B573">
            <w:pPr>
              <w:snapToGrid w:val="0"/>
              <w:spacing w:before="120" w:beforeLines="50" w:after="50" w:line="360" w:lineRule="auto"/>
              <w:jc w:val="center"/>
              <w:rPr>
                <w:rFonts w:hint="default"/>
                <w:color w:val="auto"/>
                <w:kern w:val="2"/>
                <w:sz w:val="28"/>
                <w:szCs w:val="28"/>
                <w:highlight w:val="none"/>
                <w:lang w:val="en-US" w:eastAsia="zh-CN" w:bidi="ar-SA"/>
              </w:rPr>
            </w:pPr>
            <w:r>
              <w:rPr>
                <w:rFonts w:hint="eastAsia"/>
                <w:color w:val="auto"/>
                <w:kern w:val="2"/>
                <w:sz w:val="28"/>
                <w:szCs w:val="28"/>
                <w:highlight w:val="none"/>
                <w:lang w:val="en-US" w:eastAsia="zh-CN" w:bidi="ar-SA"/>
              </w:rPr>
              <w:t>13</w:t>
            </w:r>
          </w:p>
        </w:tc>
        <w:tc>
          <w:tcPr>
            <w:tcW w:w="4216" w:type="dxa"/>
            <w:tcBorders>
              <w:top w:val="single" w:color="auto" w:sz="4" w:space="0"/>
              <w:bottom w:val="single" w:color="auto" w:sz="4" w:space="0"/>
            </w:tcBorders>
            <w:noWrap w:val="0"/>
            <w:vAlign w:val="center"/>
          </w:tcPr>
          <w:p w14:paraId="61D21418">
            <w:pPr>
              <w:snapToGrid w:val="0"/>
              <w:spacing w:before="120" w:beforeLines="50" w:after="50" w:line="360" w:lineRule="auto"/>
              <w:jc w:val="center"/>
              <w:rPr>
                <w:rFonts w:hint="default"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2023</w:t>
            </w:r>
            <w:r>
              <w:rPr>
                <w:rFonts w:hint="eastAsia" w:ascii="Times New Roman" w:hAnsi="宋体" w:eastAsia="宋体" w:cs="Times New Roman"/>
                <w:color w:val="auto"/>
                <w:sz w:val="24"/>
                <w:highlight w:val="none"/>
                <w:lang w:val="en-US" w:eastAsia="zh-CN"/>
              </w:rPr>
              <w:t>年度在萧银行机构金融机构支持萧山经济社会发展情况获奖（</w:t>
            </w:r>
            <w:r>
              <w:rPr>
                <w:rFonts w:hint="eastAsia" w:hAnsi="宋体" w:cs="Times New Roman"/>
                <w:color w:val="auto"/>
                <w:sz w:val="24"/>
                <w:highlight w:val="none"/>
                <w:lang w:val="en-US" w:eastAsia="zh-CN"/>
              </w:rPr>
              <w:t>2023</w:t>
            </w:r>
            <w:r>
              <w:rPr>
                <w:rFonts w:hint="eastAsia" w:ascii="Times New Roman" w:hAnsi="宋体" w:eastAsia="宋体" w:cs="Times New Roman"/>
                <w:color w:val="auto"/>
                <w:sz w:val="24"/>
                <w:highlight w:val="none"/>
                <w:lang w:val="en-US" w:eastAsia="zh-CN"/>
              </w:rPr>
              <w:t>年度没有的以202</w:t>
            </w:r>
            <w:r>
              <w:rPr>
                <w:rFonts w:hint="eastAsia" w:hAnsi="宋体" w:cs="Times New Roman"/>
                <w:color w:val="auto"/>
                <w:sz w:val="24"/>
                <w:highlight w:val="none"/>
                <w:lang w:val="en-US" w:eastAsia="zh-CN"/>
              </w:rPr>
              <w:t>1</w:t>
            </w:r>
            <w:r>
              <w:rPr>
                <w:rFonts w:hint="eastAsia" w:ascii="Times New Roman" w:hAnsi="宋体" w:eastAsia="宋体" w:cs="Times New Roman"/>
                <w:color w:val="auto"/>
                <w:sz w:val="24"/>
                <w:highlight w:val="none"/>
                <w:lang w:val="en-US" w:eastAsia="zh-CN"/>
              </w:rPr>
              <w:t>年为准）</w:t>
            </w:r>
          </w:p>
        </w:tc>
        <w:tc>
          <w:tcPr>
            <w:tcW w:w="3233" w:type="dxa"/>
            <w:tcBorders>
              <w:top w:val="single" w:color="auto" w:sz="4" w:space="0"/>
              <w:bottom w:val="single" w:color="auto" w:sz="4" w:space="0"/>
              <w:right w:val="single" w:color="auto" w:sz="12" w:space="0"/>
            </w:tcBorders>
            <w:noWrap w:val="0"/>
            <w:vAlign w:val="center"/>
          </w:tcPr>
          <w:p w14:paraId="75AB24CD">
            <w:pPr>
              <w:snapToGrid w:val="0"/>
              <w:spacing w:before="120" w:beforeLines="50" w:after="50" w:line="360" w:lineRule="auto"/>
              <w:jc w:val="center"/>
              <w:rPr>
                <w:color w:val="auto"/>
                <w:sz w:val="28"/>
                <w:szCs w:val="28"/>
                <w:highlight w:val="none"/>
              </w:rPr>
            </w:pPr>
          </w:p>
        </w:tc>
      </w:tr>
      <w:tr w14:paraId="290A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12" w:space="0"/>
              <w:bottom w:val="single" w:color="auto" w:sz="4" w:space="0"/>
            </w:tcBorders>
            <w:noWrap w:val="0"/>
            <w:vAlign w:val="center"/>
          </w:tcPr>
          <w:p w14:paraId="0351621C">
            <w:pPr>
              <w:snapToGrid w:val="0"/>
              <w:spacing w:before="120" w:beforeLines="50" w:after="50" w:line="360" w:lineRule="auto"/>
              <w:jc w:val="center"/>
              <w:rPr>
                <w:rFonts w:hint="default"/>
                <w:color w:val="auto"/>
                <w:kern w:val="2"/>
                <w:sz w:val="28"/>
                <w:szCs w:val="28"/>
                <w:highlight w:val="none"/>
                <w:lang w:val="en-US" w:eastAsia="zh-CN" w:bidi="ar-SA"/>
              </w:rPr>
            </w:pPr>
            <w:r>
              <w:rPr>
                <w:rFonts w:hint="eastAsia"/>
                <w:color w:val="auto"/>
                <w:kern w:val="2"/>
                <w:sz w:val="28"/>
                <w:szCs w:val="28"/>
                <w:highlight w:val="none"/>
                <w:lang w:val="en-US" w:eastAsia="zh-CN" w:bidi="ar-SA"/>
              </w:rPr>
              <w:t>15</w:t>
            </w:r>
          </w:p>
        </w:tc>
        <w:tc>
          <w:tcPr>
            <w:tcW w:w="4216" w:type="dxa"/>
            <w:tcBorders>
              <w:top w:val="single" w:color="auto" w:sz="4" w:space="0"/>
              <w:bottom w:val="single" w:color="auto" w:sz="4" w:space="0"/>
            </w:tcBorders>
            <w:noWrap w:val="0"/>
            <w:vAlign w:val="center"/>
          </w:tcPr>
          <w:p w14:paraId="70EAA6B0">
            <w:pPr>
              <w:snapToGrid w:val="0"/>
              <w:spacing w:before="120" w:beforeLines="50" w:after="50" w:line="360" w:lineRule="auto"/>
              <w:jc w:val="center"/>
              <w:rPr>
                <w:rFonts w:hint="eastAsia"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2023</w:t>
            </w:r>
            <w:r>
              <w:rPr>
                <w:rFonts w:hint="eastAsia" w:ascii="Times New Roman" w:hAnsi="宋体" w:eastAsia="宋体" w:cs="Times New Roman"/>
                <w:color w:val="auto"/>
                <w:sz w:val="24"/>
                <w:highlight w:val="none"/>
                <w:lang w:val="en-US" w:eastAsia="zh-CN"/>
              </w:rPr>
              <w:t>年末在萧存贷比</w:t>
            </w:r>
          </w:p>
          <w:p w14:paraId="5D6B7A82">
            <w:pPr>
              <w:snapToGrid w:val="0"/>
              <w:spacing w:before="120" w:beforeLines="50" w:after="50" w:line="360" w:lineRule="auto"/>
              <w:jc w:val="center"/>
              <w:rPr>
                <w:rFonts w:hint="default" w:ascii="Times New Roman" w:hAnsi="宋体" w:eastAsia="宋体" w:cs="Times New Roman"/>
                <w:color w:val="auto"/>
                <w:sz w:val="24"/>
                <w:highlight w:val="none"/>
                <w:lang w:val="en-US" w:eastAsia="zh-CN"/>
              </w:rPr>
            </w:pPr>
            <w:r>
              <w:rPr>
                <w:rFonts w:hint="eastAsia" w:ascii="Times New Roman" w:hAnsi="宋体" w:eastAsia="宋体" w:cs="Times New Roman"/>
                <w:color w:val="auto"/>
                <w:sz w:val="24"/>
                <w:highlight w:val="none"/>
                <w:lang w:val="en-US" w:eastAsia="zh-CN"/>
              </w:rPr>
              <w:t>（贷款/存款比值）</w:t>
            </w:r>
          </w:p>
        </w:tc>
        <w:tc>
          <w:tcPr>
            <w:tcW w:w="3233" w:type="dxa"/>
            <w:tcBorders>
              <w:top w:val="single" w:color="auto" w:sz="4" w:space="0"/>
              <w:bottom w:val="single" w:color="auto" w:sz="4" w:space="0"/>
              <w:right w:val="single" w:color="auto" w:sz="12" w:space="0"/>
            </w:tcBorders>
            <w:noWrap w:val="0"/>
            <w:vAlign w:val="center"/>
          </w:tcPr>
          <w:p w14:paraId="49EC337F">
            <w:pPr>
              <w:snapToGrid w:val="0"/>
              <w:spacing w:before="120" w:beforeLines="50" w:after="50" w:line="360" w:lineRule="auto"/>
              <w:jc w:val="center"/>
              <w:rPr>
                <w:color w:val="auto"/>
                <w:sz w:val="28"/>
                <w:szCs w:val="28"/>
                <w:highlight w:val="none"/>
              </w:rPr>
            </w:pPr>
          </w:p>
        </w:tc>
      </w:tr>
      <w:tr w14:paraId="1C0B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12" w:space="0"/>
              <w:bottom w:val="single" w:color="auto" w:sz="12" w:space="0"/>
            </w:tcBorders>
            <w:noWrap w:val="0"/>
            <w:vAlign w:val="center"/>
          </w:tcPr>
          <w:p w14:paraId="50DE99EE">
            <w:pPr>
              <w:snapToGrid w:val="0"/>
              <w:spacing w:before="120" w:beforeLines="50" w:after="50" w:line="360" w:lineRule="auto"/>
              <w:jc w:val="center"/>
              <w:rPr>
                <w:rFonts w:hint="default"/>
                <w:color w:val="auto"/>
                <w:kern w:val="2"/>
                <w:sz w:val="28"/>
                <w:szCs w:val="28"/>
                <w:highlight w:val="none"/>
                <w:lang w:val="en-US" w:eastAsia="zh-CN" w:bidi="ar-SA"/>
              </w:rPr>
            </w:pPr>
            <w:r>
              <w:rPr>
                <w:rFonts w:hint="eastAsia"/>
                <w:color w:val="auto"/>
                <w:kern w:val="2"/>
                <w:sz w:val="28"/>
                <w:szCs w:val="28"/>
                <w:highlight w:val="none"/>
                <w:lang w:val="en-US" w:eastAsia="zh-CN" w:bidi="ar-SA"/>
              </w:rPr>
              <w:t>16</w:t>
            </w:r>
          </w:p>
        </w:tc>
        <w:tc>
          <w:tcPr>
            <w:tcW w:w="4216" w:type="dxa"/>
            <w:tcBorders>
              <w:top w:val="single" w:color="auto" w:sz="4" w:space="0"/>
              <w:bottom w:val="single" w:color="auto" w:sz="12" w:space="0"/>
            </w:tcBorders>
            <w:noWrap w:val="0"/>
            <w:vAlign w:val="center"/>
          </w:tcPr>
          <w:p w14:paraId="7C8199F9">
            <w:pPr>
              <w:snapToGrid w:val="0"/>
              <w:spacing w:before="120" w:beforeLines="50" w:after="50" w:line="360" w:lineRule="auto"/>
              <w:jc w:val="center"/>
              <w:rPr>
                <w:rFonts w:hint="eastAsia" w:ascii="Times New Roman" w:hAnsi="宋体" w:eastAsia="宋体" w:cs="Times New Roman"/>
                <w:color w:val="auto"/>
                <w:sz w:val="24"/>
                <w:highlight w:val="none"/>
                <w:lang w:val="en-US" w:eastAsia="zh-CN"/>
              </w:rPr>
            </w:pPr>
            <w:r>
              <w:rPr>
                <w:rFonts w:hint="eastAsia" w:hAnsi="宋体" w:cs="Times New Roman"/>
                <w:color w:val="auto"/>
                <w:sz w:val="24"/>
                <w:highlight w:val="none"/>
                <w:lang w:val="en-US" w:eastAsia="zh-CN"/>
              </w:rPr>
              <w:t>2023</w:t>
            </w:r>
            <w:r>
              <w:rPr>
                <w:rFonts w:hint="eastAsia" w:ascii="Times New Roman" w:hAnsi="宋体" w:eastAsia="宋体" w:cs="Times New Roman"/>
                <w:color w:val="auto"/>
                <w:sz w:val="24"/>
                <w:highlight w:val="none"/>
                <w:lang w:val="en-US" w:eastAsia="zh-CN"/>
              </w:rPr>
              <w:t>年公益情况（萧山区）</w:t>
            </w:r>
          </w:p>
        </w:tc>
        <w:tc>
          <w:tcPr>
            <w:tcW w:w="3233" w:type="dxa"/>
            <w:tcBorders>
              <w:top w:val="single" w:color="auto" w:sz="4" w:space="0"/>
              <w:bottom w:val="single" w:color="auto" w:sz="12" w:space="0"/>
              <w:right w:val="single" w:color="auto" w:sz="12" w:space="0"/>
            </w:tcBorders>
            <w:noWrap w:val="0"/>
            <w:vAlign w:val="center"/>
          </w:tcPr>
          <w:p w14:paraId="43F404FF">
            <w:pPr>
              <w:snapToGrid w:val="0"/>
              <w:spacing w:before="120" w:beforeLines="50" w:after="50" w:line="360" w:lineRule="auto"/>
              <w:jc w:val="center"/>
              <w:rPr>
                <w:color w:val="auto"/>
                <w:sz w:val="28"/>
                <w:szCs w:val="28"/>
                <w:highlight w:val="none"/>
              </w:rPr>
            </w:pPr>
          </w:p>
        </w:tc>
      </w:tr>
    </w:tbl>
    <w:p w14:paraId="4BD69445">
      <w:pPr>
        <w:snapToGrid w:val="0"/>
        <w:spacing w:before="120" w:beforeLines="50" w:after="50" w:line="360" w:lineRule="auto"/>
        <w:rPr>
          <w:color w:val="auto"/>
          <w:sz w:val="28"/>
          <w:szCs w:val="28"/>
          <w:highlight w:val="none"/>
        </w:rPr>
      </w:pPr>
    </w:p>
    <w:p w14:paraId="56A59F45">
      <w:pPr>
        <w:wordWrap w:val="0"/>
        <w:snapToGrid w:val="0"/>
        <w:spacing w:before="120" w:beforeLines="50" w:after="50" w:line="360" w:lineRule="auto"/>
        <w:jc w:val="right"/>
        <w:rPr>
          <w:rFonts w:hint="eastAsia"/>
          <w:color w:val="auto"/>
          <w:sz w:val="28"/>
          <w:szCs w:val="28"/>
          <w:highlight w:val="none"/>
          <w:lang w:val="en-US" w:eastAsia="zh-CN"/>
        </w:rPr>
      </w:pPr>
      <w:r>
        <w:rPr>
          <w:rFonts w:hint="eastAsia"/>
          <w:color w:val="auto"/>
          <w:sz w:val="28"/>
          <w:szCs w:val="28"/>
          <w:highlight w:val="none"/>
          <w:lang w:eastAsia="zh-CN"/>
        </w:rPr>
        <w:t>申报银行（加盖公章）：</w:t>
      </w:r>
      <w:r>
        <w:rPr>
          <w:rFonts w:hint="eastAsia"/>
          <w:color w:val="auto"/>
          <w:sz w:val="28"/>
          <w:szCs w:val="28"/>
          <w:highlight w:val="none"/>
          <w:lang w:val="en-US" w:eastAsia="zh-CN"/>
        </w:rPr>
        <w:t xml:space="preserve">                    </w:t>
      </w:r>
    </w:p>
    <w:p w14:paraId="21282853">
      <w:pPr>
        <w:wordWrap w:val="0"/>
        <w:snapToGrid w:val="0"/>
        <w:spacing w:before="120" w:beforeLines="50" w:after="50" w:line="360" w:lineRule="auto"/>
        <w:jc w:val="right"/>
        <w:rPr>
          <w:rFonts w:hint="default"/>
          <w:color w:val="auto"/>
          <w:sz w:val="28"/>
          <w:szCs w:val="28"/>
          <w:highlight w:val="none"/>
          <w:lang w:val="en-US" w:eastAsia="zh-CN"/>
        </w:rPr>
      </w:pPr>
      <w:r>
        <w:rPr>
          <w:rFonts w:hint="eastAsia"/>
          <w:color w:val="auto"/>
          <w:sz w:val="28"/>
          <w:szCs w:val="28"/>
          <w:highlight w:val="none"/>
          <w:lang w:val="en-US" w:eastAsia="zh-CN"/>
        </w:rPr>
        <w:t xml:space="preserve">  日期：                     </w:t>
      </w:r>
    </w:p>
    <w:p w14:paraId="112DC519">
      <w:pPr>
        <w:snapToGrid w:val="0"/>
        <w:spacing w:before="120" w:beforeLines="50" w:after="50" w:line="360" w:lineRule="auto"/>
        <w:rPr>
          <w:color w:val="auto"/>
          <w:sz w:val="28"/>
          <w:szCs w:val="28"/>
          <w:highlight w:val="none"/>
        </w:rPr>
      </w:pPr>
    </w:p>
    <w:p w14:paraId="7B6245AE">
      <w:pPr>
        <w:snapToGrid w:val="0"/>
        <w:spacing w:before="120" w:beforeLines="50" w:after="50" w:line="360" w:lineRule="auto"/>
        <w:jc w:val="left"/>
        <w:rPr>
          <w:rFonts w:hint="eastAsia" w:ascii="Times New Roman" w:hAnsi="Times New Roman" w:eastAsia="宋体" w:cs="Times New Roman"/>
          <w:color w:val="auto"/>
          <w:sz w:val="24"/>
          <w:highlight w:val="none"/>
        </w:rPr>
        <w:sectPr>
          <w:pgSz w:w="11906" w:h="16838"/>
          <w:pgMar w:top="1474" w:right="1797" w:bottom="1247" w:left="1797" w:header="851" w:footer="851" w:gutter="0"/>
          <w:pgBorders w:offsetFrom="page">
            <w:top w:val="none" w:sz="0" w:space="0"/>
            <w:left w:val="none" w:sz="0" w:space="0"/>
            <w:bottom w:val="none" w:sz="0" w:space="0"/>
            <w:right w:val="none" w:sz="0" w:space="0"/>
          </w:pgBorders>
          <w:pgNumType w:fmt="numberInDash"/>
          <w:cols w:space="720" w:num="1"/>
          <w:docGrid w:linePitch="312" w:charSpace="0"/>
        </w:sectPr>
      </w:pPr>
      <w:r>
        <w:rPr>
          <w:rFonts w:hint="eastAsia" w:ascii="Times New Roman" w:hAnsi="Times New Roman" w:eastAsia="宋体" w:cs="Times New Roman"/>
          <w:color w:val="auto"/>
          <w:sz w:val="24"/>
          <w:highlight w:val="none"/>
        </w:rPr>
        <w:t>（提供以上上报人民银行的数据，并承诺其真实性，招标人有权与区财政局进行核实。</w:t>
      </w:r>
      <w:r>
        <w:rPr>
          <w:rFonts w:hint="eastAsia" w:ascii="Times New Roman" w:hAnsi="Times New Roman" w:eastAsia="宋体" w:cs="Times New Roman"/>
          <w:color w:val="auto"/>
          <w:sz w:val="24"/>
          <w:highlight w:val="none"/>
          <w:lang w:eastAsia="zh-CN"/>
        </w:rPr>
        <w:t>根据评标细则要求提供相应证明材料的，还应提供符合要求的证明材料，附于投标文件中，否则评标委员会有权不予认可。</w:t>
      </w:r>
      <w:r>
        <w:rPr>
          <w:rFonts w:hint="eastAsia" w:ascii="Times New Roman" w:hAnsi="Times New Roman" w:eastAsia="宋体" w:cs="Times New Roman"/>
          <w:color w:val="auto"/>
          <w:sz w:val="24"/>
          <w:highlight w:val="none"/>
        </w:rPr>
        <w:t>）</w:t>
      </w:r>
    </w:p>
    <w:p w14:paraId="39D046F5">
      <w:pPr>
        <w:widowControl/>
        <w:spacing w:line="360" w:lineRule="auto"/>
        <w:jc w:val="left"/>
        <w:rPr>
          <w:rFonts w:hint="eastAsia"/>
          <w:color w:val="auto"/>
          <w:sz w:val="28"/>
          <w:szCs w:val="28"/>
          <w:highlight w:val="none"/>
        </w:rPr>
      </w:pPr>
      <w:r>
        <w:rPr>
          <w:rFonts w:hint="eastAsia"/>
          <w:color w:val="auto"/>
          <w:sz w:val="28"/>
          <w:szCs w:val="28"/>
          <w:highlight w:val="none"/>
        </w:rPr>
        <w:t>附件</w:t>
      </w:r>
      <w:r>
        <w:rPr>
          <w:rFonts w:hint="eastAsia"/>
          <w:color w:val="auto"/>
          <w:sz w:val="28"/>
          <w:szCs w:val="28"/>
          <w:highlight w:val="none"/>
          <w:lang w:val="en-US" w:eastAsia="zh-CN"/>
        </w:rPr>
        <w:t>九</w:t>
      </w:r>
      <w:r>
        <w:rPr>
          <w:rFonts w:hint="eastAsia"/>
          <w:color w:val="auto"/>
          <w:sz w:val="28"/>
          <w:szCs w:val="28"/>
          <w:highlight w:val="none"/>
        </w:rPr>
        <w:t xml:space="preserve"> ：</w:t>
      </w:r>
    </w:p>
    <w:p w14:paraId="5DE2DE91">
      <w:pPr>
        <w:snapToGrid w:val="0"/>
        <w:spacing w:before="120" w:beforeLines="50" w:after="50" w:line="360" w:lineRule="auto"/>
        <w:jc w:val="left"/>
        <w:rPr>
          <w:color w:val="auto"/>
          <w:sz w:val="28"/>
          <w:szCs w:val="28"/>
          <w:highlight w:val="none"/>
        </w:rPr>
      </w:pPr>
    </w:p>
    <w:p w14:paraId="7F2328CC">
      <w:pPr>
        <w:widowControl/>
        <w:spacing w:line="360" w:lineRule="auto"/>
        <w:jc w:val="center"/>
        <w:rPr>
          <w:rFonts w:hint="eastAsia"/>
          <w:b/>
          <w:color w:val="auto"/>
          <w:sz w:val="32"/>
          <w:szCs w:val="32"/>
          <w:highlight w:val="none"/>
        </w:rPr>
      </w:pPr>
      <w:r>
        <w:rPr>
          <w:rFonts w:hint="eastAsia"/>
          <w:b/>
          <w:color w:val="auto"/>
          <w:sz w:val="32"/>
          <w:szCs w:val="32"/>
          <w:highlight w:val="none"/>
        </w:rPr>
        <w:t>廉政承诺书</w:t>
      </w:r>
    </w:p>
    <w:p w14:paraId="2BBE6770">
      <w:pPr>
        <w:spacing w:line="500" w:lineRule="exact"/>
        <w:jc w:val="center"/>
        <w:rPr>
          <w:rFonts w:hint="eastAsia" w:ascii="仿宋_GB2312" w:hAnsi="仿宋_GB2312" w:eastAsia="仿宋_GB2312" w:cs="仿宋_GB2312"/>
          <w:color w:val="auto"/>
          <w:sz w:val="32"/>
          <w:szCs w:val="32"/>
          <w:highlight w:val="none"/>
        </w:rPr>
      </w:pPr>
    </w:p>
    <w:p w14:paraId="7F5FCD53">
      <w:pPr>
        <w:spacing w:line="500" w:lineRule="exact"/>
        <w:rPr>
          <w:rFonts w:hint="eastAsia"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9FF22EB">
      <w:pPr>
        <w:spacing w:line="500" w:lineRule="exact"/>
        <w:rPr>
          <w:rFonts w:hint="eastAsia" w:ascii="宋体" w:hAnsi="宋体" w:cs="宋体"/>
          <w:color w:val="auto"/>
          <w:sz w:val="24"/>
          <w:highlight w:val="none"/>
        </w:rPr>
      </w:pPr>
      <w:r>
        <w:rPr>
          <w:rFonts w:hint="eastAsia" w:ascii="宋体" w:hAnsi="宋体" w:cs="宋体"/>
          <w:color w:val="auto"/>
          <w:sz w:val="24"/>
          <w:highlight w:val="none"/>
        </w:rPr>
        <w:t xml:space="preserve">    根据《</w:t>
      </w:r>
      <w:r>
        <w:rPr>
          <w:rFonts w:hint="eastAsia" w:ascii="宋体" w:hAnsi="宋体" w:cs="宋体"/>
          <w:color w:val="auto"/>
          <w:sz w:val="24"/>
          <w:highlight w:val="none"/>
          <w:lang w:eastAsia="zh-CN"/>
        </w:rPr>
        <w:t>财政部</w:t>
      </w:r>
      <w:r>
        <w:rPr>
          <w:rFonts w:hint="eastAsia" w:ascii="宋体" w:hAnsi="宋体" w:cs="宋体"/>
          <w:color w:val="auto"/>
          <w:sz w:val="24"/>
          <w:highlight w:val="none"/>
        </w:rPr>
        <w:t>关于</w:t>
      </w:r>
      <w:r>
        <w:rPr>
          <w:rFonts w:hint="eastAsia" w:ascii="宋体" w:hAnsi="宋体" w:cs="宋体"/>
          <w:color w:val="auto"/>
          <w:sz w:val="24"/>
          <w:highlight w:val="none"/>
          <w:lang w:eastAsia="zh-CN"/>
        </w:rPr>
        <w:t>进一步加强财政部门和预算单位资金存放管理的指导意见</w:t>
      </w:r>
      <w:r>
        <w:rPr>
          <w:rFonts w:hint="eastAsia" w:ascii="宋体" w:hAnsi="宋体" w:cs="宋体"/>
          <w:color w:val="auto"/>
          <w:sz w:val="24"/>
          <w:highlight w:val="none"/>
        </w:rPr>
        <w:t>》</w:t>
      </w:r>
      <w:r>
        <w:rPr>
          <w:rFonts w:hint="eastAsia" w:ascii="宋体" w:hAnsi="宋体" w:cs="宋体"/>
          <w:color w:val="auto"/>
          <w:sz w:val="24"/>
          <w:highlight w:val="none"/>
          <w:lang w:eastAsia="zh-CN"/>
        </w:rPr>
        <w:t>（财库【</w:t>
      </w:r>
      <w:r>
        <w:rPr>
          <w:rFonts w:hint="eastAsia" w:ascii="宋体" w:hAnsi="宋体" w:cs="宋体"/>
          <w:color w:val="auto"/>
          <w:sz w:val="24"/>
          <w:highlight w:val="none"/>
          <w:lang w:val="en-US" w:eastAsia="zh-CN"/>
        </w:rPr>
        <w:t>2017</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76号</w:t>
      </w:r>
      <w:r>
        <w:rPr>
          <w:rFonts w:hint="eastAsia" w:ascii="宋体" w:hAnsi="宋体" w:cs="宋体"/>
          <w:color w:val="auto"/>
          <w:sz w:val="24"/>
          <w:highlight w:val="none"/>
          <w:lang w:eastAsia="zh-CN"/>
        </w:rPr>
        <w:t>）</w:t>
      </w:r>
      <w:r>
        <w:rPr>
          <w:rFonts w:hint="eastAsia" w:ascii="宋体" w:hAnsi="宋体" w:cs="宋体"/>
          <w:color w:val="auto"/>
          <w:sz w:val="24"/>
          <w:highlight w:val="none"/>
        </w:rPr>
        <w:t>、《杭州市萧山区区级行政事业单位公款竞争性存放管理</w:t>
      </w:r>
      <w:r>
        <w:rPr>
          <w:rFonts w:hint="eastAsia" w:ascii="宋体" w:hAnsi="宋体" w:cs="宋体"/>
          <w:color w:val="auto"/>
          <w:sz w:val="24"/>
          <w:highlight w:val="none"/>
          <w:lang w:eastAsia="zh-CN"/>
        </w:rPr>
        <w:t>办法</w:t>
      </w:r>
      <w:r>
        <w:rPr>
          <w:rFonts w:hint="eastAsia" w:ascii="宋体" w:hAnsi="宋体" w:cs="宋体"/>
          <w:color w:val="auto"/>
          <w:sz w:val="24"/>
          <w:highlight w:val="none"/>
        </w:rPr>
        <w:t>》（萧政办发【</w:t>
      </w:r>
      <w:r>
        <w:rPr>
          <w:rFonts w:hint="eastAsia" w:ascii="宋体" w:hAnsi="宋体" w:cs="宋体"/>
          <w:color w:val="auto"/>
          <w:sz w:val="24"/>
          <w:highlight w:val="none"/>
          <w:lang w:eastAsia="zh-CN"/>
        </w:rPr>
        <w:t>202</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53</w:t>
      </w:r>
      <w:r>
        <w:rPr>
          <w:rFonts w:hint="eastAsia" w:ascii="宋体" w:hAnsi="宋体" w:cs="宋体"/>
          <w:color w:val="auto"/>
          <w:sz w:val="24"/>
          <w:highlight w:val="none"/>
        </w:rPr>
        <w:t>号）</w:t>
      </w:r>
      <w:r>
        <w:rPr>
          <w:rFonts w:hint="eastAsia" w:ascii="宋体" w:hAnsi="宋体" w:cs="宋体"/>
          <w:color w:val="auto"/>
          <w:sz w:val="24"/>
          <w:highlight w:val="none"/>
          <w:lang w:eastAsia="zh-CN"/>
        </w:rPr>
        <w:t>相关</w:t>
      </w:r>
      <w:r>
        <w:rPr>
          <w:rFonts w:hint="eastAsia" w:ascii="宋体" w:hAnsi="宋体" w:cs="宋体"/>
          <w:color w:val="auto"/>
          <w:sz w:val="24"/>
          <w:highlight w:val="none"/>
        </w:rPr>
        <w:t>规定，现就本行参加贵单位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项目公款竞争性存放作出如下承诺：</w:t>
      </w:r>
    </w:p>
    <w:p w14:paraId="2F2F53A2">
      <w:pPr>
        <w:spacing w:line="500" w:lineRule="exact"/>
        <w:rPr>
          <w:rFonts w:hint="eastAsia" w:ascii="宋体" w:hAnsi="宋体" w:cs="宋体"/>
          <w:color w:val="auto"/>
          <w:sz w:val="24"/>
          <w:highlight w:val="none"/>
        </w:rPr>
      </w:pPr>
      <w:r>
        <w:rPr>
          <w:rFonts w:hint="eastAsia" w:ascii="宋体" w:hAnsi="宋体" w:cs="宋体"/>
          <w:color w:val="auto"/>
          <w:sz w:val="24"/>
          <w:highlight w:val="none"/>
        </w:rPr>
        <w:t xml:space="preserve">    1.不向贵单位负责公款存放管理的领导及相关人员进行利益输送；</w:t>
      </w:r>
    </w:p>
    <w:p w14:paraId="4C66E448">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2.不将公款存放与贵单位负责公款存放管理的领导及相关人员在本行的配偶、子女及其配偶和其他直接利益相关人员的业绩、收入、晋升等利益挂钩；</w:t>
      </w:r>
    </w:p>
    <w:p w14:paraId="0F8E8EDF">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3.严格执行利益回避制度，贵单位负责公款竞争性存放相关人员的配偶、子女及其配偶和其他直接利益相关人员为本行工作人员的，不参与公款竞争性存放工作；</w:t>
      </w:r>
    </w:p>
    <w:p w14:paraId="68EB31C4">
      <w:pPr>
        <w:spacing w:line="500" w:lineRule="exact"/>
        <w:rPr>
          <w:rFonts w:hint="eastAsia" w:ascii="宋体" w:hAnsi="宋体" w:cs="宋体"/>
          <w:color w:val="auto"/>
          <w:sz w:val="24"/>
          <w:highlight w:val="none"/>
        </w:rPr>
      </w:pPr>
      <w:r>
        <w:rPr>
          <w:rFonts w:hint="eastAsia" w:ascii="宋体" w:hAnsi="宋体" w:cs="宋体"/>
          <w:color w:val="auto"/>
          <w:sz w:val="24"/>
          <w:highlight w:val="none"/>
        </w:rPr>
        <w:t xml:space="preserve">    4.不发生除上述行为之外的其他任何利益输送行为。</w:t>
      </w:r>
    </w:p>
    <w:p w14:paraId="5871CC63">
      <w:pPr>
        <w:spacing w:line="500" w:lineRule="exact"/>
        <w:rPr>
          <w:rFonts w:hint="eastAsia" w:ascii="宋体" w:hAnsi="宋体" w:cs="宋体"/>
          <w:color w:val="auto"/>
          <w:sz w:val="24"/>
          <w:highlight w:val="none"/>
        </w:rPr>
      </w:pPr>
      <w:r>
        <w:rPr>
          <w:rFonts w:hint="eastAsia" w:ascii="宋体" w:hAnsi="宋体" w:cs="宋体"/>
          <w:color w:val="auto"/>
          <w:sz w:val="24"/>
          <w:highlight w:val="none"/>
        </w:rPr>
        <w:t xml:space="preserve">    未遵守以上承诺的，本行自愿接受财政部门通报和处理，承担相应的一切后果。</w:t>
      </w:r>
    </w:p>
    <w:p w14:paraId="4675DDBB">
      <w:pPr>
        <w:spacing w:line="500" w:lineRule="exact"/>
        <w:jc w:val="right"/>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17BBFF53">
      <w:pPr>
        <w:spacing w:line="500" w:lineRule="exact"/>
        <w:jc w:val="right"/>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银行（公章）</w:t>
      </w:r>
    </w:p>
    <w:p w14:paraId="5C4EE01F">
      <w:pPr>
        <w:spacing w:line="500" w:lineRule="exact"/>
        <w:jc w:val="right"/>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4B80ACB9">
      <w:pPr>
        <w:widowControl/>
        <w:spacing w:line="360" w:lineRule="auto"/>
        <w:jc w:val="left"/>
        <w:rPr>
          <w:color w:val="auto"/>
          <w:highlight w:val="none"/>
        </w:rPr>
      </w:pPr>
      <w:r>
        <w:rPr>
          <w:rFonts w:hint="eastAsia" w:ascii="宋体" w:hAnsi="宋体"/>
          <w:color w:val="auto"/>
          <w:sz w:val="24"/>
          <w:highlight w:val="none"/>
        </w:rPr>
        <w:br w:type="page"/>
      </w:r>
    </w:p>
    <w:p w14:paraId="2F748D4F">
      <w:pPr>
        <w:snapToGrid w:val="0"/>
        <w:spacing w:before="120" w:beforeLines="50" w:after="50" w:line="360" w:lineRule="auto"/>
        <w:rPr>
          <w:rFonts w:hint="eastAsia"/>
          <w:color w:val="auto"/>
          <w:kern w:val="0"/>
          <w:sz w:val="28"/>
          <w:szCs w:val="28"/>
          <w:highlight w:val="none"/>
        </w:rPr>
      </w:pPr>
      <w:r>
        <w:rPr>
          <w:color w:val="auto"/>
          <w:kern w:val="0"/>
          <w:sz w:val="28"/>
          <w:szCs w:val="28"/>
          <w:highlight w:val="none"/>
        </w:rPr>
        <w:t>附件</w:t>
      </w:r>
      <w:r>
        <w:rPr>
          <w:rFonts w:hint="eastAsia"/>
          <w:color w:val="auto"/>
          <w:kern w:val="0"/>
          <w:sz w:val="28"/>
          <w:szCs w:val="28"/>
          <w:highlight w:val="none"/>
        </w:rPr>
        <w:t>十：</w:t>
      </w:r>
    </w:p>
    <w:p w14:paraId="194F79DF">
      <w:pPr>
        <w:snapToGrid w:val="0"/>
        <w:spacing w:before="120" w:beforeLines="50" w:after="50" w:line="360" w:lineRule="auto"/>
        <w:jc w:val="center"/>
        <w:rPr>
          <w:rFonts w:hint="eastAsia"/>
          <w:b/>
          <w:color w:val="auto"/>
          <w:sz w:val="32"/>
          <w:szCs w:val="32"/>
          <w:highlight w:val="none"/>
        </w:rPr>
      </w:pPr>
      <w:r>
        <w:rPr>
          <w:rFonts w:hint="eastAsia"/>
          <w:b/>
          <w:color w:val="auto"/>
          <w:sz w:val="32"/>
          <w:szCs w:val="32"/>
          <w:highlight w:val="none"/>
          <w:lang w:eastAsia="zh-CN"/>
        </w:rPr>
        <w:t>2023</w:t>
      </w:r>
      <w:r>
        <w:rPr>
          <w:rFonts w:hint="eastAsia"/>
          <w:b/>
          <w:color w:val="auto"/>
          <w:sz w:val="32"/>
          <w:szCs w:val="32"/>
          <w:highlight w:val="none"/>
        </w:rPr>
        <w:t>年度末</w:t>
      </w:r>
      <w:r>
        <w:rPr>
          <w:b/>
          <w:color w:val="auto"/>
          <w:sz w:val="32"/>
          <w:szCs w:val="32"/>
          <w:highlight w:val="none"/>
        </w:rPr>
        <w:t>银行</w:t>
      </w:r>
      <w:r>
        <w:rPr>
          <w:rFonts w:hint="eastAsia"/>
          <w:b/>
          <w:color w:val="auto"/>
          <w:sz w:val="32"/>
          <w:szCs w:val="32"/>
          <w:highlight w:val="none"/>
          <w:lang w:eastAsia="zh-CN"/>
        </w:rPr>
        <w:t>人民币</w:t>
      </w:r>
      <w:r>
        <w:rPr>
          <w:rFonts w:hint="eastAsia"/>
          <w:b/>
          <w:color w:val="auto"/>
          <w:sz w:val="32"/>
          <w:szCs w:val="32"/>
          <w:highlight w:val="none"/>
        </w:rPr>
        <w:t>存款余额</w:t>
      </w:r>
    </w:p>
    <w:p w14:paraId="6FAEEBEB">
      <w:pPr>
        <w:snapToGrid w:val="0"/>
        <w:spacing w:before="120" w:beforeLines="50" w:after="50" w:line="360" w:lineRule="auto"/>
        <w:jc w:val="center"/>
        <w:rPr>
          <w:color w:val="auto"/>
          <w:highlight w:val="none"/>
        </w:rPr>
        <w:sectPr>
          <w:pgSz w:w="11906" w:h="16838"/>
          <w:pgMar w:top="1474" w:right="1797" w:bottom="1247" w:left="1797" w:header="851" w:footer="851" w:gutter="0"/>
          <w:pgBorders w:offsetFrom="page">
            <w:top w:val="none" w:sz="0" w:space="0"/>
            <w:left w:val="none" w:sz="0" w:space="0"/>
            <w:bottom w:val="none" w:sz="0" w:space="0"/>
            <w:right w:val="none" w:sz="0" w:space="0"/>
          </w:pgBorders>
          <w:pgNumType w:fmt="numberInDash"/>
          <w:cols w:space="720" w:num="1"/>
          <w:docGrid w:linePitch="312" w:charSpace="0"/>
        </w:sectPr>
      </w:pPr>
      <w:r>
        <w:rPr>
          <w:rFonts w:hint="eastAsia"/>
          <w:b/>
          <w:color w:val="auto"/>
          <w:sz w:val="32"/>
          <w:szCs w:val="32"/>
          <w:highlight w:val="none"/>
        </w:rPr>
        <w:t>（提供证明材料）</w:t>
      </w:r>
    </w:p>
    <w:p w14:paraId="161DA859">
      <w:pPr>
        <w:widowControl/>
        <w:spacing w:line="360" w:lineRule="auto"/>
        <w:jc w:val="left"/>
        <w:rPr>
          <w:rFonts w:hint="eastAsia" w:eastAsia="宋体"/>
          <w:color w:val="auto"/>
          <w:sz w:val="28"/>
          <w:szCs w:val="28"/>
          <w:highlight w:val="none"/>
          <w:lang w:eastAsia="zh-CN"/>
        </w:rPr>
      </w:pPr>
      <w:r>
        <w:rPr>
          <w:rFonts w:hint="eastAsia"/>
          <w:color w:val="auto"/>
          <w:sz w:val="28"/>
          <w:szCs w:val="28"/>
          <w:highlight w:val="none"/>
        </w:rPr>
        <w:t>附件十</w:t>
      </w:r>
      <w:r>
        <w:rPr>
          <w:rFonts w:hint="eastAsia"/>
          <w:color w:val="auto"/>
          <w:sz w:val="28"/>
          <w:szCs w:val="28"/>
          <w:highlight w:val="none"/>
          <w:lang w:val="en-US" w:eastAsia="zh-CN"/>
        </w:rPr>
        <w:t>一</w:t>
      </w:r>
    </w:p>
    <w:p w14:paraId="0120F6AF">
      <w:pPr>
        <w:widowControl/>
        <w:spacing w:line="360" w:lineRule="auto"/>
        <w:jc w:val="left"/>
        <w:rPr>
          <w:rFonts w:hint="eastAsia"/>
          <w:color w:val="auto"/>
          <w:highlight w:val="none"/>
        </w:rPr>
      </w:pPr>
    </w:p>
    <w:p w14:paraId="34EBD563">
      <w:pPr>
        <w:widowControl/>
        <w:spacing w:line="360" w:lineRule="auto"/>
        <w:jc w:val="left"/>
        <w:rPr>
          <w:rFonts w:hint="eastAsia"/>
          <w:color w:val="auto"/>
          <w:highlight w:val="none"/>
        </w:rPr>
      </w:pPr>
      <w:r>
        <w:rPr>
          <w:rFonts w:hint="eastAsia"/>
          <w:color w:val="auto"/>
          <w:highlight w:val="none"/>
        </w:rPr>
        <w:t xml:space="preserve">                               </w:t>
      </w:r>
      <w:r>
        <w:rPr>
          <w:rFonts w:hint="eastAsia"/>
          <w:b/>
          <w:color w:val="auto"/>
          <w:kern w:val="0"/>
          <w:sz w:val="32"/>
          <w:szCs w:val="32"/>
          <w:highlight w:val="none"/>
        </w:rPr>
        <w:t>网点服务能力</w:t>
      </w:r>
    </w:p>
    <w:p w14:paraId="167A28BF">
      <w:pPr>
        <w:widowControl/>
        <w:spacing w:line="360" w:lineRule="auto"/>
        <w:jc w:val="left"/>
        <w:rPr>
          <w:rFonts w:hint="eastAsia"/>
          <w:color w:val="auto"/>
          <w:sz w:val="24"/>
          <w:highlight w:val="none"/>
        </w:rPr>
      </w:pPr>
    </w:p>
    <w:p w14:paraId="1BA85BF3">
      <w:pPr>
        <w:widowControl/>
        <w:spacing w:line="360" w:lineRule="auto"/>
        <w:jc w:val="left"/>
        <w:rPr>
          <w:rFonts w:hint="eastAsia"/>
          <w:color w:val="auto"/>
          <w:highlight w:val="none"/>
        </w:rPr>
      </w:pPr>
    </w:p>
    <w:p w14:paraId="35B263DC">
      <w:pPr>
        <w:widowControl/>
        <w:numPr>
          <w:ilvl w:val="0"/>
          <w:numId w:val="13"/>
        </w:numPr>
        <w:spacing w:line="360" w:lineRule="auto"/>
        <w:jc w:val="left"/>
        <w:rPr>
          <w:rFonts w:hint="eastAsia"/>
          <w:color w:val="auto"/>
          <w:sz w:val="24"/>
          <w:highlight w:val="none"/>
        </w:rPr>
      </w:pPr>
      <w:r>
        <w:rPr>
          <w:rFonts w:hint="eastAsia"/>
          <w:color w:val="auto"/>
          <w:sz w:val="24"/>
          <w:highlight w:val="none"/>
        </w:rPr>
        <w:t>在萧人工网点清单</w:t>
      </w:r>
    </w:p>
    <w:p w14:paraId="12B93EDC">
      <w:pPr>
        <w:widowControl/>
        <w:spacing w:line="360" w:lineRule="auto"/>
        <w:jc w:val="left"/>
        <w:rPr>
          <w:rFonts w:hint="eastAsia"/>
          <w:color w:val="auto"/>
          <w:sz w:val="24"/>
          <w:highlight w:val="none"/>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394"/>
        <w:gridCol w:w="1985"/>
        <w:gridCol w:w="1134"/>
      </w:tblGrid>
      <w:tr w14:paraId="658F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78" w:hRule="atLeast"/>
        </w:trPr>
        <w:tc>
          <w:tcPr>
            <w:tcW w:w="817" w:type="dxa"/>
            <w:noWrap w:val="0"/>
            <w:vAlign w:val="center"/>
          </w:tcPr>
          <w:p w14:paraId="1634F359">
            <w:pPr>
              <w:widowControl/>
              <w:spacing w:line="360" w:lineRule="auto"/>
              <w:jc w:val="center"/>
              <w:rPr>
                <w:color w:val="auto"/>
                <w:sz w:val="24"/>
                <w:highlight w:val="none"/>
              </w:rPr>
            </w:pPr>
            <w:r>
              <w:rPr>
                <w:rFonts w:hint="eastAsia"/>
                <w:color w:val="auto"/>
                <w:sz w:val="24"/>
                <w:highlight w:val="none"/>
              </w:rPr>
              <w:t>序号</w:t>
            </w:r>
          </w:p>
        </w:tc>
        <w:tc>
          <w:tcPr>
            <w:tcW w:w="4394" w:type="dxa"/>
            <w:noWrap w:val="0"/>
            <w:vAlign w:val="center"/>
          </w:tcPr>
          <w:p w14:paraId="0FC3B7D3">
            <w:pPr>
              <w:widowControl/>
              <w:spacing w:line="360" w:lineRule="auto"/>
              <w:jc w:val="center"/>
              <w:rPr>
                <w:color w:val="auto"/>
                <w:sz w:val="24"/>
                <w:highlight w:val="none"/>
              </w:rPr>
            </w:pPr>
            <w:r>
              <w:rPr>
                <w:rFonts w:hint="eastAsia"/>
                <w:color w:val="auto"/>
                <w:sz w:val="24"/>
                <w:highlight w:val="none"/>
              </w:rPr>
              <w:t>能提供账户服务的服务机构及网点全称</w:t>
            </w:r>
          </w:p>
        </w:tc>
        <w:tc>
          <w:tcPr>
            <w:tcW w:w="1985" w:type="dxa"/>
            <w:noWrap w:val="0"/>
            <w:vAlign w:val="center"/>
          </w:tcPr>
          <w:p w14:paraId="508E098A">
            <w:pPr>
              <w:widowControl/>
              <w:spacing w:line="360" w:lineRule="auto"/>
              <w:jc w:val="center"/>
              <w:rPr>
                <w:color w:val="auto"/>
                <w:sz w:val="24"/>
                <w:highlight w:val="none"/>
              </w:rPr>
            </w:pPr>
            <w:r>
              <w:rPr>
                <w:rFonts w:hint="eastAsia"/>
                <w:color w:val="auto"/>
                <w:sz w:val="24"/>
                <w:highlight w:val="none"/>
              </w:rPr>
              <w:t>地址</w:t>
            </w:r>
          </w:p>
        </w:tc>
        <w:tc>
          <w:tcPr>
            <w:tcW w:w="1134" w:type="dxa"/>
            <w:noWrap w:val="0"/>
            <w:vAlign w:val="center"/>
          </w:tcPr>
          <w:p w14:paraId="1986ED72">
            <w:pPr>
              <w:widowControl/>
              <w:spacing w:line="360" w:lineRule="auto"/>
              <w:jc w:val="center"/>
              <w:rPr>
                <w:color w:val="auto"/>
                <w:sz w:val="24"/>
                <w:highlight w:val="none"/>
              </w:rPr>
            </w:pPr>
            <w:r>
              <w:rPr>
                <w:rFonts w:hint="eastAsia"/>
                <w:color w:val="auto"/>
                <w:sz w:val="24"/>
                <w:highlight w:val="none"/>
              </w:rPr>
              <w:t>备注</w:t>
            </w:r>
          </w:p>
        </w:tc>
      </w:tr>
      <w:tr w14:paraId="62FF7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89" w:hRule="atLeast"/>
        </w:trPr>
        <w:tc>
          <w:tcPr>
            <w:tcW w:w="817" w:type="dxa"/>
            <w:noWrap w:val="0"/>
            <w:vAlign w:val="center"/>
          </w:tcPr>
          <w:p w14:paraId="0C9C01BA">
            <w:pPr>
              <w:widowControl/>
              <w:spacing w:line="360" w:lineRule="auto"/>
              <w:jc w:val="center"/>
              <w:rPr>
                <w:color w:val="auto"/>
                <w:sz w:val="24"/>
                <w:highlight w:val="none"/>
              </w:rPr>
            </w:pPr>
          </w:p>
        </w:tc>
        <w:tc>
          <w:tcPr>
            <w:tcW w:w="4394" w:type="dxa"/>
            <w:noWrap w:val="0"/>
            <w:vAlign w:val="center"/>
          </w:tcPr>
          <w:p w14:paraId="5CF9BFC0">
            <w:pPr>
              <w:widowControl/>
              <w:spacing w:line="360" w:lineRule="auto"/>
              <w:jc w:val="center"/>
              <w:rPr>
                <w:color w:val="auto"/>
                <w:sz w:val="24"/>
                <w:highlight w:val="none"/>
              </w:rPr>
            </w:pPr>
          </w:p>
        </w:tc>
        <w:tc>
          <w:tcPr>
            <w:tcW w:w="1985" w:type="dxa"/>
            <w:noWrap w:val="0"/>
            <w:vAlign w:val="center"/>
          </w:tcPr>
          <w:p w14:paraId="52EE0CF2">
            <w:pPr>
              <w:widowControl/>
              <w:spacing w:line="360" w:lineRule="auto"/>
              <w:jc w:val="center"/>
              <w:rPr>
                <w:color w:val="auto"/>
                <w:sz w:val="24"/>
                <w:highlight w:val="none"/>
              </w:rPr>
            </w:pPr>
          </w:p>
        </w:tc>
        <w:tc>
          <w:tcPr>
            <w:tcW w:w="1134" w:type="dxa"/>
            <w:noWrap w:val="0"/>
            <w:vAlign w:val="center"/>
          </w:tcPr>
          <w:p w14:paraId="094E3497">
            <w:pPr>
              <w:widowControl/>
              <w:spacing w:line="360" w:lineRule="auto"/>
              <w:jc w:val="center"/>
              <w:rPr>
                <w:color w:val="auto"/>
                <w:sz w:val="24"/>
                <w:highlight w:val="none"/>
              </w:rPr>
            </w:pPr>
          </w:p>
        </w:tc>
      </w:tr>
      <w:tr w14:paraId="76E4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89" w:hRule="atLeast"/>
        </w:trPr>
        <w:tc>
          <w:tcPr>
            <w:tcW w:w="817" w:type="dxa"/>
            <w:noWrap w:val="0"/>
            <w:vAlign w:val="center"/>
          </w:tcPr>
          <w:p w14:paraId="499732EC">
            <w:pPr>
              <w:widowControl/>
              <w:spacing w:line="360" w:lineRule="auto"/>
              <w:jc w:val="center"/>
              <w:rPr>
                <w:color w:val="auto"/>
                <w:sz w:val="24"/>
                <w:highlight w:val="none"/>
              </w:rPr>
            </w:pPr>
          </w:p>
        </w:tc>
        <w:tc>
          <w:tcPr>
            <w:tcW w:w="4394" w:type="dxa"/>
            <w:noWrap w:val="0"/>
            <w:vAlign w:val="center"/>
          </w:tcPr>
          <w:p w14:paraId="4E559C27">
            <w:pPr>
              <w:widowControl/>
              <w:spacing w:line="360" w:lineRule="auto"/>
              <w:jc w:val="center"/>
              <w:rPr>
                <w:color w:val="auto"/>
                <w:sz w:val="24"/>
                <w:highlight w:val="none"/>
              </w:rPr>
            </w:pPr>
          </w:p>
        </w:tc>
        <w:tc>
          <w:tcPr>
            <w:tcW w:w="1985" w:type="dxa"/>
            <w:noWrap w:val="0"/>
            <w:vAlign w:val="center"/>
          </w:tcPr>
          <w:p w14:paraId="4916CABA">
            <w:pPr>
              <w:widowControl/>
              <w:spacing w:line="360" w:lineRule="auto"/>
              <w:jc w:val="center"/>
              <w:rPr>
                <w:color w:val="auto"/>
                <w:sz w:val="24"/>
                <w:highlight w:val="none"/>
              </w:rPr>
            </w:pPr>
          </w:p>
        </w:tc>
        <w:tc>
          <w:tcPr>
            <w:tcW w:w="1134" w:type="dxa"/>
            <w:noWrap w:val="0"/>
            <w:vAlign w:val="center"/>
          </w:tcPr>
          <w:p w14:paraId="4ED0125E">
            <w:pPr>
              <w:widowControl/>
              <w:spacing w:line="360" w:lineRule="auto"/>
              <w:jc w:val="center"/>
              <w:rPr>
                <w:color w:val="auto"/>
                <w:sz w:val="24"/>
                <w:highlight w:val="none"/>
              </w:rPr>
            </w:pPr>
          </w:p>
        </w:tc>
      </w:tr>
      <w:tr w14:paraId="238F0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89" w:hRule="atLeast"/>
        </w:trPr>
        <w:tc>
          <w:tcPr>
            <w:tcW w:w="817" w:type="dxa"/>
            <w:noWrap w:val="0"/>
            <w:vAlign w:val="center"/>
          </w:tcPr>
          <w:p w14:paraId="16CC8F42">
            <w:pPr>
              <w:widowControl/>
              <w:spacing w:line="360" w:lineRule="auto"/>
              <w:jc w:val="center"/>
              <w:rPr>
                <w:color w:val="auto"/>
                <w:sz w:val="24"/>
                <w:highlight w:val="none"/>
              </w:rPr>
            </w:pPr>
          </w:p>
        </w:tc>
        <w:tc>
          <w:tcPr>
            <w:tcW w:w="4394" w:type="dxa"/>
            <w:noWrap w:val="0"/>
            <w:vAlign w:val="center"/>
          </w:tcPr>
          <w:p w14:paraId="16E0F7C8">
            <w:pPr>
              <w:widowControl/>
              <w:spacing w:line="360" w:lineRule="auto"/>
              <w:jc w:val="center"/>
              <w:rPr>
                <w:color w:val="auto"/>
                <w:sz w:val="24"/>
                <w:highlight w:val="none"/>
              </w:rPr>
            </w:pPr>
          </w:p>
        </w:tc>
        <w:tc>
          <w:tcPr>
            <w:tcW w:w="1985" w:type="dxa"/>
            <w:noWrap w:val="0"/>
            <w:vAlign w:val="center"/>
          </w:tcPr>
          <w:p w14:paraId="2016E8FA">
            <w:pPr>
              <w:widowControl/>
              <w:spacing w:line="360" w:lineRule="auto"/>
              <w:jc w:val="center"/>
              <w:rPr>
                <w:color w:val="auto"/>
                <w:sz w:val="24"/>
                <w:highlight w:val="none"/>
              </w:rPr>
            </w:pPr>
          </w:p>
        </w:tc>
        <w:tc>
          <w:tcPr>
            <w:tcW w:w="1134" w:type="dxa"/>
            <w:noWrap w:val="0"/>
            <w:vAlign w:val="center"/>
          </w:tcPr>
          <w:p w14:paraId="48A30C3B">
            <w:pPr>
              <w:widowControl/>
              <w:spacing w:line="360" w:lineRule="auto"/>
              <w:jc w:val="center"/>
              <w:rPr>
                <w:color w:val="auto"/>
                <w:sz w:val="24"/>
                <w:highlight w:val="none"/>
              </w:rPr>
            </w:pPr>
          </w:p>
        </w:tc>
      </w:tr>
      <w:tr w14:paraId="1230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89" w:hRule="atLeast"/>
        </w:trPr>
        <w:tc>
          <w:tcPr>
            <w:tcW w:w="817" w:type="dxa"/>
            <w:noWrap w:val="0"/>
            <w:vAlign w:val="center"/>
          </w:tcPr>
          <w:p w14:paraId="267E0AFC">
            <w:pPr>
              <w:widowControl/>
              <w:spacing w:line="360" w:lineRule="auto"/>
              <w:jc w:val="center"/>
              <w:rPr>
                <w:color w:val="auto"/>
                <w:sz w:val="24"/>
                <w:highlight w:val="none"/>
              </w:rPr>
            </w:pPr>
          </w:p>
        </w:tc>
        <w:tc>
          <w:tcPr>
            <w:tcW w:w="4394" w:type="dxa"/>
            <w:noWrap w:val="0"/>
            <w:vAlign w:val="center"/>
          </w:tcPr>
          <w:p w14:paraId="5423B4CA">
            <w:pPr>
              <w:widowControl/>
              <w:spacing w:line="360" w:lineRule="auto"/>
              <w:jc w:val="center"/>
              <w:rPr>
                <w:color w:val="auto"/>
                <w:sz w:val="24"/>
                <w:highlight w:val="none"/>
              </w:rPr>
            </w:pPr>
          </w:p>
        </w:tc>
        <w:tc>
          <w:tcPr>
            <w:tcW w:w="1985" w:type="dxa"/>
            <w:noWrap w:val="0"/>
            <w:vAlign w:val="center"/>
          </w:tcPr>
          <w:p w14:paraId="432C2836">
            <w:pPr>
              <w:widowControl/>
              <w:spacing w:line="360" w:lineRule="auto"/>
              <w:jc w:val="center"/>
              <w:rPr>
                <w:color w:val="auto"/>
                <w:sz w:val="24"/>
                <w:highlight w:val="none"/>
              </w:rPr>
            </w:pPr>
          </w:p>
        </w:tc>
        <w:tc>
          <w:tcPr>
            <w:tcW w:w="1134" w:type="dxa"/>
            <w:noWrap w:val="0"/>
            <w:vAlign w:val="center"/>
          </w:tcPr>
          <w:p w14:paraId="350053B4">
            <w:pPr>
              <w:widowControl/>
              <w:spacing w:line="360" w:lineRule="auto"/>
              <w:jc w:val="center"/>
              <w:rPr>
                <w:color w:val="auto"/>
                <w:sz w:val="24"/>
                <w:highlight w:val="none"/>
              </w:rPr>
            </w:pPr>
          </w:p>
        </w:tc>
      </w:tr>
      <w:tr w14:paraId="02C1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89" w:hRule="atLeast"/>
        </w:trPr>
        <w:tc>
          <w:tcPr>
            <w:tcW w:w="817" w:type="dxa"/>
            <w:noWrap w:val="0"/>
            <w:vAlign w:val="center"/>
          </w:tcPr>
          <w:p w14:paraId="7D9F4A94">
            <w:pPr>
              <w:widowControl/>
              <w:spacing w:line="360" w:lineRule="auto"/>
              <w:jc w:val="center"/>
              <w:rPr>
                <w:color w:val="auto"/>
                <w:sz w:val="24"/>
                <w:highlight w:val="none"/>
              </w:rPr>
            </w:pPr>
          </w:p>
        </w:tc>
        <w:tc>
          <w:tcPr>
            <w:tcW w:w="4394" w:type="dxa"/>
            <w:noWrap w:val="0"/>
            <w:vAlign w:val="center"/>
          </w:tcPr>
          <w:p w14:paraId="4C7C0D7D">
            <w:pPr>
              <w:widowControl/>
              <w:spacing w:line="360" w:lineRule="auto"/>
              <w:jc w:val="center"/>
              <w:rPr>
                <w:color w:val="auto"/>
                <w:sz w:val="24"/>
                <w:highlight w:val="none"/>
              </w:rPr>
            </w:pPr>
          </w:p>
        </w:tc>
        <w:tc>
          <w:tcPr>
            <w:tcW w:w="1985" w:type="dxa"/>
            <w:noWrap w:val="0"/>
            <w:vAlign w:val="center"/>
          </w:tcPr>
          <w:p w14:paraId="59C06DDB">
            <w:pPr>
              <w:widowControl/>
              <w:spacing w:line="360" w:lineRule="auto"/>
              <w:jc w:val="center"/>
              <w:rPr>
                <w:color w:val="auto"/>
                <w:sz w:val="24"/>
                <w:highlight w:val="none"/>
              </w:rPr>
            </w:pPr>
          </w:p>
        </w:tc>
        <w:tc>
          <w:tcPr>
            <w:tcW w:w="1134" w:type="dxa"/>
            <w:noWrap w:val="0"/>
            <w:vAlign w:val="center"/>
          </w:tcPr>
          <w:p w14:paraId="1CC0A422">
            <w:pPr>
              <w:widowControl/>
              <w:spacing w:line="360" w:lineRule="auto"/>
              <w:jc w:val="center"/>
              <w:rPr>
                <w:color w:val="auto"/>
                <w:sz w:val="24"/>
                <w:highlight w:val="none"/>
              </w:rPr>
            </w:pPr>
          </w:p>
        </w:tc>
      </w:tr>
      <w:tr w14:paraId="3039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89" w:hRule="atLeast"/>
        </w:trPr>
        <w:tc>
          <w:tcPr>
            <w:tcW w:w="817" w:type="dxa"/>
            <w:noWrap w:val="0"/>
            <w:vAlign w:val="center"/>
          </w:tcPr>
          <w:p w14:paraId="57DE7CBE">
            <w:pPr>
              <w:widowControl/>
              <w:spacing w:line="360" w:lineRule="auto"/>
              <w:jc w:val="center"/>
              <w:rPr>
                <w:color w:val="auto"/>
                <w:sz w:val="24"/>
                <w:highlight w:val="none"/>
              </w:rPr>
            </w:pPr>
          </w:p>
        </w:tc>
        <w:tc>
          <w:tcPr>
            <w:tcW w:w="4394" w:type="dxa"/>
            <w:noWrap w:val="0"/>
            <w:vAlign w:val="center"/>
          </w:tcPr>
          <w:p w14:paraId="1F845CF1">
            <w:pPr>
              <w:widowControl/>
              <w:spacing w:line="360" w:lineRule="auto"/>
              <w:jc w:val="center"/>
              <w:rPr>
                <w:color w:val="auto"/>
                <w:sz w:val="24"/>
                <w:highlight w:val="none"/>
              </w:rPr>
            </w:pPr>
          </w:p>
        </w:tc>
        <w:tc>
          <w:tcPr>
            <w:tcW w:w="1985" w:type="dxa"/>
            <w:noWrap w:val="0"/>
            <w:vAlign w:val="center"/>
          </w:tcPr>
          <w:p w14:paraId="5E6238F6">
            <w:pPr>
              <w:widowControl/>
              <w:spacing w:line="360" w:lineRule="auto"/>
              <w:jc w:val="center"/>
              <w:rPr>
                <w:color w:val="auto"/>
                <w:sz w:val="24"/>
                <w:highlight w:val="none"/>
              </w:rPr>
            </w:pPr>
          </w:p>
        </w:tc>
        <w:tc>
          <w:tcPr>
            <w:tcW w:w="1134" w:type="dxa"/>
            <w:noWrap w:val="0"/>
            <w:vAlign w:val="center"/>
          </w:tcPr>
          <w:p w14:paraId="2FD2CCBF">
            <w:pPr>
              <w:widowControl/>
              <w:spacing w:line="360" w:lineRule="auto"/>
              <w:jc w:val="center"/>
              <w:rPr>
                <w:color w:val="auto"/>
                <w:sz w:val="24"/>
                <w:highlight w:val="none"/>
              </w:rPr>
            </w:pPr>
          </w:p>
        </w:tc>
      </w:tr>
      <w:tr w14:paraId="6481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89" w:hRule="atLeast"/>
        </w:trPr>
        <w:tc>
          <w:tcPr>
            <w:tcW w:w="817" w:type="dxa"/>
            <w:noWrap w:val="0"/>
            <w:vAlign w:val="center"/>
          </w:tcPr>
          <w:p w14:paraId="56A7EAF7">
            <w:pPr>
              <w:widowControl/>
              <w:spacing w:line="360" w:lineRule="auto"/>
              <w:jc w:val="center"/>
              <w:rPr>
                <w:color w:val="auto"/>
                <w:sz w:val="24"/>
                <w:highlight w:val="none"/>
              </w:rPr>
            </w:pPr>
          </w:p>
        </w:tc>
        <w:tc>
          <w:tcPr>
            <w:tcW w:w="4394" w:type="dxa"/>
            <w:noWrap w:val="0"/>
            <w:vAlign w:val="center"/>
          </w:tcPr>
          <w:p w14:paraId="34499F6D">
            <w:pPr>
              <w:widowControl/>
              <w:spacing w:line="360" w:lineRule="auto"/>
              <w:jc w:val="center"/>
              <w:rPr>
                <w:color w:val="auto"/>
                <w:sz w:val="24"/>
                <w:highlight w:val="none"/>
              </w:rPr>
            </w:pPr>
          </w:p>
        </w:tc>
        <w:tc>
          <w:tcPr>
            <w:tcW w:w="1985" w:type="dxa"/>
            <w:noWrap w:val="0"/>
            <w:vAlign w:val="center"/>
          </w:tcPr>
          <w:p w14:paraId="48205564">
            <w:pPr>
              <w:widowControl/>
              <w:spacing w:line="360" w:lineRule="auto"/>
              <w:jc w:val="center"/>
              <w:rPr>
                <w:color w:val="auto"/>
                <w:sz w:val="24"/>
                <w:highlight w:val="none"/>
              </w:rPr>
            </w:pPr>
          </w:p>
        </w:tc>
        <w:tc>
          <w:tcPr>
            <w:tcW w:w="1134" w:type="dxa"/>
            <w:noWrap w:val="0"/>
            <w:vAlign w:val="center"/>
          </w:tcPr>
          <w:p w14:paraId="775E452E">
            <w:pPr>
              <w:widowControl/>
              <w:spacing w:line="360" w:lineRule="auto"/>
              <w:jc w:val="center"/>
              <w:rPr>
                <w:color w:val="auto"/>
                <w:sz w:val="24"/>
                <w:highlight w:val="none"/>
              </w:rPr>
            </w:pPr>
          </w:p>
        </w:tc>
      </w:tr>
      <w:tr w14:paraId="449B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89" w:hRule="atLeast"/>
        </w:trPr>
        <w:tc>
          <w:tcPr>
            <w:tcW w:w="817" w:type="dxa"/>
            <w:noWrap w:val="0"/>
            <w:vAlign w:val="center"/>
          </w:tcPr>
          <w:p w14:paraId="4E92582B">
            <w:pPr>
              <w:widowControl/>
              <w:spacing w:line="360" w:lineRule="auto"/>
              <w:jc w:val="center"/>
              <w:rPr>
                <w:color w:val="auto"/>
                <w:sz w:val="24"/>
                <w:highlight w:val="none"/>
              </w:rPr>
            </w:pPr>
          </w:p>
        </w:tc>
        <w:tc>
          <w:tcPr>
            <w:tcW w:w="4394" w:type="dxa"/>
            <w:noWrap w:val="0"/>
            <w:vAlign w:val="center"/>
          </w:tcPr>
          <w:p w14:paraId="56DA7E6C">
            <w:pPr>
              <w:widowControl/>
              <w:spacing w:line="360" w:lineRule="auto"/>
              <w:jc w:val="center"/>
              <w:rPr>
                <w:color w:val="auto"/>
                <w:sz w:val="24"/>
                <w:highlight w:val="none"/>
              </w:rPr>
            </w:pPr>
          </w:p>
        </w:tc>
        <w:tc>
          <w:tcPr>
            <w:tcW w:w="1985" w:type="dxa"/>
            <w:noWrap w:val="0"/>
            <w:vAlign w:val="center"/>
          </w:tcPr>
          <w:p w14:paraId="7A4DCEE1">
            <w:pPr>
              <w:widowControl/>
              <w:spacing w:line="360" w:lineRule="auto"/>
              <w:jc w:val="center"/>
              <w:rPr>
                <w:color w:val="auto"/>
                <w:sz w:val="24"/>
                <w:highlight w:val="none"/>
              </w:rPr>
            </w:pPr>
          </w:p>
        </w:tc>
        <w:tc>
          <w:tcPr>
            <w:tcW w:w="1134" w:type="dxa"/>
            <w:noWrap w:val="0"/>
            <w:vAlign w:val="center"/>
          </w:tcPr>
          <w:p w14:paraId="4CC96E8D">
            <w:pPr>
              <w:widowControl/>
              <w:spacing w:line="360" w:lineRule="auto"/>
              <w:jc w:val="center"/>
              <w:rPr>
                <w:color w:val="auto"/>
                <w:sz w:val="24"/>
                <w:highlight w:val="none"/>
              </w:rPr>
            </w:pPr>
          </w:p>
        </w:tc>
      </w:tr>
    </w:tbl>
    <w:p w14:paraId="5E8CBB27">
      <w:pPr>
        <w:widowControl/>
        <w:spacing w:line="360" w:lineRule="auto"/>
        <w:jc w:val="left"/>
        <w:rPr>
          <w:rFonts w:hint="eastAsia"/>
          <w:color w:val="auto"/>
          <w:highlight w:val="none"/>
        </w:rPr>
      </w:pPr>
    </w:p>
    <w:p w14:paraId="13C7F949">
      <w:pPr>
        <w:widowControl/>
        <w:spacing w:line="360" w:lineRule="auto"/>
        <w:jc w:val="left"/>
        <w:rPr>
          <w:rFonts w:hint="eastAsia"/>
          <w:color w:val="auto"/>
          <w:highlight w:val="none"/>
        </w:rPr>
      </w:pPr>
      <w:r>
        <w:rPr>
          <w:rFonts w:hint="eastAsia"/>
          <w:color w:val="auto"/>
          <w:highlight w:val="none"/>
        </w:rPr>
        <w:t xml:space="preserve"> </w:t>
      </w:r>
    </w:p>
    <w:p w14:paraId="14DC86F8">
      <w:pPr>
        <w:widowControl/>
        <w:spacing w:line="360" w:lineRule="auto"/>
        <w:jc w:val="left"/>
        <w:rPr>
          <w:rFonts w:hint="eastAsia"/>
          <w:color w:val="auto"/>
          <w:highlight w:val="none"/>
        </w:rPr>
      </w:pPr>
    </w:p>
    <w:p w14:paraId="75452286">
      <w:pPr>
        <w:widowControl/>
        <w:spacing w:line="360" w:lineRule="auto"/>
        <w:jc w:val="left"/>
        <w:rPr>
          <w:b/>
          <w:color w:val="auto"/>
          <w:sz w:val="24"/>
          <w:highlight w:val="none"/>
        </w:rPr>
        <w:sectPr>
          <w:pgSz w:w="11906" w:h="16838"/>
          <w:pgMar w:top="1474" w:right="1797" w:bottom="1247" w:left="1797" w:header="851" w:footer="851" w:gutter="0"/>
          <w:pgBorders w:offsetFrom="page">
            <w:top w:val="none" w:sz="0" w:space="0"/>
            <w:left w:val="none" w:sz="0" w:space="0"/>
            <w:bottom w:val="none" w:sz="0" w:space="0"/>
            <w:right w:val="none" w:sz="0" w:space="0"/>
          </w:pgBorders>
          <w:pgNumType w:fmt="numberInDash"/>
          <w:cols w:space="720" w:num="1"/>
          <w:docGrid w:linePitch="312" w:charSpace="0"/>
        </w:sectPr>
      </w:pPr>
      <w:r>
        <w:rPr>
          <w:rFonts w:hint="eastAsia"/>
          <w:b/>
          <w:color w:val="auto"/>
          <w:sz w:val="24"/>
          <w:highlight w:val="none"/>
        </w:rPr>
        <w:t>注：要求提供人工网点清单及营业执照复印件，无证明材料的不得分。</w:t>
      </w:r>
    </w:p>
    <w:p w14:paraId="3D29516D">
      <w:pPr>
        <w:widowControl/>
        <w:spacing w:line="360" w:lineRule="auto"/>
        <w:jc w:val="left"/>
        <w:rPr>
          <w:color w:val="auto"/>
          <w:sz w:val="28"/>
          <w:szCs w:val="28"/>
          <w:highlight w:val="none"/>
        </w:rPr>
      </w:pPr>
      <w:r>
        <w:rPr>
          <w:color w:val="auto"/>
          <w:sz w:val="28"/>
          <w:szCs w:val="28"/>
          <w:highlight w:val="none"/>
        </w:rPr>
        <w:t>附件</w:t>
      </w:r>
      <w:r>
        <w:rPr>
          <w:rFonts w:hint="eastAsia"/>
          <w:color w:val="auto"/>
          <w:sz w:val="28"/>
          <w:szCs w:val="28"/>
          <w:highlight w:val="none"/>
        </w:rPr>
        <w:t>十</w:t>
      </w:r>
      <w:r>
        <w:rPr>
          <w:rFonts w:hint="eastAsia"/>
          <w:color w:val="auto"/>
          <w:sz w:val="28"/>
          <w:szCs w:val="28"/>
          <w:highlight w:val="none"/>
          <w:lang w:val="en-US" w:eastAsia="zh-CN"/>
        </w:rPr>
        <w:t>二</w:t>
      </w:r>
      <w:r>
        <w:rPr>
          <w:color w:val="auto"/>
          <w:sz w:val="28"/>
          <w:szCs w:val="28"/>
          <w:highlight w:val="none"/>
        </w:rPr>
        <w:t>、服务费用减免等银行服务优惠措施</w:t>
      </w:r>
    </w:p>
    <w:p w14:paraId="4F95DDC9">
      <w:pPr>
        <w:widowControl/>
        <w:spacing w:line="360" w:lineRule="auto"/>
        <w:jc w:val="left"/>
        <w:rPr>
          <w:color w:val="auto"/>
          <w:sz w:val="28"/>
          <w:szCs w:val="28"/>
          <w:highlight w:val="none"/>
        </w:rPr>
      </w:pPr>
      <w:r>
        <w:rPr>
          <w:color w:val="auto"/>
          <w:sz w:val="28"/>
          <w:szCs w:val="28"/>
          <w:highlight w:val="none"/>
        </w:rPr>
        <w:t>附件</w:t>
      </w:r>
      <w:r>
        <w:rPr>
          <w:rFonts w:hint="eastAsia"/>
          <w:color w:val="auto"/>
          <w:sz w:val="28"/>
          <w:szCs w:val="28"/>
          <w:highlight w:val="none"/>
        </w:rPr>
        <w:t>十</w:t>
      </w:r>
      <w:r>
        <w:rPr>
          <w:rFonts w:hint="eastAsia"/>
          <w:color w:val="auto"/>
          <w:sz w:val="28"/>
          <w:szCs w:val="28"/>
          <w:highlight w:val="none"/>
          <w:lang w:val="en-US" w:eastAsia="zh-CN"/>
        </w:rPr>
        <w:t>三</w:t>
      </w:r>
      <w:r>
        <w:rPr>
          <w:color w:val="auto"/>
          <w:sz w:val="28"/>
          <w:szCs w:val="28"/>
          <w:highlight w:val="none"/>
        </w:rPr>
        <w:t>、投标银行信息系统建设</w:t>
      </w:r>
    </w:p>
    <w:p w14:paraId="1248AA0B">
      <w:pPr>
        <w:widowControl/>
        <w:spacing w:line="360" w:lineRule="auto"/>
        <w:jc w:val="left"/>
        <w:rPr>
          <w:rFonts w:hint="eastAsia"/>
          <w:color w:val="auto"/>
          <w:sz w:val="28"/>
          <w:szCs w:val="28"/>
          <w:highlight w:val="none"/>
        </w:rPr>
      </w:pPr>
      <w:r>
        <w:rPr>
          <w:color w:val="auto"/>
          <w:sz w:val="28"/>
          <w:szCs w:val="28"/>
          <w:highlight w:val="none"/>
        </w:rPr>
        <w:t>附件十</w:t>
      </w:r>
      <w:r>
        <w:rPr>
          <w:rFonts w:hint="eastAsia"/>
          <w:color w:val="auto"/>
          <w:sz w:val="28"/>
          <w:szCs w:val="28"/>
          <w:highlight w:val="none"/>
          <w:lang w:val="en-US" w:eastAsia="zh-CN"/>
        </w:rPr>
        <w:t>四</w:t>
      </w:r>
      <w:r>
        <w:rPr>
          <w:color w:val="auto"/>
          <w:sz w:val="28"/>
          <w:szCs w:val="28"/>
          <w:highlight w:val="none"/>
        </w:rPr>
        <w:t>、投标银行的服务管理</w:t>
      </w:r>
      <w:r>
        <w:rPr>
          <w:rFonts w:hint="eastAsia"/>
          <w:color w:val="auto"/>
          <w:sz w:val="28"/>
          <w:szCs w:val="28"/>
          <w:highlight w:val="none"/>
        </w:rPr>
        <w:t>体系及服务模式</w:t>
      </w:r>
    </w:p>
    <w:p w14:paraId="15C6705F">
      <w:pPr>
        <w:widowControl/>
        <w:spacing w:line="360" w:lineRule="auto"/>
        <w:jc w:val="left"/>
        <w:rPr>
          <w:rFonts w:hint="eastAsia"/>
          <w:color w:val="auto"/>
          <w:sz w:val="28"/>
          <w:szCs w:val="28"/>
          <w:highlight w:val="none"/>
        </w:rPr>
      </w:pPr>
      <w:r>
        <w:rPr>
          <w:color w:val="auto"/>
          <w:sz w:val="28"/>
          <w:szCs w:val="28"/>
          <w:highlight w:val="none"/>
        </w:rPr>
        <w:t>附件十</w:t>
      </w:r>
      <w:r>
        <w:rPr>
          <w:rFonts w:hint="eastAsia"/>
          <w:color w:val="auto"/>
          <w:sz w:val="28"/>
          <w:szCs w:val="28"/>
          <w:highlight w:val="none"/>
          <w:lang w:val="en-US" w:eastAsia="zh-CN"/>
        </w:rPr>
        <w:t>五</w:t>
      </w:r>
      <w:r>
        <w:rPr>
          <w:color w:val="auto"/>
          <w:sz w:val="28"/>
          <w:szCs w:val="28"/>
          <w:highlight w:val="none"/>
        </w:rPr>
        <w:t>、</w:t>
      </w:r>
      <w:r>
        <w:rPr>
          <w:rFonts w:hint="eastAsia"/>
          <w:color w:val="auto"/>
          <w:sz w:val="28"/>
          <w:szCs w:val="28"/>
          <w:highlight w:val="none"/>
        </w:rPr>
        <w:t>账务、分账核算服务方案</w:t>
      </w:r>
    </w:p>
    <w:p w14:paraId="4E513E49">
      <w:pPr>
        <w:widowControl/>
        <w:spacing w:line="360" w:lineRule="auto"/>
        <w:jc w:val="left"/>
        <w:rPr>
          <w:color w:val="auto"/>
          <w:sz w:val="28"/>
          <w:szCs w:val="28"/>
          <w:highlight w:val="none"/>
        </w:rPr>
      </w:pPr>
      <w:r>
        <w:rPr>
          <w:color w:val="auto"/>
          <w:sz w:val="28"/>
          <w:szCs w:val="28"/>
          <w:highlight w:val="none"/>
        </w:rPr>
        <w:t>附件十</w:t>
      </w:r>
      <w:r>
        <w:rPr>
          <w:rFonts w:hint="eastAsia"/>
          <w:color w:val="auto"/>
          <w:sz w:val="28"/>
          <w:szCs w:val="28"/>
          <w:highlight w:val="none"/>
          <w:lang w:val="en-US" w:eastAsia="zh-CN"/>
        </w:rPr>
        <w:t>六</w:t>
      </w:r>
      <w:r>
        <w:rPr>
          <w:color w:val="auto"/>
          <w:sz w:val="28"/>
          <w:szCs w:val="28"/>
          <w:highlight w:val="none"/>
        </w:rPr>
        <w:t>、对账服务方案</w:t>
      </w:r>
    </w:p>
    <w:p w14:paraId="18242A0D">
      <w:pPr>
        <w:widowControl/>
        <w:spacing w:line="360" w:lineRule="auto"/>
        <w:jc w:val="left"/>
        <w:rPr>
          <w:color w:val="auto"/>
          <w:sz w:val="28"/>
          <w:szCs w:val="28"/>
          <w:highlight w:val="none"/>
        </w:rPr>
      </w:pPr>
      <w:r>
        <w:rPr>
          <w:color w:val="auto"/>
          <w:sz w:val="28"/>
          <w:szCs w:val="28"/>
          <w:highlight w:val="none"/>
        </w:rPr>
        <w:t>附件十</w:t>
      </w:r>
      <w:r>
        <w:rPr>
          <w:rFonts w:hint="eastAsia"/>
          <w:color w:val="auto"/>
          <w:sz w:val="28"/>
          <w:szCs w:val="28"/>
          <w:highlight w:val="none"/>
          <w:lang w:val="en-US" w:eastAsia="zh-CN"/>
        </w:rPr>
        <w:t>七</w:t>
      </w:r>
      <w:r>
        <w:rPr>
          <w:color w:val="auto"/>
          <w:sz w:val="28"/>
          <w:szCs w:val="28"/>
          <w:highlight w:val="none"/>
        </w:rPr>
        <w:t>、</w:t>
      </w:r>
      <w:r>
        <w:rPr>
          <w:rFonts w:hint="eastAsia"/>
          <w:color w:val="auto"/>
          <w:sz w:val="28"/>
          <w:szCs w:val="28"/>
          <w:highlight w:val="none"/>
        </w:rPr>
        <w:t>上门服务及费用承诺</w:t>
      </w:r>
    </w:p>
    <w:p w14:paraId="734F62B9">
      <w:pPr>
        <w:widowControl/>
        <w:spacing w:line="360" w:lineRule="auto"/>
        <w:jc w:val="left"/>
        <w:rPr>
          <w:rFonts w:hint="eastAsia"/>
          <w:color w:val="auto"/>
          <w:sz w:val="28"/>
          <w:szCs w:val="28"/>
          <w:highlight w:val="none"/>
        </w:rPr>
      </w:pPr>
      <w:r>
        <w:rPr>
          <w:color w:val="auto"/>
          <w:sz w:val="28"/>
          <w:szCs w:val="28"/>
          <w:highlight w:val="none"/>
        </w:rPr>
        <w:t>附件十</w:t>
      </w:r>
      <w:r>
        <w:rPr>
          <w:rFonts w:hint="eastAsia"/>
          <w:color w:val="auto"/>
          <w:sz w:val="28"/>
          <w:szCs w:val="28"/>
          <w:highlight w:val="none"/>
          <w:lang w:val="en-US" w:eastAsia="zh-CN"/>
        </w:rPr>
        <w:t>八</w:t>
      </w:r>
      <w:r>
        <w:rPr>
          <w:color w:val="auto"/>
          <w:sz w:val="28"/>
          <w:szCs w:val="28"/>
          <w:highlight w:val="none"/>
        </w:rPr>
        <w:t>、投标银行情况介绍（结合评标细则进行描述）</w:t>
      </w:r>
    </w:p>
    <w:p w14:paraId="480ADD1F">
      <w:pPr>
        <w:widowControl/>
        <w:spacing w:line="360" w:lineRule="auto"/>
        <w:jc w:val="left"/>
        <w:rPr>
          <w:color w:val="auto"/>
          <w:sz w:val="28"/>
          <w:szCs w:val="28"/>
          <w:highlight w:val="none"/>
        </w:rPr>
      </w:pPr>
      <w:r>
        <w:rPr>
          <w:color w:val="auto"/>
          <w:sz w:val="28"/>
          <w:szCs w:val="28"/>
          <w:highlight w:val="none"/>
        </w:rPr>
        <w:t>附件</w:t>
      </w:r>
      <w:r>
        <w:rPr>
          <w:rFonts w:hint="eastAsia"/>
          <w:color w:val="auto"/>
          <w:sz w:val="28"/>
          <w:szCs w:val="28"/>
          <w:highlight w:val="none"/>
          <w:lang w:val="en-US" w:eastAsia="zh-CN"/>
        </w:rPr>
        <w:t>十九</w:t>
      </w:r>
      <w:r>
        <w:rPr>
          <w:rFonts w:hint="eastAsia"/>
          <w:color w:val="auto"/>
          <w:sz w:val="28"/>
          <w:szCs w:val="28"/>
          <w:highlight w:val="none"/>
        </w:rPr>
        <w:t>、以往合作情况</w:t>
      </w:r>
      <w:r>
        <w:rPr>
          <w:color w:val="auto"/>
          <w:sz w:val="28"/>
          <w:szCs w:val="28"/>
          <w:highlight w:val="none"/>
        </w:rPr>
        <w:t>（提供证明材料）</w:t>
      </w:r>
    </w:p>
    <w:p w14:paraId="282252D5">
      <w:pPr>
        <w:widowControl/>
        <w:spacing w:line="360" w:lineRule="auto"/>
        <w:jc w:val="left"/>
        <w:rPr>
          <w:rFonts w:hint="eastAsia"/>
          <w:color w:val="auto"/>
          <w:sz w:val="28"/>
          <w:szCs w:val="28"/>
          <w:highlight w:val="none"/>
        </w:rPr>
      </w:pPr>
      <w:r>
        <w:rPr>
          <w:color w:val="auto"/>
          <w:sz w:val="28"/>
          <w:szCs w:val="28"/>
          <w:highlight w:val="none"/>
        </w:rPr>
        <w:t>附件二十、</w:t>
      </w:r>
      <w:r>
        <w:rPr>
          <w:rFonts w:hint="eastAsia"/>
          <w:color w:val="auto"/>
          <w:sz w:val="28"/>
          <w:szCs w:val="28"/>
          <w:highlight w:val="none"/>
          <w:lang w:eastAsia="zh-CN"/>
        </w:rPr>
        <w:t>2023</w:t>
      </w:r>
      <w:r>
        <w:rPr>
          <w:rFonts w:hint="eastAsia"/>
          <w:color w:val="auto"/>
          <w:sz w:val="28"/>
          <w:szCs w:val="28"/>
          <w:highlight w:val="none"/>
        </w:rPr>
        <w:t>年度支持萧山经济社会发展情况（提供证明文件）</w:t>
      </w:r>
    </w:p>
    <w:p w14:paraId="5EF06995">
      <w:pPr>
        <w:widowControl/>
        <w:spacing w:line="360" w:lineRule="auto"/>
        <w:jc w:val="left"/>
        <w:rPr>
          <w:rFonts w:hint="eastAsia"/>
          <w:color w:val="auto"/>
          <w:sz w:val="28"/>
          <w:szCs w:val="28"/>
          <w:highlight w:val="none"/>
        </w:rPr>
      </w:pPr>
      <w:r>
        <w:rPr>
          <w:rFonts w:hint="eastAsia"/>
          <w:color w:val="auto"/>
          <w:sz w:val="28"/>
          <w:szCs w:val="28"/>
          <w:highlight w:val="none"/>
        </w:rPr>
        <w:t>附件二十</w:t>
      </w:r>
      <w:r>
        <w:rPr>
          <w:rFonts w:hint="eastAsia"/>
          <w:color w:val="auto"/>
          <w:sz w:val="28"/>
          <w:szCs w:val="28"/>
          <w:highlight w:val="none"/>
          <w:lang w:val="en-US" w:eastAsia="zh-CN"/>
        </w:rPr>
        <w:t>一</w:t>
      </w:r>
      <w:r>
        <w:rPr>
          <w:rFonts w:hint="eastAsia"/>
          <w:color w:val="auto"/>
          <w:sz w:val="28"/>
          <w:szCs w:val="28"/>
          <w:highlight w:val="none"/>
        </w:rPr>
        <w:t>、</w:t>
      </w:r>
      <w:r>
        <w:rPr>
          <w:rFonts w:hint="eastAsia"/>
          <w:color w:val="auto"/>
          <w:sz w:val="28"/>
          <w:szCs w:val="28"/>
          <w:highlight w:val="none"/>
          <w:lang w:eastAsia="zh-CN"/>
        </w:rPr>
        <w:t>2023</w:t>
      </w:r>
      <w:r>
        <w:rPr>
          <w:rFonts w:hint="eastAsia"/>
          <w:color w:val="auto"/>
          <w:sz w:val="28"/>
          <w:szCs w:val="28"/>
          <w:highlight w:val="none"/>
        </w:rPr>
        <w:t>年度在萧存贷比规模（提供证明文件）</w:t>
      </w:r>
    </w:p>
    <w:p w14:paraId="1BFDC1FB">
      <w:pPr>
        <w:widowControl/>
        <w:spacing w:line="360" w:lineRule="auto"/>
        <w:jc w:val="left"/>
        <w:rPr>
          <w:rFonts w:hint="eastAsia"/>
          <w:color w:val="auto"/>
          <w:sz w:val="28"/>
          <w:szCs w:val="28"/>
          <w:highlight w:val="none"/>
        </w:rPr>
      </w:pPr>
      <w:r>
        <w:rPr>
          <w:rFonts w:hint="eastAsia"/>
          <w:color w:val="auto"/>
          <w:sz w:val="28"/>
          <w:szCs w:val="28"/>
          <w:highlight w:val="none"/>
        </w:rPr>
        <w:t>附件二十</w:t>
      </w:r>
      <w:r>
        <w:rPr>
          <w:rFonts w:hint="eastAsia"/>
          <w:color w:val="auto"/>
          <w:sz w:val="28"/>
          <w:szCs w:val="28"/>
          <w:highlight w:val="none"/>
          <w:lang w:val="en-US" w:eastAsia="zh-CN"/>
        </w:rPr>
        <w:t>二</w:t>
      </w:r>
      <w:r>
        <w:rPr>
          <w:rFonts w:hint="eastAsia"/>
          <w:color w:val="auto"/>
          <w:sz w:val="28"/>
          <w:szCs w:val="28"/>
          <w:highlight w:val="none"/>
        </w:rPr>
        <w:t>、</w:t>
      </w:r>
      <w:r>
        <w:rPr>
          <w:rFonts w:hint="eastAsia"/>
          <w:color w:val="auto"/>
          <w:sz w:val="28"/>
          <w:szCs w:val="28"/>
          <w:highlight w:val="none"/>
          <w:lang w:eastAsia="zh-CN"/>
        </w:rPr>
        <w:t>2023</w:t>
      </w:r>
      <w:r>
        <w:rPr>
          <w:rFonts w:hint="eastAsia"/>
          <w:color w:val="auto"/>
          <w:sz w:val="28"/>
          <w:szCs w:val="28"/>
          <w:highlight w:val="none"/>
        </w:rPr>
        <w:t>年度对萧山区公益事业资助情况及证明</w:t>
      </w:r>
    </w:p>
    <w:p w14:paraId="3B2C3098">
      <w:pPr>
        <w:widowControl/>
        <w:spacing w:line="360" w:lineRule="auto"/>
        <w:jc w:val="left"/>
        <w:rPr>
          <w:rFonts w:hint="eastAsia"/>
          <w:color w:val="auto"/>
          <w:highlight w:val="none"/>
        </w:rPr>
      </w:pPr>
      <w:r>
        <w:rPr>
          <w:rFonts w:hint="eastAsia"/>
          <w:color w:val="auto"/>
          <w:sz w:val="28"/>
          <w:szCs w:val="28"/>
          <w:highlight w:val="none"/>
        </w:rPr>
        <w:t>附件二十</w:t>
      </w:r>
      <w:r>
        <w:rPr>
          <w:rFonts w:hint="eastAsia"/>
          <w:color w:val="auto"/>
          <w:sz w:val="28"/>
          <w:szCs w:val="28"/>
          <w:highlight w:val="none"/>
          <w:lang w:val="en-US" w:eastAsia="zh-CN"/>
        </w:rPr>
        <w:t>三</w:t>
      </w:r>
      <w:r>
        <w:rPr>
          <w:rFonts w:hint="eastAsia"/>
          <w:color w:val="auto"/>
          <w:sz w:val="28"/>
          <w:szCs w:val="28"/>
          <w:highlight w:val="none"/>
        </w:rPr>
        <w:t>、针对招标文件第三章的承诺</w:t>
      </w:r>
    </w:p>
    <w:p w14:paraId="7CEBC5EE">
      <w:pPr>
        <w:widowControl/>
        <w:spacing w:line="360" w:lineRule="auto"/>
        <w:jc w:val="left"/>
        <w:rPr>
          <w:color w:val="auto"/>
          <w:sz w:val="28"/>
          <w:szCs w:val="28"/>
          <w:highlight w:val="none"/>
        </w:rPr>
      </w:pPr>
      <w:r>
        <w:rPr>
          <w:color w:val="auto"/>
          <w:sz w:val="28"/>
          <w:szCs w:val="28"/>
          <w:highlight w:val="none"/>
        </w:rPr>
        <w:t>附件</w:t>
      </w:r>
      <w:r>
        <w:rPr>
          <w:rFonts w:hint="eastAsia"/>
          <w:color w:val="auto"/>
          <w:sz w:val="28"/>
          <w:szCs w:val="28"/>
          <w:highlight w:val="none"/>
        </w:rPr>
        <w:t>二十</w:t>
      </w:r>
      <w:r>
        <w:rPr>
          <w:rFonts w:hint="eastAsia"/>
          <w:color w:val="auto"/>
          <w:sz w:val="28"/>
          <w:szCs w:val="28"/>
          <w:highlight w:val="none"/>
          <w:lang w:val="en-US" w:eastAsia="zh-CN"/>
        </w:rPr>
        <w:t>四</w:t>
      </w:r>
      <w:r>
        <w:rPr>
          <w:color w:val="auto"/>
          <w:sz w:val="28"/>
          <w:szCs w:val="28"/>
          <w:highlight w:val="none"/>
        </w:rPr>
        <w:t>、营业执照、金融业务许可证、组织机构代码证、税务登记证复印件</w:t>
      </w:r>
      <w:r>
        <w:rPr>
          <w:rFonts w:hint="eastAsia"/>
          <w:color w:val="auto"/>
          <w:sz w:val="28"/>
          <w:szCs w:val="28"/>
          <w:highlight w:val="none"/>
        </w:rPr>
        <w:t>等</w:t>
      </w:r>
    </w:p>
    <w:p w14:paraId="60D42F5F">
      <w:pPr>
        <w:widowControl/>
        <w:spacing w:line="360" w:lineRule="auto"/>
        <w:jc w:val="left"/>
        <w:rPr>
          <w:color w:val="auto"/>
          <w:sz w:val="28"/>
          <w:szCs w:val="28"/>
          <w:highlight w:val="none"/>
        </w:rPr>
      </w:pPr>
      <w:r>
        <w:rPr>
          <w:color w:val="auto"/>
          <w:sz w:val="28"/>
          <w:szCs w:val="28"/>
          <w:highlight w:val="none"/>
        </w:rPr>
        <w:t>附件</w:t>
      </w:r>
      <w:r>
        <w:rPr>
          <w:rFonts w:hint="eastAsia"/>
          <w:color w:val="auto"/>
          <w:sz w:val="28"/>
          <w:szCs w:val="28"/>
          <w:highlight w:val="none"/>
        </w:rPr>
        <w:t>二十</w:t>
      </w:r>
      <w:r>
        <w:rPr>
          <w:rFonts w:hint="eastAsia"/>
          <w:color w:val="auto"/>
          <w:sz w:val="28"/>
          <w:szCs w:val="28"/>
          <w:highlight w:val="none"/>
          <w:lang w:val="en-US" w:eastAsia="zh-CN"/>
        </w:rPr>
        <w:t>五</w:t>
      </w:r>
      <w:r>
        <w:rPr>
          <w:color w:val="auto"/>
          <w:sz w:val="28"/>
          <w:szCs w:val="28"/>
          <w:highlight w:val="none"/>
        </w:rPr>
        <w:t>、投标人认为其他必要的资料</w:t>
      </w:r>
    </w:p>
    <w:p w14:paraId="0F9D2308">
      <w:pPr>
        <w:widowControl/>
        <w:spacing w:line="360" w:lineRule="auto"/>
        <w:jc w:val="center"/>
        <w:rPr>
          <w:rFonts w:hint="eastAsia"/>
          <w:b/>
          <w:color w:val="auto"/>
          <w:sz w:val="32"/>
          <w:szCs w:val="32"/>
          <w:highlight w:val="none"/>
        </w:rPr>
      </w:pPr>
      <w:r>
        <w:rPr>
          <w:color w:val="auto"/>
          <w:sz w:val="28"/>
          <w:szCs w:val="28"/>
          <w:highlight w:val="none"/>
        </w:rPr>
        <w:br w:type="page"/>
      </w:r>
      <w:r>
        <w:rPr>
          <w:rFonts w:hint="eastAsia"/>
          <w:b/>
          <w:color w:val="auto"/>
          <w:sz w:val="32"/>
          <w:szCs w:val="32"/>
          <w:highlight w:val="none"/>
        </w:rPr>
        <w:t>自 评 分 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40"/>
        <w:gridCol w:w="3960"/>
        <w:gridCol w:w="638"/>
        <w:gridCol w:w="1080"/>
        <w:gridCol w:w="900"/>
      </w:tblGrid>
      <w:tr w14:paraId="126F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28" w:type="dxa"/>
            <w:noWrap w:val="0"/>
            <w:vAlign w:val="center"/>
          </w:tcPr>
          <w:p w14:paraId="71865350">
            <w:pPr>
              <w:spacing w:line="360" w:lineRule="auto"/>
              <w:jc w:val="center"/>
              <w:rPr>
                <w:rFonts w:hint="eastAsia"/>
                <w:b/>
                <w:color w:val="auto"/>
                <w:highlight w:val="none"/>
              </w:rPr>
            </w:pPr>
            <w:r>
              <w:rPr>
                <w:rFonts w:hint="eastAsia"/>
                <w:b/>
                <w:color w:val="auto"/>
                <w:highlight w:val="none"/>
              </w:rPr>
              <w:t>指标</w:t>
            </w:r>
          </w:p>
        </w:tc>
        <w:tc>
          <w:tcPr>
            <w:tcW w:w="1440" w:type="dxa"/>
            <w:noWrap w:val="0"/>
            <w:vAlign w:val="center"/>
          </w:tcPr>
          <w:p w14:paraId="0364F2DB">
            <w:pPr>
              <w:spacing w:line="360" w:lineRule="auto"/>
              <w:jc w:val="center"/>
              <w:rPr>
                <w:rFonts w:hint="eastAsia"/>
                <w:b/>
                <w:color w:val="auto"/>
                <w:highlight w:val="none"/>
              </w:rPr>
            </w:pPr>
            <w:r>
              <w:rPr>
                <w:rFonts w:hint="eastAsia"/>
                <w:b/>
                <w:color w:val="auto"/>
                <w:highlight w:val="none"/>
              </w:rPr>
              <w:t>项目</w:t>
            </w:r>
          </w:p>
        </w:tc>
        <w:tc>
          <w:tcPr>
            <w:tcW w:w="3960" w:type="dxa"/>
            <w:noWrap w:val="0"/>
            <w:vAlign w:val="center"/>
          </w:tcPr>
          <w:p w14:paraId="4B685222">
            <w:pPr>
              <w:spacing w:line="360" w:lineRule="auto"/>
              <w:jc w:val="center"/>
              <w:rPr>
                <w:rFonts w:hint="eastAsia"/>
                <w:b/>
                <w:color w:val="auto"/>
                <w:highlight w:val="none"/>
              </w:rPr>
            </w:pPr>
            <w:r>
              <w:rPr>
                <w:rFonts w:hint="eastAsia"/>
                <w:b/>
                <w:color w:val="auto"/>
                <w:highlight w:val="none"/>
              </w:rPr>
              <w:t>评审内容及评分细则</w:t>
            </w:r>
          </w:p>
        </w:tc>
        <w:tc>
          <w:tcPr>
            <w:tcW w:w="638" w:type="dxa"/>
            <w:noWrap w:val="0"/>
            <w:vAlign w:val="center"/>
          </w:tcPr>
          <w:p w14:paraId="62A295C9">
            <w:pPr>
              <w:spacing w:line="360" w:lineRule="auto"/>
              <w:jc w:val="center"/>
              <w:rPr>
                <w:rFonts w:hint="eastAsia"/>
                <w:b/>
                <w:color w:val="auto"/>
                <w:highlight w:val="none"/>
              </w:rPr>
            </w:pPr>
            <w:r>
              <w:rPr>
                <w:rFonts w:hint="eastAsia"/>
                <w:b/>
                <w:color w:val="auto"/>
                <w:highlight w:val="none"/>
              </w:rPr>
              <w:t>分值</w:t>
            </w:r>
          </w:p>
        </w:tc>
        <w:tc>
          <w:tcPr>
            <w:tcW w:w="1080" w:type="dxa"/>
            <w:noWrap w:val="0"/>
            <w:vAlign w:val="center"/>
          </w:tcPr>
          <w:p w14:paraId="2A606BCB">
            <w:pPr>
              <w:spacing w:line="360" w:lineRule="auto"/>
              <w:jc w:val="center"/>
              <w:rPr>
                <w:rFonts w:hint="eastAsia"/>
                <w:b/>
                <w:color w:val="auto"/>
                <w:highlight w:val="none"/>
              </w:rPr>
            </w:pPr>
            <w:r>
              <w:rPr>
                <w:rFonts w:hint="eastAsia"/>
                <w:b/>
                <w:color w:val="auto"/>
                <w:highlight w:val="none"/>
              </w:rPr>
              <w:t>自评分</w:t>
            </w:r>
          </w:p>
        </w:tc>
        <w:tc>
          <w:tcPr>
            <w:tcW w:w="900" w:type="dxa"/>
            <w:noWrap w:val="0"/>
            <w:vAlign w:val="center"/>
          </w:tcPr>
          <w:p w14:paraId="77F83F72">
            <w:pPr>
              <w:spacing w:line="360" w:lineRule="auto"/>
              <w:jc w:val="center"/>
              <w:rPr>
                <w:rFonts w:hint="eastAsia"/>
                <w:b/>
                <w:color w:val="auto"/>
                <w:highlight w:val="none"/>
              </w:rPr>
            </w:pPr>
            <w:r>
              <w:rPr>
                <w:rFonts w:hint="eastAsia"/>
                <w:b/>
                <w:color w:val="auto"/>
                <w:highlight w:val="none"/>
              </w:rPr>
              <w:t>所在页码</w:t>
            </w:r>
          </w:p>
        </w:tc>
      </w:tr>
      <w:tr w14:paraId="1410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28" w:type="dxa"/>
            <w:vMerge w:val="restart"/>
            <w:noWrap w:val="0"/>
            <w:vAlign w:val="center"/>
          </w:tcPr>
          <w:p w14:paraId="0C6AB3D0">
            <w:pPr>
              <w:spacing w:line="360" w:lineRule="auto"/>
              <w:jc w:val="center"/>
              <w:rPr>
                <w:rFonts w:hint="eastAsia"/>
                <w:color w:val="auto"/>
                <w:highlight w:val="none"/>
              </w:rPr>
            </w:pPr>
            <w:r>
              <w:rPr>
                <w:rFonts w:hint="eastAsia"/>
                <w:color w:val="auto"/>
                <w:highlight w:val="none"/>
              </w:rPr>
              <w:t>经营状况指标</w:t>
            </w:r>
          </w:p>
        </w:tc>
        <w:tc>
          <w:tcPr>
            <w:tcW w:w="1440" w:type="dxa"/>
            <w:noWrap w:val="0"/>
            <w:vAlign w:val="center"/>
          </w:tcPr>
          <w:p w14:paraId="145F2AC2">
            <w:pPr>
              <w:spacing w:line="360" w:lineRule="auto"/>
              <w:jc w:val="center"/>
              <w:rPr>
                <w:rFonts w:hint="eastAsia"/>
                <w:color w:val="auto"/>
                <w:highlight w:val="none"/>
              </w:rPr>
            </w:pPr>
          </w:p>
        </w:tc>
        <w:tc>
          <w:tcPr>
            <w:tcW w:w="3960" w:type="dxa"/>
            <w:noWrap w:val="0"/>
            <w:vAlign w:val="center"/>
          </w:tcPr>
          <w:p w14:paraId="4A908388">
            <w:pPr>
              <w:spacing w:line="360" w:lineRule="auto"/>
              <w:rPr>
                <w:rFonts w:hint="eastAsia"/>
                <w:color w:val="auto"/>
                <w:highlight w:val="none"/>
              </w:rPr>
            </w:pPr>
          </w:p>
        </w:tc>
        <w:tc>
          <w:tcPr>
            <w:tcW w:w="638" w:type="dxa"/>
            <w:noWrap w:val="0"/>
            <w:vAlign w:val="center"/>
          </w:tcPr>
          <w:p w14:paraId="7697905F">
            <w:pPr>
              <w:spacing w:line="360" w:lineRule="auto"/>
              <w:jc w:val="center"/>
              <w:rPr>
                <w:rFonts w:hint="eastAsia"/>
                <w:color w:val="auto"/>
                <w:highlight w:val="none"/>
              </w:rPr>
            </w:pPr>
          </w:p>
        </w:tc>
        <w:tc>
          <w:tcPr>
            <w:tcW w:w="1080" w:type="dxa"/>
            <w:noWrap w:val="0"/>
            <w:vAlign w:val="center"/>
          </w:tcPr>
          <w:p w14:paraId="1EFCA05D">
            <w:pPr>
              <w:spacing w:line="360" w:lineRule="auto"/>
              <w:jc w:val="center"/>
              <w:rPr>
                <w:rFonts w:hint="eastAsia"/>
                <w:color w:val="auto"/>
                <w:highlight w:val="none"/>
              </w:rPr>
            </w:pPr>
          </w:p>
        </w:tc>
        <w:tc>
          <w:tcPr>
            <w:tcW w:w="900" w:type="dxa"/>
            <w:noWrap w:val="0"/>
            <w:vAlign w:val="center"/>
          </w:tcPr>
          <w:p w14:paraId="1C696BCC">
            <w:pPr>
              <w:spacing w:line="360" w:lineRule="auto"/>
              <w:jc w:val="center"/>
              <w:rPr>
                <w:rFonts w:hint="eastAsia"/>
                <w:color w:val="auto"/>
                <w:highlight w:val="none"/>
              </w:rPr>
            </w:pPr>
          </w:p>
        </w:tc>
      </w:tr>
      <w:tr w14:paraId="7A4B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28" w:type="dxa"/>
            <w:vMerge w:val="continue"/>
            <w:noWrap w:val="0"/>
            <w:vAlign w:val="center"/>
          </w:tcPr>
          <w:p w14:paraId="6BE0BA03">
            <w:pPr>
              <w:spacing w:line="360" w:lineRule="auto"/>
              <w:ind w:left="1260" w:hanging="420"/>
              <w:jc w:val="center"/>
              <w:rPr>
                <w:rFonts w:hint="eastAsia"/>
                <w:color w:val="auto"/>
                <w:highlight w:val="none"/>
              </w:rPr>
            </w:pPr>
          </w:p>
        </w:tc>
        <w:tc>
          <w:tcPr>
            <w:tcW w:w="1440" w:type="dxa"/>
            <w:noWrap w:val="0"/>
            <w:vAlign w:val="center"/>
          </w:tcPr>
          <w:p w14:paraId="09979E1B">
            <w:pPr>
              <w:spacing w:line="360" w:lineRule="auto"/>
              <w:jc w:val="center"/>
              <w:rPr>
                <w:rFonts w:hint="eastAsia"/>
                <w:color w:val="auto"/>
                <w:highlight w:val="none"/>
              </w:rPr>
            </w:pPr>
          </w:p>
        </w:tc>
        <w:tc>
          <w:tcPr>
            <w:tcW w:w="3960" w:type="dxa"/>
            <w:noWrap w:val="0"/>
            <w:vAlign w:val="center"/>
          </w:tcPr>
          <w:p w14:paraId="167739F8">
            <w:pPr>
              <w:spacing w:line="360" w:lineRule="auto"/>
              <w:rPr>
                <w:rFonts w:hint="eastAsia"/>
                <w:color w:val="auto"/>
                <w:highlight w:val="none"/>
              </w:rPr>
            </w:pPr>
          </w:p>
        </w:tc>
        <w:tc>
          <w:tcPr>
            <w:tcW w:w="638" w:type="dxa"/>
            <w:noWrap w:val="0"/>
            <w:vAlign w:val="center"/>
          </w:tcPr>
          <w:p w14:paraId="3EFCC12C">
            <w:pPr>
              <w:spacing w:line="360" w:lineRule="auto"/>
              <w:jc w:val="center"/>
              <w:rPr>
                <w:rFonts w:hint="eastAsia"/>
                <w:color w:val="auto"/>
                <w:highlight w:val="none"/>
              </w:rPr>
            </w:pPr>
          </w:p>
        </w:tc>
        <w:tc>
          <w:tcPr>
            <w:tcW w:w="1080" w:type="dxa"/>
            <w:noWrap w:val="0"/>
            <w:vAlign w:val="center"/>
          </w:tcPr>
          <w:p w14:paraId="2F103874">
            <w:pPr>
              <w:spacing w:line="360" w:lineRule="auto"/>
              <w:jc w:val="center"/>
              <w:rPr>
                <w:rFonts w:hint="eastAsia"/>
                <w:color w:val="auto"/>
                <w:highlight w:val="none"/>
              </w:rPr>
            </w:pPr>
          </w:p>
        </w:tc>
        <w:tc>
          <w:tcPr>
            <w:tcW w:w="900" w:type="dxa"/>
            <w:noWrap w:val="0"/>
            <w:vAlign w:val="center"/>
          </w:tcPr>
          <w:p w14:paraId="117FF536">
            <w:pPr>
              <w:spacing w:line="360" w:lineRule="auto"/>
              <w:jc w:val="center"/>
              <w:rPr>
                <w:rFonts w:hint="eastAsia"/>
                <w:color w:val="auto"/>
                <w:highlight w:val="none"/>
              </w:rPr>
            </w:pPr>
          </w:p>
        </w:tc>
      </w:tr>
      <w:tr w14:paraId="54AD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28" w:type="dxa"/>
            <w:vMerge w:val="continue"/>
            <w:noWrap w:val="0"/>
            <w:vAlign w:val="center"/>
          </w:tcPr>
          <w:p w14:paraId="3B32AA14">
            <w:pPr>
              <w:spacing w:line="360" w:lineRule="auto"/>
              <w:ind w:left="1260" w:hanging="420"/>
              <w:jc w:val="center"/>
              <w:rPr>
                <w:rFonts w:hint="eastAsia"/>
                <w:color w:val="auto"/>
                <w:highlight w:val="none"/>
              </w:rPr>
            </w:pPr>
          </w:p>
        </w:tc>
        <w:tc>
          <w:tcPr>
            <w:tcW w:w="1440" w:type="dxa"/>
            <w:noWrap w:val="0"/>
            <w:vAlign w:val="center"/>
          </w:tcPr>
          <w:p w14:paraId="1B9A55BB">
            <w:pPr>
              <w:spacing w:line="360" w:lineRule="auto"/>
              <w:jc w:val="center"/>
              <w:rPr>
                <w:rFonts w:hint="eastAsia"/>
                <w:color w:val="auto"/>
                <w:highlight w:val="none"/>
              </w:rPr>
            </w:pPr>
          </w:p>
        </w:tc>
        <w:tc>
          <w:tcPr>
            <w:tcW w:w="3960" w:type="dxa"/>
            <w:noWrap w:val="0"/>
            <w:vAlign w:val="center"/>
          </w:tcPr>
          <w:p w14:paraId="5DC48DE4">
            <w:pPr>
              <w:spacing w:line="360" w:lineRule="auto"/>
              <w:rPr>
                <w:rFonts w:hint="eastAsia"/>
                <w:color w:val="auto"/>
                <w:highlight w:val="none"/>
              </w:rPr>
            </w:pPr>
          </w:p>
        </w:tc>
        <w:tc>
          <w:tcPr>
            <w:tcW w:w="638" w:type="dxa"/>
            <w:noWrap w:val="0"/>
            <w:vAlign w:val="center"/>
          </w:tcPr>
          <w:p w14:paraId="40B9D4B9">
            <w:pPr>
              <w:spacing w:line="360" w:lineRule="auto"/>
              <w:jc w:val="center"/>
              <w:rPr>
                <w:rFonts w:hint="eastAsia"/>
                <w:color w:val="auto"/>
                <w:highlight w:val="none"/>
              </w:rPr>
            </w:pPr>
          </w:p>
        </w:tc>
        <w:tc>
          <w:tcPr>
            <w:tcW w:w="1080" w:type="dxa"/>
            <w:noWrap w:val="0"/>
            <w:vAlign w:val="center"/>
          </w:tcPr>
          <w:p w14:paraId="1DD4A352">
            <w:pPr>
              <w:spacing w:line="360" w:lineRule="auto"/>
              <w:jc w:val="center"/>
              <w:rPr>
                <w:rFonts w:hint="eastAsia"/>
                <w:color w:val="auto"/>
                <w:highlight w:val="none"/>
              </w:rPr>
            </w:pPr>
          </w:p>
        </w:tc>
        <w:tc>
          <w:tcPr>
            <w:tcW w:w="900" w:type="dxa"/>
            <w:noWrap w:val="0"/>
            <w:vAlign w:val="center"/>
          </w:tcPr>
          <w:p w14:paraId="2AF0DC2A">
            <w:pPr>
              <w:spacing w:line="360" w:lineRule="auto"/>
              <w:jc w:val="center"/>
              <w:rPr>
                <w:rFonts w:hint="eastAsia"/>
                <w:color w:val="auto"/>
                <w:highlight w:val="none"/>
              </w:rPr>
            </w:pPr>
          </w:p>
        </w:tc>
      </w:tr>
      <w:tr w14:paraId="0E4A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28" w:type="dxa"/>
            <w:vMerge w:val="restart"/>
            <w:noWrap w:val="0"/>
            <w:vAlign w:val="center"/>
          </w:tcPr>
          <w:p w14:paraId="17F46EA7">
            <w:pPr>
              <w:spacing w:line="360" w:lineRule="auto"/>
              <w:jc w:val="center"/>
              <w:rPr>
                <w:rFonts w:hint="eastAsia"/>
                <w:color w:val="auto"/>
                <w:highlight w:val="none"/>
              </w:rPr>
            </w:pPr>
            <w:r>
              <w:rPr>
                <w:rFonts w:hint="eastAsia"/>
                <w:color w:val="auto"/>
                <w:highlight w:val="none"/>
              </w:rPr>
              <w:t>服务水平指标</w:t>
            </w:r>
          </w:p>
        </w:tc>
        <w:tc>
          <w:tcPr>
            <w:tcW w:w="1440" w:type="dxa"/>
            <w:noWrap w:val="0"/>
            <w:vAlign w:val="center"/>
          </w:tcPr>
          <w:p w14:paraId="47E3AC12">
            <w:pPr>
              <w:spacing w:line="360" w:lineRule="auto"/>
              <w:jc w:val="center"/>
              <w:rPr>
                <w:rFonts w:hint="eastAsia"/>
                <w:color w:val="auto"/>
                <w:highlight w:val="none"/>
              </w:rPr>
            </w:pPr>
          </w:p>
        </w:tc>
        <w:tc>
          <w:tcPr>
            <w:tcW w:w="3960" w:type="dxa"/>
            <w:noWrap w:val="0"/>
            <w:vAlign w:val="center"/>
          </w:tcPr>
          <w:p w14:paraId="0B0F73C8">
            <w:pPr>
              <w:spacing w:line="360" w:lineRule="auto"/>
              <w:rPr>
                <w:rFonts w:hint="eastAsia"/>
                <w:color w:val="auto"/>
                <w:highlight w:val="none"/>
              </w:rPr>
            </w:pPr>
          </w:p>
        </w:tc>
        <w:tc>
          <w:tcPr>
            <w:tcW w:w="638" w:type="dxa"/>
            <w:noWrap w:val="0"/>
            <w:vAlign w:val="center"/>
          </w:tcPr>
          <w:p w14:paraId="1A6C7EC1">
            <w:pPr>
              <w:spacing w:line="360" w:lineRule="auto"/>
              <w:jc w:val="center"/>
              <w:rPr>
                <w:rFonts w:hint="eastAsia"/>
                <w:color w:val="auto"/>
                <w:highlight w:val="none"/>
              </w:rPr>
            </w:pPr>
          </w:p>
        </w:tc>
        <w:tc>
          <w:tcPr>
            <w:tcW w:w="1080" w:type="dxa"/>
            <w:noWrap w:val="0"/>
            <w:vAlign w:val="center"/>
          </w:tcPr>
          <w:p w14:paraId="36410E0B">
            <w:pPr>
              <w:spacing w:line="360" w:lineRule="auto"/>
              <w:jc w:val="center"/>
              <w:rPr>
                <w:rFonts w:hint="eastAsia"/>
                <w:color w:val="auto"/>
                <w:highlight w:val="none"/>
              </w:rPr>
            </w:pPr>
          </w:p>
        </w:tc>
        <w:tc>
          <w:tcPr>
            <w:tcW w:w="900" w:type="dxa"/>
            <w:noWrap w:val="0"/>
            <w:vAlign w:val="center"/>
          </w:tcPr>
          <w:p w14:paraId="0C9DC91B">
            <w:pPr>
              <w:spacing w:line="360" w:lineRule="auto"/>
              <w:jc w:val="center"/>
              <w:rPr>
                <w:rFonts w:hint="eastAsia"/>
                <w:color w:val="auto"/>
                <w:highlight w:val="none"/>
              </w:rPr>
            </w:pPr>
          </w:p>
        </w:tc>
      </w:tr>
      <w:tr w14:paraId="0E94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28" w:type="dxa"/>
            <w:vMerge w:val="continue"/>
            <w:noWrap w:val="0"/>
            <w:vAlign w:val="center"/>
          </w:tcPr>
          <w:p w14:paraId="211E9014">
            <w:pPr>
              <w:spacing w:line="360" w:lineRule="auto"/>
              <w:ind w:left="1260" w:hanging="420"/>
              <w:jc w:val="center"/>
              <w:rPr>
                <w:rFonts w:hint="eastAsia"/>
                <w:color w:val="auto"/>
                <w:highlight w:val="none"/>
              </w:rPr>
            </w:pPr>
          </w:p>
        </w:tc>
        <w:tc>
          <w:tcPr>
            <w:tcW w:w="1440" w:type="dxa"/>
            <w:noWrap w:val="0"/>
            <w:vAlign w:val="center"/>
          </w:tcPr>
          <w:p w14:paraId="6D34B5F2">
            <w:pPr>
              <w:spacing w:line="360" w:lineRule="auto"/>
              <w:jc w:val="center"/>
              <w:rPr>
                <w:rFonts w:hint="eastAsia"/>
                <w:color w:val="auto"/>
                <w:highlight w:val="none"/>
              </w:rPr>
            </w:pPr>
          </w:p>
        </w:tc>
        <w:tc>
          <w:tcPr>
            <w:tcW w:w="3960" w:type="dxa"/>
            <w:noWrap w:val="0"/>
            <w:vAlign w:val="center"/>
          </w:tcPr>
          <w:p w14:paraId="4DA601CB">
            <w:pPr>
              <w:spacing w:line="360" w:lineRule="auto"/>
              <w:rPr>
                <w:rFonts w:hint="eastAsia"/>
                <w:color w:val="auto"/>
                <w:highlight w:val="none"/>
              </w:rPr>
            </w:pPr>
          </w:p>
        </w:tc>
        <w:tc>
          <w:tcPr>
            <w:tcW w:w="638" w:type="dxa"/>
            <w:noWrap w:val="0"/>
            <w:vAlign w:val="center"/>
          </w:tcPr>
          <w:p w14:paraId="0DA50570">
            <w:pPr>
              <w:spacing w:line="360" w:lineRule="auto"/>
              <w:jc w:val="center"/>
              <w:rPr>
                <w:rFonts w:hint="eastAsia"/>
                <w:color w:val="auto"/>
                <w:highlight w:val="none"/>
              </w:rPr>
            </w:pPr>
          </w:p>
        </w:tc>
        <w:tc>
          <w:tcPr>
            <w:tcW w:w="1080" w:type="dxa"/>
            <w:noWrap w:val="0"/>
            <w:vAlign w:val="center"/>
          </w:tcPr>
          <w:p w14:paraId="6005E812">
            <w:pPr>
              <w:spacing w:line="360" w:lineRule="auto"/>
              <w:jc w:val="center"/>
              <w:rPr>
                <w:rFonts w:hint="eastAsia"/>
                <w:color w:val="auto"/>
                <w:highlight w:val="none"/>
              </w:rPr>
            </w:pPr>
          </w:p>
        </w:tc>
        <w:tc>
          <w:tcPr>
            <w:tcW w:w="900" w:type="dxa"/>
            <w:noWrap w:val="0"/>
            <w:vAlign w:val="center"/>
          </w:tcPr>
          <w:p w14:paraId="425D73D0">
            <w:pPr>
              <w:spacing w:line="360" w:lineRule="auto"/>
              <w:jc w:val="center"/>
              <w:rPr>
                <w:rFonts w:hint="eastAsia"/>
                <w:color w:val="auto"/>
                <w:highlight w:val="none"/>
              </w:rPr>
            </w:pPr>
          </w:p>
        </w:tc>
      </w:tr>
      <w:tr w14:paraId="1E76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28" w:type="dxa"/>
            <w:vMerge w:val="continue"/>
            <w:noWrap w:val="0"/>
            <w:vAlign w:val="center"/>
          </w:tcPr>
          <w:p w14:paraId="0E46E5E9">
            <w:pPr>
              <w:spacing w:line="360" w:lineRule="auto"/>
              <w:ind w:left="1260" w:hanging="420"/>
              <w:jc w:val="center"/>
              <w:rPr>
                <w:rFonts w:hint="eastAsia"/>
                <w:color w:val="auto"/>
                <w:highlight w:val="none"/>
              </w:rPr>
            </w:pPr>
          </w:p>
        </w:tc>
        <w:tc>
          <w:tcPr>
            <w:tcW w:w="1440" w:type="dxa"/>
            <w:noWrap w:val="0"/>
            <w:vAlign w:val="center"/>
          </w:tcPr>
          <w:p w14:paraId="411769DB">
            <w:pPr>
              <w:spacing w:line="360" w:lineRule="auto"/>
              <w:jc w:val="center"/>
              <w:rPr>
                <w:rFonts w:hint="eastAsia"/>
                <w:color w:val="auto"/>
                <w:highlight w:val="none"/>
              </w:rPr>
            </w:pPr>
          </w:p>
        </w:tc>
        <w:tc>
          <w:tcPr>
            <w:tcW w:w="3960" w:type="dxa"/>
            <w:noWrap w:val="0"/>
            <w:vAlign w:val="center"/>
          </w:tcPr>
          <w:p w14:paraId="70F3946C">
            <w:pPr>
              <w:spacing w:line="360" w:lineRule="auto"/>
              <w:rPr>
                <w:rFonts w:hint="eastAsia"/>
                <w:color w:val="auto"/>
                <w:highlight w:val="none"/>
              </w:rPr>
            </w:pPr>
          </w:p>
        </w:tc>
        <w:tc>
          <w:tcPr>
            <w:tcW w:w="638" w:type="dxa"/>
            <w:noWrap w:val="0"/>
            <w:vAlign w:val="center"/>
          </w:tcPr>
          <w:p w14:paraId="3EF28F71">
            <w:pPr>
              <w:spacing w:line="360" w:lineRule="auto"/>
              <w:jc w:val="center"/>
              <w:rPr>
                <w:rFonts w:hint="eastAsia"/>
                <w:color w:val="auto"/>
                <w:highlight w:val="none"/>
              </w:rPr>
            </w:pPr>
          </w:p>
        </w:tc>
        <w:tc>
          <w:tcPr>
            <w:tcW w:w="1080" w:type="dxa"/>
            <w:noWrap w:val="0"/>
            <w:vAlign w:val="center"/>
          </w:tcPr>
          <w:p w14:paraId="0056E8E2">
            <w:pPr>
              <w:spacing w:line="360" w:lineRule="auto"/>
              <w:jc w:val="center"/>
              <w:rPr>
                <w:rFonts w:hint="eastAsia"/>
                <w:color w:val="auto"/>
                <w:highlight w:val="none"/>
              </w:rPr>
            </w:pPr>
          </w:p>
        </w:tc>
        <w:tc>
          <w:tcPr>
            <w:tcW w:w="900" w:type="dxa"/>
            <w:noWrap w:val="0"/>
            <w:vAlign w:val="center"/>
          </w:tcPr>
          <w:p w14:paraId="3F89EAD3">
            <w:pPr>
              <w:spacing w:line="360" w:lineRule="auto"/>
              <w:jc w:val="center"/>
              <w:rPr>
                <w:rFonts w:hint="eastAsia"/>
                <w:color w:val="auto"/>
                <w:highlight w:val="none"/>
              </w:rPr>
            </w:pPr>
          </w:p>
        </w:tc>
      </w:tr>
      <w:tr w14:paraId="6A49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28" w:type="dxa"/>
            <w:vMerge w:val="continue"/>
            <w:noWrap w:val="0"/>
            <w:vAlign w:val="center"/>
          </w:tcPr>
          <w:p w14:paraId="6B0E9AF5">
            <w:pPr>
              <w:spacing w:line="360" w:lineRule="auto"/>
              <w:ind w:left="1260" w:hanging="420"/>
              <w:jc w:val="center"/>
              <w:rPr>
                <w:rFonts w:hint="eastAsia"/>
                <w:color w:val="auto"/>
                <w:highlight w:val="none"/>
              </w:rPr>
            </w:pPr>
          </w:p>
        </w:tc>
        <w:tc>
          <w:tcPr>
            <w:tcW w:w="1440" w:type="dxa"/>
            <w:noWrap w:val="0"/>
            <w:vAlign w:val="center"/>
          </w:tcPr>
          <w:p w14:paraId="73EDA017">
            <w:pPr>
              <w:spacing w:line="360" w:lineRule="auto"/>
              <w:jc w:val="center"/>
              <w:rPr>
                <w:rFonts w:hint="eastAsia"/>
                <w:color w:val="auto"/>
                <w:highlight w:val="none"/>
              </w:rPr>
            </w:pPr>
          </w:p>
        </w:tc>
        <w:tc>
          <w:tcPr>
            <w:tcW w:w="3960" w:type="dxa"/>
            <w:noWrap w:val="0"/>
            <w:vAlign w:val="center"/>
          </w:tcPr>
          <w:p w14:paraId="7F21232F">
            <w:pPr>
              <w:spacing w:line="360" w:lineRule="auto"/>
              <w:rPr>
                <w:rFonts w:hint="eastAsia"/>
                <w:color w:val="auto"/>
                <w:highlight w:val="none"/>
              </w:rPr>
            </w:pPr>
          </w:p>
        </w:tc>
        <w:tc>
          <w:tcPr>
            <w:tcW w:w="638" w:type="dxa"/>
            <w:noWrap w:val="0"/>
            <w:vAlign w:val="center"/>
          </w:tcPr>
          <w:p w14:paraId="12D6EC16">
            <w:pPr>
              <w:spacing w:line="360" w:lineRule="auto"/>
              <w:jc w:val="center"/>
              <w:rPr>
                <w:rFonts w:hint="eastAsia"/>
                <w:color w:val="auto"/>
                <w:highlight w:val="none"/>
              </w:rPr>
            </w:pPr>
          </w:p>
        </w:tc>
        <w:tc>
          <w:tcPr>
            <w:tcW w:w="1080" w:type="dxa"/>
            <w:noWrap w:val="0"/>
            <w:vAlign w:val="center"/>
          </w:tcPr>
          <w:p w14:paraId="1E4243E7">
            <w:pPr>
              <w:spacing w:line="360" w:lineRule="auto"/>
              <w:jc w:val="center"/>
              <w:rPr>
                <w:rFonts w:hint="eastAsia"/>
                <w:color w:val="auto"/>
                <w:highlight w:val="none"/>
              </w:rPr>
            </w:pPr>
          </w:p>
        </w:tc>
        <w:tc>
          <w:tcPr>
            <w:tcW w:w="900" w:type="dxa"/>
            <w:noWrap w:val="0"/>
            <w:vAlign w:val="center"/>
          </w:tcPr>
          <w:p w14:paraId="0616BF1E">
            <w:pPr>
              <w:spacing w:line="360" w:lineRule="auto"/>
              <w:jc w:val="center"/>
              <w:rPr>
                <w:rFonts w:hint="eastAsia"/>
                <w:color w:val="auto"/>
                <w:highlight w:val="none"/>
              </w:rPr>
            </w:pPr>
          </w:p>
        </w:tc>
      </w:tr>
      <w:tr w14:paraId="238F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28" w:type="dxa"/>
            <w:vMerge w:val="continue"/>
            <w:noWrap w:val="0"/>
            <w:vAlign w:val="center"/>
          </w:tcPr>
          <w:p w14:paraId="0EF7BC2B">
            <w:pPr>
              <w:spacing w:line="360" w:lineRule="auto"/>
              <w:ind w:left="1260" w:hanging="420"/>
              <w:jc w:val="center"/>
              <w:rPr>
                <w:rFonts w:hint="eastAsia"/>
                <w:color w:val="auto"/>
                <w:highlight w:val="none"/>
              </w:rPr>
            </w:pPr>
          </w:p>
        </w:tc>
        <w:tc>
          <w:tcPr>
            <w:tcW w:w="1440" w:type="dxa"/>
            <w:noWrap w:val="0"/>
            <w:vAlign w:val="center"/>
          </w:tcPr>
          <w:p w14:paraId="3CFEAE2A">
            <w:pPr>
              <w:spacing w:line="360" w:lineRule="auto"/>
              <w:jc w:val="center"/>
              <w:rPr>
                <w:rFonts w:hint="eastAsia"/>
                <w:color w:val="auto"/>
                <w:highlight w:val="none"/>
              </w:rPr>
            </w:pPr>
          </w:p>
        </w:tc>
        <w:tc>
          <w:tcPr>
            <w:tcW w:w="3960" w:type="dxa"/>
            <w:noWrap w:val="0"/>
            <w:vAlign w:val="center"/>
          </w:tcPr>
          <w:p w14:paraId="61576BB4">
            <w:pPr>
              <w:spacing w:line="360" w:lineRule="auto"/>
              <w:rPr>
                <w:rFonts w:hint="eastAsia"/>
                <w:color w:val="auto"/>
                <w:highlight w:val="none"/>
              </w:rPr>
            </w:pPr>
          </w:p>
        </w:tc>
        <w:tc>
          <w:tcPr>
            <w:tcW w:w="638" w:type="dxa"/>
            <w:noWrap w:val="0"/>
            <w:vAlign w:val="center"/>
          </w:tcPr>
          <w:p w14:paraId="0C06B441">
            <w:pPr>
              <w:spacing w:line="360" w:lineRule="auto"/>
              <w:jc w:val="center"/>
              <w:rPr>
                <w:rFonts w:hint="eastAsia"/>
                <w:color w:val="auto"/>
                <w:highlight w:val="none"/>
              </w:rPr>
            </w:pPr>
          </w:p>
        </w:tc>
        <w:tc>
          <w:tcPr>
            <w:tcW w:w="1080" w:type="dxa"/>
            <w:noWrap w:val="0"/>
            <w:vAlign w:val="center"/>
          </w:tcPr>
          <w:p w14:paraId="72D6E469">
            <w:pPr>
              <w:spacing w:line="360" w:lineRule="auto"/>
              <w:jc w:val="center"/>
              <w:rPr>
                <w:rFonts w:hint="eastAsia"/>
                <w:color w:val="auto"/>
                <w:highlight w:val="none"/>
              </w:rPr>
            </w:pPr>
          </w:p>
        </w:tc>
        <w:tc>
          <w:tcPr>
            <w:tcW w:w="900" w:type="dxa"/>
            <w:noWrap w:val="0"/>
            <w:vAlign w:val="center"/>
          </w:tcPr>
          <w:p w14:paraId="3FECE1CB">
            <w:pPr>
              <w:spacing w:line="360" w:lineRule="auto"/>
              <w:jc w:val="center"/>
              <w:rPr>
                <w:rFonts w:hint="eastAsia"/>
                <w:color w:val="auto"/>
                <w:highlight w:val="none"/>
              </w:rPr>
            </w:pPr>
          </w:p>
        </w:tc>
      </w:tr>
      <w:tr w14:paraId="3E71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28" w:type="dxa"/>
            <w:vMerge w:val="restart"/>
            <w:noWrap w:val="0"/>
            <w:vAlign w:val="center"/>
          </w:tcPr>
          <w:p w14:paraId="13F65666">
            <w:pPr>
              <w:spacing w:line="360" w:lineRule="auto"/>
              <w:rPr>
                <w:rFonts w:hint="eastAsia"/>
                <w:color w:val="auto"/>
                <w:highlight w:val="none"/>
              </w:rPr>
            </w:pPr>
            <w:r>
              <w:rPr>
                <w:rFonts w:hint="eastAsia"/>
                <w:color w:val="auto"/>
                <w:highlight w:val="none"/>
              </w:rPr>
              <w:t>经济发展贡献指标</w:t>
            </w:r>
          </w:p>
        </w:tc>
        <w:tc>
          <w:tcPr>
            <w:tcW w:w="1440" w:type="dxa"/>
            <w:noWrap w:val="0"/>
            <w:vAlign w:val="center"/>
          </w:tcPr>
          <w:p w14:paraId="353B258A">
            <w:pPr>
              <w:spacing w:line="360" w:lineRule="auto"/>
              <w:jc w:val="center"/>
              <w:rPr>
                <w:rFonts w:hint="eastAsia"/>
                <w:color w:val="auto"/>
                <w:highlight w:val="none"/>
              </w:rPr>
            </w:pPr>
          </w:p>
        </w:tc>
        <w:tc>
          <w:tcPr>
            <w:tcW w:w="3960" w:type="dxa"/>
            <w:noWrap w:val="0"/>
            <w:vAlign w:val="center"/>
          </w:tcPr>
          <w:p w14:paraId="51A4B77B">
            <w:pPr>
              <w:spacing w:line="360" w:lineRule="auto"/>
              <w:rPr>
                <w:rFonts w:hint="eastAsia"/>
                <w:color w:val="auto"/>
                <w:highlight w:val="none"/>
              </w:rPr>
            </w:pPr>
          </w:p>
        </w:tc>
        <w:tc>
          <w:tcPr>
            <w:tcW w:w="638" w:type="dxa"/>
            <w:noWrap w:val="0"/>
            <w:vAlign w:val="center"/>
          </w:tcPr>
          <w:p w14:paraId="1024B3B2">
            <w:pPr>
              <w:spacing w:line="360" w:lineRule="auto"/>
              <w:jc w:val="center"/>
              <w:rPr>
                <w:rFonts w:hint="eastAsia"/>
                <w:color w:val="auto"/>
                <w:highlight w:val="none"/>
              </w:rPr>
            </w:pPr>
          </w:p>
        </w:tc>
        <w:tc>
          <w:tcPr>
            <w:tcW w:w="1080" w:type="dxa"/>
            <w:noWrap w:val="0"/>
            <w:vAlign w:val="center"/>
          </w:tcPr>
          <w:p w14:paraId="7A8F2E57">
            <w:pPr>
              <w:spacing w:line="360" w:lineRule="auto"/>
              <w:jc w:val="center"/>
              <w:rPr>
                <w:rFonts w:hint="eastAsia"/>
                <w:color w:val="auto"/>
                <w:highlight w:val="none"/>
              </w:rPr>
            </w:pPr>
          </w:p>
        </w:tc>
        <w:tc>
          <w:tcPr>
            <w:tcW w:w="900" w:type="dxa"/>
            <w:noWrap w:val="0"/>
            <w:vAlign w:val="center"/>
          </w:tcPr>
          <w:p w14:paraId="1FA6F80D">
            <w:pPr>
              <w:spacing w:line="360" w:lineRule="auto"/>
              <w:jc w:val="center"/>
              <w:rPr>
                <w:rFonts w:hint="eastAsia"/>
                <w:color w:val="auto"/>
                <w:highlight w:val="none"/>
              </w:rPr>
            </w:pPr>
          </w:p>
        </w:tc>
      </w:tr>
      <w:tr w14:paraId="3DF4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28" w:type="dxa"/>
            <w:vMerge w:val="continue"/>
            <w:noWrap w:val="0"/>
            <w:vAlign w:val="center"/>
          </w:tcPr>
          <w:p w14:paraId="107DAC2C">
            <w:pPr>
              <w:spacing w:line="360" w:lineRule="auto"/>
              <w:rPr>
                <w:rFonts w:hint="eastAsia"/>
                <w:color w:val="auto"/>
                <w:highlight w:val="none"/>
              </w:rPr>
            </w:pPr>
          </w:p>
        </w:tc>
        <w:tc>
          <w:tcPr>
            <w:tcW w:w="1440" w:type="dxa"/>
            <w:noWrap w:val="0"/>
            <w:vAlign w:val="center"/>
          </w:tcPr>
          <w:p w14:paraId="3AA9FD11">
            <w:pPr>
              <w:spacing w:line="360" w:lineRule="auto"/>
              <w:jc w:val="center"/>
              <w:rPr>
                <w:rFonts w:hint="eastAsia"/>
                <w:color w:val="auto"/>
                <w:highlight w:val="none"/>
              </w:rPr>
            </w:pPr>
          </w:p>
        </w:tc>
        <w:tc>
          <w:tcPr>
            <w:tcW w:w="3960" w:type="dxa"/>
            <w:noWrap w:val="0"/>
            <w:vAlign w:val="center"/>
          </w:tcPr>
          <w:p w14:paraId="56457E53">
            <w:pPr>
              <w:spacing w:line="360" w:lineRule="auto"/>
              <w:rPr>
                <w:rFonts w:hint="eastAsia"/>
                <w:color w:val="auto"/>
                <w:highlight w:val="none"/>
              </w:rPr>
            </w:pPr>
          </w:p>
        </w:tc>
        <w:tc>
          <w:tcPr>
            <w:tcW w:w="638" w:type="dxa"/>
            <w:noWrap w:val="0"/>
            <w:vAlign w:val="center"/>
          </w:tcPr>
          <w:p w14:paraId="601B67DF">
            <w:pPr>
              <w:spacing w:line="360" w:lineRule="auto"/>
              <w:jc w:val="center"/>
              <w:rPr>
                <w:rFonts w:hint="eastAsia"/>
                <w:color w:val="auto"/>
                <w:highlight w:val="none"/>
              </w:rPr>
            </w:pPr>
          </w:p>
        </w:tc>
        <w:tc>
          <w:tcPr>
            <w:tcW w:w="1080" w:type="dxa"/>
            <w:noWrap w:val="0"/>
            <w:vAlign w:val="center"/>
          </w:tcPr>
          <w:p w14:paraId="7382AF25">
            <w:pPr>
              <w:spacing w:line="360" w:lineRule="auto"/>
              <w:jc w:val="center"/>
              <w:rPr>
                <w:rFonts w:hint="eastAsia"/>
                <w:color w:val="auto"/>
                <w:highlight w:val="none"/>
              </w:rPr>
            </w:pPr>
          </w:p>
        </w:tc>
        <w:tc>
          <w:tcPr>
            <w:tcW w:w="900" w:type="dxa"/>
            <w:noWrap w:val="0"/>
            <w:vAlign w:val="center"/>
          </w:tcPr>
          <w:p w14:paraId="0DA976FA">
            <w:pPr>
              <w:spacing w:line="360" w:lineRule="auto"/>
              <w:jc w:val="center"/>
              <w:rPr>
                <w:rFonts w:hint="eastAsia"/>
                <w:color w:val="auto"/>
                <w:highlight w:val="none"/>
              </w:rPr>
            </w:pPr>
          </w:p>
        </w:tc>
      </w:tr>
    </w:tbl>
    <w:p w14:paraId="3F3FD84C">
      <w:pPr>
        <w:widowControl/>
        <w:jc w:val="left"/>
        <w:rPr>
          <w:rFonts w:hint="eastAsia"/>
          <w:color w:val="auto"/>
          <w:highlight w:val="none"/>
        </w:rPr>
      </w:pPr>
    </w:p>
    <w:sectPr>
      <w:headerReference r:id="rId7" w:type="first"/>
      <w:footerReference r:id="rId9" w:type="first"/>
      <w:headerReference r:id="rId6" w:type="default"/>
      <w:footerReference r:id="rId8" w:type="even"/>
      <w:pgSz w:w="11906" w:h="16838"/>
      <w:pgMar w:top="1474" w:right="1466" w:bottom="1247" w:left="1797" w:header="851" w:footer="851" w:gutter="0"/>
      <w:pgBorders w:offsetFrom="page">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21A4B5A-CB54-4881-B5AC-711EF8643951}"/>
  </w:font>
  <w:font w:name="Arial">
    <w:panose1 w:val="020B0604020202020204"/>
    <w:charset w:val="01"/>
    <w:family w:val="swiss"/>
    <w:pitch w:val="default"/>
    <w:sig w:usb0="E0002EFF" w:usb1="C000785B" w:usb2="00000009" w:usb3="00000000" w:csb0="400001FF" w:csb1="FFFF0000"/>
    <w:embedRegular r:id="rId2" w:fontKey="{737A8494-EF55-47EB-8451-F2B4D2111EF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E1E2E17-5BCE-4CAF-AA25-308654E6C41C}"/>
  </w:font>
  <w:font w:name="Symbol">
    <w:panose1 w:val="05050102010706020507"/>
    <w:charset w:val="02"/>
    <w:family w:val="roman"/>
    <w:pitch w:val="default"/>
    <w:sig w:usb0="00000000" w:usb1="00000000" w:usb2="00000000" w:usb3="00000000" w:csb0="80000000" w:csb1="00000000"/>
    <w:embedRegular r:id="rId4" w:fontKey="{526CF398-6124-45D8-A488-8D96D1D62B0D}"/>
  </w:font>
  <w:font w:name="Calibri">
    <w:panose1 w:val="020F0502020204030204"/>
    <w:charset w:val="00"/>
    <w:family w:val="swiss"/>
    <w:pitch w:val="default"/>
    <w:sig w:usb0="E4002EFF" w:usb1="C200247B" w:usb2="00000009" w:usb3="00000000" w:csb0="200001FF" w:csb1="00000000"/>
    <w:embedRegular r:id="rId5" w:fontKey="{F4839D7E-2334-4C53-A336-F9823BDEDB2A}"/>
  </w:font>
  <w:font w:name="Arial">
    <w:panose1 w:val="020B0604020202020204"/>
    <w:charset w:val="00"/>
    <w:family w:val="swiss"/>
    <w:pitch w:val="default"/>
    <w:sig w:usb0="E0002EFF" w:usb1="C000785B" w:usb2="00000009" w:usb3="00000000" w:csb0="400001FF" w:csb1="FFFF0000"/>
    <w:embedRegular r:id="rId6" w:fontKey="{5975E9CF-0BB1-4849-BF2F-C781B142AE82}"/>
  </w:font>
  <w:font w:name="黑体">
    <w:panose1 w:val="02010609060101010101"/>
    <w:charset w:val="7A"/>
    <w:family w:val="auto"/>
    <w:pitch w:val="default"/>
    <w:sig w:usb0="800002BF" w:usb1="38CF7CFA" w:usb2="00000016" w:usb3="00000000" w:csb0="00040001" w:csb1="00000000"/>
    <w:embedRegular r:id="rId7" w:fontKey="{B66DE881-36EF-479D-A375-20C02D129F38}"/>
  </w:font>
  <w:font w:name="仿宋_GB2312">
    <w:altName w:val="仿宋"/>
    <w:panose1 w:val="02010609030001010101"/>
    <w:charset w:val="86"/>
    <w:family w:val="modern"/>
    <w:pitch w:val="default"/>
    <w:sig w:usb0="00000000" w:usb1="080E0000" w:usb2="00000010" w:usb3="00000000" w:csb0="00040000" w:csb1="00000000"/>
    <w:embedRegular r:id="rId8" w:fontKey="{F5086E8C-EBB9-4600-997F-B1BBC5B549B9}"/>
  </w:font>
  <w:font w:name="Courier New">
    <w:panose1 w:val="02070309020205020404"/>
    <w:charset w:val="00"/>
    <w:family w:val="modern"/>
    <w:pitch w:val="default"/>
    <w:sig w:usb0="E0002EFF" w:usb1="C0007843" w:usb2="00000009" w:usb3="00000000" w:csb0="400001FF" w:csb1="FFFF0000"/>
    <w:embedRegular r:id="rId9" w:fontKey="{07D69751-66D0-4D89-AF03-65B76729B6A9}"/>
  </w:font>
  <w:font w:name="楷体_GB2312">
    <w:altName w:val="楷体"/>
    <w:panose1 w:val="02010609030001010101"/>
    <w:charset w:val="86"/>
    <w:family w:val="modern"/>
    <w:pitch w:val="default"/>
    <w:sig w:usb0="00000001" w:usb1="080E0000" w:usb2="00000010" w:usb3="00000000" w:csb0="00040000" w:csb1="00000000"/>
  </w:font>
  <w:font w:name="Cambria">
    <w:panose1 w:val="02040503050406030204"/>
    <w:charset w:val="00"/>
    <w:family w:val="roman"/>
    <w:pitch w:val="default"/>
    <w:sig w:usb0="E00006FF" w:usb1="420024FF" w:usb2="02000000" w:usb3="00000000" w:csb0="2000019F" w:csb1="00000000"/>
    <w:embedRegular r:id="rId10" w:fontKey="{6C51C5FF-244D-404A-A4FC-2F77868A5967}"/>
  </w:font>
  <w:font w:name="Helvetica">
    <w:altName w:val="Arial"/>
    <w:panose1 w:val="020B0504020202030204"/>
    <w:charset w:val="00"/>
    <w:family w:val="swiss"/>
    <w:pitch w:val="default"/>
    <w:sig w:usb0="00000007" w:usb1="00000000" w:usb2="00000000" w:usb3="00000000" w:csb0="00000093" w:csb1="00000000"/>
    <w:embedRegular r:id="rId11" w:fontKey="{DE2765E8-CFD2-49C7-8610-CFE72EAF52FE}"/>
  </w:font>
  <w:font w:name="Tahoma">
    <w:panose1 w:val="020B0604030504040204"/>
    <w:charset w:val="00"/>
    <w:family w:val="swiss"/>
    <w:pitch w:val="default"/>
    <w:sig w:usb0="E1002EFF" w:usb1="C000605B" w:usb2="00000029" w:usb3="00000000" w:csb0="200101FF" w:csb1="20280000"/>
    <w:embedRegular r:id="rId12" w:fontKey="{DE270802-1160-4F33-95EE-94B0244F631B}"/>
  </w:font>
  <w:font w:name="创艺简标宋">
    <w:altName w:val="黑体"/>
    <w:panose1 w:val="00000000000000000000"/>
    <w:charset w:val="86"/>
    <w:family w:val="auto"/>
    <w:pitch w:val="default"/>
    <w:sig w:usb0="00000001" w:usb1="080E0000" w:usb2="00000010" w:usb3="00000000" w:csb0="00040000" w:csb1="00000000"/>
    <w:embedRegular r:id="rId13" w:fontKey="{648488FF-68B4-41D1-98A2-F315CDB634CE}"/>
  </w:font>
  <w:font w:name="方正小标宋简体">
    <w:panose1 w:val="02000000000000000000"/>
    <w:charset w:val="86"/>
    <w:family w:val="auto"/>
    <w:pitch w:val="default"/>
    <w:sig w:usb0="00000001" w:usb1="08000000" w:usb2="00000000" w:usb3="00000000" w:csb0="00040000" w:csb1="00000000"/>
    <w:embedRegular r:id="rId14" w:fontKey="{958CF5BA-B571-4408-9026-421070438F6D}"/>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0A100">
    <w:pPr>
      <w:pStyle w:val="20"/>
      <w:framePr w:wrap="around" w:vAnchor="text" w:hAnchor="margin" w:xAlign="outside" w:y="1"/>
      <w:rPr>
        <w:rStyle w:val="35"/>
      </w:rPr>
    </w:pPr>
    <w:r>
      <w:fldChar w:fldCharType="begin"/>
    </w:r>
    <w:r>
      <w:rPr>
        <w:rStyle w:val="35"/>
      </w:rPr>
      <w:instrText xml:space="preserve">PAGE  </w:instrText>
    </w:r>
    <w:r>
      <w:fldChar w:fldCharType="end"/>
    </w:r>
  </w:p>
  <w:p w14:paraId="1C63DA97">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DCB19">
    <w:pPr>
      <w:pStyle w:val="20"/>
      <w:jc w:val="center"/>
      <w:rPr>
        <w:rFonts w:ascii="宋体" w:hAnsi="宋体" w:eastAsia="宋体"/>
        <w:sz w:val="28"/>
        <w:szCs w:val="28"/>
      </w:rPr>
    </w:pPr>
    <w:r>
      <w:rPr>
        <w:rFonts w:ascii="宋体" w:hAnsi="宋体"/>
        <w:sz w:val="28"/>
        <w:szCs w:val="28"/>
      </w:rPr>
      <w:fldChar w:fldCharType="begin"/>
    </w:r>
    <w:r>
      <w:rPr>
        <w:rStyle w:val="35"/>
        <w:rFonts w:ascii="宋体" w:hAnsi="宋体"/>
        <w:sz w:val="28"/>
        <w:szCs w:val="28"/>
      </w:rPr>
      <w:instrText xml:space="preserve"> PAGE </w:instrText>
    </w:r>
    <w:r>
      <w:rPr>
        <w:rFonts w:ascii="宋体" w:hAnsi="宋体"/>
        <w:sz w:val="28"/>
        <w:szCs w:val="28"/>
      </w:rPr>
      <w:fldChar w:fldCharType="separate"/>
    </w:r>
    <w:r>
      <w:rPr>
        <w:rStyle w:val="35"/>
        <w:rFonts w:ascii="宋体" w:hAnsi="宋体"/>
        <w:sz w:val="28"/>
        <w:szCs w:val="28"/>
        <w:lang/>
      </w:rPr>
      <w:t>- 26 -</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90164">
    <w:pPr>
      <w:pStyle w:val="20"/>
      <w:framePr w:wrap="around" w:vAnchor="text" w:hAnchor="margin" w:xAlign="outside" w:y="1"/>
      <w:rPr>
        <w:rStyle w:val="35"/>
      </w:rPr>
    </w:pPr>
    <w:r>
      <w:fldChar w:fldCharType="begin"/>
    </w:r>
    <w:r>
      <w:rPr>
        <w:rStyle w:val="35"/>
      </w:rPr>
      <w:instrText xml:space="preserve">PAGE  </w:instrText>
    </w:r>
    <w:r>
      <w:fldChar w:fldCharType="end"/>
    </w:r>
  </w:p>
  <w:p w14:paraId="652F87A8">
    <w:pPr>
      <w:pStyle w:val="2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0091F">
    <w:pPr>
      <w:pStyle w:val="20"/>
      <w:jc w:val="center"/>
      <w:rPr>
        <w:rFonts w:hint="eastAsia" w:ascii="宋体" w:hAnsi="宋体" w:eastAsia="宋体"/>
        <w:sz w:val="28"/>
        <w:szCs w:val="28"/>
      </w:rPr>
    </w:pPr>
    <w:r>
      <w:rPr>
        <w:rFonts w:ascii="宋体" w:hAnsi="宋体"/>
        <w:sz w:val="28"/>
        <w:szCs w:val="28"/>
      </w:rPr>
      <w:fldChar w:fldCharType="begin"/>
    </w:r>
    <w:r>
      <w:rPr>
        <w:rStyle w:val="35"/>
        <w:rFonts w:ascii="宋体" w:hAnsi="宋体"/>
        <w:sz w:val="28"/>
        <w:szCs w:val="28"/>
      </w:rPr>
      <w:instrText xml:space="preserve"> PAGE </w:instrText>
    </w:r>
    <w:r>
      <w:rPr>
        <w:rFonts w:ascii="宋体" w:hAnsi="宋体"/>
        <w:sz w:val="28"/>
        <w:szCs w:val="28"/>
      </w:rPr>
      <w:fldChar w:fldCharType="separate"/>
    </w:r>
    <w:r>
      <w:rPr>
        <w:rStyle w:val="35"/>
        <w:rFonts w:ascii="宋体" w:hAnsi="宋体"/>
        <w:sz w:val="28"/>
        <w:szCs w:val="28"/>
        <w:lang/>
      </w:rPr>
      <w:t>- 47 -</w:t>
    </w:r>
    <w:r>
      <w:rPr>
        <w:rFonts w:ascii="宋体" w:hAnsi="宋体"/>
        <w:sz w:val="28"/>
        <w:szCs w:val="28"/>
      </w:rPr>
      <w:fldChar w:fldCharType="end"/>
    </w:r>
    <w:r>
      <w:rPr>
        <w:rFonts w:hint="eastAsia" w:ascii="宋体" w:hAnsi="宋体" w:eastAsia="宋体"/>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B7569">
    <w:pPr>
      <w:pStyle w:val="21"/>
      <w:pBdr>
        <w:bottom w:val="single" w:color="auto" w:sz="4" w:space="1"/>
      </w:pBdr>
      <w:rPr>
        <w:rFonts w:ascii="宋体" w:hAnsi="宋体" w:eastAsia="宋体"/>
        <w:sz w:val="21"/>
        <w:szCs w:val="21"/>
      </w:rPr>
    </w:pPr>
    <w:r>
      <w:rPr>
        <w:rFonts w:hint="eastAsia" w:ascii="宋体" w:hAnsi="宋体" w:eastAsia="宋体"/>
        <w:sz w:val="21"/>
        <w:szCs w:val="21"/>
      </w:rPr>
      <w:t xml:space="preserve">                                                                 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F9185">
    <w:pPr>
      <w:pStyle w:val="21"/>
      <w:pBdr>
        <w:bottom w:val="single" w:color="auto" w:sz="4" w:space="1"/>
      </w:pBdr>
      <w:rPr>
        <w:rFonts w:hint="eastAsia" w:ascii="宋体" w:hAnsi="宋体" w:eastAsia="宋体"/>
        <w:sz w:val="21"/>
        <w:szCs w:val="21"/>
      </w:rPr>
    </w:pPr>
    <w:r>
      <w:rPr>
        <w:rFonts w:hint="eastAsia" w:ascii="宋体" w:hAnsi="宋体" w:eastAsia="宋体"/>
        <w:sz w:val="21"/>
        <w:szCs w:val="21"/>
      </w:rPr>
      <w:t xml:space="preserve">                                                                  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334BD">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singleLevel"/>
    <w:tmpl w:val="00000003"/>
    <w:lvl w:ilvl="0" w:tentative="0">
      <w:start w:val="1"/>
      <w:numFmt w:val="chineseCounting"/>
      <w:suff w:val="nothing"/>
      <w:lvlText w:val="%1、"/>
      <w:lvlJc w:val="left"/>
      <w:rPr>
        <w:rFonts w:hint="eastAsia"/>
      </w:rPr>
    </w:lvl>
  </w:abstractNum>
  <w:abstractNum w:abstractNumId="1">
    <w:nsid w:val="00000004"/>
    <w:multiLevelType w:val="singleLevel"/>
    <w:tmpl w:val="00000004"/>
    <w:lvl w:ilvl="0" w:tentative="0">
      <w:start w:val="1"/>
      <w:numFmt w:val="decimal"/>
      <w:lvlText w:val="%1."/>
      <w:lvlJc w:val="left"/>
      <w:pPr>
        <w:tabs>
          <w:tab w:val="left" w:pos="312"/>
        </w:tabs>
      </w:pPr>
    </w:lvl>
  </w:abstractNum>
  <w:abstractNum w:abstractNumId="2">
    <w:nsid w:val="00000005"/>
    <w:multiLevelType w:val="singleLevel"/>
    <w:tmpl w:val="00000005"/>
    <w:lvl w:ilvl="0" w:tentative="0">
      <w:start w:val="1"/>
      <w:numFmt w:val="chineseCounting"/>
      <w:suff w:val="nothing"/>
      <w:lvlText w:val="（%1）"/>
      <w:lvlJc w:val="left"/>
      <w:rPr>
        <w:rFonts w:hint="eastAsia"/>
      </w:rPr>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00000007"/>
    <w:multiLevelType w:val="singleLevel"/>
    <w:tmpl w:val="00000007"/>
    <w:lvl w:ilvl="0" w:tentative="0">
      <w:start w:val="1"/>
      <w:numFmt w:val="decimal"/>
      <w:pStyle w:val="14"/>
      <w:lvlText w:val="%1."/>
      <w:lvlJc w:val="left"/>
      <w:pPr>
        <w:tabs>
          <w:tab w:val="left" w:pos="1200"/>
        </w:tabs>
        <w:ind w:left="1200" w:hanging="360"/>
      </w:pPr>
    </w:lvl>
  </w:abstractNum>
  <w:abstractNum w:abstractNumId="5">
    <w:nsid w:val="00000008"/>
    <w:multiLevelType w:val="multilevel"/>
    <w:tmpl w:val="00000008"/>
    <w:lvl w:ilvl="0" w:tentative="0">
      <w:start w:val="1"/>
      <w:numFmt w:val="decimal"/>
      <w:pStyle w:val="78"/>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00000009"/>
    <w:multiLevelType w:val="multilevel"/>
    <w:tmpl w:val="00000009"/>
    <w:lvl w:ilvl="0" w:tentative="0">
      <w:start w:val="1"/>
      <w:numFmt w:val="japaneseCounting"/>
      <w:lvlText w:val="第%1章"/>
      <w:lvlJc w:val="left"/>
      <w:pPr>
        <w:tabs>
          <w:tab w:val="left" w:pos="1440"/>
        </w:tabs>
        <w:ind w:left="1440" w:hanging="1275"/>
      </w:pPr>
      <w:rPr>
        <w:rFonts w:hint="eastAsia"/>
      </w:rPr>
    </w:lvl>
    <w:lvl w:ilvl="1" w:tentative="0">
      <w:start w:val="1"/>
      <w:numFmt w:val="japaneseCounting"/>
      <w:lvlText w:val="%2、"/>
      <w:lvlJc w:val="left"/>
      <w:pPr>
        <w:tabs>
          <w:tab w:val="left" w:pos="1305"/>
        </w:tabs>
        <w:ind w:left="1305" w:hanging="720"/>
      </w:pPr>
      <w:rPr>
        <w:rFonts w:hint="eastAsia"/>
      </w:rPr>
    </w:lvl>
    <w:lvl w:ilvl="2" w:tentative="0">
      <w:start w:val="1"/>
      <w:numFmt w:val="lowerRoman"/>
      <w:lvlText w:val="%3."/>
      <w:lvlJc w:val="right"/>
      <w:pPr>
        <w:tabs>
          <w:tab w:val="left" w:pos="1425"/>
        </w:tabs>
        <w:ind w:left="1425" w:hanging="420"/>
      </w:pPr>
    </w:lvl>
    <w:lvl w:ilvl="3" w:tentative="0">
      <w:start w:val="1"/>
      <w:numFmt w:val="decimal"/>
      <w:lvlText w:val="%4."/>
      <w:lvlJc w:val="left"/>
      <w:pPr>
        <w:tabs>
          <w:tab w:val="left" w:pos="1845"/>
        </w:tabs>
        <w:ind w:left="1845" w:hanging="420"/>
      </w:pPr>
    </w:lvl>
    <w:lvl w:ilvl="4" w:tentative="0">
      <w:start w:val="1"/>
      <w:numFmt w:val="lowerLetter"/>
      <w:lvlText w:val="%5)"/>
      <w:lvlJc w:val="left"/>
      <w:pPr>
        <w:tabs>
          <w:tab w:val="left" w:pos="2265"/>
        </w:tabs>
        <w:ind w:left="2265" w:hanging="420"/>
      </w:pPr>
    </w:lvl>
    <w:lvl w:ilvl="5" w:tentative="0">
      <w:start w:val="1"/>
      <w:numFmt w:val="lowerRoman"/>
      <w:lvlText w:val="%6."/>
      <w:lvlJc w:val="right"/>
      <w:pPr>
        <w:tabs>
          <w:tab w:val="left" w:pos="2685"/>
        </w:tabs>
        <w:ind w:left="2685" w:hanging="420"/>
      </w:pPr>
    </w:lvl>
    <w:lvl w:ilvl="6" w:tentative="0">
      <w:start w:val="1"/>
      <w:numFmt w:val="decimal"/>
      <w:lvlText w:val="%7."/>
      <w:lvlJc w:val="left"/>
      <w:pPr>
        <w:tabs>
          <w:tab w:val="left" w:pos="3105"/>
        </w:tabs>
        <w:ind w:left="3105" w:hanging="420"/>
      </w:pPr>
    </w:lvl>
    <w:lvl w:ilvl="7" w:tentative="0">
      <w:start w:val="1"/>
      <w:numFmt w:val="lowerLetter"/>
      <w:lvlText w:val="%8)"/>
      <w:lvlJc w:val="left"/>
      <w:pPr>
        <w:tabs>
          <w:tab w:val="left" w:pos="3525"/>
        </w:tabs>
        <w:ind w:left="3525" w:hanging="420"/>
      </w:pPr>
    </w:lvl>
    <w:lvl w:ilvl="8" w:tentative="0">
      <w:start w:val="1"/>
      <w:numFmt w:val="lowerRoman"/>
      <w:lvlText w:val="%9."/>
      <w:lvlJc w:val="right"/>
      <w:pPr>
        <w:tabs>
          <w:tab w:val="left" w:pos="3945"/>
        </w:tabs>
        <w:ind w:left="3945" w:hanging="420"/>
      </w:pPr>
    </w:lvl>
  </w:abstractNum>
  <w:abstractNum w:abstractNumId="7">
    <w:nsid w:val="0000000A"/>
    <w:multiLevelType w:val="singleLevel"/>
    <w:tmpl w:val="0000000A"/>
    <w:lvl w:ilvl="0" w:tentative="0">
      <w:start w:val="1"/>
      <w:numFmt w:val="decimal"/>
      <w:suff w:val="nothing"/>
      <w:lvlText w:val="%1、"/>
      <w:lvlJc w:val="left"/>
    </w:lvl>
  </w:abstractNum>
  <w:abstractNum w:abstractNumId="8">
    <w:nsid w:val="0000000C"/>
    <w:multiLevelType w:val="multilevel"/>
    <w:tmpl w:val="0000000C"/>
    <w:lvl w:ilvl="0" w:tentative="0">
      <w:start w:val="1"/>
      <w:numFmt w:val="japaneseCounting"/>
      <w:lvlText w:val="（%1）"/>
      <w:lvlJc w:val="left"/>
      <w:pPr>
        <w:ind w:left="720" w:hanging="720"/>
      </w:pPr>
      <w:rPr>
        <w:rFonts w:hint="default"/>
        <w:sz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0D"/>
    <w:multiLevelType w:val="singleLevel"/>
    <w:tmpl w:val="0000000D"/>
    <w:lvl w:ilvl="0" w:tentative="0">
      <w:start w:val="1"/>
      <w:numFmt w:val="decimal"/>
      <w:suff w:val="nothing"/>
      <w:lvlText w:val="%1、"/>
      <w:lvlJc w:val="left"/>
    </w:lvl>
  </w:abstractNum>
  <w:abstractNum w:abstractNumId="10">
    <w:nsid w:val="0000000E"/>
    <w:multiLevelType w:val="singleLevel"/>
    <w:tmpl w:val="0000000E"/>
    <w:lvl w:ilvl="0" w:tentative="0">
      <w:start w:val="1"/>
      <w:numFmt w:val="decimal"/>
      <w:lvlText w:val="%1."/>
      <w:lvlJc w:val="left"/>
      <w:pPr>
        <w:tabs>
          <w:tab w:val="left" w:pos="360"/>
        </w:tabs>
        <w:ind w:left="340" w:hanging="340"/>
      </w:pPr>
      <w:rPr>
        <w:rFonts w:hint="eastAsia" w:ascii="黑体" w:eastAsia="黑体"/>
      </w:rPr>
    </w:lvl>
  </w:abstractNum>
  <w:abstractNum w:abstractNumId="11">
    <w:nsid w:val="00000010"/>
    <w:multiLevelType w:val="multilevel"/>
    <w:tmpl w:val="00000010"/>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1F8127E"/>
    <w:multiLevelType w:val="singleLevel"/>
    <w:tmpl w:val="61F8127E"/>
    <w:lvl w:ilvl="0" w:tentative="0">
      <w:start w:val="1"/>
      <w:numFmt w:val="decimal"/>
      <w:suff w:val="nothing"/>
      <w:lvlText w:val="（%1）"/>
      <w:lvlJc w:val="left"/>
    </w:lvl>
  </w:abstractNum>
  <w:num w:numId="1">
    <w:abstractNumId w:val="4"/>
  </w:num>
  <w:num w:numId="2">
    <w:abstractNumId w:val="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1"/>
  </w:num>
  <w:num w:numId="7">
    <w:abstractNumId w:val="7"/>
  </w:num>
  <w:num w:numId="8">
    <w:abstractNumId w:val="9"/>
  </w:num>
  <w:num w:numId="9">
    <w:abstractNumId w:val="3"/>
  </w:num>
  <w:num w:numId="10">
    <w:abstractNumId w:val="12"/>
  </w:num>
  <w:num w:numId="11">
    <w:abstractNumId w:val="1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5ZTZjNGMwYTE1OTM4NzljZGQ2YzFhZGY0ZDg2NTkifQ=="/>
  </w:docVars>
  <w:rsids>
    <w:rsidRoot w:val="00172A27"/>
    <w:rsid w:val="000000A9"/>
    <w:rsid w:val="00001B10"/>
    <w:rsid w:val="00001B35"/>
    <w:rsid w:val="00005018"/>
    <w:rsid w:val="000057F2"/>
    <w:rsid w:val="00012020"/>
    <w:rsid w:val="00014445"/>
    <w:rsid w:val="000150D7"/>
    <w:rsid w:val="000151F7"/>
    <w:rsid w:val="00017E8C"/>
    <w:rsid w:val="00021A6B"/>
    <w:rsid w:val="00021F3D"/>
    <w:rsid w:val="00022770"/>
    <w:rsid w:val="00024550"/>
    <w:rsid w:val="000252F2"/>
    <w:rsid w:val="00025BF7"/>
    <w:rsid w:val="00026B14"/>
    <w:rsid w:val="00032E9D"/>
    <w:rsid w:val="00033A55"/>
    <w:rsid w:val="0003666F"/>
    <w:rsid w:val="000413D7"/>
    <w:rsid w:val="0004708D"/>
    <w:rsid w:val="00050178"/>
    <w:rsid w:val="00054670"/>
    <w:rsid w:val="000562DD"/>
    <w:rsid w:val="000568F1"/>
    <w:rsid w:val="000607EC"/>
    <w:rsid w:val="00061002"/>
    <w:rsid w:val="00061570"/>
    <w:rsid w:val="000625AC"/>
    <w:rsid w:val="00064D74"/>
    <w:rsid w:val="000655A6"/>
    <w:rsid w:val="00065A9A"/>
    <w:rsid w:val="0006621E"/>
    <w:rsid w:val="000670A8"/>
    <w:rsid w:val="00071877"/>
    <w:rsid w:val="00071919"/>
    <w:rsid w:val="000732B8"/>
    <w:rsid w:val="000732D9"/>
    <w:rsid w:val="0007371F"/>
    <w:rsid w:val="000757B7"/>
    <w:rsid w:val="00075D14"/>
    <w:rsid w:val="000761B3"/>
    <w:rsid w:val="0008037B"/>
    <w:rsid w:val="000823A0"/>
    <w:rsid w:val="000831E3"/>
    <w:rsid w:val="000836FF"/>
    <w:rsid w:val="000837A6"/>
    <w:rsid w:val="0008471C"/>
    <w:rsid w:val="0008595E"/>
    <w:rsid w:val="00086CB4"/>
    <w:rsid w:val="000879CA"/>
    <w:rsid w:val="00090497"/>
    <w:rsid w:val="000917FF"/>
    <w:rsid w:val="00092309"/>
    <w:rsid w:val="00092B00"/>
    <w:rsid w:val="00092C21"/>
    <w:rsid w:val="00092C44"/>
    <w:rsid w:val="00092F9D"/>
    <w:rsid w:val="000936A5"/>
    <w:rsid w:val="000946D9"/>
    <w:rsid w:val="00095DAC"/>
    <w:rsid w:val="0009742E"/>
    <w:rsid w:val="000A0C0C"/>
    <w:rsid w:val="000A18EE"/>
    <w:rsid w:val="000A38CC"/>
    <w:rsid w:val="000A45F0"/>
    <w:rsid w:val="000A6AB7"/>
    <w:rsid w:val="000B02A1"/>
    <w:rsid w:val="000B1604"/>
    <w:rsid w:val="000B1DC5"/>
    <w:rsid w:val="000B24E3"/>
    <w:rsid w:val="000B298D"/>
    <w:rsid w:val="000B3ACE"/>
    <w:rsid w:val="000B4359"/>
    <w:rsid w:val="000B45C2"/>
    <w:rsid w:val="000B4B9E"/>
    <w:rsid w:val="000B516A"/>
    <w:rsid w:val="000B5DFF"/>
    <w:rsid w:val="000B5EB3"/>
    <w:rsid w:val="000B78FD"/>
    <w:rsid w:val="000B79E8"/>
    <w:rsid w:val="000C035A"/>
    <w:rsid w:val="000C4E9E"/>
    <w:rsid w:val="000C57D8"/>
    <w:rsid w:val="000C64CC"/>
    <w:rsid w:val="000C6C82"/>
    <w:rsid w:val="000C6E16"/>
    <w:rsid w:val="000C7301"/>
    <w:rsid w:val="000C73EF"/>
    <w:rsid w:val="000C7ED6"/>
    <w:rsid w:val="000D2A7D"/>
    <w:rsid w:val="000D6AC0"/>
    <w:rsid w:val="000E119A"/>
    <w:rsid w:val="000E3E07"/>
    <w:rsid w:val="000E4031"/>
    <w:rsid w:val="000E5182"/>
    <w:rsid w:val="000F0CB6"/>
    <w:rsid w:val="000F0D5E"/>
    <w:rsid w:val="000F2C6C"/>
    <w:rsid w:val="000F3762"/>
    <w:rsid w:val="000F4479"/>
    <w:rsid w:val="000F5FEA"/>
    <w:rsid w:val="000F699E"/>
    <w:rsid w:val="000F704A"/>
    <w:rsid w:val="001012DD"/>
    <w:rsid w:val="0010143F"/>
    <w:rsid w:val="00101D69"/>
    <w:rsid w:val="001027D6"/>
    <w:rsid w:val="00103712"/>
    <w:rsid w:val="00104227"/>
    <w:rsid w:val="0010473B"/>
    <w:rsid w:val="00104DEE"/>
    <w:rsid w:val="00105128"/>
    <w:rsid w:val="001067DC"/>
    <w:rsid w:val="0010691C"/>
    <w:rsid w:val="0010753F"/>
    <w:rsid w:val="001101A6"/>
    <w:rsid w:val="0011319D"/>
    <w:rsid w:val="0011422B"/>
    <w:rsid w:val="00115620"/>
    <w:rsid w:val="001156F4"/>
    <w:rsid w:val="0011581C"/>
    <w:rsid w:val="00115F1C"/>
    <w:rsid w:val="00115FC9"/>
    <w:rsid w:val="00116495"/>
    <w:rsid w:val="001172F7"/>
    <w:rsid w:val="00117828"/>
    <w:rsid w:val="001203C5"/>
    <w:rsid w:val="00120465"/>
    <w:rsid w:val="001213F0"/>
    <w:rsid w:val="0012171B"/>
    <w:rsid w:val="00121951"/>
    <w:rsid w:val="001220AF"/>
    <w:rsid w:val="00122805"/>
    <w:rsid w:val="00122FB3"/>
    <w:rsid w:val="00123564"/>
    <w:rsid w:val="00125D9B"/>
    <w:rsid w:val="0012607E"/>
    <w:rsid w:val="0013077A"/>
    <w:rsid w:val="001311D0"/>
    <w:rsid w:val="001319CA"/>
    <w:rsid w:val="00131CB2"/>
    <w:rsid w:val="00131F8E"/>
    <w:rsid w:val="001327D0"/>
    <w:rsid w:val="00133054"/>
    <w:rsid w:val="0013346C"/>
    <w:rsid w:val="001344D6"/>
    <w:rsid w:val="0013460C"/>
    <w:rsid w:val="00134ADF"/>
    <w:rsid w:val="0013643A"/>
    <w:rsid w:val="00136922"/>
    <w:rsid w:val="00142078"/>
    <w:rsid w:val="001456DB"/>
    <w:rsid w:val="00145C3D"/>
    <w:rsid w:val="00146E86"/>
    <w:rsid w:val="0015086A"/>
    <w:rsid w:val="001517A2"/>
    <w:rsid w:val="001535BE"/>
    <w:rsid w:val="00154F3A"/>
    <w:rsid w:val="00156AFC"/>
    <w:rsid w:val="00157566"/>
    <w:rsid w:val="00157B96"/>
    <w:rsid w:val="00157C0B"/>
    <w:rsid w:val="00160026"/>
    <w:rsid w:val="0016088C"/>
    <w:rsid w:val="00160966"/>
    <w:rsid w:val="001624E0"/>
    <w:rsid w:val="001628EA"/>
    <w:rsid w:val="00162D04"/>
    <w:rsid w:val="00164105"/>
    <w:rsid w:val="0016449A"/>
    <w:rsid w:val="00164674"/>
    <w:rsid w:val="00170299"/>
    <w:rsid w:val="001728CF"/>
    <w:rsid w:val="00173364"/>
    <w:rsid w:val="00173C50"/>
    <w:rsid w:val="001757EE"/>
    <w:rsid w:val="00175F07"/>
    <w:rsid w:val="00176B4B"/>
    <w:rsid w:val="00180965"/>
    <w:rsid w:val="00180B40"/>
    <w:rsid w:val="00180C41"/>
    <w:rsid w:val="00180DD3"/>
    <w:rsid w:val="001812C3"/>
    <w:rsid w:val="001819C1"/>
    <w:rsid w:val="00183E0C"/>
    <w:rsid w:val="00185FE6"/>
    <w:rsid w:val="0018604D"/>
    <w:rsid w:val="001871F0"/>
    <w:rsid w:val="00191382"/>
    <w:rsid w:val="0019490E"/>
    <w:rsid w:val="001949DB"/>
    <w:rsid w:val="00197B8E"/>
    <w:rsid w:val="001A0A61"/>
    <w:rsid w:val="001A293D"/>
    <w:rsid w:val="001A3756"/>
    <w:rsid w:val="001A71A7"/>
    <w:rsid w:val="001A7C0D"/>
    <w:rsid w:val="001A7CDA"/>
    <w:rsid w:val="001B4101"/>
    <w:rsid w:val="001B54EC"/>
    <w:rsid w:val="001B6967"/>
    <w:rsid w:val="001B737E"/>
    <w:rsid w:val="001B799E"/>
    <w:rsid w:val="001C0186"/>
    <w:rsid w:val="001C187A"/>
    <w:rsid w:val="001C26EA"/>
    <w:rsid w:val="001C3B7A"/>
    <w:rsid w:val="001C3D41"/>
    <w:rsid w:val="001C42BB"/>
    <w:rsid w:val="001C49D0"/>
    <w:rsid w:val="001C4D60"/>
    <w:rsid w:val="001C5C39"/>
    <w:rsid w:val="001C5F47"/>
    <w:rsid w:val="001C620F"/>
    <w:rsid w:val="001D1197"/>
    <w:rsid w:val="001D358A"/>
    <w:rsid w:val="001D6006"/>
    <w:rsid w:val="001D6DB1"/>
    <w:rsid w:val="001E0743"/>
    <w:rsid w:val="001E3A79"/>
    <w:rsid w:val="001E3D9B"/>
    <w:rsid w:val="001E432C"/>
    <w:rsid w:val="001E55D6"/>
    <w:rsid w:val="001E6766"/>
    <w:rsid w:val="001E7E60"/>
    <w:rsid w:val="001F0826"/>
    <w:rsid w:val="001F1999"/>
    <w:rsid w:val="001F1E1C"/>
    <w:rsid w:val="001F3B55"/>
    <w:rsid w:val="001F636E"/>
    <w:rsid w:val="001F6E94"/>
    <w:rsid w:val="00201509"/>
    <w:rsid w:val="002026D1"/>
    <w:rsid w:val="00202704"/>
    <w:rsid w:val="002030E1"/>
    <w:rsid w:val="00203EA5"/>
    <w:rsid w:val="002048B2"/>
    <w:rsid w:val="002059B4"/>
    <w:rsid w:val="0020613F"/>
    <w:rsid w:val="00206D88"/>
    <w:rsid w:val="002075FF"/>
    <w:rsid w:val="002103D6"/>
    <w:rsid w:val="00212DA0"/>
    <w:rsid w:val="00213D1C"/>
    <w:rsid w:val="00214C0E"/>
    <w:rsid w:val="00214CE4"/>
    <w:rsid w:val="0021796C"/>
    <w:rsid w:val="00217AB2"/>
    <w:rsid w:val="00217E2B"/>
    <w:rsid w:val="00220E0A"/>
    <w:rsid w:val="00221779"/>
    <w:rsid w:val="00222CF0"/>
    <w:rsid w:val="0022300D"/>
    <w:rsid w:val="002251AB"/>
    <w:rsid w:val="00232AEF"/>
    <w:rsid w:val="00234788"/>
    <w:rsid w:val="00234D23"/>
    <w:rsid w:val="002352BE"/>
    <w:rsid w:val="002373B3"/>
    <w:rsid w:val="0023772D"/>
    <w:rsid w:val="00237910"/>
    <w:rsid w:val="00241B55"/>
    <w:rsid w:val="00242157"/>
    <w:rsid w:val="00242604"/>
    <w:rsid w:val="00243059"/>
    <w:rsid w:val="00245CCD"/>
    <w:rsid w:val="0024742C"/>
    <w:rsid w:val="00247E25"/>
    <w:rsid w:val="002523C1"/>
    <w:rsid w:val="002534B8"/>
    <w:rsid w:val="002544F6"/>
    <w:rsid w:val="002601E1"/>
    <w:rsid w:val="00261E83"/>
    <w:rsid w:val="00262498"/>
    <w:rsid w:val="00263048"/>
    <w:rsid w:val="00264E68"/>
    <w:rsid w:val="00265B21"/>
    <w:rsid w:val="00270458"/>
    <w:rsid w:val="002805F7"/>
    <w:rsid w:val="00281152"/>
    <w:rsid w:val="002842CA"/>
    <w:rsid w:val="00286372"/>
    <w:rsid w:val="00287C8A"/>
    <w:rsid w:val="002929DB"/>
    <w:rsid w:val="00293226"/>
    <w:rsid w:val="00293893"/>
    <w:rsid w:val="002945E7"/>
    <w:rsid w:val="00294FE1"/>
    <w:rsid w:val="00295465"/>
    <w:rsid w:val="0029663B"/>
    <w:rsid w:val="0029672A"/>
    <w:rsid w:val="002A2ACD"/>
    <w:rsid w:val="002A5562"/>
    <w:rsid w:val="002A61DE"/>
    <w:rsid w:val="002B1FA8"/>
    <w:rsid w:val="002B2AE3"/>
    <w:rsid w:val="002B6B60"/>
    <w:rsid w:val="002B7AFE"/>
    <w:rsid w:val="002C0DF6"/>
    <w:rsid w:val="002C1530"/>
    <w:rsid w:val="002C2A4E"/>
    <w:rsid w:val="002C4465"/>
    <w:rsid w:val="002C492B"/>
    <w:rsid w:val="002C5331"/>
    <w:rsid w:val="002D2B46"/>
    <w:rsid w:val="002D3482"/>
    <w:rsid w:val="002D580E"/>
    <w:rsid w:val="002D61AE"/>
    <w:rsid w:val="002E091A"/>
    <w:rsid w:val="002E2D0A"/>
    <w:rsid w:val="002E31FA"/>
    <w:rsid w:val="002E3CA7"/>
    <w:rsid w:val="002E40EC"/>
    <w:rsid w:val="002E4965"/>
    <w:rsid w:val="002E691E"/>
    <w:rsid w:val="002E6AFF"/>
    <w:rsid w:val="002E6F54"/>
    <w:rsid w:val="002F103B"/>
    <w:rsid w:val="002F4185"/>
    <w:rsid w:val="002F64CF"/>
    <w:rsid w:val="002F7292"/>
    <w:rsid w:val="00300008"/>
    <w:rsid w:val="00300BE7"/>
    <w:rsid w:val="00301A03"/>
    <w:rsid w:val="00303EA7"/>
    <w:rsid w:val="00305C2B"/>
    <w:rsid w:val="00310514"/>
    <w:rsid w:val="00311664"/>
    <w:rsid w:val="00311B3A"/>
    <w:rsid w:val="00312B3D"/>
    <w:rsid w:val="00313932"/>
    <w:rsid w:val="003165DC"/>
    <w:rsid w:val="003200FE"/>
    <w:rsid w:val="00321D52"/>
    <w:rsid w:val="0032290C"/>
    <w:rsid w:val="003230B9"/>
    <w:rsid w:val="00324659"/>
    <w:rsid w:val="003252E6"/>
    <w:rsid w:val="00326E28"/>
    <w:rsid w:val="00327020"/>
    <w:rsid w:val="00330161"/>
    <w:rsid w:val="003341F8"/>
    <w:rsid w:val="00335C38"/>
    <w:rsid w:val="003361F9"/>
    <w:rsid w:val="00336DE7"/>
    <w:rsid w:val="003374D3"/>
    <w:rsid w:val="00337A80"/>
    <w:rsid w:val="003400BB"/>
    <w:rsid w:val="00341DC8"/>
    <w:rsid w:val="00342EC3"/>
    <w:rsid w:val="0034341F"/>
    <w:rsid w:val="00343972"/>
    <w:rsid w:val="0034404F"/>
    <w:rsid w:val="003443DB"/>
    <w:rsid w:val="00346574"/>
    <w:rsid w:val="00346F57"/>
    <w:rsid w:val="003504BB"/>
    <w:rsid w:val="00351260"/>
    <w:rsid w:val="003515A6"/>
    <w:rsid w:val="003516C4"/>
    <w:rsid w:val="003531DB"/>
    <w:rsid w:val="0035440F"/>
    <w:rsid w:val="00354529"/>
    <w:rsid w:val="003551B1"/>
    <w:rsid w:val="00357962"/>
    <w:rsid w:val="00357A57"/>
    <w:rsid w:val="00363464"/>
    <w:rsid w:val="003634F2"/>
    <w:rsid w:val="00364C83"/>
    <w:rsid w:val="00367FC8"/>
    <w:rsid w:val="00370D20"/>
    <w:rsid w:val="0037138C"/>
    <w:rsid w:val="00375F99"/>
    <w:rsid w:val="00376FE4"/>
    <w:rsid w:val="00377E3B"/>
    <w:rsid w:val="00380933"/>
    <w:rsid w:val="0038119C"/>
    <w:rsid w:val="00382CAE"/>
    <w:rsid w:val="00383983"/>
    <w:rsid w:val="00383AB5"/>
    <w:rsid w:val="0038461C"/>
    <w:rsid w:val="003903A8"/>
    <w:rsid w:val="003913A7"/>
    <w:rsid w:val="00391B88"/>
    <w:rsid w:val="00392CC5"/>
    <w:rsid w:val="00394874"/>
    <w:rsid w:val="00394D91"/>
    <w:rsid w:val="00395EA8"/>
    <w:rsid w:val="00396923"/>
    <w:rsid w:val="00396954"/>
    <w:rsid w:val="00396A5C"/>
    <w:rsid w:val="00397461"/>
    <w:rsid w:val="003978B2"/>
    <w:rsid w:val="003A1FDC"/>
    <w:rsid w:val="003A3483"/>
    <w:rsid w:val="003A5C6E"/>
    <w:rsid w:val="003A68F0"/>
    <w:rsid w:val="003A6F9D"/>
    <w:rsid w:val="003B0869"/>
    <w:rsid w:val="003B1925"/>
    <w:rsid w:val="003B1A47"/>
    <w:rsid w:val="003B1F31"/>
    <w:rsid w:val="003B283A"/>
    <w:rsid w:val="003B457B"/>
    <w:rsid w:val="003B5230"/>
    <w:rsid w:val="003C0967"/>
    <w:rsid w:val="003C1876"/>
    <w:rsid w:val="003C1B93"/>
    <w:rsid w:val="003C1BBB"/>
    <w:rsid w:val="003C1FFF"/>
    <w:rsid w:val="003C2309"/>
    <w:rsid w:val="003C2EB4"/>
    <w:rsid w:val="003C37EB"/>
    <w:rsid w:val="003C538A"/>
    <w:rsid w:val="003C6EB5"/>
    <w:rsid w:val="003C71A3"/>
    <w:rsid w:val="003D073E"/>
    <w:rsid w:val="003D0814"/>
    <w:rsid w:val="003D09E8"/>
    <w:rsid w:val="003D17B7"/>
    <w:rsid w:val="003D1883"/>
    <w:rsid w:val="003D1DFC"/>
    <w:rsid w:val="003D207A"/>
    <w:rsid w:val="003D230E"/>
    <w:rsid w:val="003D2EA4"/>
    <w:rsid w:val="003D33CB"/>
    <w:rsid w:val="003D33E2"/>
    <w:rsid w:val="003D3CEF"/>
    <w:rsid w:val="003D6ADD"/>
    <w:rsid w:val="003D7DD4"/>
    <w:rsid w:val="003E1081"/>
    <w:rsid w:val="003E1666"/>
    <w:rsid w:val="003E30D0"/>
    <w:rsid w:val="003E3D94"/>
    <w:rsid w:val="003E5435"/>
    <w:rsid w:val="003E70D9"/>
    <w:rsid w:val="003E7F9A"/>
    <w:rsid w:val="003F0455"/>
    <w:rsid w:val="003F1A15"/>
    <w:rsid w:val="003F7A97"/>
    <w:rsid w:val="00401FBD"/>
    <w:rsid w:val="00404F63"/>
    <w:rsid w:val="00406CAB"/>
    <w:rsid w:val="004075E3"/>
    <w:rsid w:val="004104B0"/>
    <w:rsid w:val="00410C62"/>
    <w:rsid w:val="0041113F"/>
    <w:rsid w:val="00412EB0"/>
    <w:rsid w:val="004140FD"/>
    <w:rsid w:val="00415532"/>
    <w:rsid w:val="00416043"/>
    <w:rsid w:val="00416DC7"/>
    <w:rsid w:val="00416F15"/>
    <w:rsid w:val="004170E8"/>
    <w:rsid w:val="004208C7"/>
    <w:rsid w:val="00422858"/>
    <w:rsid w:val="00423D96"/>
    <w:rsid w:val="00424A7E"/>
    <w:rsid w:val="00426CB1"/>
    <w:rsid w:val="00427E46"/>
    <w:rsid w:val="00430B23"/>
    <w:rsid w:val="00430D57"/>
    <w:rsid w:val="004320AE"/>
    <w:rsid w:val="0043263D"/>
    <w:rsid w:val="00432751"/>
    <w:rsid w:val="00434995"/>
    <w:rsid w:val="00435F24"/>
    <w:rsid w:val="00437516"/>
    <w:rsid w:val="00441D58"/>
    <w:rsid w:val="004423C2"/>
    <w:rsid w:val="00444285"/>
    <w:rsid w:val="00447414"/>
    <w:rsid w:val="00447876"/>
    <w:rsid w:val="0045016E"/>
    <w:rsid w:val="00451278"/>
    <w:rsid w:val="004516AA"/>
    <w:rsid w:val="00452EF7"/>
    <w:rsid w:val="0045443E"/>
    <w:rsid w:val="00454F95"/>
    <w:rsid w:val="00457261"/>
    <w:rsid w:val="0046097A"/>
    <w:rsid w:val="00461AD5"/>
    <w:rsid w:val="00461FBB"/>
    <w:rsid w:val="00463BD4"/>
    <w:rsid w:val="0046501A"/>
    <w:rsid w:val="004660E6"/>
    <w:rsid w:val="00466560"/>
    <w:rsid w:val="004669C7"/>
    <w:rsid w:val="004678BA"/>
    <w:rsid w:val="00470CE9"/>
    <w:rsid w:val="00472896"/>
    <w:rsid w:val="00472DD0"/>
    <w:rsid w:val="00472DF4"/>
    <w:rsid w:val="00473306"/>
    <w:rsid w:val="004737DF"/>
    <w:rsid w:val="0047407C"/>
    <w:rsid w:val="00474F3C"/>
    <w:rsid w:val="00484223"/>
    <w:rsid w:val="00484FD1"/>
    <w:rsid w:val="004854FC"/>
    <w:rsid w:val="00486A7C"/>
    <w:rsid w:val="00491FEC"/>
    <w:rsid w:val="00492FE2"/>
    <w:rsid w:val="004931AA"/>
    <w:rsid w:val="0049369E"/>
    <w:rsid w:val="00495494"/>
    <w:rsid w:val="0049556E"/>
    <w:rsid w:val="004975F4"/>
    <w:rsid w:val="004A09DF"/>
    <w:rsid w:val="004A1C3D"/>
    <w:rsid w:val="004A219C"/>
    <w:rsid w:val="004A25FB"/>
    <w:rsid w:val="004A277F"/>
    <w:rsid w:val="004A44D7"/>
    <w:rsid w:val="004A4FC4"/>
    <w:rsid w:val="004A7691"/>
    <w:rsid w:val="004B0694"/>
    <w:rsid w:val="004B0F20"/>
    <w:rsid w:val="004B23C9"/>
    <w:rsid w:val="004B2FE7"/>
    <w:rsid w:val="004B3EAB"/>
    <w:rsid w:val="004B6E31"/>
    <w:rsid w:val="004C16CA"/>
    <w:rsid w:val="004C29FF"/>
    <w:rsid w:val="004C4CE3"/>
    <w:rsid w:val="004C4DE5"/>
    <w:rsid w:val="004D10AE"/>
    <w:rsid w:val="004D15C8"/>
    <w:rsid w:val="004D1710"/>
    <w:rsid w:val="004D20DC"/>
    <w:rsid w:val="004D5051"/>
    <w:rsid w:val="004D53FF"/>
    <w:rsid w:val="004D6201"/>
    <w:rsid w:val="004D6791"/>
    <w:rsid w:val="004D7029"/>
    <w:rsid w:val="004D7880"/>
    <w:rsid w:val="004E1070"/>
    <w:rsid w:val="004E35F8"/>
    <w:rsid w:val="004E7589"/>
    <w:rsid w:val="004F014B"/>
    <w:rsid w:val="004F0A9D"/>
    <w:rsid w:val="004F207A"/>
    <w:rsid w:val="004F34C4"/>
    <w:rsid w:val="004F4A2E"/>
    <w:rsid w:val="004F5D58"/>
    <w:rsid w:val="004F7A54"/>
    <w:rsid w:val="004F7E72"/>
    <w:rsid w:val="00502905"/>
    <w:rsid w:val="00504955"/>
    <w:rsid w:val="0050560E"/>
    <w:rsid w:val="00506EF6"/>
    <w:rsid w:val="005079F5"/>
    <w:rsid w:val="00510593"/>
    <w:rsid w:val="00511254"/>
    <w:rsid w:val="005142ED"/>
    <w:rsid w:val="00517613"/>
    <w:rsid w:val="005179D0"/>
    <w:rsid w:val="00521896"/>
    <w:rsid w:val="005222AB"/>
    <w:rsid w:val="005228DC"/>
    <w:rsid w:val="005238AE"/>
    <w:rsid w:val="00526825"/>
    <w:rsid w:val="0053322F"/>
    <w:rsid w:val="0053338B"/>
    <w:rsid w:val="00533E4B"/>
    <w:rsid w:val="0053461A"/>
    <w:rsid w:val="005376ED"/>
    <w:rsid w:val="00540AF3"/>
    <w:rsid w:val="00540D1C"/>
    <w:rsid w:val="00543016"/>
    <w:rsid w:val="00543408"/>
    <w:rsid w:val="00543BF3"/>
    <w:rsid w:val="00545AA2"/>
    <w:rsid w:val="00545C83"/>
    <w:rsid w:val="005464FC"/>
    <w:rsid w:val="005473CB"/>
    <w:rsid w:val="00547418"/>
    <w:rsid w:val="005475F9"/>
    <w:rsid w:val="00547EB0"/>
    <w:rsid w:val="005519F5"/>
    <w:rsid w:val="00551E1D"/>
    <w:rsid w:val="00551E38"/>
    <w:rsid w:val="00551FAB"/>
    <w:rsid w:val="00552265"/>
    <w:rsid w:val="005523F3"/>
    <w:rsid w:val="005524D9"/>
    <w:rsid w:val="00554F92"/>
    <w:rsid w:val="00554FB5"/>
    <w:rsid w:val="00555EAE"/>
    <w:rsid w:val="0055783A"/>
    <w:rsid w:val="0056112C"/>
    <w:rsid w:val="00561CF5"/>
    <w:rsid w:val="00562174"/>
    <w:rsid w:val="005627D6"/>
    <w:rsid w:val="00562F41"/>
    <w:rsid w:val="00563059"/>
    <w:rsid w:val="005673DC"/>
    <w:rsid w:val="00567574"/>
    <w:rsid w:val="00567FE4"/>
    <w:rsid w:val="00571407"/>
    <w:rsid w:val="0057376C"/>
    <w:rsid w:val="00574991"/>
    <w:rsid w:val="0057516B"/>
    <w:rsid w:val="00575759"/>
    <w:rsid w:val="00576203"/>
    <w:rsid w:val="00576D09"/>
    <w:rsid w:val="00576DCB"/>
    <w:rsid w:val="00576FDF"/>
    <w:rsid w:val="005819A7"/>
    <w:rsid w:val="0058307E"/>
    <w:rsid w:val="005835F4"/>
    <w:rsid w:val="00584A95"/>
    <w:rsid w:val="00584EFB"/>
    <w:rsid w:val="005906A5"/>
    <w:rsid w:val="00591737"/>
    <w:rsid w:val="00591958"/>
    <w:rsid w:val="005948F5"/>
    <w:rsid w:val="0059505D"/>
    <w:rsid w:val="00595155"/>
    <w:rsid w:val="0059570C"/>
    <w:rsid w:val="00595935"/>
    <w:rsid w:val="00595F22"/>
    <w:rsid w:val="00595FA0"/>
    <w:rsid w:val="005963EA"/>
    <w:rsid w:val="005A0A8A"/>
    <w:rsid w:val="005A7F01"/>
    <w:rsid w:val="005B0AFD"/>
    <w:rsid w:val="005B0CC1"/>
    <w:rsid w:val="005B1E09"/>
    <w:rsid w:val="005B25D0"/>
    <w:rsid w:val="005B45AF"/>
    <w:rsid w:val="005B4AE8"/>
    <w:rsid w:val="005B6B88"/>
    <w:rsid w:val="005C0552"/>
    <w:rsid w:val="005C0B0E"/>
    <w:rsid w:val="005C114B"/>
    <w:rsid w:val="005C1638"/>
    <w:rsid w:val="005C39E7"/>
    <w:rsid w:val="005C7326"/>
    <w:rsid w:val="005C78AE"/>
    <w:rsid w:val="005D5298"/>
    <w:rsid w:val="005D7380"/>
    <w:rsid w:val="005D76D4"/>
    <w:rsid w:val="005E0258"/>
    <w:rsid w:val="005E09D7"/>
    <w:rsid w:val="005E0F56"/>
    <w:rsid w:val="005E146F"/>
    <w:rsid w:val="005E5D7A"/>
    <w:rsid w:val="005E7CEA"/>
    <w:rsid w:val="005E7E15"/>
    <w:rsid w:val="005F08EF"/>
    <w:rsid w:val="005F18EC"/>
    <w:rsid w:val="005F2031"/>
    <w:rsid w:val="005F2A12"/>
    <w:rsid w:val="005F2A31"/>
    <w:rsid w:val="005F46EE"/>
    <w:rsid w:val="005F4B36"/>
    <w:rsid w:val="005F65E2"/>
    <w:rsid w:val="005F6FCD"/>
    <w:rsid w:val="005F714E"/>
    <w:rsid w:val="005F7406"/>
    <w:rsid w:val="005F7916"/>
    <w:rsid w:val="0060026F"/>
    <w:rsid w:val="006007CD"/>
    <w:rsid w:val="00603A81"/>
    <w:rsid w:val="006048B2"/>
    <w:rsid w:val="006050F2"/>
    <w:rsid w:val="00605D2C"/>
    <w:rsid w:val="006067CE"/>
    <w:rsid w:val="00607FD2"/>
    <w:rsid w:val="00610CD6"/>
    <w:rsid w:val="0061110D"/>
    <w:rsid w:val="006120DE"/>
    <w:rsid w:val="00613C8D"/>
    <w:rsid w:val="00613F86"/>
    <w:rsid w:val="0061406D"/>
    <w:rsid w:val="00617730"/>
    <w:rsid w:val="00617E76"/>
    <w:rsid w:val="00620C84"/>
    <w:rsid w:val="00621181"/>
    <w:rsid w:val="0062167B"/>
    <w:rsid w:val="006218C0"/>
    <w:rsid w:val="00621BA0"/>
    <w:rsid w:val="00621BC3"/>
    <w:rsid w:val="00622DB5"/>
    <w:rsid w:val="00622E9A"/>
    <w:rsid w:val="00627F13"/>
    <w:rsid w:val="00631567"/>
    <w:rsid w:val="00632ABB"/>
    <w:rsid w:val="00634A62"/>
    <w:rsid w:val="00635D7E"/>
    <w:rsid w:val="006367F1"/>
    <w:rsid w:val="00640386"/>
    <w:rsid w:val="0064045C"/>
    <w:rsid w:val="006411B9"/>
    <w:rsid w:val="0064130D"/>
    <w:rsid w:val="00641833"/>
    <w:rsid w:val="00643440"/>
    <w:rsid w:val="00643875"/>
    <w:rsid w:val="006445C3"/>
    <w:rsid w:val="0064483B"/>
    <w:rsid w:val="00646D4B"/>
    <w:rsid w:val="00647931"/>
    <w:rsid w:val="00647F88"/>
    <w:rsid w:val="006500C6"/>
    <w:rsid w:val="0065195F"/>
    <w:rsid w:val="00653B03"/>
    <w:rsid w:val="006542C6"/>
    <w:rsid w:val="00655164"/>
    <w:rsid w:val="00655561"/>
    <w:rsid w:val="00656383"/>
    <w:rsid w:val="006617C5"/>
    <w:rsid w:val="00664A9D"/>
    <w:rsid w:val="00665CA4"/>
    <w:rsid w:val="00665F05"/>
    <w:rsid w:val="006678C8"/>
    <w:rsid w:val="006679D5"/>
    <w:rsid w:val="00676F52"/>
    <w:rsid w:val="00677394"/>
    <w:rsid w:val="006779FD"/>
    <w:rsid w:val="00677A23"/>
    <w:rsid w:val="006851ED"/>
    <w:rsid w:val="00690056"/>
    <w:rsid w:val="00691E2F"/>
    <w:rsid w:val="00691E30"/>
    <w:rsid w:val="00694AB3"/>
    <w:rsid w:val="0069756E"/>
    <w:rsid w:val="0069785A"/>
    <w:rsid w:val="00697DF0"/>
    <w:rsid w:val="006A05C8"/>
    <w:rsid w:val="006A0A99"/>
    <w:rsid w:val="006A1D12"/>
    <w:rsid w:val="006A1E9F"/>
    <w:rsid w:val="006A215F"/>
    <w:rsid w:val="006A2D4C"/>
    <w:rsid w:val="006A2D60"/>
    <w:rsid w:val="006A381D"/>
    <w:rsid w:val="006A4823"/>
    <w:rsid w:val="006A4B46"/>
    <w:rsid w:val="006A5144"/>
    <w:rsid w:val="006A665A"/>
    <w:rsid w:val="006A68F2"/>
    <w:rsid w:val="006A7109"/>
    <w:rsid w:val="006B0E44"/>
    <w:rsid w:val="006B1077"/>
    <w:rsid w:val="006B14D1"/>
    <w:rsid w:val="006B2163"/>
    <w:rsid w:val="006B273C"/>
    <w:rsid w:val="006B326D"/>
    <w:rsid w:val="006B3376"/>
    <w:rsid w:val="006B3728"/>
    <w:rsid w:val="006B6CB7"/>
    <w:rsid w:val="006C0875"/>
    <w:rsid w:val="006C21C8"/>
    <w:rsid w:val="006C4F4A"/>
    <w:rsid w:val="006C7A54"/>
    <w:rsid w:val="006D112E"/>
    <w:rsid w:val="006D1178"/>
    <w:rsid w:val="006D4B3F"/>
    <w:rsid w:val="006D4DF2"/>
    <w:rsid w:val="006D60ED"/>
    <w:rsid w:val="006D66B0"/>
    <w:rsid w:val="006D7ABD"/>
    <w:rsid w:val="006E1242"/>
    <w:rsid w:val="006E1B0D"/>
    <w:rsid w:val="006E23DE"/>
    <w:rsid w:val="006E27EE"/>
    <w:rsid w:val="006E76E0"/>
    <w:rsid w:val="006F0605"/>
    <w:rsid w:val="006F0FDE"/>
    <w:rsid w:val="006F1C65"/>
    <w:rsid w:val="006F1E96"/>
    <w:rsid w:val="006F394D"/>
    <w:rsid w:val="006F7FFB"/>
    <w:rsid w:val="00702ECC"/>
    <w:rsid w:val="00704CB2"/>
    <w:rsid w:val="0070502C"/>
    <w:rsid w:val="0070590A"/>
    <w:rsid w:val="00705981"/>
    <w:rsid w:val="00706369"/>
    <w:rsid w:val="0070797D"/>
    <w:rsid w:val="00710896"/>
    <w:rsid w:val="00710D41"/>
    <w:rsid w:val="007110DF"/>
    <w:rsid w:val="00711B32"/>
    <w:rsid w:val="0071226A"/>
    <w:rsid w:val="00712348"/>
    <w:rsid w:val="00712954"/>
    <w:rsid w:val="00712D01"/>
    <w:rsid w:val="00712E60"/>
    <w:rsid w:val="00717510"/>
    <w:rsid w:val="007224E2"/>
    <w:rsid w:val="007237D8"/>
    <w:rsid w:val="00723931"/>
    <w:rsid w:val="0072422E"/>
    <w:rsid w:val="00724A7C"/>
    <w:rsid w:val="00725BE0"/>
    <w:rsid w:val="00726B13"/>
    <w:rsid w:val="00727159"/>
    <w:rsid w:val="00727D62"/>
    <w:rsid w:val="00730B56"/>
    <w:rsid w:val="00730E7D"/>
    <w:rsid w:val="00732DE6"/>
    <w:rsid w:val="00732F77"/>
    <w:rsid w:val="00735C6F"/>
    <w:rsid w:val="00735D29"/>
    <w:rsid w:val="007361F8"/>
    <w:rsid w:val="00736323"/>
    <w:rsid w:val="00737681"/>
    <w:rsid w:val="00741134"/>
    <w:rsid w:val="00741A74"/>
    <w:rsid w:val="00743633"/>
    <w:rsid w:val="00743FE3"/>
    <w:rsid w:val="00744597"/>
    <w:rsid w:val="00745114"/>
    <w:rsid w:val="00746B51"/>
    <w:rsid w:val="007471DE"/>
    <w:rsid w:val="00750047"/>
    <w:rsid w:val="00750F7C"/>
    <w:rsid w:val="00751032"/>
    <w:rsid w:val="00751367"/>
    <w:rsid w:val="00753200"/>
    <w:rsid w:val="00754418"/>
    <w:rsid w:val="00760167"/>
    <w:rsid w:val="00760942"/>
    <w:rsid w:val="00761FF0"/>
    <w:rsid w:val="007620CB"/>
    <w:rsid w:val="0076322A"/>
    <w:rsid w:val="00763B6A"/>
    <w:rsid w:val="00766D02"/>
    <w:rsid w:val="007673F2"/>
    <w:rsid w:val="0077215B"/>
    <w:rsid w:val="00772531"/>
    <w:rsid w:val="00774177"/>
    <w:rsid w:val="007758AF"/>
    <w:rsid w:val="00776856"/>
    <w:rsid w:val="0078035D"/>
    <w:rsid w:val="00780538"/>
    <w:rsid w:val="00781831"/>
    <w:rsid w:val="00782295"/>
    <w:rsid w:val="0078463E"/>
    <w:rsid w:val="007856B8"/>
    <w:rsid w:val="0078585C"/>
    <w:rsid w:val="00785883"/>
    <w:rsid w:val="00790E70"/>
    <w:rsid w:val="00791D26"/>
    <w:rsid w:val="00792756"/>
    <w:rsid w:val="007944CC"/>
    <w:rsid w:val="007955EF"/>
    <w:rsid w:val="00796468"/>
    <w:rsid w:val="007A093B"/>
    <w:rsid w:val="007A0D04"/>
    <w:rsid w:val="007A308E"/>
    <w:rsid w:val="007A3420"/>
    <w:rsid w:val="007A72C0"/>
    <w:rsid w:val="007B0852"/>
    <w:rsid w:val="007B1889"/>
    <w:rsid w:val="007B1E98"/>
    <w:rsid w:val="007B2CF3"/>
    <w:rsid w:val="007B2CFF"/>
    <w:rsid w:val="007B3B7F"/>
    <w:rsid w:val="007B43BF"/>
    <w:rsid w:val="007B52C5"/>
    <w:rsid w:val="007B5FD1"/>
    <w:rsid w:val="007B63C3"/>
    <w:rsid w:val="007B7177"/>
    <w:rsid w:val="007C2589"/>
    <w:rsid w:val="007C34B1"/>
    <w:rsid w:val="007C3835"/>
    <w:rsid w:val="007C3910"/>
    <w:rsid w:val="007C5E7E"/>
    <w:rsid w:val="007C7B72"/>
    <w:rsid w:val="007D0014"/>
    <w:rsid w:val="007D443C"/>
    <w:rsid w:val="007D4FA8"/>
    <w:rsid w:val="007D5B03"/>
    <w:rsid w:val="007D6A61"/>
    <w:rsid w:val="007D6C21"/>
    <w:rsid w:val="007D7425"/>
    <w:rsid w:val="007D771E"/>
    <w:rsid w:val="007D7F2A"/>
    <w:rsid w:val="007E07A3"/>
    <w:rsid w:val="007E08F3"/>
    <w:rsid w:val="007E133A"/>
    <w:rsid w:val="007E2FC5"/>
    <w:rsid w:val="007E50FF"/>
    <w:rsid w:val="007E5A5C"/>
    <w:rsid w:val="007E5C62"/>
    <w:rsid w:val="007E5E96"/>
    <w:rsid w:val="007E6F28"/>
    <w:rsid w:val="007F1B07"/>
    <w:rsid w:val="007F20C2"/>
    <w:rsid w:val="007F4E18"/>
    <w:rsid w:val="007F5F89"/>
    <w:rsid w:val="007F653E"/>
    <w:rsid w:val="007F6ECB"/>
    <w:rsid w:val="007F72ED"/>
    <w:rsid w:val="008022B6"/>
    <w:rsid w:val="00803EDC"/>
    <w:rsid w:val="00805E8D"/>
    <w:rsid w:val="00812C4C"/>
    <w:rsid w:val="00813880"/>
    <w:rsid w:val="00813EF3"/>
    <w:rsid w:val="00815B80"/>
    <w:rsid w:val="00815CAD"/>
    <w:rsid w:val="00816A35"/>
    <w:rsid w:val="00817E38"/>
    <w:rsid w:val="0082012E"/>
    <w:rsid w:val="00820195"/>
    <w:rsid w:val="00820877"/>
    <w:rsid w:val="0082224F"/>
    <w:rsid w:val="008227BF"/>
    <w:rsid w:val="00822FC3"/>
    <w:rsid w:val="008274BE"/>
    <w:rsid w:val="00827654"/>
    <w:rsid w:val="00830071"/>
    <w:rsid w:val="00830FEC"/>
    <w:rsid w:val="00832230"/>
    <w:rsid w:val="00832DA2"/>
    <w:rsid w:val="0083321E"/>
    <w:rsid w:val="008332EC"/>
    <w:rsid w:val="00833EBA"/>
    <w:rsid w:val="00834355"/>
    <w:rsid w:val="008360CF"/>
    <w:rsid w:val="00837D1A"/>
    <w:rsid w:val="00843D75"/>
    <w:rsid w:val="00846082"/>
    <w:rsid w:val="00846402"/>
    <w:rsid w:val="00846FAA"/>
    <w:rsid w:val="008475B5"/>
    <w:rsid w:val="00850826"/>
    <w:rsid w:val="008512CB"/>
    <w:rsid w:val="00854D3B"/>
    <w:rsid w:val="008566C0"/>
    <w:rsid w:val="00856A77"/>
    <w:rsid w:val="008570FE"/>
    <w:rsid w:val="008579D5"/>
    <w:rsid w:val="00860188"/>
    <w:rsid w:val="00861C8C"/>
    <w:rsid w:val="00862CE3"/>
    <w:rsid w:val="008642EA"/>
    <w:rsid w:val="00865858"/>
    <w:rsid w:val="00865BA9"/>
    <w:rsid w:val="00866EC1"/>
    <w:rsid w:val="00867289"/>
    <w:rsid w:val="00870311"/>
    <w:rsid w:val="00871332"/>
    <w:rsid w:val="00871666"/>
    <w:rsid w:val="00871BFB"/>
    <w:rsid w:val="00872494"/>
    <w:rsid w:val="00872ACF"/>
    <w:rsid w:val="00874CBD"/>
    <w:rsid w:val="00877541"/>
    <w:rsid w:val="00883BBD"/>
    <w:rsid w:val="00883D8D"/>
    <w:rsid w:val="00884DE2"/>
    <w:rsid w:val="008865AB"/>
    <w:rsid w:val="00886E5A"/>
    <w:rsid w:val="008879F1"/>
    <w:rsid w:val="008919A0"/>
    <w:rsid w:val="00891E44"/>
    <w:rsid w:val="00892CAD"/>
    <w:rsid w:val="0089531C"/>
    <w:rsid w:val="008A07B3"/>
    <w:rsid w:val="008A2D7B"/>
    <w:rsid w:val="008A4BF7"/>
    <w:rsid w:val="008A5452"/>
    <w:rsid w:val="008A71B4"/>
    <w:rsid w:val="008B061B"/>
    <w:rsid w:val="008B1D07"/>
    <w:rsid w:val="008B1E6B"/>
    <w:rsid w:val="008B2B7C"/>
    <w:rsid w:val="008B2B87"/>
    <w:rsid w:val="008B2C37"/>
    <w:rsid w:val="008B3A35"/>
    <w:rsid w:val="008B446A"/>
    <w:rsid w:val="008B4BC3"/>
    <w:rsid w:val="008B56B1"/>
    <w:rsid w:val="008B5949"/>
    <w:rsid w:val="008B63DE"/>
    <w:rsid w:val="008B65CF"/>
    <w:rsid w:val="008B6F5C"/>
    <w:rsid w:val="008C5DD0"/>
    <w:rsid w:val="008C653E"/>
    <w:rsid w:val="008C6BF2"/>
    <w:rsid w:val="008C74E8"/>
    <w:rsid w:val="008D1124"/>
    <w:rsid w:val="008D1887"/>
    <w:rsid w:val="008D25CB"/>
    <w:rsid w:val="008D38EB"/>
    <w:rsid w:val="008D4A14"/>
    <w:rsid w:val="008D4C06"/>
    <w:rsid w:val="008E5BF2"/>
    <w:rsid w:val="008E62CF"/>
    <w:rsid w:val="008F3352"/>
    <w:rsid w:val="008F4716"/>
    <w:rsid w:val="008F4746"/>
    <w:rsid w:val="008F4D8F"/>
    <w:rsid w:val="008F5560"/>
    <w:rsid w:val="008F686B"/>
    <w:rsid w:val="008F6F1C"/>
    <w:rsid w:val="008F6FF2"/>
    <w:rsid w:val="008F7977"/>
    <w:rsid w:val="008F7A7D"/>
    <w:rsid w:val="008F7DF6"/>
    <w:rsid w:val="00900F70"/>
    <w:rsid w:val="0090120A"/>
    <w:rsid w:val="00901570"/>
    <w:rsid w:val="00901764"/>
    <w:rsid w:val="009018DD"/>
    <w:rsid w:val="00901970"/>
    <w:rsid w:val="00907107"/>
    <w:rsid w:val="009107EC"/>
    <w:rsid w:val="00912CDD"/>
    <w:rsid w:val="00913907"/>
    <w:rsid w:val="009142BB"/>
    <w:rsid w:val="0091569C"/>
    <w:rsid w:val="00916FCC"/>
    <w:rsid w:val="009222A5"/>
    <w:rsid w:val="00927AC2"/>
    <w:rsid w:val="009313F5"/>
    <w:rsid w:val="00931EE5"/>
    <w:rsid w:val="009353DC"/>
    <w:rsid w:val="00936FEC"/>
    <w:rsid w:val="009400AB"/>
    <w:rsid w:val="009402E1"/>
    <w:rsid w:val="00940894"/>
    <w:rsid w:val="00940AC3"/>
    <w:rsid w:val="009423FB"/>
    <w:rsid w:val="00945F1F"/>
    <w:rsid w:val="009468BD"/>
    <w:rsid w:val="00947692"/>
    <w:rsid w:val="00947CCE"/>
    <w:rsid w:val="00950D47"/>
    <w:rsid w:val="009510BA"/>
    <w:rsid w:val="00954258"/>
    <w:rsid w:val="0095458B"/>
    <w:rsid w:val="00954BFF"/>
    <w:rsid w:val="0096022F"/>
    <w:rsid w:val="00960AFE"/>
    <w:rsid w:val="00960FD6"/>
    <w:rsid w:val="00961ACD"/>
    <w:rsid w:val="0096337B"/>
    <w:rsid w:val="00963C64"/>
    <w:rsid w:val="009642F1"/>
    <w:rsid w:val="0096464A"/>
    <w:rsid w:val="00965F79"/>
    <w:rsid w:val="00967D93"/>
    <w:rsid w:val="00970202"/>
    <w:rsid w:val="009705EE"/>
    <w:rsid w:val="009737DB"/>
    <w:rsid w:val="00974ABA"/>
    <w:rsid w:val="009751E8"/>
    <w:rsid w:val="00980E20"/>
    <w:rsid w:val="00980F02"/>
    <w:rsid w:val="0098100C"/>
    <w:rsid w:val="009813EC"/>
    <w:rsid w:val="00984AFB"/>
    <w:rsid w:val="009859E1"/>
    <w:rsid w:val="00985F82"/>
    <w:rsid w:val="00986185"/>
    <w:rsid w:val="0098752A"/>
    <w:rsid w:val="009964D3"/>
    <w:rsid w:val="00996B65"/>
    <w:rsid w:val="00996E59"/>
    <w:rsid w:val="009A0A4E"/>
    <w:rsid w:val="009A1F1C"/>
    <w:rsid w:val="009A36D2"/>
    <w:rsid w:val="009A3855"/>
    <w:rsid w:val="009A3D4F"/>
    <w:rsid w:val="009A3D70"/>
    <w:rsid w:val="009A56C2"/>
    <w:rsid w:val="009A6D22"/>
    <w:rsid w:val="009A723B"/>
    <w:rsid w:val="009A761A"/>
    <w:rsid w:val="009A7E91"/>
    <w:rsid w:val="009B080A"/>
    <w:rsid w:val="009B0F21"/>
    <w:rsid w:val="009B19AD"/>
    <w:rsid w:val="009B1B15"/>
    <w:rsid w:val="009B1C3D"/>
    <w:rsid w:val="009B2849"/>
    <w:rsid w:val="009B3490"/>
    <w:rsid w:val="009B4527"/>
    <w:rsid w:val="009B4869"/>
    <w:rsid w:val="009B5336"/>
    <w:rsid w:val="009B776C"/>
    <w:rsid w:val="009B77D3"/>
    <w:rsid w:val="009C0FCB"/>
    <w:rsid w:val="009C1110"/>
    <w:rsid w:val="009C35DE"/>
    <w:rsid w:val="009C375A"/>
    <w:rsid w:val="009C3BB0"/>
    <w:rsid w:val="009C46DF"/>
    <w:rsid w:val="009C5A22"/>
    <w:rsid w:val="009D0CBB"/>
    <w:rsid w:val="009D39AC"/>
    <w:rsid w:val="009D4065"/>
    <w:rsid w:val="009D478B"/>
    <w:rsid w:val="009D5481"/>
    <w:rsid w:val="009D659E"/>
    <w:rsid w:val="009D7A93"/>
    <w:rsid w:val="009E3EC5"/>
    <w:rsid w:val="009E5644"/>
    <w:rsid w:val="009E6855"/>
    <w:rsid w:val="009E7313"/>
    <w:rsid w:val="009F0430"/>
    <w:rsid w:val="009F6B01"/>
    <w:rsid w:val="009F6B8D"/>
    <w:rsid w:val="009F6E69"/>
    <w:rsid w:val="00A0078A"/>
    <w:rsid w:val="00A01C75"/>
    <w:rsid w:val="00A02C24"/>
    <w:rsid w:val="00A04B8A"/>
    <w:rsid w:val="00A06B8B"/>
    <w:rsid w:val="00A12029"/>
    <w:rsid w:val="00A14E53"/>
    <w:rsid w:val="00A151CA"/>
    <w:rsid w:val="00A17759"/>
    <w:rsid w:val="00A17B22"/>
    <w:rsid w:val="00A23E44"/>
    <w:rsid w:val="00A245EE"/>
    <w:rsid w:val="00A24E9F"/>
    <w:rsid w:val="00A2610E"/>
    <w:rsid w:val="00A26689"/>
    <w:rsid w:val="00A276C8"/>
    <w:rsid w:val="00A2791E"/>
    <w:rsid w:val="00A30996"/>
    <w:rsid w:val="00A3176C"/>
    <w:rsid w:val="00A31896"/>
    <w:rsid w:val="00A31D67"/>
    <w:rsid w:val="00A3260A"/>
    <w:rsid w:val="00A329C0"/>
    <w:rsid w:val="00A35F71"/>
    <w:rsid w:val="00A376EB"/>
    <w:rsid w:val="00A403A6"/>
    <w:rsid w:val="00A40DBC"/>
    <w:rsid w:val="00A41495"/>
    <w:rsid w:val="00A423C4"/>
    <w:rsid w:val="00A4253A"/>
    <w:rsid w:val="00A433E7"/>
    <w:rsid w:val="00A44E77"/>
    <w:rsid w:val="00A454AB"/>
    <w:rsid w:val="00A45775"/>
    <w:rsid w:val="00A4688C"/>
    <w:rsid w:val="00A50A1C"/>
    <w:rsid w:val="00A50F68"/>
    <w:rsid w:val="00A51F8F"/>
    <w:rsid w:val="00A53F98"/>
    <w:rsid w:val="00A569F1"/>
    <w:rsid w:val="00A5729E"/>
    <w:rsid w:val="00A6121C"/>
    <w:rsid w:val="00A61B47"/>
    <w:rsid w:val="00A652F7"/>
    <w:rsid w:val="00A658C4"/>
    <w:rsid w:val="00A65B86"/>
    <w:rsid w:val="00A67EDC"/>
    <w:rsid w:val="00A70335"/>
    <w:rsid w:val="00A738FF"/>
    <w:rsid w:val="00A74145"/>
    <w:rsid w:val="00A81A89"/>
    <w:rsid w:val="00A8465E"/>
    <w:rsid w:val="00A85207"/>
    <w:rsid w:val="00A8548D"/>
    <w:rsid w:val="00A86B07"/>
    <w:rsid w:val="00A90111"/>
    <w:rsid w:val="00A908DC"/>
    <w:rsid w:val="00A92477"/>
    <w:rsid w:val="00A948C8"/>
    <w:rsid w:val="00A967AD"/>
    <w:rsid w:val="00A97418"/>
    <w:rsid w:val="00AA3EBA"/>
    <w:rsid w:val="00AA45B8"/>
    <w:rsid w:val="00AA6189"/>
    <w:rsid w:val="00AA71BD"/>
    <w:rsid w:val="00AB1EF5"/>
    <w:rsid w:val="00AB220D"/>
    <w:rsid w:val="00AB25A0"/>
    <w:rsid w:val="00AB5AD1"/>
    <w:rsid w:val="00AB6CBA"/>
    <w:rsid w:val="00AC07EB"/>
    <w:rsid w:val="00AC1187"/>
    <w:rsid w:val="00AC14AB"/>
    <w:rsid w:val="00AC358E"/>
    <w:rsid w:val="00AC49FA"/>
    <w:rsid w:val="00AC59A9"/>
    <w:rsid w:val="00AC74A5"/>
    <w:rsid w:val="00AD0FA1"/>
    <w:rsid w:val="00AD12FE"/>
    <w:rsid w:val="00AD2303"/>
    <w:rsid w:val="00AD24B6"/>
    <w:rsid w:val="00AD30F1"/>
    <w:rsid w:val="00AD4F9C"/>
    <w:rsid w:val="00AD562A"/>
    <w:rsid w:val="00AD631E"/>
    <w:rsid w:val="00AD68C8"/>
    <w:rsid w:val="00AD70E5"/>
    <w:rsid w:val="00AD763A"/>
    <w:rsid w:val="00AD7C4B"/>
    <w:rsid w:val="00AE0B83"/>
    <w:rsid w:val="00AE0F6A"/>
    <w:rsid w:val="00AE3EE0"/>
    <w:rsid w:val="00AE4253"/>
    <w:rsid w:val="00AE5016"/>
    <w:rsid w:val="00AE53E8"/>
    <w:rsid w:val="00AE7614"/>
    <w:rsid w:val="00AE79F0"/>
    <w:rsid w:val="00AF0238"/>
    <w:rsid w:val="00AF211A"/>
    <w:rsid w:val="00AF211D"/>
    <w:rsid w:val="00AF25E0"/>
    <w:rsid w:val="00AF7AFE"/>
    <w:rsid w:val="00AF7E63"/>
    <w:rsid w:val="00AF7F1E"/>
    <w:rsid w:val="00B00FDE"/>
    <w:rsid w:val="00B03277"/>
    <w:rsid w:val="00B052B8"/>
    <w:rsid w:val="00B06298"/>
    <w:rsid w:val="00B075B8"/>
    <w:rsid w:val="00B07F0B"/>
    <w:rsid w:val="00B11AD5"/>
    <w:rsid w:val="00B12758"/>
    <w:rsid w:val="00B13DEE"/>
    <w:rsid w:val="00B13E7C"/>
    <w:rsid w:val="00B149DB"/>
    <w:rsid w:val="00B15507"/>
    <w:rsid w:val="00B15DA6"/>
    <w:rsid w:val="00B16DEC"/>
    <w:rsid w:val="00B16DF7"/>
    <w:rsid w:val="00B17EDC"/>
    <w:rsid w:val="00B210C5"/>
    <w:rsid w:val="00B3002B"/>
    <w:rsid w:val="00B302AE"/>
    <w:rsid w:val="00B30C8D"/>
    <w:rsid w:val="00B31172"/>
    <w:rsid w:val="00B33728"/>
    <w:rsid w:val="00B337EF"/>
    <w:rsid w:val="00B3413A"/>
    <w:rsid w:val="00B3486A"/>
    <w:rsid w:val="00B352D5"/>
    <w:rsid w:val="00B36180"/>
    <w:rsid w:val="00B36EA8"/>
    <w:rsid w:val="00B400C1"/>
    <w:rsid w:val="00B4104B"/>
    <w:rsid w:val="00B415D1"/>
    <w:rsid w:val="00B435F4"/>
    <w:rsid w:val="00B447FC"/>
    <w:rsid w:val="00B44811"/>
    <w:rsid w:val="00B4696B"/>
    <w:rsid w:val="00B46F4E"/>
    <w:rsid w:val="00B53A8F"/>
    <w:rsid w:val="00B54D11"/>
    <w:rsid w:val="00B55BF7"/>
    <w:rsid w:val="00B56DCF"/>
    <w:rsid w:val="00B56EB6"/>
    <w:rsid w:val="00B57233"/>
    <w:rsid w:val="00B57842"/>
    <w:rsid w:val="00B57956"/>
    <w:rsid w:val="00B6002A"/>
    <w:rsid w:val="00B61EE6"/>
    <w:rsid w:val="00B6218C"/>
    <w:rsid w:val="00B64725"/>
    <w:rsid w:val="00B6520D"/>
    <w:rsid w:val="00B65527"/>
    <w:rsid w:val="00B65BA9"/>
    <w:rsid w:val="00B669B5"/>
    <w:rsid w:val="00B677F2"/>
    <w:rsid w:val="00B6788C"/>
    <w:rsid w:val="00B701B0"/>
    <w:rsid w:val="00B704CE"/>
    <w:rsid w:val="00B70B08"/>
    <w:rsid w:val="00B7240F"/>
    <w:rsid w:val="00B7270D"/>
    <w:rsid w:val="00B739F5"/>
    <w:rsid w:val="00B75586"/>
    <w:rsid w:val="00B75C97"/>
    <w:rsid w:val="00B76260"/>
    <w:rsid w:val="00B77788"/>
    <w:rsid w:val="00B82BE3"/>
    <w:rsid w:val="00B8353E"/>
    <w:rsid w:val="00B84461"/>
    <w:rsid w:val="00B86742"/>
    <w:rsid w:val="00B86C17"/>
    <w:rsid w:val="00B905CC"/>
    <w:rsid w:val="00B9669C"/>
    <w:rsid w:val="00B96E42"/>
    <w:rsid w:val="00B970F5"/>
    <w:rsid w:val="00BA093E"/>
    <w:rsid w:val="00BA27D5"/>
    <w:rsid w:val="00BA2833"/>
    <w:rsid w:val="00BA2BBA"/>
    <w:rsid w:val="00BA7829"/>
    <w:rsid w:val="00BB0550"/>
    <w:rsid w:val="00BB0C9B"/>
    <w:rsid w:val="00BB235D"/>
    <w:rsid w:val="00BB6F15"/>
    <w:rsid w:val="00BC07B3"/>
    <w:rsid w:val="00BC107F"/>
    <w:rsid w:val="00BC1D7F"/>
    <w:rsid w:val="00BC3AB3"/>
    <w:rsid w:val="00BC4A96"/>
    <w:rsid w:val="00BD0C4C"/>
    <w:rsid w:val="00BD194F"/>
    <w:rsid w:val="00BD1E9F"/>
    <w:rsid w:val="00BD234F"/>
    <w:rsid w:val="00BD49E4"/>
    <w:rsid w:val="00BD63B3"/>
    <w:rsid w:val="00BD7B23"/>
    <w:rsid w:val="00BD7F85"/>
    <w:rsid w:val="00BE1848"/>
    <w:rsid w:val="00BE1A18"/>
    <w:rsid w:val="00BE1A35"/>
    <w:rsid w:val="00BE2251"/>
    <w:rsid w:val="00BE23A9"/>
    <w:rsid w:val="00BE2D7B"/>
    <w:rsid w:val="00BE3E9E"/>
    <w:rsid w:val="00BE5021"/>
    <w:rsid w:val="00BE5297"/>
    <w:rsid w:val="00BE5A6E"/>
    <w:rsid w:val="00BE5B19"/>
    <w:rsid w:val="00BE70C9"/>
    <w:rsid w:val="00BE7712"/>
    <w:rsid w:val="00BE7D82"/>
    <w:rsid w:val="00BF2072"/>
    <w:rsid w:val="00BF3B42"/>
    <w:rsid w:val="00BF3F47"/>
    <w:rsid w:val="00BF3FB2"/>
    <w:rsid w:val="00BF41CC"/>
    <w:rsid w:val="00BF43FA"/>
    <w:rsid w:val="00BF5121"/>
    <w:rsid w:val="00BF54F8"/>
    <w:rsid w:val="00BF703E"/>
    <w:rsid w:val="00BF728C"/>
    <w:rsid w:val="00BF7A4E"/>
    <w:rsid w:val="00BF7FFB"/>
    <w:rsid w:val="00C03065"/>
    <w:rsid w:val="00C0343D"/>
    <w:rsid w:val="00C0364B"/>
    <w:rsid w:val="00C03A2C"/>
    <w:rsid w:val="00C04C6E"/>
    <w:rsid w:val="00C120AA"/>
    <w:rsid w:val="00C13FAE"/>
    <w:rsid w:val="00C148B6"/>
    <w:rsid w:val="00C16AD7"/>
    <w:rsid w:val="00C2126C"/>
    <w:rsid w:val="00C21C3A"/>
    <w:rsid w:val="00C23BFF"/>
    <w:rsid w:val="00C242E4"/>
    <w:rsid w:val="00C24F01"/>
    <w:rsid w:val="00C26FFA"/>
    <w:rsid w:val="00C31656"/>
    <w:rsid w:val="00C33060"/>
    <w:rsid w:val="00C34740"/>
    <w:rsid w:val="00C362FC"/>
    <w:rsid w:val="00C37BB4"/>
    <w:rsid w:val="00C41AF3"/>
    <w:rsid w:val="00C42A0B"/>
    <w:rsid w:val="00C43360"/>
    <w:rsid w:val="00C4341C"/>
    <w:rsid w:val="00C44D37"/>
    <w:rsid w:val="00C45324"/>
    <w:rsid w:val="00C475EF"/>
    <w:rsid w:val="00C506F9"/>
    <w:rsid w:val="00C512C8"/>
    <w:rsid w:val="00C518DD"/>
    <w:rsid w:val="00C51B20"/>
    <w:rsid w:val="00C5225F"/>
    <w:rsid w:val="00C53459"/>
    <w:rsid w:val="00C53543"/>
    <w:rsid w:val="00C53849"/>
    <w:rsid w:val="00C5455F"/>
    <w:rsid w:val="00C546BE"/>
    <w:rsid w:val="00C55884"/>
    <w:rsid w:val="00C55DFA"/>
    <w:rsid w:val="00C56284"/>
    <w:rsid w:val="00C56925"/>
    <w:rsid w:val="00C56EAF"/>
    <w:rsid w:val="00C578F7"/>
    <w:rsid w:val="00C63BE8"/>
    <w:rsid w:val="00C65073"/>
    <w:rsid w:val="00C6595B"/>
    <w:rsid w:val="00C67DC2"/>
    <w:rsid w:val="00C703ED"/>
    <w:rsid w:val="00C706BA"/>
    <w:rsid w:val="00C72B72"/>
    <w:rsid w:val="00C739DF"/>
    <w:rsid w:val="00C75320"/>
    <w:rsid w:val="00C76105"/>
    <w:rsid w:val="00C80074"/>
    <w:rsid w:val="00C80181"/>
    <w:rsid w:val="00C8065E"/>
    <w:rsid w:val="00C807B1"/>
    <w:rsid w:val="00C80C24"/>
    <w:rsid w:val="00C80DA2"/>
    <w:rsid w:val="00C810C8"/>
    <w:rsid w:val="00C8221E"/>
    <w:rsid w:val="00C82C78"/>
    <w:rsid w:val="00C85927"/>
    <w:rsid w:val="00C863AA"/>
    <w:rsid w:val="00C86830"/>
    <w:rsid w:val="00C8760B"/>
    <w:rsid w:val="00C9074C"/>
    <w:rsid w:val="00C90A6F"/>
    <w:rsid w:val="00C91441"/>
    <w:rsid w:val="00C9170D"/>
    <w:rsid w:val="00C924AC"/>
    <w:rsid w:val="00C925C1"/>
    <w:rsid w:val="00C9283F"/>
    <w:rsid w:val="00C92F38"/>
    <w:rsid w:val="00C938A5"/>
    <w:rsid w:val="00C944B4"/>
    <w:rsid w:val="00C9467A"/>
    <w:rsid w:val="00CA06FD"/>
    <w:rsid w:val="00CA0E09"/>
    <w:rsid w:val="00CA314B"/>
    <w:rsid w:val="00CA4A77"/>
    <w:rsid w:val="00CA4FE6"/>
    <w:rsid w:val="00CA52B7"/>
    <w:rsid w:val="00CA6495"/>
    <w:rsid w:val="00CA6545"/>
    <w:rsid w:val="00CA677B"/>
    <w:rsid w:val="00CA69EC"/>
    <w:rsid w:val="00CA71C2"/>
    <w:rsid w:val="00CA7E4A"/>
    <w:rsid w:val="00CB0EB4"/>
    <w:rsid w:val="00CB3778"/>
    <w:rsid w:val="00CB39B6"/>
    <w:rsid w:val="00CB76EA"/>
    <w:rsid w:val="00CC1F33"/>
    <w:rsid w:val="00CC2CDE"/>
    <w:rsid w:val="00CC3EF6"/>
    <w:rsid w:val="00CC51F4"/>
    <w:rsid w:val="00CC5480"/>
    <w:rsid w:val="00CC57EB"/>
    <w:rsid w:val="00CC6DC4"/>
    <w:rsid w:val="00CC78C8"/>
    <w:rsid w:val="00CD0A71"/>
    <w:rsid w:val="00CD0BB0"/>
    <w:rsid w:val="00CD1673"/>
    <w:rsid w:val="00CD2BEC"/>
    <w:rsid w:val="00CD3F38"/>
    <w:rsid w:val="00CD44BD"/>
    <w:rsid w:val="00CD4951"/>
    <w:rsid w:val="00CD5020"/>
    <w:rsid w:val="00CD6AB9"/>
    <w:rsid w:val="00CD7056"/>
    <w:rsid w:val="00CD7E88"/>
    <w:rsid w:val="00CE0031"/>
    <w:rsid w:val="00CE01D4"/>
    <w:rsid w:val="00CE0B63"/>
    <w:rsid w:val="00CE278C"/>
    <w:rsid w:val="00CE4A8D"/>
    <w:rsid w:val="00CF074B"/>
    <w:rsid w:val="00CF1C3D"/>
    <w:rsid w:val="00CF1CB1"/>
    <w:rsid w:val="00CF337D"/>
    <w:rsid w:val="00CF3629"/>
    <w:rsid w:val="00CF41DA"/>
    <w:rsid w:val="00CF45E4"/>
    <w:rsid w:val="00CF49AF"/>
    <w:rsid w:val="00CF7532"/>
    <w:rsid w:val="00D00126"/>
    <w:rsid w:val="00D00AA5"/>
    <w:rsid w:val="00D01567"/>
    <w:rsid w:val="00D02107"/>
    <w:rsid w:val="00D0296D"/>
    <w:rsid w:val="00D02D4B"/>
    <w:rsid w:val="00D03A06"/>
    <w:rsid w:val="00D064A3"/>
    <w:rsid w:val="00D06777"/>
    <w:rsid w:val="00D077AF"/>
    <w:rsid w:val="00D10146"/>
    <w:rsid w:val="00D11126"/>
    <w:rsid w:val="00D12BC5"/>
    <w:rsid w:val="00D141CD"/>
    <w:rsid w:val="00D14575"/>
    <w:rsid w:val="00D155C3"/>
    <w:rsid w:val="00D16722"/>
    <w:rsid w:val="00D17A59"/>
    <w:rsid w:val="00D2019F"/>
    <w:rsid w:val="00D20B25"/>
    <w:rsid w:val="00D21E46"/>
    <w:rsid w:val="00D22425"/>
    <w:rsid w:val="00D23311"/>
    <w:rsid w:val="00D24262"/>
    <w:rsid w:val="00D24391"/>
    <w:rsid w:val="00D334A4"/>
    <w:rsid w:val="00D33CFF"/>
    <w:rsid w:val="00D35621"/>
    <w:rsid w:val="00D3768C"/>
    <w:rsid w:val="00D37F56"/>
    <w:rsid w:val="00D40570"/>
    <w:rsid w:val="00D43299"/>
    <w:rsid w:val="00D449F9"/>
    <w:rsid w:val="00D45197"/>
    <w:rsid w:val="00D50125"/>
    <w:rsid w:val="00D5062C"/>
    <w:rsid w:val="00D520DF"/>
    <w:rsid w:val="00D54FD2"/>
    <w:rsid w:val="00D5615D"/>
    <w:rsid w:val="00D57269"/>
    <w:rsid w:val="00D61937"/>
    <w:rsid w:val="00D651AF"/>
    <w:rsid w:val="00D657DC"/>
    <w:rsid w:val="00D65DDF"/>
    <w:rsid w:val="00D67013"/>
    <w:rsid w:val="00D67D6B"/>
    <w:rsid w:val="00D71ECB"/>
    <w:rsid w:val="00D7265D"/>
    <w:rsid w:val="00D7306F"/>
    <w:rsid w:val="00D807B9"/>
    <w:rsid w:val="00D81EE4"/>
    <w:rsid w:val="00D81F44"/>
    <w:rsid w:val="00D82757"/>
    <w:rsid w:val="00D837F7"/>
    <w:rsid w:val="00D83FCC"/>
    <w:rsid w:val="00D867D9"/>
    <w:rsid w:val="00D870AC"/>
    <w:rsid w:val="00D87DE6"/>
    <w:rsid w:val="00D87F52"/>
    <w:rsid w:val="00D90B4C"/>
    <w:rsid w:val="00D90BE4"/>
    <w:rsid w:val="00D933D5"/>
    <w:rsid w:val="00D93653"/>
    <w:rsid w:val="00D93818"/>
    <w:rsid w:val="00D93C3B"/>
    <w:rsid w:val="00D94330"/>
    <w:rsid w:val="00D943DF"/>
    <w:rsid w:val="00D951E4"/>
    <w:rsid w:val="00D95A6B"/>
    <w:rsid w:val="00D96EAA"/>
    <w:rsid w:val="00D97236"/>
    <w:rsid w:val="00D9772A"/>
    <w:rsid w:val="00DA0596"/>
    <w:rsid w:val="00DA0809"/>
    <w:rsid w:val="00DA094F"/>
    <w:rsid w:val="00DA58EC"/>
    <w:rsid w:val="00DA65BF"/>
    <w:rsid w:val="00DA73A8"/>
    <w:rsid w:val="00DB0043"/>
    <w:rsid w:val="00DB1D88"/>
    <w:rsid w:val="00DB37C0"/>
    <w:rsid w:val="00DB3918"/>
    <w:rsid w:val="00DB5210"/>
    <w:rsid w:val="00DB547A"/>
    <w:rsid w:val="00DB6440"/>
    <w:rsid w:val="00DB72F9"/>
    <w:rsid w:val="00DC18EE"/>
    <w:rsid w:val="00DC1A92"/>
    <w:rsid w:val="00DC1C5D"/>
    <w:rsid w:val="00DC3330"/>
    <w:rsid w:val="00DC40B2"/>
    <w:rsid w:val="00DC46F0"/>
    <w:rsid w:val="00DC677B"/>
    <w:rsid w:val="00DC7052"/>
    <w:rsid w:val="00DD03E0"/>
    <w:rsid w:val="00DD09E5"/>
    <w:rsid w:val="00DD1773"/>
    <w:rsid w:val="00DD30BC"/>
    <w:rsid w:val="00DD3592"/>
    <w:rsid w:val="00DD3639"/>
    <w:rsid w:val="00DD370B"/>
    <w:rsid w:val="00DD5A00"/>
    <w:rsid w:val="00DE0999"/>
    <w:rsid w:val="00DE11D5"/>
    <w:rsid w:val="00DE1ABA"/>
    <w:rsid w:val="00DE2874"/>
    <w:rsid w:val="00DE2A4F"/>
    <w:rsid w:val="00DE7076"/>
    <w:rsid w:val="00DE72DA"/>
    <w:rsid w:val="00DF0EBC"/>
    <w:rsid w:val="00DF218C"/>
    <w:rsid w:val="00DF4C71"/>
    <w:rsid w:val="00DF626A"/>
    <w:rsid w:val="00DF7BF5"/>
    <w:rsid w:val="00DF7E2C"/>
    <w:rsid w:val="00E003D8"/>
    <w:rsid w:val="00E0097D"/>
    <w:rsid w:val="00E012EB"/>
    <w:rsid w:val="00E07866"/>
    <w:rsid w:val="00E0786E"/>
    <w:rsid w:val="00E12E9F"/>
    <w:rsid w:val="00E158AA"/>
    <w:rsid w:val="00E1662A"/>
    <w:rsid w:val="00E1701F"/>
    <w:rsid w:val="00E172BA"/>
    <w:rsid w:val="00E206BB"/>
    <w:rsid w:val="00E20A21"/>
    <w:rsid w:val="00E24351"/>
    <w:rsid w:val="00E24FA1"/>
    <w:rsid w:val="00E25C94"/>
    <w:rsid w:val="00E25D70"/>
    <w:rsid w:val="00E27301"/>
    <w:rsid w:val="00E306C0"/>
    <w:rsid w:val="00E30B92"/>
    <w:rsid w:val="00E3439F"/>
    <w:rsid w:val="00E35664"/>
    <w:rsid w:val="00E36DEB"/>
    <w:rsid w:val="00E3712F"/>
    <w:rsid w:val="00E40607"/>
    <w:rsid w:val="00E40732"/>
    <w:rsid w:val="00E40FB3"/>
    <w:rsid w:val="00E42006"/>
    <w:rsid w:val="00E4390C"/>
    <w:rsid w:val="00E43B8E"/>
    <w:rsid w:val="00E44C9F"/>
    <w:rsid w:val="00E44FB1"/>
    <w:rsid w:val="00E456ED"/>
    <w:rsid w:val="00E46040"/>
    <w:rsid w:val="00E47603"/>
    <w:rsid w:val="00E514DF"/>
    <w:rsid w:val="00E519C2"/>
    <w:rsid w:val="00E52246"/>
    <w:rsid w:val="00E530D1"/>
    <w:rsid w:val="00E535A0"/>
    <w:rsid w:val="00E53EB9"/>
    <w:rsid w:val="00E5458C"/>
    <w:rsid w:val="00E60119"/>
    <w:rsid w:val="00E60E19"/>
    <w:rsid w:val="00E613A6"/>
    <w:rsid w:val="00E61532"/>
    <w:rsid w:val="00E62710"/>
    <w:rsid w:val="00E643DE"/>
    <w:rsid w:val="00E644B8"/>
    <w:rsid w:val="00E64CF8"/>
    <w:rsid w:val="00E655F4"/>
    <w:rsid w:val="00E66756"/>
    <w:rsid w:val="00E67CBE"/>
    <w:rsid w:val="00E67F5F"/>
    <w:rsid w:val="00E70EC3"/>
    <w:rsid w:val="00E71006"/>
    <w:rsid w:val="00E7348D"/>
    <w:rsid w:val="00E73CEB"/>
    <w:rsid w:val="00E73CF2"/>
    <w:rsid w:val="00E75232"/>
    <w:rsid w:val="00E7537C"/>
    <w:rsid w:val="00E753EB"/>
    <w:rsid w:val="00E75559"/>
    <w:rsid w:val="00E7685E"/>
    <w:rsid w:val="00E80326"/>
    <w:rsid w:val="00E84194"/>
    <w:rsid w:val="00E84F5D"/>
    <w:rsid w:val="00E851C6"/>
    <w:rsid w:val="00E85B20"/>
    <w:rsid w:val="00E8647B"/>
    <w:rsid w:val="00E873B1"/>
    <w:rsid w:val="00E90303"/>
    <w:rsid w:val="00E9054D"/>
    <w:rsid w:val="00E91A9D"/>
    <w:rsid w:val="00E91E90"/>
    <w:rsid w:val="00E93817"/>
    <w:rsid w:val="00E939F4"/>
    <w:rsid w:val="00E941CA"/>
    <w:rsid w:val="00E9629F"/>
    <w:rsid w:val="00EA304C"/>
    <w:rsid w:val="00EA30A2"/>
    <w:rsid w:val="00EA3593"/>
    <w:rsid w:val="00EA7CCA"/>
    <w:rsid w:val="00EB0268"/>
    <w:rsid w:val="00EB074D"/>
    <w:rsid w:val="00EB176F"/>
    <w:rsid w:val="00EB23EB"/>
    <w:rsid w:val="00EB2632"/>
    <w:rsid w:val="00EB30FE"/>
    <w:rsid w:val="00EB3954"/>
    <w:rsid w:val="00EB3C29"/>
    <w:rsid w:val="00EB4824"/>
    <w:rsid w:val="00EB4F0B"/>
    <w:rsid w:val="00EB575A"/>
    <w:rsid w:val="00EB6155"/>
    <w:rsid w:val="00EB6EA7"/>
    <w:rsid w:val="00EB7CA5"/>
    <w:rsid w:val="00EC0982"/>
    <w:rsid w:val="00EC2A7B"/>
    <w:rsid w:val="00EC2F22"/>
    <w:rsid w:val="00EC2F4E"/>
    <w:rsid w:val="00EC2FF8"/>
    <w:rsid w:val="00EC369B"/>
    <w:rsid w:val="00EC3DC8"/>
    <w:rsid w:val="00EC5AD5"/>
    <w:rsid w:val="00ED0613"/>
    <w:rsid w:val="00ED0B8C"/>
    <w:rsid w:val="00ED0DBB"/>
    <w:rsid w:val="00ED251D"/>
    <w:rsid w:val="00ED29A8"/>
    <w:rsid w:val="00ED33FE"/>
    <w:rsid w:val="00ED4238"/>
    <w:rsid w:val="00EE00C0"/>
    <w:rsid w:val="00EE2FE2"/>
    <w:rsid w:val="00EE313D"/>
    <w:rsid w:val="00EE4E6C"/>
    <w:rsid w:val="00EE5AAD"/>
    <w:rsid w:val="00EE69E0"/>
    <w:rsid w:val="00EE73DC"/>
    <w:rsid w:val="00EE7470"/>
    <w:rsid w:val="00EF1F3E"/>
    <w:rsid w:val="00F006D0"/>
    <w:rsid w:val="00F02A38"/>
    <w:rsid w:val="00F0383D"/>
    <w:rsid w:val="00F04171"/>
    <w:rsid w:val="00F12403"/>
    <w:rsid w:val="00F125DB"/>
    <w:rsid w:val="00F1268B"/>
    <w:rsid w:val="00F129A2"/>
    <w:rsid w:val="00F139E9"/>
    <w:rsid w:val="00F13E66"/>
    <w:rsid w:val="00F1591A"/>
    <w:rsid w:val="00F1657D"/>
    <w:rsid w:val="00F2003E"/>
    <w:rsid w:val="00F2132F"/>
    <w:rsid w:val="00F2405F"/>
    <w:rsid w:val="00F2433C"/>
    <w:rsid w:val="00F24365"/>
    <w:rsid w:val="00F249B1"/>
    <w:rsid w:val="00F25636"/>
    <w:rsid w:val="00F264D8"/>
    <w:rsid w:val="00F2665D"/>
    <w:rsid w:val="00F27E5D"/>
    <w:rsid w:val="00F31C7D"/>
    <w:rsid w:val="00F3308B"/>
    <w:rsid w:val="00F33C77"/>
    <w:rsid w:val="00F33EDF"/>
    <w:rsid w:val="00F42216"/>
    <w:rsid w:val="00F43630"/>
    <w:rsid w:val="00F43905"/>
    <w:rsid w:val="00F44CB4"/>
    <w:rsid w:val="00F467C7"/>
    <w:rsid w:val="00F47014"/>
    <w:rsid w:val="00F515C2"/>
    <w:rsid w:val="00F51E87"/>
    <w:rsid w:val="00F54AFB"/>
    <w:rsid w:val="00F54F33"/>
    <w:rsid w:val="00F550E4"/>
    <w:rsid w:val="00F55E21"/>
    <w:rsid w:val="00F620BA"/>
    <w:rsid w:val="00F62644"/>
    <w:rsid w:val="00F62E1B"/>
    <w:rsid w:val="00F63CF3"/>
    <w:rsid w:val="00F63D4F"/>
    <w:rsid w:val="00F6498B"/>
    <w:rsid w:val="00F64B3E"/>
    <w:rsid w:val="00F65287"/>
    <w:rsid w:val="00F677BF"/>
    <w:rsid w:val="00F703AA"/>
    <w:rsid w:val="00F714FE"/>
    <w:rsid w:val="00F722E7"/>
    <w:rsid w:val="00F73C64"/>
    <w:rsid w:val="00F73E9D"/>
    <w:rsid w:val="00F74DF7"/>
    <w:rsid w:val="00F7705C"/>
    <w:rsid w:val="00F81C6B"/>
    <w:rsid w:val="00F83979"/>
    <w:rsid w:val="00F850CF"/>
    <w:rsid w:val="00F85C03"/>
    <w:rsid w:val="00F87048"/>
    <w:rsid w:val="00F8745C"/>
    <w:rsid w:val="00F878C9"/>
    <w:rsid w:val="00F9057C"/>
    <w:rsid w:val="00F9151D"/>
    <w:rsid w:val="00F93C43"/>
    <w:rsid w:val="00F94A3F"/>
    <w:rsid w:val="00F96B71"/>
    <w:rsid w:val="00F9737F"/>
    <w:rsid w:val="00F977F5"/>
    <w:rsid w:val="00F978BD"/>
    <w:rsid w:val="00FA0B7B"/>
    <w:rsid w:val="00FA635A"/>
    <w:rsid w:val="00FA6DB1"/>
    <w:rsid w:val="00FA74C2"/>
    <w:rsid w:val="00FB07B1"/>
    <w:rsid w:val="00FB1327"/>
    <w:rsid w:val="00FB2061"/>
    <w:rsid w:val="00FB5BC1"/>
    <w:rsid w:val="00FB64FB"/>
    <w:rsid w:val="00FB68D9"/>
    <w:rsid w:val="00FB6933"/>
    <w:rsid w:val="00FB796C"/>
    <w:rsid w:val="00FC0087"/>
    <w:rsid w:val="00FC0562"/>
    <w:rsid w:val="00FC4385"/>
    <w:rsid w:val="00FC7027"/>
    <w:rsid w:val="00FC70DB"/>
    <w:rsid w:val="00FD13E1"/>
    <w:rsid w:val="00FD303A"/>
    <w:rsid w:val="00FD3B64"/>
    <w:rsid w:val="00FE1403"/>
    <w:rsid w:val="00FE1C86"/>
    <w:rsid w:val="00FE26FD"/>
    <w:rsid w:val="00FE2E40"/>
    <w:rsid w:val="00FE308B"/>
    <w:rsid w:val="00FE3256"/>
    <w:rsid w:val="00FE3D10"/>
    <w:rsid w:val="00FE4823"/>
    <w:rsid w:val="00FE5D15"/>
    <w:rsid w:val="00FF1A52"/>
    <w:rsid w:val="00FF240C"/>
    <w:rsid w:val="00FF4295"/>
    <w:rsid w:val="00FF50EB"/>
    <w:rsid w:val="00FF571D"/>
    <w:rsid w:val="00FF7E06"/>
    <w:rsid w:val="016279C3"/>
    <w:rsid w:val="022C4B66"/>
    <w:rsid w:val="02CF7F0E"/>
    <w:rsid w:val="037C1417"/>
    <w:rsid w:val="04D96D31"/>
    <w:rsid w:val="05550AAC"/>
    <w:rsid w:val="070A7B73"/>
    <w:rsid w:val="082307B7"/>
    <w:rsid w:val="09026C26"/>
    <w:rsid w:val="09206D4C"/>
    <w:rsid w:val="093D08F7"/>
    <w:rsid w:val="09880FB6"/>
    <w:rsid w:val="099C1861"/>
    <w:rsid w:val="0A194125"/>
    <w:rsid w:val="0AA43D6E"/>
    <w:rsid w:val="0AB37DB8"/>
    <w:rsid w:val="0AD2085F"/>
    <w:rsid w:val="0AD9560D"/>
    <w:rsid w:val="0BEC633D"/>
    <w:rsid w:val="0C5556CA"/>
    <w:rsid w:val="0C58035F"/>
    <w:rsid w:val="0D0945B8"/>
    <w:rsid w:val="0D1D4501"/>
    <w:rsid w:val="0D316509"/>
    <w:rsid w:val="0D5F5E5E"/>
    <w:rsid w:val="0E8B7E3B"/>
    <w:rsid w:val="0F8454CF"/>
    <w:rsid w:val="0FB32491"/>
    <w:rsid w:val="0FBF53BA"/>
    <w:rsid w:val="0FE373BA"/>
    <w:rsid w:val="10DD46CE"/>
    <w:rsid w:val="120B0729"/>
    <w:rsid w:val="12352C69"/>
    <w:rsid w:val="125128AB"/>
    <w:rsid w:val="126B39DC"/>
    <w:rsid w:val="12AA0B35"/>
    <w:rsid w:val="12F0633F"/>
    <w:rsid w:val="14175E91"/>
    <w:rsid w:val="14831572"/>
    <w:rsid w:val="15055CC8"/>
    <w:rsid w:val="150C68CB"/>
    <w:rsid w:val="161506F1"/>
    <w:rsid w:val="16E424EB"/>
    <w:rsid w:val="17721693"/>
    <w:rsid w:val="17CA602E"/>
    <w:rsid w:val="18317A85"/>
    <w:rsid w:val="188E75F7"/>
    <w:rsid w:val="18D81791"/>
    <w:rsid w:val="1922500B"/>
    <w:rsid w:val="19286B29"/>
    <w:rsid w:val="19326163"/>
    <w:rsid w:val="19F56394"/>
    <w:rsid w:val="1A433107"/>
    <w:rsid w:val="1A5B3E0B"/>
    <w:rsid w:val="1A736622"/>
    <w:rsid w:val="1AD508BB"/>
    <w:rsid w:val="1B142F8E"/>
    <w:rsid w:val="1B355F12"/>
    <w:rsid w:val="1B505038"/>
    <w:rsid w:val="1B8445AA"/>
    <w:rsid w:val="1C154882"/>
    <w:rsid w:val="1C474B6D"/>
    <w:rsid w:val="1CE10FDB"/>
    <w:rsid w:val="1E116CA0"/>
    <w:rsid w:val="1E23519B"/>
    <w:rsid w:val="1E36682E"/>
    <w:rsid w:val="1F26058A"/>
    <w:rsid w:val="1FC230A9"/>
    <w:rsid w:val="20D84D85"/>
    <w:rsid w:val="21871458"/>
    <w:rsid w:val="221326BE"/>
    <w:rsid w:val="222423B7"/>
    <w:rsid w:val="22334D84"/>
    <w:rsid w:val="22383174"/>
    <w:rsid w:val="22A55C69"/>
    <w:rsid w:val="22B21EE1"/>
    <w:rsid w:val="22DC46B3"/>
    <w:rsid w:val="23B17AE8"/>
    <w:rsid w:val="23BB6E97"/>
    <w:rsid w:val="24956BDF"/>
    <w:rsid w:val="249917FE"/>
    <w:rsid w:val="24CD09E1"/>
    <w:rsid w:val="24D261E9"/>
    <w:rsid w:val="253810CE"/>
    <w:rsid w:val="25410597"/>
    <w:rsid w:val="25457561"/>
    <w:rsid w:val="255B49F0"/>
    <w:rsid w:val="26463B98"/>
    <w:rsid w:val="27983FEE"/>
    <w:rsid w:val="27A005EE"/>
    <w:rsid w:val="27E30E2C"/>
    <w:rsid w:val="28BC2251"/>
    <w:rsid w:val="29610C6F"/>
    <w:rsid w:val="29AD4A54"/>
    <w:rsid w:val="2AA60FA5"/>
    <w:rsid w:val="2AF64CFA"/>
    <w:rsid w:val="2AF82C0C"/>
    <w:rsid w:val="2B0F429D"/>
    <w:rsid w:val="2B4439A1"/>
    <w:rsid w:val="2D001A3D"/>
    <w:rsid w:val="2D144E95"/>
    <w:rsid w:val="2D170B16"/>
    <w:rsid w:val="2D20495A"/>
    <w:rsid w:val="2DEC4118"/>
    <w:rsid w:val="2E064840"/>
    <w:rsid w:val="2F7F2885"/>
    <w:rsid w:val="2FE9193F"/>
    <w:rsid w:val="30326802"/>
    <w:rsid w:val="312C5486"/>
    <w:rsid w:val="31EE25F8"/>
    <w:rsid w:val="32E73E1C"/>
    <w:rsid w:val="32FC35E0"/>
    <w:rsid w:val="336B3EFF"/>
    <w:rsid w:val="34082BCD"/>
    <w:rsid w:val="341D2EC6"/>
    <w:rsid w:val="34B532FA"/>
    <w:rsid w:val="34E14236"/>
    <w:rsid w:val="34E62B73"/>
    <w:rsid w:val="34EF5440"/>
    <w:rsid w:val="34F90A9B"/>
    <w:rsid w:val="34FF38DA"/>
    <w:rsid w:val="35043F98"/>
    <w:rsid w:val="3527216C"/>
    <w:rsid w:val="356D689F"/>
    <w:rsid w:val="359B6124"/>
    <w:rsid w:val="36EC03EB"/>
    <w:rsid w:val="36FA4F16"/>
    <w:rsid w:val="3719140D"/>
    <w:rsid w:val="37720493"/>
    <w:rsid w:val="378F2046"/>
    <w:rsid w:val="37D52D25"/>
    <w:rsid w:val="392720F1"/>
    <w:rsid w:val="39693182"/>
    <w:rsid w:val="39774DC1"/>
    <w:rsid w:val="39A6543E"/>
    <w:rsid w:val="39BC2E38"/>
    <w:rsid w:val="39C10FDD"/>
    <w:rsid w:val="3B1876A0"/>
    <w:rsid w:val="3CBA714B"/>
    <w:rsid w:val="3D01577D"/>
    <w:rsid w:val="3D75353A"/>
    <w:rsid w:val="3DE3213E"/>
    <w:rsid w:val="3E414BF3"/>
    <w:rsid w:val="3E5E7D4C"/>
    <w:rsid w:val="3E6D734D"/>
    <w:rsid w:val="3EC03585"/>
    <w:rsid w:val="3EC51474"/>
    <w:rsid w:val="3EF1250A"/>
    <w:rsid w:val="40445D60"/>
    <w:rsid w:val="40560788"/>
    <w:rsid w:val="408240C0"/>
    <w:rsid w:val="409A5F69"/>
    <w:rsid w:val="410B38CD"/>
    <w:rsid w:val="416B7C4A"/>
    <w:rsid w:val="419F01A5"/>
    <w:rsid w:val="41A05CC8"/>
    <w:rsid w:val="424505BE"/>
    <w:rsid w:val="425627AC"/>
    <w:rsid w:val="428C5E3D"/>
    <w:rsid w:val="42BE1B5D"/>
    <w:rsid w:val="42DD69B3"/>
    <w:rsid w:val="42E10097"/>
    <w:rsid w:val="42EB3E32"/>
    <w:rsid w:val="44CE6CF8"/>
    <w:rsid w:val="45AB26B8"/>
    <w:rsid w:val="46EF69C7"/>
    <w:rsid w:val="475B3970"/>
    <w:rsid w:val="477F5FB0"/>
    <w:rsid w:val="47CC04F4"/>
    <w:rsid w:val="483943C6"/>
    <w:rsid w:val="483A14AB"/>
    <w:rsid w:val="48B00F1E"/>
    <w:rsid w:val="48E1714C"/>
    <w:rsid w:val="49091902"/>
    <w:rsid w:val="493F69F8"/>
    <w:rsid w:val="494F00F7"/>
    <w:rsid w:val="49E96D75"/>
    <w:rsid w:val="4A540B6B"/>
    <w:rsid w:val="4C07796F"/>
    <w:rsid w:val="4CBC2A73"/>
    <w:rsid w:val="4CBE0476"/>
    <w:rsid w:val="4CDB3A35"/>
    <w:rsid w:val="4CF0053D"/>
    <w:rsid w:val="4D5B0FB5"/>
    <w:rsid w:val="4D7806A1"/>
    <w:rsid w:val="4DA109E3"/>
    <w:rsid w:val="4DF01E53"/>
    <w:rsid w:val="4E81775A"/>
    <w:rsid w:val="4ECD1D0D"/>
    <w:rsid w:val="4F880412"/>
    <w:rsid w:val="4FD966F2"/>
    <w:rsid w:val="4FE7428B"/>
    <w:rsid w:val="4FF009C7"/>
    <w:rsid w:val="5064744C"/>
    <w:rsid w:val="50926E33"/>
    <w:rsid w:val="50D36177"/>
    <w:rsid w:val="520B4357"/>
    <w:rsid w:val="52E47F40"/>
    <w:rsid w:val="531B1DA5"/>
    <w:rsid w:val="531F3310"/>
    <w:rsid w:val="53AE3EDF"/>
    <w:rsid w:val="53D03633"/>
    <w:rsid w:val="549F6DAC"/>
    <w:rsid w:val="554F5038"/>
    <w:rsid w:val="56277DBE"/>
    <w:rsid w:val="565009F5"/>
    <w:rsid w:val="583307ED"/>
    <w:rsid w:val="585D0745"/>
    <w:rsid w:val="58CB449E"/>
    <w:rsid w:val="58E10373"/>
    <w:rsid w:val="59BA46CB"/>
    <w:rsid w:val="59CB5CFE"/>
    <w:rsid w:val="5A5B7562"/>
    <w:rsid w:val="5B484F61"/>
    <w:rsid w:val="5BB16D13"/>
    <w:rsid w:val="5C7E07FB"/>
    <w:rsid w:val="5C8073FA"/>
    <w:rsid w:val="5C824AA0"/>
    <w:rsid w:val="5C934E15"/>
    <w:rsid w:val="5D413345"/>
    <w:rsid w:val="5DB5601E"/>
    <w:rsid w:val="5E887789"/>
    <w:rsid w:val="5EE22174"/>
    <w:rsid w:val="5F33157D"/>
    <w:rsid w:val="5FE87E12"/>
    <w:rsid w:val="603247C2"/>
    <w:rsid w:val="60383636"/>
    <w:rsid w:val="6089744D"/>
    <w:rsid w:val="60A17849"/>
    <w:rsid w:val="614D0F62"/>
    <w:rsid w:val="62130655"/>
    <w:rsid w:val="623A499D"/>
    <w:rsid w:val="646B7DB9"/>
    <w:rsid w:val="656B02B9"/>
    <w:rsid w:val="65705FA0"/>
    <w:rsid w:val="65B80DDC"/>
    <w:rsid w:val="66016A54"/>
    <w:rsid w:val="6609138E"/>
    <w:rsid w:val="66446CCB"/>
    <w:rsid w:val="66C409E8"/>
    <w:rsid w:val="66C57382"/>
    <w:rsid w:val="66C81DD8"/>
    <w:rsid w:val="67077505"/>
    <w:rsid w:val="67A064F3"/>
    <w:rsid w:val="67B4174C"/>
    <w:rsid w:val="67B76982"/>
    <w:rsid w:val="6831442B"/>
    <w:rsid w:val="693A5780"/>
    <w:rsid w:val="6998181D"/>
    <w:rsid w:val="6A4573F3"/>
    <w:rsid w:val="6A4F317F"/>
    <w:rsid w:val="6AD6468D"/>
    <w:rsid w:val="6ADF2DAB"/>
    <w:rsid w:val="6B0C0ADD"/>
    <w:rsid w:val="6BA70B5C"/>
    <w:rsid w:val="6C2346A0"/>
    <w:rsid w:val="6C393FC5"/>
    <w:rsid w:val="6CAA20E3"/>
    <w:rsid w:val="6E08773A"/>
    <w:rsid w:val="6E5F7D38"/>
    <w:rsid w:val="6E6750A8"/>
    <w:rsid w:val="6EAD063A"/>
    <w:rsid w:val="6EE57E40"/>
    <w:rsid w:val="6FCA3816"/>
    <w:rsid w:val="702D417C"/>
    <w:rsid w:val="702E747A"/>
    <w:rsid w:val="70396245"/>
    <w:rsid w:val="7043580C"/>
    <w:rsid w:val="709A2587"/>
    <w:rsid w:val="70E1514A"/>
    <w:rsid w:val="716C0C42"/>
    <w:rsid w:val="717F15F6"/>
    <w:rsid w:val="72873175"/>
    <w:rsid w:val="72FE3A47"/>
    <w:rsid w:val="73B01D19"/>
    <w:rsid w:val="73F13794"/>
    <w:rsid w:val="745037C0"/>
    <w:rsid w:val="74C541AB"/>
    <w:rsid w:val="75923386"/>
    <w:rsid w:val="75C906E8"/>
    <w:rsid w:val="75DD4CE0"/>
    <w:rsid w:val="75FA3181"/>
    <w:rsid w:val="76051BA9"/>
    <w:rsid w:val="764823B0"/>
    <w:rsid w:val="76B53BD5"/>
    <w:rsid w:val="77B37964"/>
    <w:rsid w:val="78742F97"/>
    <w:rsid w:val="7A6E7AA3"/>
    <w:rsid w:val="7A800994"/>
    <w:rsid w:val="7A8E7320"/>
    <w:rsid w:val="7AA541F8"/>
    <w:rsid w:val="7AFE5A1E"/>
    <w:rsid w:val="7B016CDB"/>
    <w:rsid w:val="7B845269"/>
    <w:rsid w:val="7C372AB9"/>
    <w:rsid w:val="7C601D5B"/>
    <w:rsid w:val="7C7F4590"/>
    <w:rsid w:val="7C9E2682"/>
    <w:rsid w:val="7CBA4A19"/>
    <w:rsid w:val="7D1864CC"/>
    <w:rsid w:val="7E5B1FF4"/>
    <w:rsid w:val="7E8C385A"/>
    <w:rsid w:val="7EAB72D9"/>
    <w:rsid w:val="7EEC7CA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qFormat="1" w:uiPriority="0" w:name="heading 3"/>
    <w:lsdException w:qFormat="1" w:uiPriority="0" w:name="heading 4"/>
    <w:lsdException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40"/>
    <w:uiPriority w:val="0"/>
    <w:pPr>
      <w:keepNext/>
      <w:keepLines/>
      <w:spacing w:before="260" w:after="260" w:line="416" w:lineRule="auto"/>
      <w:outlineLvl w:val="1"/>
    </w:pPr>
    <w:rPr>
      <w:rFonts w:ascii="Arial" w:hAnsi="Arial" w:eastAsia="黑体" w:cs="Times New Roman"/>
      <w:b/>
      <w:bCs/>
      <w:sz w:val="32"/>
      <w:szCs w:val="32"/>
    </w:rPr>
  </w:style>
  <w:style w:type="paragraph" w:styleId="4">
    <w:name w:val="heading 5"/>
    <w:basedOn w:val="1"/>
    <w:next w:val="1"/>
    <w:link w:val="41"/>
    <w:uiPriority w:val="0"/>
    <w:pPr>
      <w:keepNext/>
      <w:keepLines/>
      <w:spacing w:before="280" w:after="290" w:line="376" w:lineRule="auto"/>
      <w:outlineLvl w:val="4"/>
    </w:pPr>
    <w:rPr>
      <w:rFonts w:ascii="Times New Roman" w:hAnsi="Times New Roman" w:eastAsia="宋体" w:cs="Times New Roman"/>
      <w:b/>
      <w:bCs/>
      <w:sz w:val="28"/>
      <w:szCs w:val="28"/>
    </w:rPr>
  </w:style>
  <w:style w:type="character" w:default="1" w:styleId="34">
    <w:name w:val="Default Paragraph Font"/>
    <w:uiPriority w:val="0"/>
    <w:rPr>
      <w:rFonts w:ascii="Times New Roman" w:hAnsi="Times New Roman" w:eastAsia="宋体" w:cs="Times New Roman"/>
    </w:rPr>
  </w:style>
  <w:style w:type="table" w:default="1" w:styleId="31">
    <w:name w:val="Normal Table"/>
    <w:uiPriority w:val="0"/>
    <w:rPr>
      <w:rFonts w:ascii="Times New Roman" w:hAnsi="Times New Roman" w:eastAsia="宋体" w:cs="Times New Roman"/>
    </w:rPr>
    <w:tblPr>
      <w:tblStyle w:val="31"/>
      <w:tblCellMar>
        <w:top w:w="0" w:type="dxa"/>
        <w:left w:w="108" w:type="dxa"/>
        <w:bottom w:w="0" w:type="dxa"/>
        <w:right w:w="108" w:type="dxa"/>
      </w:tblCellMar>
    </w:tblPr>
  </w:style>
  <w:style w:type="paragraph" w:styleId="5">
    <w:name w:val="List Number"/>
    <w:basedOn w:val="1"/>
    <w:uiPriority w:val="0"/>
    <w:pPr>
      <w:widowControl/>
      <w:tabs>
        <w:tab w:val="left" w:pos="454"/>
        <w:tab w:val="left" w:pos="720"/>
      </w:tabs>
      <w:spacing w:after="50" w:afterLines="50"/>
      <w:ind w:left="454" w:hanging="284"/>
      <w:jc w:val="left"/>
    </w:pPr>
    <w:rPr>
      <w:rFonts w:ascii="Times New Roman" w:hAnsi="Times New Roman" w:eastAsia="宋体" w:cs="Times New Roman"/>
      <w:kern w:val="0"/>
      <w:sz w:val="24"/>
      <w:szCs w:val="20"/>
    </w:rPr>
  </w:style>
  <w:style w:type="paragraph" w:styleId="6">
    <w:name w:val="Normal Indent"/>
    <w:basedOn w:val="1"/>
    <w:next w:val="1"/>
    <w:uiPriority w:val="0"/>
    <w:pPr>
      <w:ind w:firstLine="420"/>
    </w:pPr>
    <w:rPr>
      <w:rFonts w:ascii="Times New Roman" w:hAnsi="Times New Roman" w:eastAsia="宋体" w:cs="Times New Roman"/>
      <w:szCs w:val="20"/>
    </w:rPr>
  </w:style>
  <w:style w:type="paragraph" w:styleId="7">
    <w:name w:val="caption"/>
    <w:basedOn w:val="1"/>
    <w:next w:val="1"/>
    <w:uiPriority w:val="0"/>
    <w:pPr>
      <w:spacing w:before="152" w:after="160"/>
    </w:pPr>
    <w:rPr>
      <w:rFonts w:ascii="Arial" w:hAnsi="Arial" w:eastAsia="黑体" w:cs="Arial"/>
      <w:sz w:val="20"/>
      <w:szCs w:val="20"/>
    </w:rPr>
  </w:style>
  <w:style w:type="paragraph" w:styleId="8">
    <w:name w:val="Document Map"/>
    <w:basedOn w:val="1"/>
    <w:uiPriority w:val="0"/>
    <w:pPr>
      <w:shd w:val="clear" w:color="auto" w:fill="000080"/>
    </w:pPr>
    <w:rPr>
      <w:rFonts w:ascii="Times New Roman" w:hAnsi="Times New Roman" w:eastAsia="宋体" w:cs="Times New Roman"/>
    </w:rPr>
  </w:style>
  <w:style w:type="paragraph" w:styleId="9">
    <w:name w:val="annotation text"/>
    <w:basedOn w:val="1"/>
    <w:uiPriority w:val="0"/>
    <w:pPr>
      <w:jc w:val="left"/>
    </w:pPr>
    <w:rPr>
      <w:rFonts w:ascii="Times New Roman" w:hAnsi="Times New Roman" w:eastAsia="宋体" w:cs="Times New Roman"/>
    </w:rPr>
  </w:style>
  <w:style w:type="paragraph" w:styleId="10">
    <w:name w:val="Body Text 3"/>
    <w:basedOn w:val="1"/>
    <w:uiPriority w:val="0"/>
    <w:pPr>
      <w:snapToGrid w:val="0"/>
      <w:spacing w:before="50" w:after="50"/>
    </w:pPr>
    <w:rPr>
      <w:rFonts w:ascii="Times New Roman" w:hAnsi="宋体" w:eastAsia="仿宋_GB2312" w:cs="Times New Roman"/>
      <w:b/>
      <w:bCs/>
      <w:sz w:val="24"/>
      <w:szCs w:val="20"/>
    </w:rPr>
  </w:style>
  <w:style w:type="paragraph" w:styleId="11">
    <w:name w:val="Body Text"/>
    <w:basedOn w:val="1"/>
    <w:next w:val="12"/>
    <w:uiPriority w:val="0"/>
    <w:pPr>
      <w:spacing w:after="120"/>
    </w:pPr>
    <w:rPr>
      <w:rFonts w:ascii="Times New Roman" w:hAnsi="Times New Roman" w:eastAsia="宋体" w:cs="Times New Roman"/>
      <w:sz w:val="28"/>
    </w:rPr>
  </w:style>
  <w:style w:type="paragraph" w:styleId="12">
    <w:name w:val="toc 4"/>
    <w:basedOn w:val="1"/>
    <w:next w:val="1"/>
    <w:uiPriority w:val="0"/>
    <w:pPr>
      <w:tabs>
        <w:tab w:val="left" w:pos="1890"/>
        <w:tab w:val="right" w:leader="dot" w:pos="8296"/>
      </w:tabs>
      <w:autoSpaceDE/>
      <w:autoSpaceDN/>
      <w:adjustRightInd/>
      <w:ind w:left="630" w:leftChars="300"/>
      <w:jc w:val="both"/>
    </w:pPr>
    <w:rPr>
      <w:rFonts w:ascii="宋体" w:hAnsi="Times New Roman" w:eastAsia="宋体" w:cs="Times New Roman"/>
      <w:kern w:val="2"/>
      <w:sz w:val="28"/>
      <w:szCs w:val="20"/>
    </w:rPr>
  </w:style>
  <w:style w:type="paragraph" w:styleId="13">
    <w:name w:val="Body Text Indent"/>
    <w:basedOn w:val="1"/>
    <w:link w:val="42"/>
    <w:uiPriority w:val="0"/>
    <w:pPr>
      <w:spacing w:line="200" w:lineRule="exact"/>
      <w:ind w:firstLine="301"/>
    </w:pPr>
    <w:rPr>
      <w:rFonts w:ascii="宋体" w:hAnsi="Courier New" w:eastAsia="宋体" w:cs="Times New Roman"/>
      <w:spacing w:val="-4"/>
      <w:sz w:val="18"/>
      <w:szCs w:val="20"/>
    </w:rPr>
  </w:style>
  <w:style w:type="paragraph" w:styleId="14">
    <w:name w:val="List Number 3"/>
    <w:basedOn w:val="1"/>
    <w:uiPriority w:val="0"/>
    <w:pPr>
      <w:numPr>
        <w:ilvl w:val="0"/>
        <w:numId w:val="1"/>
      </w:numPr>
    </w:pPr>
    <w:rPr>
      <w:rFonts w:ascii="Times New Roman" w:hAnsi="Times New Roman" w:eastAsia="宋体" w:cs="Times New Roman"/>
    </w:rPr>
  </w:style>
  <w:style w:type="paragraph" w:styleId="15">
    <w:name w:val="List 2"/>
    <w:basedOn w:val="1"/>
    <w:uiPriority w:val="0"/>
    <w:pPr>
      <w:ind w:left="100" w:leftChars="200" w:hanging="200" w:hangingChars="200"/>
    </w:pPr>
    <w:rPr>
      <w:rFonts w:ascii="Times New Roman" w:hAnsi="Times New Roman" w:eastAsia="宋体" w:cs="Times New Roman"/>
      <w:sz w:val="28"/>
    </w:rPr>
  </w:style>
  <w:style w:type="paragraph" w:styleId="16">
    <w:name w:val="Plain Text"/>
    <w:basedOn w:val="1"/>
    <w:uiPriority w:val="0"/>
    <w:pPr>
      <w:spacing w:before="156" w:beforeLines="50" w:after="156" w:afterLines="50" w:line="400" w:lineRule="exact"/>
    </w:pPr>
    <w:rPr>
      <w:rFonts w:ascii="宋体" w:hAnsi="Courier New" w:eastAsia="宋体" w:cs="Times New Roman"/>
      <w:sz w:val="24"/>
    </w:rPr>
  </w:style>
  <w:style w:type="paragraph" w:styleId="17">
    <w:name w:val="Date"/>
    <w:basedOn w:val="1"/>
    <w:next w:val="1"/>
    <w:uiPriority w:val="0"/>
    <w:pPr>
      <w:ind w:leftChars="2500"/>
    </w:pPr>
    <w:rPr>
      <w:rFonts w:ascii="Times New Roman" w:hAnsi="Times New Roman" w:eastAsia="楷体_GB2312" w:cs="Times New Roman"/>
      <w:sz w:val="32"/>
      <w:szCs w:val="20"/>
    </w:rPr>
  </w:style>
  <w:style w:type="paragraph" w:styleId="18">
    <w:name w:val="Body Text Indent 2"/>
    <w:basedOn w:val="1"/>
    <w:uiPriority w:val="0"/>
    <w:pPr>
      <w:snapToGrid w:val="0"/>
      <w:ind w:firstLine="542" w:firstLineChars="225"/>
    </w:pPr>
    <w:rPr>
      <w:rFonts w:ascii="仿宋_GB2312" w:hAnsi="宋体" w:eastAsia="宋体" w:cs="Arial"/>
      <w:b/>
      <w:bCs/>
      <w:color w:val="000000"/>
      <w:sz w:val="24"/>
    </w:rPr>
  </w:style>
  <w:style w:type="paragraph" w:styleId="19">
    <w:name w:val="Balloon Text"/>
    <w:basedOn w:val="1"/>
    <w:link w:val="43"/>
    <w:uiPriority w:val="0"/>
    <w:rPr>
      <w:rFonts w:ascii="Times New Roman" w:hAnsi="Times New Roman" w:eastAsia="宋体" w:cs="Times New Roman"/>
      <w:sz w:val="18"/>
      <w:szCs w:val="18"/>
    </w:rPr>
  </w:style>
  <w:style w:type="paragraph" w:styleId="20">
    <w:name w:val="footer"/>
    <w:basedOn w:val="1"/>
    <w:link w:val="44"/>
    <w:uiPriority w:val="0"/>
    <w:pPr>
      <w:tabs>
        <w:tab w:val="center" w:pos="4153"/>
        <w:tab w:val="right" w:pos="8306"/>
      </w:tabs>
      <w:snapToGrid w:val="0"/>
      <w:jc w:val="left"/>
    </w:pPr>
    <w:rPr>
      <w:rFonts w:ascii="Times New Roman" w:hAnsi="Times New Roman" w:eastAsia="黑体" w:cs="Times New Roman"/>
      <w:snapToGrid w:val="0"/>
      <w:kern w:val="0"/>
      <w:sz w:val="18"/>
      <w:szCs w:val="18"/>
    </w:rPr>
  </w:style>
  <w:style w:type="paragraph" w:styleId="21">
    <w:name w:val="header"/>
    <w:basedOn w:val="1"/>
    <w:link w:val="45"/>
    <w:uiPriority w:val="0"/>
    <w:pPr>
      <w:pBdr>
        <w:bottom w:val="single" w:color="auto" w:sz="6" w:space="1"/>
      </w:pBdr>
      <w:tabs>
        <w:tab w:val="center" w:pos="4153"/>
        <w:tab w:val="right" w:pos="8306"/>
      </w:tabs>
      <w:snapToGrid w:val="0"/>
      <w:jc w:val="center"/>
    </w:pPr>
    <w:rPr>
      <w:rFonts w:ascii="Times New Roman" w:hAnsi="Times New Roman" w:eastAsia="仿宋_GB2312" w:cs="Times New Roman"/>
      <w:sz w:val="18"/>
      <w:szCs w:val="20"/>
    </w:rPr>
  </w:style>
  <w:style w:type="paragraph" w:styleId="22">
    <w:name w:val="toc 1"/>
    <w:basedOn w:val="1"/>
    <w:next w:val="1"/>
    <w:uiPriority w:val="0"/>
    <w:rPr>
      <w:rFonts w:ascii="Times New Roman" w:hAnsi="Times New Roman" w:eastAsia="宋体" w:cs="Times New Roman"/>
    </w:rPr>
  </w:style>
  <w:style w:type="paragraph" w:styleId="23">
    <w:name w:val="Subtitle"/>
    <w:basedOn w:val="1"/>
    <w:next w:val="1"/>
    <w:link w:val="46"/>
    <w:uiPriority w:val="0"/>
    <w:pPr>
      <w:spacing w:line="360" w:lineRule="auto"/>
      <w:ind w:firstLine="200" w:firstLineChars="200"/>
      <w:jc w:val="left"/>
      <w:outlineLvl w:val="1"/>
    </w:pPr>
    <w:rPr>
      <w:rFonts w:ascii="Cambria" w:hAnsi="Cambria" w:eastAsia="宋体" w:cs="Times New Roman"/>
      <w:b/>
      <w:bCs/>
      <w:color w:val="339966"/>
      <w:kern w:val="28"/>
      <w:sz w:val="24"/>
      <w:szCs w:val="32"/>
    </w:rPr>
  </w:style>
  <w:style w:type="paragraph" w:styleId="24">
    <w:name w:val="List"/>
    <w:basedOn w:val="1"/>
    <w:uiPriority w:val="0"/>
    <w:pPr>
      <w:ind w:left="200" w:hanging="200" w:hangingChars="200"/>
    </w:pPr>
    <w:rPr>
      <w:rFonts w:ascii="Times New Roman" w:hAnsi="Times New Roman" w:eastAsia="宋体" w:cs="Times New Roman"/>
      <w:sz w:val="28"/>
    </w:rPr>
  </w:style>
  <w:style w:type="paragraph" w:styleId="25">
    <w:name w:val="toc 6"/>
    <w:basedOn w:val="1"/>
    <w:next w:val="1"/>
    <w:uiPriority w:val="0"/>
    <w:pPr>
      <w:autoSpaceDE/>
      <w:autoSpaceDN/>
      <w:adjustRightInd/>
      <w:ind w:left="2100" w:leftChars="1000"/>
      <w:jc w:val="both"/>
    </w:pPr>
    <w:rPr>
      <w:rFonts w:ascii="Times New Roman" w:hAnsi="Times New Roman" w:eastAsia="宋体" w:cs="Times New Roman"/>
      <w:kern w:val="2"/>
      <w:sz w:val="21"/>
      <w:szCs w:val="22"/>
    </w:rPr>
  </w:style>
  <w:style w:type="paragraph" w:styleId="26">
    <w:name w:val="Body Text Indent 3"/>
    <w:basedOn w:val="1"/>
    <w:uiPriority w:val="0"/>
    <w:pPr>
      <w:snapToGrid w:val="0"/>
      <w:ind w:firstLine="480" w:firstLineChars="200"/>
      <w:jc w:val="left"/>
    </w:pPr>
    <w:rPr>
      <w:rFonts w:ascii="仿宋_GB2312" w:hAnsi="宋体" w:eastAsia="仿宋_GB2312" w:cs="Times New Roman"/>
      <w:color w:val="000000"/>
      <w:sz w:val="24"/>
    </w:rPr>
  </w:style>
  <w:style w:type="paragraph" w:styleId="27">
    <w:name w:val="Body Text 2"/>
    <w:basedOn w:val="1"/>
    <w:uiPriority w:val="0"/>
    <w:pPr>
      <w:widowControl/>
      <w:snapToGrid w:val="0"/>
      <w:spacing w:before="50" w:after="156" w:afterLines="50" w:line="400" w:lineRule="exact"/>
      <w:jc w:val="left"/>
    </w:pPr>
    <w:rPr>
      <w:rFonts w:ascii="宋体" w:hAnsi="宋体" w:eastAsia="宋体" w:cs="Times New Roman"/>
      <w:color w:val="000000"/>
      <w:sz w:val="24"/>
    </w:rPr>
  </w:style>
  <w:style w:type="paragraph" w:styleId="28">
    <w:name w:val="Normal (Web)"/>
    <w:basedOn w:val="1"/>
    <w:uiPriority w:val="0"/>
    <w:pPr>
      <w:widowControl/>
      <w:spacing w:before="100" w:beforeAutospacing="1" w:after="100" w:afterAutospacing="1"/>
      <w:jc w:val="left"/>
    </w:pPr>
    <w:rPr>
      <w:rFonts w:ascii="宋体" w:hAnsi="宋体" w:eastAsia="宋体" w:cs="宋体"/>
      <w:kern w:val="0"/>
      <w:sz w:val="24"/>
    </w:rPr>
  </w:style>
  <w:style w:type="paragraph" w:styleId="29">
    <w:name w:val="annotation subject"/>
    <w:basedOn w:val="9"/>
    <w:next w:val="9"/>
    <w:uiPriority w:val="0"/>
    <w:rPr>
      <w:rFonts w:ascii="Times New Roman" w:hAnsi="Times New Roman" w:eastAsia="宋体" w:cs="Times New Roman"/>
      <w:b/>
      <w:bCs/>
    </w:rPr>
  </w:style>
  <w:style w:type="paragraph" w:styleId="30">
    <w:name w:val="Body Text First Indent"/>
    <w:basedOn w:val="11"/>
    <w:next w:val="25"/>
    <w:uiPriority w:val="0"/>
    <w:pPr>
      <w:tabs>
        <w:tab w:val="left" w:pos="9360"/>
      </w:tabs>
      <w:adjustRightInd/>
      <w:ind w:firstLine="420" w:firstLineChars="100"/>
    </w:pPr>
    <w:rPr>
      <w:rFonts w:ascii="Times New Roman" w:hAnsi="Times New Roman" w:eastAsia="宋体" w:cs="Times New Roman"/>
      <w:sz w:val="21"/>
    </w:rPr>
  </w:style>
  <w:style w:type="table" w:styleId="32">
    <w:name w:val="Table Grid"/>
    <w:basedOn w:val="31"/>
    <w:uiPriority w:val="0"/>
    <w:pPr>
      <w:widowControl w:val="0"/>
      <w:jc w:val="both"/>
    </w:pPr>
    <w:rPr>
      <w:rFonts w:ascii="Times New Roman" w:hAnsi="Times New Roman" w:eastAsia="宋体" w:cs="Times New Roman"/>
    </w:rPr>
    <w:tblPr>
      <w:tblStyle w:val="3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3">
    <w:name w:val="Table Simple 1"/>
    <w:basedOn w:val="31"/>
    <w:uiPriority w:val="0"/>
    <w:pPr>
      <w:widowControl w:val="0"/>
      <w:jc w:val="both"/>
    </w:pPr>
    <w:rPr>
      <w:rFonts w:ascii="Times New Roman" w:hAnsi="Times New Roman" w:eastAsia="宋体" w:cs="Times New Roman"/>
    </w:rPr>
    <w:tblPr>
      <w:tblStyle w:val="31"/>
      <w:tblBorders>
        <w:top w:val="single" w:color="008000" w:sz="12" w:space="0"/>
        <w:bottom w:val="single" w:color="008000" w:sz="12" w:space="0"/>
      </w:tblBorders>
    </w:tblPr>
    <w:tblStylePr w:type="firstRow">
      <w:tblPr>
        <w:tblStyle w:val="31"/>
      </w:tblPr>
      <w:tcPr>
        <w:tcBorders>
          <w:top w:val="nil"/>
          <w:left w:val="single" w:color="008000" w:sz="6" w:space="0"/>
          <w:bottom w:val="nil"/>
          <w:right w:val="nil"/>
          <w:insideH w:val="nil"/>
          <w:insideV w:val="nil"/>
          <w:tl2br w:val="nil"/>
          <w:tr2bl w:val="nil"/>
        </w:tcBorders>
      </w:tcPr>
    </w:tblStylePr>
    <w:tblStylePr w:type="lastRow">
      <w:tblPr>
        <w:tblStyle w:val="31"/>
      </w:tblPr>
      <w:tcPr>
        <w:tcBorders>
          <w:top w:val="single" w:color="008000" w:sz="6" w:space="0"/>
          <w:left w:val="nil"/>
          <w:bottom w:val="nil"/>
          <w:right w:val="nil"/>
          <w:insideH w:val="nil"/>
          <w:insideV w:val="nil"/>
          <w:tl2br w:val="nil"/>
          <w:tr2bl w:val="nil"/>
        </w:tcBorders>
      </w:tcPr>
    </w:tblStylePr>
  </w:style>
  <w:style w:type="character" w:styleId="35">
    <w:name w:val="page number"/>
    <w:uiPriority w:val="0"/>
    <w:rPr>
      <w:rFonts w:ascii="Times New Roman" w:hAnsi="Times New Roman" w:eastAsia="宋体" w:cs="Times New Roman"/>
    </w:rPr>
  </w:style>
  <w:style w:type="character" w:styleId="36">
    <w:name w:val="FollowedHyperlink"/>
    <w:uiPriority w:val="0"/>
    <w:rPr>
      <w:rFonts w:ascii="Times New Roman" w:hAnsi="Times New Roman" w:eastAsia="宋体" w:cs="Times New Roman"/>
      <w:color w:val="800080"/>
      <w:u w:val="single"/>
    </w:rPr>
  </w:style>
  <w:style w:type="character" w:styleId="37">
    <w:name w:val="Hyperlink"/>
    <w:uiPriority w:val="0"/>
    <w:rPr>
      <w:rFonts w:ascii="Times New Roman" w:hAnsi="Times New Roman" w:eastAsia="宋体" w:cs="Times New Roman"/>
      <w:color w:val="0000FF"/>
      <w:u w:val="single"/>
    </w:rPr>
  </w:style>
  <w:style w:type="character" w:styleId="38">
    <w:name w:val="annotation reference"/>
    <w:uiPriority w:val="0"/>
    <w:rPr>
      <w:rFonts w:ascii="Times New Roman" w:hAnsi="Times New Roman" w:eastAsia="宋体" w:cs="Times New Roman"/>
      <w:sz w:val="21"/>
      <w:szCs w:val="21"/>
    </w:rPr>
  </w:style>
  <w:style w:type="character" w:customStyle="1" w:styleId="39">
    <w:name w:val="标题 1 Char"/>
    <w:link w:val="2"/>
    <w:uiPriority w:val="0"/>
    <w:rPr>
      <w:rFonts w:ascii="Times New Roman" w:hAnsi="Times New Roman" w:eastAsia="宋体" w:cs="Times New Roman"/>
      <w:b/>
      <w:bCs/>
      <w:kern w:val="44"/>
      <w:sz w:val="44"/>
      <w:szCs w:val="44"/>
      <w:lang w:val="en-US" w:eastAsia="zh-CN" w:bidi="ar-SA"/>
    </w:rPr>
  </w:style>
  <w:style w:type="character" w:customStyle="1" w:styleId="40">
    <w:name w:val="标题 2 Char"/>
    <w:link w:val="3"/>
    <w:uiPriority w:val="0"/>
    <w:rPr>
      <w:rFonts w:ascii="Arial" w:hAnsi="Arial" w:eastAsia="黑体" w:cs="Times New Roman"/>
      <w:b/>
      <w:bCs/>
      <w:kern w:val="2"/>
      <w:sz w:val="32"/>
      <w:szCs w:val="32"/>
      <w:lang w:val="en-US" w:eastAsia="zh-CN" w:bidi="ar-SA"/>
    </w:rPr>
  </w:style>
  <w:style w:type="character" w:customStyle="1" w:styleId="41">
    <w:name w:val="标题 5 Char"/>
    <w:link w:val="4"/>
    <w:uiPriority w:val="0"/>
    <w:rPr>
      <w:rFonts w:ascii="Times New Roman" w:hAnsi="Times New Roman" w:eastAsia="宋体" w:cs="Times New Roman"/>
      <w:b/>
      <w:bCs/>
      <w:kern w:val="2"/>
      <w:sz w:val="28"/>
      <w:szCs w:val="28"/>
      <w:lang w:val="en-US" w:eastAsia="zh-CN" w:bidi="ar-SA"/>
    </w:rPr>
  </w:style>
  <w:style w:type="character" w:customStyle="1" w:styleId="42">
    <w:name w:val="正文文本缩进 Char"/>
    <w:link w:val="13"/>
    <w:uiPriority w:val="0"/>
    <w:rPr>
      <w:rFonts w:ascii="宋体" w:hAnsi="Courier New" w:eastAsia="宋体" w:cs="Times New Roman"/>
      <w:spacing w:val="-4"/>
      <w:kern w:val="2"/>
      <w:sz w:val="18"/>
      <w:lang w:val="en-US" w:eastAsia="zh-CN" w:bidi="ar-SA"/>
    </w:rPr>
  </w:style>
  <w:style w:type="character" w:customStyle="1" w:styleId="43">
    <w:name w:val="批注框文本 Char"/>
    <w:link w:val="19"/>
    <w:uiPriority w:val="0"/>
    <w:rPr>
      <w:rFonts w:ascii="Times New Roman" w:hAnsi="Times New Roman" w:eastAsia="宋体" w:cs="Times New Roman"/>
      <w:kern w:val="2"/>
      <w:sz w:val="18"/>
      <w:szCs w:val="18"/>
      <w:lang w:val="en-US" w:eastAsia="zh-CN" w:bidi="ar-SA"/>
    </w:rPr>
  </w:style>
  <w:style w:type="character" w:customStyle="1" w:styleId="44">
    <w:name w:val="页脚 Char"/>
    <w:link w:val="20"/>
    <w:uiPriority w:val="0"/>
    <w:rPr>
      <w:rFonts w:ascii="Times New Roman" w:hAnsi="Times New Roman" w:eastAsia="黑体" w:cs="Times New Roman"/>
      <w:snapToGrid w:val="0"/>
      <w:sz w:val="18"/>
      <w:szCs w:val="18"/>
      <w:lang w:val="en-US" w:eastAsia="zh-CN" w:bidi="ar-SA"/>
    </w:rPr>
  </w:style>
  <w:style w:type="character" w:customStyle="1" w:styleId="45">
    <w:name w:val="页眉 Char"/>
    <w:link w:val="21"/>
    <w:uiPriority w:val="0"/>
    <w:rPr>
      <w:rFonts w:ascii="Times New Roman" w:hAnsi="Times New Roman" w:eastAsia="仿宋_GB2312" w:cs="Times New Roman"/>
      <w:kern w:val="2"/>
      <w:sz w:val="18"/>
      <w:lang w:val="en-US" w:eastAsia="zh-CN" w:bidi="ar-SA"/>
    </w:rPr>
  </w:style>
  <w:style w:type="character" w:customStyle="1" w:styleId="46">
    <w:name w:val="副标题 Char"/>
    <w:link w:val="23"/>
    <w:uiPriority w:val="0"/>
    <w:rPr>
      <w:rFonts w:ascii="Cambria" w:hAnsi="Cambria" w:eastAsia="宋体" w:cs="Times New Roman"/>
      <w:b/>
      <w:bCs/>
      <w:color w:val="339966"/>
      <w:kern w:val="28"/>
      <w:sz w:val="24"/>
      <w:szCs w:val="32"/>
      <w:lang w:val="en-US" w:eastAsia="zh-CN" w:bidi="ar-SA"/>
    </w:rPr>
  </w:style>
  <w:style w:type="paragraph" w:customStyle="1" w:styleId="47">
    <w:name w:val="Default"/>
    <w:next w:val="1"/>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8">
    <w:name w:val="p15"/>
    <w:basedOn w:val="1"/>
    <w:uiPriority w:val="0"/>
    <w:pPr>
      <w:widowControl/>
    </w:pPr>
    <w:rPr>
      <w:rFonts w:hint="eastAsia" w:ascii="宋体" w:hAnsi="宋体" w:eastAsia="宋体" w:cs="Times New Roman"/>
      <w:b/>
    </w:rPr>
  </w:style>
  <w:style w:type="paragraph" w:customStyle="1" w:styleId="49">
    <w:name w:val="Table Paragraph"/>
    <w:basedOn w:val="1"/>
    <w:uiPriority w:val="0"/>
    <w:rPr>
      <w:rFonts w:ascii="Times New Roman" w:hAnsi="Times New Roman" w:eastAsia="宋体" w:cs="Times New Roman"/>
    </w:rPr>
  </w:style>
  <w:style w:type="character" w:customStyle="1" w:styleId="50">
    <w:name w:val="font91"/>
    <w:basedOn w:val="34"/>
    <w:uiPriority w:val="0"/>
    <w:rPr>
      <w:rFonts w:hint="default" w:ascii="Times New Roman" w:hAnsi="Times New Roman" w:eastAsia="宋体" w:cs="Times New Roman"/>
      <w:color w:val="000000"/>
      <w:sz w:val="21"/>
      <w:szCs w:val="21"/>
      <w:u w:val="none"/>
    </w:rPr>
  </w:style>
  <w:style w:type="character" w:customStyle="1" w:styleId="51">
    <w:name w:val="font61"/>
    <w:basedOn w:val="34"/>
    <w:uiPriority w:val="0"/>
    <w:rPr>
      <w:rFonts w:hint="eastAsia" w:ascii="宋体" w:hAnsi="宋体" w:eastAsia="宋体" w:cs="宋体"/>
      <w:color w:val="000000"/>
      <w:sz w:val="21"/>
      <w:szCs w:val="21"/>
      <w:u w:val="none"/>
    </w:rPr>
  </w:style>
  <w:style w:type="character" w:customStyle="1" w:styleId="52">
    <w:name w:val="font01"/>
    <w:basedOn w:val="34"/>
    <w:uiPriority w:val="0"/>
    <w:rPr>
      <w:rFonts w:hint="eastAsia" w:ascii="宋体" w:hAnsi="宋体" w:eastAsia="宋体" w:cs="宋体"/>
      <w:color w:val="FF0000"/>
      <w:sz w:val="21"/>
      <w:szCs w:val="21"/>
      <w:u w:val="none"/>
    </w:rPr>
  </w:style>
  <w:style w:type="character" w:customStyle="1" w:styleId="53">
    <w:name w:val="font51"/>
    <w:basedOn w:val="34"/>
    <w:uiPriority w:val="0"/>
    <w:rPr>
      <w:rFonts w:hint="eastAsia" w:ascii="宋体" w:hAnsi="宋体" w:eastAsia="宋体" w:cs="宋体"/>
      <w:color w:val="000000"/>
      <w:sz w:val="21"/>
      <w:szCs w:val="21"/>
      <w:u w:val="none"/>
    </w:rPr>
  </w:style>
  <w:style w:type="character" w:customStyle="1" w:styleId="54">
    <w:name w:val="font71"/>
    <w:basedOn w:val="34"/>
    <w:uiPriority w:val="0"/>
    <w:rPr>
      <w:rFonts w:hint="default" w:ascii="Times New Roman" w:hAnsi="Times New Roman" w:eastAsia="宋体" w:cs="Times New Roman"/>
      <w:color w:val="000000"/>
      <w:sz w:val="21"/>
      <w:szCs w:val="21"/>
      <w:u w:val="none"/>
    </w:rPr>
  </w:style>
  <w:style w:type="character" w:customStyle="1" w:styleId="55">
    <w:name w:val="font112"/>
    <w:basedOn w:val="34"/>
    <w:uiPriority w:val="0"/>
    <w:rPr>
      <w:rFonts w:hint="default" w:ascii="Times New Roman" w:hAnsi="Times New Roman" w:eastAsia="宋体" w:cs="Times New Roman"/>
      <w:color w:val="000000"/>
      <w:sz w:val="21"/>
      <w:szCs w:val="21"/>
      <w:u w:val="single"/>
    </w:rPr>
  </w:style>
  <w:style w:type="character" w:customStyle="1" w:styleId="56">
    <w:name w:val="font11"/>
    <w:basedOn w:val="34"/>
    <w:uiPriority w:val="0"/>
    <w:rPr>
      <w:rFonts w:hint="eastAsia" w:ascii="宋体" w:hAnsi="宋体" w:eastAsia="宋体" w:cs="宋体"/>
      <w:color w:val="000000"/>
      <w:sz w:val="21"/>
      <w:szCs w:val="21"/>
      <w:u w:val="none"/>
    </w:rPr>
  </w:style>
  <w:style w:type="character" w:customStyle="1" w:styleId="57">
    <w:name w:val="font131"/>
    <w:basedOn w:val="34"/>
    <w:uiPriority w:val="0"/>
    <w:rPr>
      <w:rFonts w:hint="default" w:ascii="Times New Roman" w:hAnsi="Times New Roman" w:eastAsia="宋体" w:cs="Times New Roman"/>
      <w:color w:val="000000"/>
      <w:sz w:val="21"/>
      <w:szCs w:val="21"/>
      <w:u w:val="none"/>
    </w:rPr>
  </w:style>
  <w:style w:type="character" w:customStyle="1" w:styleId="58">
    <w:name w:val="列出段落 Char"/>
    <w:link w:val="59"/>
    <w:uiPriority w:val="0"/>
    <w:rPr>
      <w:rFonts w:ascii="Calibri" w:hAnsi="Calibri" w:eastAsia="宋体" w:cs="Times New Roman"/>
      <w:kern w:val="2"/>
      <w:sz w:val="21"/>
      <w:szCs w:val="22"/>
      <w:lang w:bidi="ar-SA"/>
    </w:rPr>
  </w:style>
  <w:style w:type="paragraph" w:styleId="59">
    <w:name w:val="List Paragraph"/>
    <w:basedOn w:val="1"/>
    <w:link w:val="58"/>
    <w:uiPriority w:val="0"/>
    <w:pPr>
      <w:ind w:firstLine="420" w:firstLineChars="200"/>
    </w:pPr>
    <w:rPr>
      <w:rFonts w:ascii="Calibri" w:hAnsi="Calibri" w:eastAsia="宋体" w:cs="Times New Roman"/>
      <w:szCs w:val="22"/>
    </w:rPr>
  </w:style>
  <w:style w:type="character" w:customStyle="1" w:styleId="60">
    <w:name w:val="font141"/>
    <w:basedOn w:val="34"/>
    <w:uiPriority w:val="0"/>
    <w:rPr>
      <w:rFonts w:hint="eastAsia" w:ascii="宋体" w:hAnsi="宋体" w:eastAsia="宋体" w:cs="宋体"/>
      <w:color w:val="000000"/>
      <w:sz w:val="21"/>
      <w:szCs w:val="21"/>
      <w:u w:val="none"/>
    </w:rPr>
  </w:style>
  <w:style w:type="character" w:customStyle="1" w:styleId="61">
    <w:name w:val="font151"/>
    <w:basedOn w:val="34"/>
    <w:uiPriority w:val="0"/>
    <w:rPr>
      <w:rFonts w:hint="default" w:ascii="Times New Roman" w:hAnsi="Times New Roman" w:eastAsia="宋体" w:cs="Times New Roman"/>
      <w:color w:val="FF0000"/>
      <w:sz w:val="21"/>
      <w:szCs w:val="21"/>
      <w:u w:val="none"/>
    </w:rPr>
  </w:style>
  <w:style w:type="character" w:customStyle="1" w:styleId="62">
    <w:name w:val="font201"/>
    <w:basedOn w:val="34"/>
    <w:uiPriority w:val="0"/>
    <w:rPr>
      <w:rFonts w:hint="eastAsia" w:ascii="宋体" w:hAnsi="宋体" w:eastAsia="宋体" w:cs="宋体"/>
      <w:color w:val="000000"/>
      <w:sz w:val="22"/>
      <w:szCs w:val="22"/>
      <w:u w:val="none"/>
    </w:rPr>
  </w:style>
  <w:style w:type="character" w:customStyle="1" w:styleId="63">
    <w:name w:val="font31"/>
    <w:basedOn w:val="34"/>
    <w:uiPriority w:val="0"/>
    <w:rPr>
      <w:rFonts w:hint="eastAsia" w:ascii="宋体" w:hAnsi="宋体" w:eastAsia="宋体" w:cs="宋体"/>
      <w:color w:val="000000"/>
      <w:sz w:val="21"/>
      <w:szCs w:val="21"/>
      <w:u w:val="none"/>
    </w:rPr>
  </w:style>
  <w:style w:type="character" w:customStyle="1" w:styleId="64">
    <w:name w:val="font21"/>
    <w:basedOn w:val="34"/>
    <w:uiPriority w:val="0"/>
    <w:rPr>
      <w:rFonts w:hint="eastAsia" w:ascii="宋体" w:hAnsi="宋体" w:eastAsia="宋体" w:cs="宋体"/>
      <w:color w:val="000000"/>
      <w:sz w:val="21"/>
      <w:szCs w:val="21"/>
      <w:u w:val="none"/>
    </w:rPr>
  </w:style>
  <w:style w:type="character" w:customStyle="1" w:styleId="65">
    <w:name w:val="font81"/>
    <w:basedOn w:val="34"/>
    <w:uiPriority w:val="0"/>
    <w:rPr>
      <w:rFonts w:hint="default" w:ascii="Times New Roman" w:hAnsi="Times New Roman" w:eastAsia="宋体" w:cs="Times New Roman"/>
      <w:color w:val="000000"/>
      <w:sz w:val="21"/>
      <w:szCs w:val="21"/>
      <w:u w:val="single"/>
    </w:rPr>
  </w:style>
  <w:style w:type="character" w:customStyle="1" w:styleId="66">
    <w:name w:val="font41"/>
    <w:basedOn w:val="34"/>
    <w:uiPriority w:val="0"/>
    <w:rPr>
      <w:rFonts w:hint="default" w:ascii="Times New Roman" w:hAnsi="Times New Roman" w:eastAsia="宋体" w:cs="Times New Roman"/>
      <w:color w:val="000000"/>
      <w:sz w:val="21"/>
      <w:szCs w:val="21"/>
      <w:u w:val="none"/>
    </w:rPr>
  </w:style>
  <w:style w:type="character" w:customStyle="1" w:styleId="67">
    <w:name w:val="font101"/>
    <w:basedOn w:val="34"/>
    <w:uiPriority w:val="0"/>
    <w:rPr>
      <w:rFonts w:hint="default" w:ascii="Times New Roman" w:hAnsi="Times New Roman" w:eastAsia="宋体" w:cs="Times New Roman"/>
      <w:color w:val="FF0000"/>
      <w:sz w:val="21"/>
      <w:szCs w:val="21"/>
      <w:u w:val="none"/>
    </w:rPr>
  </w:style>
  <w:style w:type="character" w:customStyle="1" w:styleId="68">
    <w:name w:val="font121"/>
    <w:basedOn w:val="34"/>
    <w:uiPriority w:val="0"/>
    <w:rPr>
      <w:rFonts w:hint="eastAsia" w:ascii="宋体" w:hAnsi="宋体" w:eastAsia="宋体" w:cs="宋体"/>
      <w:color w:val="FF0000"/>
      <w:sz w:val="21"/>
      <w:szCs w:val="21"/>
      <w:u w:val="none"/>
    </w:rPr>
  </w:style>
  <w:style w:type="character" w:customStyle="1" w:styleId="69">
    <w:name w:val="font132"/>
    <w:basedOn w:val="34"/>
    <w:uiPriority w:val="0"/>
    <w:rPr>
      <w:rFonts w:hint="eastAsia" w:ascii="宋体" w:hAnsi="宋体" w:eastAsia="宋体" w:cs="宋体"/>
      <w:color w:val="000000"/>
      <w:sz w:val="21"/>
      <w:szCs w:val="21"/>
      <w:u w:val="none"/>
    </w:rPr>
  </w:style>
  <w:style w:type="paragraph" w:customStyle="1" w:styleId="70">
    <w:name w:val="_Style 3"/>
    <w:uiPriority w:val="0"/>
    <w:pPr>
      <w:widowControl w:val="0"/>
      <w:jc w:val="both"/>
    </w:pPr>
    <w:rPr>
      <w:rFonts w:ascii="Calibri" w:hAnsi="Calibri" w:eastAsia="宋体" w:cs="Times New Roman"/>
      <w:kern w:val="2"/>
      <w:sz w:val="21"/>
      <w:szCs w:val="22"/>
      <w:lang w:val="en-US" w:eastAsia="zh-CN" w:bidi="ar-SA"/>
    </w:rPr>
  </w:style>
  <w:style w:type="character" w:customStyle="1" w:styleId="71">
    <w:name w:val="NormalCharacter"/>
    <w:uiPriority w:val="0"/>
    <w:rPr>
      <w:rFonts w:ascii="Times New Roman" w:hAnsi="Times New Roman" w:eastAsia="宋体" w:cs="Times New Roman"/>
    </w:rPr>
  </w:style>
  <w:style w:type="character" w:customStyle="1" w:styleId="72">
    <w:name w:val="UserStyle_27"/>
    <w:basedOn w:val="71"/>
    <w:uiPriority w:val="0"/>
    <w:rPr>
      <w:rFonts w:ascii="Times New Roman" w:hAnsi="Times New Roman" w:eastAsia="宋体" w:cs="Times New Roman"/>
      <w:color w:val="000000"/>
      <w:sz w:val="22"/>
      <w:szCs w:val="22"/>
    </w:rPr>
  </w:style>
  <w:style w:type="paragraph" w:customStyle="1" w:styleId="73">
    <w:name w:val="my正文"/>
    <w:basedOn w:val="24"/>
    <w:link w:val="74"/>
    <w:uiPriority w:val="0"/>
    <w:pPr>
      <w:spacing w:line="360" w:lineRule="auto"/>
      <w:ind w:left="0" w:firstLine="640" w:firstLineChars="200"/>
    </w:pPr>
    <w:rPr>
      <w:rFonts w:ascii="仿宋_GB2312" w:hAnsi="仿宋_GB2312" w:eastAsia="宋体" w:cs="Times New Roman"/>
      <w:spacing w:val="10"/>
      <w:kern w:val="0"/>
      <w:sz w:val="24"/>
      <w:szCs w:val="20"/>
    </w:rPr>
  </w:style>
  <w:style w:type="character" w:customStyle="1" w:styleId="74">
    <w:name w:val="my正文 Char Char"/>
    <w:link w:val="73"/>
    <w:uiPriority w:val="0"/>
    <w:rPr>
      <w:rFonts w:ascii="仿宋_GB2312" w:hAnsi="仿宋_GB2312" w:eastAsia="宋体" w:cs="Times New Roman"/>
      <w:spacing w:val="10"/>
      <w:sz w:val="24"/>
      <w:lang w:bidi="ar-SA"/>
    </w:rPr>
  </w:style>
  <w:style w:type="character" w:customStyle="1" w:styleId="75">
    <w:name w:val="UserStyle_18"/>
    <w:basedOn w:val="71"/>
    <w:uiPriority w:val="0"/>
    <w:rPr>
      <w:rFonts w:ascii="Times New Roman" w:hAnsi="Times New Roman" w:eastAsia="宋体" w:cs="Times New Roman"/>
      <w:color w:val="000000"/>
      <w:sz w:val="21"/>
      <w:szCs w:val="21"/>
    </w:rPr>
  </w:style>
  <w:style w:type="character" w:customStyle="1" w:styleId="76">
    <w:name w:val="UserStyle_10"/>
    <w:basedOn w:val="71"/>
    <w:uiPriority w:val="0"/>
    <w:rPr>
      <w:rFonts w:ascii="宋体" w:hAnsi="宋体" w:eastAsia="宋体" w:cs="Times New Roman"/>
      <w:color w:val="000000"/>
      <w:sz w:val="21"/>
      <w:szCs w:val="21"/>
      <w:u w:val="single"/>
    </w:rPr>
  </w:style>
  <w:style w:type="character" w:customStyle="1" w:styleId="77">
    <w:name w:val="product_title_name"/>
    <w:uiPriority w:val="0"/>
    <w:rPr>
      <w:rFonts w:ascii="Times New Roman" w:hAnsi="Times New Roman" w:eastAsia="宋体" w:cs="Times New Roman"/>
    </w:rPr>
  </w:style>
  <w:style w:type="paragraph" w:customStyle="1" w:styleId="78">
    <w:name w:val="编号2）"/>
    <w:basedOn w:val="1"/>
    <w:link w:val="79"/>
    <w:uiPriority w:val="0"/>
    <w:pPr>
      <w:numPr>
        <w:ilvl w:val="0"/>
        <w:numId w:val="2"/>
      </w:numPr>
      <w:spacing w:line="360" w:lineRule="auto"/>
    </w:pPr>
    <w:rPr>
      <w:rFonts w:ascii="Calibri" w:hAnsi="Calibri" w:eastAsia="宋体" w:cs="Times New Roman"/>
      <w:sz w:val="24"/>
    </w:rPr>
  </w:style>
  <w:style w:type="character" w:customStyle="1" w:styleId="79">
    <w:name w:val="编号2） Char"/>
    <w:link w:val="78"/>
    <w:uiPriority w:val="0"/>
    <w:rPr>
      <w:rFonts w:ascii="Calibri" w:hAnsi="Calibri" w:eastAsia="宋体" w:cs="Times New Roman"/>
      <w:kern w:val="2"/>
      <w:sz w:val="24"/>
      <w:szCs w:val="24"/>
      <w:lang w:val="en-US" w:eastAsia="zh-CN" w:bidi="ar-SA"/>
    </w:rPr>
  </w:style>
  <w:style w:type="paragraph" w:customStyle="1" w:styleId="80">
    <w:name w:val="正文段"/>
    <w:basedOn w:val="1"/>
    <w:uiPriority w:val="0"/>
    <w:pPr>
      <w:widowControl/>
      <w:snapToGrid w:val="0"/>
      <w:spacing w:after="50" w:afterLines="50"/>
      <w:ind w:firstLine="200" w:firstLineChars="200"/>
    </w:pPr>
    <w:rPr>
      <w:rFonts w:ascii="Times New Roman" w:hAnsi="Times New Roman" w:eastAsia="宋体" w:cs="Times New Roman"/>
      <w:kern w:val="0"/>
      <w:sz w:val="24"/>
      <w:szCs w:val="20"/>
    </w:rPr>
  </w:style>
  <w:style w:type="paragraph" w:customStyle="1" w:styleId="81">
    <w:name w:val="表内文字"/>
    <w:basedOn w:val="1"/>
    <w:uiPriority w:val="0"/>
    <w:pPr>
      <w:tabs>
        <w:tab w:val="left" w:pos="420"/>
        <w:tab w:val="left" w:pos="1418"/>
      </w:tabs>
      <w:snapToGrid w:val="0"/>
      <w:spacing w:before="50" w:after="50"/>
    </w:pPr>
    <w:rPr>
      <w:rFonts w:ascii="宋体" w:hAnsi="宋体" w:eastAsia="宋体" w:cs="Times New Roman"/>
      <w:spacing w:val="-20"/>
      <w:sz w:val="24"/>
    </w:rPr>
  </w:style>
  <w:style w:type="paragraph" w:customStyle="1" w:styleId="82">
    <w:name w:val="样式2"/>
    <w:basedOn w:val="3"/>
    <w:uiPriority w:val="0"/>
    <w:rPr>
      <w:rFonts w:ascii="Times New Roman" w:hAnsi="Times New Roman" w:eastAsia="楷体_GB2312" w:cs="Times New Roman"/>
      <w:sz w:val="28"/>
    </w:rPr>
  </w:style>
  <w:style w:type="paragraph" w:customStyle="1" w:styleId="83">
    <w:name w:val="f1"/>
    <w:basedOn w:val="1"/>
    <w:uiPriority w:val="0"/>
    <w:pPr>
      <w:widowControl/>
      <w:spacing w:before="100" w:beforeAutospacing="1" w:after="100" w:afterAutospacing="1"/>
      <w:jc w:val="center"/>
    </w:pPr>
    <w:rPr>
      <w:rFonts w:ascii="Helvetica" w:hAnsi="Helvetica" w:eastAsia="宋体" w:cs="Helvetica"/>
      <w:b/>
      <w:bCs/>
      <w:color w:val="FF8080"/>
      <w:spacing w:val="160"/>
      <w:kern w:val="0"/>
      <w:sz w:val="80"/>
      <w:szCs w:val="80"/>
    </w:rPr>
  </w:style>
  <w:style w:type="paragraph" w:customStyle="1" w:styleId="84">
    <w:name w:val="默认段落字体 Para Char Char Char Char Char Char Char Char Char1 Char Char Char Char"/>
    <w:basedOn w:val="1"/>
    <w:uiPriority w:val="0"/>
    <w:rPr>
      <w:rFonts w:ascii="Tahoma" w:hAnsi="Tahoma" w:eastAsia="宋体" w:cs="Times New Roman"/>
      <w:sz w:val="24"/>
      <w:szCs w:val="20"/>
    </w:rPr>
  </w:style>
  <w:style w:type="paragraph" w:customStyle="1" w:styleId="85">
    <w:name w:val=" Char Char4 Char Char"/>
    <w:basedOn w:val="1"/>
    <w:uiPriority w:val="0"/>
    <w:rPr>
      <w:rFonts w:ascii="Tahoma" w:hAnsi="Tahoma" w:eastAsia="宋体" w:cs="Times New Roman"/>
      <w:sz w:val="24"/>
      <w:szCs w:val="20"/>
    </w:rPr>
  </w:style>
  <w:style w:type="paragraph" w:customStyle="1" w:styleId="86">
    <w:name w:val="样式1"/>
    <w:basedOn w:val="2"/>
    <w:uiPriority w:val="0"/>
    <w:rPr>
      <w:rFonts w:ascii="Times New Roman" w:hAnsi="Times New Roman" w:eastAsia="楷体_GB2312" w:cs="Times New Roman"/>
      <w:sz w:val="30"/>
    </w:rPr>
  </w:style>
  <w:style w:type="paragraph" w:customStyle="1" w:styleId="87">
    <w:name w:val="p0"/>
    <w:basedOn w:val="1"/>
    <w:uiPriority w:val="0"/>
    <w:pPr>
      <w:widowControl/>
      <w:spacing w:before="100" w:beforeAutospacing="1" w:after="100" w:afterAutospacing="1"/>
      <w:jc w:val="left"/>
    </w:pPr>
    <w:rPr>
      <w:rFonts w:ascii="宋体" w:hAnsi="宋体" w:eastAsia="宋体" w:cs="Times New Roman"/>
      <w:kern w:val="0"/>
      <w:sz w:val="24"/>
      <w:szCs w:val="20"/>
    </w:rPr>
  </w:style>
  <w:style w:type="paragraph" w:customStyle="1" w:styleId="88">
    <w:name w:val="List Paragraph"/>
    <w:basedOn w:val="1"/>
    <w:uiPriority w:val="0"/>
    <w:pPr>
      <w:spacing w:line="360" w:lineRule="auto"/>
      <w:ind w:firstLine="420" w:firstLineChars="200"/>
    </w:pPr>
    <w:rPr>
      <w:rFonts w:ascii="Times New Roman" w:hAnsi="Times New Roman" w:eastAsia="宋体" w:cs="Times New Roman"/>
    </w:rPr>
  </w:style>
  <w:style w:type="paragraph" w:customStyle="1" w:styleId="89">
    <w:name w:val=" Char Char"/>
    <w:basedOn w:val="1"/>
    <w:uiPriority w:val="0"/>
    <w:pPr>
      <w:widowControl/>
      <w:jc w:val="left"/>
    </w:pPr>
    <w:rPr>
      <w:rFonts w:ascii="Times New Roman" w:hAnsi="Times New Roman" w:eastAsia="宋体" w:cs="Times New Roman"/>
      <w:szCs w:val="20"/>
    </w:rPr>
  </w:style>
  <w:style w:type="character" w:customStyle="1" w:styleId="90">
    <w:name w:val="font111"/>
    <w:basedOn w:val="34"/>
    <w:uiPriority w:val="0"/>
    <w:rPr>
      <w:rFonts w:hint="eastAsia" w:ascii="宋体" w:hAnsi="宋体" w:eastAsia="宋体" w:cs="宋体"/>
      <w:color w:val="FF0000"/>
      <w:sz w:val="21"/>
      <w:szCs w:val="21"/>
      <w:u w:val="none"/>
    </w:rPr>
  </w:style>
  <w:style w:type="character" w:customStyle="1" w:styleId="91">
    <w:name w:val="font161"/>
    <w:basedOn w:val="34"/>
    <w:uiPriority w:val="0"/>
    <w:rPr>
      <w:rFonts w:hint="eastAsia" w:ascii="宋体" w:hAnsi="宋体" w:eastAsia="宋体" w:cs="宋体"/>
      <w:color w:val="FF0000"/>
      <w:sz w:val="21"/>
      <w:szCs w:val="21"/>
      <w:u w:val="none"/>
    </w:rPr>
  </w:style>
  <w:style w:type="character" w:customStyle="1" w:styleId="92">
    <w:name w:val="font171"/>
    <w:basedOn w:val="34"/>
    <w:uiPriority w:val="0"/>
    <w:rPr>
      <w:rFonts w:hint="eastAsia" w:ascii="宋体" w:hAnsi="宋体" w:eastAsia="宋体" w:cs="宋体"/>
      <w:color w:val="FF0000"/>
      <w:sz w:val="21"/>
      <w:szCs w:val="21"/>
      <w:u w:val="single"/>
    </w:rPr>
  </w:style>
  <w:style w:type="character" w:customStyle="1" w:styleId="93">
    <w:name w:val="font181"/>
    <w:basedOn w:val="34"/>
    <w:uiPriority w:val="0"/>
    <w:rPr>
      <w:rFonts w:hint="eastAsia" w:ascii="宋体" w:hAnsi="宋体" w:eastAsia="宋体" w:cs="宋体"/>
      <w:color w:val="FF0000"/>
      <w:sz w:val="22"/>
      <w:szCs w:val="22"/>
      <w:u w:val="none"/>
    </w:rPr>
  </w:style>
  <w:style w:type="character" w:customStyle="1" w:styleId="94">
    <w:name w:val="font191"/>
    <w:basedOn w:val="34"/>
    <w:uiPriority w:val="0"/>
    <w:rPr>
      <w:rFonts w:hint="eastAsia" w:ascii="宋体" w:hAnsi="宋体" w:eastAsia="宋体" w:cs="宋体"/>
      <w:color w:val="FF0000"/>
      <w:sz w:val="22"/>
      <w:szCs w:val="22"/>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45</Pages>
  <Words>9280</Words>
  <Characters>9748</Characters>
  <Lines>129</Lines>
  <Paragraphs>36</Paragraphs>
  <TotalTime>21</TotalTime>
  <ScaleCrop>false</ScaleCrop>
  <LinksUpToDate>false</LinksUpToDate>
  <CharactersWithSpaces>9879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2018-12-06T02:38:00Z</dcterms:created>
  <dc:creator>Sky123.Org</dc:creator>
  <cp:lastModifiedBy>北极熊不吃鱼</cp:lastModifiedBy>
  <cp:lastPrinted>2020-12-22T09:41:00Z</cp:lastPrinted>
  <dcterms:modified xsi:type="dcterms:W3CDTF">2025-06-27T02:22:01Z</dcterms:modified>
  <dc:title>浙江国际招（投）标公司定期存款存放银行项目</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C7D050C1B5F7415BA421C77A7D80D7B4_13</vt:lpwstr>
  </property>
  <property fmtid="{D5CDD505-2E9C-101B-9397-08002B2CF9AE}" pid="4" name="commondata">
    <vt:lpwstr>eyJoZGlkIjoiOGU0ZDgzMmUwMjQyY2UyMTIyZDYyMzk0MzA2ZmU2NWYifQ==</vt:lpwstr>
  </property>
  <property fmtid="{D5CDD505-2E9C-101B-9397-08002B2CF9AE}" pid="5" name="KSOTemplateDocerSaveRecord">
    <vt:lpwstr>eyJoZGlkIjoiMTI5MjdhY2Y5NjZiNTIxNjA0YzM4YmRhMDQyNGQ4N2IiLCJ1c2VySWQiOiIzNTYxMDIxMDMifQ==</vt:lpwstr>
  </property>
</Properties>
</file>