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FFBDF">
      <w:pPr>
        <w:spacing w:line="360" w:lineRule="auto"/>
        <w:rPr>
          <w:rFonts w:ascii="楷体" w:hAnsi="楷体" w:eastAsia="楷体"/>
          <w:b/>
          <w:color w:val="auto"/>
          <w:spacing w:val="-6"/>
          <w:sz w:val="44"/>
          <w:szCs w:val="44"/>
          <w:highlight w:val="none"/>
        </w:rPr>
      </w:pPr>
    </w:p>
    <w:p w14:paraId="65BD1977">
      <w:pPr>
        <w:pStyle w:val="32"/>
        <w:spacing w:line="360" w:lineRule="auto"/>
        <w:rPr>
          <w:color w:val="auto"/>
          <w:highlight w:val="none"/>
        </w:rPr>
      </w:pPr>
    </w:p>
    <w:p w14:paraId="42343414">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14:paraId="4DDAD51A">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《浙江人大》杂志社</w:t>
      </w:r>
    </w:p>
    <w:p w14:paraId="4A0E1F58">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2024年公款竞争性存放</w:t>
      </w:r>
    </w:p>
    <w:p w14:paraId="22DE60B6">
      <w:pPr>
        <w:spacing w:line="360" w:lineRule="auto"/>
        <w:jc w:val="center"/>
        <w:rPr>
          <w:rFonts w:ascii="楷体" w:hAnsi="楷体" w:eastAsia="楷体"/>
          <w:b/>
          <w:color w:val="auto"/>
          <w:sz w:val="72"/>
          <w:szCs w:val="72"/>
          <w:highlight w:val="none"/>
        </w:rPr>
      </w:pPr>
    </w:p>
    <w:p w14:paraId="50814D37">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招 标 文 件</w:t>
      </w:r>
    </w:p>
    <w:p w14:paraId="77BE2C61">
      <w:pPr>
        <w:spacing w:line="360" w:lineRule="auto"/>
        <w:jc w:val="center"/>
        <w:rPr>
          <w:rFonts w:ascii="楷体" w:hAnsi="楷体" w:eastAsia="楷体"/>
          <w:color w:val="auto"/>
          <w:sz w:val="44"/>
          <w:szCs w:val="44"/>
          <w:highlight w:val="none"/>
        </w:rPr>
      </w:pPr>
    </w:p>
    <w:p w14:paraId="6349D0D4">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 标 人：《浙江人大》杂志社</w:t>
      </w:r>
    </w:p>
    <w:p w14:paraId="725BBC4F">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招标项目名称：《浙江人大》杂志社2024年公款竞争性存放</w:t>
      </w:r>
    </w:p>
    <w:p w14:paraId="4F314BAB">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招标项目编号：</w:t>
      </w:r>
      <w:bookmarkStart w:id="2" w:name="_GoBack"/>
      <w:r>
        <w:rPr>
          <w:rFonts w:hint="eastAsia" w:ascii="楷体" w:hAnsi="楷体" w:eastAsia="楷体"/>
          <w:b/>
          <w:color w:val="auto"/>
          <w:spacing w:val="-6"/>
          <w:sz w:val="30"/>
          <w:szCs w:val="30"/>
          <w:highlight w:val="none"/>
        </w:rPr>
        <w:t>QSZB-F(F)-C24393(GK)</w:t>
      </w:r>
      <w:bookmarkEnd w:id="2"/>
      <w:r>
        <w:rPr>
          <w:rFonts w:hint="eastAsia" w:ascii="楷体" w:hAnsi="楷体" w:eastAsia="楷体"/>
          <w:b/>
          <w:color w:val="auto"/>
          <w:spacing w:val="-6"/>
          <w:sz w:val="30"/>
          <w:szCs w:val="30"/>
          <w:highlight w:val="none"/>
        </w:rPr>
        <w:t xml:space="preserve"> </w:t>
      </w:r>
    </w:p>
    <w:p w14:paraId="2CEECAE3">
      <w:pPr>
        <w:spacing w:line="360" w:lineRule="auto"/>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招标代理机构：浙江求是招标代理有限公司</w:t>
      </w:r>
    </w:p>
    <w:p w14:paraId="1AEDA522">
      <w:pPr>
        <w:spacing w:line="360" w:lineRule="auto"/>
        <w:rPr>
          <w:rFonts w:ascii="楷体" w:hAnsi="楷体" w:eastAsia="楷体"/>
          <w:b/>
          <w:color w:val="auto"/>
          <w:sz w:val="21"/>
          <w:szCs w:val="21"/>
          <w:highlight w:val="none"/>
        </w:rPr>
        <w:sectPr>
          <w:headerReference r:id="rId3" w:type="default"/>
          <w:footerReference r:id="rId4" w:type="default"/>
          <w:pgSz w:w="11906" w:h="16838"/>
          <w:pgMar w:top="1247" w:right="1247" w:bottom="1247" w:left="1247" w:header="0" w:footer="850" w:gutter="0"/>
          <w:pgNumType w:start="1"/>
          <w:cols w:space="720" w:num="1"/>
          <w:docGrid w:linePitch="381" w:charSpace="0"/>
        </w:sectPr>
      </w:pPr>
    </w:p>
    <w:p w14:paraId="03713FD5">
      <w:pPr>
        <w:pStyle w:val="32"/>
        <w:spacing w:line="360" w:lineRule="auto"/>
        <w:rPr>
          <w:color w:val="auto"/>
          <w:highlight w:val="none"/>
        </w:rPr>
      </w:pPr>
    </w:p>
    <w:p w14:paraId="0CC30C8A">
      <w:pPr>
        <w:pStyle w:val="13"/>
        <w:spacing w:beforeLines="0" w:afterLines="0" w:line="360" w:lineRule="auto"/>
        <w:jc w:val="center"/>
        <w:rPr>
          <w:rFonts w:ascii="楷体" w:hAnsi="楷体" w:eastAsia="楷体"/>
          <w:b/>
          <w:color w:val="auto"/>
          <w:sz w:val="30"/>
          <w:szCs w:val="30"/>
          <w:highlight w:val="none"/>
        </w:rPr>
      </w:pPr>
      <w:r>
        <w:rPr>
          <w:rFonts w:ascii="楷体" w:hAnsi="楷体" w:eastAsia="楷体"/>
          <w:b/>
          <w:color w:val="auto"/>
          <w:sz w:val="30"/>
          <w:szCs w:val="30"/>
          <w:highlight w:val="none"/>
        </w:rPr>
        <w:t>目录</w:t>
      </w:r>
    </w:p>
    <w:p w14:paraId="1F88B988">
      <w:pPr>
        <w:pStyle w:val="13"/>
        <w:spacing w:beforeLines="0" w:afterLines="0" w:line="360" w:lineRule="auto"/>
        <w:jc w:val="center"/>
        <w:rPr>
          <w:rFonts w:ascii="楷体" w:hAnsi="楷体" w:eastAsia="楷体"/>
          <w:b/>
          <w:color w:val="auto"/>
          <w:sz w:val="30"/>
          <w:szCs w:val="30"/>
          <w:highlight w:val="none"/>
        </w:rPr>
      </w:pPr>
    </w:p>
    <w:p w14:paraId="05FC74AB">
      <w:pPr>
        <w:numPr>
          <w:ilvl w:val="0"/>
          <w:numId w:val="2"/>
        </w:numPr>
        <w:spacing w:before="120"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招标公告</w:t>
      </w:r>
    </w:p>
    <w:p w14:paraId="5BC51BD6">
      <w:pPr>
        <w:numPr>
          <w:ilvl w:val="0"/>
          <w:numId w:val="2"/>
        </w:numPr>
        <w:spacing w:before="120"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招标需求</w:t>
      </w:r>
    </w:p>
    <w:p w14:paraId="1E72C718">
      <w:pPr>
        <w:numPr>
          <w:ilvl w:val="0"/>
          <w:numId w:val="2"/>
        </w:numPr>
        <w:spacing w:before="120"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投标人须知</w:t>
      </w:r>
    </w:p>
    <w:p w14:paraId="2F38E738">
      <w:pPr>
        <w:numPr>
          <w:ilvl w:val="0"/>
          <w:numId w:val="2"/>
        </w:numPr>
        <w:spacing w:before="120"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评标办法及评分标准</w:t>
      </w:r>
    </w:p>
    <w:p w14:paraId="3E7C24CC">
      <w:pPr>
        <w:numPr>
          <w:ilvl w:val="0"/>
          <w:numId w:val="2"/>
        </w:numPr>
        <w:spacing w:before="120"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拟签订的协议文本</w:t>
      </w:r>
    </w:p>
    <w:p w14:paraId="1860A3B5">
      <w:pPr>
        <w:numPr>
          <w:ilvl w:val="0"/>
          <w:numId w:val="2"/>
        </w:numPr>
        <w:spacing w:before="120" w:beforeLines="50" w:line="360" w:lineRule="auto"/>
        <w:ind w:left="16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投标文件格式</w:t>
      </w:r>
    </w:p>
    <w:p w14:paraId="14749FD5">
      <w:pPr>
        <w:pStyle w:val="13"/>
        <w:spacing w:beforeLines="0" w:afterLines="0" w:line="360" w:lineRule="auto"/>
        <w:jc w:val="center"/>
        <w:outlineLvl w:val="0"/>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招标公告</w:t>
      </w:r>
    </w:p>
    <w:p w14:paraId="6510A899">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根据《关于防止领导干部在公款存放方面发生利益冲突和利益输送的办法》（浙委办发〔2015〕8号)、《浙江省省级行政事业单位公款竞争性存放管理办法》</w:t>
      </w:r>
      <w:r>
        <w:rPr>
          <w:rFonts w:hint="eastAsia" w:asciiTheme="minorEastAsia" w:hAnsiTheme="minorEastAsia" w:eastAsiaTheme="minorEastAsia"/>
          <w:color w:val="auto"/>
          <w:sz w:val="21"/>
          <w:szCs w:val="21"/>
          <w:highlight w:val="none"/>
        </w:rPr>
        <w:t>（浙财预执〔2021〕7号）</w:t>
      </w:r>
      <w:r>
        <w:rPr>
          <w:rFonts w:hint="eastAsia" w:ascii="宋体" w:hAnsi="宋体"/>
          <w:color w:val="auto"/>
          <w:spacing w:val="-6"/>
          <w:kern w:val="0"/>
          <w:sz w:val="21"/>
          <w:szCs w:val="21"/>
          <w:highlight w:val="none"/>
        </w:rPr>
        <w:t>、《浙江省财政厅关于统一提供2022年度省级行政事业单位公款竞争性存放共性指标有关事项的函》（浙财函[2022]118号）规定，决定就《浙江人大》杂志社2024年公款竞争性存放开展招标工作，欢迎符合条件的银行机构参加投标。</w:t>
      </w:r>
    </w:p>
    <w:p w14:paraId="1ACA361E">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rPr>
        <w:t>一、招标项目名称：</w:t>
      </w:r>
      <w:r>
        <w:rPr>
          <w:rFonts w:hint="eastAsia" w:ascii="宋体" w:hAnsi="宋体"/>
          <w:color w:val="auto"/>
          <w:spacing w:val="-6"/>
          <w:kern w:val="0"/>
          <w:sz w:val="21"/>
          <w:szCs w:val="21"/>
          <w:highlight w:val="none"/>
        </w:rPr>
        <w:t>《浙江人大》杂志社</w:t>
      </w:r>
      <w:r>
        <w:rPr>
          <w:rFonts w:hint="eastAsia" w:ascii="宋体" w:hAnsi="宋体" w:cs="Arial"/>
          <w:color w:val="auto"/>
          <w:spacing w:val="-6"/>
          <w:sz w:val="21"/>
          <w:szCs w:val="21"/>
          <w:highlight w:val="none"/>
        </w:rPr>
        <w:t>2024年公款竞争性存放</w:t>
      </w:r>
    </w:p>
    <w:p w14:paraId="43EA9101">
      <w:pPr>
        <w:spacing w:line="360" w:lineRule="auto"/>
        <w:rPr>
          <w:rFonts w:ascii="宋体" w:hAnsi="宋体"/>
          <w:color w:val="auto"/>
          <w:spacing w:val="-6"/>
          <w:kern w:val="0"/>
          <w:sz w:val="21"/>
          <w:szCs w:val="21"/>
          <w:highlight w:val="none"/>
        </w:rPr>
      </w:pPr>
      <w:r>
        <w:rPr>
          <w:rFonts w:hint="eastAsia" w:ascii="宋体" w:hAnsi="宋体" w:cs="Arial"/>
          <w:b/>
          <w:color w:val="auto"/>
          <w:spacing w:val="-6"/>
          <w:sz w:val="24"/>
          <w:highlight w:val="none"/>
        </w:rPr>
        <w:t>二</w:t>
      </w:r>
      <w:r>
        <w:rPr>
          <w:rFonts w:ascii="宋体" w:hAnsi="宋体" w:cs="Arial"/>
          <w:b/>
          <w:color w:val="auto"/>
          <w:spacing w:val="-6"/>
          <w:sz w:val="24"/>
          <w:highlight w:val="none"/>
        </w:rPr>
        <w:t>、</w:t>
      </w:r>
      <w:r>
        <w:rPr>
          <w:rFonts w:hint="eastAsia" w:ascii="宋体" w:hAnsi="宋体" w:cs="Arial"/>
          <w:b/>
          <w:bCs/>
          <w:color w:val="auto"/>
          <w:spacing w:val="-6"/>
          <w:sz w:val="24"/>
          <w:highlight w:val="none"/>
        </w:rPr>
        <w:t>招标项目编号：</w:t>
      </w:r>
      <w:r>
        <w:rPr>
          <w:rFonts w:hint="eastAsia" w:ascii="宋体" w:hAnsi="宋体"/>
          <w:color w:val="auto"/>
          <w:spacing w:val="-6"/>
          <w:kern w:val="0"/>
          <w:sz w:val="21"/>
          <w:szCs w:val="21"/>
          <w:highlight w:val="none"/>
        </w:rPr>
        <w:t xml:space="preserve">QSZB-F(F)-C24393(GK) </w:t>
      </w:r>
    </w:p>
    <w:p w14:paraId="18210036">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rPr>
        <w:t>三、招标项目内容：</w:t>
      </w:r>
    </w:p>
    <w:p w14:paraId="1B2A1B3B">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（一）《浙江人大》杂志社定期存款，资金规模：人民币1500万元，本项目招标有效期贰年，定期存款期限为1年。本项目选择2家中标银行，</w:t>
      </w:r>
      <w:r>
        <w:rPr>
          <w:rFonts w:hint="eastAsia" w:ascii="宋体" w:hAnsi="宋体"/>
          <w:color w:val="auto"/>
          <w:spacing w:val="-6"/>
          <w:kern w:val="0"/>
          <w:sz w:val="21"/>
          <w:szCs w:val="21"/>
          <w:highlight w:val="none"/>
        </w:rPr>
        <w:t>分配金额</w:t>
      </w:r>
      <w:r>
        <w:rPr>
          <w:rFonts w:hint="eastAsia" w:ascii="宋体" w:hAnsi="宋体"/>
          <w:color w:val="auto"/>
          <w:spacing w:val="-6"/>
          <w:kern w:val="0"/>
          <w:sz w:val="21"/>
          <w:szCs w:val="21"/>
          <w:highlight w:val="none"/>
          <w:lang w:eastAsia="zh-CN"/>
        </w:rPr>
        <w:t>：</w:t>
      </w:r>
      <w:r>
        <w:rPr>
          <w:rFonts w:hint="eastAsia" w:ascii="宋体" w:hAnsi="宋体"/>
          <w:color w:val="auto"/>
          <w:spacing w:val="-6"/>
          <w:kern w:val="0"/>
          <w:sz w:val="21"/>
          <w:szCs w:val="21"/>
          <w:highlight w:val="none"/>
          <w:lang w:val="en-US" w:eastAsia="zh-CN"/>
        </w:rPr>
        <w:t>第一中标人</w:t>
      </w:r>
      <w:r>
        <w:rPr>
          <w:rFonts w:hint="eastAsia" w:ascii="宋体" w:hAnsi="宋体"/>
          <w:color w:val="auto"/>
          <w:spacing w:val="-6"/>
          <w:kern w:val="0"/>
          <w:sz w:val="21"/>
          <w:szCs w:val="21"/>
          <w:highlight w:val="none"/>
        </w:rPr>
        <w:t>为</w:t>
      </w:r>
      <w:r>
        <w:rPr>
          <w:rFonts w:hint="eastAsia" w:ascii="宋体" w:hAnsi="宋体"/>
          <w:color w:val="auto"/>
          <w:spacing w:val="-6"/>
          <w:kern w:val="0"/>
          <w:sz w:val="21"/>
          <w:szCs w:val="21"/>
          <w:highlight w:val="none"/>
          <w:lang w:val="en-US" w:eastAsia="zh-CN"/>
        </w:rPr>
        <w:t>900万元</w:t>
      </w:r>
      <w:r>
        <w:rPr>
          <w:rFonts w:hint="eastAsia" w:ascii="宋体" w:hAnsi="宋体"/>
          <w:color w:val="auto"/>
          <w:spacing w:val="-6"/>
          <w:kern w:val="0"/>
          <w:sz w:val="21"/>
          <w:szCs w:val="21"/>
          <w:highlight w:val="none"/>
          <w:lang w:eastAsia="zh-CN"/>
        </w:rPr>
        <w:t>、</w:t>
      </w:r>
      <w:r>
        <w:rPr>
          <w:rFonts w:hint="eastAsia" w:ascii="宋体" w:hAnsi="宋体"/>
          <w:color w:val="auto"/>
          <w:spacing w:val="-6"/>
          <w:kern w:val="0"/>
          <w:sz w:val="21"/>
          <w:szCs w:val="21"/>
          <w:highlight w:val="none"/>
          <w:lang w:val="en-US" w:eastAsia="zh-CN"/>
        </w:rPr>
        <w:t>第二中标人</w:t>
      </w:r>
      <w:r>
        <w:rPr>
          <w:rFonts w:hint="eastAsia" w:ascii="宋体" w:hAnsi="宋体"/>
          <w:color w:val="auto"/>
          <w:spacing w:val="-6"/>
          <w:kern w:val="0"/>
          <w:sz w:val="21"/>
          <w:szCs w:val="21"/>
          <w:highlight w:val="none"/>
        </w:rPr>
        <w:t>为</w:t>
      </w:r>
      <w:r>
        <w:rPr>
          <w:rFonts w:hint="eastAsia" w:ascii="宋体" w:hAnsi="宋体"/>
          <w:color w:val="auto"/>
          <w:spacing w:val="-6"/>
          <w:kern w:val="0"/>
          <w:sz w:val="21"/>
          <w:szCs w:val="21"/>
          <w:highlight w:val="none"/>
          <w:lang w:val="en-US" w:eastAsia="zh-CN"/>
        </w:rPr>
        <w:t>600万元</w:t>
      </w:r>
      <w:r>
        <w:rPr>
          <w:rFonts w:hint="eastAsia" w:ascii="宋体" w:hAnsi="宋体"/>
          <w:color w:val="auto"/>
          <w:spacing w:val="-6"/>
          <w:kern w:val="0"/>
          <w:sz w:val="21"/>
          <w:szCs w:val="21"/>
          <w:highlight w:val="none"/>
        </w:rPr>
        <w:t>。</w:t>
      </w:r>
    </w:p>
    <w:p w14:paraId="027F9434">
      <w:pPr>
        <w:spacing w:line="360" w:lineRule="auto"/>
        <w:ind w:firstLine="396" w:firstLineChars="200"/>
        <w:rPr>
          <w:rFonts w:ascii="宋体" w:hAnsi="宋体"/>
          <w:color w:val="auto"/>
          <w:spacing w:val="-6"/>
          <w:kern w:val="0"/>
          <w:sz w:val="21"/>
          <w:szCs w:val="21"/>
          <w:highlight w:val="none"/>
        </w:rPr>
      </w:pPr>
      <w:r>
        <w:rPr>
          <w:rFonts w:hint="eastAsia" w:ascii="宋体" w:hAnsi="宋体"/>
          <w:color w:val="auto"/>
          <w:spacing w:val="-6"/>
          <w:kern w:val="0"/>
          <w:sz w:val="21"/>
          <w:szCs w:val="21"/>
          <w:highlight w:val="none"/>
        </w:rPr>
        <w:t>（二）本项目招标有效期两年。</w:t>
      </w:r>
    </w:p>
    <w:p w14:paraId="0111C96F">
      <w:pPr>
        <w:spacing w:line="360" w:lineRule="auto"/>
        <w:rPr>
          <w:rFonts w:ascii="宋体" w:hAnsi="宋体" w:cs="Arial"/>
          <w:b/>
          <w:bCs/>
          <w:color w:val="auto"/>
          <w:spacing w:val="-6"/>
          <w:sz w:val="24"/>
          <w:highlight w:val="none"/>
        </w:rPr>
      </w:pPr>
      <w:r>
        <w:rPr>
          <w:rFonts w:hint="eastAsia" w:ascii="宋体" w:hAnsi="宋体" w:cs="Arial"/>
          <w:b/>
          <w:color w:val="auto"/>
          <w:spacing w:val="-6"/>
          <w:sz w:val="24"/>
          <w:highlight w:val="none"/>
        </w:rPr>
        <w:t>四</w:t>
      </w:r>
      <w:r>
        <w:rPr>
          <w:rFonts w:hint="eastAsia" w:ascii="宋体" w:hAnsi="宋体" w:cs="Arial"/>
          <w:color w:val="auto"/>
          <w:spacing w:val="-6"/>
          <w:sz w:val="24"/>
          <w:highlight w:val="none"/>
        </w:rPr>
        <w:t>、</w:t>
      </w:r>
      <w:r>
        <w:rPr>
          <w:rFonts w:hint="eastAsia" w:ascii="宋体" w:hAnsi="宋体" w:cs="Arial"/>
          <w:b/>
          <w:bCs/>
          <w:color w:val="auto"/>
          <w:spacing w:val="-6"/>
          <w:sz w:val="24"/>
          <w:highlight w:val="none"/>
        </w:rPr>
        <w:t>投标人资格要求：</w:t>
      </w:r>
    </w:p>
    <w:p w14:paraId="5D477188">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参与省级行政事业单位公款竞争性存放的银行是指在中华人民共和国境内依法设立的商业银行、农村信用合作联社等银行业金融机构。银行参与投标应符合以下条件：</w:t>
      </w:r>
    </w:p>
    <w:p w14:paraId="188A6AFF">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（一）在杭州市区设有分支机构；</w:t>
      </w:r>
    </w:p>
    <w:p w14:paraId="11932420">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（二）依法开展经营活动，近3年内在经营活动中无重大违法违规记录及重大违约事件；</w:t>
      </w:r>
    </w:p>
    <w:p w14:paraId="314E73B7">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（三）纳入人民银行综合评价的银行，人民银行上年度综合评价应达到B级及以上，不纳入人民银行综合评价范围的银行不受此限制。</w:t>
      </w:r>
    </w:p>
    <w:p w14:paraId="0A6130BA">
      <w:pPr>
        <w:spacing w:line="360" w:lineRule="auto"/>
        <w:ind w:firstLine="396" w:firstLineChars="200"/>
        <w:rPr>
          <w:rFonts w:ascii="宋体" w:hAnsi="宋体" w:cs="Arial"/>
          <w:color w:val="auto"/>
          <w:spacing w:val="-6"/>
          <w:sz w:val="21"/>
          <w:szCs w:val="21"/>
          <w:highlight w:val="none"/>
        </w:rPr>
      </w:pPr>
      <w:r>
        <w:rPr>
          <w:rFonts w:hint="eastAsia" w:ascii="宋体" w:hAnsi="宋体" w:cs="Arial"/>
          <w:color w:val="auto"/>
          <w:spacing w:val="-6"/>
          <w:sz w:val="21"/>
          <w:szCs w:val="21"/>
          <w:highlight w:val="none"/>
        </w:rPr>
        <w:t>（四）每家银行只能有一个主体参与投标，允许以省分行或者省分行授权支行为投标主体。省内农村商业银行、农村信用合作联社参与省级行政事业单位公款竞争性存放，可统一以浙江农商联合银行为投标主体。</w:t>
      </w:r>
    </w:p>
    <w:p w14:paraId="50254056">
      <w:pPr>
        <w:spacing w:line="360" w:lineRule="auto"/>
        <w:rPr>
          <w:rFonts w:ascii="宋体" w:hAnsi="宋体" w:cs="Arial"/>
          <w:b/>
          <w:bCs/>
          <w:color w:val="auto"/>
          <w:spacing w:val="-6"/>
          <w:sz w:val="24"/>
          <w:highlight w:val="none"/>
        </w:rPr>
      </w:pPr>
      <w:r>
        <w:rPr>
          <w:rFonts w:hint="eastAsia" w:ascii="宋体" w:hAnsi="宋体" w:cs="Arial"/>
          <w:b/>
          <w:bCs/>
          <w:color w:val="auto"/>
          <w:spacing w:val="-6"/>
          <w:sz w:val="24"/>
          <w:highlight w:val="none"/>
        </w:rPr>
        <w:t>五、招标文件获取时间、方式及地址：</w:t>
      </w:r>
    </w:p>
    <w:p w14:paraId="5D3AE9B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（一）时间：2024年</w:t>
      </w:r>
      <w:r>
        <w:rPr>
          <w:rFonts w:hint="eastAsia" w:ascii="宋体" w:hAnsi="宋体"/>
          <w:color w:val="auto"/>
          <w:spacing w:val="-6"/>
          <w:sz w:val="21"/>
          <w:szCs w:val="21"/>
          <w:highlight w:val="none"/>
          <w:lang w:val="en-US" w:eastAsia="zh-CN"/>
        </w:rPr>
        <w:t>11</w:t>
      </w:r>
      <w:r>
        <w:rPr>
          <w:rFonts w:hint="eastAsia" w:ascii="宋体" w:hAnsi="宋体"/>
          <w:color w:val="auto"/>
          <w:spacing w:val="-6"/>
          <w:sz w:val="21"/>
          <w:szCs w:val="21"/>
          <w:highlight w:val="none"/>
        </w:rPr>
        <w:t>月</w:t>
      </w:r>
      <w:r>
        <w:rPr>
          <w:rFonts w:hint="eastAsia" w:ascii="宋体" w:hAnsi="宋体"/>
          <w:color w:val="auto"/>
          <w:spacing w:val="-6"/>
          <w:sz w:val="21"/>
          <w:szCs w:val="21"/>
          <w:highlight w:val="none"/>
          <w:lang w:val="en-US" w:eastAsia="zh-CN"/>
        </w:rPr>
        <w:t>13</w:t>
      </w:r>
      <w:r>
        <w:rPr>
          <w:rFonts w:hint="eastAsia" w:ascii="宋体" w:hAnsi="宋体"/>
          <w:color w:val="auto"/>
          <w:spacing w:val="-6"/>
          <w:sz w:val="21"/>
          <w:szCs w:val="21"/>
          <w:highlight w:val="none"/>
        </w:rPr>
        <w:t>日至2024年</w:t>
      </w:r>
      <w:r>
        <w:rPr>
          <w:rFonts w:hint="eastAsia" w:ascii="宋体" w:hAnsi="宋体"/>
          <w:color w:val="auto"/>
          <w:spacing w:val="-6"/>
          <w:sz w:val="21"/>
          <w:szCs w:val="21"/>
          <w:highlight w:val="none"/>
          <w:lang w:val="en-US" w:eastAsia="zh-CN"/>
        </w:rPr>
        <w:t>11</w:t>
      </w:r>
      <w:r>
        <w:rPr>
          <w:rFonts w:hint="eastAsia" w:ascii="宋体" w:hAnsi="宋体"/>
          <w:color w:val="auto"/>
          <w:spacing w:val="-6"/>
          <w:sz w:val="21"/>
          <w:szCs w:val="21"/>
          <w:highlight w:val="none"/>
        </w:rPr>
        <w:t>月</w:t>
      </w:r>
      <w:r>
        <w:rPr>
          <w:rFonts w:hint="eastAsia" w:ascii="宋体" w:hAnsi="宋体"/>
          <w:color w:val="auto"/>
          <w:spacing w:val="-6"/>
          <w:sz w:val="21"/>
          <w:szCs w:val="21"/>
          <w:highlight w:val="none"/>
          <w:lang w:val="en-US" w:eastAsia="zh-CN"/>
        </w:rPr>
        <w:t>20</w:t>
      </w:r>
      <w:r>
        <w:rPr>
          <w:rFonts w:hint="eastAsia" w:ascii="宋体" w:hAnsi="宋体"/>
          <w:color w:val="auto"/>
          <w:spacing w:val="-6"/>
          <w:sz w:val="21"/>
          <w:szCs w:val="21"/>
          <w:highlight w:val="none"/>
        </w:rPr>
        <w:t>日下午1</w:t>
      </w:r>
      <w:r>
        <w:rPr>
          <w:rFonts w:hint="eastAsia" w:ascii="宋体" w:hAnsi="宋体"/>
          <w:color w:val="auto"/>
          <w:spacing w:val="-6"/>
          <w:sz w:val="21"/>
          <w:szCs w:val="21"/>
          <w:highlight w:val="none"/>
          <w:lang w:val="en-US" w:eastAsia="zh-CN"/>
        </w:rPr>
        <w:t>6</w:t>
      </w:r>
      <w:r>
        <w:rPr>
          <w:rFonts w:hint="eastAsia" w:ascii="宋体" w:hAnsi="宋体"/>
          <w:color w:val="auto"/>
          <w:spacing w:val="-6"/>
          <w:sz w:val="21"/>
          <w:szCs w:val="21"/>
          <w:highlight w:val="none"/>
        </w:rPr>
        <w:t>:00（双休日及法定节假日除外）</w:t>
      </w:r>
    </w:p>
    <w:p w14:paraId="79117C39">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报名方式：本项目实行网上报名，不接受现场报名。报名银行须登录政府采购云平台（https://www.zcygov.cn），进入“公款竞争性存放”模块，在“竞标项目”选择本项目按规定进行报名。报名成功后在线下载招标文件。（本次采购不提供纸质版采购文件）</w:t>
      </w:r>
    </w:p>
    <w:p w14:paraId="7A6578C1">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w:t>
      </w:r>
      <w:r>
        <w:rPr>
          <w:rFonts w:ascii="宋体" w:hAnsi="宋体"/>
          <w:color w:val="auto"/>
          <w:spacing w:val="-6"/>
          <w:sz w:val="21"/>
          <w:szCs w:val="21"/>
          <w:highlight w:val="none"/>
        </w:rPr>
        <w:t>标书</w:t>
      </w:r>
      <w:r>
        <w:rPr>
          <w:rFonts w:hint="eastAsia" w:ascii="宋体" w:hAnsi="宋体"/>
          <w:color w:val="auto"/>
          <w:spacing w:val="-6"/>
          <w:sz w:val="21"/>
          <w:szCs w:val="21"/>
          <w:highlight w:val="none"/>
        </w:rPr>
        <w:t>售价</w:t>
      </w:r>
      <w:r>
        <w:rPr>
          <w:rFonts w:ascii="宋体" w:hAnsi="宋体"/>
          <w:color w:val="auto"/>
          <w:spacing w:val="-6"/>
          <w:sz w:val="21"/>
          <w:szCs w:val="21"/>
          <w:highlight w:val="none"/>
        </w:rPr>
        <w:t>：</w:t>
      </w:r>
      <w:r>
        <w:rPr>
          <w:rFonts w:hint="eastAsia" w:ascii="宋体" w:hAnsi="宋体"/>
          <w:color w:val="auto"/>
          <w:spacing w:val="-6"/>
          <w:sz w:val="21"/>
          <w:szCs w:val="21"/>
          <w:highlight w:val="none"/>
        </w:rPr>
        <w:t>免费</w:t>
      </w:r>
    </w:p>
    <w:p w14:paraId="7EAD12D7">
      <w:pPr>
        <w:spacing w:line="360" w:lineRule="auto"/>
        <w:jc w:val="left"/>
        <w:rPr>
          <w:rFonts w:ascii="宋体" w:hAnsi="宋体"/>
          <w:color w:val="auto"/>
          <w:spacing w:val="-6"/>
          <w:sz w:val="21"/>
          <w:szCs w:val="21"/>
          <w:highlight w:val="none"/>
        </w:rPr>
      </w:pPr>
      <w:r>
        <w:rPr>
          <w:rFonts w:hint="eastAsia" w:ascii="宋体" w:hAnsi="宋体" w:cs="Arial"/>
          <w:b/>
          <w:color w:val="auto"/>
          <w:spacing w:val="-6"/>
          <w:sz w:val="24"/>
          <w:highlight w:val="none"/>
        </w:rPr>
        <w:t>六、</w:t>
      </w:r>
      <w:r>
        <w:rPr>
          <w:rFonts w:hint="eastAsia" w:ascii="宋体" w:hAnsi="宋体" w:cs="Arial"/>
          <w:b/>
          <w:bCs/>
          <w:color w:val="auto"/>
          <w:spacing w:val="-6"/>
          <w:sz w:val="24"/>
          <w:highlight w:val="none"/>
        </w:rPr>
        <w:t>投标截止时间</w:t>
      </w:r>
      <w:r>
        <w:rPr>
          <w:rFonts w:hint="eastAsia" w:ascii="宋体" w:hAnsi="宋体" w:cs="Arial"/>
          <w:color w:val="auto"/>
          <w:spacing w:val="-6"/>
          <w:sz w:val="24"/>
          <w:highlight w:val="none"/>
        </w:rPr>
        <w:t>：</w:t>
      </w:r>
      <w:r>
        <w:rPr>
          <w:rFonts w:hint="eastAsia" w:ascii="宋体" w:hAnsi="宋体"/>
          <w:color w:val="auto"/>
          <w:spacing w:val="-6"/>
          <w:sz w:val="21"/>
          <w:szCs w:val="21"/>
          <w:highlight w:val="none"/>
        </w:rPr>
        <w:t>2024年</w:t>
      </w:r>
      <w:r>
        <w:rPr>
          <w:rFonts w:hint="eastAsia" w:ascii="宋体" w:hAnsi="宋体"/>
          <w:color w:val="auto"/>
          <w:spacing w:val="-6"/>
          <w:sz w:val="21"/>
          <w:szCs w:val="21"/>
          <w:highlight w:val="none"/>
          <w:lang w:val="en-US" w:eastAsia="zh-CN"/>
        </w:rPr>
        <w:t>11</w:t>
      </w:r>
      <w:r>
        <w:rPr>
          <w:rFonts w:hint="eastAsia" w:ascii="宋体" w:hAnsi="宋体"/>
          <w:color w:val="auto"/>
          <w:spacing w:val="-6"/>
          <w:sz w:val="21"/>
          <w:szCs w:val="21"/>
          <w:highlight w:val="none"/>
        </w:rPr>
        <w:t>月</w:t>
      </w:r>
      <w:r>
        <w:rPr>
          <w:rFonts w:hint="eastAsia" w:ascii="宋体" w:hAnsi="宋体"/>
          <w:color w:val="auto"/>
          <w:spacing w:val="-6"/>
          <w:sz w:val="21"/>
          <w:szCs w:val="21"/>
          <w:highlight w:val="none"/>
          <w:lang w:val="en-US" w:eastAsia="zh-CN"/>
        </w:rPr>
        <w:t>21</w:t>
      </w:r>
      <w:r>
        <w:rPr>
          <w:rFonts w:hint="eastAsia" w:ascii="宋体" w:hAnsi="宋体"/>
          <w:color w:val="auto"/>
          <w:spacing w:val="-6"/>
          <w:sz w:val="21"/>
          <w:szCs w:val="21"/>
          <w:highlight w:val="none"/>
        </w:rPr>
        <w:t>日上午9:30:00</w:t>
      </w:r>
    </w:p>
    <w:p w14:paraId="4F2CF00B">
      <w:pPr>
        <w:spacing w:line="360" w:lineRule="auto"/>
        <w:jc w:val="left"/>
        <w:rPr>
          <w:rFonts w:ascii="宋体" w:hAnsi="宋体"/>
          <w:bCs/>
          <w:color w:val="auto"/>
          <w:spacing w:val="-6"/>
          <w:sz w:val="21"/>
          <w:szCs w:val="21"/>
          <w:highlight w:val="none"/>
        </w:rPr>
      </w:pPr>
      <w:r>
        <w:rPr>
          <w:rFonts w:hint="eastAsia" w:ascii="宋体" w:hAnsi="宋体" w:cs="Arial"/>
          <w:b/>
          <w:bCs/>
          <w:color w:val="auto"/>
          <w:spacing w:val="-6"/>
          <w:sz w:val="24"/>
          <w:highlight w:val="none"/>
        </w:rPr>
        <w:t>七、投标文件</w:t>
      </w:r>
      <w:r>
        <w:rPr>
          <w:rFonts w:hint="eastAsia" w:ascii="宋体" w:hAnsi="宋体"/>
          <w:b/>
          <w:color w:val="auto"/>
          <w:sz w:val="24"/>
          <w:highlight w:val="none"/>
        </w:rPr>
        <w:t>提交方式、地点：</w:t>
      </w:r>
      <w:r>
        <w:rPr>
          <w:rFonts w:hint="eastAsia" w:ascii="宋体" w:hAnsi="宋体"/>
          <w:color w:val="auto"/>
          <w:spacing w:val="-6"/>
          <w:sz w:val="21"/>
          <w:szCs w:val="21"/>
          <w:highlight w:val="none"/>
        </w:rPr>
        <w:t>通过政府采购云平台（https://login.zcygov.cn）在线电子投标</w:t>
      </w:r>
      <w:r>
        <w:rPr>
          <w:rFonts w:hint="eastAsia" w:ascii="宋体" w:hAnsi="宋体"/>
          <w:bCs/>
          <w:color w:val="auto"/>
          <w:spacing w:val="-6"/>
          <w:sz w:val="21"/>
          <w:szCs w:val="21"/>
          <w:highlight w:val="none"/>
        </w:rPr>
        <w:t>；</w:t>
      </w:r>
    </w:p>
    <w:p w14:paraId="707E979E">
      <w:pPr>
        <w:spacing w:line="360" w:lineRule="auto"/>
        <w:jc w:val="left"/>
        <w:rPr>
          <w:rFonts w:ascii="宋体" w:hAnsi="宋体"/>
          <w:bCs/>
          <w:color w:val="auto"/>
          <w:spacing w:val="-6"/>
          <w:sz w:val="21"/>
          <w:szCs w:val="21"/>
          <w:highlight w:val="none"/>
        </w:rPr>
      </w:pPr>
      <w:r>
        <w:rPr>
          <w:rFonts w:hint="eastAsia" w:ascii="宋体" w:hAnsi="宋体"/>
          <w:b/>
          <w:color w:val="auto"/>
          <w:spacing w:val="-6"/>
          <w:sz w:val="21"/>
          <w:szCs w:val="21"/>
          <w:highlight w:val="none"/>
        </w:rPr>
        <w:t>备注：</w:t>
      </w:r>
      <w:r>
        <w:rPr>
          <w:rFonts w:hint="eastAsia" w:ascii="宋体" w:hAnsi="宋体"/>
          <w:bCs/>
          <w:color w:val="auto"/>
          <w:spacing w:val="-6"/>
          <w:sz w:val="21"/>
          <w:szCs w:val="21"/>
          <w:highlight w:val="none"/>
        </w:rPr>
        <w:t>本项目实行在线电子招投标，投标人报名后即可在政采云系统中编制响应文件，在投标截止时间前进行投标。</w:t>
      </w:r>
    </w:p>
    <w:p w14:paraId="4354923D">
      <w:pPr>
        <w:spacing w:line="360" w:lineRule="auto"/>
        <w:rPr>
          <w:rFonts w:ascii="宋体" w:hAnsi="宋体" w:cs="Arial"/>
          <w:color w:val="auto"/>
          <w:spacing w:val="-6"/>
          <w:sz w:val="24"/>
          <w:highlight w:val="none"/>
        </w:rPr>
      </w:pPr>
      <w:r>
        <w:rPr>
          <w:rFonts w:hint="eastAsia" w:ascii="宋体" w:hAnsi="宋体" w:cs="Arial"/>
          <w:b/>
          <w:bCs/>
          <w:color w:val="auto"/>
          <w:spacing w:val="-6"/>
          <w:sz w:val="24"/>
          <w:highlight w:val="none"/>
        </w:rPr>
        <w:t>八、开标时间及地点</w:t>
      </w:r>
      <w:r>
        <w:rPr>
          <w:rFonts w:hint="eastAsia" w:ascii="宋体" w:hAnsi="宋体" w:cs="Arial"/>
          <w:color w:val="auto"/>
          <w:spacing w:val="-6"/>
          <w:sz w:val="24"/>
          <w:highlight w:val="none"/>
        </w:rPr>
        <w:t>：</w:t>
      </w:r>
    </w:p>
    <w:p w14:paraId="3DB9E923">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时间：2024年</w:t>
      </w:r>
      <w:r>
        <w:rPr>
          <w:rFonts w:hint="eastAsia" w:ascii="宋体" w:hAnsi="宋体"/>
          <w:color w:val="auto"/>
          <w:spacing w:val="-6"/>
          <w:sz w:val="21"/>
          <w:szCs w:val="21"/>
          <w:highlight w:val="none"/>
          <w:lang w:val="en-US" w:eastAsia="zh-CN"/>
        </w:rPr>
        <w:t>11</w:t>
      </w:r>
      <w:r>
        <w:rPr>
          <w:rFonts w:hint="eastAsia" w:ascii="宋体" w:hAnsi="宋体"/>
          <w:color w:val="auto"/>
          <w:spacing w:val="-6"/>
          <w:sz w:val="21"/>
          <w:szCs w:val="21"/>
          <w:highlight w:val="none"/>
        </w:rPr>
        <w:t>月</w:t>
      </w:r>
      <w:r>
        <w:rPr>
          <w:rFonts w:hint="eastAsia" w:ascii="宋体" w:hAnsi="宋体"/>
          <w:color w:val="auto"/>
          <w:spacing w:val="-6"/>
          <w:sz w:val="21"/>
          <w:szCs w:val="21"/>
          <w:highlight w:val="none"/>
          <w:lang w:val="en-US" w:eastAsia="zh-CN"/>
        </w:rPr>
        <w:t>21</w:t>
      </w:r>
      <w:r>
        <w:rPr>
          <w:rFonts w:hint="eastAsia" w:ascii="宋体" w:hAnsi="宋体"/>
          <w:color w:val="auto"/>
          <w:spacing w:val="-6"/>
          <w:sz w:val="21"/>
          <w:szCs w:val="21"/>
          <w:highlight w:val="none"/>
        </w:rPr>
        <w:t>日上午9:30:00</w:t>
      </w:r>
    </w:p>
    <w:p w14:paraId="77FDCC2E">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地点：通过政府采购云平台（https://login.zcygov.cn）在线开标</w:t>
      </w:r>
    </w:p>
    <w:p w14:paraId="0A8895B8">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rPr>
        <w:t>九、其他说明：</w:t>
      </w:r>
    </w:p>
    <w:p w14:paraId="5F8365FE">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（一）投标人应在投标报名前提交政府采购云平台（https://www.zcygov.cn/）银行入驻申请并成为公款存放正式供应商，否则无法参与线上公款竞争性存放业务。</w:t>
      </w:r>
    </w:p>
    <w:p w14:paraId="3914757A">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（二）投标人应在投标前完成CA数字证书办理。网上电子投标具体流程详见操作指南：登录政府采购云平台（https://www.zcygov.cn/），从首页-服务中心-帮助文档-公款竞争性存放-操作流程，查看文档。</w:t>
      </w:r>
    </w:p>
    <w:p w14:paraId="10FEFAA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（三）如有疑问，可致电政府采购云平台技术支持热线咨询，联系方式：400-881-7190。</w:t>
      </w:r>
    </w:p>
    <w:p w14:paraId="6B5BD65C">
      <w:pPr>
        <w:spacing w:line="360" w:lineRule="auto"/>
        <w:rPr>
          <w:rFonts w:ascii="宋体" w:hAnsi="宋体" w:cs="Arial"/>
          <w:b/>
          <w:color w:val="auto"/>
          <w:spacing w:val="-6"/>
          <w:sz w:val="24"/>
          <w:highlight w:val="none"/>
        </w:rPr>
      </w:pPr>
      <w:r>
        <w:rPr>
          <w:rFonts w:hint="eastAsia" w:ascii="宋体" w:hAnsi="宋体" w:cs="Arial"/>
          <w:b/>
          <w:color w:val="auto"/>
          <w:spacing w:val="-6"/>
          <w:sz w:val="24"/>
          <w:highlight w:val="none"/>
        </w:rPr>
        <w:t>十、业务咨询：</w:t>
      </w:r>
    </w:p>
    <w:p w14:paraId="6845DF4B">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招标人名称：《浙江人大》杂志社</w:t>
      </w:r>
    </w:p>
    <w:p w14:paraId="7A516B20">
      <w:pPr>
        <w:widowControl/>
        <w:spacing w:line="360" w:lineRule="auto"/>
        <w:ind w:right="6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地址：浙江杭州市仁谐路1号</w:t>
      </w:r>
    </w:p>
    <w:p w14:paraId="5BD4BA9E">
      <w:pPr>
        <w:widowControl/>
        <w:spacing w:line="360" w:lineRule="auto"/>
        <w:ind w:right="6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联系人：姜华</w:t>
      </w:r>
    </w:p>
    <w:p w14:paraId="71BAB49D">
      <w:pPr>
        <w:widowControl/>
        <w:spacing w:line="360" w:lineRule="auto"/>
        <w:ind w:right="6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联系方式：0571-87056343；13906506996</w:t>
      </w:r>
    </w:p>
    <w:p w14:paraId="38C10C09">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招标代理机构名称：浙江求是招标代理有限公司</w:t>
      </w:r>
    </w:p>
    <w:p w14:paraId="70835D86">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地址：杭州市西湖区玉古路173号中田大厦21楼</w:t>
      </w:r>
    </w:p>
    <w:p w14:paraId="2C324773">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业务联系人：陈培特、李聪</w:t>
      </w:r>
    </w:p>
    <w:p w14:paraId="2A4D6AE3">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联系方法：0571-87666115</w:t>
      </w:r>
    </w:p>
    <w:p w14:paraId="5CB63B84">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招标代理机构质疑联系人：周安琪</w:t>
      </w:r>
    </w:p>
    <w:p w14:paraId="27E3616F">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联系方法：0571-81110356</w:t>
      </w:r>
    </w:p>
    <w:p w14:paraId="5C7295F4">
      <w:pPr>
        <w:widowControl/>
        <w:spacing w:line="360" w:lineRule="auto"/>
        <w:ind w:right="60" w:firstLine="396" w:firstLineChars="200"/>
        <w:jc w:val="left"/>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质疑邮箱：jdkh@qszb.net</w:t>
      </w:r>
    </w:p>
    <w:p w14:paraId="2E716991">
      <w:pPr>
        <w:spacing w:line="360" w:lineRule="auto"/>
        <w:ind w:firstLine="420" w:firstLineChars="200"/>
        <w:jc w:val="center"/>
        <w:outlineLvl w:val="0"/>
        <w:rPr>
          <w:rFonts w:asciiTheme="minorEastAsia" w:hAnsiTheme="minorEastAsia" w:eastAsiaTheme="minorEastAsia"/>
          <w:color w:val="auto"/>
          <w:sz w:val="21"/>
          <w:szCs w:val="21"/>
          <w:highlight w:val="none"/>
        </w:rPr>
      </w:pPr>
      <w:r>
        <w:rPr>
          <w:rFonts w:hint="eastAsia" w:ascii="宋体" w:hAnsi="宋体"/>
          <w:color w:val="auto"/>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招标需求</w:t>
      </w:r>
    </w:p>
    <w:p w14:paraId="3E1FC91B">
      <w:pPr>
        <w:adjustRightInd w:val="0"/>
        <w:snapToGrid w:val="0"/>
        <w:spacing w:line="288" w:lineRule="auto"/>
        <w:ind w:firstLine="396" w:firstLineChars="20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服务要求：</w:t>
      </w:r>
    </w:p>
    <w:p w14:paraId="16983185">
      <w:pPr>
        <w:spacing w:line="360" w:lineRule="auto"/>
        <w:ind w:firstLine="420" w:firstLineChars="200"/>
        <w:rPr>
          <w:rFonts w:ascii="宋体" w:hAnsi="宋体"/>
          <w:color w:val="auto"/>
          <w:spacing w:val="-6"/>
          <w:kern w:val="0"/>
          <w:sz w:val="21"/>
          <w:szCs w:val="21"/>
          <w:highlight w:val="none"/>
        </w:rPr>
      </w:pPr>
      <w:r>
        <w:rPr>
          <w:rFonts w:hint="eastAsia" w:asciiTheme="minorEastAsia" w:hAnsiTheme="minorEastAsia" w:eastAsiaTheme="minorEastAsia"/>
          <w:color w:val="auto"/>
          <w:sz w:val="21"/>
          <w:szCs w:val="21"/>
          <w:highlight w:val="none"/>
        </w:rPr>
        <w:t>本次招标采用综合评分法，资金规模：人民币1500万元，本项目招标有效期贰年，定期存款期限为1年。本项目选择2家中标银行，</w:t>
      </w:r>
      <w:r>
        <w:rPr>
          <w:rFonts w:hint="eastAsia" w:ascii="宋体" w:hAnsi="宋体"/>
          <w:color w:val="auto"/>
          <w:spacing w:val="-6"/>
          <w:kern w:val="0"/>
          <w:sz w:val="21"/>
          <w:szCs w:val="21"/>
          <w:highlight w:val="none"/>
        </w:rPr>
        <w:t>分配金额</w:t>
      </w:r>
      <w:r>
        <w:rPr>
          <w:rFonts w:hint="eastAsia" w:ascii="宋体" w:hAnsi="宋体"/>
          <w:color w:val="auto"/>
          <w:spacing w:val="-6"/>
          <w:kern w:val="0"/>
          <w:sz w:val="21"/>
          <w:szCs w:val="21"/>
          <w:highlight w:val="none"/>
          <w:lang w:eastAsia="zh-CN"/>
        </w:rPr>
        <w:t>：</w:t>
      </w:r>
      <w:r>
        <w:rPr>
          <w:rFonts w:hint="eastAsia" w:ascii="宋体" w:hAnsi="宋体"/>
          <w:color w:val="auto"/>
          <w:spacing w:val="-6"/>
          <w:kern w:val="0"/>
          <w:sz w:val="21"/>
          <w:szCs w:val="21"/>
          <w:highlight w:val="none"/>
          <w:lang w:val="en-US" w:eastAsia="zh-CN"/>
        </w:rPr>
        <w:t>第一中标人</w:t>
      </w:r>
      <w:r>
        <w:rPr>
          <w:rFonts w:hint="eastAsia" w:ascii="宋体" w:hAnsi="宋体"/>
          <w:color w:val="auto"/>
          <w:spacing w:val="-6"/>
          <w:kern w:val="0"/>
          <w:sz w:val="21"/>
          <w:szCs w:val="21"/>
          <w:highlight w:val="none"/>
        </w:rPr>
        <w:t>为</w:t>
      </w:r>
      <w:r>
        <w:rPr>
          <w:rFonts w:hint="eastAsia" w:ascii="宋体" w:hAnsi="宋体"/>
          <w:color w:val="auto"/>
          <w:spacing w:val="-6"/>
          <w:kern w:val="0"/>
          <w:sz w:val="21"/>
          <w:szCs w:val="21"/>
          <w:highlight w:val="none"/>
          <w:lang w:val="en-US" w:eastAsia="zh-CN"/>
        </w:rPr>
        <w:t>900万元</w:t>
      </w:r>
      <w:r>
        <w:rPr>
          <w:rFonts w:hint="eastAsia" w:ascii="宋体" w:hAnsi="宋体"/>
          <w:color w:val="auto"/>
          <w:spacing w:val="-6"/>
          <w:kern w:val="0"/>
          <w:sz w:val="21"/>
          <w:szCs w:val="21"/>
          <w:highlight w:val="none"/>
          <w:lang w:eastAsia="zh-CN"/>
        </w:rPr>
        <w:t>、</w:t>
      </w:r>
      <w:r>
        <w:rPr>
          <w:rFonts w:hint="eastAsia" w:ascii="宋体" w:hAnsi="宋体"/>
          <w:color w:val="auto"/>
          <w:spacing w:val="-6"/>
          <w:kern w:val="0"/>
          <w:sz w:val="21"/>
          <w:szCs w:val="21"/>
          <w:highlight w:val="none"/>
          <w:lang w:val="en-US" w:eastAsia="zh-CN"/>
        </w:rPr>
        <w:t>第二中标人</w:t>
      </w:r>
      <w:r>
        <w:rPr>
          <w:rFonts w:hint="eastAsia" w:ascii="宋体" w:hAnsi="宋体"/>
          <w:color w:val="auto"/>
          <w:spacing w:val="-6"/>
          <w:kern w:val="0"/>
          <w:sz w:val="21"/>
          <w:szCs w:val="21"/>
          <w:highlight w:val="none"/>
        </w:rPr>
        <w:t>为</w:t>
      </w:r>
      <w:r>
        <w:rPr>
          <w:rFonts w:hint="eastAsia" w:ascii="宋体" w:hAnsi="宋体"/>
          <w:color w:val="auto"/>
          <w:spacing w:val="-6"/>
          <w:kern w:val="0"/>
          <w:sz w:val="21"/>
          <w:szCs w:val="21"/>
          <w:highlight w:val="none"/>
          <w:lang w:val="en-US" w:eastAsia="zh-CN"/>
        </w:rPr>
        <w:t>600万元</w:t>
      </w:r>
      <w:r>
        <w:rPr>
          <w:rFonts w:hint="eastAsia" w:ascii="宋体" w:hAnsi="宋体"/>
          <w:color w:val="auto"/>
          <w:spacing w:val="-6"/>
          <w:kern w:val="0"/>
          <w:sz w:val="21"/>
          <w:szCs w:val="21"/>
          <w:highlight w:val="none"/>
        </w:rPr>
        <w:t>。</w:t>
      </w:r>
    </w:p>
    <w:p w14:paraId="2A890F90">
      <w:pPr>
        <w:adjustRightInd w:val="0"/>
        <w:snapToGrid w:val="0"/>
        <w:spacing w:line="360" w:lineRule="auto"/>
        <w:ind w:firstLine="396" w:firstLineChars="20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t>（一）严格按照《关于防止领导干部在公款存放方面发生利益冲突和利益输送的办法》（浙委办发〔2015〕8号)、《浙江省教育厅公款竞争性存放实施细则》（浙教财〔2019〕46号)、《浙江省财政厅关于印发浙江省省级行政事业单位公款竞争性存放管理办法的通知》（浙财预执〔2021〕7号）等公款存放的制度规定，办理各项业务，保证资金的安全性。遇到有被银监局降级等特殊情况，会危及资金安全的需要在情况发生3天内及时通知招标人。</w:t>
      </w:r>
    </w:p>
    <w:p w14:paraId="281514EC">
      <w:pPr>
        <w:adjustRightInd w:val="0"/>
        <w:snapToGrid w:val="0"/>
        <w:spacing w:line="360" w:lineRule="auto"/>
        <w:ind w:firstLine="396" w:firstLineChars="200"/>
        <w:rPr>
          <w:rFonts w:ascii="宋体" w:hAnsi="宋体" w:cs="宋体"/>
          <w:color w:val="auto"/>
          <w:sz w:val="21"/>
          <w:szCs w:val="21"/>
          <w:highlight w:val="none"/>
        </w:rPr>
      </w:pPr>
      <w:r>
        <w:rPr>
          <w:rFonts w:hint="eastAsia" w:ascii="宋体" w:hAnsi="宋体" w:cs="宋体"/>
          <w:color w:val="auto"/>
          <w:spacing w:val="-6"/>
          <w:kern w:val="0"/>
          <w:sz w:val="21"/>
          <w:szCs w:val="21"/>
          <w:highlight w:val="none"/>
        </w:rPr>
        <w:t>（二）本项目定期存款存期1年。续存按《浙江省财政厅关于印发浙江省省级行政事业单位公款竞争性存放管理办法的通知》（浙财预执〔2021〕7号）</w:t>
      </w:r>
      <w:r>
        <w:rPr>
          <w:rFonts w:hint="eastAsia" w:ascii="宋体" w:hAnsi="宋体" w:cs="宋体"/>
          <w:color w:val="auto"/>
          <w:sz w:val="21"/>
          <w:szCs w:val="21"/>
          <w:highlight w:val="none"/>
        </w:rPr>
        <w:t>规定执行。凡发现并经核实中标人未遵守廉政承诺或者在资金存放中存在其他利益输送行为的，</w:t>
      </w:r>
      <w:r>
        <w:rPr>
          <w:rFonts w:hint="eastAsia" w:ascii="宋体" w:hAnsi="宋体" w:cs="宋体"/>
          <w:color w:val="auto"/>
          <w:spacing w:val="-6"/>
          <w:kern w:val="0"/>
          <w:sz w:val="21"/>
          <w:szCs w:val="21"/>
          <w:highlight w:val="none"/>
        </w:rPr>
        <w:t>招标人</w:t>
      </w:r>
      <w:r>
        <w:rPr>
          <w:rFonts w:hint="eastAsia" w:ascii="宋体" w:hAnsi="宋体" w:cs="宋体"/>
          <w:color w:val="auto"/>
          <w:sz w:val="21"/>
          <w:szCs w:val="21"/>
          <w:highlight w:val="none"/>
        </w:rPr>
        <w:t>有权提前收回资金。</w:t>
      </w:r>
    </w:p>
    <w:p w14:paraId="4D11852D">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（三）按中标利率对公款资金进行计息，定期存款到期时应及时将本息打入</w:t>
      </w:r>
      <w:r>
        <w:rPr>
          <w:rFonts w:hint="eastAsia" w:ascii="宋体" w:hAnsi="宋体" w:cs="宋体"/>
          <w:color w:val="auto"/>
          <w:spacing w:val="-6"/>
          <w:kern w:val="0"/>
          <w:sz w:val="21"/>
          <w:szCs w:val="21"/>
          <w:highlight w:val="none"/>
        </w:rPr>
        <w:t>招标人</w:t>
      </w:r>
      <w:r>
        <w:rPr>
          <w:rFonts w:hint="eastAsia" w:ascii="宋体" w:hAnsi="宋体" w:cs="宋体"/>
          <w:color w:val="auto"/>
          <w:sz w:val="21"/>
          <w:szCs w:val="21"/>
          <w:highlight w:val="none"/>
        </w:rPr>
        <w:t>账户。不能以任何理由拒绝办理或部分办理。</w:t>
      </w:r>
    </w:p>
    <w:p w14:paraId="5369481A">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（四）有专人负责办理相关业务，及时上门提供定期账单，重大金额及重要事项当天送达。</w:t>
      </w:r>
    </w:p>
    <w:p w14:paraId="00A6C819">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（五）免收银行各项业务手续费。</w:t>
      </w:r>
    </w:p>
    <w:p w14:paraId="62575D5E">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（六）遇到需要提前支取的情况，应该在核对相应的材料后给予绿色通道快速处理，不得拖延。提前支取规则：存款如需提前支取，则从排名靠后的银行开始。</w:t>
      </w:r>
    </w:p>
    <w:p w14:paraId="27109F21">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（七）投标人应在投标文件中对服务内容明确承诺，承诺内容必须达到本章及招标文件其他条款的要求。</w:t>
      </w:r>
    </w:p>
    <w:p w14:paraId="3E3CF5C0">
      <w:pPr>
        <w:adjustRightInd w:val="0"/>
        <w:snapToGrid w:val="0"/>
        <w:spacing w:line="360" w:lineRule="auto"/>
        <w:ind w:firstLine="396" w:firstLineChars="200"/>
        <w:rPr>
          <w:rFonts w:ascii="宋体" w:hAnsi="宋体" w:cs="宋体"/>
          <w:color w:val="auto"/>
          <w:sz w:val="21"/>
          <w:szCs w:val="21"/>
          <w:highlight w:val="none"/>
        </w:rPr>
      </w:pPr>
      <w:r>
        <w:rPr>
          <w:rFonts w:hint="eastAsia" w:ascii="宋体" w:hAnsi="宋体"/>
          <w:color w:val="auto"/>
          <w:spacing w:val="-6"/>
          <w:kern w:val="0"/>
          <w:sz w:val="21"/>
          <w:szCs w:val="21"/>
          <w:highlight w:val="none"/>
        </w:rPr>
        <w:t>（八）根据《浙江省财政厅关于印发浙江省省级行政事业单位公款竞争性存放管理办法的通知》（浙财预执〔2021〕7号）的规定，已经招标人校领导班子集体研究决定，同意在本期招标定期存款到期后续存原中标银行1年，后一年度将不再重新组织招投标。续存原中标银行的定期存款利率符合国家政策要求且不低于省级行政事业单位在“浙江政府采购网”上公布的最近同期限中标利率。</w:t>
      </w:r>
    </w:p>
    <w:p w14:paraId="5361E9EA">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（九）基本要求：</w:t>
      </w:r>
    </w:p>
    <w:p w14:paraId="49CE4B0A">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次投标报价为一年定期存款年利率。以现行中国人民银行定期存款基准年利率为基数，填报加基点，定期存款年利率为定期存款基准年利率+基点。本期年利率设保底价为招标公告发布当日中国人民银行公布的整存整取的定期存款基准利率,定期存款基准年利率以实际公款存入日中国人民银行公布基准年利率为准。增加基点（BP）按现行利率政策规定范围填写。</w:t>
      </w:r>
    </w:p>
    <w:p w14:paraId="3F8D4892">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2.投标文件中承诺的基点值在整个合同执行期内固定不变，基准利率以中国人民银行公告的利率为准。</w:t>
      </w:r>
    </w:p>
    <w:p w14:paraId="35BE7421">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3.利息自存入之日起计算，存入时间由招标人根据实际情况决定。</w:t>
      </w:r>
    </w:p>
    <w:p w14:paraId="168A4A57">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4.允许招标人根据实际需要确定存单面值、提前支取部分或全部存款。</w:t>
      </w:r>
    </w:p>
    <w:p w14:paraId="615B518D">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时确定的针对本项目的服务机构是获得总行或在浙江省的最高级别机构唯一授权的分支机构。投标人与最终公款存放的网点一致（如不一致的，须在投标文件中明确最终公款存放的网点），服务期限内不得随意转移。</w:t>
      </w:r>
    </w:p>
    <w:p w14:paraId="6FFE3C92">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6.当中标人因自身原因放弃中标资格，招标人有权选择排名中标人后顺位一位的银行进行递补，以此类推。</w:t>
      </w:r>
    </w:p>
    <w:p w14:paraId="1AD693D1">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7.公款存放中标人如未履行当期协议相关义务，本次及今后2年不准参加招标人公款存放的投标。</w:t>
      </w:r>
    </w:p>
    <w:p w14:paraId="575568A2">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如因人民银行原因无法提供上年度（2023年度）的综合评价可提供2022年度的材料文件，并提供由上级机构出具的无法提供2023年度人民银行的综合评价的相关证明，出具机构对证明的真实性负责，不得虚假提供，虚假提供一经发现则取消中标资格。</w:t>
      </w:r>
    </w:p>
    <w:p w14:paraId="29A2C777">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9.日常服务包括但不限于：</w:t>
      </w:r>
    </w:p>
    <w:p w14:paraId="2A3030F3">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（1）指定专人负责定期存款相关服务；</w:t>
      </w:r>
    </w:p>
    <w:p w14:paraId="7C6C6379">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（2）及时上门提供定期账单，提供银行对账电子稿；</w:t>
      </w:r>
    </w:p>
    <w:p w14:paraId="6435638A">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（3）协助办理本项目的相关手续等；</w:t>
      </w:r>
    </w:p>
    <w:p w14:paraId="4BDBAFB4">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（4）及时按中标利率对公款资金进行计息和偿付，提前支取给予绿色通道快速处理；</w:t>
      </w:r>
    </w:p>
    <w:p w14:paraId="2945101B">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（5）及时告知银行出现的重大安全事项；</w:t>
      </w:r>
    </w:p>
    <w:p w14:paraId="57F3E534">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（6）如有开户，对账户的收支业务提供对账单上门服务。</w:t>
      </w:r>
    </w:p>
    <w:p w14:paraId="2082D38F">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10.投标人须在中标后按项目需要办理相关手续，并在合同约定的服务期限内按招标人要求提供服务，涉及存放金额和存放期限的，均由招标人自主确定，投标人不得做限制性规定，也不得降低服务质量和标准。</w:t>
      </w:r>
    </w:p>
    <w:p w14:paraId="41AE45A7">
      <w:pPr>
        <w:adjustRightInd w:val="0"/>
        <w:snapToGrid w:val="0"/>
        <w:spacing w:line="360" w:lineRule="auto"/>
        <w:ind w:firstLine="420" w:firstLineChars="200"/>
        <w:rPr>
          <w:rFonts w:ascii="宋体" w:hAnsi="宋体" w:cs="宋体"/>
          <w:color w:val="auto"/>
          <w:sz w:val="21"/>
          <w:szCs w:val="21"/>
          <w:highlight w:val="none"/>
        </w:rPr>
      </w:pPr>
    </w:p>
    <w:p w14:paraId="341A0A47">
      <w:pPr>
        <w:adjustRightInd w:val="0"/>
        <w:snapToGrid w:val="0"/>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注：</w:t>
      </w:r>
      <w:r>
        <w:rPr>
          <w:rFonts w:hint="eastAsia" w:ascii="宋体" w:hAnsi="宋体" w:cs="宋体"/>
          <w:color w:val="auto"/>
          <w:sz w:val="21"/>
          <w:szCs w:val="21"/>
          <w:highlight w:val="none"/>
        </w:rPr>
        <w:t>带“▲”的有关技术和商务条款为实质性条款，投标人必须做出实质性响应。</w:t>
      </w:r>
    </w:p>
    <w:p w14:paraId="2643C990">
      <w:pPr>
        <w:adjustRightInd w:val="0"/>
        <w:snapToGrid w:val="0"/>
        <w:spacing w:line="360" w:lineRule="auto"/>
        <w:ind w:firstLine="420" w:firstLineChars="200"/>
        <w:rPr>
          <w:rFonts w:ascii="宋体" w:hAnsi="宋体" w:cs="宋体"/>
          <w:color w:val="auto"/>
          <w:sz w:val="21"/>
          <w:szCs w:val="21"/>
          <w:highlight w:val="none"/>
        </w:rPr>
      </w:pPr>
    </w:p>
    <w:p w14:paraId="5760F0EE">
      <w:pPr>
        <w:spacing w:line="360" w:lineRule="auto"/>
        <w:jc w:val="center"/>
        <w:outlineLvl w:val="0"/>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b/>
          <w:color w:val="auto"/>
          <w:sz w:val="32"/>
          <w:szCs w:val="32"/>
          <w:highlight w:val="none"/>
        </w:rPr>
        <w:t>第三章  投标人须知</w:t>
      </w:r>
    </w:p>
    <w:p w14:paraId="17A8AFA4">
      <w:pPr>
        <w:spacing w:line="360" w:lineRule="auto"/>
        <w:jc w:val="center"/>
        <w:outlineLvl w:val="1"/>
        <w:rPr>
          <w:rFonts w:ascii="宋体" w:hAnsi="宋体"/>
          <w:b/>
          <w:color w:val="auto"/>
          <w:sz w:val="24"/>
          <w:highlight w:val="none"/>
        </w:rPr>
      </w:pPr>
      <w:r>
        <w:rPr>
          <w:rFonts w:hint="eastAsia" w:ascii="宋体" w:hAnsi="宋体"/>
          <w:b/>
          <w:color w:val="auto"/>
          <w:sz w:val="24"/>
          <w:highlight w:val="none"/>
        </w:rPr>
        <w:t>投标人</w:t>
      </w:r>
      <w:r>
        <w:rPr>
          <w:rFonts w:ascii="宋体" w:hAnsi="宋体"/>
          <w:b/>
          <w:color w:val="auto"/>
          <w:sz w:val="24"/>
          <w:highlight w:val="none"/>
        </w:rPr>
        <w:t>须知</w:t>
      </w:r>
      <w:r>
        <w:rPr>
          <w:rFonts w:hint="eastAsia" w:ascii="宋体" w:hAnsi="宋体"/>
          <w:b/>
          <w:color w:val="auto"/>
          <w:sz w:val="24"/>
          <w:highlight w:val="none"/>
        </w:rPr>
        <w:t>前附表</w:t>
      </w:r>
    </w:p>
    <w:tbl>
      <w:tblPr>
        <w:tblStyle w:val="24"/>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14:paraId="4BB9A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C688B4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vAlign w:val="center"/>
          </w:tcPr>
          <w:p w14:paraId="6460D8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内容、要求</w:t>
            </w:r>
          </w:p>
        </w:tc>
      </w:tr>
      <w:tr w14:paraId="64E40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BC90B2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8789" w:type="dxa"/>
            <w:tcBorders>
              <w:top w:val="single" w:color="auto" w:sz="4" w:space="0"/>
              <w:left w:val="single" w:color="auto" w:sz="4" w:space="0"/>
              <w:bottom w:val="single" w:color="auto" w:sz="4" w:space="0"/>
              <w:right w:val="single" w:color="auto" w:sz="4" w:space="0"/>
            </w:tcBorders>
            <w:vAlign w:val="center"/>
          </w:tcPr>
          <w:p w14:paraId="7B42F401">
            <w:pPr>
              <w:spacing w:line="360" w:lineRule="auto"/>
              <w:rPr>
                <w:rFonts w:ascii="宋体" w:hAnsi="宋体"/>
                <w:color w:val="auto"/>
                <w:sz w:val="21"/>
                <w:szCs w:val="21"/>
                <w:highlight w:val="none"/>
              </w:rPr>
            </w:pPr>
            <w:r>
              <w:rPr>
                <w:rFonts w:hint="eastAsia" w:ascii="宋体" w:hAnsi="宋体"/>
                <w:color w:val="auto"/>
                <w:sz w:val="21"/>
                <w:szCs w:val="21"/>
                <w:highlight w:val="none"/>
              </w:rPr>
              <w:t>招标人：《浙江人大》杂志社</w:t>
            </w:r>
          </w:p>
          <w:p w14:paraId="58B46580">
            <w:pPr>
              <w:spacing w:line="360" w:lineRule="auto"/>
              <w:rPr>
                <w:rFonts w:ascii="宋体" w:hAnsi="宋体"/>
                <w:color w:val="auto"/>
                <w:sz w:val="21"/>
                <w:szCs w:val="21"/>
                <w:highlight w:val="none"/>
              </w:rPr>
            </w:pPr>
            <w:r>
              <w:rPr>
                <w:rFonts w:hint="eastAsia" w:ascii="宋体" w:hAnsi="宋体"/>
                <w:color w:val="auto"/>
                <w:sz w:val="21"/>
                <w:szCs w:val="21"/>
                <w:highlight w:val="none"/>
              </w:rPr>
              <w:t>招标项目名称：《浙江人大》杂志社2024年公款竞争性存放</w:t>
            </w:r>
          </w:p>
        </w:tc>
      </w:tr>
      <w:tr w14:paraId="44C7B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3DB0C5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8789" w:type="dxa"/>
            <w:tcBorders>
              <w:top w:val="single" w:color="auto" w:sz="4" w:space="0"/>
              <w:left w:val="single" w:color="auto" w:sz="4" w:space="0"/>
              <w:bottom w:val="single" w:color="auto" w:sz="4" w:space="0"/>
              <w:right w:val="single" w:color="auto" w:sz="4" w:space="0"/>
            </w:tcBorders>
            <w:vAlign w:val="center"/>
          </w:tcPr>
          <w:p w14:paraId="7FC86BDA">
            <w:pPr>
              <w:spacing w:line="360" w:lineRule="auto"/>
              <w:rPr>
                <w:rFonts w:ascii="宋体" w:hAnsi="宋体"/>
                <w:color w:val="auto"/>
                <w:sz w:val="21"/>
                <w:szCs w:val="21"/>
                <w:highlight w:val="none"/>
              </w:rPr>
            </w:pPr>
            <w:r>
              <w:rPr>
                <w:rFonts w:hint="eastAsia" w:ascii="宋体" w:hAnsi="宋体"/>
                <w:color w:val="auto"/>
                <w:sz w:val="21"/>
                <w:szCs w:val="21"/>
                <w:highlight w:val="none"/>
              </w:rPr>
              <w:t>投标报价：</w:t>
            </w:r>
          </w:p>
          <w:p w14:paraId="5B097D47">
            <w:pPr>
              <w:spacing w:line="360" w:lineRule="auto"/>
              <w:rPr>
                <w:rFonts w:ascii="宋体" w:hAnsi="宋体"/>
                <w:color w:val="auto"/>
                <w:sz w:val="21"/>
                <w:szCs w:val="21"/>
                <w:highlight w:val="none"/>
              </w:rPr>
            </w:pPr>
            <w:r>
              <w:rPr>
                <w:rFonts w:hint="eastAsia" w:ascii="宋体" w:hAnsi="宋体"/>
                <w:color w:val="auto"/>
                <w:sz w:val="21"/>
                <w:szCs w:val="21"/>
                <w:highlight w:val="none"/>
              </w:rPr>
              <w:t>1.投标报价是指一次性报出不得更改的价格；</w:t>
            </w:r>
          </w:p>
          <w:p w14:paraId="6D48D61E">
            <w:pPr>
              <w:spacing w:line="360" w:lineRule="auto"/>
              <w:rPr>
                <w:rFonts w:ascii="宋体" w:hAnsi="宋体"/>
                <w:color w:val="auto"/>
                <w:sz w:val="21"/>
                <w:szCs w:val="21"/>
                <w:highlight w:val="none"/>
              </w:rPr>
            </w:pPr>
            <w:r>
              <w:rPr>
                <w:rFonts w:hint="eastAsia" w:ascii="宋体" w:hAnsi="宋体"/>
                <w:color w:val="auto"/>
                <w:sz w:val="21"/>
                <w:szCs w:val="21"/>
                <w:highlight w:val="none"/>
              </w:rPr>
              <w:t>2.本次投标</w:t>
            </w:r>
            <w:r>
              <w:rPr>
                <w:rFonts w:hint="eastAsia" w:ascii="宋体" w:hAnsi="宋体" w:cs="宋体"/>
                <w:color w:val="auto"/>
                <w:sz w:val="21"/>
                <w:szCs w:val="21"/>
                <w:highlight w:val="none"/>
              </w:rPr>
              <w:t>采用</w:t>
            </w:r>
            <w:r>
              <w:rPr>
                <w:rFonts w:hint="eastAsia" w:ascii="宋体" w:hAnsi="宋体"/>
                <w:color w:val="auto"/>
                <w:sz w:val="21"/>
                <w:szCs w:val="21"/>
                <w:highlight w:val="none"/>
              </w:rPr>
              <w:t>一年定期存款年利率报价。</w:t>
            </w:r>
          </w:p>
        </w:tc>
      </w:tr>
      <w:tr w14:paraId="43121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D5D9010">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14:paraId="64FE43CD">
            <w:pPr>
              <w:spacing w:line="360" w:lineRule="auto"/>
              <w:rPr>
                <w:rFonts w:ascii="宋体" w:hAnsi="宋体"/>
                <w:color w:val="auto"/>
                <w:sz w:val="21"/>
                <w:szCs w:val="21"/>
                <w:highlight w:val="none"/>
              </w:rPr>
            </w:pPr>
            <w:r>
              <w:rPr>
                <w:rFonts w:hint="eastAsia" w:ascii="宋体" w:hAnsi="宋体"/>
                <w:color w:val="auto"/>
                <w:sz w:val="21"/>
                <w:szCs w:val="21"/>
                <w:highlight w:val="none"/>
              </w:rPr>
              <w:t>投标费用：</w:t>
            </w:r>
          </w:p>
          <w:p w14:paraId="3426C738">
            <w:pPr>
              <w:spacing w:line="360" w:lineRule="auto"/>
              <w:rPr>
                <w:rFonts w:ascii="宋体" w:hAnsi="宋体"/>
                <w:color w:val="auto"/>
                <w:sz w:val="21"/>
                <w:szCs w:val="21"/>
                <w:highlight w:val="none"/>
              </w:rPr>
            </w:pPr>
            <w:r>
              <w:rPr>
                <w:rFonts w:hint="eastAsia" w:ascii="宋体" w:hAnsi="宋体"/>
                <w:color w:val="auto"/>
                <w:sz w:val="21"/>
                <w:szCs w:val="21"/>
                <w:highlight w:val="none"/>
              </w:rPr>
              <w:t>1.不论投标结果如何，投标人均应自行承担所有与投标有关的全部费用；</w:t>
            </w:r>
          </w:p>
          <w:p w14:paraId="003E4FD1">
            <w:pPr>
              <w:spacing w:line="360" w:lineRule="auto"/>
              <w:rPr>
                <w:rFonts w:ascii="宋体" w:hAnsi="宋体"/>
                <w:color w:val="auto"/>
                <w:sz w:val="21"/>
                <w:szCs w:val="21"/>
                <w:highlight w:val="none"/>
              </w:rPr>
            </w:pPr>
            <w:r>
              <w:rPr>
                <w:rFonts w:hint="eastAsia" w:ascii="宋体" w:hAnsi="宋体"/>
                <w:color w:val="auto"/>
                <w:sz w:val="21"/>
                <w:szCs w:val="21"/>
                <w:highlight w:val="none"/>
              </w:rPr>
              <w:t>2.中标人在中标通知书发出后七个工作日内，向招标代理机构交纳代理服务费。</w:t>
            </w:r>
          </w:p>
        </w:tc>
      </w:tr>
      <w:tr w14:paraId="65A84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8682725">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14:paraId="016EA426">
            <w:pPr>
              <w:spacing w:line="360" w:lineRule="auto"/>
              <w:rPr>
                <w:rFonts w:ascii="宋体" w:hAnsi="宋体"/>
                <w:color w:val="auto"/>
                <w:sz w:val="21"/>
                <w:szCs w:val="21"/>
                <w:highlight w:val="none"/>
              </w:rPr>
            </w:pPr>
            <w:r>
              <w:rPr>
                <w:rFonts w:hint="eastAsia" w:ascii="宋体" w:hAnsi="宋体"/>
                <w:color w:val="auto"/>
                <w:sz w:val="21"/>
                <w:szCs w:val="21"/>
                <w:highlight w:val="none"/>
              </w:rPr>
              <w:t>投标文件份数：在线上传递交</w:t>
            </w:r>
            <w:r>
              <w:rPr>
                <w:rFonts w:hint="eastAsia" w:ascii="宋体" w:hAnsi="宋体" w:cs="宋体"/>
                <w:b/>
                <w:bCs/>
                <w:color w:val="auto"/>
                <w:sz w:val="21"/>
                <w:szCs w:val="21"/>
                <w:highlight w:val="none"/>
              </w:rPr>
              <w:t>。</w:t>
            </w:r>
          </w:p>
        </w:tc>
      </w:tr>
      <w:tr w14:paraId="376DA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3AFB62C">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8789" w:type="dxa"/>
            <w:tcBorders>
              <w:top w:val="single" w:color="auto" w:sz="4" w:space="0"/>
              <w:left w:val="single" w:color="auto" w:sz="4" w:space="0"/>
              <w:bottom w:val="single" w:color="auto" w:sz="4" w:space="0"/>
              <w:right w:val="single" w:color="auto" w:sz="4" w:space="0"/>
            </w:tcBorders>
            <w:vAlign w:val="center"/>
          </w:tcPr>
          <w:p w14:paraId="20441733">
            <w:pPr>
              <w:spacing w:line="360" w:lineRule="auto"/>
              <w:rPr>
                <w:rFonts w:ascii="宋体" w:hAnsi="宋体"/>
                <w:color w:val="auto"/>
                <w:sz w:val="21"/>
                <w:szCs w:val="21"/>
                <w:highlight w:val="none"/>
              </w:rPr>
            </w:pPr>
            <w:r>
              <w:rPr>
                <w:rFonts w:hint="eastAsia" w:ascii="宋体" w:hAnsi="宋体"/>
                <w:color w:val="auto"/>
                <w:sz w:val="21"/>
                <w:szCs w:val="21"/>
                <w:highlight w:val="none"/>
              </w:rPr>
              <w:t>投标</w:t>
            </w:r>
            <w:r>
              <w:rPr>
                <w:rFonts w:ascii="宋体" w:hAnsi="宋体"/>
                <w:color w:val="auto"/>
                <w:sz w:val="21"/>
                <w:szCs w:val="21"/>
                <w:highlight w:val="none"/>
              </w:rPr>
              <w:t>有效期</w:t>
            </w:r>
            <w:r>
              <w:rPr>
                <w:rFonts w:hint="eastAsia" w:ascii="宋体" w:hAnsi="宋体"/>
                <w:color w:val="auto"/>
                <w:sz w:val="21"/>
                <w:szCs w:val="21"/>
                <w:highlight w:val="none"/>
              </w:rPr>
              <w:t>：从提交投标文件的截止之日起90天。</w:t>
            </w:r>
          </w:p>
        </w:tc>
      </w:tr>
      <w:tr w14:paraId="722CB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BEA3830">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8789" w:type="dxa"/>
            <w:tcBorders>
              <w:top w:val="single" w:color="auto" w:sz="4" w:space="0"/>
              <w:left w:val="single" w:color="auto" w:sz="4" w:space="0"/>
              <w:bottom w:val="single" w:color="auto" w:sz="4" w:space="0"/>
              <w:right w:val="single" w:color="auto" w:sz="4" w:space="0"/>
            </w:tcBorders>
            <w:vAlign w:val="center"/>
          </w:tcPr>
          <w:p w14:paraId="03F17140">
            <w:pPr>
              <w:spacing w:line="360" w:lineRule="auto"/>
              <w:rPr>
                <w:rFonts w:ascii="宋体" w:hAnsi="宋体"/>
                <w:color w:val="auto"/>
                <w:sz w:val="21"/>
                <w:szCs w:val="21"/>
                <w:highlight w:val="none"/>
              </w:rPr>
            </w:pPr>
            <w:r>
              <w:rPr>
                <w:rFonts w:hint="eastAsia" w:ascii="宋体" w:hAnsi="宋体"/>
                <w:color w:val="auto"/>
                <w:sz w:val="21"/>
                <w:szCs w:val="21"/>
                <w:highlight w:val="none"/>
              </w:rPr>
              <w:t>评标办法及评分标准：详见第四章《评标办法及评分标准》。</w:t>
            </w:r>
          </w:p>
        </w:tc>
      </w:tr>
      <w:tr w14:paraId="022DE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48CADB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8789" w:type="dxa"/>
            <w:tcBorders>
              <w:top w:val="single" w:color="auto" w:sz="4" w:space="0"/>
              <w:left w:val="single" w:color="auto" w:sz="4" w:space="0"/>
              <w:bottom w:val="single" w:color="auto" w:sz="4" w:space="0"/>
              <w:right w:val="single" w:color="auto" w:sz="4" w:space="0"/>
            </w:tcBorders>
            <w:vAlign w:val="center"/>
          </w:tcPr>
          <w:p w14:paraId="6403E534">
            <w:pPr>
              <w:spacing w:line="360" w:lineRule="auto"/>
              <w:rPr>
                <w:rFonts w:ascii="宋体" w:hAnsi="宋体"/>
                <w:color w:val="auto"/>
                <w:sz w:val="21"/>
                <w:szCs w:val="21"/>
                <w:highlight w:val="none"/>
              </w:rPr>
            </w:pPr>
            <w:r>
              <w:rPr>
                <w:rFonts w:hint="eastAsia" w:ascii="宋体" w:hAnsi="宋体"/>
                <w:color w:val="auto"/>
                <w:sz w:val="21"/>
                <w:szCs w:val="21"/>
                <w:highlight w:val="none"/>
              </w:rPr>
              <w:t>评标结果公示：评标结果公示于浙江政府采购网（</w:t>
            </w:r>
            <w:r>
              <w:rPr>
                <w:rFonts w:hint="eastAsia"/>
                <w:color w:val="auto"/>
                <w:highlight w:val="none"/>
              </w:rPr>
              <w:fldChar w:fldCharType="begin"/>
            </w:r>
            <w:r>
              <w:rPr>
                <w:color w:val="auto"/>
                <w:highlight w:val="none"/>
              </w:rPr>
              <w:instrText xml:space="preserve"> HYPERLINK "http://www.zjzfcg.gov.cn/" </w:instrText>
            </w:r>
            <w:r>
              <w:rPr>
                <w:rFonts w:hint="eastAsia"/>
                <w:color w:val="auto"/>
                <w:highlight w:val="none"/>
              </w:rPr>
              <w:fldChar w:fldCharType="separate"/>
            </w:r>
            <w:r>
              <w:rPr>
                <w:rStyle w:val="30"/>
                <w:rFonts w:hint="eastAsia" w:ascii="宋体" w:hAnsi="宋体"/>
                <w:color w:val="auto"/>
                <w:sz w:val="21"/>
                <w:szCs w:val="21"/>
                <w:highlight w:val="none"/>
              </w:rPr>
              <w:t>http://www.z</w:t>
            </w:r>
            <w:bookmarkStart w:id="0" w:name="_Hlt495665241"/>
            <w:bookmarkStart w:id="1" w:name="_Hlt495665240"/>
            <w:r>
              <w:rPr>
                <w:rStyle w:val="30"/>
                <w:rFonts w:hint="eastAsia" w:ascii="宋体" w:hAnsi="宋体"/>
                <w:color w:val="auto"/>
                <w:sz w:val="21"/>
                <w:szCs w:val="21"/>
                <w:highlight w:val="none"/>
              </w:rPr>
              <w:t>j</w:t>
            </w:r>
            <w:bookmarkEnd w:id="0"/>
            <w:bookmarkEnd w:id="1"/>
            <w:r>
              <w:rPr>
                <w:rStyle w:val="30"/>
                <w:rFonts w:hint="eastAsia" w:ascii="宋体" w:hAnsi="宋体"/>
                <w:color w:val="auto"/>
                <w:sz w:val="21"/>
                <w:szCs w:val="21"/>
                <w:highlight w:val="none"/>
              </w:rPr>
              <w:t>zfcg.gov.cn</w:t>
            </w:r>
            <w:r>
              <w:rPr>
                <w:rStyle w:val="30"/>
                <w:rFonts w:hint="eastAsia" w:ascii="宋体" w:hAnsi="宋体"/>
                <w:color w:val="auto"/>
                <w:sz w:val="21"/>
                <w:szCs w:val="21"/>
                <w:highlight w:val="none"/>
              </w:rPr>
              <w:fldChar w:fldCharType="end"/>
            </w:r>
            <w:r>
              <w:rPr>
                <w:rFonts w:hint="eastAsia" w:ascii="宋体" w:hAnsi="宋体"/>
                <w:color w:val="auto"/>
                <w:sz w:val="21"/>
                <w:szCs w:val="21"/>
                <w:highlight w:val="none"/>
              </w:rPr>
              <w:t>）等相关网站或媒体。</w:t>
            </w:r>
          </w:p>
        </w:tc>
      </w:tr>
      <w:tr w14:paraId="3B35A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02BFAC9">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8789" w:type="dxa"/>
            <w:tcBorders>
              <w:top w:val="single" w:color="auto" w:sz="4" w:space="0"/>
              <w:left w:val="single" w:color="auto" w:sz="4" w:space="0"/>
              <w:bottom w:val="single" w:color="auto" w:sz="4" w:space="0"/>
              <w:right w:val="single" w:color="auto" w:sz="4" w:space="0"/>
            </w:tcBorders>
            <w:vAlign w:val="center"/>
          </w:tcPr>
          <w:p w14:paraId="6D8A7853">
            <w:pPr>
              <w:spacing w:line="360" w:lineRule="auto"/>
              <w:rPr>
                <w:rFonts w:ascii="宋体" w:hAnsi="宋体"/>
                <w:color w:val="auto"/>
                <w:sz w:val="21"/>
                <w:szCs w:val="21"/>
                <w:highlight w:val="none"/>
              </w:rPr>
            </w:pPr>
            <w:r>
              <w:rPr>
                <w:rFonts w:hint="eastAsia" w:ascii="宋体" w:hAnsi="宋体"/>
                <w:color w:val="auto"/>
                <w:sz w:val="21"/>
                <w:szCs w:val="21"/>
                <w:highlight w:val="none"/>
              </w:rPr>
              <w:t>签订协议：中标通知书发出后30日内。</w:t>
            </w:r>
          </w:p>
          <w:p w14:paraId="3759971F">
            <w:pPr>
              <w:spacing w:line="360" w:lineRule="auto"/>
              <w:rPr>
                <w:rFonts w:ascii="宋体" w:hAnsi="宋体"/>
                <w:color w:val="auto"/>
                <w:sz w:val="21"/>
                <w:szCs w:val="21"/>
                <w:highlight w:val="none"/>
              </w:rPr>
            </w:pPr>
            <w:r>
              <w:rPr>
                <w:rFonts w:hint="eastAsia" w:ascii="宋体" w:hAnsi="宋体"/>
                <w:color w:val="auto"/>
                <w:sz w:val="21"/>
                <w:szCs w:val="21"/>
                <w:highlight w:val="none"/>
              </w:rPr>
              <w:t>支付代理服务费：中标通知书发出后七个工作日内。</w:t>
            </w:r>
          </w:p>
        </w:tc>
      </w:tr>
      <w:tr w14:paraId="5B466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8FBA72F">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8789" w:type="dxa"/>
            <w:tcBorders>
              <w:top w:val="single" w:color="auto" w:sz="4" w:space="0"/>
              <w:left w:val="single" w:color="auto" w:sz="4" w:space="0"/>
              <w:bottom w:val="single" w:color="auto" w:sz="4" w:space="0"/>
              <w:right w:val="single" w:color="auto" w:sz="4" w:space="0"/>
            </w:tcBorders>
            <w:vAlign w:val="center"/>
          </w:tcPr>
          <w:p w14:paraId="7F629FD7">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定期存款存放银行出现以下情形，招标人及时提前收回定期存款，并有权拒绝其在以后2年内参与本单位公款</w:t>
            </w:r>
            <w:r>
              <w:rPr>
                <w:rFonts w:ascii="宋体" w:hAnsi="宋体"/>
                <w:color w:val="auto"/>
                <w:sz w:val="21"/>
                <w:szCs w:val="21"/>
                <w:highlight w:val="none"/>
              </w:rPr>
              <w:t>存放</w:t>
            </w:r>
            <w:r>
              <w:rPr>
                <w:rFonts w:hint="eastAsia" w:ascii="宋体" w:hAnsi="宋体"/>
                <w:color w:val="auto"/>
                <w:sz w:val="21"/>
                <w:szCs w:val="21"/>
                <w:highlight w:val="none"/>
              </w:rPr>
              <w:t>。</w:t>
            </w:r>
          </w:p>
          <w:p w14:paraId="571FC58F">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（一）出现资金安全事故、重大违法违规情况或财务状况恶化的；</w:t>
            </w:r>
          </w:p>
          <w:p w14:paraId="14B29E55">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（二）监管评级降低后低于人民银行上年度综合评价B级，监管部门认为存在较大运营风险的；</w:t>
            </w:r>
          </w:p>
          <w:p w14:paraId="129B39FC">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（三）进行不正当投标的；</w:t>
            </w:r>
          </w:p>
          <w:p w14:paraId="63B32075">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（四）没有按照中标协议承诺履行相应的责任和义务的；</w:t>
            </w:r>
          </w:p>
          <w:p w14:paraId="61ABFA9D">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（五）不能按规定将到期存款本息足额缴入单位账户的；</w:t>
            </w:r>
          </w:p>
          <w:p w14:paraId="0BB7C7CC">
            <w:pPr>
              <w:spacing w:line="360" w:lineRule="auto"/>
              <w:rPr>
                <w:rFonts w:ascii="宋体" w:hAnsi="宋体"/>
                <w:color w:val="auto"/>
                <w:sz w:val="21"/>
                <w:szCs w:val="21"/>
                <w:highlight w:val="none"/>
              </w:rPr>
            </w:pPr>
            <w:r>
              <w:rPr>
                <w:rFonts w:hint="eastAsia" w:ascii="宋体" w:hAnsi="宋体"/>
                <w:color w:val="auto"/>
                <w:sz w:val="21"/>
                <w:szCs w:val="21"/>
                <w:highlight w:val="none"/>
              </w:rPr>
              <w:t>（六）存在其他妨害资金安全行为的。</w:t>
            </w:r>
          </w:p>
        </w:tc>
      </w:tr>
    </w:tbl>
    <w:p w14:paraId="40BC8448">
      <w:pPr>
        <w:pStyle w:val="13"/>
        <w:spacing w:beforeLines="0" w:afterLines="0" w:line="360"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总则</w:t>
      </w:r>
    </w:p>
    <w:p w14:paraId="03A79DFF">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14:paraId="33996EED">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本招标文件适用于2024年公款竞争性存放的招标、评标、定标、验收、合同履约、付款等（法律、法规另有规定的，从其规定）。</w:t>
      </w:r>
    </w:p>
    <w:p w14:paraId="386E1A9B">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（二） 定义</w:t>
      </w:r>
    </w:p>
    <w:p w14:paraId="01C94742">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1.“招标人”系指《浙江人大》杂志社；</w:t>
      </w:r>
    </w:p>
    <w:p w14:paraId="0B2F9CB1">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2.“招标代理机构”系指组织本次招标的浙江求是招标代理有限公司；</w:t>
      </w:r>
    </w:p>
    <w:p w14:paraId="108B2495">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“投标人”系指是指响应招标、参加投标竞争的法人、其他组织；</w:t>
      </w:r>
    </w:p>
    <w:p w14:paraId="03746EB3">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w:t>
      </w:r>
      <w:r>
        <w:rPr>
          <w:rFonts w:hint="eastAsia" w:ascii="宋体" w:hAnsi="宋体"/>
          <w:color w:val="auto"/>
          <w:spacing w:val="-6"/>
          <w:sz w:val="21"/>
          <w:szCs w:val="21"/>
          <w:highlight w:val="none"/>
        </w:rPr>
        <w:t>“书面形式”包括信函、传真、电子邮件等；</w:t>
      </w:r>
    </w:p>
    <w:p w14:paraId="49254F2E">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5.“电子投标文件”系指通过政采云电子交易客户端（政采云投标客户端）完成投标文件编制后的投标文件；</w:t>
      </w:r>
    </w:p>
    <w:p w14:paraId="37D462ED">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6.“公章”除特殊说明外系指政采云电子交易客户端（政采云投标客户端）中投标人的电子签章或投标人公章；</w:t>
      </w:r>
    </w:p>
    <w:p w14:paraId="0F688B79">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7.“▲”系指实质性要求条款，投标人应当做出实质性响应。</w:t>
      </w:r>
    </w:p>
    <w:p w14:paraId="6DC7BB85">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招标方式</w:t>
      </w:r>
    </w:p>
    <w:p w14:paraId="08B4A62B">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本次招标采用公开招标方式进行。</w:t>
      </w:r>
    </w:p>
    <w:p w14:paraId="418CE361">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（四） 投标委托</w:t>
      </w:r>
    </w:p>
    <w:p w14:paraId="115414A9">
      <w:pPr>
        <w:spacing w:line="360" w:lineRule="auto"/>
        <w:ind w:firstLine="396" w:firstLineChars="200"/>
        <w:rPr>
          <w:color w:val="auto"/>
          <w:spacing w:val="-6"/>
          <w:sz w:val="21"/>
          <w:szCs w:val="21"/>
          <w:highlight w:val="none"/>
        </w:rPr>
      </w:pPr>
      <w:r>
        <w:rPr>
          <w:rFonts w:ascii="宋体" w:hAnsi="宋体"/>
          <w:color w:val="auto"/>
          <w:spacing w:val="-6"/>
          <w:sz w:val="21"/>
          <w:szCs w:val="21"/>
          <w:highlight w:val="none"/>
        </w:rPr>
        <w:t>如投标人代表不是企业负责人，须有</w:t>
      </w:r>
      <w:r>
        <w:rPr>
          <w:rFonts w:ascii="宋体" w:hAnsi="宋体"/>
          <w:bCs/>
          <w:color w:val="auto"/>
          <w:spacing w:val="-6"/>
          <w:sz w:val="21"/>
          <w:szCs w:val="21"/>
          <w:highlight w:val="none"/>
        </w:rPr>
        <w:t>附有企业负责人资格证明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的企业负责人授权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（详见投标文件格式）</w:t>
      </w:r>
      <w:r>
        <w:rPr>
          <w:rFonts w:hint="eastAsia"/>
          <w:color w:val="auto"/>
          <w:spacing w:val="-6"/>
          <w:sz w:val="21"/>
          <w:szCs w:val="21"/>
          <w:highlight w:val="none"/>
        </w:rPr>
        <w:t>。</w:t>
      </w:r>
    </w:p>
    <w:p w14:paraId="7FF2F5A0">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（五） 投标费用</w:t>
      </w:r>
    </w:p>
    <w:p w14:paraId="47849D9B">
      <w:pPr>
        <w:spacing w:line="360"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不论投标结果如何，投标人均应自行承担所有与投标有关的全部费用；</w:t>
      </w:r>
    </w:p>
    <w:p w14:paraId="2915BA82">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2.中标人在中标通知书发出后七个工作日内，每家入围银行向招标代理机构交纳代理服务费，</w:t>
      </w:r>
      <w:r>
        <w:rPr>
          <w:rFonts w:ascii="宋体" w:hAnsi="宋体"/>
          <w:color w:val="auto"/>
          <w:spacing w:val="-6"/>
          <w:sz w:val="21"/>
          <w:szCs w:val="21"/>
          <w:highlight w:val="none"/>
        </w:rPr>
        <w:t>收费标准：</w:t>
      </w:r>
      <w:r>
        <w:rPr>
          <w:rFonts w:hint="eastAsia" w:ascii="宋体" w:hAnsi="宋体"/>
          <w:color w:val="auto"/>
          <w:spacing w:val="-6"/>
          <w:sz w:val="21"/>
          <w:szCs w:val="21"/>
          <w:highlight w:val="none"/>
        </w:rPr>
        <w:t>人民币壹万元/家。</w:t>
      </w:r>
    </w:p>
    <w:p w14:paraId="11636A67">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（六） 联合体投标</w:t>
      </w:r>
    </w:p>
    <w:p w14:paraId="3A76287D">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本项目不接受联合体投标。</w:t>
      </w:r>
    </w:p>
    <w:p w14:paraId="4A1ED134">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（七） 转包</w:t>
      </w:r>
    </w:p>
    <w:p w14:paraId="4F1724DB">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本项目不允许转包。</w:t>
      </w:r>
    </w:p>
    <w:p w14:paraId="0A01C44D">
      <w:pPr>
        <w:spacing w:line="360" w:lineRule="auto"/>
        <w:rPr>
          <w:rFonts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14:paraId="1284B790">
      <w:pPr>
        <w:pStyle w:val="11"/>
        <w:spacing w:line="360"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.投标人应仔细阅读招标文件的所有内容，按照招标文件的要求提交投标文件，并对所提供的全部资料的真实性承担法律责任。</w:t>
      </w:r>
    </w:p>
    <w:p w14:paraId="5F37B912">
      <w:pPr>
        <w:pStyle w:val="11"/>
        <w:spacing w:line="360"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单位负责人为同一人或者存在直接控股、管理关系的不同供应商，不得参加同一合同项下的采购活动。</w:t>
      </w:r>
    </w:p>
    <w:p w14:paraId="70104C32">
      <w:pPr>
        <w:pStyle w:val="11"/>
        <w:spacing w:line="360" w:lineRule="auto"/>
        <w:ind w:firstLine="0"/>
        <w:jc w:val="center"/>
        <w:outlineLvl w:val="1"/>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、招标文件</w:t>
      </w:r>
    </w:p>
    <w:p w14:paraId="7B0E1FF4">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（一） 招标文件的构成。本招标文件由以下部分组成：</w:t>
      </w:r>
    </w:p>
    <w:p w14:paraId="42D64095">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1.招标公告</w:t>
      </w:r>
    </w:p>
    <w:p w14:paraId="73902B77">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2.招标需求</w:t>
      </w:r>
    </w:p>
    <w:p w14:paraId="01ED5B97">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3.投标人须知</w:t>
      </w:r>
    </w:p>
    <w:p w14:paraId="0954810E">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4.评标办法及评分标准</w:t>
      </w:r>
    </w:p>
    <w:p w14:paraId="2FDAF17F">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5.拟签订的协议文本</w:t>
      </w:r>
    </w:p>
    <w:p w14:paraId="4B8CE56A">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6.投标文件格式</w:t>
      </w:r>
    </w:p>
    <w:p w14:paraId="25D62AC1">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7.本项目招标文件的澄清、答复、修改、补充的内容</w:t>
      </w:r>
    </w:p>
    <w:p w14:paraId="7CB9E560">
      <w:pPr>
        <w:spacing w:line="360" w:lineRule="auto"/>
        <w:jc w:val="left"/>
        <w:rPr>
          <w:rFonts w:ascii="宋体" w:hAnsi="宋体"/>
          <w:color w:val="auto"/>
          <w:spacing w:val="-6"/>
          <w:sz w:val="24"/>
          <w:highlight w:val="none"/>
        </w:rPr>
      </w:pPr>
      <w:r>
        <w:rPr>
          <w:rFonts w:hint="eastAsia" w:ascii="宋体" w:hAnsi="宋体"/>
          <w:b/>
          <w:color w:val="auto"/>
          <w:spacing w:val="-6"/>
          <w:sz w:val="24"/>
          <w:highlight w:val="none"/>
        </w:rPr>
        <w:t>（二） 投标人的风险</w:t>
      </w:r>
    </w:p>
    <w:p w14:paraId="6B362403">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投标人没有按照招标文件要求提供全部资料，或者投标人没有对招标文件在各方面作出实质性响应是投标人的风险，并可能导致其投标被拒绝。</w:t>
      </w:r>
    </w:p>
    <w:p w14:paraId="61878B99">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招标文件的澄清与修改</w:t>
      </w:r>
    </w:p>
    <w:p w14:paraId="54AC93F1">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.招标人或者招标代理机构可以对已发出的招标文件进行必要的澄清或者修改</w:t>
      </w:r>
      <w:r>
        <w:rPr>
          <w:rFonts w:hint="eastAsia" w:hAnsi="宋体"/>
          <w:color w:val="auto"/>
          <w:spacing w:val="-6"/>
          <w:sz w:val="21"/>
          <w:szCs w:val="21"/>
          <w:highlight w:val="none"/>
        </w:rPr>
        <w:t>，</w:t>
      </w:r>
      <w:r>
        <w:rPr>
          <w:rFonts w:hAnsi="宋体"/>
          <w:color w:val="auto"/>
          <w:spacing w:val="-6"/>
          <w:sz w:val="21"/>
          <w:szCs w:val="21"/>
          <w:highlight w:val="none"/>
        </w:rPr>
        <w:t>澄清或者修改</w:t>
      </w:r>
      <w:r>
        <w:rPr>
          <w:rFonts w:hint="eastAsia" w:hAnsi="宋体"/>
          <w:color w:val="auto"/>
          <w:spacing w:val="-6"/>
          <w:sz w:val="21"/>
          <w:szCs w:val="21"/>
          <w:highlight w:val="none"/>
        </w:rPr>
        <w:t>会</w:t>
      </w:r>
      <w:r>
        <w:rPr>
          <w:rFonts w:hAnsi="宋体"/>
          <w:color w:val="auto"/>
          <w:spacing w:val="-6"/>
          <w:sz w:val="21"/>
          <w:szCs w:val="21"/>
          <w:highlight w:val="none"/>
        </w:rPr>
        <w:t>在原公告发布媒体上发布澄清公告</w:t>
      </w:r>
      <w:r>
        <w:rPr>
          <w:rFonts w:hint="eastAsia" w:hAnsi="宋体"/>
          <w:color w:val="auto"/>
          <w:spacing w:val="-6"/>
          <w:sz w:val="21"/>
          <w:szCs w:val="21"/>
          <w:highlight w:val="none"/>
        </w:rPr>
        <w:t>，</w:t>
      </w:r>
      <w:r>
        <w:rPr>
          <w:rFonts w:hAnsi="宋体"/>
          <w:color w:val="auto"/>
          <w:spacing w:val="-6"/>
          <w:sz w:val="21"/>
          <w:szCs w:val="21"/>
          <w:highlight w:val="none"/>
        </w:rPr>
        <w:t>澄清或者修改的内容为招标文件的组成部分。</w:t>
      </w:r>
    </w:p>
    <w:p w14:paraId="6A3C8C20">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澄清或者修改的内容可能影响投标文件编制的，招标人或者招标代理机构会在投标截止时间至少5个</w:t>
      </w:r>
      <w:r>
        <w:rPr>
          <w:rFonts w:hAnsi="宋体"/>
          <w:color w:val="auto"/>
          <w:spacing w:val="-6"/>
          <w:sz w:val="21"/>
          <w:szCs w:val="21"/>
          <w:highlight w:val="none"/>
        </w:rPr>
        <w:t>工作</w:t>
      </w:r>
      <w:r>
        <w:rPr>
          <w:rFonts w:hint="eastAsia" w:hAnsi="宋体"/>
          <w:color w:val="auto"/>
          <w:spacing w:val="-6"/>
          <w:sz w:val="21"/>
          <w:szCs w:val="21"/>
          <w:highlight w:val="none"/>
        </w:rPr>
        <w:t>日前，以书面形式通知所有获取招标文件的潜在投标人；不足5个</w:t>
      </w:r>
      <w:r>
        <w:rPr>
          <w:rFonts w:hAnsi="宋体"/>
          <w:color w:val="auto"/>
          <w:spacing w:val="-6"/>
          <w:sz w:val="21"/>
          <w:szCs w:val="21"/>
          <w:highlight w:val="none"/>
        </w:rPr>
        <w:t>工作</w:t>
      </w:r>
      <w:r>
        <w:rPr>
          <w:rFonts w:hint="eastAsia" w:hAnsi="宋体"/>
          <w:color w:val="auto"/>
          <w:spacing w:val="-6"/>
          <w:sz w:val="21"/>
          <w:szCs w:val="21"/>
          <w:highlight w:val="none"/>
        </w:rPr>
        <w:t>日的，招标人或者招标代理机构会顺延提交投标文件的截止时间。</w:t>
      </w:r>
    </w:p>
    <w:p w14:paraId="2FAA9CDC">
      <w:pPr>
        <w:pStyle w:val="11"/>
        <w:spacing w:line="360"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1EACCC3B">
      <w:pPr>
        <w:pStyle w:val="11"/>
        <w:spacing w:line="360" w:lineRule="auto"/>
        <w:ind w:firstLine="0"/>
        <w:jc w:val="center"/>
        <w:outlineLvl w:val="1"/>
        <w:rPr>
          <w:rFonts w:hAnsi="宋体"/>
          <w:color w:val="auto"/>
          <w:spacing w:val="-6"/>
          <w:sz w:val="21"/>
          <w:szCs w:val="21"/>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投标文件的编制</w:t>
      </w:r>
    </w:p>
    <w:p w14:paraId="69C6FF7E">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（一） 投标文件的组成</w:t>
      </w:r>
    </w:p>
    <w:p w14:paraId="44CEF02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投标文件由：资格文件、报价文件、商务和技术文件组成（格式详见招标文件第六章）。</w:t>
      </w:r>
    </w:p>
    <w:p w14:paraId="663B77FD">
      <w:pPr>
        <w:spacing w:line="360" w:lineRule="auto"/>
        <w:ind w:firstLine="398" w:firstLineChars="200"/>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1.资格文件（报名登记部分）：</w:t>
      </w:r>
    </w:p>
    <w:p w14:paraId="5602B9C3">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（1）有效的法人或者其他组织的营业执照等证明文件（扫描件加盖公章）、中华人民共和国金融许可证（扫描件加盖公章）</w:t>
      </w:r>
    </w:p>
    <w:p w14:paraId="779649A0">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（2）中标后对本项目指定的一家杭州市区分支机构作为存款银行的承诺书，承诺在合同期内不得随意转移（包含但不限于杭分支机构的地址，联系人等信息）（格式自拟）</w:t>
      </w:r>
    </w:p>
    <w:p w14:paraId="288C4EE6">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（3）参加采购活动前3年内在经营活动中没有重大违法记录的书面声明（格式自拟）</w:t>
      </w:r>
    </w:p>
    <w:p w14:paraId="33DD781C">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（4）上一年度由人民银行杭州中心支行出具综合评价证明材料（</w:t>
      </w:r>
      <w:r>
        <w:rPr>
          <w:rFonts w:hint="eastAsia" w:ascii="宋体" w:hAnsi="宋体" w:cs="宋体"/>
          <w:color w:val="auto"/>
          <w:sz w:val="21"/>
          <w:szCs w:val="21"/>
          <w:highlight w:val="none"/>
        </w:rPr>
        <w:t>如因人民银行原因无法提供上年度（2023年度）的综合评价可提供2022年度的材料文件，并说明无法提供2023年度人民银行的综合评价的相关原因，出具机构对证明的真实性负责，不得虚假提供，虚假提供一经发现则取消中标资格。</w:t>
      </w:r>
      <w:r>
        <w:rPr>
          <w:rFonts w:hint="eastAsia" w:ascii="宋体" w:hAnsi="宋体"/>
          <w:color w:val="auto"/>
          <w:spacing w:val="-6"/>
          <w:sz w:val="21"/>
          <w:szCs w:val="21"/>
          <w:highlight w:val="none"/>
        </w:rPr>
        <w:t>）</w:t>
      </w:r>
    </w:p>
    <w:p w14:paraId="486F217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（5）提供投标人为省级分行的声明书或省级分行针对本项目的授权委托书（投标人为总行无需提供）</w:t>
      </w:r>
    </w:p>
    <w:p w14:paraId="6FB3F9B4">
      <w:pPr>
        <w:spacing w:line="360" w:lineRule="auto"/>
        <w:ind w:firstLine="398" w:firstLineChars="200"/>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2.报价文件：</w:t>
      </w:r>
    </w:p>
    <w:p w14:paraId="558D4E36">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（1）开标一览表</w:t>
      </w:r>
    </w:p>
    <w:p w14:paraId="6AF572B6">
      <w:pPr>
        <w:snapToGrid w:val="0"/>
        <w:spacing w:line="360"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商务和技术文件：</w:t>
      </w:r>
    </w:p>
    <w:p w14:paraId="6C320BBF">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（1）投标函</w:t>
      </w:r>
    </w:p>
    <w:p w14:paraId="43DD4ADC">
      <w:pPr>
        <w:spacing w:line="360" w:lineRule="auto"/>
        <w:ind w:firstLine="396" w:firstLineChars="200"/>
        <w:rPr>
          <w:rFonts w:ascii="宋体" w:hAnsi="宋体"/>
          <w:b/>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企业负责人资格证明书</w:t>
      </w:r>
    </w:p>
    <w:p w14:paraId="2828FF8E">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（3）企业负责人授权委托书</w:t>
      </w:r>
    </w:p>
    <w:p w14:paraId="1E4531AB">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（4）投标声明书</w:t>
      </w:r>
    </w:p>
    <w:p w14:paraId="2212A6C0">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（5）廉政承诺书</w:t>
      </w:r>
    </w:p>
    <w:p w14:paraId="0E1F1121">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（6）服务</w:t>
      </w:r>
      <w:r>
        <w:rPr>
          <w:rFonts w:ascii="宋体" w:hAnsi="宋体"/>
          <w:color w:val="auto"/>
          <w:spacing w:val="-6"/>
          <w:sz w:val="21"/>
          <w:szCs w:val="21"/>
          <w:highlight w:val="none"/>
        </w:rPr>
        <w:t>承诺对照表</w:t>
      </w:r>
    </w:p>
    <w:p w14:paraId="5CB63521">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（7）以往金融服务支持情况（需经《浙江人大》杂志社认定）</w:t>
      </w:r>
    </w:p>
    <w:p w14:paraId="0C48A5BB">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（8）提前用款承诺</w:t>
      </w:r>
    </w:p>
    <w:p w14:paraId="121C9367">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（9）服务方案及支持建设</w:t>
      </w:r>
    </w:p>
    <w:p w14:paraId="120950E6">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（二） 投标文件的签署和份数</w:t>
      </w:r>
    </w:p>
    <w:p w14:paraId="5390604A">
      <w:pPr>
        <w:spacing w:line="360" w:lineRule="auto"/>
        <w:ind w:firstLine="396" w:firstLineChars="200"/>
        <w:jc w:val="left"/>
        <w:rPr>
          <w:rFonts w:ascii="宋体" w:hAnsi="宋体"/>
          <w:b/>
          <w:bCs/>
          <w:color w:val="auto"/>
          <w:spacing w:val="-6"/>
          <w:sz w:val="21"/>
          <w:szCs w:val="21"/>
          <w:highlight w:val="none"/>
        </w:rPr>
      </w:pPr>
      <w:r>
        <w:rPr>
          <w:rFonts w:hint="eastAsia" w:ascii="宋体" w:hAnsi="宋体"/>
          <w:color w:val="auto"/>
          <w:spacing w:val="-6"/>
          <w:sz w:val="21"/>
          <w:szCs w:val="21"/>
          <w:highlight w:val="none"/>
        </w:rPr>
        <w:t>1.投标人应按照招标文件和政府采购云平台的要求，根据投标文件的组成规定的内容及顺序通过政采云电子交易客户端（政采云投标客户端）编制投标文件，投标文件内容不完整、编排混乱导致投标文件被误读、漏读或者查找不到相关内容的，是投标人的责任。</w:t>
      </w:r>
      <w:r>
        <w:rPr>
          <w:rFonts w:hint="eastAsia" w:ascii="宋体" w:hAnsi="宋体"/>
          <w:b/>
          <w:bCs/>
          <w:color w:val="auto"/>
          <w:spacing w:val="-6"/>
          <w:sz w:val="21"/>
          <w:szCs w:val="21"/>
          <w:highlight w:val="none"/>
        </w:rPr>
        <w:t>其中资格文件、商务技术文件中不得出现投标报价，如因投标人原因提前泄露投标报价，是投标人的责任。</w:t>
      </w:r>
    </w:p>
    <w:p w14:paraId="55493CA4">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2.投标文件须由投标人在规定位置加盖公章并由投标人</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签署，投标人应写全称。</w:t>
      </w:r>
    </w:p>
    <w:p w14:paraId="60199C24">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3.投标文件不得涂改，若有修改错漏处，须由投标人代表签字并加盖公章。投标文件因字迹潦草或表达不清所引起的后果由投标人负责。</w:t>
      </w:r>
    </w:p>
    <w:p w14:paraId="70FC6E39">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4.投标文件份数：</w:t>
      </w:r>
    </w:p>
    <w:p w14:paraId="5EEF0B4B">
      <w:pPr>
        <w:spacing w:line="360"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电子投标文件：政府采购云平台在线上传一份。</w:t>
      </w:r>
    </w:p>
    <w:p w14:paraId="6F9C15A6">
      <w:pPr>
        <w:spacing w:line="360" w:lineRule="auto"/>
        <w:ind w:firstLine="422" w:firstLineChars="200"/>
        <w:jc w:val="left"/>
        <w:rPr>
          <w:rFonts w:ascii="宋体" w:hAnsi="宋体"/>
          <w:b/>
          <w:bCs/>
          <w:color w:val="auto"/>
          <w:sz w:val="21"/>
          <w:szCs w:val="21"/>
          <w:highlight w:val="none"/>
        </w:rPr>
      </w:pPr>
      <w:r>
        <w:rPr>
          <w:rFonts w:hint="eastAsia" w:ascii="宋体" w:hAnsi="宋体"/>
          <w:b/>
          <w:bCs/>
          <w:color w:val="auto"/>
          <w:sz w:val="21"/>
          <w:szCs w:val="21"/>
          <w:highlight w:val="none"/>
        </w:rPr>
        <w:t>备注：</w:t>
      </w:r>
    </w:p>
    <w:p w14:paraId="70734F09">
      <w:pPr>
        <w:spacing w:line="360" w:lineRule="auto"/>
        <w:ind w:firstLine="422" w:firstLineChars="200"/>
        <w:jc w:val="left"/>
        <w:rPr>
          <w:rFonts w:ascii="宋体" w:hAnsi="宋体"/>
          <w:b/>
          <w:color w:val="auto"/>
          <w:spacing w:val="-6"/>
          <w:sz w:val="24"/>
          <w:highlight w:val="none"/>
        </w:rPr>
      </w:pPr>
      <w:r>
        <w:rPr>
          <w:rFonts w:hint="eastAsia" w:ascii="宋体" w:hAnsi="宋体"/>
          <w:b/>
          <w:bCs/>
          <w:color w:val="auto"/>
          <w:sz w:val="21"/>
          <w:szCs w:val="21"/>
          <w:highlight w:val="none"/>
        </w:rPr>
        <w:t>投标人可通过浙江省“电子交易/不见面开评标”学习专题提前进行专题学习，熟悉操作，避免影响采购活动（</w:t>
      </w:r>
      <w:r>
        <w:rPr>
          <w:rFonts w:hint="eastAsia"/>
          <w:color w:val="auto"/>
          <w:highlight w:val="none"/>
        </w:rPr>
        <w:fldChar w:fldCharType="begin"/>
      </w:r>
      <w:r>
        <w:rPr>
          <w:color w:val="auto"/>
          <w:highlight w:val="none"/>
        </w:rPr>
        <w:instrText xml:space="preserve"> HYPERLINK "https://edu.zcygov.cn/luban/e-biding" </w:instrText>
      </w:r>
      <w:r>
        <w:rPr>
          <w:rFonts w:hint="eastAsia"/>
          <w:color w:val="auto"/>
          <w:highlight w:val="none"/>
        </w:rPr>
        <w:fldChar w:fldCharType="separate"/>
      </w:r>
      <w:r>
        <w:rPr>
          <w:rFonts w:hint="eastAsia" w:ascii="宋体" w:hAnsi="宋体"/>
          <w:b/>
          <w:bCs/>
          <w:color w:val="auto"/>
          <w:sz w:val="21"/>
          <w:szCs w:val="21"/>
          <w:highlight w:val="none"/>
        </w:rPr>
        <w:t>https://edu.zcygov.cn/luban/e-biding</w:t>
      </w:r>
      <w:r>
        <w:rPr>
          <w:rFonts w:hint="eastAsia" w:ascii="宋体" w:hAnsi="宋体"/>
          <w:b/>
          <w:bCs/>
          <w:color w:val="auto"/>
          <w:sz w:val="21"/>
          <w:szCs w:val="21"/>
          <w:highlight w:val="none"/>
        </w:rPr>
        <w:fldChar w:fldCharType="end"/>
      </w:r>
      <w:r>
        <w:rPr>
          <w:rFonts w:hint="eastAsia" w:ascii="宋体" w:hAnsi="宋体"/>
          <w:b/>
          <w:bCs/>
          <w:color w:val="auto"/>
          <w:sz w:val="21"/>
          <w:szCs w:val="21"/>
          <w:highlight w:val="none"/>
        </w:rPr>
        <w:t>）。</w:t>
      </w:r>
    </w:p>
    <w:p w14:paraId="0A2B0101">
      <w:pPr>
        <w:spacing w:line="360" w:lineRule="auto"/>
        <w:jc w:val="left"/>
        <w:outlineLvl w:val="2"/>
        <w:rPr>
          <w:rFonts w:ascii="宋体" w:hAnsi="宋体"/>
          <w:b/>
          <w:color w:val="auto"/>
          <w:spacing w:val="-6"/>
          <w:sz w:val="24"/>
          <w:highlight w:val="none"/>
        </w:rPr>
      </w:pPr>
      <w:r>
        <w:rPr>
          <w:rFonts w:hint="eastAsia" w:ascii="宋体" w:hAnsi="宋体"/>
          <w:b/>
          <w:color w:val="auto"/>
          <w:spacing w:val="-6"/>
          <w:sz w:val="24"/>
          <w:highlight w:val="none"/>
        </w:rPr>
        <w:t>（三）投标文件的上传、递交、修改和撤回</w:t>
      </w:r>
    </w:p>
    <w:p w14:paraId="4C4EDCA6">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1.投标文件的上传、递交：</w:t>
      </w:r>
    </w:p>
    <w:p w14:paraId="7EC43FC7">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1）电子投标文件的上传：</w:t>
      </w:r>
    </w:p>
    <w:p w14:paraId="5F6733DC">
      <w:pPr>
        <w:spacing w:line="360" w:lineRule="auto"/>
        <w:ind w:firstLine="396" w:firstLineChars="200"/>
        <w:jc w:val="left"/>
        <w:rPr>
          <w:rFonts w:ascii="宋体" w:hAnsi="宋体"/>
          <w:color w:val="auto"/>
          <w:spacing w:val="-6"/>
          <w:sz w:val="21"/>
          <w:szCs w:val="21"/>
          <w:highlight w:val="none"/>
        </w:rPr>
      </w:pPr>
      <w:r>
        <w:rPr>
          <w:rFonts w:hint="eastAsia" w:hAnsi="宋体"/>
          <w:color w:val="auto"/>
          <w:spacing w:val="-6"/>
          <w:sz w:val="21"/>
          <w:szCs w:val="21"/>
          <w:highlight w:val="none"/>
        </w:rPr>
        <w:t>▲</w:t>
      </w:r>
      <w:r>
        <w:rPr>
          <w:rFonts w:hint="eastAsia" w:ascii="宋体" w:hAnsi="宋体"/>
          <w:color w:val="auto"/>
          <w:spacing w:val="-6"/>
          <w:sz w:val="21"/>
          <w:szCs w:val="21"/>
          <w:highlight w:val="none"/>
        </w:rPr>
        <w:t>a.投标人应在投标截止时间前将电子投标文件成功上传至政府采购云平台，否则投标无效；</w:t>
      </w:r>
    </w:p>
    <w:p w14:paraId="08E6264B">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b.电子投标文件成功上传后，投标人可自行打印投标文件接收回执。</w:t>
      </w:r>
    </w:p>
    <w:p w14:paraId="403EE259">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AB958BD">
      <w:pPr>
        <w:spacing w:line="360" w:lineRule="auto"/>
        <w:jc w:val="left"/>
        <w:rPr>
          <w:rFonts w:ascii="宋体" w:hAnsi="宋体"/>
          <w:color w:val="auto"/>
          <w:spacing w:val="-6"/>
          <w:sz w:val="24"/>
          <w:highlight w:val="none"/>
        </w:rPr>
      </w:pPr>
      <w:r>
        <w:rPr>
          <w:rFonts w:hint="eastAsia" w:ascii="宋体" w:hAnsi="宋体"/>
          <w:b/>
          <w:color w:val="auto"/>
          <w:spacing w:val="-6"/>
          <w:sz w:val="24"/>
          <w:highlight w:val="none"/>
        </w:rPr>
        <w:t>（四） 投标文件的语言及计量</w:t>
      </w:r>
    </w:p>
    <w:p w14:paraId="0062C0C6">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投标文件以及投标人与招标人或</w:t>
      </w:r>
      <w:r>
        <w:rPr>
          <w:rFonts w:ascii="宋体" w:hAnsi="宋体"/>
          <w:color w:val="auto"/>
          <w:spacing w:val="-6"/>
          <w:sz w:val="21"/>
          <w:szCs w:val="21"/>
          <w:highlight w:val="none"/>
        </w:rPr>
        <w:t>招标代理机构</w:t>
      </w:r>
      <w:r>
        <w:rPr>
          <w:rFonts w:hint="eastAsia" w:ascii="宋体" w:hAnsi="宋体"/>
          <w:color w:val="auto"/>
          <w:spacing w:val="-6"/>
          <w:sz w:val="21"/>
          <w:szCs w:val="21"/>
          <w:highlight w:val="none"/>
        </w:rPr>
        <w:t>就有关投标事宜的所有来往函电，均应以中文汉语书写。除签名、盖章、专用名称等特殊情形外，以中文汉语以外的文字表述的投标文件视同未提供（有中文汉语说明的除外）。</w:t>
      </w:r>
    </w:p>
    <w:p w14:paraId="1892FB52">
      <w:pPr>
        <w:spacing w:line="360" w:lineRule="auto"/>
        <w:jc w:val="left"/>
        <w:rPr>
          <w:rFonts w:ascii="宋体" w:hAnsi="宋体"/>
          <w:color w:val="auto"/>
          <w:spacing w:val="-6"/>
          <w:sz w:val="24"/>
          <w:highlight w:val="none"/>
        </w:rPr>
      </w:pPr>
      <w:r>
        <w:rPr>
          <w:rFonts w:hint="eastAsia" w:ascii="宋体" w:hAnsi="宋体"/>
          <w:b/>
          <w:color w:val="auto"/>
          <w:spacing w:val="-6"/>
          <w:sz w:val="24"/>
          <w:highlight w:val="none"/>
        </w:rPr>
        <w:t>（五） 投标报价</w:t>
      </w:r>
    </w:p>
    <w:p w14:paraId="535273C6">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1.本次投标采用一年定期存款年利率报价。</w:t>
      </w:r>
    </w:p>
    <w:p w14:paraId="418C72D8">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2.投标报价是指一次性报出不得更改的价格</w:t>
      </w:r>
      <w:r>
        <w:rPr>
          <w:rFonts w:hint="eastAsia" w:ascii="宋体" w:hAnsi="宋体"/>
          <w:color w:val="auto"/>
          <w:sz w:val="21"/>
          <w:szCs w:val="21"/>
          <w:highlight w:val="none"/>
        </w:rPr>
        <w:t>，</w:t>
      </w:r>
      <w:r>
        <w:rPr>
          <w:rFonts w:ascii="宋体" w:hAnsi="宋体"/>
          <w:color w:val="auto"/>
          <w:sz w:val="21"/>
          <w:szCs w:val="21"/>
          <w:highlight w:val="none"/>
        </w:rPr>
        <w:t>投标报价应按招标文件中相关附表格式填写</w:t>
      </w:r>
      <w:r>
        <w:rPr>
          <w:rFonts w:hint="eastAsia" w:ascii="宋体" w:hAnsi="宋体"/>
          <w:color w:val="auto"/>
          <w:sz w:val="21"/>
          <w:szCs w:val="21"/>
          <w:highlight w:val="none"/>
        </w:rPr>
        <w:t>。</w:t>
      </w:r>
    </w:p>
    <w:p w14:paraId="72FBBF4F">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投标文件只允许有一个报价，有选择的报价将不予接受。</w:t>
      </w:r>
    </w:p>
    <w:p w14:paraId="65975692">
      <w:pPr>
        <w:pStyle w:val="5"/>
        <w:widowControl w:val="0"/>
        <w:numPr>
          <w:ilvl w:val="0"/>
          <w:numId w:val="0"/>
        </w:numPr>
        <w:spacing w:afterLines="0" w:line="360" w:lineRule="auto"/>
        <w:ind w:left="327" w:hanging="327"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投标有效期</w:t>
      </w:r>
    </w:p>
    <w:p w14:paraId="7A52E680">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从提交投标文件的截止之日起90天。</w:t>
      </w:r>
    </w:p>
    <w:p w14:paraId="7CD241AF">
      <w:pPr>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在原投标有效期满之前，如果出现特殊情况，招标人</w:t>
      </w:r>
      <w:r>
        <w:rPr>
          <w:rFonts w:ascii="宋体" w:hAnsi="宋体"/>
          <w:color w:val="auto"/>
          <w:spacing w:val="-6"/>
          <w:sz w:val="21"/>
          <w:szCs w:val="21"/>
          <w:highlight w:val="none"/>
        </w:rPr>
        <w:t>或</w:t>
      </w:r>
      <w:r>
        <w:rPr>
          <w:rFonts w:hint="eastAsia" w:ascii="宋体" w:hAnsi="宋体"/>
          <w:color w:val="auto"/>
          <w:spacing w:val="-6"/>
          <w:sz w:val="21"/>
          <w:szCs w:val="21"/>
          <w:highlight w:val="none"/>
        </w:rPr>
        <w:t>招标代理机构以书面形式通知投标人延长投标有效期。</w:t>
      </w:r>
    </w:p>
    <w:p w14:paraId="42F34F4E">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（七） 投标无效的情形</w:t>
      </w:r>
    </w:p>
    <w:p w14:paraId="436BBB0C">
      <w:pPr>
        <w:widowControl/>
        <w:spacing w:line="360"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在资格审查时，如发现下列情形之一的，投标文件将被视为无效：</w:t>
      </w:r>
    </w:p>
    <w:p w14:paraId="30B8BCA1">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招标</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14:paraId="5AD39A18">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（2）投标人不具备招标文件中规定的资格要求的。</w:t>
      </w:r>
    </w:p>
    <w:p w14:paraId="7C04E077">
      <w:pPr>
        <w:spacing w:line="360"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时，如发现下列情形之一的，投标文件将被视为无效：</w:t>
      </w:r>
    </w:p>
    <w:p w14:paraId="160BF2F0">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14:paraId="7F66480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（2）未提供或未按要求提供投标函、企业负责人资格证明书、企业负责人授权委托书、投标声明书；</w:t>
      </w:r>
    </w:p>
    <w:p w14:paraId="5AD13E9B">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明显不符合招标文件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w:t>
      </w:r>
      <w:r>
        <w:rPr>
          <w:rFonts w:ascii="宋体" w:hAnsi="宋体"/>
          <w:color w:val="auto"/>
          <w:spacing w:val="-6"/>
          <w:sz w:val="21"/>
          <w:szCs w:val="21"/>
          <w:highlight w:val="none"/>
        </w:rPr>
        <w:t>招标文件中标“▲”的项目发生实质性偏离的；</w:t>
      </w:r>
    </w:p>
    <w:p w14:paraId="7C99ED53">
      <w:pPr>
        <w:spacing w:line="360"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（4）投标文件含有招标人不能接受的附加条件的；</w:t>
      </w:r>
    </w:p>
    <w:p w14:paraId="15D2A57F">
      <w:pPr>
        <w:widowControl/>
        <w:spacing w:line="360"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（5）法律、法规和招标文件规定的其他无效情形。</w:t>
      </w:r>
    </w:p>
    <w:p w14:paraId="18DF0282">
      <w:pPr>
        <w:widowControl/>
        <w:spacing w:line="360"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3.在报价评审时，如发现下列情形之一的，投标文件将被视为无效：</w:t>
      </w:r>
    </w:p>
    <w:p w14:paraId="3A649891">
      <w:pPr>
        <w:spacing w:line="360"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（1）未按照招标文件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报价的；</w:t>
      </w:r>
    </w:p>
    <w:p w14:paraId="325F0FF0">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投标报价具有选择性，或者开标价格与投标文件承诺的优惠（折扣）价格不一致的；</w:t>
      </w:r>
    </w:p>
    <w:p w14:paraId="22B9A0F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（3）定期存款利率低于相同期限基准存款利率和违反国家利率政策规定的。</w:t>
      </w:r>
    </w:p>
    <w:p w14:paraId="6A42C600">
      <w:pPr>
        <w:widowControl/>
        <w:spacing w:line="360"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有下列情形之一的，视为投标人串通投标，其投标无效，由招标人或招标代理机构上报监督管理部门，视情列入不良行为记录名单，在一至三年内禁止参加采购活动：</w:t>
      </w:r>
    </w:p>
    <w:p w14:paraId="106B47EF">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（1）不同投标人的投标文件由同一单位或者个人编制；</w:t>
      </w:r>
    </w:p>
    <w:p w14:paraId="118C8BD2">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（2）不同投标人委托同一单位或者个人办理投标事宜；</w:t>
      </w:r>
    </w:p>
    <w:p w14:paraId="7699A6A2">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（3）不同投标人的投标文件载明的项目管理成员或者联系人员为同一人；</w:t>
      </w:r>
    </w:p>
    <w:p w14:paraId="31CCA426">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（4）不同投标人的投标文件异常一致或者投标报价呈规律性差异；</w:t>
      </w:r>
    </w:p>
    <w:p w14:paraId="7B64C9FB">
      <w:pPr>
        <w:widowControl/>
        <w:spacing w:line="360"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（5）不同投标人的投标文件相互混装；</w:t>
      </w:r>
    </w:p>
    <w:p w14:paraId="1AA74893">
      <w:pPr>
        <w:widowControl/>
        <w:spacing w:line="360" w:lineRule="auto"/>
        <w:ind w:firstLine="398" w:firstLineChars="200"/>
        <w:jc w:val="center"/>
        <w:outlineLvl w:val="1"/>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、开标</w:t>
      </w:r>
    </w:p>
    <w:p w14:paraId="70690DB7">
      <w:pPr>
        <w:pStyle w:val="11"/>
        <w:spacing w:line="360" w:lineRule="auto"/>
        <w:ind w:firstLine="0"/>
        <w:rPr>
          <w:rFonts w:hAnsi="宋体"/>
          <w:b/>
          <w:color w:val="auto"/>
          <w:spacing w:val="-6"/>
          <w:sz w:val="24"/>
          <w:szCs w:val="24"/>
          <w:highlight w:val="none"/>
        </w:rPr>
      </w:pPr>
      <w:r>
        <w:rPr>
          <w:rFonts w:hint="eastAsia" w:hAnsi="宋体"/>
          <w:b/>
          <w:color w:val="auto"/>
          <w:spacing w:val="-6"/>
          <w:sz w:val="24"/>
          <w:szCs w:val="24"/>
          <w:highlight w:val="none"/>
        </w:rPr>
        <w:t>（一） 开标准备</w:t>
      </w:r>
    </w:p>
    <w:p w14:paraId="785BEBC6">
      <w:pPr>
        <w:pStyle w:val="11"/>
        <w:spacing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采购组织机构将按照招标文件规定的时间通过“政府采购云平台”组织在线开标，所有供应商均应当准时在线参加。</w:t>
      </w:r>
    </w:p>
    <w:p w14:paraId="173759C8">
      <w:pPr>
        <w:pStyle w:val="11"/>
        <w:spacing w:line="360" w:lineRule="auto"/>
        <w:ind w:firstLine="0"/>
        <w:rPr>
          <w:rFonts w:hAnsi="宋体"/>
          <w:b/>
          <w:color w:val="auto"/>
          <w:spacing w:val="-6"/>
          <w:sz w:val="24"/>
          <w:szCs w:val="24"/>
          <w:highlight w:val="none"/>
        </w:rPr>
      </w:pPr>
      <w:r>
        <w:rPr>
          <w:rFonts w:hint="eastAsia" w:hAnsi="宋体"/>
          <w:b/>
          <w:color w:val="auto"/>
          <w:spacing w:val="-6"/>
          <w:sz w:val="24"/>
          <w:szCs w:val="24"/>
          <w:highlight w:val="none"/>
        </w:rPr>
        <w:t>（二） 开标程序</w:t>
      </w:r>
    </w:p>
    <w:p w14:paraId="3CAA45BA">
      <w:pPr>
        <w:pStyle w:val="11"/>
        <w:spacing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1.到投标截止时间，递交响应文件的投标人少于3家的，招标人将依法重新组织招标。评标期间，如通过</w:t>
      </w:r>
      <w:r>
        <w:rPr>
          <w:rFonts w:hint="eastAsia" w:hAnsi="宋体"/>
          <w:bCs/>
          <w:color w:val="auto"/>
          <w:spacing w:val="-6"/>
          <w:sz w:val="21"/>
          <w:szCs w:val="21"/>
          <w:highlight w:val="none"/>
        </w:rPr>
        <w:t>资格审查、</w:t>
      </w:r>
      <w:r>
        <w:rPr>
          <w:rFonts w:hint="eastAsia" w:hAnsi="宋体"/>
          <w:color w:val="auto"/>
          <w:spacing w:val="-6"/>
          <w:sz w:val="21"/>
          <w:szCs w:val="21"/>
          <w:highlight w:val="none"/>
        </w:rPr>
        <w:t>符合性审查的有效投标人少于3家的，招标人将重新组织招标。</w:t>
      </w:r>
    </w:p>
    <w:p w14:paraId="0F47C2CB">
      <w:pPr>
        <w:pStyle w:val="11"/>
        <w:spacing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2.所有的开标流程按照政采云平台关于公款竞争性存放的操作流程进行开标程序。</w:t>
      </w:r>
    </w:p>
    <w:p w14:paraId="2995F100">
      <w:pPr>
        <w:pStyle w:val="13"/>
        <w:spacing w:beforeLines="0" w:afterLines="0" w:line="360" w:lineRule="auto"/>
        <w:jc w:val="center"/>
        <w:outlineLvl w:val="1"/>
        <w:rPr>
          <w:rFonts w:hAnsi="宋体"/>
          <w:b/>
          <w:color w:val="auto"/>
          <w:spacing w:val="-6"/>
          <w:sz w:val="32"/>
          <w:szCs w:val="32"/>
          <w:highlight w:val="none"/>
        </w:rPr>
      </w:pPr>
      <w:r>
        <w:rPr>
          <w:rFonts w:hAnsi="宋体"/>
          <w:b/>
          <w:color w:val="auto"/>
          <w:spacing w:val="-6"/>
          <w:sz w:val="32"/>
          <w:szCs w:val="32"/>
          <w:highlight w:val="none"/>
        </w:rPr>
        <w:br w:type="page"/>
      </w:r>
      <w:r>
        <w:rPr>
          <w:rFonts w:hint="eastAsia" w:hAnsi="宋体"/>
          <w:b/>
          <w:color w:val="auto"/>
          <w:spacing w:val="-6"/>
          <w:sz w:val="32"/>
          <w:szCs w:val="32"/>
          <w:highlight w:val="none"/>
        </w:rPr>
        <w:t>五、评  标</w:t>
      </w:r>
    </w:p>
    <w:p w14:paraId="5914601C">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（一） 组建评标委员会</w:t>
      </w:r>
    </w:p>
    <w:p w14:paraId="2CB8AE9E">
      <w:pPr>
        <w:pStyle w:val="13"/>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本项目评标委员会</w:t>
      </w:r>
      <w:r>
        <w:rPr>
          <w:rFonts w:hint="eastAsia" w:hAnsi="宋体"/>
          <w:color w:val="auto"/>
          <w:spacing w:val="-6"/>
          <w:sz w:val="21"/>
          <w:szCs w:val="21"/>
          <w:highlight w:val="none"/>
        </w:rPr>
        <w:t>依据相关法律法规组建，成员人数为5人</w:t>
      </w:r>
      <w:r>
        <w:rPr>
          <w:rFonts w:hAnsi="宋体"/>
          <w:color w:val="auto"/>
          <w:spacing w:val="-6"/>
          <w:sz w:val="21"/>
          <w:szCs w:val="21"/>
          <w:highlight w:val="none"/>
        </w:rPr>
        <w:t>。</w:t>
      </w:r>
    </w:p>
    <w:p w14:paraId="1F32B044">
      <w:pPr>
        <w:pStyle w:val="11"/>
        <w:spacing w:line="360" w:lineRule="auto"/>
        <w:ind w:firstLine="0"/>
        <w:rPr>
          <w:rFonts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xml:space="preserve">） </w:t>
      </w:r>
      <w:r>
        <w:rPr>
          <w:rFonts w:hAnsi="宋体"/>
          <w:b/>
          <w:color w:val="auto"/>
          <w:spacing w:val="-6"/>
          <w:sz w:val="24"/>
          <w:szCs w:val="24"/>
          <w:highlight w:val="none"/>
        </w:rPr>
        <w:t>评标的方式</w:t>
      </w:r>
    </w:p>
    <w:p w14:paraId="7FB6493C">
      <w:pPr>
        <w:pStyle w:val="11"/>
        <w:spacing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本项目采用不公开方式评标，评标的依据为招标文件和投标文件。</w:t>
      </w:r>
    </w:p>
    <w:p w14:paraId="259F70D7">
      <w:pPr>
        <w:pStyle w:val="11"/>
        <w:spacing w:line="360" w:lineRule="auto"/>
        <w:ind w:firstLine="0"/>
        <w:rPr>
          <w:rFonts w:hAnsi="宋体"/>
          <w:b/>
          <w:color w:val="auto"/>
          <w:spacing w:val="-6"/>
          <w:sz w:val="24"/>
          <w:szCs w:val="24"/>
          <w:highlight w:val="none"/>
        </w:rPr>
      </w:pPr>
      <w:r>
        <w:rPr>
          <w:rFonts w:hAnsi="宋体"/>
          <w:b/>
          <w:color w:val="auto"/>
          <w:spacing w:val="-6"/>
          <w:sz w:val="24"/>
          <w:szCs w:val="24"/>
          <w:highlight w:val="none"/>
        </w:rPr>
        <w:t>（三）评标程序</w:t>
      </w:r>
    </w:p>
    <w:p w14:paraId="28BCAEC6">
      <w:pPr>
        <w:pStyle w:val="13"/>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1.形式审查</w:t>
      </w:r>
    </w:p>
    <w:p w14:paraId="6F22DCBD">
      <w:pPr>
        <w:pStyle w:val="13"/>
        <w:snapToGrid w:val="0"/>
        <w:spacing w:beforeLines="0" w:afterLines="0" w:line="360"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招标</w:t>
      </w:r>
      <w:r>
        <w:rPr>
          <w:rFonts w:hAnsi="宋体"/>
          <w:color w:val="auto"/>
          <w:spacing w:val="-6"/>
          <w:sz w:val="21"/>
          <w:szCs w:val="21"/>
          <w:highlight w:val="none"/>
        </w:rPr>
        <w:t>代理机构工作人员协助评标委员会对投标人的资格(投标报名时已进行资格审查的除外)和投标文件的完整性、合法性等进行审查。</w:t>
      </w:r>
    </w:p>
    <w:p w14:paraId="1B741D24">
      <w:pPr>
        <w:pStyle w:val="13"/>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2.实质审查与比较</w:t>
      </w:r>
    </w:p>
    <w:p w14:paraId="0820DA56">
      <w:pPr>
        <w:pStyle w:val="13"/>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（1）评标委员会审查投标文件的实质性内容是否符合招标文件的实质性要求。</w:t>
      </w:r>
    </w:p>
    <w:p w14:paraId="407D672F">
      <w:pPr>
        <w:pStyle w:val="13"/>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（2）评标委员会将根据投标人的投标文件进行审查、核对</w:t>
      </w:r>
      <w:r>
        <w:rPr>
          <w:rFonts w:hint="eastAsia" w:hAnsi="宋体"/>
          <w:color w:val="auto"/>
          <w:spacing w:val="-6"/>
          <w:sz w:val="21"/>
          <w:szCs w:val="21"/>
          <w:highlight w:val="none"/>
        </w:rPr>
        <w:t>，</w:t>
      </w:r>
      <w:r>
        <w:rPr>
          <w:rFonts w:hAnsi="宋体"/>
          <w:color w:val="auto"/>
          <w:spacing w:val="-6"/>
          <w:sz w:val="21"/>
          <w:szCs w:val="21"/>
          <w:highlight w:val="none"/>
        </w:rPr>
        <w:t>如有疑问</w:t>
      </w:r>
      <w:r>
        <w:rPr>
          <w:rFonts w:hint="eastAsia" w:hAnsi="宋体"/>
          <w:color w:val="auto"/>
          <w:spacing w:val="-6"/>
          <w:sz w:val="21"/>
          <w:szCs w:val="21"/>
          <w:highlight w:val="none"/>
        </w:rPr>
        <w:t>，</w:t>
      </w:r>
      <w:r>
        <w:rPr>
          <w:rFonts w:hAnsi="宋体"/>
          <w:color w:val="auto"/>
          <w:spacing w:val="-6"/>
          <w:sz w:val="21"/>
          <w:szCs w:val="21"/>
          <w:highlight w:val="none"/>
        </w:rPr>
        <w:t>将对投标人进行询标</w:t>
      </w:r>
      <w:r>
        <w:rPr>
          <w:rFonts w:hint="eastAsia" w:hAnsi="宋体"/>
          <w:color w:val="auto"/>
          <w:spacing w:val="-6"/>
          <w:sz w:val="21"/>
          <w:szCs w:val="21"/>
          <w:highlight w:val="none"/>
        </w:rPr>
        <w:t>，</w:t>
      </w:r>
      <w:r>
        <w:rPr>
          <w:rFonts w:hAnsi="宋体"/>
          <w:color w:val="auto"/>
          <w:spacing w:val="-6"/>
          <w:sz w:val="21"/>
          <w:szCs w:val="21"/>
          <w:highlight w:val="none"/>
        </w:rPr>
        <w:t>投标人要向评标委员会澄清有关问题</w:t>
      </w:r>
      <w:r>
        <w:rPr>
          <w:rFonts w:hint="eastAsia" w:hAnsi="宋体"/>
          <w:color w:val="auto"/>
          <w:spacing w:val="-6"/>
          <w:sz w:val="21"/>
          <w:szCs w:val="21"/>
          <w:highlight w:val="none"/>
        </w:rPr>
        <w:t>，</w:t>
      </w:r>
      <w:r>
        <w:rPr>
          <w:rFonts w:hAnsi="宋体"/>
          <w:color w:val="auto"/>
          <w:spacing w:val="-6"/>
          <w:sz w:val="21"/>
          <w:szCs w:val="21"/>
          <w:highlight w:val="none"/>
        </w:rPr>
        <w:t>并最终以书面形式进行答复。投标人代表拒绝澄清或者澄清的内容改变了投标文件的实质性内容的，评标委员会有权对该投标文件作出不利于投标人的评判。</w:t>
      </w:r>
    </w:p>
    <w:p w14:paraId="44DC603C">
      <w:pPr>
        <w:pStyle w:val="13"/>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（3）评标委员会</w:t>
      </w:r>
      <w:r>
        <w:rPr>
          <w:rFonts w:hint="eastAsia" w:hAnsi="宋体"/>
          <w:color w:val="auto"/>
          <w:spacing w:val="-6"/>
          <w:sz w:val="21"/>
          <w:szCs w:val="21"/>
          <w:highlight w:val="none"/>
        </w:rPr>
        <w:t>采用综合评分法评审打分，</w:t>
      </w:r>
      <w:r>
        <w:rPr>
          <w:rFonts w:hAnsi="宋体"/>
          <w:color w:val="auto"/>
          <w:spacing w:val="-6"/>
          <w:sz w:val="21"/>
          <w:szCs w:val="21"/>
          <w:highlight w:val="none"/>
        </w:rPr>
        <w:t>由指定专人进行计算复核。</w:t>
      </w:r>
    </w:p>
    <w:p w14:paraId="0F42D527">
      <w:pPr>
        <w:pStyle w:val="13"/>
        <w:snapToGrid w:val="0"/>
        <w:spacing w:beforeLines="0" w:afterLines="0" w:line="360" w:lineRule="auto"/>
        <w:ind w:firstLine="396" w:firstLineChars="200"/>
        <w:rPr>
          <w:rFonts w:hAnsi="宋体"/>
          <w:color w:val="auto"/>
          <w:spacing w:val="-6"/>
          <w:sz w:val="21"/>
          <w:szCs w:val="21"/>
          <w:highlight w:val="none"/>
        </w:rPr>
      </w:pPr>
      <w:r>
        <w:rPr>
          <w:rFonts w:hAnsi="宋体"/>
          <w:color w:val="auto"/>
          <w:spacing w:val="-6"/>
          <w:sz w:val="21"/>
          <w:szCs w:val="21"/>
          <w:highlight w:val="none"/>
        </w:rPr>
        <w:t>（4）评分汇总，撰写评标报告。</w:t>
      </w:r>
    </w:p>
    <w:p w14:paraId="541115CA">
      <w:pPr>
        <w:pStyle w:val="11"/>
        <w:spacing w:line="360" w:lineRule="auto"/>
        <w:ind w:firstLine="0"/>
        <w:rPr>
          <w:rFonts w:hAnsi="宋体"/>
          <w:b/>
          <w:color w:val="auto"/>
          <w:spacing w:val="-6"/>
          <w:sz w:val="24"/>
          <w:szCs w:val="24"/>
          <w:highlight w:val="none"/>
        </w:rPr>
      </w:pPr>
      <w:r>
        <w:rPr>
          <w:rFonts w:hAnsi="宋体"/>
          <w:b/>
          <w:color w:val="auto"/>
          <w:spacing w:val="-6"/>
          <w:sz w:val="24"/>
          <w:szCs w:val="24"/>
          <w:highlight w:val="none"/>
        </w:rPr>
        <w:t>（四）澄清问题的形式</w:t>
      </w:r>
    </w:p>
    <w:p w14:paraId="0236226C">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对于投标文件中含义不明确、同类问题表述不一致或者有明显文字和计算错误的内容，评标委员会应当以书面形式要求投标人作出必要的澄清、说明或者补正。</w:t>
      </w:r>
    </w:p>
    <w:p w14:paraId="45A48B12">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投标人的澄清、说明或者补正应当采用书面形式，并加盖公章，或者由企业负责人或其授权的代表签字。投标人的澄清、说明或者补正不得超出投标文件的范围或者改变投标文件的实质性内容。</w:t>
      </w:r>
    </w:p>
    <w:p w14:paraId="4976FC56">
      <w:pPr>
        <w:pStyle w:val="11"/>
        <w:spacing w:line="360" w:lineRule="auto"/>
        <w:ind w:firstLine="0"/>
        <w:rPr>
          <w:rFonts w:hAnsi="宋体"/>
          <w:b/>
          <w:color w:val="auto"/>
          <w:spacing w:val="-6"/>
          <w:sz w:val="24"/>
          <w:szCs w:val="24"/>
          <w:highlight w:val="none"/>
        </w:rPr>
      </w:pPr>
      <w:r>
        <w:rPr>
          <w:rFonts w:hAnsi="宋体"/>
          <w:b/>
          <w:color w:val="auto"/>
          <w:spacing w:val="-6"/>
          <w:sz w:val="24"/>
          <w:szCs w:val="24"/>
          <w:highlight w:val="none"/>
        </w:rPr>
        <w:t>（五）错误修正</w:t>
      </w:r>
    </w:p>
    <w:p w14:paraId="73A8B844">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投标文件如果出现计算上的错误，修正错误的原则如下：</w:t>
      </w:r>
    </w:p>
    <w:p w14:paraId="0E2ED80D">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两份开标一览表投标总价不一致的，以唱标的开标一览表为准；</w:t>
      </w:r>
    </w:p>
    <w:p w14:paraId="4AA2EC2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投标文件的大写金额和小写金额不一致的，以大写金额为准；</w:t>
      </w:r>
    </w:p>
    <w:p w14:paraId="27E547B3">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单价金额小数点有明显错位的，应以总价为准，并修改单价；</w:t>
      </w:r>
    </w:p>
    <w:p w14:paraId="66880EF7">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w:t>
      </w:r>
      <w:r>
        <w:rPr>
          <w:rFonts w:hint="eastAsia" w:ascii="宋体" w:hAnsi="宋体"/>
          <w:color w:val="auto"/>
          <w:spacing w:val="-6"/>
          <w:sz w:val="21"/>
          <w:szCs w:val="21"/>
          <w:highlight w:val="none"/>
        </w:rPr>
        <w:t>对不同文字文本投标文件的解释发生异议的，以中文文本为准。</w:t>
      </w:r>
    </w:p>
    <w:p w14:paraId="7C7E908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按上述修正错误的原则及方法调整或修正投标文件的投标报价，投标人同意并签字确认后，调整后的投标报价对投标人具有约束作用。如果投标人不接受修正后的报价，则其投标将被拒绝。</w:t>
      </w:r>
    </w:p>
    <w:p w14:paraId="5616A4CF">
      <w:pPr>
        <w:pStyle w:val="11"/>
        <w:spacing w:line="360"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六</w:t>
      </w:r>
      <w:r>
        <w:rPr>
          <w:rFonts w:hAnsi="宋体"/>
          <w:b/>
          <w:color w:val="auto"/>
          <w:spacing w:val="-6"/>
          <w:sz w:val="24"/>
          <w:szCs w:val="24"/>
          <w:highlight w:val="none"/>
        </w:rPr>
        <w:t>）评标原则和评标办法</w:t>
      </w:r>
    </w:p>
    <w:p w14:paraId="307E8CBD">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委员会成员应当按照客观、公正、审慎的原则，根据招标文件规定的评标程序、评标方法和评标标准进行独立评审。招标文件内容违反国家有关强制性规定的，评标委员会应当停止评标并向招标人或者招标代理机构说明情况。</w:t>
      </w:r>
    </w:p>
    <w:p w14:paraId="3ABDE37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评标中因评标委员会成员缺席、回避或者健康等特殊原因导致评标委员会组成不符合规定的，依法补足后继续评标。被更换的评标委员会成员所作出的评标意见无效。</w:t>
      </w:r>
    </w:p>
    <w:p w14:paraId="03C7F85B">
      <w:pPr>
        <w:spacing w:line="360"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3.</w:t>
      </w:r>
      <w:r>
        <w:rPr>
          <w:rFonts w:hint="eastAsia" w:ascii="宋体" w:hAnsi="宋体"/>
          <w:color w:val="auto"/>
          <w:spacing w:val="-6"/>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8406B7F">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4.评标办法。本项目评标办法是综合评分法，具体评标内容及评分标准等详见《第四章：评标办法及评分标准》。</w:t>
      </w:r>
    </w:p>
    <w:p w14:paraId="5EAC1DD8">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（七） 定 标</w:t>
      </w:r>
    </w:p>
    <w:p w14:paraId="1246DA37">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1.招标代理机构自评审结束之日起2个工作日内将评审报告送交招标人。招标人收到评审报告之日起</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个工作日内在评审报告推荐的中标候选人中按顺序确定中标人，招标人将根据评选委员会提交的评审报告及推荐的中标候选人，确定第一、二为中标人。</w:t>
      </w:r>
    </w:p>
    <w:p w14:paraId="6CCFAB8D">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2.招标代理机构自中标人确定之日起</w:t>
      </w:r>
      <w:r>
        <w:rPr>
          <w:rFonts w:ascii="宋体" w:hAnsi="宋体"/>
          <w:color w:val="auto"/>
          <w:spacing w:val="-6"/>
          <w:sz w:val="21"/>
          <w:szCs w:val="21"/>
          <w:highlight w:val="none"/>
        </w:rPr>
        <w:t>2</w:t>
      </w:r>
      <w:r>
        <w:rPr>
          <w:rFonts w:hint="eastAsia" w:ascii="宋体" w:hAnsi="宋体"/>
          <w:color w:val="auto"/>
          <w:spacing w:val="-6"/>
          <w:sz w:val="21"/>
          <w:szCs w:val="21"/>
          <w:highlight w:val="none"/>
        </w:rPr>
        <w:t>个工作日内，发出中标通知书，并在浙江政府采购网</w:t>
      </w:r>
      <w:r>
        <w:rPr>
          <w:rFonts w:hint="eastAsia" w:ascii="宋体" w:hAnsi="宋体"/>
          <w:color w:val="auto"/>
          <w:sz w:val="21"/>
          <w:szCs w:val="21"/>
          <w:highlight w:val="none"/>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olor w:val="auto"/>
          <w:sz w:val="21"/>
          <w:szCs w:val="21"/>
          <w:highlight w:val="none"/>
        </w:rPr>
        <w:t>http://www.zjzfcg.gov.cn</w:t>
      </w:r>
      <w:r>
        <w:rPr>
          <w:rFonts w:hint="eastAsia" w:ascii="宋体" w:hAnsi="宋体"/>
          <w:color w:val="auto"/>
          <w:sz w:val="21"/>
          <w:szCs w:val="21"/>
          <w:highlight w:val="none"/>
        </w:rPr>
        <w:fldChar w:fldCharType="end"/>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上公告中标结果。</w:t>
      </w:r>
    </w:p>
    <w:p w14:paraId="7D322947">
      <w:pPr>
        <w:spacing w:line="360" w:lineRule="auto"/>
        <w:rPr>
          <w:rFonts w:ascii="宋体" w:hAnsi="宋体"/>
          <w:color w:val="auto"/>
          <w:spacing w:val="-6"/>
          <w:sz w:val="24"/>
          <w:highlight w:val="none"/>
        </w:rPr>
      </w:pPr>
      <w:r>
        <w:rPr>
          <w:rFonts w:hint="eastAsia" w:ascii="宋体" w:hAnsi="宋体"/>
          <w:b/>
          <w:bCs/>
          <w:color w:val="auto"/>
          <w:spacing w:val="-6"/>
          <w:sz w:val="24"/>
          <w:highlight w:val="none"/>
        </w:rPr>
        <w:t>（八） 合同授予</w:t>
      </w:r>
    </w:p>
    <w:p w14:paraId="4204913E">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招标人应当自中标通知书发出之日起30日内，按照招标文件和中标人投标文件的规定，与中标人签订书面合同。所签订的合同不得对招标文件确定的事项和中标人投标文件作实质性修改。招标人不得向中标人提出任何不合理的要求作为签订合同的条件。</w:t>
      </w:r>
    </w:p>
    <w:p w14:paraId="20FA4755">
      <w:pPr>
        <w:spacing w:line="360" w:lineRule="auto"/>
        <w:ind w:firstLine="398" w:firstLineChars="200"/>
        <w:jc w:val="center"/>
        <w:outlineLvl w:val="1"/>
        <w:rPr>
          <w:rFonts w:ascii="宋体" w:hAnsi="宋体"/>
          <w:color w:val="auto"/>
          <w:sz w:val="24"/>
          <w:highlight w:val="none"/>
        </w:rPr>
      </w:pPr>
      <w:r>
        <w:rPr>
          <w:rFonts w:ascii="宋体" w:hAnsi="宋体"/>
          <w:b/>
          <w:bCs/>
          <w:color w:val="auto"/>
          <w:spacing w:val="-6"/>
          <w:sz w:val="21"/>
          <w:szCs w:val="21"/>
          <w:highlight w:val="none"/>
        </w:rPr>
        <w:br w:type="page"/>
      </w:r>
      <w:r>
        <w:rPr>
          <w:rFonts w:hint="eastAsia" w:ascii="宋体" w:hAnsi="宋体"/>
          <w:b/>
          <w:color w:val="auto"/>
          <w:spacing w:val="-6"/>
          <w:sz w:val="32"/>
          <w:szCs w:val="32"/>
          <w:highlight w:val="none"/>
        </w:rPr>
        <w:t>六、可中止电子交易活动的情形</w:t>
      </w:r>
    </w:p>
    <w:p w14:paraId="3515A538">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采购过程中出现以下情形，导致电子交易平台无法正常运行，或者无法保证电子交易的公平、公正和安全时，采购代理机构可中止电子交易活动：</w:t>
      </w:r>
    </w:p>
    <w:p w14:paraId="17D6DE9A">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1.电子交易平台发生故障而无法登录访问的；</w:t>
      </w:r>
    </w:p>
    <w:p w14:paraId="5A879AB5">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2.电子交易平台应用或数据库出现错误，不能进行正常操作的；</w:t>
      </w:r>
    </w:p>
    <w:p w14:paraId="15803E08">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3.电子交易平台发现严重安全漏洞，有潜在泄密危险的；</w:t>
      </w:r>
    </w:p>
    <w:p w14:paraId="57989C4D">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4.病毒发作导致不能进行正常操作的；</w:t>
      </w:r>
    </w:p>
    <w:p w14:paraId="7121ED47">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5.其他无法保证电子交易的公平、公正和安全的情况。</w:t>
      </w:r>
    </w:p>
    <w:p w14:paraId="2BDF081A">
      <w:pPr>
        <w:spacing w:line="360"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14:paraId="05D029EE">
      <w:pPr>
        <w:spacing w:line="360" w:lineRule="auto"/>
        <w:rPr>
          <w:rFonts w:ascii="宋体" w:hAnsi="宋体"/>
          <w:color w:val="auto"/>
          <w:spacing w:val="-6"/>
          <w:sz w:val="21"/>
          <w:szCs w:val="21"/>
          <w:highlight w:val="none"/>
        </w:rPr>
      </w:pPr>
      <w:r>
        <w:rPr>
          <w:rFonts w:hint="eastAsia" w:ascii="宋体" w:hAnsi="宋体"/>
          <w:color w:val="auto"/>
          <w:spacing w:val="-6"/>
          <w:sz w:val="21"/>
          <w:szCs w:val="21"/>
          <w:highlight w:val="none"/>
        </w:rPr>
        <w:br w:type="page"/>
      </w:r>
    </w:p>
    <w:p w14:paraId="431C8312">
      <w:pPr>
        <w:spacing w:line="360" w:lineRule="auto"/>
        <w:jc w:val="center"/>
        <w:outlineLvl w:val="0"/>
        <w:rPr>
          <w:rFonts w:ascii="宋体" w:hAnsi="宋体"/>
          <w:b/>
          <w:color w:val="auto"/>
          <w:spacing w:val="-6"/>
          <w:sz w:val="21"/>
          <w:szCs w:val="21"/>
          <w:highlight w:val="none"/>
        </w:rPr>
      </w:pPr>
      <w:r>
        <w:rPr>
          <w:rFonts w:hint="eastAsia" w:ascii="宋体" w:hAnsi="宋体"/>
          <w:b/>
          <w:color w:val="auto"/>
          <w:sz w:val="32"/>
          <w:szCs w:val="32"/>
          <w:highlight w:val="none"/>
        </w:rPr>
        <w:t>第四章  评标办法及评分标准</w:t>
      </w:r>
    </w:p>
    <w:p w14:paraId="78F975FC">
      <w:pPr>
        <w:numPr>
          <w:ilvl w:val="0"/>
          <w:numId w:val="3"/>
        </w:num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总则</w:t>
      </w:r>
    </w:p>
    <w:p w14:paraId="66D04DC6">
      <w:pPr>
        <w:spacing w:line="360"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投标人定期存</w:t>
      </w:r>
      <w:r>
        <w:rPr>
          <w:rFonts w:hint="eastAsia" w:ascii="宋体" w:hAnsi="宋体"/>
          <w:bCs/>
          <w:color w:val="auto"/>
          <w:spacing w:val="-6"/>
          <w:sz w:val="21"/>
          <w:szCs w:val="21"/>
          <w:highlight w:val="none"/>
        </w:rPr>
        <w:t>款投标利率应符合国家利率政策相关规定和浙江省市场利率定价自律机制约定范围。</w:t>
      </w:r>
    </w:p>
    <w:p w14:paraId="11636C73">
      <w:pPr>
        <w:spacing w:line="360"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.采</w:t>
      </w:r>
      <w:r>
        <w:rPr>
          <w:rFonts w:hint="eastAsia" w:ascii="宋体" w:hAnsi="宋体"/>
          <w:bCs/>
          <w:color w:val="auto"/>
          <w:spacing w:val="-6"/>
          <w:sz w:val="21"/>
          <w:szCs w:val="21"/>
          <w:highlight w:val="none"/>
        </w:rPr>
        <w:t>用综合评分法，总分为100分。合格投标人的评标得分为各项目汇总得分，中标资格按照评标总得分由高到低顺序排列，得分相同的，依次按定期存款利率、服务水平、经营状况、经济贡献度指标分值由高到低排序，全部相同采用抽签决定，依次推荐二名中标候选人，并编写评选报告。评分过程中采用四舍五入法，并保留小数2位。</w:t>
      </w:r>
    </w:p>
    <w:p w14:paraId="1C44294E">
      <w:pPr>
        <w:spacing w:line="360"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投标人评标综合得分=定期存款利率水平指标分值+服务水平指标分值+经营状况指标分值+经济贡献度指标分值，服务水平、经营状况、经济贡献度指标分值按照评标委员会成员的独立评分结果汇总数的算术平均分计算，计算公式为：服务水平、经营状况、经济贡献度指标分值=评标委员会所有成员评分合计数÷评标委员会人数。</w:t>
      </w:r>
    </w:p>
    <w:p w14:paraId="556E3068">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二、评标内容及标准</w:t>
      </w:r>
    </w:p>
    <w:tbl>
      <w:tblPr>
        <w:tblStyle w:val="24"/>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99"/>
        <w:gridCol w:w="786"/>
        <w:gridCol w:w="7034"/>
      </w:tblGrid>
      <w:tr w14:paraId="0EE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82" w:type="dxa"/>
            <w:gridSpan w:val="2"/>
            <w:vAlign w:val="center"/>
          </w:tcPr>
          <w:p w14:paraId="49222220">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评分项目</w:t>
            </w:r>
          </w:p>
        </w:tc>
        <w:tc>
          <w:tcPr>
            <w:tcW w:w="786" w:type="dxa"/>
            <w:vAlign w:val="center"/>
          </w:tcPr>
          <w:p w14:paraId="056CCB49">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7034" w:type="dxa"/>
            <w:vAlign w:val="center"/>
          </w:tcPr>
          <w:p w14:paraId="1FA48E1D">
            <w:pPr>
              <w:snapToGrid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评标要点及说明</w:t>
            </w:r>
          </w:p>
        </w:tc>
      </w:tr>
      <w:tr w14:paraId="2AFE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Align w:val="center"/>
          </w:tcPr>
          <w:p w14:paraId="70092D6B">
            <w:pPr>
              <w:autoSpaceDE w:val="0"/>
              <w:autoSpaceDN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利率水平指标</w:t>
            </w:r>
          </w:p>
          <w:p w14:paraId="489E7B6B">
            <w:pPr>
              <w:autoSpaceDE w:val="0"/>
              <w:autoSpaceDN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(30分)</w:t>
            </w:r>
          </w:p>
        </w:tc>
        <w:tc>
          <w:tcPr>
            <w:tcW w:w="1199" w:type="dxa"/>
            <w:vAlign w:val="center"/>
          </w:tcPr>
          <w:p w14:paraId="45371388">
            <w:pPr>
              <w:widowControl/>
              <w:adjustRightInd w:val="0"/>
              <w:snapToGrid w:val="0"/>
              <w:jc w:val="center"/>
              <w:rPr>
                <w:rFonts w:ascii="宋体" w:hAnsi="宋体" w:cs="宋体"/>
                <w:color w:val="auto"/>
                <w:sz w:val="21"/>
                <w:szCs w:val="21"/>
                <w:highlight w:val="none"/>
              </w:rPr>
            </w:pPr>
            <w:r>
              <w:rPr>
                <w:rFonts w:hint="eastAsia" w:cs="宋体" w:asciiTheme="minorEastAsia" w:hAnsiTheme="minorEastAsia" w:eastAsiaTheme="minorEastAsia"/>
                <w:color w:val="auto"/>
                <w:kern w:val="0"/>
                <w:sz w:val="21"/>
                <w:szCs w:val="21"/>
                <w:highlight w:val="none"/>
              </w:rPr>
              <w:t>一年定期存款利率</w:t>
            </w:r>
          </w:p>
        </w:tc>
        <w:tc>
          <w:tcPr>
            <w:tcW w:w="786" w:type="dxa"/>
            <w:vAlign w:val="center"/>
          </w:tcPr>
          <w:p w14:paraId="749EB90E">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30</w:t>
            </w:r>
          </w:p>
        </w:tc>
        <w:tc>
          <w:tcPr>
            <w:tcW w:w="7034" w:type="dxa"/>
            <w:vAlign w:val="center"/>
          </w:tcPr>
          <w:p w14:paraId="65DE4625">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满足招标文件要求且一年定期存款年利率报价最高的为评标基准价，其他投标银行的报价得分按照下列公式计算：利率报价得分=（一年定期存款年利率/评标基准价）×</w:t>
            </w:r>
            <w:r>
              <w:rPr>
                <w:rFonts w:hint="eastAsia" w:ascii="宋体" w:hAnsi="宋体" w:cs="宋体"/>
                <w:color w:val="auto"/>
                <w:spacing w:val="-6"/>
                <w:sz w:val="21"/>
                <w:szCs w:val="21"/>
                <w:highlight w:val="none"/>
              </w:rPr>
              <w:t>30。</w:t>
            </w:r>
          </w:p>
        </w:tc>
      </w:tr>
      <w:tr w14:paraId="4908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83" w:type="dxa"/>
            <w:vMerge w:val="restart"/>
            <w:vAlign w:val="center"/>
          </w:tcPr>
          <w:p w14:paraId="192A3ED4">
            <w:pPr>
              <w:autoSpaceDE w:val="0"/>
              <w:autoSpaceDN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服务水平指标</w:t>
            </w:r>
          </w:p>
          <w:p w14:paraId="74D6C887">
            <w:pPr>
              <w:autoSpaceDE w:val="0"/>
              <w:autoSpaceDN w:val="0"/>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rPr>
              <w:t>10</w:t>
            </w:r>
            <w:r>
              <w:rPr>
                <w:rFonts w:hint="eastAsia" w:ascii="宋体" w:hAnsi="宋体" w:cs="宋体"/>
                <w:b/>
                <w:bCs/>
                <w:color w:val="auto"/>
                <w:sz w:val="21"/>
                <w:szCs w:val="21"/>
                <w:highlight w:val="none"/>
              </w:rPr>
              <w:t>分)</w:t>
            </w:r>
          </w:p>
        </w:tc>
        <w:tc>
          <w:tcPr>
            <w:tcW w:w="1199" w:type="dxa"/>
            <w:vAlign w:val="center"/>
          </w:tcPr>
          <w:p w14:paraId="75604B6B">
            <w:pPr>
              <w:autoSpaceDE w:val="0"/>
              <w:autoSpaceDN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1.日常服务承诺</w:t>
            </w:r>
          </w:p>
        </w:tc>
        <w:tc>
          <w:tcPr>
            <w:tcW w:w="786" w:type="dxa"/>
            <w:vAlign w:val="center"/>
          </w:tcPr>
          <w:p w14:paraId="1C18164B">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034" w:type="dxa"/>
            <w:vAlign w:val="center"/>
          </w:tcPr>
          <w:p w14:paraId="5BEC91AA">
            <w:pPr>
              <w:rPr>
                <w:rFonts w:ascii="宋体" w:hAnsi="宋体" w:cs="宋体"/>
                <w:color w:val="auto"/>
                <w:sz w:val="21"/>
                <w:szCs w:val="21"/>
                <w:highlight w:val="none"/>
              </w:rPr>
            </w:pPr>
            <w:r>
              <w:rPr>
                <w:rFonts w:hint="eastAsia" w:ascii="宋体" w:hAnsi="宋体" w:cs="宋体"/>
                <w:color w:val="auto"/>
                <w:sz w:val="21"/>
                <w:szCs w:val="21"/>
                <w:highlight w:val="none"/>
              </w:rPr>
              <w:t>日常服务承诺包括但不限于：</w:t>
            </w:r>
          </w:p>
          <w:p w14:paraId="1105579E">
            <w:pPr>
              <w:rPr>
                <w:rFonts w:ascii="宋体" w:hAnsi="宋体" w:cs="宋体"/>
                <w:color w:val="auto"/>
                <w:sz w:val="21"/>
                <w:szCs w:val="21"/>
                <w:highlight w:val="none"/>
              </w:rPr>
            </w:pPr>
            <w:r>
              <w:rPr>
                <w:rFonts w:hint="eastAsia" w:ascii="宋体" w:hAnsi="宋体" w:cs="宋体"/>
                <w:color w:val="auto"/>
                <w:sz w:val="21"/>
                <w:szCs w:val="21"/>
                <w:highlight w:val="none"/>
              </w:rPr>
              <w:t>1.指定专人负责定期存款相关服务，为招标人在提前支取等银行各项业务办理提供绿色通道快速处理；</w:t>
            </w:r>
          </w:p>
          <w:p w14:paraId="1891E7D3">
            <w:pPr>
              <w:rPr>
                <w:rFonts w:ascii="宋体" w:hAnsi="宋体" w:cs="宋体"/>
                <w:color w:val="auto"/>
                <w:sz w:val="21"/>
                <w:szCs w:val="21"/>
                <w:highlight w:val="none"/>
              </w:rPr>
            </w:pPr>
            <w:r>
              <w:rPr>
                <w:rFonts w:hint="eastAsia" w:ascii="宋体" w:hAnsi="宋体" w:cs="宋体"/>
                <w:color w:val="auto"/>
                <w:sz w:val="21"/>
                <w:szCs w:val="21"/>
                <w:highlight w:val="none"/>
              </w:rPr>
              <w:t>2.提供完善的信息系统，保障各项数据安全、操作便捷通畅；</w:t>
            </w:r>
          </w:p>
          <w:p w14:paraId="2D226815">
            <w:pPr>
              <w:rPr>
                <w:rFonts w:ascii="宋体" w:hAnsi="宋体" w:cs="宋体"/>
                <w:color w:val="auto"/>
                <w:sz w:val="21"/>
                <w:szCs w:val="21"/>
                <w:highlight w:val="none"/>
              </w:rPr>
            </w:pPr>
            <w:r>
              <w:rPr>
                <w:rFonts w:hint="eastAsia" w:ascii="宋体" w:hAnsi="宋体" w:cs="宋体"/>
                <w:color w:val="auto"/>
                <w:sz w:val="21"/>
                <w:szCs w:val="21"/>
                <w:highlight w:val="none"/>
              </w:rPr>
              <w:t>3.及时告知银行出现的重大安全事项；</w:t>
            </w:r>
          </w:p>
          <w:p w14:paraId="0B402CC7">
            <w:pPr>
              <w:rPr>
                <w:rFonts w:ascii="宋体" w:hAnsi="宋体" w:cs="宋体"/>
                <w:color w:val="auto"/>
                <w:sz w:val="21"/>
                <w:szCs w:val="21"/>
                <w:highlight w:val="none"/>
              </w:rPr>
            </w:pPr>
            <w:r>
              <w:rPr>
                <w:rFonts w:hint="eastAsia" w:ascii="宋体" w:hAnsi="宋体" w:cs="宋体"/>
                <w:color w:val="auto"/>
                <w:sz w:val="21"/>
                <w:szCs w:val="21"/>
                <w:highlight w:val="none"/>
              </w:rPr>
              <w:t>4.及时反馈存款账户异动情况；</w:t>
            </w:r>
          </w:p>
          <w:p w14:paraId="00DB7D2D">
            <w:pPr>
              <w:rPr>
                <w:rFonts w:ascii="宋体" w:hAnsi="宋体" w:cs="宋体"/>
                <w:color w:val="auto"/>
                <w:sz w:val="21"/>
                <w:szCs w:val="21"/>
                <w:highlight w:val="none"/>
              </w:rPr>
            </w:pPr>
            <w:r>
              <w:rPr>
                <w:rFonts w:hint="eastAsia" w:ascii="宋体" w:hAnsi="宋体" w:cs="宋体"/>
                <w:color w:val="auto"/>
                <w:sz w:val="21"/>
                <w:szCs w:val="21"/>
                <w:highlight w:val="none"/>
              </w:rPr>
              <w:t>5.投标银行针对本项目提供其他服务及承诺</w:t>
            </w:r>
          </w:p>
          <w:p w14:paraId="48F9E400">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根据投标银行承诺情况，</w:t>
            </w:r>
            <w:r>
              <w:rPr>
                <w:rFonts w:hint="eastAsia" w:ascii="宋体" w:hAnsi="宋体" w:cs="宋体"/>
                <w:color w:val="auto"/>
                <w:sz w:val="21"/>
                <w:szCs w:val="21"/>
                <w:highlight w:val="none"/>
                <w:lang w:val="en-US" w:eastAsia="zh-CN"/>
              </w:rPr>
              <w:t>均</w:t>
            </w:r>
            <w:r>
              <w:rPr>
                <w:rFonts w:hint="eastAsia" w:ascii="宋体" w:hAnsi="宋体" w:cs="宋体"/>
                <w:color w:val="auto"/>
                <w:sz w:val="21"/>
                <w:szCs w:val="21"/>
                <w:highlight w:val="none"/>
              </w:rPr>
              <w:t>承诺</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其余不得</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r>
      <w:tr w14:paraId="7520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83" w:type="dxa"/>
            <w:vMerge w:val="continue"/>
            <w:vAlign w:val="center"/>
          </w:tcPr>
          <w:p w14:paraId="0FB2B78C">
            <w:pPr>
              <w:adjustRightInd w:val="0"/>
              <w:snapToGrid w:val="0"/>
              <w:rPr>
                <w:rFonts w:ascii="宋体" w:hAnsi="宋体" w:cs="宋体"/>
                <w:color w:val="auto"/>
                <w:kern w:val="0"/>
                <w:sz w:val="21"/>
                <w:szCs w:val="21"/>
                <w:highlight w:val="none"/>
              </w:rPr>
            </w:pPr>
          </w:p>
        </w:tc>
        <w:tc>
          <w:tcPr>
            <w:tcW w:w="1199" w:type="dxa"/>
            <w:vAlign w:val="center"/>
          </w:tcPr>
          <w:p w14:paraId="3EAD9348">
            <w:pPr>
              <w:snapToGrid w:val="0"/>
              <w:spacing w:line="288" w:lineRule="auto"/>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2.风险保障方案</w:t>
            </w:r>
          </w:p>
        </w:tc>
        <w:tc>
          <w:tcPr>
            <w:tcW w:w="786" w:type="dxa"/>
            <w:vAlign w:val="center"/>
          </w:tcPr>
          <w:p w14:paraId="613409B7">
            <w:pPr>
              <w:autoSpaceDE w:val="0"/>
              <w:autoSpaceDN w:val="0"/>
              <w:spacing w:line="288" w:lineRule="auto"/>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3</w:t>
            </w:r>
          </w:p>
        </w:tc>
        <w:tc>
          <w:tcPr>
            <w:tcW w:w="7034" w:type="dxa"/>
            <w:vAlign w:val="center"/>
          </w:tcPr>
          <w:p w14:paraId="79E5594C">
            <w:pPr>
              <w:jc w:val="left"/>
              <w:rPr>
                <w:rFonts w:ascii="宋体" w:hAnsi="宋体" w:cs="宋体"/>
                <w:color w:val="auto"/>
                <w:kern w:val="0"/>
                <w:sz w:val="21"/>
                <w:szCs w:val="21"/>
                <w:highlight w:val="none"/>
              </w:rPr>
            </w:pPr>
            <w:r>
              <w:rPr>
                <w:rFonts w:hint="eastAsia" w:ascii="宋体" w:hAnsi="宋体" w:cs="宋体"/>
                <w:color w:val="auto"/>
                <w:sz w:val="21"/>
                <w:szCs w:val="21"/>
                <w:highlight w:val="none"/>
              </w:rPr>
              <w:t>根据投标银行提供的资金安全承诺书，承诺确保账户安全，否则承担一切法律责任，不提供不得分</w:t>
            </w:r>
          </w:p>
        </w:tc>
      </w:tr>
      <w:tr w14:paraId="6C6D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83" w:type="dxa"/>
            <w:vMerge w:val="continue"/>
            <w:vAlign w:val="center"/>
          </w:tcPr>
          <w:p w14:paraId="722A6415">
            <w:pPr>
              <w:autoSpaceDE w:val="0"/>
              <w:autoSpaceDN w:val="0"/>
              <w:jc w:val="center"/>
              <w:rPr>
                <w:rFonts w:ascii="宋体" w:hAnsi="宋体" w:cs="宋体"/>
                <w:b/>
                <w:bCs/>
                <w:color w:val="auto"/>
                <w:sz w:val="21"/>
                <w:szCs w:val="21"/>
                <w:highlight w:val="none"/>
              </w:rPr>
            </w:pPr>
          </w:p>
        </w:tc>
        <w:tc>
          <w:tcPr>
            <w:tcW w:w="1199" w:type="dxa"/>
            <w:vAlign w:val="center"/>
          </w:tcPr>
          <w:p w14:paraId="2724B33D">
            <w:pPr>
              <w:snapToGrid w:val="0"/>
              <w:spacing w:line="288" w:lineRule="auto"/>
              <w:jc w:val="center"/>
              <w:rPr>
                <w:color w:val="auto"/>
                <w:sz w:val="21"/>
                <w:szCs w:val="21"/>
                <w:highlight w:val="none"/>
              </w:rPr>
            </w:pPr>
            <w:r>
              <w:rPr>
                <w:rFonts w:hint="eastAsia" w:ascii="宋体" w:hAnsi="宋体" w:cs="宋体"/>
                <w:color w:val="auto"/>
                <w:sz w:val="21"/>
                <w:szCs w:val="21"/>
                <w:highlight w:val="none"/>
              </w:rPr>
              <w:t>3.现有服务能力</w:t>
            </w:r>
          </w:p>
        </w:tc>
        <w:tc>
          <w:tcPr>
            <w:tcW w:w="786" w:type="dxa"/>
            <w:vAlign w:val="center"/>
          </w:tcPr>
          <w:p w14:paraId="46DAE279">
            <w:pPr>
              <w:autoSpaceDE w:val="0"/>
              <w:autoSpaceDN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7034" w:type="dxa"/>
            <w:vAlign w:val="center"/>
          </w:tcPr>
          <w:p w14:paraId="3F541278">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银行自2021年1月至本次招标公告之日期间中标2024年公款竞争性存放项目提供过服务的情况包括但不限于：为招标人提供合作支持服务等案例。需提供具体服务方案及服务单位评价材料（如无方案、材料不得分）</w:t>
            </w:r>
          </w:p>
        </w:tc>
      </w:tr>
      <w:tr w14:paraId="075A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083" w:type="dxa"/>
            <w:vMerge w:val="continue"/>
            <w:vAlign w:val="center"/>
          </w:tcPr>
          <w:p w14:paraId="10922863">
            <w:pPr>
              <w:autoSpaceDE w:val="0"/>
              <w:autoSpaceDN w:val="0"/>
              <w:jc w:val="center"/>
              <w:rPr>
                <w:rFonts w:ascii="宋体" w:hAnsi="宋体" w:cs="宋体"/>
                <w:b/>
                <w:bCs/>
                <w:color w:val="auto"/>
                <w:sz w:val="21"/>
                <w:szCs w:val="21"/>
                <w:highlight w:val="none"/>
              </w:rPr>
            </w:pPr>
          </w:p>
        </w:tc>
        <w:tc>
          <w:tcPr>
            <w:tcW w:w="1199" w:type="dxa"/>
            <w:vAlign w:val="center"/>
          </w:tcPr>
          <w:p w14:paraId="4EC8DF99">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4.特色服务承诺</w:t>
            </w:r>
          </w:p>
        </w:tc>
        <w:tc>
          <w:tcPr>
            <w:tcW w:w="786" w:type="dxa"/>
            <w:vAlign w:val="center"/>
          </w:tcPr>
          <w:p w14:paraId="3BFE1D6F">
            <w:pPr>
              <w:autoSpaceDE w:val="0"/>
              <w:autoSpaceDN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034" w:type="dxa"/>
            <w:vAlign w:val="center"/>
          </w:tcPr>
          <w:p w14:paraId="0A1A3717">
            <w:pPr>
              <w:jc w:val="left"/>
              <w:rPr>
                <w:rFonts w:ascii="宋体" w:hAnsi="宋体" w:cs="宋体"/>
                <w:color w:val="auto"/>
                <w:sz w:val="21"/>
                <w:szCs w:val="21"/>
                <w:highlight w:val="none"/>
              </w:rPr>
            </w:pPr>
            <w:r>
              <w:rPr>
                <w:rFonts w:hint="eastAsia" w:ascii="宋体" w:hAnsi="宋体" w:cs="宋体"/>
                <w:color w:val="auto"/>
                <w:sz w:val="21"/>
                <w:szCs w:val="21"/>
                <w:highlight w:val="none"/>
              </w:rPr>
              <w:t>特色服务承诺包括但不限于：</w:t>
            </w:r>
          </w:p>
          <w:p w14:paraId="4676B701">
            <w:pPr>
              <w:numPr>
                <w:ilvl w:val="0"/>
                <w:numId w:val="0"/>
              </w:numPr>
              <w:jc w:val="left"/>
              <w:rPr>
                <w:rFonts w:ascii="宋体" w:hAnsi="宋体" w:cs="宋体"/>
                <w:color w:val="auto"/>
                <w:sz w:val="21"/>
                <w:szCs w:val="21"/>
                <w:highlight w:val="none"/>
              </w:rPr>
            </w:pPr>
            <w:r>
              <w:rPr>
                <w:rFonts w:hint="eastAsia" w:ascii="宋体" w:hAnsi="宋体" w:cs="宋体"/>
                <w:color w:val="auto"/>
                <w:kern w:val="0"/>
                <w:sz w:val="21"/>
                <w:szCs w:val="21"/>
                <w:highlight w:val="none"/>
              </w:rPr>
              <w:t>对招标人的合作支持服务方案</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其他助力招标人事业发展提供合作支持服务方案。</w:t>
            </w:r>
          </w:p>
        </w:tc>
      </w:tr>
      <w:tr w14:paraId="7D27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3" w:type="dxa"/>
            <w:vMerge w:val="restart"/>
            <w:vAlign w:val="center"/>
          </w:tcPr>
          <w:p w14:paraId="2A882A7F">
            <w:pPr>
              <w:autoSpaceDE w:val="0"/>
              <w:autoSpaceDN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经营状况指标</w:t>
            </w:r>
          </w:p>
          <w:p w14:paraId="631D1EDE">
            <w:pPr>
              <w:autoSpaceDE w:val="0"/>
              <w:autoSpaceDN w:val="0"/>
              <w:spacing w:line="288"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(30分)</w:t>
            </w:r>
          </w:p>
        </w:tc>
        <w:tc>
          <w:tcPr>
            <w:tcW w:w="1199" w:type="dxa"/>
            <w:vAlign w:val="center"/>
          </w:tcPr>
          <w:p w14:paraId="6CB015EA">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1.资产质量</w:t>
            </w:r>
          </w:p>
        </w:tc>
        <w:tc>
          <w:tcPr>
            <w:tcW w:w="786" w:type="dxa"/>
            <w:vAlign w:val="center"/>
          </w:tcPr>
          <w:p w14:paraId="49786C85">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7034" w:type="dxa"/>
            <w:vAlign w:val="center"/>
          </w:tcPr>
          <w:p w14:paraId="5ABCC469">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根据投标银行不良贷款率排名评分。</w:t>
            </w:r>
            <w:r>
              <w:rPr>
                <w:rFonts w:hint="eastAsia" w:ascii="宋体" w:hAnsi="宋体" w:cs="宋体"/>
                <w:color w:val="auto"/>
                <w:sz w:val="21"/>
                <w:szCs w:val="21"/>
                <w:highlight w:val="none"/>
              </w:rPr>
              <w:t>排名第一得8分</w:t>
            </w:r>
            <w:r>
              <w:rPr>
                <w:rFonts w:hint="eastAsia" w:ascii="宋体" w:hAnsi="宋体" w:cs="宋体"/>
                <w:color w:val="auto"/>
                <w:kern w:val="0"/>
                <w:sz w:val="21"/>
                <w:szCs w:val="21"/>
                <w:highlight w:val="none"/>
              </w:rPr>
              <w:t>，其余投标银行排名每降低一名相应递减0.1分，减完为止。（由浙江省财政厅提供数据）</w:t>
            </w:r>
          </w:p>
        </w:tc>
      </w:tr>
      <w:tr w14:paraId="17E3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83" w:type="dxa"/>
            <w:vMerge w:val="continue"/>
            <w:vAlign w:val="center"/>
          </w:tcPr>
          <w:p w14:paraId="3A3F6349">
            <w:pPr>
              <w:autoSpaceDE w:val="0"/>
              <w:autoSpaceDN w:val="0"/>
              <w:spacing w:line="288" w:lineRule="auto"/>
              <w:jc w:val="center"/>
              <w:rPr>
                <w:rFonts w:ascii="宋体" w:hAnsi="宋体" w:cs="宋体"/>
                <w:color w:val="auto"/>
                <w:sz w:val="21"/>
                <w:szCs w:val="21"/>
                <w:highlight w:val="none"/>
              </w:rPr>
            </w:pPr>
          </w:p>
        </w:tc>
        <w:tc>
          <w:tcPr>
            <w:tcW w:w="1199" w:type="dxa"/>
            <w:vMerge w:val="restart"/>
            <w:vAlign w:val="center"/>
          </w:tcPr>
          <w:p w14:paraId="54886482">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2.运营状况</w:t>
            </w:r>
          </w:p>
        </w:tc>
        <w:tc>
          <w:tcPr>
            <w:tcW w:w="786" w:type="dxa"/>
            <w:vAlign w:val="center"/>
          </w:tcPr>
          <w:p w14:paraId="365ED541">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034" w:type="dxa"/>
            <w:vAlign w:val="center"/>
          </w:tcPr>
          <w:p w14:paraId="75146B84">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根据投标银行利润总额排名评分。排名第一得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分，其余投标银行排名每降低一名相应递减0.05分，减完为止。（由浙江省财政厅提供数据）</w:t>
            </w:r>
          </w:p>
        </w:tc>
      </w:tr>
      <w:tr w14:paraId="34AF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83" w:type="dxa"/>
            <w:vMerge w:val="continue"/>
          </w:tcPr>
          <w:p w14:paraId="0FF834B7">
            <w:pPr>
              <w:autoSpaceDE w:val="0"/>
              <w:autoSpaceDN w:val="0"/>
              <w:spacing w:line="288" w:lineRule="auto"/>
              <w:jc w:val="center"/>
              <w:rPr>
                <w:rFonts w:ascii="宋体" w:hAnsi="宋体" w:cs="宋体"/>
                <w:b/>
                <w:bCs/>
                <w:color w:val="auto"/>
                <w:sz w:val="21"/>
                <w:szCs w:val="21"/>
                <w:highlight w:val="none"/>
              </w:rPr>
            </w:pPr>
          </w:p>
        </w:tc>
        <w:tc>
          <w:tcPr>
            <w:tcW w:w="1199" w:type="dxa"/>
            <w:vMerge w:val="continue"/>
            <w:vAlign w:val="center"/>
          </w:tcPr>
          <w:p w14:paraId="63FD231B">
            <w:pPr>
              <w:snapToGrid w:val="0"/>
              <w:spacing w:line="288" w:lineRule="auto"/>
              <w:jc w:val="center"/>
              <w:rPr>
                <w:rFonts w:ascii="宋体" w:hAnsi="宋体" w:cs="宋体"/>
                <w:color w:val="auto"/>
                <w:sz w:val="21"/>
                <w:szCs w:val="21"/>
                <w:highlight w:val="none"/>
              </w:rPr>
            </w:pPr>
          </w:p>
        </w:tc>
        <w:tc>
          <w:tcPr>
            <w:tcW w:w="786" w:type="dxa"/>
            <w:vAlign w:val="center"/>
          </w:tcPr>
          <w:p w14:paraId="41B67BF1">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7034" w:type="dxa"/>
            <w:vAlign w:val="center"/>
          </w:tcPr>
          <w:p w14:paraId="500165B9">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根据投标银行利润增长率排名评分。排名第一得</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分，其余投标银行排名每降低一名相应递减0.05分，减完为止。（由浙江省财政厅提供数据）</w:t>
            </w:r>
          </w:p>
        </w:tc>
      </w:tr>
      <w:tr w14:paraId="5F4C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3" w:type="dxa"/>
            <w:vMerge w:val="continue"/>
          </w:tcPr>
          <w:p w14:paraId="2EABAAD8">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14:paraId="38E26E74">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3.偿付能力</w:t>
            </w:r>
          </w:p>
        </w:tc>
        <w:tc>
          <w:tcPr>
            <w:tcW w:w="786" w:type="dxa"/>
            <w:vAlign w:val="center"/>
          </w:tcPr>
          <w:p w14:paraId="68FE2513">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7034" w:type="dxa"/>
            <w:vAlign w:val="center"/>
          </w:tcPr>
          <w:p w14:paraId="7DD82CEB">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根据投标银行拨备覆盖率排名评分。排名第一得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分，其余投标银行排名每降低一名相应递减0.1分，减完为止。（由浙江省财政厅提供数据）</w:t>
            </w:r>
          </w:p>
        </w:tc>
      </w:tr>
      <w:tr w14:paraId="459B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83" w:type="dxa"/>
            <w:vMerge w:val="continue"/>
          </w:tcPr>
          <w:p w14:paraId="508E50A0">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14:paraId="6754F9D0">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4.内部控制水平</w:t>
            </w:r>
          </w:p>
        </w:tc>
        <w:tc>
          <w:tcPr>
            <w:tcW w:w="786" w:type="dxa"/>
            <w:vAlign w:val="center"/>
          </w:tcPr>
          <w:p w14:paraId="68D231A0">
            <w:pPr>
              <w:snapToGrid w:val="0"/>
              <w:spacing w:line="28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7034" w:type="dxa"/>
            <w:vAlign w:val="center"/>
          </w:tcPr>
          <w:p w14:paraId="569B0C5E">
            <w:pPr>
              <w:rPr>
                <w:rFonts w:ascii="宋体" w:hAnsi="宋体" w:cs="宋体"/>
                <w:color w:val="auto"/>
                <w:sz w:val="21"/>
                <w:szCs w:val="21"/>
                <w:highlight w:val="none"/>
              </w:rPr>
            </w:pPr>
            <w:r>
              <w:rPr>
                <w:rFonts w:hint="eastAsia" w:ascii="宋体" w:hAnsi="宋体" w:cs="宋体"/>
                <w:color w:val="auto"/>
                <w:kern w:val="0"/>
                <w:sz w:val="21"/>
                <w:szCs w:val="21"/>
                <w:highlight w:val="none"/>
              </w:rPr>
              <w:t>根据投标银行央行金融机构评级排名评分。排名第一得</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分，排名第二得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.8分，排名第三得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.6分，排名第四得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.4分，排名第五得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.2分，排名第六得</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分，排名第七得</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.8分，其余不得分。（由浙江省财政厅提供数据）</w:t>
            </w:r>
          </w:p>
        </w:tc>
      </w:tr>
      <w:tr w14:paraId="4EFA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3" w:type="dxa"/>
            <w:vMerge w:val="restart"/>
            <w:vAlign w:val="center"/>
          </w:tcPr>
          <w:p w14:paraId="52E5363C">
            <w:pPr>
              <w:jc w:val="center"/>
              <w:rPr>
                <w:rFonts w:ascii="宋体" w:hAnsi="宋体" w:cs="宋体"/>
                <w:b/>
                <w:bCs/>
                <w:color w:val="auto"/>
                <w:sz w:val="21"/>
                <w:szCs w:val="21"/>
                <w:highlight w:val="none"/>
              </w:rPr>
            </w:pPr>
            <w:r>
              <w:rPr>
                <w:rFonts w:hint="eastAsia" w:ascii="宋体" w:hAnsi="宋体" w:cs="宋体"/>
                <w:b/>
                <w:color w:val="auto"/>
                <w:sz w:val="21"/>
                <w:szCs w:val="21"/>
                <w:highlight w:val="none"/>
              </w:rPr>
              <w:t>经济贡献度指标（30分）</w:t>
            </w:r>
          </w:p>
        </w:tc>
        <w:tc>
          <w:tcPr>
            <w:tcW w:w="1199" w:type="dxa"/>
            <w:vAlign w:val="center"/>
          </w:tcPr>
          <w:p w14:paraId="764B46BD">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1.支持地方经济社会发展情况</w:t>
            </w:r>
          </w:p>
        </w:tc>
        <w:tc>
          <w:tcPr>
            <w:tcW w:w="786" w:type="dxa"/>
            <w:vAlign w:val="center"/>
          </w:tcPr>
          <w:p w14:paraId="4D56B5C9">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6427C7D8">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根据投标银行浙江省政府金融机构支持地方经济社会发展评价结果进行评分（一等奖、二等奖、三等奖、未得奖）。一等奖得2分，二等奖1.5分，三等奖1分，未得奖0分。（由浙江省财政厅提供数据）</w:t>
            </w:r>
          </w:p>
        </w:tc>
      </w:tr>
      <w:tr w14:paraId="17DC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7B835FF5">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14:paraId="36431105">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2.支持制造业情况</w:t>
            </w:r>
          </w:p>
        </w:tc>
        <w:tc>
          <w:tcPr>
            <w:tcW w:w="786" w:type="dxa"/>
            <w:vAlign w:val="center"/>
          </w:tcPr>
          <w:p w14:paraId="0F80B1CB">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4C58E8CB">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根据投标银行制造业贷款余额排名进行评分。排名第一得2分，其余投标银行排名每降低一名相应递减0.02分，减完为止。（由浙江省财政厅提供数据）</w:t>
            </w:r>
          </w:p>
        </w:tc>
      </w:tr>
      <w:tr w14:paraId="3770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83" w:type="dxa"/>
            <w:vMerge w:val="continue"/>
          </w:tcPr>
          <w:p w14:paraId="59611514">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14:paraId="31264A83">
            <w:pPr>
              <w:snapToGrid w:val="0"/>
              <w:spacing w:line="288" w:lineRule="auto"/>
              <w:jc w:val="center"/>
              <w:rPr>
                <w:rFonts w:ascii="宋体" w:hAnsi="宋体" w:cs="宋体"/>
                <w:color w:val="auto"/>
                <w:sz w:val="21"/>
                <w:szCs w:val="21"/>
                <w:highlight w:val="none"/>
              </w:rPr>
            </w:pPr>
          </w:p>
        </w:tc>
        <w:tc>
          <w:tcPr>
            <w:tcW w:w="786" w:type="dxa"/>
            <w:vAlign w:val="center"/>
          </w:tcPr>
          <w:p w14:paraId="181BA2B0">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2C88DF23">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根据投标银行制造业贷款余额占各项贷款余额比例增长情况排名进行评分。排名第一得2分，其余投标银行排名每降低一名相应递减0.02分，减完为止。（由浙江省财政厅提供数据）</w:t>
            </w:r>
          </w:p>
        </w:tc>
      </w:tr>
      <w:tr w14:paraId="3799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83" w:type="dxa"/>
            <w:vMerge w:val="continue"/>
          </w:tcPr>
          <w:p w14:paraId="0BE3C4C1">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14:paraId="6348746E">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3.助力“共同富裕”建设情况</w:t>
            </w:r>
          </w:p>
        </w:tc>
        <w:tc>
          <w:tcPr>
            <w:tcW w:w="786" w:type="dxa"/>
            <w:vAlign w:val="center"/>
          </w:tcPr>
          <w:p w14:paraId="45C9D71A">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75E50FE0">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根据投标银行普惠小微企业贷款余额排名进行评分。排名第一得2分，其余投标银行排名每降低一名相应递减0.02分，减完为止。（由浙江省财政厅提供数据）</w:t>
            </w:r>
          </w:p>
        </w:tc>
      </w:tr>
      <w:tr w14:paraId="5689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83" w:type="dxa"/>
            <w:vMerge w:val="continue"/>
          </w:tcPr>
          <w:p w14:paraId="2EB4BD80">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14:paraId="5A2F943A">
            <w:pPr>
              <w:jc w:val="center"/>
              <w:textAlignment w:val="center"/>
              <w:rPr>
                <w:rFonts w:ascii="宋体" w:hAnsi="宋体" w:cs="宋体"/>
                <w:color w:val="auto"/>
                <w:sz w:val="21"/>
                <w:szCs w:val="21"/>
                <w:highlight w:val="none"/>
              </w:rPr>
            </w:pPr>
          </w:p>
        </w:tc>
        <w:tc>
          <w:tcPr>
            <w:tcW w:w="786" w:type="dxa"/>
            <w:vAlign w:val="center"/>
          </w:tcPr>
          <w:p w14:paraId="6BB4B32D">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671491DE">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根据投标银行普惠小微企业贷款余额占各项贷款余额比例增长情况排名进行评分。排名第一得2分，其余投标银行排名每降低一名相应递减0.02分，减完为止。（由浙江省财政厅提供数据）</w:t>
            </w:r>
          </w:p>
        </w:tc>
      </w:tr>
      <w:tr w14:paraId="5CD0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83" w:type="dxa"/>
            <w:vMerge w:val="continue"/>
          </w:tcPr>
          <w:p w14:paraId="40A16470">
            <w:pPr>
              <w:autoSpaceDE w:val="0"/>
              <w:autoSpaceDN w:val="0"/>
              <w:spacing w:line="288" w:lineRule="auto"/>
              <w:jc w:val="center"/>
              <w:rPr>
                <w:rFonts w:ascii="宋体" w:hAnsi="宋体" w:cs="宋体"/>
                <w:b/>
                <w:bCs/>
                <w:color w:val="auto"/>
                <w:sz w:val="21"/>
                <w:szCs w:val="21"/>
                <w:highlight w:val="none"/>
              </w:rPr>
            </w:pPr>
          </w:p>
        </w:tc>
        <w:tc>
          <w:tcPr>
            <w:tcW w:w="1199" w:type="dxa"/>
            <w:vMerge w:val="continue"/>
            <w:vAlign w:val="center"/>
          </w:tcPr>
          <w:p w14:paraId="74BD4467">
            <w:pPr>
              <w:jc w:val="center"/>
              <w:textAlignment w:val="center"/>
              <w:rPr>
                <w:rFonts w:ascii="宋体" w:hAnsi="宋体" w:cs="宋体"/>
                <w:color w:val="auto"/>
                <w:kern w:val="0"/>
                <w:sz w:val="21"/>
                <w:szCs w:val="21"/>
                <w:highlight w:val="none"/>
              </w:rPr>
            </w:pPr>
          </w:p>
        </w:tc>
        <w:tc>
          <w:tcPr>
            <w:tcW w:w="786" w:type="dxa"/>
            <w:vAlign w:val="center"/>
          </w:tcPr>
          <w:p w14:paraId="5CA6573A">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21CFA5CB">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根据投标银行涉农贷款余额排名进行评分。排名第一得2分，其余投标银行排名每降低一名相应递减0.02分，减完为止。（由浙江省财政厅提供数据）</w:t>
            </w:r>
          </w:p>
        </w:tc>
      </w:tr>
      <w:tr w14:paraId="57F0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83" w:type="dxa"/>
            <w:vMerge w:val="continue"/>
          </w:tcPr>
          <w:p w14:paraId="306484AA">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14:paraId="7A9E3B0D">
            <w:pPr>
              <w:snapToGrid w:val="0"/>
              <w:spacing w:line="288" w:lineRule="auto"/>
              <w:jc w:val="center"/>
              <w:rPr>
                <w:rFonts w:ascii="宋体" w:hAnsi="宋体" w:cs="宋体"/>
                <w:color w:val="auto"/>
                <w:sz w:val="21"/>
                <w:szCs w:val="21"/>
                <w:highlight w:val="none"/>
              </w:rPr>
            </w:pPr>
          </w:p>
        </w:tc>
        <w:tc>
          <w:tcPr>
            <w:tcW w:w="786" w:type="dxa"/>
            <w:vAlign w:val="center"/>
          </w:tcPr>
          <w:p w14:paraId="3DFE623A">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7C25BB1B">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根据投标银行涉农贷款余额占各项贷款余额比例增长情况排名进行评分。排名第一得2分，其余投标银行排名每降低一名相应递减0.02分，减完为止。（由浙江省财政厅提供数据）</w:t>
            </w:r>
          </w:p>
        </w:tc>
      </w:tr>
      <w:tr w14:paraId="00A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83" w:type="dxa"/>
            <w:vMerge w:val="continue"/>
          </w:tcPr>
          <w:p w14:paraId="2161FE80">
            <w:pPr>
              <w:autoSpaceDE w:val="0"/>
              <w:autoSpaceDN w:val="0"/>
              <w:spacing w:line="288" w:lineRule="auto"/>
              <w:jc w:val="center"/>
              <w:rPr>
                <w:rFonts w:ascii="宋体" w:hAnsi="宋体" w:cs="宋体"/>
                <w:b/>
                <w:bCs/>
                <w:color w:val="auto"/>
                <w:sz w:val="21"/>
                <w:szCs w:val="21"/>
                <w:highlight w:val="none"/>
              </w:rPr>
            </w:pPr>
          </w:p>
        </w:tc>
        <w:tc>
          <w:tcPr>
            <w:tcW w:w="1199" w:type="dxa"/>
            <w:vMerge w:val="continue"/>
            <w:vAlign w:val="center"/>
          </w:tcPr>
          <w:p w14:paraId="6A68BE25">
            <w:pPr>
              <w:textAlignment w:val="center"/>
              <w:rPr>
                <w:rFonts w:ascii="宋体" w:hAnsi="宋体" w:cs="宋体"/>
                <w:color w:val="auto"/>
                <w:kern w:val="0"/>
                <w:sz w:val="21"/>
                <w:szCs w:val="21"/>
                <w:highlight w:val="none"/>
              </w:rPr>
            </w:pPr>
          </w:p>
        </w:tc>
        <w:tc>
          <w:tcPr>
            <w:tcW w:w="786" w:type="dxa"/>
            <w:vAlign w:val="center"/>
          </w:tcPr>
          <w:p w14:paraId="0970EDA2">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7A922042">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根据投标银行民营企业贷款余额排名进行评分。排名第一得2分，其余投标银行排名每降低一名相应递减0.02分，减完为止。（由浙江省财政厅提供数据）</w:t>
            </w:r>
          </w:p>
        </w:tc>
      </w:tr>
      <w:tr w14:paraId="7D1E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1E5DAE54">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14:paraId="2326935D">
            <w:pPr>
              <w:snapToGrid w:val="0"/>
              <w:spacing w:line="288" w:lineRule="auto"/>
              <w:jc w:val="center"/>
              <w:rPr>
                <w:rFonts w:ascii="宋体" w:hAnsi="宋体" w:cs="宋体"/>
                <w:color w:val="auto"/>
                <w:sz w:val="21"/>
                <w:szCs w:val="21"/>
                <w:highlight w:val="none"/>
              </w:rPr>
            </w:pPr>
          </w:p>
        </w:tc>
        <w:tc>
          <w:tcPr>
            <w:tcW w:w="786" w:type="dxa"/>
            <w:vAlign w:val="center"/>
          </w:tcPr>
          <w:p w14:paraId="6E0F2A61">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5CA9961F">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根据投标银行民营企业贷款余额占各项贷款余额比例增长情况排名进行评分。排名第一得2分，其余投标银行排名每降低一名相应递减0.02分，减完为止。（由浙江省财政厅提供数据）</w:t>
            </w:r>
          </w:p>
        </w:tc>
      </w:tr>
      <w:tr w14:paraId="2D4F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3" w:type="dxa"/>
            <w:vMerge w:val="continue"/>
          </w:tcPr>
          <w:p w14:paraId="5F296687">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14:paraId="6C2EBF9F">
            <w:pPr>
              <w:snapToGrid w:val="0"/>
              <w:spacing w:line="288" w:lineRule="auto"/>
              <w:jc w:val="center"/>
              <w:rPr>
                <w:rFonts w:ascii="宋体" w:hAnsi="宋体" w:cs="宋体"/>
                <w:color w:val="auto"/>
                <w:kern w:val="0"/>
                <w:sz w:val="21"/>
                <w:szCs w:val="21"/>
                <w:highlight w:val="none"/>
              </w:rPr>
            </w:pPr>
          </w:p>
        </w:tc>
        <w:tc>
          <w:tcPr>
            <w:tcW w:w="786" w:type="dxa"/>
            <w:vAlign w:val="center"/>
          </w:tcPr>
          <w:p w14:paraId="58179491">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c>
          <w:tcPr>
            <w:tcW w:w="7034" w:type="dxa"/>
            <w:vAlign w:val="center"/>
          </w:tcPr>
          <w:p w14:paraId="72404D5E">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根据“浙里捐赠”平台捐赠情况排名进行评分。排名第一得1分，其余投标银行排名每降低一名相应递减0.02分，减完为止。（由浙江省财政厅提供数据）</w:t>
            </w:r>
          </w:p>
        </w:tc>
      </w:tr>
      <w:tr w14:paraId="4176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83" w:type="dxa"/>
            <w:vMerge w:val="continue"/>
          </w:tcPr>
          <w:p w14:paraId="359227AE">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14:paraId="2F07793D">
            <w:pPr>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4.纳税情况</w:t>
            </w:r>
          </w:p>
        </w:tc>
        <w:tc>
          <w:tcPr>
            <w:tcW w:w="786" w:type="dxa"/>
            <w:vAlign w:val="center"/>
          </w:tcPr>
          <w:p w14:paraId="72D107FD">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585EAF36">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根据投标银行纳税总额排名进行评分。排名第一得2分，其余投标银行排名每降低一名相应递减0.02分，减完为止。（由浙江省财政厅提供数据）</w:t>
            </w:r>
          </w:p>
        </w:tc>
      </w:tr>
      <w:tr w14:paraId="0949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4BA91260">
            <w:pPr>
              <w:autoSpaceDE w:val="0"/>
              <w:autoSpaceDN w:val="0"/>
              <w:spacing w:line="288" w:lineRule="auto"/>
              <w:jc w:val="center"/>
              <w:rPr>
                <w:rFonts w:ascii="宋体" w:hAnsi="宋体" w:cs="宋体"/>
                <w:b/>
                <w:bCs/>
                <w:color w:val="auto"/>
                <w:sz w:val="21"/>
                <w:szCs w:val="21"/>
                <w:highlight w:val="none"/>
              </w:rPr>
            </w:pPr>
          </w:p>
        </w:tc>
        <w:tc>
          <w:tcPr>
            <w:tcW w:w="1199" w:type="dxa"/>
            <w:vMerge w:val="continue"/>
          </w:tcPr>
          <w:p w14:paraId="69CE1FF3">
            <w:pPr>
              <w:snapToGrid w:val="0"/>
              <w:spacing w:line="288" w:lineRule="auto"/>
              <w:jc w:val="center"/>
              <w:rPr>
                <w:rFonts w:ascii="宋体" w:hAnsi="宋体" w:cs="宋体"/>
                <w:color w:val="auto"/>
                <w:kern w:val="0"/>
                <w:sz w:val="21"/>
                <w:szCs w:val="21"/>
                <w:highlight w:val="none"/>
              </w:rPr>
            </w:pPr>
          </w:p>
        </w:tc>
        <w:tc>
          <w:tcPr>
            <w:tcW w:w="786" w:type="dxa"/>
            <w:vAlign w:val="center"/>
          </w:tcPr>
          <w:p w14:paraId="0BEFB199">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7034" w:type="dxa"/>
            <w:vAlign w:val="center"/>
          </w:tcPr>
          <w:p w14:paraId="58DF4CEA">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根据投标银行税收增长率排名进行评分。排名第一得2分，其余投标银行排名每降低一名相应递减0.02分，减完为止。（由浙江省财政厅提供数据）</w:t>
            </w:r>
          </w:p>
        </w:tc>
      </w:tr>
      <w:tr w14:paraId="4519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673D0C61">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14:paraId="5D4B6140">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5.支持科技情况</w:t>
            </w:r>
          </w:p>
        </w:tc>
        <w:tc>
          <w:tcPr>
            <w:tcW w:w="786" w:type="dxa"/>
            <w:vAlign w:val="center"/>
          </w:tcPr>
          <w:p w14:paraId="3A885256">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c>
          <w:tcPr>
            <w:tcW w:w="7034" w:type="dxa"/>
            <w:vAlign w:val="center"/>
          </w:tcPr>
          <w:p w14:paraId="45CA5F1E">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根据投标银行科技贷款余额排名进行评分。排名第一得2分，其余投标银行排名每降低一名相应递减0.02分，减完为止。（由浙江省财政厅提供数据）</w:t>
            </w:r>
          </w:p>
        </w:tc>
      </w:tr>
      <w:tr w14:paraId="478F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46CF9DB6">
            <w:pPr>
              <w:autoSpaceDE w:val="0"/>
              <w:autoSpaceDN w:val="0"/>
              <w:spacing w:line="288" w:lineRule="auto"/>
              <w:jc w:val="center"/>
              <w:rPr>
                <w:rFonts w:ascii="宋体" w:hAnsi="宋体" w:cs="宋体"/>
                <w:b/>
                <w:bCs/>
                <w:color w:val="auto"/>
                <w:sz w:val="21"/>
                <w:szCs w:val="21"/>
                <w:highlight w:val="none"/>
              </w:rPr>
            </w:pPr>
          </w:p>
        </w:tc>
        <w:tc>
          <w:tcPr>
            <w:tcW w:w="1199" w:type="dxa"/>
            <w:vMerge w:val="continue"/>
            <w:vAlign w:val="center"/>
          </w:tcPr>
          <w:p w14:paraId="203A53D1">
            <w:pPr>
              <w:jc w:val="center"/>
              <w:textAlignment w:val="center"/>
              <w:rPr>
                <w:rFonts w:ascii="宋体" w:hAnsi="宋体" w:cs="宋体"/>
                <w:color w:val="auto"/>
                <w:kern w:val="0"/>
                <w:sz w:val="21"/>
                <w:szCs w:val="21"/>
                <w:highlight w:val="none"/>
              </w:rPr>
            </w:pPr>
          </w:p>
        </w:tc>
        <w:tc>
          <w:tcPr>
            <w:tcW w:w="786" w:type="dxa"/>
            <w:vAlign w:val="center"/>
          </w:tcPr>
          <w:p w14:paraId="7B62500F">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c>
          <w:tcPr>
            <w:tcW w:w="7034" w:type="dxa"/>
            <w:vAlign w:val="center"/>
          </w:tcPr>
          <w:p w14:paraId="11A65340">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根据投标银行科技贷款余额占各项贷款余额比例增长情况排名进行评分。排名第一得1分，其余投标银行排名每降低一名相应递减0.02分，减完为止。（由浙江省财政厅提供数据）</w:t>
            </w:r>
          </w:p>
        </w:tc>
      </w:tr>
      <w:tr w14:paraId="4180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413C2CEA">
            <w:pPr>
              <w:autoSpaceDE w:val="0"/>
              <w:autoSpaceDN w:val="0"/>
              <w:spacing w:line="288" w:lineRule="auto"/>
              <w:jc w:val="center"/>
              <w:rPr>
                <w:rFonts w:ascii="宋体" w:hAnsi="宋体" w:cs="宋体"/>
                <w:b/>
                <w:bCs/>
                <w:color w:val="auto"/>
                <w:sz w:val="21"/>
                <w:szCs w:val="21"/>
                <w:highlight w:val="none"/>
              </w:rPr>
            </w:pPr>
          </w:p>
        </w:tc>
        <w:tc>
          <w:tcPr>
            <w:tcW w:w="1199" w:type="dxa"/>
            <w:vMerge w:val="restart"/>
            <w:vAlign w:val="center"/>
          </w:tcPr>
          <w:p w14:paraId="4C38D5EF">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6.绿色金融情况</w:t>
            </w:r>
          </w:p>
        </w:tc>
        <w:tc>
          <w:tcPr>
            <w:tcW w:w="786" w:type="dxa"/>
            <w:vAlign w:val="center"/>
          </w:tcPr>
          <w:p w14:paraId="666050D2">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2</w:t>
            </w:r>
          </w:p>
        </w:tc>
        <w:tc>
          <w:tcPr>
            <w:tcW w:w="7034" w:type="dxa"/>
            <w:vAlign w:val="center"/>
          </w:tcPr>
          <w:p w14:paraId="48DEBF7E">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根据投标银行绿色贷款余额排名进行评分。排名第一得2分，其余投标银行排名每降低一名相应递减0.02分，减完为止。（由浙江省财政厅提供数据）</w:t>
            </w:r>
          </w:p>
        </w:tc>
      </w:tr>
      <w:tr w14:paraId="1210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548D7FD7">
            <w:pPr>
              <w:autoSpaceDE w:val="0"/>
              <w:autoSpaceDN w:val="0"/>
              <w:spacing w:line="288" w:lineRule="auto"/>
              <w:jc w:val="center"/>
              <w:rPr>
                <w:rFonts w:ascii="宋体" w:hAnsi="宋体" w:cs="宋体"/>
                <w:b/>
                <w:bCs/>
                <w:color w:val="auto"/>
                <w:sz w:val="21"/>
                <w:szCs w:val="21"/>
                <w:highlight w:val="none"/>
              </w:rPr>
            </w:pPr>
          </w:p>
        </w:tc>
        <w:tc>
          <w:tcPr>
            <w:tcW w:w="1199" w:type="dxa"/>
            <w:vMerge w:val="continue"/>
            <w:vAlign w:val="center"/>
          </w:tcPr>
          <w:p w14:paraId="2CA020B1">
            <w:pPr>
              <w:jc w:val="center"/>
              <w:textAlignment w:val="center"/>
              <w:rPr>
                <w:rFonts w:ascii="宋体" w:hAnsi="宋体" w:cs="宋体"/>
                <w:color w:val="auto"/>
                <w:kern w:val="0"/>
                <w:sz w:val="21"/>
                <w:szCs w:val="21"/>
                <w:highlight w:val="none"/>
              </w:rPr>
            </w:pPr>
          </w:p>
        </w:tc>
        <w:tc>
          <w:tcPr>
            <w:tcW w:w="786" w:type="dxa"/>
            <w:vAlign w:val="center"/>
          </w:tcPr>
          <w:p w14:paraId="4471D8FC">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1</w:t>
            </w:r>
          </w:p>
        </w:tc>
        <w:tc>
          <w:tcPr>
            <w:tcW w:w="7034" w:type="dxa"/>
            <w:vAlign w:val="center"/>
          </w:tcPr>
          <w:p w14:paraId="2B1AC812">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bidi="ar"/>
              </w:rPr>
              <w:t>根据投标银行绿色贷款余额占各项贷款余额比例增长情况排名进行评分。排名第一得1分，其余投标银行排名每降低一名相应递减0.02分，减完为止。（由浙江省财政厅提供数据）</w:t>
            </w:r>
          </w:p>
        </w:tc>
      </w:tr>
      <w:tr w14:paraId="2139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tcPr>
          <w:p w14:paraId="403B8712">
            <w:pPr>
              <w:autoSpaceDE w:val="0"/>
              <w:autoSpaceDN w:val="0"/>
              <w:spacing w:line="288" w:lineRule="auto"/>
              <w:jc w:val="center"/>
              <w:rPr>
                <w:rFonts w:ascii="宋体" w:hAnsi="宋体" w:cs="宋体"/>
                <w:b/>
                <w:bCs/>
                <w:color w:val="auto"/>
                <w:sz w:val="21"/>
                <w:szCs w:val="21"/>
                <w:highlight w:val="none"/>
              </w:rPr>
            </w:pPr>
          </w:p>
        </w:tc>
        <w:tc>
          <w:tcPr>
            <w:tcW w:w="1199" w:type="dxa"/>
            <w:vAlign w:val="center"/>
          </w:tcPr>
          <w:p w14:paraId="61A7B85F">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7.支持浙江省公益性事业发展情况</w:t>
            </w:r>
          </w:p>
        </w:tc>
        <w:tc>
          <w:tcPr>
            <w:tcW w:w="786" w:type="dxa"/>
            <w:vAlign w:val="center"/>
          </w:tcPr>
          <w:p w14:paraId="575B47D1">
            <w:pPr>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7034" w:type="dxa"/>
            <w:vAlign w:val="center"/>
          </w:tcPr>
          <w:p w14:paraId="6E2BC88D">
            <w:pP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根据投标银行支持浙江省公益性事业发展债务融资承销余额排名（含承办柜台发行量）进行评分。排名第一得1分，其余投标银行排名每降低一名相应递减0.02分，减完为止。（由浙江省财政厅提供数据）</w:t>
            </w:r>
          </w:p>
        </w:tc>
      </w:tr>
    </w:tbl>
    <w:p w14:paraId="12354A61">
      <w:pPr>
        <w:spacing w:line="360" w:lineRule="auto"/>
        <w:jc w:val="center"/>
        <w:outlineLvl w:val="0"/>
        <w:rPr>
          <w:rFonts w:ascii="宋体" w:hAnsi="宋体"/>
          <w:b/>
          <w:color w:val="auto"/>
          <w:sz w:val="21"/>
          <w:szCs w:val="21"/>
          <w:highlight w:val="none"/>
        </w:rPr>
      </w:pPr>
      <w:r>
        <w:rPr>
          <w:rFonts w:ascii="宋体" w:hAnsi="宋体"/>
          <w:b/>
          <w:bCs/>
          <w:color w:val="auto"/>
          <w:spacing w:val="-6"/>
          <w:sz w:val="32"/>
          <w:szCs w:val="32"/>
          <w:highlight w:val="none"/>
        </w:rPr>
        <w:br w:type="page"/>
      </w:r>
      <w:r>
        <w:rPr>
          <w:rFonts w:hint="eastAsia" w:ascii="宋体" w:hAnsi="宋体"/>
          <w:b/>
          <w:bCs/>
          <w:color w:val="auto"/>
          <w:spacing w:val="-6"/>
          <w:sz w:val="32"/>
          <w:szCs w:val="32"/>
          <w:highlight w:val="none"/>
        </w:rPr>
        <w:t>第五章  拟签订的协议文本</w:t>
      </w:r>
    </w:p>
    <w:p w14:paraId="47A29F38">
      <w:pPr>
        <w:spacing w:line="360" w:lineRule="auto"/>
        <w:jc w:val="center"/>
        <w:rPr>
          <w:rFonts w:ascii="宋体" w:hAnsi="宋体"/>
          <w:b/>
          <w:color w:val="auto"/>
          <w:sz w:val="24"/>
          <w:highlight w:val="none"/>
        </w:rPr>
      </w:pPr>
      <w:r>
        <w:rPr>
          <w:rFonts w:hint="eastAsia" w:ascii="宋体" w:hAnsi="宋体"/>
          <w:b/>
          <w:color w:val="auto"/>
          <w:sz w:val="24"/>
          <w:highlight w:val="none"/>
        </w:rPr>
        <w:t>《浙江人大》杂志社2024年公款竞争性存放协议书</w:t>
      </w:r>
    </w:p>
    <w:p w14:paraId="5AEC2791">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甲方：《浙江人大》杂志社</w:t>
      </w:r>
    </w:p>
    <w:p w14:paraId="6A77E3B5">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乙方：</w:t>
      </w:r>
    </w:p>
    <w:p w14:paraId="20E10914">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经招标代理机构“浙江求是招标代理有限公司”通过公款竞争性存放方式（招标项目编号：QSZB-F(F)-C24393(GK) ），确定</w:t>
      </w:r>
      <w:r>
        <w:rPr>
          <w:rFonts w:hint="eastAsia" w:ascii="宋体" w:hAnsi="宋体"/>
          <w:color w:val="auto"/>
          <w:spacing w:val="-6"/>
          <w:sz w:val="21"/>
          <w:szCs w:val="21"/>
          <w:highlight w:val="none"/>
          <w:u w:val="single"/>
        </w:rPr>
        <w:t xml:space="preserve">                 为</w:t>
      </w:r>
      <w:r>
        <w:rPr>
          <w:rFonts w:hint="eastAsia" w:ascii="宋体" w:hAnsi="宋体"/>
          <w:color w:val="auto"/>
          <w:spacing w:val="-6"/>
          <w:sz w:val="21"/>
          <w:szCs w:val="21"/>
          <w:highlight w:val="none"/>
        </w:rPr>
        <w:t>中标银行，甲、乙双方友好协商，达成以下条款：</w:t>
      </w:r>
    </w:p>
    <w:p w14:paraId="69088A1D">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一、总则</w:t>
      </w:r>
    </w:p>
    <w:p w14:paraId="097F0B1A">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第一条 根据相关法律法规和《浙江人大》杂志社关于公款存放等相关规定，经甲、乙双方平等协商，签订本协议。</w:t>
      </w:r>
    </w:p>
    <w:p w14:paraId="13EB54F1">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第二条 《浙江人大》杂志社通过公开</w:t>
      </w:r>
      <w:r>
        <w:rPr>
          <w:rFonts w:ascii="宋体" w:hAnsi="宋体"/>
          <w:color w:val="auto"/>
          <w:spacing w:val="-6"/>
          <w:sz w:val="21"/>
          <w:szCs w:val="21"/>
          <w:highlight w:val="none"/>
        </w:rPr>
        <w:t>招标</w:t>
      </w:r>
      <w:r>
        <w:rPr>
          <w:rFonts w:hint="eastAsia" w:ascii="宋体" w:hAnsi="宋体"/>
          <w:color w:val="auto"/>
          <w:spacing w:val="-6"/>
          <w:sz w:val="21"/>
          <w:szCs w:val="21"/>
          <w:highlight w:val="none"/>
        </w:rPr>
        <w:t>方式择优确定《浙江人大》杂志社公款存放的定期存款银行，其定期存款有关的资金管理、本息收回等活动适用本协议。</w:t>
      </w:r>
    </w:p>
    <w:p w14:paraId="7609EDBC">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第三条 经招投标确定，甲方在乙方开立定期存款账户，存入2023年第二期存款</w:t>
      </w:r>
      <w:r>
        <w:rPr>
          <w:rFonts w:hint="eastAsia" w:ascii="宋体" w:hAnsi="宋体"/>
          <w:color w:val="auto"/>
          <w:spacing w:val="-6"/>
          <w:sz w:val="21"/>
          <w:szCs w:val="21"/>
          <w:highlight w:val="none"/>
          <w:u w:val="single"/>
        </w:rPr>
        <w:t xml:space="preserve">       万</w:t>
      </w:r>
      <w:r>
        <w:rPr>
          <w:rFonts w:hint="eastAsia" w:ascii="宋体" w:hAnsi="宋体"/>
          <w:color w:val="auto"/>
          <w:spacing w:val="-6"/>
          <w:sz w:val="21"/>
          <w:szCs w:val="21"/>
          <w:highlight w:val="none"/>
        </w:rPr>
        <w:t>元，定期存款年利率</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%。甲、乙双方协商指定办理定期存款的分支机构为：</w:t>
      </w:r>
      <w:r>
        <w:rPr>
          <w:rFonts w:hint="eastAsia" w:ascii="宋体" w:hAnsi="宋体"/>
          <w:color w:val="auto"/>
          <w:spacing w:val="-6"/>
          <w:sz w:val="21"/>
          <w:szCs w:val="21"/>
          <w:highlight w:val="none"/>
          <w:u w:val="single"/>
        </w:rPr>
        <w:t xml:space="preserve">                        </w:t>
      </w:r>
      <w:r>
        <w:rPr>
          <w:rFonts w:hint="eastAsia" w:ascii="宋体" w:hAnsi="宋体"/>
          <w:color w:val="auto"/>
          <w:spacing w:val="-6"/>
          <w:sz w:val="21"/>
          <w:szCs w:val="21"/>
          <w:highlight w:val="none"/>
        </w:rPr>
        <w:t>。</w:t>
      </w:r>
    </w:p>
    <w:p w14:paraId="00DFFB0B">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第四条 定期存入时间由甲方按中标银行排序依次通知，甲方于存入日前至少提前2个工作日通知乙方办理定期存款相关事项。</w:t>
      </w:r>
    </w:p>
    <w:p w14:paraId="4AD25900">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二、甲方权利与义务</w:t>
      </w:r>
    </w:p>
    <w:p w14:paraId="0E643641">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（一）甲方权利主要包括：</w:t>
      </w:r>
    </w:p>
    <w:p w14:paraId="5314863A">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1.组织开展《浙江人大》杂志社公款存放工作；</w:t>
      </w:r>
    </w:p>
    <w:p w14:paraId="49A0ABA7">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2.要求乙方提供存款证明；</w:t>
      </w:r>
    </w:p>
    <w:p w14:paraId="7784E4AA">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3.对乙方《浙江人大》杂志社定期存款业务实施监督管理。</w:t>
      </w:r>
    </w:p>
    <w:p w14:paraId="2D3D779B">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（二）甲方义务主要包括：</w:t>
      </w:r>
    </w:p>
    <w:p w14:paraId="5DF68120">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按规定签发划拨定期存款资金的指令。</w:t>
      </w:r>
    </w:p>
    <w:p w14:paraId="499380A3">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三、乙方权利与义务</w:t>
      </w:r>
    </w:p>
    <w:p w14:paraId="13C49D5C">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（一）乙方权利主要包括：</w:t>
      </w:r>
    </w:p>
    <w:p w14:paraId="5E8010D6">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1.参与甲方组织的《浙江人大》杂志社公款存放工作；</w:t>
      </w:r>
    </w:p>
    <w:p w14:paraId="3A270C75">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2.按规定金额存放甲方定期存款。</w:t>
      </w:r>
    </w:p>
    <w:p w14:paraId="1C7B9003">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（二）乙方义务主要包括：</w:t>
      </w:r>
    </w:p>
    <w:p w14:paraId="08AE3BBA">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1.按规定办理甲方定期存款存放手续；</w:t>
      </w:r>
    </w:p>
    <w:p w14:paraId="5815630F">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2.向甲方提供存款证明；</w:t>
      </w:r>
    </w:p>
    <w:p w14:paraId="6C223E3B">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3.存款到期及时足额缴清甲方存款本息；</w:t>
      </w:r>
    </w:p>
    <w:p w14:paraId="09CA26CC">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4.确保甲方定期存款存续期间的资金安全；</w:t>
      </w:r>
    </w:p>
    <w:p w14:paraId="0A0ABCEE">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5.接受甲方对定期存款业务的监督管理；</w:t>
      </w:r>
    </w:p>
    <w:p w14:paraId="5F62917E">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6.乙方应确定固定部门及经办人员负责甲方公款存放业务，并向《浙江人大》杂志社财务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报备业务部门、部门负责人、具体业务人员及联系方式。如有变更，应于变更后2个工作日内书面告知《浙江人大》杂志社财务</w:t>
      </w:r>
      <w:r>
        <w:rPr>
          <w:rFonts w:ascii="宋体" w:hAnsi="宋体"/>
          <w:color w:val="auto"/>
          <w:spacing w:val="-6"/>
          <w:sz w:val="21"/>
          <w:szCs w:val="21"/>
          <w:highlight w:val="none"/>
        </w:rPr>
        <w:t>部门</w:t>
      </w:r>
      <w:r>
        <w:rPr>
          <w:rFonts w:hint="eastAsia" w:ascii="宋体" w:hAnsi="宋体"/>
          <w:color w:val="auto"/>
          <w:spacing w:val="-6"/>
          <w:sz w:val="21"/>
          <w:szCs w:val="21"/>
          <w:highlight w:val="none"/>
        </w:rPr>
        <w:t>。</w:t>
      </w:r>
    </w:p>
    <w:p w14:paraId="2BA426B7">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四、违约责任</w:t>
      </w:r>
    </w:p>
    <w:p w14:paraId="43D0992D">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除发生不可抗力外，违约责任按以下条款执行：</w:t>
      </w:r>
    </w:p>
    <w:p w14:paraId="366415EB">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1.甲方未及时签发划款指令，造成乙方滞划存款资金，甲方应按未划拨资金额，以当期存款协议中定期存款利率的两倍折成日利率，按日向乙方支付违约金；</w:t>
      </w:r>
    </w:p>
    <w:p w14:paraId="3D683EA1">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2.乙方未及时向甲方缴清到期存款本息的，应以当期存款协议中定期存款利率的两倍折成日利率，按日向甲方支付违约金；</w:t>
      </w:r>
    </w:p>
    <w:p w14:paraId="332D83F7">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3.乙方有下列情形之一的，甲方有权提前收回定期存款，并取消乙方在以后各期的公款</w:t>
      </w:r>
      <w:r>
        <w:rPr>
          <w:rFonts w:ascii="宋体" w:hAnsi="宋体"/>
          <w:color w:val="auto"/>
          <w:spacing w:val="-6"/>
          <w:sz w:val="21"/>
          <w:szCs w:val="21"/>
          <w:highlight w:val="none"/>
        </w:rPr>
        <w:t>存放</w:t>
      </w:r>
      <w:r>
        <w:rPr>
          <w:rFonts w:hint="eastAsia" w:ascii="宋体" w:hAnsi="宋体"/>
          <w:color w:val="auto"/>
          <w:spacing w:val="-6"/>
          <w:sz w:val="21"/>
          <w:szCs w:val="21"/>
          <w:highlight w:val="none"/>
        </w:rPr>
        <w:t>投标资格：</w:t>
      </w:r>
    </w:p>
    <w:p w14:paraId="1AEC7AFB">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（一）出现资金安全事故、重大违法违规情况或财务状况恶化的；</w:t>
      </w:r>
    </w:p>
    <w:p w14:paraId="75C2E159">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（二）监管评级降低后低于人民银行上年度综合评价B级，监管部门认为存在较大运营风险的；</w:t>
      </w:r>
    </w:p>
    <w:p w14:paraId="676A95A4">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（三）进行不正当投标的；</w:t>
      </w:r>
    </w:p>
    <w:p w14:paraId="4E116CF0">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（四）没有按照中标协议承诺履行相应的责任和义务的；</w:t>
      </w:r>
    </w:p>
    <w:p w14:paraId="2DB94538">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（五）不能按规定将到期存款本息足额缴入单位账户的；</w:t>
      </w:r>
    </w:p>
    <w:p w14:paraId="09EC9FAE">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（六）存在其他妨害资金安全行为的。</w:t>
      </w:r>
    </w:p>
    <w:p w14:paraId="51025F7F">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五、提前支取</w:t>
      </w:r>
    </w:p>
    <w:p w14:paraId="6BBC6683">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经与乙方协商，甲方有权在到期日前提前支取定期存款，甲方至少</w:t>
      </w:r>
      <w:r>
        <w:rPr>
          <w:rFonts w:ascii="宋体" w:hAnsi="宋体"/>
          <w:color w:val="auto"/>
          <w:spacing w:val="-6"/>
          <w:sz w:val="21"/>
          <w:szCs w:val="21"/>
          <w:highlight w:val="none"/>
        </w:rPr>
        <w:t>应在</w:t>
      </w:r>
      <w:r>
        <w:rPr>
          <w:rFonts w:hint="eastAsia" w:ascii="宋体" w:hAnsi="宋体"/>
          <w:color w:val="auto"/>
          <w:spacing w:val="-6"/>
          <w:sz w:val="21"/>
          <w:szCs w:val="21"/>
          <w:highlight w:val="none"/>
        </w:rPr>
        <w:t>2个</w:t>
      </w:r>
      <w:r>
        <w:rPr>
          <w:rFonts w:ascii="宋体" w:hAnsi="宋体"/>
          <w:color w:val="auto"/>
          <w:spacing w:val="-6"/>
          <w:sz w:val="21"/>
          <w:szCs w:val="21"/>
          <w:highlight w:val="none"/>
        </w:rPr>
        <w:t>工作日前通知乙方，</w:t>
      </w:r>
      <w:r>
        <w:rPr>
          <w:rFonts w:hint="eastAsia" w:ascii="宋体" w:hAnsi="宋体"/>
          <w:color w:val="auto"/>
          <w:spacing w:val="-6"/>
          <w:sz w:val="21"/>
          <w:szCs w:val="21"/>
          <w:highlight w:val="none"/>
        </w:rPr>
        <w:t>提前支取定期存款计息方案：按</w:t>
      </w:r>
      <w:r>
        <w:rPr>
          <w:rFonts w:ascii="宋体" w:hAnsi="宋体"/>
          <w:color w:val="auto"/>
          <w:spacing w:val="-6"/>
          <w:sz w:val="21"/>
          <w:szCs w:val="21"/>
          <w:highlight w:val="none"/>
        </w:rPr>
        <w:t>投标文件执行</w:t>
      </w:r>
      <w:r>
        <w:rPr>
          <w:rFonts w:hint="eastAsia" w:ascii="宋体" w:hAnsi="宋体"/>
          <w:color w:val="auto"/>
          <w:spacing w:val="-6"/>
          <w:sz w:val="21"/>
          <w:szCs w:val="21"/>
          <w:highlight w:val="none"/>
        </w:rPr>
        <w:t>。</w:t>
      </w:r>
    </w:p>
    <w:p w14:paraId="0A22D9F7">
      <w:pPr>
        <w:spacing w:line="360" w:lineRule="auto"/>
        <w:ind w:firstLine="495"/>
        <w:rPr>
          <w:rFonts w:ascii="宋体" w:hAnsi="宋体"/>
          <w:b/>
          <w:color w:val="auto"/>
          <w:spacing w:val="-6"/>
          <w:sz w:val="21"/>
          <w:szCs w:val="21"/>
          <w:highlight w:val="none"/>
        </w:rPr>
      </w:pPr>
      <w:r>
        <w:rPr>
          <w:rFonts w:hint="eastAsia" w:ascii="宋体" w:hAnsi="宋体"/>
          <w:b/>
          <w:color w:val="auto"/>
          <w:spacing w:val="-6"/>
          <w:sz w:val="21"/>
          <w:szCs w:val="21"/>
          <w:highlight w:val="none"/>
        </w:rPr>
        <w:t>六、协议期限</w:t>
      </w:r>
    </w:p>
    <w:p w14:paraId="3573E4AC">
      <w:pPr>
        <w:spacing w:line="360" w:lineRule="auto"/>
        <w:ind w:firstLine="495"/>
        <w:rPr>
          <w:rFonts w:ascii="宋体" w:hAnsi="宋体"/>
          <w:color w:val="auto"/>
          <w:spacing w:val="-6"/>
          <w:sz w:val="21"/>
          <w:szCs w:val="21"/>
          <w:highlight w:val="none"/>
        </w:rPr>
      </w:pPr>
      <w:r>
        <w:rPr>
          <w:rFonts w:hint="eastAsia" w:ascii="宋体" w:hAnsi="宋体"/>
          <w:color w:val="auto"/>
          <w:spacing w:val="-6"/>
          <w:sz w:val="21"/>
          <w:szCs w:val="21"/>
          <w:highlight w:val="none"/>
        </w:rPr>
        <w:t>本协议期限自</w:t>
      </w:r>
      <w:r>
        <w:rPr>
          <w:rFonts w:hint="eastAsia" w:ascii="宋体" w:hAnsi="宋体"/>
          <w:color w:val="auto"/>
          <w:spacing w:val="-6"/>
          <w:sz w:val="21"/>
          <w:szCs w:val="21"/>
          <w:highlight w:val="none"/>
          <w:u w:val="single"/>
        </w:rPr>
        <w:t>存入之日起1年</w:t>
      </w:r>
      <w:r>
        <w:rPr>
          <w:rFonts w:hint="eastAsia" w:ascii="宋体" w:hAnsi="宋体"/>
          <w:color w:val="auto"/>
          <w:spacing w:val="-6"/>
          <w:sz w:val="21"/>
          <w:szCs w:val="21"/>
          <w:highlight w:val="none"/>
        </w:rPr>
        <w:t>。</w:t>
      </w:r>
    </w:p>
    <w:p w14:paraId="6FE6EA26">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七</w:t>
      </w:r>
      <w:r>
        <w:rPr>
          <w:rFonts w:ascii="宋体" w:hAnsi="宋体"/>
          <w:b/>
          <w:color w:val="auto"/>
          <w:spacing w:val="-6"/>
          <w:sz w:val="21"/>
          <w:szCs w:val="21"/>
          <w:highlight w:val="none"/>
        </w:rPr>
        <w:t>、</w:t>
      </w:r>
      <w:r>
        <w:rPr>
          <w:rFonts w:hint="eastAsia" w:ascii="宋体" w:hAnsi="宋体"/>
          <w:color w:val="auto"/>
          <w:spacing w:val="-6"/>
          <w:sz w:val="21"/>
          <w:szCs w:val="21"/>
          <w:highlight w:val="none"/>
        </w:rPr>
        <w:t>本协议一式伍份，甲方执叁份、乙方与鉴证方各执壹份，具有同等法律效力。执行中如对本协议产生争议，通过协商解决。</w:t>
      </w:r>
    </w:p>
    <w:p w14:paraId="7396CCCB">
      <w:pPr>
        <w:spacing w:line="360" w:lineRule="auto"/>
        <w:ind w:firstLine="495"/>
        <w:rPr>
          <w:rFonts w:ascii="宋体" w:hAnsi="宋体"/>
          <w:color w:val="auto"/>
          <w:spacing w:val="-6"/>
          <w:sz w:val="21"/>
          <w:szCs w:val="21"/>
          <w:highlight w:val="none"/>
        </w:rPr>
      </w:pPr>
      <w:r>
        <w:rPr>
          <w:rFonts w:hint="eastAsia" w:ascii="宋体" w:hAnsi="宋体"/>
          <w:b/>
          <w:color w:val="auto"/>
          <w:spacing w:val="-6"/>
          <w:sz w:val="21"/>
          <w:szCs w:val="21"/>
          <w:highlight w:val="none"/>
        </w:rPr>
        <w:t>八、</w:t>
      </w:r>
      <w:r>
        <w:rPr>
          <w:rFonts w:hint="eastAsia" w:ascii="宋体" w:hAnsi="宋体"/>
          <w:color w:val="auto"/>
          <w:spacing w:val="-6"/>
          <w:sz w:val="21"/>
          <w:szCs w:val="21"/>
          <w:highlight w:val="none"/>
        </w:rPr>
        <w:t>相关</w:t>
      </w:r>
      <w:r>
        <w:rPr>
          <w:rFonts w:ascii="宋体" w:hAnsi="宋体"/>
          <w:color w:val="auto"/>
          <w:spacing w:val="-6"/>
          <w:sz w:val="21"/>
          <w:szCs w:val="21"/>
          <w:highlight w:val="none"/>
        </w:rPr>
        <w:t>招标文件、投标文件等与本合同具有同等法律效力。</w:t>
      </w:r>
    </w:p>
    <w:p w14:paraId="13E20C07">
      <w:pPr>
        <w:spacing w:line="360" w:lineRule="auto"/>
        <w:rPr>
          <w:rFonts w:ascii="宋体" w:hAnsi="宋体"/>
          <w:color w:val="auto"/>
          <w:spacing w:val="-6"/>
          <w:sz w:val="21"/>
          <w:szCs w:val="21"/>
          <w:highlight w:val="none"/>
        </w:rPr>
      </w:pPr>
      <w:r>
        <w:rPr>
          <w:rFonts w:hint="eastAsia" w:ascii="宋体" w:hAnsi="宋体"/>
          <w:b/>
          <w:bCs/>
          <w:color w:val="auto"/>
          <w:sz w:val="21"/>
          <w:szCs w:val="21"/>
          <w:highlight w:val="none"/>
        </w:rPr>
        <w:t>甲方（盖章）：《浙江人大》杂志社        乙方（盖章）：</w:t>
      </w:r>
    </w:p>
    <w:p w14:paraId="54FB6A30">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法定代表人或授权委托人                   法定代表人或授权委托人</w:t>
      </w:r>
    </w:p>
    <w:p w14:paraId="385B448A">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（签字）                                （签字）</w:t>
      </w:r>
    </w:p>
    <w:p w14:paraId="5CBFA51F">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地址：                                   地址：</w:t>
      </w:r>
    </w:p>
    <w:p w14:paraId="32BFCEDB">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邮编：                                   邮编：</w:t>
      </w:r>
    </w:p>
    <w:p w14:paraId="0AFC62CD">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电话：                                   电话：</w:t>
      </w:r>
    </w:p>
    <w:p w14:paraId="189A6EEB">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传真：                                   传真：</w:t>
      </w:r>
    </w:p>
    <w:p w14:paraId="024C5394">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开户银行：                               开户银行：</w:t>
      </w:r>
    </w:p>
    <w:p w14:paraId="50CD8DAF">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帐号：                                   帐号：</w:t>
      </w:r>
    </w:p>
    <w:p w14:paraId="07DE6BF6">
      <w:pPr>
        <w:pStyle w:val="13"/>
        <w:snapToGrid w:val="0"/>
        <w:spacing w:beforeLines="0" w:afterLines="0" w:line="360" w:lineRule="auto"/>
        <w:jc w:val="left"/>
        <w:rPr>
          <w:rFonts w:hAnsi="宋体"/>
          <w:color w:val="auto"/>
          <w:sz w:val="21"/>
          <w:szCs w:val="21"/>
          <w:highlight w:val="none"/>
        </w:rPr>
      </w:pPr>
    </w:p>
    <w:p w14:paraId="1AE5F87F">
      <w:pPr>
        <w:pStyle w:val="13"/>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签约时间：   年   月   日</w:t>
      </w:r>
    </w:p>
    <w:p w14:paraId="483C305F">
      <w:pPr>
        <w:spacing w:line="360" w:lineRule="auto"/>
        <w:jc w:val="left"/>
        <w:rPr>
          <w:rFonts w:ascii="宋体" w:hAnsi="宋体"/>
          <w:color w:val="auto"/>
          <w:sz w:val="21"/>
          <w:szCs w:val="21"/>
          <w:highlight w:val="none"/>
        </w:rPr>
      </w:pPr>
      <w:r>
        <w:rPr>
          <w:rFonts w:hint="eastAsia" w:ascii="宋体" w:hAnsi="宋体"/>
          <w:color w:val="auto"/>
          <w:sz w:val="21"/>
          <w:szCs w:val="21"/>
          <w:highlight w:val="none"/>
        </w:rPr>
        <w:t>签约地点：</w:t>
      </w:r>
    </w:p>
    <w:p w14:paraId="5C4DF899">
      <w:pPr>
        <w:pStyle w:val="13"/>
        <w:snapToGrid w:val="0"/>
        <w:spacing w:beforeLines="0" w:afterLines="0" w:line="360" w:lineRule="auto"/>
        <w:jc w:val="left"/>
        <w:rPr>
          <w:rFonts w:hAnsi="宋体"/>
          <w:color w:val="auto"/>
          <w:sz w:val="21"/>
          <w:szCs w:val="21"/>
          <w:highlight w:val="none"/>
        </w:rPr>
      </w:pPr>
    </w:p>
    <w:p w14:paraId="3285E1E7">
      <w:pPr>
        <w:pStyle w:val="13"/>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合同鉴证方：浙江求是招标代理有限公司（公章）</w:t>
      </w:r>
    </w:p>
    <w:p w14:paraId="70437670">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法定代表人或主要负责人：</w:t>
      </w:r>
    </w:p>
    <w:p w14:paraId="3F7394A0">
      <w:pPr>
        <w:pStyle w:val="13"/>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（签字）</w:t>
      </w:r>
    </w:p>
    <w:p w14:paraId="687B53C2">
      <w:pPr>
        <w:pStyle w:val="13"/>
        <w:adjustRightInd w:val="0"/>
        <w:snapToGrid w:val="0"/>
        <w:spacing w:beforeLines="0" w:afterLines="0" w:line="360" w:lineRule="auto"/>
        <w:ind w:left="5103" w:hanging="5103" w:hangingChars="2430"/>
        <w:jc w:val="left"/>
        <w:rPr>
          <w:rFonts w:hAnsi="宋体"/>
          <w:color w:val="auto"/>
          <w:sz w:val="21"/>
          <w:szCs w:val="21"/>
          <w:highlight w:val="none"/>
        </w:rPr>
      </w:pPr>
      <w:r>
        <w:rPr>
          <w:rFonts w:hint="eastAsia" w:hAnsi="宋体"/>
          <w:color w:val="auto"/>
          <w:sz w:val="21"/>
          <w:szCs w:val="21"/>
          <w:highlight w:val="none"/>
        </w:rPr>
        <w:t>鉴证日期：</w:t>
      </w:r>
    </w:p>
    <w:p w14:paraId="0AA383AD">
      <w:pPr>
        <w:spacing w:line="360" w:lineRule="auto"/>
        <w:ind w:right="28" w:rightChars="10"/>
        <w:jc w:val="center"/>
        <w:outlineLvl w:val="0"/>
        <w:rPr>
          <w:rFonts w:ascii="宋体" w:hAnsi="宋体"/>
          <w:color w:val="auto"/>
          <w:spacing w:val="-6"/>
          <w:sz w:val="21"/>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第六章投标文件格式</w:t>
      </w:r>
    </w:p>
    <w:p w14:paraId="4F720213">
      <w:pPr>
        <w:spacing w:line="360" w:lineRule="auto"/>
        <w:rPr>
          <w:rFonts w:ascii="宋体" w:hAnsi="宋体"/>
          <w:b/>
          <w:bCs/>
          <w:color w:val="auto"/>
          <w:spacing w:val="-6"/>
          <w:sz w:val="24"/>
          <w:highlight w:val="none"/>
        </w:rPr>
      </w:pPr>
    </w:p>
    <w:p w14:paraId="09AAF08A">
      <w:pPr>
        <w:pStyle w:val="13"/>
        <w:spacing w:beforeLines="0" w:afterLines="0" w:line="360" w:lineRule="auto"/>
        <w:ind w:firstLine="398" w:firstLineChars="200"/>
        <w:rPr>
          <w:rFonts w:hAnsi="宋体"/>
          <w:b/>
          <w:bCs/>
          <w:color w:val="auto"/>
          <w:spacing w:val="-6"/>
          <w:sz w:val="21"/>
          <w:szCs w:val="21"/>
          <w:highlight w:val="none"/>
        </w:rPr>
      </w:pPr>
      <w:r>
        <w:rPr>
          <w:rFonts w:hint="eastAsia" w:hAnsi="宋体"/>
          <w:b/>
          <w:bCs/>
          <w:color w:val="auto"/>
          <w:spacing w:val="-6"/>
          <w:sz w:val="21"/>
          <w:szCs w:val="21"/>
          <w:highlight w:val="none"/>
        </w:rPr>
        <w:t>投标文件的编制应按照本项目：“第三章  投标人须知”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投标文件的编制</w:t>
      </w:r>
      <w:r>
        <w:rPr>
          <w:rFonts w:hint="eastAsia" w:hAnsi="宋体"/>
          <w:b/>
          <w:color w:val="auto"/>
          <w:spacing w:val="-6"/>
          <w:sz w:val="21"/>
          <w:szCs w:val="21"/>
          <w:highlight w:val="none"/>
        </w:rPr>
        <w:t>的要求编制。</w:t>
      </w:r>
    </w:p>
    <w:p w14:paraId="61EF1EF0">
      <w:pPr>
        <w:spacing w:line="360" w:lineRule="auto"/>
        <w:rPr>
          <w:rFonts w:ascii="宋体" w:hAnsi="宋体"/>
          <w:b/>
          <w:bCs/>
          <w:color w:val="auto"/>
          <w:spacing w:val="-6"/>
          <w:sz w:val="24"/>
          <w:highlight w:val="none"/>
        </w:rPr>
      </w:pPr>
    </w:p>
    <w:p w14:paraId="759D5F78">
      <w:pPr>
        <w:spacing w:line="360" w:lineRule="auto"/>
        <w:rPr>
          <w:rFonts w:ascii="宋体" w:hAnsi="宋体"/>
          <w:b/>
          <w:bCs/>
          <w:color w:val="auto"/>
          <w:spacing w:val="-6"/>
          <w:sz w:val="24"/>
          <w:highlight w:val="none"/>
        </w:rPr>
      </w:pPr>
    </w:p>
    <w:p w14:paraId="33FAB497">
      <w:pPr>
        <w:spacing w:line="360" w:lineRule="auto"/>
        <w:rPr>
          <w:rFonts w:ascii="宋体" w:hAnsi="宋体"/>
          <w:b/>
          <w:bCs/>
          <w:color w:val="auto"/>
          <w:spacing w:val="-6"/>
          <w:sz w:val="24"/>
          <w:highlight w:val="none"/>
        </w:rPr>
      </w:pPr>
    </w:p>
    <w:p w14:paraId="37636478">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14:paraId="2ADADB0F">
      <w:pPr>
        <w:spacing w:line="360" w:lineRule="auto"/>
        <w:rPr>
          <w:rFonts w:ascii="宋体" w:hAnsi="宋体"/>
          <w:color w:val="auto"/>
          <w:spacing w:val="-6"/>
          <w:sz w:val="24"/>
          <w:highlight w:val="none"/>
        </w:rPr>
      </w:pPr>
    </w:p>
    <w:p w14:paraId="333F1593">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14:paraId="691994D6">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投 标 文 件</w:t>
      </w:r>
    </w:p>
    <w:p w14:paraId="34FA8B9C">
      <w:pPr>
        <w:spacing w:line="360" w:lineRule="auto"/>
        <w:rPr>
          <w:rFonts w:ascii="宋体" w:hAnsi="宋体"/>
          <w:bCs/>
          <w:color w:val="auto"/>
          <w:spacing w:val="-6"/>
          <w:sz w:val="24"/>
          <w:highlight w:val="none"/>
        </w:rPr>
      </w:pPr>
    </w:p>
    <w:p w14:paraId="60F07F4C">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 标 人：《浙江人大》杂志社</w:t>
      </w:r>
    </w:p>
    <w:p w14:paraId="44B1C641">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招标项目名称：2024年公款竞争性存放</w:t>
      </w:r>
    </w:p>
    <w:p w14:paraId="3FB012C0">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招标项目编号：QSZB-F(F)-C24393(GK)  </w:t>
      </w:r>
    </w:p>
    <w:p w14:paraId="18A1A2DD">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14:paraId="09913D71">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14:paraId="43B217ED">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14:paraId="60D16941">
      <w:pPr>
        <w:spacing w:line="360" w:lineRule="auto"/>
        <w:rPr>
          <w:rFonts w:ascii="宋体" w:hAnsi="宋体"/>
          <w:bCs/>
          <w:color w:val="auto"/>
          <w:spacing w:val="-6"/>
          <w:sz w:val="24"/>
          <w:highlight w:val="none"/>
        </w:rPr>
      </w:pPr>
    </w:p>
    <w:p w14:paraId="53F44D2A">
      <w:pPr>
        <w:spacing w:line="360" w:lineRule="auto"/>
        <w:rPr>
          <w:rFonts w:ascii="宋体" w:hAnsi="宋体"/>
          <w:bCs/>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14:paraId="2ABA73B2">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14:paraId="33EAC103">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bCs/>
          <w:color w:val="auto"/>
          <w:spacing w:val="-6"/>
          <w:sz w:val="24"/>
          <w:highlight w:val="none"/>
        </w:rPr>
        <w:t>文件</w:t>
      </w:r>
      <w:r>
        <w:rPr>
          <w:rFonts w:hint="eastAsia" w:ascii="宋体" w:hAnsi="宋体"/>
          <w:color w:val="auto"/>
          <w:spacing w:val="-6"/>
          <w:sz w:val="24"/>
          <w:highlight w:val="none"/>
        </w:rPr>
        <w:t>封面</w:t>
      </w:r>
    </w:p>
    <w:p w14:paraId="647BD5CD">
      <w:pPr>
        <w:spacing w:line="360" w:lineRule="auto"/>
        <w:jc w:val="right"/>
        <w:rPr>
          <w:rFonts w:ascii="宋体" w:hAnsi="宋体"/>
          <w:color w:val="auto"/>
          <w:spacing w:val="-6"/>
          <w:sz w:val="24"/>
          <w:highlight w:val="none"/>
        </w:rPr>
      </w:pPr>
      <w:r>
        <w:rPr>
          <w:rFonts w:hint="eastAsia" w:ascii="宋体" w:hAnsi="宋体"/>
          <w:b/>
          <w:bCs/>
          <w:color w:val="auto"/>
          <w:spacing w:val="-6"/>
          <w:sz w:val="24"/>
          <w:highlight w:val="none"/>
        </w:rPr>
        <w:t>正本或副本</w:t>
      </w:r>
    </w:p>
    <w:p w14:paraId="367E70FF">
      <w:pPr>
        <w:spacing w:line="360" w:lineRule="auto"/>
        <w:rPr>
          <w:rFonts w:ascii="宋体" w:hAnsi="宋体"/>
          <w:color w:val="auto"/>
          <w:spacing w:val="-6"/>
          <w:sz w:val="24"/>
          <w:highlight w:val="none"/>
        </w:rPr>
      </w:pPr>
    </w:p>
    <w:p w14:paraId="67DCF82F">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14:paraId="47B9FCE3">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投标文件</w:t>
      </w:r>
    </w:p>
    <w:p w14:paraId="70135F5C">
      <w:pPr>
        <w:spacing w:line="360" w:lineRule="auto"/>
        <w:rPr>
          <w:rFonts w:ascii="宋体" w:hAnsi="宋体"/>
          <w:bCs/>
          <w:color w:val="auto"/>
          <w:spacing w:val="-6"/>
          <w:sz w:val="24"/>
          <w:highlight w:val="none"/>
        </w:rPr>
      </w:pPr>
    </w:p>
    <w:p w14:paraId="3672E367">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 标 人：《浙江人大》杂志社</w:t>
      </w:r>
    </w:p>
    <w:p w14:paraId="3E0F0846">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招标项目名称：2024年公款竞争性存放</w:t>
      </w:r>
    </w:p>
    <w:p w14:paraId="7994AC66">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招标项目编号：QSZB-F(F)-C24393(GK)  </w:t>
      </w:r>
    </w:p>
    <w:p w14:paraId="17C32BA9">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14:paraId="1810B750">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投标人地址：</w:t>
      </w:r>
    </w:p>
    <w:p w14:paraId="129CCEBB">
      <w:pPr>
        <w:spacing w:line="360" w:lineRule="auto"/>
        <w:rPr>
          <w:rFonts w:ascii="宋体" w:hAnsi="宋体"/>
          <w:bCs/>
          <w:color w:val="auto"/>
          <w:spacing w:val="-6"/>
          <w:sz w:val="24"/>
          <w:highlight w:val="none"/>
        </w:rPr>
      </w:pPr>
    </w:p>
    <w:p w14:paraId="24B01465">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投标人代表签字：</w:t>
      </w:r>
    </w:p>
    <w:p w14:paraId="1D12F726">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14:paraId="2B019D6F">
      <w:pPr>
        <w:spacing w:line="360" w:lineRule="auto"/>
        <w:jc w:val="center"/>
        <w:outlineLvl w:val="1"/>
        <w:rPr>
          <w:rFonts w:ascii="宋体" w:hAnsi="宋体"/>
          <w:b/>
          <w:color w:val="auto"/>
          <w:spacing w:val="-6"/>
          <w:sz w:val="52"/>
          <w:szCs w:val="52"/>
          <w:highlight w:val="none"/>
        </w:rPr>
      </w:pPr>
      <w:r>
        <w:rPr>
          <w:rFonts w:ascii="宋体" w:hAnsi="宋体"/>
          <w:color w:val="auto"/>
          <w:spacing w:val="-6"/>
          <w:sz w:val="24"/>
          <w:highlight w:val="none"/>
        </w:rPr>
        <w:br w:type="page"/>
      </w:r>
      <w:r>
        <w:rPr>
          <w:rFonts w:hint="eastAsia" w:ascii="宋体" w:hAnsi="宋体"/>
          <w:b/>
          <w:color w:val="auto"/>
          <w:spacing w:val="-6"/>
          <w:sz w:val="52"/>
          <w:szCs w:val="52"/>
          <w:highlight w:val="none"/>
        </w:rPr>
        <w:t>报价文件</w:t>
      </w:r>
    </w:p>
    <w:p w14:paraId="38D2C688">
      <w:pPr>
        <w:snapToGrid w:val="0"/>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开标一览表</w:t>
      </w:r>
    </w:p>
    <w:p w14:paraId="46FD0C7A">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 标 人：《浙江人大》杂志社</w:t>
      </w:r>
    </w:p>
    <w:p w14:paraId="09E24ACA">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招标项目名称：2024年公款竞争性存放</w:t>
      </w:r>
    </w:p>
    <w:p w14:paraId="24387C14">
      <w:pPr>
        <w:snapToGrid w:val="0"/>
        <w:spacing w:line="360" w:lineRule="auto"/>
        <w:rPr>
          <w:rFonts w:ascii="宋体" w:hAnsi="宋体"/>
          <w:b/>
          <w:color w:val="auto"/>
          <w:spacing w:val="-6"/>
          <w:sz w:val="24"/>
          <w:highlight w:val="none"/>
        </w:rPr>
      </w:pPr>
      <w:r>
        <w:rPr>
          <w:rFonts w:hint="eastAsia" w:ascii="宋体" w:hAnsi="宋体"/>
          <w:bCs/>
          <w:color w:val="auto"/>
          <w:spacing w:val="-6"/>
          <w:sz w:val="24"/>
          <w:highlight w:val="none"/>
        </w:rPr>
        <w:t xml:space="preserve">招标项目编号：QSZB-F(F)-C24393(GK) </w:t>
      </w:r>
    </w:p>
    <w:p w14:paraId="526D909D">
      <w:pPr>
        <w:spacing w:line="360" w:lineRule="auto"/>
        <w:jc w:val="center"/>
        <w:rPr>
          <w:rFonts w:ascii="宋体" w:hAnsi="宋体"/>
          <w:bCs/>
          <w:color w:val="auto"/>
          <w:spacing w:val="-6"/>
          <w:sz w:val="24"/>
          <w:highlight w:val="none"/>
        </w:rPr>
      </w:pPr>
    </w:p>
    <w:p w14:paraId="5D4E515C">
      <w:pPr>
        <w:spacing w:line="360" w:lineRule="auto"/>
        <w:jc w:val="center"/>
        <w:rPr>
          <w:rFonts w:ascii="宋体" w:hAnsi="宋体"/>
          <w:bCs/>
          <w:color w:val="auto"/>
          <w:spacing w:val="-6"/>
          <w:sz w:val="24"/>
          <w:highlight w:val="none"/>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2160"/>
        <w:gridCol w:w="2280"/>
        <w:gridCol w:w="3140"/>
      </w:tblGrid>
      <w:tr w14:paraId="6D15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48" w:type="dxa"/>
            <w:vAlign w:val="center"/>
          </w:tcPr>
          <w:p w14:paraId="34295EF1">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名称</w:t>
            </w:r>
          </w:p>
        </w:tc>
        <w:tc>
          <w:tcPr>
            <w:tcW w:w="2160" w:type="dxa"/>
            <w:vAlign w:val="center"/>
          </w:tcPr>
          <w:p w14:paraId="6AEDDED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国家基准利率（%）</w:t>
            </w:r>
          </w:p>
        </w:tc>
        <w:tc>
          <w:tcPr>
            <w:tcW w:w="2280" w:type="dxa"/>
            <w:vAlign w:val="center"/>
          </w:tcPr>
          <w:p w14:paraId="3E2CEFC9">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基点（bp）</w:t>
            </w:r>
          </w:p>
        </w:tc>
        <w:tc>
          <w:tcPr>
            <w:tcW w:w="3140" w:type="dxa"/>
            <w:vAlign w:val="center"/>
          </w:tcPr>
          <w:p w14:paraId="4B37774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本项目利率(%)</w:t>
            </w:r>
          </w:p>
          <w:p w14:paraId="2722E0C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=国家基准利率（%）+基点（bp）</w:t>
            </w:r>
          </w:p>
        </w:tc>
      </w:tr>
      <w:tr w14:paraId="2731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48" w:type="dxa"/>
            <w:vAlign w:val="center"/>
          </w:tcPr>
          <w:p w14:paraId="7E433D1A">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一年定期存款</w:t>
            </w:r>
          </w:p>
        </w:tc>
        <w:tc>
          <w:tcPr>
            <w:tcW w:w="2160" w:type="dxa"/>
            <w:vAlign w:val="center"/>
          </w:tcPr>
          <w:p w14:paraId="62477742">
            <w:pPr>
              <w:spacing w:line="360" w:lineRule="auto"/>
              <w:jc w:val="center"/>
              <w:rPr>
                <w:rFonts w:ascii="宋体" w:hAnsi="宋体" w:cs="宋体"/>
                <w:color w:val="auto"/>
                <w:sz w:val="21"/>
                <w:szCs w:val="21"/>
                <w:highlight w:val="none"/>
              </w:rPr>
            </w:pPr>
          </w:p>
        </w:tc>
        <w:tc>
          <w:tcPr>
            <w:tcW w:w="2280" w:type="dxa"/>
            <w:vAlign w:val="center"/>
          </w:tcPr>
          <w:p w14:paraId="7F70FEF2">
            <w:pPr>
              <w:spacing w:line="360" w:lineRule="auto"/>
              <w:jc w:val="center"/>
              <w:rPr>
                <w:rFonts w:ascii="宋体" w:hAnsi="宋体" w:cs="宋体"/>
                <w:color w:val="auto"/>
                <w:sz w:val="21"/>
                <w:szCs w:val="21"/>
                <w:highlight w:val="none"/>
              </w:rPr>
            </w:pPr>
          </w:p>
        </w:tc>
        <w:tc>
          <w:tcPr>
            <w:tcW w:w="3140" w:type="dxa"/>
            <w:vAlign w:val="center"/>
          </w:tcPr>
          <w:p w14:paraId="2978DB4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（A1）</w:t>
            </w:r>
          </w:p>
        </w:tc>
      </w:tr>
      <w:tr w14:paraId="598B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88" w:type="dxa"/>
            <w:gridSpan w:val="3"/>
            <w:vAlign w:val="center"/>
          </w:tcPr>
          <w:p w14:paraId="1BC46214">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利率（A1）</w:t>
            </w:r>
          </w:p>
        </w:tc>
        <w:tc>
          <w:tcPr>
            <w:tcW w:w="3140" w:type="dxa"/>
            <w:vAlign w:val="center"/>
          </w:tcPr>
          <w:p w14:paraId="7216C2EF">
            <w:pPr>
              <w:spacing w:line="360" w:lineRule="auto"/>
              <w:jc w:val="center"/>
              <w:rPr>
                <w:rFonts w:ascii="宋体" w:hAnsi="宋体" w:cs="宋体"/>
                <w:color w:val="auto"/>
                <w:sz w:val="21"/>
                <w:szCs w:val="21"/>
                <w:highlight w:val="none"/>
              </w:rPr>
            </w:pPr>
          </w:p>
        </w:tc>
      </w:tr>
    </w:tbl>
    <w:p w14:paraId="3758B9B3">
      <w:pPr>
        <w:spacing w:line="360" w:lineRule="auto"/>
        <w:jc w:val="center"/>
        <w:rPr>
          <w:rFonts w:ascii="宋体" w:hAnsi="宋体"/>
          <w:bCs/>
          <w:color w:val="auto"/>
          <w:spacing w:val="-6"/>
          <w:sz w:val="24"/>
          <w:highlight w:val="none"/>
        </w:rPr>
      </w:pPr>
    </w:p>
    <w:p w14:paraId="0F730195">
      <w:pPr>
        <w:pStyle w:val="32"/>
        <w:spacing w:line="360" w:lineRule="auto"/>
        <w:rPr>
          <w:b/>
          <w:bCs/>
          <w:color w:val="auto"/>
          <w:highlight w:val="none"/>
        </w:rPr>
      </w:pPr>
      <w:r>
        <w:rPr>
          <w:rFonts w:hint="eastAsia"/>
          <w:b/>
          <w:bCs/>
          <w:color w:val="auto"/>
          <w:highlight w:val="none"/>
        </w:rPr>
        <w:t>备注：基点（bp）：1 个基点等于0.01%</w:t>
      </w:r>
    </w:p>
    <w:p w14:paraId="492421A5">
      <w:pPr>
        <w:pStyle w:val="32"/>
        <w:spacing w:line="360" w:lineRule="auto"/>
        <w:rPr>
          <w:b/>
          <w:bCs/>
          <w:color w:val="auto"/>
          <w:highlight w:val="none"/>
        </w:rPr>
      </w:pPr>
    </w:p>
    <w:p w14:paraId="440DA915">
      <w:pPr>
        <w:spacing w:line="360" w:lineRule="auto"/>
        <w:jc w:val="center"/>
        <w:rPr>
          <w:rFonts w:ascii="宋体" w:hAnsi="宋体"/>
          <w:bCs/>
          <w:color w:val="auto"/>
          <w:spacing w:val="-6"/>
          <w:sz w:val="24"/>
          <w:highlight w:val="none"/>
        </w:rPr>
      </w:pPr>
    </w:p>
    <w:p w14:paraId="6018C5B2">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14:paraId="2763B320">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14:paraId="29BDA290">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14:paraId="720EFD33">
      <w:pPr>
        <w:spacing w:line="360" w:lineRule="auto"/>
        <w:rPr>
          <w:rFonts w:ascii="宋体" w:hAnsi="宋体"/>
          <w:color w:val="auto"/>
          <w:spacing w:val="-6"/>
          <w:sz w:val="24"/>
          <w:highlight w:val="none"/>
        </w:rPr>
      </w:pPr>
    </w:p>
    <w:p w14:paraId="381A93FC">
      <w:pPr>
        <w:snapToGrid w:val="0"/>
        <w:spacing w:line="360" w:lineRule="auto"/>
        <w:jc w:val="center"/>
        <w:outlineLvl w:val="1"/>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52"/>
          <w:szCs w:val="52"/>
          <w:highlight w:val="none"/>
        </w:rPr>
        <w:t>资格文件</w:t>
      </w:r>
    </w:p>
    <w:p w14:paraId="6B3F91D2">
      <w:pPr>
        <w:snapToGrid w:val="0"/>
        <w:spacing w:line="360" w:lineRule="auto"/>
        <w:rPr>
          <w:rFonts w:ascii="宋体" w:hAnsi="宋体"/>
          <w:b/>
          <w:color w:val="auto"/>
          <w:spacing w:val="-6"/>
          <w:sz w:val="24"/>
          <w:highlight w:val="none"/>
        </w:rPr>
      </w:pPr>
    </w:p>
    <w:p w14:paraId="577642E2">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（1）有效的法人或者其他组织的营业执照等证明文件（扫描件加盖公章）、中华人民共和国金融许可证（扫描件加盖公章）</w:t>
      </w:r>
    </w:p>
    <w:p w14:paraId="6C19B94A">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（2）中标后对本项目指定的一家杭州市区分支机构作为存款银行的承诺书，承诺在合同期内不得随意转移（包含但不限于在杭分支机构的地址，联系人等信息）（格式自拟）</w:t>
      </w:r>
    </w:p>
    <w:p w14:paraId="3DB39C90">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（3）参加采购活动前3年内在经营活动中没有重大违法记录的书面声明（格式自拟）</w:t>
      </w:r>
    </w:p>
    <w:p w14:paraId="071EF32F">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4）上一年度由人民银行杭州中心支行出具综合评价证明材料（如因人民银行原因无法提供上年度（2023年度）的综合评价可提供2022年度的材料文件，并说明无法提供2023年度人民银行的综合评价的相关原因，出具机构对证明的真实性负责，不得虚假提供，虚假提供一经发现则取消中标资格。）</w:t>
      </w:r>
    </w:p>
    <w:p w14:paraId="69F479EF">
      <w:pPr>
        <w:spacing w:line="360" w:lineRule="auto"/>
        <w:rPr>
          <w:rFonts w:ascii="宋体" w:hAnsi="宋体"/>
          <w:b/>
          <w:color w:val="auto"/>
          <w:spacing w:val="-6"/>
          <w:sz w:val="24"/>
          <w:highlight w:val="none"/>
        </w:rPr>
      </w:pPr>
      <w:r>
        <w:rPr>
          <w:rFonts w:hint="eastAsia" w:ascii="宋体" w:hAnsi="宋体"/>
          <w:bCs/>
          <w:color w:val="auto"/>
          <w:spacing w:val="-6"/>
          <w:sz w:val="24"/>
          <w:highlight w:val="none"/>
        </w:rPr>
        <w:t>（5）提供投标人为省级分行的声明书或省级分行针对本项目的授权委托书（投标人为总行无需提供）</w:t>
      </w:r>
      <w:r>
        <w:rPr>
          <w:rFonts w:hint="eastAsia" w:ascii="宋体" w:hAnsi="宋体"/>
          <w:b/>
          <w:color w:val="auto"/>
          <w:spacing w:val="-6"/>
          <w:sz w:val="24"/>
          <w:highlight w:val="none"/>
        </w:rPr>
        <w:br w:type="page"/>
      </w:r>
    </w:p>
    <w:p w14:paraId="6003508C">
      <w:pPr>
        <w:snapToGrid w:val="0"/>
        <w:spacing w:line="360" w:lineRule="auto"/>
        <w:jc w:val="center"/>
        <w:outlineLvl w:val="2"/>
        <w:rPr>
          <w:rFonts w:ascii="宋体" w:hAnsi="宋体"/>
          <w:b/>
          <w:color w:val="auto"/>
          <w:spacing w:val="-6"/>
          <w:sz w:val="52"/>
          <w:szCs w:val="52"/>
          <w:highlight w:val="none"/>
        </w:rPr>
      </w:pPr>
      <w:r>
        <w:rPr>
          <w:rFonts w:hint="eastAsia" w:ascii="宋体" w:hAnsi="宋体"/>
          <w:b/>
          <w:color w:val="auto"/>
          <w:spacing w:val="-6"/>
          <w:sz w:val="52"/>
          <w:szCs w:val="52"/>
          <w:highlight w:val="none"/>
        </w:rPr>
        <w:t>商务及技术文件</w:t>
      </w:r>
    </w:p>
    <w:p w14:paraId="51EE0BB2">
      <w:pPr>
        <w:snapToGrid w:val="0"/>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投 标 函</w:t>
      </w:r>
    </w:p>
    <w:p w14:paraId="346DD150">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14:paraId="0CF2E936">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rPr>
        <w:t>2024年公款竞争性存放</w:t>
      </w:r>
      <w:r>
        <w:rPr>
          <w:rFonts w:hint="eastAsia" w:ascii="宋体" w:hAnsi="宋体"/>
          <w:color w:val="auto"/>
          <w:spacing w:val="-6"/>
          <w:sz w:val="24"/>
          <w:highlight w:val="none"/>
        </w:rPr>
        <w:t>的招标公告（招标项目编号</w:t>
      </w:r>
      <w:r>
        <w:rPr>
          <w:rFonts w:hint="eastAsia" w:ascii="宋体" w:hAnsi="宋体"/>
          <w:bCs/>
          <w:color w:val="auto"/>
          <w:spacing w:val="-6"/>
          <w:sz w:val="24"/>
          <w:highlight w:val="none"/>
        </w:rPr>
        <w:t>：QSZB-F(F)-C24393(GK)  ）</w:t>
      </w:r>
      <w:r>
        <w:rPr>
          <w:rFonts w:hint="eastAsia" w:ascii="宋体" w:hAnsi="宋体"/>
          <w:color w:val="auto"/>
          <w:spacing w:val="-6"/>
          <w:sz w:val="24"/>
          <w:highlight w:val="none"/>
        </w:rPr>
        <w:t>，授权代表</w:t>
      </w:r>
      <w:r>
        <w:rPr>
          <w:rFonts w:hint="eastAsia" w:ascii="宋体" w:hAnsi="宋体"/>
          <w:bCs/>
          <w:color w:val="auto"/>
          <w:spacing w:val="-6"/>
          <w:sz w:val="24"/>
          <w:highlight w:val="none"/>
        </w:rPr>
        <w:t>____________</w:t>
      </w:r>
      <w:r>
        <w:rPr>
          <w:rFonts w:hint="eastAsia" w:ascii="宋体" w:hAnsi="宋体"/>
          <w:color w:val="auto"/>
          <w:spacing w:val="-6"/>
          <w:sz w:val="24"/>
          <w:highlight w:val="none"/>
        </w:rPr>
        <w:t>（全名）经正式授权并代表投标人</w:t>
      </w:r>
      <w:r>
        <w:rPr>
          <w:rFonts w:hint="eastAsia" w:ascii="宋体" w:hAnsi="宋体"/>
          <w:bCs/>
          <w:color w:val="auto"/>
          <w:spacing w:val="-6"/>
          <w:sz w:val="24"/>
          <w:highlight w:val="none"/>
        </w:rPr>
        <w:t>_______________________________</w:t>
      </w:r>
      <w:r>
        <w:rPr>
          <w:rFonts w:hint="eastAsia" w:ascii="宋体" w:hAnsi="宋体"/>
          <w:color w:val="auto"/>
          <w:spacing w:val="-6"/>
          <w:sz w:val="24"/>
          <w:highlight w:val="none"/>
        </w:rPr>
        <w:t>（投标人名称）</w:t>
      </w:r>
    </w:p>
    <w:p w14:paraId="4F2EA540">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据此函，授权代表宣布同意如下：</w:t>
      </w:r>
    </w:p>
    <w:p w14:paraId="1BF1AB06">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投标人已详细审查全部“招标文件”，包括修改文件（如有）以及全部参考资料和有关附件，已经了解我方对于招标文件、招标过程、中标结果有依法进行询问、质疑投诉及相关渠道和要求。</w:t>
      </w:r>
    </w:p>
    <w:p w14:paraId="47F0E21A">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投标人在投标之前已经与贵方进行了充分的沟通，完全理解并接受招标文件的各项规定和要求，对招标文件的合理性、合法性不再有异议。</w:t>
      </w:r>
    </w:p>
    <w:p w14:paraId="612FA23D">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w:t>
      </w:r>
      <w:r>
        <w:rPr>
          <w:rFonts w:ascii="宋体" w:hAnsi="宋体"/>
          <w:color w:val="auto"/>
          <w:spacing w:val="-6"/>
          <w:sz w:val="24"/>
          <w:highlight w:val="none"/>
        </w:rPr>
        <w:t>.</w:t>
      </w:r>
      <w:r>
        <w:rPr>
          <w:rFonts w:hint="eastAsia" w:ascii="宋体" w:hAnsi="宋体"/>
          <w:color w:val="auto"/>
          <w:spacing w:val="-6"/>
          <w:sz w:val="24"/>
          <w:highlight w:val="none"/>
        </w:rPr>
        <w:t>投标有效期自提交投标文件的截止之日起</w:t>
      </w:r>
      <w:r>
        <w:rPr>
          <w:rFonts w:hint="eastAsia" w:ascii="宋体" w:hAnsi="宋体"/>
          <w:bCs/>
          <w:color w:val="auto"/>
          <w:spacing w:val="-6"/>
          <w:sz w:val="24"/>
          <w:highlight w:val="none"/>
          <w:u w:val="single"/>
        </w:rPr>
        <w:t xml:space="preserve"> 90</w:t>
      </w:r>
      <w:r>
        <w:rPr>
          <w:rFonts w:hint="eastAsia" w:ascii="宋体" w:hAnsi="宋体"/>
          <w:color w:val="auto"/>
          <w:spacing w:val="-6"/>
          <w:sz w:val="24"/>
          <w:highlight w:val="none"/>
        </w:rPr>
        <w:t>天。</w:t>
      </w:r>
    </w:p>
    <w:p w14:paraId="0B976A6A">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w:t>
      </w:r>
      <w:r>
        <w:rPr>
          <w:rFonts w:ascii="宋体" w:hAnsi="宋体"/>
          <w:color w:val="auto"/>
          <w:spacing w:val="-6"/>
          <w:sz w:val="24"/>
          <w:highlight w:val="none"/>
        </w:rPr>
        <w:t>.</w:t>
      </w:r>
      <w:r>
        <w:rPr>
          <w:rFonts w:hint="eastAsia" w:ascii="宋体" w:hAnsi="宋体"/>
          <w:color w:val="auto"/>
          <w:spacing w:val="-6"/>
          <w:sz w:val="24"/>
          <w:highlight w:val="none"/>
        </w:rPr>
        <w:t>如中标，本投标文件至本项目合同履行完毕止均保持有效，本投标人将按“招标文件”及相关法律、法规的规定履行合同责任和义务。</w:t>
      </w:r>
    </w:p>
    <w:p w14:paraId="728659ED">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w:t>
      </w:r>
      <w:r>
        <w:rPr>
          <w:rFonts w:ascii="宋体" w:hAnsi="宋体"/>
          <w:color w:val="auto"/>
          <w:spacing w:val="-6"/>
          <w:sz w:val="24"/>
          <w:highlight w:val="none"/>
        </w:rPr>
        <w:t>.</w:t>
      </w:r>
      <w:r>
        <w:rPr>
          <w:rFonts w:hint="eastAsia" w:ascii="宋体" w:hAnsi="宋体"/>
          <w:color w:val="auto"/>
          <w:spacing w:val="-6"/>
          <w:sz w:val="24"/>
          <w:highlight w:val="none"/>
        </w:rPr>
        <w:t>投标人同意按照贵方要求提供与投标有关的一切数据或资料。</w:t>
      </w:r>
    </w:p>
    <w:p w14:paraId="0624E410">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w:t>
      </w:r>
      <w:r>
        <w:rPr>
          <w:rFonts w:ascii="宋体" w:hAnsi="宋体"/>
          <w:color w:val="auto"/>
          <w:spacing w:val="-6"/>
          <w:sz w:val="24"/>
          <w:highlight w:val="none"/>
        </w:rPr>
        <w:t>.</w:t>
      </w:r>
      <w:r>
        <w:rPr>
          <w:rFonts w:hint="eastAsia" w:ascii="宋体" w:hAnsi="宋体"/>
          <w:color w:val="auto"/>
          <w:spacing w:val="-6"/>
          <w:sz w:val="24"/>
          <w:highlight w:val="none"/>
        </w:rPr>
        <w:t>与本投标有关的一切正式往来信函请寄：</w:t>
      </w:r>
    </w:p>
    <w:p w14:paraId="4E244FA5">
      <w:pPr>
        <w:spacing w:line="360" w:lineRule="auto"/>
        <w:rPr>
          <w:rFonts w:ascii="宋体" w:hAnsi="宋体"/>
          <w:color w:val="auto"/>
          <w:spacing w:val="-6"/>
          <w:sz w:val="24"/>
          <w:highlight w:val="none"/>
        </w:rPr>
      </w:pPr>
      <w:r>
        <w:rPr>
          <w:rFonts w:hint="eastAsia" w:ascii="宋体" w:hAnsi="宋体"/>
          <w:color w:val="auto"/>
          <w:spacing w:val="-6"/>
          <w:sz w:val="24"/>
          <w:highlight w:val="none"/>
        </w:rPr>
        <w:t>地址：                                       邮编：</w:t>
      </w:r>
    </w:p>
    <w:p w14:paraId="10A01F56">
      <w:pPr>
        <w:spacing w:line="360" w:lineRule="auto"/>
        <w:rPr>
          <w:rFonts w:ascii="宋体" w:hAnsi="宋体"/>
          <w:color w:val="auto"/>
          <w:spacing w:val="-6"/>
          <w:sz w:val="24"/>
          <w:highlight w:val="none"/>
          <w:u w:val="single"/>
        </w:rPr>
      </w:pPr>
      <w:r>
        <w:rPr>
          <w:rFonts w:hint="eastAsia" w:ascii="宋体" w:hAnsi="宋体"/>
          <w:color w:val="auto"/>
          <w:spacing w:val="-6"/>
          <w:sz w:val="24"/>
          <w:highlight w:val="none"/>
        </w:rPr>
        <w:t xml:space="preserve">电话：                                       传真：                         </w:t>
      </w:r>
    </w:p>
    <w:p w14:paraId="733893EE">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投标人代表姓名：                             职务：                        </w:t>
      </w:r>
    </w:p>
    <w:p w14:paraId="08FBF9F3">
      <w:pPr>
        <w:spacing w:line="360" w:lineRule="auto"/>
        <w:rPr>
          <w:rFonts w:ascii="宋体" w:hAnsi="宋体"/>
          <w:color w:val="auto"/>
          <w:spacing w:val="-6"/>
          <w:sz w:val="24"/>
          <w:highlight w:val="none"/>
        </w:rPr>
      </w:pPr>
      <w:r>
        <w:rPr>
          <w:rFonts w:hint="eastAsia" w:ascii="宋体" w:hAnsi="宋体"/>
          <w:color w:val="auto"/>
          <w:spacing w:val="-6"/>
          <w:sz w:val="24"/>
          <w:highlight w:val="none"/>
        </w:rPr>
        <w:t>开户银行：</w:t>
      </w:r>
    </w:p>
    <w:p w14:paraId="75B4E647">
      <w:pPr>
        <w:spacing w:line="360" w:lineRule="auto"/>
        <w:rPr>
          <w:rFonts w:ascii="宋体" w:hAnsi="宋体"/>
          <w:color w:val="auto"/>
          <w:spacing w:val="-6"/>
          <w:sz w:val="24"/>
          <w:highlight w:val="none"/>
        </w:rPr>
      </w:pPr>
      <w:r>
        <w:rPr>
          <w:rFonts w:hint="eastAsia" w:ascii="宋体" w:hAnsi="宋体"/>
          <w:color w:val="auto"/>
          <w:spacing w:val="-6"/>
          <w:sz w:val="24"/>
          <w:highlight w:val="none"/>
        </w:rPr>
        <w:t>银行帐号：</w:t>
      </w:r>
    </w:p>
    <w:p w14:paraId="7EFD82F5">
      <w:pPr>
        <w:spacing w:line="360" w:lineRule="auto"/>
        <w:rPr>
          <w:rFonts w:ascii="宋体" w:hAnsi="宋体"/>
          <w:color w:val="auto"/>
          <w:spacing w:val="-6"/>
          <w:sz w:val="24"/>
          <w:highlight w:val="none"/>
        </w:rPr>
      </w:pPr>
    </w:p>
    <w:p w14:paraId="288F5EF1">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14:paraId="5CE7A370">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14:paraId="4AA83784">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14:paraId="4E7B9ED8">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企业负责人资格证明书</w:t>
      </w:r>
    </w:p>
    <w:p w14:paraId="197DCA17">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致：《浙江人大》杂志社、浙江求是招标代理有限公司：</w:t>
      </w:r>
    </w:p>
    <w:p w14:paraId="1E6C7ED7">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bCs/>
          <w:color w:val="auto"/>
          <w:spacing w:val="-6"/>
          <w:sz w:val="24"/>
          <w:highlight w:val="none"/>
          <w:u w:val="single"/>
        </w:rPr>
        <w:t xml:space="preserve">                </w:t>
      </w:r>
      <w:r>
        <w:rPr>
          <w:rFonts w:ascii="宋体" w:hAnsi="宋体"/>
          <w:bCs/>
          <w:color w:val="auto"/>
          <w:spacing w:val="-6"/>
          <w:sz w:val="24"/>
          <w:highlight w:val="none"/>
          <w:u w:val="single"/>
        </w:rPr>
        <w:t>（姓名）</w:t>
      </w:r>
      <w:r>
        <w:rPr>
          <w:rFonts w:ascii="宋体" w:hAnsi="宋体"/>
          <w:bCs/>
          <w:color w:val="auto"/>
          <w:spacing w:val="-6"/>
          <w:sz w:val="24"/>
          <w:highlight w:val="none"/>
        </w:rPr>
        <w:t>系</w:t>
      </w:r>
      <w:r>
        <w:rPr>
          <w:rFonts w:hint="eastAsia" w:ascii="宋体" w:hAnsi="宋体"/>
          <w:bCs/>
          <w:color w:val="auto"/>
          <w:spacing w:val="-6"/>
          <w:sz w:val="24"/>
          <w:highlight w:val="none"/>
          <w:u w:val="single"/>
        </w:rPr>
        <w:t xml:space="preserve">                   （投标人名称）</w:t>
      </w:r>
      <w:r>
        <w:rPr>
          <w:rFonts w:ascii="宋体" w:hAnsi="宋体"/>
          <w:bCs/>
          <w:color w:val="auto"/>
          <w:spacing w:val="-6"/>
          <w:sz w:val="24"/>
          <w:highlight w:val="none"/>
        </w:rPr>
        <w:t>的企业负责人，身份证</w:t>
      </w:r>
      <w:r>
        <w:rPr>
          <w:rFonts w:hint="eastAsia" w:ascii="宋体" w:hAnsi="宋体"/>
          <w:bCs/>
          <w:color w:val="auto"/>
          <w:spacing w:val="-6"/>
          <w:sz w:val="24"/>
          <w:highlight w:val="none"/>
        </w:rPr>
        <w:t>号码：</w:t>
      </w:r>
      <w:r>
        <w:rPr>
          <w:rFonts w:hint="eastAsia" w:ascii="宋体" w:hAnsi="宋体"/>
          <w:bCs/>
          <w:color w:val="auto"/>
          <w:spacing w:val="-6"/>
          <w:sz w:val="24"/>
          <w:highlight w:val="none"/>
          <w:u w:val="single"/>
        </w:rPr>
        <w:t xml:space="preserve">                                           </w:t>
      </w:r>
      <w:r>
        <w:rPr>
          <w:rFonts w:ascii="宋体" w:hAnsi="宋体"/>
          <w:bCs/>
          <w:color w:val="auto"/>
          <w:spacing w:val="-6"/>
          <w:sz w:val="24"/>
          <w:highlight w:val="none"/>
        </w:rPr>
        <w:t>。</w:t>
      </w:r>
    </w:p>
    <w:p w14:paraId="77941320">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14:paraId="62137D0F">
      <w:pPr>
        <w:spacing w:line="360" w:lineRule="auto"/>
        <w:rPr>
          <w:rFonts w:ascii="宋体" w:hAnsi="宋体"/>
          <w:bCs/>
          <w:color w:val="auto"/>
          <w:spacing w:val="-6"/>
          <w:sz w:val="24"/>
          <w:highlight w:val="none"/>
        </w:rPr>
      </w:pPr>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5D77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14:paraId="21C19F65">
            <w:pPr>
              <w:spacing w:line="360" w:lineRule="auto"/>
              <w:rPr>
                <w:rFonts w:ascii="宋体" w:hAnsi="宋体"/>
                <w:color w:val="auto"/>
                <w:sz w:val="24"/>
                <w:highlight w:val="none"/>
              </w:rPr>
            </w:pPr>
            <w:r>
              <w:rPr>
                <w:rFonts w:hint="eastAsia" w:ascii="新宋体" w:hAnsi="新宋体" w:eastAsia="新宋体"/>
                <w:color w:val="auto"/>
                <w:sz w:val="24"/>
                <w:highlight w:val="none"/>
              </w:rPr>
              <w:t>企业负责人</w:t>
            </w:r>
            <w:r>
              <w:rPr>
                <w:rFonts w:hint="eastAsia" w:ascii="宋体" w:hAnsi="宋体"/>
                <w:color w:val="auto"/>
                <w:sz w:val="24"/>
                <w:highlight w:val="none"/>
              </w:rPr>
              <w:t>身份证：</w:t>
            </w:r>
          </w:p>
          <w:p w14:paraId="184DE184">
            <w:pPr>
              <w:spacing w:line="360" w:lineRule="auto"/>
              <w:rPr>
                <w:rFonts w:ascii="宋体" w:hAnsi="宋体"/>
                <w:color w:val="auto"/>
                <w:sz w:val="24"/>
                <w:highlight w:val="none"/>
              </w:rPr>
            </w:pPr>
          </w:p>
          <w:p w14:paraId="1263AE94">
            <w:pPr>
              <w:spacing w:line="360" w:lineRule="auto"/>
              <w:rPr>
                <w:rFonts w:ascii="宋体" w:hAnsi="宋体"/>
                <w:color w:val="auto"/>
                <w:sz w:val="24"/>
                <w:highlight w:val="none"/>
              </w:rPr>
            </w:pPr>
          </w:p>
          <w:p w14:paraId="034ADFB2">
            <w:pPr>
              <w:spacing w:line="360" w:lineRule="auto"/>
              <w:rPr>
                <w:rFonts w:ascii="宋体" w:hAnsi="宋体"/>
                <w:color w:val="auto"/>
                <w:sz w:val="24"/>
                <w:highlight w:val="none"/>
              </w:rPr>
            </w:pPr>
          </w:p>
          <w:p w14:paraId="72A01D6B">
            <w:pPr>
              <w:spacing w:line="360" w:lineRule="auto"/>
              <w:rPr>
                <w:rFonts w:ascii="宋体" w:hAnsi="宋体"/>
                <w:color w:val="auto"/>
                <w:sz w:val="24"/>
                <w:highlight w:val="none"/>
              </w:rPr>
            </w:pPr>
          </w:p>
          <w:p w14:paraId="5650ABCC">
            <w:pPr>
              <w:spacing w:line="360" w:lineRule="auto"/>
              <w:rPr>
                <w:rFonts w:ascii="宋体" w:hAnsi="宋体"/>
                <w:color w:val="auto"/>
                <w:sz w:val="24"/>
                <w:highlight w:val="none"/>
              </w:rPr>
            </w:pPr>
            <w:r>
              <w:rPr>
                <w:rFonts w:hint="eastAsia" w:ascii="宋体" w:hAnsi="宋体"/>
                <w:color w:val="auto"/>
                <w:sz w:val="24"/>
                <w:highlight w:val="none"/>
              </w:rPr>
              <w:t>扫描件粘贴处</w:t>
            </w:r>
          </w:p>
          <w:p w14:paraId="0C4E76BF">
            <w:pPr>
              <w:spacing w:line="360" w:lineRule="auto"/>
              <w:rPr>
                <w:rFonts w:ascii="宋体" w:hAnsi="宋体"/>
                <w:bCs/>
                <w:color w:val="auto"/>
                <w:spacing w:val="-6"/>
                <w:sz w:val="24"/>
                <w:highlight w:val="none"/>
              </w:rPr>
            </w:pPr>
          </w:p>
        </w:tc>
      </w:tr>
    </w:tbl>
    <w:p w14:paraId="1B5F9FA0">
      <w:pPr>
        <w:spacing w:line="360" w:lineRule="auto"/>
        <w:rPr>
          <w:rFonts w:ascii="宋体" w:hAnsi="宋体"/>
          <w:bCs/>
          <w:color w:val="auto"/>
          <w:spacing w:val="-6"/>
          <w:sz w:val="24"/>
          <w:highlight w:val="none"/>
        </w:rPr>
      </w:pPr>
    </w:p>
    <w:p w14:paraId="79948357">
      <w:pPr>
        <w:spacing w:line="360" w:lineRule="auto"/>
        <w:rPr>
          <w:rFonts w:ascii="宋体" w:hAnsi="宋体"/>
          <w:b/>
          <w:bCs/>
          <w:color w:val="auto"/>
          <w:spacing w:val="-6"/>
          <w:sz w:val="24"/>
          <w:highlight w:val="none"/>
        </w:rPr>
      </w:pPr>
    </w:p>
    <w:p w14:paraId="527BEF71">
      <w:pPr>
        <w:spacing w:line="360" w:lineRule="auto"/>
        <w:rPr>
          <w:rFonts w:ascii="宋体" w:hAnsi="宋体"/>
          <w:b/>
          <w:bCs/>
          <w:color w:val="auto"/>
          <w:spacing w:val="-6"/>
          <w:sz w:val="24"/>
          <w:highlight w:val="none"/>
        </w:rPr>
      </w:pPr>
    </w:p>
    <w:p w14:paraId="47B53634">
      <w:pPr>
        <w:spacing w:line="360" w:lineRule="auto"/>
        <w:rPr>
          <w:rFonts w:ascii="宋体" w:hAnsi="宋体"/>
          <w:b/>
          <w:bCs/>
          <w:color w:val="auto"/>
          <w:spacing w:val="-6"/>
          <w:sz w:val="24"/>
          <w:highlight w:val="none"/>
        </w:rPr>
      </w:pPr>
    </w:p>
    <w:p w14:paraId="4FE40291">
      <w:pPr>
        <w:spacing w:line="360" w:lineRule="auto"/>
        <w:rPr>
          <w:rFonts w:ascii="宋体" w:hAnsi="宋体"/>
          <w:b/>
          <w:bCs/>
          <w:color w:val="auto"/>
          <w:spacing w:val="-6"/>
          <w:sz w:val="24"/>
          <w:highlight w:val="none"/>
        </w:rPr>
      </w:pPr>
    </w:p>
    <w:p w14:paraId="60BDF1AF">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14:paraId="459A63AF">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14:paraId="37DBA6B5">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企业负责人授权委托书</w:t>
      </w:r>
    </w:p>
    <w:p w14:paraId="76D53AC8">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致：《浙江人大》杂志社、浙江求是招标代理有限公司</w:t>
      </w:r>
      <w:r>
        <w:rPr>
          <w:rFonts w:hint="eastAsia" w:ascii="宋体" w:hAnsi="宋体"/>
          <w:color w:val="auto"/>
          <w:spacing w:val="-6"/>
          <w:sz w:val="24"/>
          <w:highlight w:val="none"/>
        </w:rPr>
        <w:t>：</w:t>
      </w:r>
    </w:p>
    <w:p w14:paraId="7E7BD41A">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（姓名）系</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 xml:space="preserve"> （投标人名称）的企业负责人，现授权委托本单位在职职工：</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（姓名），身份证号码：</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rPr>
        <w:t>2024年公款竞争性存放</w:t>
      </w:r>
      <w:r>
        <w:rPr>
          <w:rFonts w:hint="eastAsia" w:ascii="宋体" w:hAnsi="宋体"/>
          <w:bCs/>
          <w:color w:val="auto"/>
          <w:spacing w:val="-6"/>
          <w:sz w:val="24"/>
          <w:highlight w:val="none"/>
        </w:rPr>
        <w:t>项目</w:t>
      </w:r>
      <w:r>
        <w:rPr>
          <w:rFonts w:hint="eastAsia" w:ascii="宋体" w:hAnsi="宋体"/>
          <w:color w:val="auto"/>
          <w:spacing w:val="-6"/>
          <w:sz w:val="24"/>
          <w:highlight w:val="none"/>
        </w:rPr>
        <w:t>的投标活动，并代表我方全权办理针对上述项目的投标、开标、评标、签约等具体事务和签署相关文件。</w:t>
      </w:r>
    </w:p>
    <w:p w14:paraId="222C9DF0">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14:paraId="1DC574FF">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14:paraId="774A331D">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14:paraId="00F72282">
      <w:pPr>
        <w:spacing w:line="360" w:lineRule="auto"/>
        <w:ind w:firstLine="424" w:firstLineChars="186"/>
        <w:rPr>
          <w:rFonts w:ascii="宋体" w:hAnsi="宋体"/>
          <w:color w:val="auto"/>
          <w:spacing w:val="-6"/>
          <w:sz w:val="24"/>
          <w:highlight w:val="none"/>
        </w:rPr>
      </w:pPr>
    </w:p>
    <w:p w14:paraId="7D2FB58F">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rPr>
        <w:t>企业负责人（签字或盖章）：_________________________</w:t>
      </w:r>
    </w:p>
    <w:p w14:paraId="6F0B417F">
      <w:pPr>
        <w:spacing w:line="360" w:lineRule="auto"/>
        <w:ind w:firstLine="424" w:firstLineChars="186"/>
        <w:rPr>
          <w:rFonts w:ascii="宋体" w:hAnsi="宋体"/>
          <w:color w:val="auto"/>
          <w:spacing w:val="-6"/>
          <w:sz w:val="24"/>
          <w:highlight w:val="none"/>
        </w:rPr>
      </w:pPr>
    </w:p>
    <w:p w14:paraId="06102EDF">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14:paraId="17A7073A">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14:paraId="529AF8AC">
      <w:pPr>
        <w:spacing w:line="360" w:lineRule="auto"/>
        <w:rPr>
          <w:rFonts w:ascii="宋体" w:hAnsi="宋体"/>
          <w:color w:val="auto"/>
          <w:spacing w:val="-6"/>
          <w:sz w:val="24"/>
          <w:highlight w:val="none"/>
        </w:rPr>
      </w:pP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070F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9639" w:type="dxa"/>
          </w:tcPr>
          <w:p w14:paraId="2D667EEE">
            <w:pPr>
              <w:spacing w:line="360" w:lineRule="auto"/>
              <w:rPr>
                <w:rFonts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14:paraId="194C1DB2">
            <w:pPr>
              <w:spacing w:line="360" w:lineRule="auto"/>
              <w:rPr>
                <w:rFonts w:ascii="宋体" w:hAnsi="宋体"/>
                <w:color w:val="auto"/>
                <w:sz w:val="24"/>
                <w:highlight w:val="none"/>
              </w:rPr>
            </w:pPr>
          </w:p>
          <w:p w14:paraId="3263C460">
            <w:pPr>
              <w:spacing w:line="360" w:lineRule="auto"/>
              <w:rPr>
                <w:rFonts w:ascii="宋体" w:hAnsi="宋体"/>
                <w:color w:val="auto"/>
                <w:sz w:val="24"/>
                <w:highlight w:val="none"/>
              </w:rPr>
            </w:pPr>
          </w:p>
          <w:p w14:paraId="42976C2F">
            <w:pPr>
              <w:spacing w:line="360" w:lineRule="auto"/>
              <w:rPr>
                <w:rFonts w:ascii="宋体" w:hAnsi="宋体"/>
                <w:color w:val="auto"/>
                <w:sz w:val="24"/>
                <w:highlight w:val="none"/>
              </w:rPr>
            </w:pPr>
          </w:p>
          <w:p w14:paraId="43019135">
            <w:pPr>
              <w:spacing w:line="360" w:lineRule="auto"/>
              <w:rPr>
                <w:rFonts w:ascii="宋体" w:hAnsi="宋体"/>
                <w:color w:val="auto"/>
                <w:sz w:val="24"/>
                <w:highlight w:val="none"/>
              </w:rPr>
            </w:pPr>
            <w:r>
              <w:rPr>
                <w:rFonts w:hint="eastAsia" w:ascii="宋体" w:hAnsi="宋体"/>
                <w:color w:val="auto"/>
                <w:sz w:val="24"/>
                <w:highlight w:val="none"/>
              </w:rPr>
              <w:t>扫描件粘贴处</w:t>
            </w:r>
          </w:p>
          <w:p w14:paraId="0613086E">
            <w:pPr>
              <w:spacing w:line="360" w:lineRule="auto"/>
              <w:rPr>
                <w:rFonts w:ascii="宋体" w:hAnsi="宋体"/>
                <w:color w:val="auto"/>
                <w:spacing w:val="-6"/>
                <w:sz w:val="24"/>
                <w:highlight w:val="none"/>
              </w:rPr>
            </w:pPr>
          </w:p>
        </w:tc>
      </w:tr>
    </w:tbl>
    <w:p w14:paraId="115F1E34">
      <w:pPr>
        <w:pStyle w:val="13"/>
        <w:spacing w:beforeLines="0" w:afterLines="0" w:line="360" w:lineRule="auto"/>
        <w:rPr>
          <w:rFonts w:hAnsi="宋体"/>
          <w:b/>
          <w:color w:val="auto"/>
          <w:spacing w:val="-6"/>
          <w:highlight w:val="none"/>
        </w:rPr>
      </w:pPr>
    </w:p>
    <w:p w14:paraId="11226BEF">
      <w:pPr>
        <w:pStyle w:val="13"/>
        <w:spacing w:beforeLines="0" w:afterLines="0" w:line="360" w:lineRule="auto"/>
        <w:rPr>
          <w:rFonts w:hAnsi="宋体"/>
          <w:b/>
          <w:color w:val="auto"/>
          <w:spacing w:val="-6"/>
          <w:highlight w:val="none"/>
        </w:rPr>
      </w:pPr>
      <w:r>
        <w:rPr>
          <w:rFonts w:hint="eastAsia" w:hAnsi="宋体"/>
          <w:b/>
          <w:color w:val="auto"/>
          <w:spacing w:val="-6"/>
          <w:highlight w:val="none"/>
        </w:rPr>
        <w:t>说明：</w:t>
      </w:r>
    </w:p>
    <w:p w14:paraId="4F8406AE">
      <w:pPr>
        <w:pStyle w:val="13"/>
        <w:spacing w:beforeLines="0" w:afterLines="0" w:line="360" w:lineRule="auto"/>
        <w:rPr>
          <w:rFonts w:hAnsi="宋体"/>
          <w:b/>
          <w:color w:val="auto"/>
          <w:spacing w:val="-6"/>
          <w:highlight w:val="none"/>
        </w:rPr>
      </w:pPr>
      <w:r>
        <w:rPr>
          <w:rFonts w:hint="eastAsia" w:hAnsi="宋体"/>
          <w:b/>
          <w:color w:val="auto"/>
          <w:spacing w:val="-6"/>
          <w:highlight w:val="none"/>
        </w:rPr>
        <w:t>1</w:t>
      </w:r>
      <w:r>
        <w:rPr>
          <w:rFonts w:hAnsi="宋体"/>
          <w:b/>
          <w:color w:val="auto"/>
          <w:spacing w:val="-6"/>
          <w:highlight w:val="none"/>
        </w:rPr>
        <w:t>.</w:t>
      </w:r>
      <w:r>
        <w:rPr>
          <w:rFonts w:hint="eastAsia" w:hAnsi="宋体"/>
          <w:b/>
          <w:color w:val="auto"/>
          <w:spacing w:val="-6"/>
          <w:highlight w:val="none"/>
        </w:rPr>
        <w:t>投标人的企业负责人参加投标，须在投标文件中提供：企业负责人资格证明书；</w:t>
      </w:r>
    </w:p>
    <w:p w14:paraId="68879FA9">
      <w:pPr>
        <w:pStyle w:val="13"/>
        <w:spacing w:beforeLines="0" w:afterLines="0" w:line="360" w:lineRule="auto"/>
        <w:rPr>
          <w:rFonts w:hAnsi="宋体"/>
          <w:b/>
          <w:color w:val="auto"/>
          <w:spacing w:val="-6"/>
          <w:highlight w:val="none"/>
        </w:rPr>
      </w:pPr>
      <w:r>
        <w:rPr>
          <w:rFonts w:hint="eastAsia" w:hAnsi="宋体"/>
          <w:b/>
          <w:color w:val="auto"/>
          <w:spacing w:val="-6"/>
          <w:highlight w:val="none"/>
        </w:rPr>
        <w:t>2</w:t>
      </w:r>
      <w:r>
        <w:rPr>
          <w:rFonts w:hAnsi="宋体"/>
          <w:b/>
          <w:color w:val="auto"/>
          <w:spacing w:val="-6"/>
          <w:highlight w:val="none"/>
        </w:rPr>
        <w:t>.</w:t>
      </w:r>
      <w:r>
        <w:rPr>
          <w:rFonts w:hint="eastAsia" w:hAnsi="宋体"/>
          <w:b/>
          <w:color w:val="auto"/>
          <w:spacing w:val="-6"/>
          <w:highlight w:val="none"/>
        </w:rPr>
        <w:t>投标人的企业负责人委托授权代表参加投标，须在投标文件中提供：企业负责人资格证明书和企业负责人授权委托书。</w:t>
      </w:r>
    </w:p>
    <w:p w14:paraId="4958C62A">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投标声明书</w:t>
      </w:r>
    </w:p>
    <w:p w14:paraId="5BF4A43F">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14:paraId="04CE82F4">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（投标人名称）</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系中华人民共和国合法企业，经营地址</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w:t>
      </w:r>
    </w:p>
    <w:p w14:paraId="140F7B1E">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我方愿意参加贵方组织的2024年公款竞争性存放</w:t>
      </w:r>
      <w:r>
        <w:rPr>
          <w:rFonts w:hint="eastAsia" w:ascii="宋体" w:hAnsi="宋体"/>
          <w:bCs/>
          <w:color w:val="auto"/>
          <w:spacing w:val="-6"/>
          <w:sz w:val="24"/>
          <w:highlight w:val="none"/>
        </w:rPr>
        <w:t>项目</w:t>
      </w:r>
      <w:r>
        <w:rPr>
          <w:rFonts w:hint="eastAsia" w:ascii="宋体" w:hAnsi="宋体"/>
          <w:color w:val="auto"/>
          <w:spacing w:val="-6"/>
          <w:sz w:val="24"/>
          <w:highlight w:val="none"/>
        </w:rPr>
        <w:t>的投标，为便于贵方公正、择优地确定中标人及其服务，我方就本次投标有关事项郑重声明如下：</w:t>
      </w:r>
    </w:p>
    <w:p w14:paraId="082FAC32">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我方向贵方提交的所有投标文件、资料都是准确的和真实的；</w:t>
      </w:r>
    </w:p>
    <w:p w14:paraId="0940C0D1">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我方不是招标人的附属机构；在获知本项目采购信息后，与招标人聘请的为此项目提供咨询服务的公司及其附属机构没有任何联系。</w:t>
      </w:r>
    </w:p>
    <w:p w14:paraId="28F0419C">
      <w:pPr>
        <w:pStyle w:val="11"/>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3.以上事项如有虚假或隐瞒，我方愿意承担一切后果和责任。</w:t>
      </w:r>
    </w:p>
    <w:p w14:paraId="46DB12E7">
      <w:pPr>
        <w:pStyle w:val="74"/>
        <w:spacing w:line="360" w:lineRule="auto"/>
        <w:rPr>
          <w:rFonts w:ascii="宋体" w:hAnsi="宋体"/>
          <w:color w:val="auto"/>
          <w:spacing w:val="-6"/>
          <w:szCs w:val="24"/>
          <w:highlight w:val="none"/>
        </w:rPr>
      </w:pPr>
    </w:p>
    <w:p w14:paraId="4091A7FD">
      <w:pPr>
        <w:pStyle w:val="74"/>
        <w:spacing w:line="360" w:lineRule="auto"/>
        <w:rPr>
          <w:rFonts w:ascii="宋体" w:hAnsi="宋体"/>
          <w:color w:val="auto"/>
          <w:spacing w:val="-6"/>
          <w:szCs w:val="24"/>
          <w:highlight w:val="none"/>
        </w:rPr>
      </w:pPr>
    </w:p>
    <w:p w14:paraId="32BC6498">
      <w:pPr>
        <w:pStyle w:val="74"/>
        <w:spacing w:line="360" w:lineRule="auto"/>
        <w:rPr>
          <w:rFonts w:ascii="宋体" w:hAnsi="宋体"/>
          <w:color w:val="auto"/>
          <w:spacing w:val="-6"/>
          <w:szCs w:val="24"/>
          <w:highlight w:val="none"/>
        </w:rPr>
      </w:pPr>
    </w:p>
    <w:p w14:paraId="53C2F96F">
      <w:pPr>
        <w:pStyle w:val="74"/>
        <w:spacing w:line="360" w:lineRule="auto"/>
        <w:rPr>
          <w:rFonts w:ascii="宋体" w:hAnsi="宋体"/>
          <w:color w:val="auto"/>
          <w:spacing w:val="-6"/>
          <w:szCs w:val="24"/>
          <w:highlight w:val="none"/>
        </w:rPr>
      </w:pPr>
    </w:p>
    <w:p w14:paraId="049C3671">
      <w:pPr>
        <w:pStyle w:val="74"/>
        <w:spacing w:line="360" w:lineRule="auto"/>
        <w:rPr>
          <w:rFonts w:ascii="宋体" w:hAnsi="宋体"/>
          <w:color w:val="auto"/>
          <w:spacing w:val="-6"/>
          <w:szCs w:val="24"/>
          <w:highlight w:val="none"/>
        </w:rPr>
      </w:pPr>
    </w:p>
    <w:p w14:paraId="589D8243">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14:paraId="5EF1A5A7">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14:paraId="76E5187F">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14:paraId="6E24F8C0">
      <w:pPr>
        <w:snapToGrid w:val="0"/>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廉政承诺书</w:t>
      </w:r>
    </w:p>
    <w:p w14:paraId="1E92457B">
      <w:pPr>
        <w:spacing w:line="360" w:lineRule="auto"/>
        <w:rPr>
          <w:rFonts w:ascii="宋体" w:hAnsi="宋体" w:cs="宋体"/>
          <w:color w:val="auto"/>
          <w:sz w:val="24"/>
          <w:highlight w:val="none"/>
        </w:rPr>
      </w:pPr>
      <w:r>
        <w:rPr>
          <w:rFonts w:hint="eastAsia" w:ascii="宋体" w:hAnsi="宋体" w:cs="宋体"/>
          <w:color w:val="auto"/>
          <w:sz w:val="24"/>
          <w:highlight w:val="none"/>
        </w:rPr>
        <w:t>《浙江人大》杂志社：</w:t>
      </w:r>
    </w:p>
    <w:p w14:paraId="1695031C">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财政部关于进一步加强财政部门和预算单位资金存放管理的指导意见》（财库〔2017〕76号）、《浙江省省级行政事业单位公款竞争性存放管理办法》（浙财预执〔2021〕7号）相关规定，现就本行参加贵单位2024年公款竞争性存放作出如下承诺：</w:t>
      </w:r>
    </w:p>
    <w:p w14:paraId="4D3C8613">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1.不向贵单位负责公款存放管理的领导及相关人员进行利益输送；</w:t>
      </w:r>
    </w:p>
    <w:p w14:paraId="7C92CA47">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2.不将公款存放与贵单位负责公款存放管理的领导及相关人员在本行的配偶、子女及其配偶和其他直接利益相关人员的业绩、收入、晋升等利益挂钩；</w:t>
      </w:r>
    </w:p>
    <w:p w14:paraId="034A17A4">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3.严格执行利益回避制度，贵单位负责公款竞争性存放相关人员的配偶、子女及其配偶和其他直接利益相关人员为本行工作人员的，不参与公款竞争性存放工作；</w:t>
      </w:r>
    </w:p>
    <w:p w14:paraId="7E0F9BEB">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4.不发生除上述行为之外的其他任何利益输送行为。</w:t>
      </w:r>
    </w:p>
    <w:p w14:paraId="6E20F7BE">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未遵守以上承诺的，本行自愿接受财政部门通报和处理，承担相应的一切后果。</w:t>
      </w:r>
    </w:p>
    <w:p w14:paraId="53F10A05">
      <w:pPr>
        <w:spacing w:line="360" w:lineRule="auto"/>
        <w:ind w:firstLine="420"/>
        <w:rPr>
          <w:rFonts w:ascii="宋体" w:hAnsi="宋体" w:cs="宋体"/>
          <w:color w:val="auto"/>
          <w:sz w:val="24"/>
          <w:highlight w:val="none"/>
        </w:rPr>
      </w:pPr>
    </w:p>
    <w:p w14:paraId="7865BA5A">
      <w:pPr>
        <w:spacing w:line="360" w:lineRule="auto"/>
        <w:ind w:firstLine="420"/>
        <w:rPr>
          <w:rFonts w:ascii="宋体" w:hAnsi="宋体" w:cs="宋体"/>
          <w:color w:val="auto"/>
          <w:sz w:val="24"/>
          <w:highlight w:val="none"/>
        </w:rPr>
      </w:pPr>
    </w:p>
    <w:p w14:paraId="533E7F85">
      <w:pPr>
        <w:spacing w:line="360" w:lineRule="auto"/>
        <w:jc w:val="right"/>
        <w:rPr>
          <w:rFonts w:ascii="宋体" w:hAnsi="宋体" w:cs="宋体"/>
          <w:color w:val="auto"/>
          <w:sz w:val="24"/>
          <w:highlight w:val="none"/>
        </w:rPr>
      </w:pPr>
      <w:r>
        <w:rPr>
          <w:rFonts w:hint="eastAsia" w:ascii="宋体" w:hAnsi="宋体" w:cs="宋体"/>
          <w:color w:val="auto"/>
          <w:sz w:val="24"/>
          <w:highlight w:val="none"/>
        </w:rPr>
        <w:t>银行（公章）</w:t>
      </w:r>
    </w:p>
    <w:p w14:paraId="40F074A9">
      <w:pPr>
        <w:spacing w:line="360" w:lineRule="auto"/>
        <w:jc w:val="right"/>
        <w:rPr>
          <w:rFonts w:ascii="宋体" w:hAnsi="宋体"/>
          <w:b/>
          <w:color w:val="auto"/>
          <w:spacing w:val="-6"/>
          <w:sz w:val="24"/>
          <w:highlight w:val="none"/>
        </w:rPr>
      </w:pPr>
      <w:r>
        <w:rPr>
          <w:rFonts w:hint="eastAsia" w:ascii="宋体" w:hAnsi="宋体" w:cs="宋体"/>
          <w:color w:val="auto"/>
          <w:sz w:val="24"/>
          <w:highlight w:val="none"/>
        </w:rPr>
        <w:t xml:space="preserve">   年   月   日</w:t>
      </w:r>
    </w:p>
    <w:p w14:paraId="5BDFF8C7">
      <w:pPr>
        <w:spacing w:line="360" w:lineRule="auto"/>
        <w:jc w:val="center"/>
        <w:outlineLvl w:val="1"/>
        <w:rPr>
          <w:rFonts w:ascii="宋体" w:hAnsi="宋体"/>
          <w:b/>
          <w:color w:val="auto"/>
          <w:spacing w:val="-6"/>
          <w:sz w:val="52"/>
          <w:szCs w:val="52"/>
          <w:highlight w:val="none"/>
        </w:rPr>
      </w:pPr>
      <w:r>
        <w:rPr>
          <w:rFonts w:ascii="宋体" w:hAnsi="宋体"/>
          <w:b/>
          <w:color w:val="auto"/>
          <w:spacing w:val="-6"/>
          <w:sz w:val="24"/>
          <w:highlight w:val="none"/>
        </w:rPr>
        <w:br w:type="page"/>
      </w:r>
    </w:p>
    <w:p w14:paraId="3E5FE803">
      <w:pPr>
        <w:snapToGrid w:val="0"/>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服务</w:t>
      </w:r>
      <w:r>
        <w:rPr>
          <w:rFonts w:ascii="宋体" w:hAnsi="宋体"/>
          <w:b/>
          <w:color w:val="auto"/>
          <w:spacing w:val="-6"/>
          <w:sz w:val="24"/>
          <w:highlight w:val="none"/>
        </w:rPr>
        <w:t>承诺对照表</w:t>
      </w:r>
    </w:p>
    <w:p w14:paraId="71019924">
      <w:pPr>
        <w:spacing w:line="360" w:lineRule="auto"/>
        <w:rPr>
          <w:rFonts w:ascii="宋体" w:hAnsi="宋体"/>
          <w:color w:val="auto"/>
          <w:spacing w:val="-6"/>
          <w:sz w:val="24"/>
          <w:highlight w:val="none"/>
        </w:rPr>
      </w:pPr>
    </w:p>
    <w:p w14:paraId="7603B685">
      <w:pPr>
        <w:spacing w:line="360" w:lineRule="auto"/>
        <w:rPr>
          <w:rFonts w:ascii="宋体" w:hAnsi="宋体"/>
          <w:color w:val="auto"/>
          <w:spacing w:val="-6"/>
          <w:sz w:val="24"/>
          <w:highlight w:val="none"/>
        </w:rPr>
      </w:pPr>
      <w:r>
        <w:rPr>
          <w:rFonts w:hint="eastAsia" w:ascii="宋体" w:hAnsi="宋体"/>
          <w:color w:val="auto"/>
          <w:spacing w:val="-6"/>
          <w:sz w:val="24"/>
          <w:highlight w:val="none"/>
        </w:rPr>
        <w:t>招 标 人：《浙江人大》杂志社</w:t>
      </w:r>
    </w:p>
    <w:p w14:paraId="7E4197DD">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招标项目编号：QSZB-F(F)-C24393(GK)  </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552"/>
        <w:gridCol w:w="3424"/>
      </w:tblGrid>
      <w:tr w14:paraId="66D9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76A01C1E">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项目</w:t>
            </w:r>
          </w:p>
        </w:tc>
        <w:tc>
          <w:tcPr>
            <w:tcW w:w="2551" w:type="dxa"/>
            <w:vAlign w:val="center"/>
          </w:tcPr>
          <w:p w14:paraId="7B9A3451">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招标</w:t>
            </w:r>
            <w:r>
              <w:rPr>
                <w:rFonts w:ascii="宋体" w:hAnsi="宋体"/>
                <w:b/>
                <w:color w:val="auto"/>
                <w:spacing w:val="-6"/>
                <w:sz w:val="24"/>
                <w:highlight w:val="none"/>
              </w:rPr>
              <w:t>文件要求</w:t>
            </w:r>
          </w:p>
        </w:tc>
        <w:tc>
          <w:tcPr>
            <w:tcW w:w="2552" w:type="dxa"/>
            <w:vAlign w:val="center"/>
          </w:tcPr>
          <w:p w14:paraId="50E9BDE8">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是否</w:t>
            </w:r>
            <w:r>
              <w:rPr>
                <w:rFonts w:ascii="宋体" w:hAnsi="宋体"/>
                <w:b/>
                <w:color w:val="auto"/>
                <w:spacing w:val="-6"/>
                <w:sz w:val="24"/>
                <w:highlight w:val="none"/>
              </w:rPr>
              <w:t>响应</w:t>
            </w:r>
          </w:p>
        </w:tc>
        <w:tc>
          <w:tcPr>
            <w:tcW w:w="3424" w:type="dxa"/>
            <w:vAlign w:val="center"/>
          </w:tcPr>
          <w:p w14:paraId="34B55CC6">
            <w:pPr>
              <w:snapToGrid w:val="0"/>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投标人</w:t>
            </w:r>
            <w:r>
              <w:rPr>
                <w:rFonts w:ascii="宋体" w:hAnsi="宋体"/>
                <w:b/>
                <w:color w:val="auto"/>
                <w:spacing w:val="-6"/>
                <w:sz w:val="24"/>
                <w:highlight w:val="none"/>
              </w:rPr>
              <w:t>的承诺或说明</w:t>
            </w:r>
          </w:p>
        </w:tc>
      </w:tr>
      <w:tr w14:paraId="7E07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gridSpan w:val="4"/>
            <w:vAlign w:val="center"/>
          </w:tcPr>
          <w:p w14:paraId="15AA135E">
            <w:pPr>
              <w:snapToGrid w:val="0"/>
              <w:spacing w:line="360" w:lineRule="auto"/>
              <w:rPr>
                <w:rFonts w:ascii="宋体" w:hAnsi="宋体"/>
                <w:b/>
                <w:color w:val="auto"/>
                <w:spacing w:val="-6"/>
                <w:sz w:val="24"/>
                <w:highlight w:val="none"/>
              </w:rPr>
            </w:pPr>
            <w:r>
              <w:rPr>
                <w:rFonts w:hint="eastAsia" w:ascii="宋体" w:hAnsi="宋体"/>
                <w:b/>
                <w:color w:val="auto"/>
                <w:spacing w:val="-6"/>
                <w:sz w:val="24"/>
                <w:highlight w:val="none"/>
              </w:rPr>
              <w:t>服务</w:t>
            </w:r>
            <w:r>
              <w:rPr>
                <w:rFonts w:ascii="宋体" w:hAnsi="宋体"/>
                <w:b/>
                <w:color w:val="auto"/>
                <w:spacing w:val="-6"/>
                <w:sz w:val="24"/>
                <w:highlight w:val="none"/>
              </w:rPr>
              <w:t>要求</w:t>
            </w:r>
          </w:p>
        </w:tc>
      </w:tr>
      <w:tr w14:paraId="1BAC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42797AF5">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一）</w:t>
            </w:r>
          </w:p>
        </w:tc>
        <w:tc>
          <w:tcPr>
            <w:tcW w:w="2551" w:type="dxa"/>
            <w:vAlign w:val="center"/>
          </w:tcPr>
          <w:p w14:paraId="3E224E01">
            <w:pPr>
              <w:snapToGrid w:val="0"/>
              <w:spacing w:line="360" w:lineRule="auto"/>
              <w:rPr>
                <w:rFonts w:ascii="宋体" w:hAnsi="宋体"/>
                <w:color w:val="auto"/>
                <w:spacing w:val="-6"/>
                <w:sz w:val="24"/>
                <w:highlight w:val="none"/>
              </w:rPr>
            </w:pPr>
          </w:p>
        </w:tc>
        <w:tc>
          <w:tcPr>
            <w:tcW w:w="2552" w:type="dxa"/>
            <w:vAlign w:val="center"/>
          </w:tcPr>
          <w:p w14:paraId="0947ED69">
            <w:pPr>
              <w:snapToGrid w:val="0"/>
              <w:spacing w:line="360" w:lineRule="auto"/>
              <w:rPr>
                <w:rFonts w:ascii="宋体" w:hAnsi="宋体"/>
                <w:color w:val="auto"/>
                <w:spacing w:val="-6"/>
                <w:sz w:val="24"/>
                <w:highlight w:val="none"/>
              </w:rPr>
            </w:pPr>
          </w:p>
        </w:tc>
        <w:tc>
          <w:tcPr>
            <w:tcW w:w="3424" w:type="dxa"/>
            <w:vAlign w:val="center"/>
          </w:tcPr>
          <w:p w14:paraId="60173977">
            <w:pPr>
              <w:snapToGrid w:val="0"/>
              <w:spacing w:line="360" w:lineRule="auto"/>
              <w:rPr>
                <w:rFonts w:ascii="宋体" w:hAnsi="宋体"/>
                <w:color w:val="auto"/>
                <w:spacing w:val="-6"/>
                <w:sz w:val="24"/>
                <w:highlight w:val="none"/>
              </w:rPr>
            </w:pPr>
          </w:p>
        </w:tc>
      </w:tr>
      <w:tr w14:paraId="3380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7A771899">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（二）</w:t>
            </w:r>
          </w:p>
        </w:tc>
        <w:tc>
          <w:tcPr>
            <w:tcW w:w="2551" w:type="dxa"/>
            <w:vAlign w:val="center"/>
          </w:tcPr>
          <w:p w14:paraId="6A80E381">
            <w:pPr>
              <w:snapToGrid w:val="0"/>
              <w:spacing w:line="360" w:lineRule="auto"/>
              <w:rPr>
                <w:rFonts w:ascii="宋体" w:hAnsi="宋体"/>
                <w:color w:val="auto"/>
                <w:spacing w:val="-6"/>
                <w:sz w:val="24"/>
                <w:highlight w:val="none"/>
              </w:rPr>
            </w:pPr>
          </w:p>
        </w:tc>
        <w:tc>
          <w:tcPr>
            <w:tcW w:w="2552" w:type="dxa"/>
            <w:vAlign w:val="center"/>
          </w:tcPr>
          <w:p w14:paraId="73FA59EC">
            <w:pPr>
              <w:snapToGrid w:val="0"/>
              <w:spacing w:line="360" w:lineRule="auto"/>
              <w:rPr>
                <w:rFonts w:ascii="宋体" w:hAnsi="宋体"/>
                <w:color w:val="auto"/>
                <w:spacing w:val="-6"/>
                <w:sz w:val="24"/>
                <w:highlight w:val="none"/>
              </w:rPr>
            </w:pPr>
          </w:p>
        </w:tc>
        <w:tc>
          <w:tcPr>
            <w:tcW w:w="3424" w:type="dxa"/>
            <w:vAlign w:val="center"/>
          </w:tcPr>
          <w:p w14:paraId="203BC862">
            <w:pPr>
              <w:snapToGrid w:val="0"/>
              <w:spacing w:line="360" w:lineRule="auto"/>
              <w:rPr>
                <w:rFonts w:ascii="宋体" w:hAnsi="宋体"/>
                <w:color w:val="auto"/>
                <w:spacing w:val="-6"/>
                <w:sz w:val="24"/>
                <w:highlight w:val="none"/>
              </w:rPr>
            </w:pPr>
          </w:p>
        </w:tc>
      </w:tr>
      <w:tr w14:paraId="7A18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2A889A5">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三）</w:t>
            </w:r>
          </w:p>
        </w:tc>
        <w:tc>
          <w:tcPr>
            <w:tcW w:w="2551" w:type="dxa"/>
            <w:vAlign w:val="center"/>
          </w:tcPr>
          <w:p w14:paraId="6B2F364A">
            <w:pPr>
              <w:snapToGrid w:val="0"/>
              <w:spacing w:line="360" w:lineRule="auto"/>
              <w:rPr>
                <w:rFonts w:ascii="宋体" w:hAnsi="宋体"/>
                <w:color w:val="auto"/>
                <w:spacing w:val="-6"/>
                <w:sz w:val="24"/>
                <w:highlight w:val="none"/>
              </w:rPr>
            </w:pPr>
          </w:p>
        </w:tc>
        <w:tc>
          <w:tcPr>
            <w:tcW w:w="2552" w:type="dxa"/>
            <w:vAlign w:val="center"/>
          </w:tcPr>
          <w:p w14:paraId="2D7042CB">
            <w:pPr>
              <w:snapToGrid w:val="0"/>
              <w:spacing w:line="360" w:lineRule="auto"/>
              <w:rPr>
                <w:rFonts w:ascii="宋体" w:hAnsi="宋体"/>
                <w:color w:val="auto"/>
                <w:spacing w:val="-6"/>
                <w:sz w:val="24"/>
                <w:highlight w:val="none"/>
              </w:rPr>
            </w:pPr>
          </w:p>
        </w:tc>
        <w:tc>
          <w:tcPr>
            <w:tcW w:w="3424" w:type="dxa"/>
            <w:vAlign w:val="center"/>
          </w:tcPr>
          <w:p w14:paraId="63D6455B">
            <w:pPr>
              <w:snapToGrid w:val="0"/>
              <w:spacing w:line="360" w:lineRule="auto"/>
              <w:rPr>
                <w:rFonts w:ascii="宋体" w:hAnsi="宋体"/>
                <w:color w:val="auto"/>
                <w:spacing w:val="-6"/>
                <w:sz w:val="24"/>
                <w:highlight w:val="none"/>
              </w:rPr>
            </w:pPr>
          </w:p>
        </w:tc>
      </w:tr>
      <w:tr w14:paraId="153F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1D91665">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（四</w:t>
            </w:r>
            <w:r>
              <w:rPr>
                <w:rFonts w:ascii="宋体" w:hAnsi="宋体"/>
                <w:color w:val="auto"/>
                <w:spacing w:val="-6"/>
                <w:sz w:val="24"/>
                <w:highlight w:val="none"/>
              </w:rPr>
              <w:t>）</w:t>
            </w:r>
          </w:p>
        </w:tc>
        <w:tc>
          <w:tcPr>
            <w:tcW w:w="2551" w:type="dxa"/>
            <w:vAlign w:val="center"/>
          </w:tcPr>
          <w:p w14:paraId="49718DDA">
            <w:pPr>
              <w:snapToGrid w:val="0"/>
              <w:spacing w:line="360" w:lineRule="auto"/>
              <w:rPr>
                <w:rFonts w:ascii="宋体" w:hAnsi="宋体"/>
                <w:color w:val="auto"/>
                <w:spacing w:val="-6"/>
                <w:sz w:val="24"/>
                <w:highlight w:val="none"/>
              </w:rPr>
            </w:pPr>
          </w:p>
        </w:tc>
        <w:tc>
          <w:tcPr>
            <w:tcW w:w="2552" w:type="dxa"/>
            <w:vAlign w:val="center"/>
          </w:tcPr>
          <w:p w14:paraId="1491D71E">
            <w:pPr>
              <w:snapToGrid w:val="0"/>
              <w:spacing w:line="360" w:lineRule="auto"/>
              <w:rPr>
                <w:rFonts w:ascii="宋体" w:hAnsi="宋体"/>
                <w:color w:val="auto"/>
                <w:spacing w:val="-6"/>
                <w:sz w:val="24"/>
                <w:highlight w:val="none"/>
              </w:rPr>
            </w:pPr>
          </w:p>
        </w:tc>
        <w:tc>
          <w:tcPr>
            <w:tcW w:w="3424" w:type="dxa"/>
            <w:vAlign w:val="center"/>
          </w:tcPr>
          <w:p w14:paraId="1589B3EF">
            <w:pPr>
              <w:snapToGrid w:val="0"/>
              <w:spacing w:line="360" w:lineRule="auto"/>
              <w:rPr>
                <w:rFonts w:ascii="宋体" w:hAnsi="宋体"/>
                <w:color w:val="auto"/>
                <w:spacing w:val="-6"/>
                <w:sz w:val="24"/>
                <w:highlight w:val="none"/>
              </w:rPr>
            </w:pPr>
          </w:p>
        </w:tc>
      </w:tr>
      <w:tr w14:paraId="54E9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0211E16">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（五</w:t>
            </w:r>
            <w:r>
              <w:rPr>
                <w:rFonts w:ascii="宋体" w:hAnsi="宋体"/>
                <w:color w:val="auto"/>
                <w:spacing w:val="-6"/>
                <w:sz w:val="24"/>
                <w:highlight w:val="none"/>
              </w:rPr>
              <w:t>）</w:t>
            </w:r>
          </w:p>
        </w:tc>
        <w:tc>
          <w:tcPr>
            <w:tcW w:w="2551" w:type="dxa"/>
            <w:vAlign w:val="center"/>
          </w:tcPr>
          <w:p w14:paraId="745A4C76">
            <w:pPr>
              <w:snapToGrid w:val="0"/>
              <w:spacing w:line="360" w:lineRule="auto"/>
              <w:rPr>
                <w:rFonts w:ascii="宋体" w:hAnsi="宋体"/>
                <w:color w:val="auto"/>
                <w:spacing w:val="-6"/>
                <w:sz w:val="24"/>
                <w:highlight w:val="none"/>
              </w:rPr>
            </w:pPr>
          </w:p>
        </w:tc>
        <w:tc>
          <w:tcPr>
            <w:tcW w:w="2552" w:type="dxa"/>
            <w:vAlign w:val="center"/>
          </w:tcPr>
          <w:p w14:paraId="4FE7C11C">
            <w:pPr>
              <w:snapToGrid w:val="0"/>
              <w:spacing w:line="360" w:lineRule="auto"/>
              <w:rPr>
                <w:rFonts w:ascii="宋体" w:hAnsi="宋体"/>
                <w:color w:val="auto"/>
                <w:spacing w:val="-6"/>
                <w:sz w:val="24"/>
                <w:highlight w:val="none"/>
              </w:rPr>
            </w:pPr>
          </w:p>
        </w:tc>
        <w:tc>
          <w:tcPr>
            <w:tcW w:w="3424" w:type="dxa"/>
            <w:vAlign w:val="center"/>
          </w:tcPr>
          <w:p w14:paraId="6F8BBBA8">
            <w:pPr>
              <w:snapToGrid w:val="0"/>
              <w:spacing w:line="360" w:lineRule="auto"/>
              <w:rPr>
                <w:rFonts w:ascii="宋体" w:hAnsi="宋体"/>
                <w:color w:val="auto"/>
                <w:spacing w:val="-6"/>
                <w:sz w:val="24"/>
                <w:highlight w:val="none"/>
              </w:rPr>
            </w:pPr>
          </w:p>
        </w:tc>
      </w:tr>
      <w:tr w14:paraId="26E6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37C7D66E">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（六</w:t>
            </w:r>
            <w:r>
              <w:rPr>
                <w:rFonts w:ascii="宋体" w:hAnsi="宋体"/>
                <w:color w:val="auto"/>
                <w:spacing w:val="-6"/>
                <w:sz w:val="24"/>
                <w:highlight w:val="none"/>
              </w:rPr>
              <w:t>）</w:t>
            </w:r>
          </w:p>
        </w:tc>
        <w:tc>
          <w:tcPr>
            <w:tcW w:w="2551" w:type="dxa"/>
            <w:vAlign w:val="center"/>
          </w:tcPr>
          <w:p w14:paraId="03CA3B20">
            <w:pPr>
              <w:snapToGrid w:val="0"/>
              <w:spacing w:line="360" w:lineRule="auto"/>
              <w:rPr>
                <w:rFonts w:ascii="宋体" w:hAnsi="宋体"/>
                <w:color w:val="auto"/>
                <w:spacing w:val="-6"/>
                <w:sz w:val="24"/>
                <w:highlight w:val="none"/>
              </w:rPr>
            </w:pPr>
          </w:p>
        </w:tc>
        <w:tc>
          <w:tcPr>
            <w:tcW w:w="2552" w:type="dxa"/>
            <w:vAlign w:val="center"/>
          </w:tcPr>
          <w:p w14:paraId="0D3AE00E">
            <w:pPr>
              <w:snapToGrid w:val="0"/>
              <w:spacing w:line="360" w:lineRule="auto"/>
              <w:rPr>
                <w:rFonts w:ascii="宋体" w:hAnsi="宋体"/>
                <w:color w:val="auto"/>
                <w:spacing w:val="-6"/>
                <w:sz w:val="24"/>
                <w:highlight w:val="none"/>
              </w:rPr>
            </w:pPr>
          </w:p>
        </w:tc>
        <w:tc>
          <w:tcPr>
            <w:tcW w:w="3424" w:type="dxa"/>
            <w:vAlign w:val="center"/>
          </w:tcPr>
          <w:p w14:paraId="1013E368">
            <w:pPr>
              <w:snapToGrid w:val="0"/>
              <w:spacing w:line="360" w:lineRule="auto"/>
              <w:rPr>
                <w:rFonts w:ascii="宋体" w:hAnsi="宋体"/>
                <w:color w:val="auto"/>
                <w:spacing w:val="-6"/>
                <w:sz w:val="24"/>
                <w:highlight w:val="none"/>
              </w:rPr>
            </w:pPr>
          </w:p>
        </w:tc>
      </w:tr>
      <w:tr w14:paraId="46BF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B8070BB">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（七</w:t>
            </w:r>
            <w:r>
              <w:rPr>
                <w:rFonts w:ascii="宋体" w:hAnsi="宋体"/>
                <w:color w:val="auto"/>
                <w:spacing w:val="-6"/>
                <w:sz w:val="24"/>
                <w:highlight w:val="none"/>
              </w:rPr>
              <w:t>）</w:t>
            </w:r>
          </w:p>
        </w:tc>
        <w:tc>
          <w:tcPr>
            <w:tcW w:w="2551" w:type="dxa"/>
            <w:vAlign w:val="center"/>
          </w:tcPr>
          <w:p w14:paraId="0DBFF637">
            <w:pPr>
              <w:snapToGrid w:val="0"/>
              <w:spacing w:line="360" w:lineRule="auto"/>
              <w:rPr>
                <w:rFonts w:ascii="宋体" w:hAnsi="宋体"/>
                <w:color w:val="auto"/>
                <w:spacing w:val="-6"/>
                <w:sz w:val="24"/>
                <w:highlight w:val="none"/>
              </w:rPr>
            </w:pPr>
          </w:p>
        </w:tc>
        <w:tc>
          <w:tcPr>
            <w:tcW w:w="2552" w:type="dxa"/>
            <w:vAlign w:val="center"/>
          </w:tcPr>
          <w:p w14:paraId="5D10D50F">
            <w:pPr>
              <w:snapToGrid w:val="0"/>
              <w:spacing w:line="360" w:lineRule="auto"/>
              <w:rPr>
                <w:rFonts w:ascii="宋体" w:hAnsi="宋体"/>
                <w:color w:val="auto"/>
                <w:spacing w:val="-6"/>
                <w:sz w:val="24"/>
                <w:highlight w:val="none"/>
              </w:rPr>
            </w:pPr>
          </w:p>
        </w:tc>
        <w:tc>
          <w:tcPr>
            <w:tcW w:w="3424" w:type="dxa"/>
            <w:vAlign w:val="center"/>
          </w:tcPr>
          <w:p w14:paraId="12CC8081">
            <w:pPr>
              <w:snapToGrid w:val="0"/>
              <w:spacing w:line="360" w:lineRule="auto"/>
              <w:rPr>
                <w:rFonts w:ascii="宋体" w:hAnsi="宋体"/>
                <w:color w:val="auto"/>
                <w:spacing w:val="-6"/>
                <w:sz w:val="24"/>
                <w:highlight w:val="none"/>
              </w:rPr>
            </w:pPr>
          </w:p>
        </w:tc>
      </w:tr>
      <w:tr w14:paraId="309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7D2070BD">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（八</w:t>
            </w:r>
            <w:r>
              <w:rPr>
                <w:rFonts w:ascii="宋体" w:hAnsi="宋体"/>
                <w:color w:val="auto"/>
                <w:spacing w:val="-6"/>
                <w:sz w:val="24"/>
                <w:highlight w:val="none"/>
              </w:rPr>
              <w:t>）</w:t>
            </w:r>
          </w:p>
        </w:tc>
        <w:tc>
          <w:tcPr>
            <w:tcW w:w="2551" w:type="dxa"/>
            <w:vAlign w:val="center"/>
          </w:tcPr>
          <w:p w14:paraId="01F7FF31">
            <w:pPr>
              <w:snapToGrid w:val="0"/>
              <w:spacing w:line="360" w:lineRule="auto"/>
              <w:rPr>
                <w:rFonts w:ascii="宋体" w:hAnsi="宋体"/>
                <w:color w:val="auto"/>
                <w:spacing w:val="-6"/>
                <w:sz w:val="24"/>
                <w:highlight w:val="none"/>
              </w:rPr>
            </w:pPr>
          </w:p>
        </w:tc>
        <w:tc>
          <w:tcPr>
            <w:tcW w:w="2552" w:type="dxa"/>
            <w:vAlign w:val="center"/>
          </w:tcPr>
          <w:p w14:paraId="1B426F14">
            <w:pPr>
              <w:snapToGrid w:val="0"/>
              <w:spacing w:line="360" w:lineRule="auto"/>
              <w:rPr>
                <w:rFonts w:ascii="宋体" w:hAnsi="宋体"/>
                <w:color w:val="auto"/>
                <w:spacing w:val="-6"/>
                <w:sz w:val="24"/>
                <w:highlight w:val="none"/>
              </w:rPr>
            </w:pPr>
          </w:p>
        </w:tc>
        <w:tc>
          <w:tcPr>
            <w:tcW w:w="3424" w:type="dxa"/>
            <w:vAlign w:val="center"/>
          </w:tcPr>
          <w:p w14:paraId="586CC271">
            <w:pPr>
              <w:snapToGrid w:val="0"/>
              <w:spacing w:line="360" w:lineRule="auto"/>
              <w:rPr>
                <w:rFonts w:ascii="宋体" w:hAnsi="宋体"/>
                <w:color w:val="auto"/>
                <w:spacing w:val="-6"/>
                <w:sz w:val="24"/>
                <w:highlight w:val="none"/>
              </w:rPr>
            </w:pPr>
          </w:p>
        </w:tc>
      </w:tr>
    </w:tbl>
    <w:p w14:paraId="5737E05C">
      <w:pPr>
        <w:snapToGrid w:val="0"/>
        <w:spacing w:line="360" w:lineRule="auto"/>
        <w:jc w:val="center"/>
        <w:rPr>
          <w:rFonts w:ascii="宋体" w:hAnsi="宋体"/>
          <w:b/>
          <w:color w:val="auto"/>
          <w:spacing w:val="-6"/>
          <w:sz w:val="24"/>
          <w:highlight w:val="none"/>
        </w:rPr>
      </w:pPr>
    </w:p>
    <w:p w14:paraId="1C79497E">
      <w:pPr>
        <w:spacing w:line="360" w:lineRule="auto"/>
        <w:rPr>
          <w:rFonts w:ascii="宋体" w:hAnsi="宋体"/>
          <w:color w:val="auto"/>
          <w:spacing w:val="-6"/>
          <w:sz w:val="24"/>
          <w:highlight w:val="none"/>
        </w:rPr>
      </w:pPr>
    </w:p>
    <w:p w14:paraId="0C55BE40">
      <w:pPr>
        <w:spacing w:line="360" w:lineRule="auto"/>
        <w:rPr>
          <w:rFonts w:ascii="宋体" w:hAnsi="宋体"/>
          <w:color w:val="auto"/>
          <w:spacing w:val="-6"/>
          <w:sz w:val="24"/>
          <w:highlight w:val="none"/>
        </w:rPr>
      </w:pPr>
    </w:p>
    <w:p w14:paraId="01F67F76">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投标人名称（盖章）：</w:t>
      </w:r>
    </w:p>
    <w:p w14:paraId="5E1CFF42">
      <w:pPr>
        <w:spacing w:line="360" w:lineRule="auto"/>
        <w:rPr>
          <w:rFonts w:ascii="宋体" w:hAnsi="宋体"/>
          <w:color w:val="auto"/>
          <w:spacing w:val="-6"/>
          <w:sz w:val="24"/>
          <w:highlight w:val="none"/>
        </w:rPr>
      </w:pPr>
      <w:r>
        <w:rPr>
          <w:rFonts w:hint="eastAsia" w:ascii="宋体" w:hAnsi="宋体"/>
          <w:color w:val="auto"/>
          <w:spacing w:val="-6"/>
          <w:sz w:val="24"/>
          <w:highlight w:val="none"/>
        </w:rPr>
        <w:t>投标人代表签字：</w:t>
      </w:r>
    </w:p>
    <w:p w14:paraId="3C78AA59">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14:paraId="0B3F172E">
      <w:pPr>
        <w:pStyle w:val="32"/>
        <w:spacing w:line="360" w:lineRule="auto"/>
        <w:rPr>
          <w:rFonts w:ascii="宋体" w:hAnsi="宋体" w:cs="宋体"/>
          <w:b/>
          <w:color w:val="auto"/>
          <w:highlight w:val="none"/>
        </w:rPr>
      </w:pPr>
      <w:r>
        <w:rPr>
          <w:rFonts w:ascii="宋体" w:hAnsi="宋体" w:cs="宋体"/>
          <w:b/>
          <w:color w:val="auto"/>
          <w:highlight w:val="none"/>
        </w:rPr>
        <w:br w:type="page"/>
      </w:r>
    </w:p>
    <w:p w14:paraId="19FC3E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以下内容根据评分细则、格式自拟</w:t>
      </w:r>
    </w:p>
    <w:p w14:paraId="62588515">
      <w:pPr>
        <w:snapToGrid w:val="0"/>
        <w:spacing w:line="360" w:lineRule="auto"/>
        <w:jc w:val="left"/>
        <w:rPr>
          <w:rFonts w:ascii="宋体" w:hAnsi="宋体" w:cs="宋体"/>
          <w:b/>
          <w:color w:val="auto"/>
          <w:sz w:val="24"/>
          <w:highlight w:val="none"/>
        </w:rPr>
      </w:pPr>
    </w:p>
    <w:p w14:paraId="13E2DC9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以往金融服务支持情况（需经《浙江人大》杂志社认定）</w:t>
      </w:r>
    </w:p>
    <w:p w14:paraId="135F748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提前用款承诺</w:t>
      </w:r>
    </w:p>
    <w:p w14:paraId="7074245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服务方案及支持建设</w:t>
      </w:r>
    </w:p>
    <w:p w14:paraId="5F348F22">
      <w:pPr>
        <w:pStyle w:val="32"/>
        <w:spacing w:line="360" w:lineRule="auto"/>
        <w:rPr>
          <w:rFonts w:ascii="宋体" w:hAnsi="宋体" w:cs="宋体"/>
          <w:b/>
          <w:color w:val="auto"/>
          <w:highlight w:val="none"/>
        </w:rPr>
      </w:pPr>
    </w:p>
    <w:p w14:paraId="56C5E7F3">
      <w:pPr>
        <w:widowControl/>
        <w:spacing w:line="360" w:lineRule="auto"/>
        <w:jc w:val="left"/>
        <w:rPr>
          <w:rFonts w:ascii="宋体" w:hAnsi="宋体" w:cs="宋体"/>
          <w:b/>
          <w:color w:val="auto"/>
          <w:kern w:val="0"/>
          <w:sz w:val="24"/>
          <w:highlight w:val="none"/>
        </w:rPr>
      </w:pPr>
    </w:p>
    <w:sectPr>
      <w:footerReference r:id="rId5" w:type="default"/>
      <w:pgSz w:w="11906" w:h="16838"/>
      <w:pgMar w:top="1247" w:right="1247" w:bottom="1247" w:left="1247" w:header="1" w:footer="72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C969">
    <w:pPr>
      <w:tabs>
        <w:tab w:val="left" w:pos="7417"/>
      </w:tabs>
      <w:rPr>
        <w:rFonts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DB53">
    <w:pPr>
      <w:tabs>
        <w:tab w:val="left" w:pos="7417"/>
      </w:tabs>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19</w:t>
    </w:r>
    <w:r>
      <w:rPr>
        <w:rFonts w:ascii="宋体" w:hAns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0E7B">
    <w:pPr>
      <w:pStyle w:val="17"/>
    </w:pPr>
    <w:r>
      <w:drawing>
        <wp:inline distT="0" distB="0" distL="0" distR="0">
          <wp:extent cx="5905500" cy="676275"/>
          <wp:effectExtent l="19050" t="0" r="0" b="0"/>
          <wp:docPr id="2" name="图片 2" descr="E:\文件制作\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文件制作\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680D39D"/>
    <w:multiLevelType w:val="singleLevel"/>
    <w:tmpl w:val="5680D39D"/>
    <w:lvl w:ilvl="0" w:tentative="0">
      <w:start w:val="1"/>
      <w:numFmt w:val="chineseCounting"/>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s>
  <w:rsids>
    <w:rsidRoot w:val="00172A27"/>
    <w:rsid w:val="00003BD7"/>
    <w:rsid w:val="0000407F"/>
    <w:rsid w:val="00004BC1"/>
    <w:rsid w:val="000055AA"/>
    <w:rsid w:val="00006479"/>
    <w:rsid w:val="00010B5C"/>
    <w:rsid w:val="000114CE"/>
    <w:rsid w:val="00012EBC"/>
    <w:rsid w:val="00012FC3"/>
    <w:rsid w:val="0001334A"/>
    <w:rsid w:val="00013F01"/>
    <w:rsid w:val="00014602"/>
    <w:rsid w:val="0001520A"/>
    <w:rsid w:val="00015891"/>
    <w:rsid w:val="000169F9"/>
    <w:rsid w:val="00017BEE"/>
    <w:rsid w:val="00020801"/>
    <w:rsid w:val="00020818"/>
    <w:rsid w:val="00020AA9"/>
    <w:rsid w:val="00020F9E"/>
    <w:rsid w:val="00021B6A"/>
    <w:rsid w:val="00021D4E"/>
    <w:rsid w:val="00021DFD"/>
    <w:rsid w:val="000224A1"/>
    <w:rsid w:val="00022F14"/>
    <w:rsid w:val="00023178"/>
    <w:rsid w:val="00024130"/>
    <w:rsid w:val="00024666"/>
    <w:rsid w:val="0002534F"/>
    <w:rsid w:val="00025E6A"/>
    <w:rsid w:val="00026877"/>
    <w:rsid w:val="000276C1"/>
    <w:rsid w:val="00027A21"/>
    <w:rsid w:val="00027A3C"/>
    <w:rsid w:val="00030DB5"/>
    <w:rsid w:val="00030E81"/>
    <w:rsid w:val="000310FE"/>
    <w:rsid w:val="00031E2B"/>
    <w:rsid w:val="00032280"/>
    <w:rsid w:val="000325E1"/>
    <w:rsid w:val="00033E2F"/>
    <w:rsid w:val="00034177"/>
    <w:rsid w:val="00034B6F"/>
    <w:rsid w:val="000354BF"/>
    <w:rsid w:val="00035A6C"/>
    <w:rsid w:val="00036905"/>
    <w:rsid w:val="00036972"/>
    <w:rsid w:val="00036996"/>
    <w:rsid w:val="0003700E"/>
    <w:rsid w:val="0003797E"/>
    <w:rsid w:val="00037D61"/>
    <w:rsid w:val="00040041"/>
    <w:rsid w:val="000410B9"/>
    <w:rsid w:val="00041D0F"/>
    <w:rsid w:val="00043E78"/>
    <w:rsid w:val="00045713"/>
    <w:rsid w:val="000459B5"/>
    <w:rsid w:val="00045C96"/>
    <w:rsid w:val="00045EE2"/>
    <w:rsid w:val="00047222"/>
    <w:rsid w:val="00047DF2"/>
    <w:rsid w:val="000504A2"/>
    <w:rsid w:val="00050798"/>
    <w:rsid w:val="00051097"/>
    <w:rsid w:val="0005142F"/>
    <w:rsid w:val="0005166C"/>
    <w:rsid w:val="00051736"/>
    <w:rsid w:val="00052C43"/>
    <w:rsid w:val="00053647"/>
    <w:rsid w:val="00053AD2"/>
    <w:rsid w:val="00054211"/>
    <w:rsid w:val="00054601"/>
    <w:rsid w:val="00055269"/>
    <w:rsid w:val="00055762"/>
    <w:rsid w:val="000558AF"/>
    <w:rsid w:val="0005629D"/>
    <w:rsid w:val="00056A91"/>
    <w:rsid w:val="00056E35"/>
    <w:rsid w:val="000572E5"/>
    <w:rsid w:val="000574BB"/>
    <w:rsid w:val="000575CA"/>
    <w:rsid w:val="00057B3C"/>
    <w:rsid w:val="00057C6A"/>
    <w:rsid w:val="0006044C"/>
    <w:rsid w:val="00060962"/>
    <w:rsid w:val="00061877"/>
    <w:rsid w:val="00061D3E"/>
    <w:rsid w:val="0006212B"/>
    <w:rsid w:val="00062A65"/>
    <w:rsid w:val="00062C77"/>
    <w:rsid w:val="00064453"/>
    <w:rsid w:val="00064853"/>
    <w:rsid w:val="00064F1A"/>
    <w:rsid w:val="00065066"/>
    <w:rsid w:val="00065362"/>
    <w:rsid w:val="00065984"/>
    <w:rsid w:val="00065AD7"/>
    <w:rsid w:val="00066072"/>
    <w:rsid w:val="000670D3"/>
    <w:rsid w:val="0006777C"/>
    <w:rsid w:val="0006785D"/>
    <w:rsid w:val="00067B67"/>
    <w:rsid w:val="000710BF"/>
    <w:rsid w:val="00071135"/>
    <w:rsid w:val="00071C2A"/>
    <w:rsid w:val="00072425"/>
    <w:rsid w:val="00072746"/>
    <w:rsid w:val="000728B5"/>
    <w:rsid w:val="00073FF7"/>
    <w:rsid w:val="00074378"/>
    <w:rsid w:val="00074D7B"/>
    <w:rsid w:val="00076570"/>
    <w:rsid w:val="00077067"/>
    <w:rsid w:val="0007776E"/>
    <w:rsid w:val="000804A7"/>
    <w:rsid w:val="00080A03"/>
    <w:rsid w:val="00080B30"/>
    <w:rsid w:val="00083EE5"/>
    <w:rsid w:val="00084D5F"/>
    <w:rsid w:val="00085889"/>
    <w:rsid w:val="00085EC0"/>
    <w:rsid w:val="0008603E"/>
    <w:rsid w:val="00087D31"/>
    <w:rsid w:val="00087FF2"/>
    <w:rsid w:val="00090ABA"/>
    <w:rsid w:val="00091CC8"/>
    <w:rsid w:val="00092C46"/>
    <w:rsid w:val="00092E35"/>
    <w:rsid w:val="00093340"/>
    <w:rsid w:val="00093988"/>
    <w:rsid w:val="000941F1"/>
    <w:rsid w:val="00094C73"/>
    <w:rsid w:val="000957CD"/>
    <w:rsid w:val="00096127"/>
    <w:rsid w:val="000965C7"/>
    <w:rsid w:val="0009732C"/>
    <w:rsid w:val="000A1473"/>
    <w:rsid w:val="000A2610"/>
    <w:rsid w:val="000A2678"/>
    <w:rsid w:val="000A29BE"/>
    <w:rsid w:val="000A3119"/>
    <w:rsid w:val="000A35E1"/>
    <w:rsid w:val="000A3A5F"/>
    <w:rsid w:val="000A4CE6"/>
    <w:rsid w:val="000A4D7E"/>
    <w:rsid w:val="000A79FF"/>
    <w:rsid w:val="000A7CFC"/>
    <w:rsid w:val="000B1842"/>
    <w:rsid w:val="000B2628"/>
    <w:rsid w:val="000B34D6"/>
    <w:rsid w:val="000B3E1B"/>
    <w:rsid w:val="000B40E6"/>
    <w:rsid w:val="000B504A"/>
    <w:rsid w:val="000B55D0"/>
    <w:rsid w:val="000B575E"/>
    <w:rsid w:val="000B5C73"/>
    <w:rsid w:val="000B6848"/>
    <w:rsid w:val="000B6C54"/>
    <w:rsid w:val="000B723F"/>
    <w:rsid w:val="000B75B1"/>
    <w:rsid w:val="000B7688"/>
    <w:rsid w:val="000B78AE"/>
    <w:rsid w:val="000C3357"/>
    <w:rsid w:val="000C3741"/>
    <w:rsid w:val="000C37FE"/>
    <w:rsid w:val="000C3AB9"/>
    <w:rsid w:val="000C3BAF"/>
    <w:rsid w:val="000C460F"/>
    <w:rsid w:val="000C47A9"/>
    <w:rsid w:val="000C4883"/>
    <w:rsid w:val="000C5831"/>
    <w:rsid w:val="000C587D"/>
    <w:rsid w:val="000C5C75"/>
    <w:rsid w:val="000C60CB"/>
    <w:rsid w:val="000C6718"/>
    <w:rsid w:val="000C741E"/>
    <w:rsid w:val="000D03C9"/>
    <w:rsid w:val="000D1903"/>
    <w:rsid w:val="000D25B1"/>
    <w:rsid w:val="000D499E"/>
    <w:rsid w:val="000D4C7F"/>
    <w:rsid w:val="000D4F7D"/>
    <w:rsid w:val="000D519D"/>
    <w:rsid w:val="000D6676"/>
    <w:rsid w:val="000D6C0F"/>
    <w:rsid w:val="000D7D05"/>
    <w:rsid w:val="000E01C6"/>
    <w:rsid w:val="000E0616"/>
    <w:rsid w:val="000E0978"/>
    <w:rsid w:val="000E1432"/>
    <w:rsid w:val="000E1629"/>
    <w:rsid w:val="000E1BE1"/>
    <w:rsid w:val="000E1EE9"/>
    <w:rsid w:val="000E1F26"/>
    <w:rsid w:val="000E25FD"/>
    <w:rsid w:val="000E29C9"/>
    <w:rsid w:val="000E3A24"/>
    <w:rsid w:val="000E6588"/>
    <w:rsid w:val="000E7DBB"/>
    <w:rsid w:val="000F09AF"/>
    <w:rsid w:val="000F0D64"/>
    <w:rsid w:val="000F14E4"/>
    <w:rsid w:val="000F1F26"/>
    <w:rsid w:val="000F2AAD"/>
    <w:rsid w:val="000F30F5"/>
    <w:rsid w:val="000F31CF"/>
    <w:rsid w:val="000F3B05"/>
    <w:rsid w:val="000F47CE"/>
    <w:rsid w:val="000F4B22"/>
    <w:rsid w:val="000F55B7"/>
    <w:rsid w:val="000F5BBD"/>
    <w:rsid w:val="000F5CF1"/>
    <w:rsid w:val="000F5D40"/>
    <w:rsid w:val="000F665A"/>
    <w:rsid w:val="000F7174"/>
    <w:rsid w:val="000F7941"/>
    <w:rsid w:val="000F7E59"/>
    <w:rsid w:val="001003F0"/>
    <w:rsid w:val="0010098C"/>
    <w:rsid w:val="00100E4C"/>
    <w:rsid w:val="00101341"/>
    <w:rsid w:val="00102403"/>
    <w:rsid w:val="00102D01"/>
    <w:rsid w:val="00105F12"/>
    <w:rsid w:val="00105FC5"/>
    <w:rsid w:val="001070C4"/>
    <w:rsid w:val="001078DB"/>
    <w:rsid w:val="00107A62"/>
    <w:rsid w:val="00110547"/>
    <w:rsid w:val="001107C6"/>
    <w:rsid w:val="00110AE7"/>
    <w:rsid w:val="00111B51"/>
    <w:rsid w:val="00112E64"/>
    <w:rsid w:val="001143D2"/>
    <w:rsid w:val="001144F7"/>
    <w:rsid w:val="00116AC0"/>
    <w:rsid w:val="00117084"/>
    <w:rsid w:val="00117CA4"/>
    <w:rsid w:val="0012048B"/>
    <w:rsid w:val="00120BDC"/>
    <w:rsid w:val="00121040"/>
    <w:rsid w:val="00123983"/>
    <w:rsid w:val="00123C1D"/>
    <w:rsid w:val="00124512"/>
    <w:rsid w:val="0012489C"/>
    <w:rsid w:val="00124DE1"/>
    <w:rsid w:val="00125768"/>
    <w:rsid w:val="00126439"/>
    <w:rsid w:val="001266CC"/>
    <w:rsid w:val="00126C29"/>
    <w:rsid w:val="00130CAF"/>
    <w:rsid w:val="00130ED6"/>
    <w:rsid w:val="00132A2E"/>
    <w:rsid w:val="001330A8"/>
    <w:rsid w:val="00135280"/>
    <w:rsid w:val="00136919"/>
    <w:rsid w:val="00136ED4"/>
    <w:rsid w:val="0013796A"/>
    <w:rsid w:val="00140466"/>
    <w:rsid w:val="00141D0D"/>
    <w:rsid w:val="00142B06"/>
    <w:rsid w:val="0014310B"/>
    <w:rsid w:val="00143148"/>
    <w:rsid w:val="0014555E"/>
    <w:rsid w:val="00145780"/>
    <w:rsid w:val="00145989"/>
    <w:rsid w:val="00146327"/>
    <w:rsid w:val="00146F02"/>
    <w:rsid w:val="00146F2C"/>
    <w:rsid w:val="001475CB"/>
    <w:rsid w:val="001502BC"/>
    <w:rsid w:val="00150D1E"/>
    <w:rsid w:val="00150D46"/>
    <w:rsid w:val="00150EE4"/>
    <w:rsid w:val="00151152"/>
    <w:rsid w:val="00152D27"/>
    <w:rsid w:val="00153628"/>
    <w:rsid w:val="001540BA"/>
    <w:rsid w:val="00155540"/>
    <w:rsid w:val="00155AFA"/>
    <w:rsid w:val="001566F2"/>
    <w:rsid w:val="00157BA2"/>
    <w:rsid w:val="00160B84"/>
    <w:rsid w:val="00160FB8"/>
    <w:rsid w:val="00161017"/>
    <w:rsid w:val="001613DD"/>
    <w:rsid w:val="00163EB2"/>
    <w:rsid w:val="00164AA0"/>
    <w:rsid w:val="00164DDA"/>
    <w:rsid w:val="001656CC"/>
    <w:rsid w:val="001662B7"/>
    <w:rsid w:val="001663C7"/>
    <w:rsid w:val="00166D5B"/>
    <w:rsid w:val="0016712C"/>
    <w:rsid w:val="00167CCA"/>
    <w:rsid w:val="00170101"/>
    <w:rsid w:val="0017021A"/>
    <w:rsid w:val="00170703"/>
    <w:rsid w:val="00170DDC"/>
    <w:rsid w:val="0017118D"/>
    <w:rsid w:val="001712CC"/>
    <w:rsid w:val="00171AF6"/>
    <w:rsid w:val="00172A27"/>
    <w:rsid w:val="00172F22"/>
    <w:rsid w:val="001735C7"/>
    <w:rsid w:val="00173D13"/>
    <w:rsid w:val="00174690"/>
    <w:rsid w:val="00174784"/>
    <w:rsid w:val="001747BE"/>
    <w:rsid w:val="00175F58"/>
    <w:rsid w:val="001763B3"/>
    <w:rsid w:val="001772C1"/>
    <w:rsid w:val="00180456"/>
    <w:rsid w:val="001810E2"/>
    <w:rsid w:val="001818EF"/>
    <w:rsid w:val="00181A44"/>
    <w:rsid w:val="00181A50"/>
    <w:rsid w:val="00182310"/>
    <w:rsid w:val="00182D78"/>
    <w:rsid w:val="00183235"/>
    <w:rsid w:val="00183978"/>
    <w:rsid w:val="00183AEF"/>
    <w:rsid w:val="00184D3D"/>
    <w:rsid w:val="00184E31"/>
    <w:rsid w:val="00186BBE"/>
    <w:rsid w:val="001879F2"/>
    <w:rsid w:val="00190035"/>
    <w:rsid w:val="0019041C"/>
    <w:rsid w:val="00190C4E"/>
    <w:rsid w:val="00191584"/>
    <w:rsid w:val="001916E4"/>
    <w:rsid w:val="00193798"/>
    <w:rsid w:val="00193E13"/>
    <w:rsid w:val="00195094"/>
    <w:rsid w:val="00195167"/>
    <w:rsid w:val="00195A25"/>
    <w:rsid w:val="00195A86"/>
    <w:rsid w:val="001965A7"/>
    <w:rsid w:val="001969F2"/>
    <w:rsid w:val="00196D70"/>
    <w:rsid w:val="00197580"/>
    <w:rsid w:val="00197EA8"/>
    <w:rsid w:val="001A01B6"/>
    <w:rsid w:val="001A0B12"/>
    <w:rsid w:val="001A1D09"/>
    <w:rsid w:val="001A25C8"/>
    <w:rsid w:val="001A3EB3"/>
    <w:rsid w:val="001A4D48"/>
    <w:rsid w:val="001A5A88"/>
    <w:rsid w:val="001A5DA8"/>
    <w:rsid w:val="001A6AB8"/>
    <w:rsid w:val="001A7764"/>
    <w:rsid w:val="001B045F"/>
    <w:rsid w:val="001B0E53"/>
    <w:rsid w:val="001B0ED0"/>
    <w:rsid w:val="001B20DE"/>
    <w:rsid w:val="001B3E88"/>
    <w:rsid w:val="001B5FB1"/>
    <w:rsid w:val="001B68FB"/>
    <w:rsid w:val="001B6FB1"/>
    <w:rsid w:val="001C047E"/>
    <w:rsid w:val="001C08E4"/>
    <w:rsid w:val="001C0916"/>
    <w:rsid w:val="001C11F4"/>
    <w:rsid w:val="001C18CF"/>
    <w:rsid w:val="001C1A53"/>
    <w:rsid w:val="001C1AF2"/>
    <w:rsid w:val="001C20BA"/>
    <w:rsid w:val="001C22B5"/>
    <w:rsid w:val="001C39AF"/>
    <w:rsid w:val="001C787A"/>
    <w:rsid w:val="001C78E3"/>
    <w:rsid w:val="001D0B2F"/>
    <w:rsid w:val="001D0F0B"/>
    <w:rsid w:val="001D273B"/>
    <w:rsid w:val="001D2BC7"/>
    <w:rsid w:val="001D37E3"/>
    <w:rsid w:val="001D435D"/>
    <w:rsid w:val="001D43A8"/>
    <w:rsid w:val="001D46B2"/>
    <w:rsid w:val="001D4791"/>
    <w:rsid w:val="001D584D"/>
    <w:rsid w:val="001D6033"/>
    <w:rsid w:val="001E0BF3"/>
    <w:rsid w:val="001E1578"/>
    <w:rsid w:val="001E1686"/>
    <w:rsid w:val="001E1761"/>
    <w:rsid w:val="001E1983"/>
    <w:rsid w:val="001E1C59"/>
    <w:rsid w:val="001E1F73"/>
    <w:rsid w:val="001E2199"/>
    <w:rsid w:val="001E2316"/>
    <w:rsid w:val="001E23F9"/>
    <w:rsid w:val="001E27B1"/>
    <w:rsid w:val="001E2F91"/>
    <w:rsid w:val="001E309E"/>
    <w:rsid w:val="001E398A"/>
    <w:rsid w:val="001E39FB"/>
    <w:rsid w:val="001E3A76"/>
    <w:rsid w:val="001E509F"/>
    <w:rsid w:val="001E57A3"/>
    <w:rsid w:val="001E6A29"/>
    <w:rsid w:val="001E7AE0"/>
    <w:rsid w:val="001E7C22"/>
    <w:rsid w:val="001F01E8"/>
    <w:rsid w:val="001F0BF3"/>
    <w:rsid w:val="001F0D5E"/>
    <w:rsid w:val="001F0F2E"/>
    <w:rsid w:val="001F16F8"/>
    <w:rsid w:val="001F21F0"/>
    <w:rsid w:val="001F2717"/>
    <w:rsid w:val="001F3F3F"/>
    <w:rsid w:val="001F44F4"/>
    <w:rsid w:val="001F464D"/>
    <w:rsid w:val="001F7D64"/>
    <w:rsid w:val="0020028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05"/>
    <w:rsid w:val="00212ED2"/>
    <w:rsid w:val="002143CB"/>
    <w:rsid w:val="00214D3C"/>
    <w:rsid w:val="00214FEB"/>
    <w:rsid w:val="0021590B"/>
    <w:rsid w:val="00216AC2"/>
    <w:rsid w:val="00216BB7"/>
    <w:rsid w:val="00217173"/>
    <w:rsid w:val="00220CFB"/>
    <w:rsid w:val="0022121A"/>
    <w:rsid w:val="002221D4"/>
    <w:rsid w:val="002225F6"/>
    <w:rsid w:val="00223964"/>
    <w:rsid w:val="00223B0B"/>
    <w:rsid w:val="002242FA"/>
    <w:rsid w:val="00225014"/>
    <w:rsid w:val="00225666"/>
    <w:rsid w:val="00226B5C"/>
    <w:rsid w:val="00227BFF"/>
    <w:rsid w:val="00227DEA"/>
    <w:rsid w:val="00230467"/>
    <w:rsid w:val="00230BB3"/>
    <w:rsid w:val="00231503"/>
    <w:rsid w:val="002315A6"/>
    <w:rsid w:val="00231D77"/>
    <w:rsid w:val="00232CAA"/>
    <w:rsid w:val="002335EA"/>
    <w:rsid w:val="0023377A"/>
    <w:rsid w:val="002340E8"/>
    <w:rsid w:val="00234364"/>
    <w:rsid w:val="00235211"/>
    <w:rsid w:val="00235D8A"/>
    <w:rsid w:val="00237186"/>
    <w:rsid w:val="00237361"/>
    <w:rsid w:val="002378EC"/>
    <w:rsid w:val="00237EE5"/>
    <w:rsid w:val="00240C9B"/>
    <w:rsid w:val="002414E7"/>
    <w:rsid w:val="00242080"/>
    <w:rsid w:val="00242235"/>
    <w:rsid w:val="002424D8"/>
    <w:rsid w:val="002428D7"/>
    <w:rsid w:val="00242E6A"/>
    <w:rsid w:val="00243E14"/>
    <w:rsid w:val="0024503F"/>
    <w:rsid w:val="00245AAF"/>
    <w:rsid w:val="002460C2"/>
    <w:rsid w:val="0024679B"/>
    <w:rsid w:val="002467FD"/>
    <w:rsid w:val="00247559"/>
    <w:rsid w:val="0025139D"/>
    <w:rsid w:val="0025247A"/>
    <w:rsid w:val="00253721"/>
    <w:rsid w:val="002547BE"/>
    <w:rsid w:val="002550DE"/>
    <w:rsid w:val="00255253"/>
    <w:rsid w:val="00255B2A"/>
    <w:rsid w:val="002562F5"/>
    <w:rsid w:val="002571E6"/>
    <w:rsid w:val="0026011F"/>
    <w:rsid w:val="00260977"/>
    <w:rsid w:val="00260ADB"/>
    <w:rsid w:val="00265095"/>
    <w:rsid w:val="00270464"/>
    <w:rsid w:val="0027204E"/>
    <w:rsid w:val="0027248F"/>
    <w:rsid w:val="00272542"/>
    <w:rsid w:val="00273787"/>
    <w:rsid w:val="00274A62"/>
    <w:rsid w:val="00274D87"/>
    <w:rsid w:val="00276367"/>
    <w:rsid w:val="00276595"/>
    <w:rsid w:val="00277580"/>
    <w:rsid w:val="00277C34"/>
    <w:rsid w:val="00280D76"/>
    <w:rsid w:val="00282451"/>
    <w:rsid w:val="00282FB2"/>
    <w:rsid w:val="00283516"/>
    <w:rsid w:val="00284CAA"/>
    <w:rsid w:val="0028576A"/>
    <w:rsid w:val="00285987"/>
    <w:rsid w:val="00287DF1"/>
    <w:rsid w:val="0029170B"/>
    <w:rsid w:val="00291E79"/>
    <w:rsid w:val="0029248A"/>
    <w:rsid w:val="00292964"/>
    <w:rsid w:val="00293231"/>
    <w:rsid w:val="00294556"/>
    <w:rsid w:val="002945D8"/>
    <w:rsid w:val="00294EB9"/>
    <w:rsid w:val="00295896"/>
    <w:rsid w:val="002959EC"/>
    <w:rsid w:val="00295D58"/>
    <w:rsid w:val="002968CF"/>
    <w:rsid w:val="00296EF4"/>
    <w:rsid w:val="002972C0"/>
    <w:rsid w:val="002979DD"/>
    <w:rsid w:val="002A103B"/>
    <w:rsid w:val="002A14AF"/>
    <w:rsid w:val="002A321D"/>
    <w:rsid w:val="002A3506"/>
    <w:rsid w:val="002A3CBC"/>
    <w:rsid w:val="002A48F3"/>
    <w:rsid w:val="002A546D"/>
    <w:rsid w:val="002A565F"/>
    <w:rsid w:val="002A5CCC"/>
    <w:rsid w:val="002A64AF"/>
    <w:rsid w:val="002A7174"/>
    <w:rsid w:val="002A7E11"/>
    <w:rsid w:val="002B11C3"/>
    <w:rsid w:val="002B24C2"/>
    <w:rsid w:val="002B2768"/>
    <w:rsid w:val="002B2FEC"/>
    <w:rsid w:val="002B3E2B"/>
    <w:rsid w:val="002B4E83"/>
    <w:rsid w:val="002B5964"/>
    <w:rsid w:val="002B5D76"/>
    <w:rsid w:val="002B62FD"/>
    <w:rsid w:val="002B6472"/>
    <w:rsid w:val="002B6BA6"/>
    <w:rsid w:val="002B6F01"/>
    <w:rsid w:val="002C0530"/>
    <w:rsid w:val="002C076E"/>
    <w:rsid w:val="002C07D0"/>
    <w:rsid w:val="002C143C"/>
    <w:rsid w:val="002C1912"/>
    <w:rsid w:val="002C1B38"/>
    <w:rsid w:val="002C25D8"/>
    <w:rsid w:val="002C2BBB"/>
    <w:rsid w:val="002C357E"/>
    <w:rsid w:val="002C3E21"/>
    <w:rsid w:val="002C3EAE"/>
    <w:rsid w:val="002C40FF"/>
    <w:rsid w:val="002C44E9"/>
    <w:rsid w:val="002C477A"/>
    <w:rsid w:val="002C4A64"/>
    <w:rsid w:val="002C4B00"/>
    <w:rsid w:val="002C5CB1"/>
    <w:rsid w:val="002C5E13"/>
    <w:rsid w:val="002C5EBF"/>
    <w:rsid w:val="002D0896"/>
    <w:rsid w:val="002D10B5"/>
    <w:rsid w:val="002D1786"/>
    <w:rsid w:val="002D3048"/>
    <w:rsid w:val="002D3294"/>
    <w:rsid w:val="002D47F3"/>
    <w:rsid w:val="002D5FFD"/>
    <w:rsid w:val="002D6918"/>
    <w:rsid w:val="002D7383"/>
    <w:rsid w:val="002E03E2"/>
    <w:rsid w:val="002E07ED"/>
    <w:rsid w:val="002E3A71"/>
    <w:rsid w:val="002E3FFC"/>
    <w:rsid w:val="002E4C92"/>
    <w:rsid w:val="002E4D88"/>
    <w:rsid w:val="002E4FDC"/>
    <w:rsid w:val="002E549E"/>
    <w:rsid w:val="002E5791"/>
    <w:rsid w:val="002E62A7"/>
    <w:rsid w:val="002E64B2"/>
    <w:rsid w:val="002E68EC"/>
    <w:rsid w:val="002E74B5"/>
    <w:rsid w:val="002E772A"/>
    <w:rsid w:val="002F0CAE"/>
    <w:rsid w:val="002F0F07"/>
    <w:rsid w:val="002F1362"/>
    <w:rsid w:val="002F1FF7"/>
    <w:rsid w:val="002F2CF3"/>
    <w:rsid w:val="002F6F89"/>
    <w:rsid w:val="003016B5"/>
    <w:rsid w:val="00302500"/>
    <w:rsid w:val="0030392B"/>
    <w:rsid w:val="00304728"/>
    <w:rsid w:val="003047BC"/>
    <w:rsid w:val="00304EE6"/>
    <w:rsid w:val="003052FD"/>
    <w:rsid w:val="00305807"/>
    <w:rsid w:val="00306DD9"/>
    <w:rsid w:val="00306E8F"/>
    <w:rsid w:val="003079E4"/>
    <w:rsid w:val="00307CC0"/>
    <w:rsid w:val="00307DF3"/>
    <w:rsid w:val="0031093B"/>
    <w:rsid w:val="0031267B"/>
    <w:rsid w:val="00313747"/>
    <w:rsid w:val="003140F3"/>
    <w:rsid w:val="0031464F"/>
    <w:rsid w:val="0031491D"/>
    <w:rsid w:val="00316590"/>
    <w:rsid w:val="003168E8"/>
    <w:rsid w:val="00316B96"/>
    <w:rsid w:val="003171CE"/>
    <w:rsid w:val="00317F11"/>
    <w:rsid w:val="0032012F"/>
    <w:rsid w:val="003204B5"/>
    <w:rsid w:val="00320747"/>
    <w:rsid w:val="003210E3"/>
    <w:rsid w:val="0032149B"/>
    <w:rsid w:val="0032171C"/>
    <w:rsid w:val="003218DC"/>
    <w:rsid w:val="00322663"/>
    <w:rsid w:val="003232CA"/>
    <w:rsid w:val="003232CD"/>
    <w:rsid w:val="003241E3"/>
    <w:rsid w:val="003242BF"/>
    <w:rsid w:val="00324345"/>
    <w:rsid w:val="00325EA2"/>
    <w:rsid w:val="003264E3"/>
    <w:rsid w:val="00326C09"/>
    <w:rsid w:val="00326DBE"/>
    <w:rsid w:val="00327EC1"/>
    <w:rsid w:val="003302FD"/>
    <w:rsid w:val="003309CC"/>
    <w:rsid w:val="00330ACE"/>
    <w:rsid w:val="00331BE2"/>
    <w:rsid w:val="00332DED"/>
    <w:rsid w:val="00333ED6"/>
    <w:rsid w:val="0033444D"/>
    <w:rsid w:val="0033509F"/>
    <w:rsid w:val="00340462"/>
    <w:rsid w:val="00341716"/>
    <w:rsid w:val="00343075"/>
    <w:rsid w:val="00343788"/>
    <w:rsid w:val="00343CEA"/>
    <w:rsid w:val="003442F4"/>
    <w:rsid w:val="0034476F"/>
    <w:rsid w:val="003449A1"/>
    <w:rsid w:val="00344C67"/>
    <w:rsid w:val="00345A46"/>
    <w:rsid w:val="00347BE6"/>
    <w:rsid w:val="00350356"/>
    <w:rsid w:val="003504FE"/>
    <w:rsid w:val="00350E13"/>
    <w:rsid w:val="00352463"/>
    <w:rsid w:val="0035322E"/>
    <w:rsid w:val="00353427"/>
    <w:rsid w:val="00354ADC"/>
    <w:rsid w:val="00354EF9"/>
    <w:rsid w:val="00354F38"/>
    <w:rsid w:val="00355269"/>
    <w:rsid w:val="00355CFF"/>
    <w:rsid w:val="003563F3"/>
    <w:rsid w:val="00356BD8"/>
    <w:rsid w:val="00356CF5"/>
    <w:rsid w:val="00357217"/>
    <w:rsid w:val="003573E8"/>
    <w:rsid w:val="003604DE"/>
    <w:rsid w:val="00360F89"/>
    <w:rsid w:val="00362FEA"/>
    <w:rsid w:val="0036319C"/>
    <w:rsid w:val="0036383E"/>
    <w:rsid w:val="003641CF"/>
    <w:rsid w:val="00364B7C"/>
    <w:rsid w:val="00365895"/>
    <w:rsid w:val="0036590F"/>
    <w:rsid w:val="00365F69"/>
    <w:rsid w:val="003668F9"/>
    <w:rsid w:val="00366E8A"/>
    <w:rsid w:val="003671AC"/>
    <w:rsid w:val="00367213"/>
    <w:rsid w:val="003673D3"/>
    <w:rsid w:val="00367ABC"/>
    <w:rsid w:val="00367B48"/>
    <w:rsid w:val="00370631"/>
    <w:rsid w:val="00370A2E"/>
    <w:rsid w:val="00370B60"/>
    <w:rsid w:val="00371B9E"/>
    <w:rsid w:val="0037202A"/>
    <w:rsid w:val="00374413"/>
    <w:rsid w:val="003746A8"/>
    <w:rsid w:val="00375A5A"/>
    <w:rsid w:val="003773A7"/>
    <w:rsid w:val="003839BD"/>
    <w:rsid w:val="0038478B"/>
    <w:rsid w:val="00385FBB"/>
    <w:rsid w:val="00386526"/>
    <w:rsid w:val="00387150"/>
    <w:rsid w:val="00387B54"/>
    <w:rsid w:val="00387C2A"/>
    <w:rsid w:val="00387E6A"/>
    <w:rsid w:val="003933A4"/>
    <w:rsid w:val="00393EF7"/>
    <w:rsid w:val="00395436"/>
    <w:rsid w:val="0039578F"/>
    <w:rsid w:val="00395BA7"/>
    <w:rsid w:val="00397533"/>
    <w:rsid w:val="003A06EB"/>
    <w:rsid w:val="003A0759"/>
    <w:rsid w:val="003A0D0E"/>
    <w:rsid w:val="003A14F2"/>
    <w:rsid w:val="003A2CBB"/>
    <w:rsid w:val="003A30CA"/>
    <w:rsid w:val="003A34E3"/>
    <w:rsid w:val="003A3892"/>
    <w:rsid w:val="003A3E9B"/>
    <w:rsid w:val="003A41F8"/>
    <w:rsid w:val="003A453F"/>
    <w:rsid w:val="003A5460"/>
    <w:rsid w:val="003A5D2C"/>
    <w:rsid w:val="003A5F79"/>
    <w:rsid w:val="003A708E"/>
    <w:rsid w:val="003A7431"/>
    <w:rsid w:val="003A76E7"/>
    <w:rsid w:val="003A7D18"/>
    <w:rsid w:val="003B0994"/>
    <w:rsid w:val="003B134E"/>
    <w:rsid w:val="003B1AEE"/>
    <w:rsid w:val="003B1C1F"/>
    <w:rsid w:val="003B2243"/>
    <w:rsid w:val="003B28C2"/>
    <w:rsid w:val="003B2A79"/>
    <w:rsid w:val="003B2F96"/>
    <w:rsid w:val="003B3148"/>
    <w:rsid w:val="003B357D"/>
    <w:rsid w:val="003B386B"/>
    <w:rsid w:val="003B4299"/>
    <w:rsid w:val="003B4C6F"/>
    <w:rsid w:val="003B51F5"/>
    <w:rsid w:val="003B51F8"/>
    <w:rsid w:val="003B62F4"/>
    <w:rsid w:val="003B659C"/>
    <w:rsid w:val="003B71F4"/>
    <w:rsid w:val="003B7865"/>
    <w:rsid w:val="003C004C"/>
    <w:rsid w:val="003C01CA"/>
    <w:rsid w:val="003C0616"/>
    <w:rsid w:val="003C1CBC"/>
    <w:rsid w:val="003C1E84"/>
    <w:rsid w:val="003C26D7"/>
    <w:rsid w:val="003C29A2"/>
    <w:rsid w:val="003C2A9C"/>
    <w:rsid w:val="003C3603"/>
    <w:rsid w:val="003C3D85"/>
    <w:rsid w:val="003C4DEA"/>
    <w:rsid w:val="003C5342"/>
    <w:rsid w:val="003C5A70"/>
    <w:rsid w:val="003C6699"/>
    <w:rsid w:val="003C7359"/>
    <w:rsid w:val="003C746E"/>
    <w:rsid w:val="003C77EB"/>
    <w:rsid w:val="003D1E07"/>
    <w:rsid w:val="003D26FD"/>
    <w:rsid w:val="003D2811"/>
    <w:rsid w:val="003D2850"/>
    <w:rsid w:val="003D306E"/>
    <w:rsid w:val="003D3342"/>
    <w:rsid w:val="003D4C31"/>
    <w:rsid w:val="003D5252"/>
    <w:rsid w:val="003D6E3B"/>
    <w:rsid w:val="003E017D"/>
    <w:rsid w:val="003E23C3"/>
    <w:rsid w:val="003E2A2E"/>
    <w:rsid w:val="003E420E"/>
    <w:rsid w:val="003E432C"/>
    <w:rsid w:val="003E4AC9"/>
    <w:rsid w:val="003E4D6D"/>
    <w:rsid w:val="003E5479"/>
    <w:rsid w:val="003E65F7"/>
    <w:rsid w:val="003E68D9"/>
    <w:rsid w:val="003E72D6"/>
    <w:rsid w:val="003E7EBC"/>
    <w:rsid w:val="003F0B69"/>
    <w:rsid w:val="003F1386"/>
    <w:rsid w:val="003F15BA"/>
    <w:rsid w:val="003F16DF"/>
    <w:rsid w:val="003F19B7"/>
    <w:rsid w:val="003F1B5D"/>
    <w:rsid w:val="003F1CAB"/>
    <w:rsid w:val="003F218F"/>
    <w:rsid w:val="003F2989"/>
    <w:rsid w:val="003F2E62"/>
    <w:rsid w:val="003F3600"/>
    <w:rsid w:val="003F3ECE"/>
    <w:rsid w:val="003F3F07"/>
    <w:rsid w:val="003F5304"/>
    <w:rsid w:val="003F55C9"/>
    <w:rsid w:val="003F5EB4"/>
    <w:rsid w:val="003F6704"/>
    <w:rsid w:val="003F7DC8"/>
    <w:rsid w:val="00400338"/>
    <w:rsid w:val="004003B7"/>
    <w:rsid w:val="00400AF8"/>
    <w:rsid w:val="0040235B"/>
    <w:rsid w:val="00403823"/>
    <w:rsid w:val="004042F9"/>
    <w:rsid w:val="00405967"/>
    <w:rsid w:val="0040605A"/>
    <w:rsid w:val="00410855"/>
    <w:rsid w:val="00411200"/>
    <w:rsid w:val="0041229E"/>
    <w:rsid w:val="0041409C"/>
    <w:rsid w:val="0041426E"/>
    <w:rsid w:val="0041545F"/>
    <w:rsid w:val="00415528"/>
    <w:rsid w:val="00416015"/>
    <w:rsid w:val="00416B34"/>
    <w:rsid w:val="0042081F"/>
    <w:rsid w:val="004211C9"/>
    <w:rsid w:val="00421296"/>
    <w:rsid w:val="00422026"/>
    <w:rsid w:val="0042211B"/>
    <w:rsid w:val="004222BA"/>
    <w:rsid w:val="00422A48"/>
    <w:rsid w:val="00424E87"/>
    <w:rsid w:val="004251AE"/>
    <w:rsid w:val="0042563A"/>
    <w:rsid w:val="00425765"/>
    <w:rsid w:val="00426194"/>
    <w:rsid w:val="00427131"/>
    <w:rsid w:val="004277BA"/>
    <w:rsid w:val="00427E22"/>
    <w:rsid w:val="0043176C"/>
    <w:rsid w:val="00431BEC"/>
    <w:rsid w:val="00431FAC"/>
    <w:rsid w:val="0043301D"/>
    <w:rsid w:val="00433404"/>
    <w:rsid w:val="00433638"/>
    <w:rsid w:val="00433C4C"/>
    <w:rsid w:val="00434010"/>
    <w:rsid w:val="004355DD"/>
    <w:rsid w:val="00436EA3"/>
    <w:rsid w:val="00440429"/>
    <w:rsid w:val="00440DAE"/>
    <w:rsid w:val="00441565"/>
    <w:rsid w:val="00442074"/>
    <w:rsid w:val="0044272F"/>
    <w:rsid w:val="00442B30"/>
    <w:rsid w:val="00445D9A"/>
    <w:rsid w:val="004469A9"/>
    <w:rsid w:val="004473FE"/>
    <w:rsid w:val="00450275"/>
    <w:rsid w:val="004502D8"/>
    <w:rsid w:val="00450E97"/>
    <w:rsid w:val="00452D8A"/>
    <w:rsid w:val="00453A4B"/>
    <w:rsid w:val="00455AF6"/>
    <w:rsid w:val="00455B3A"/>
    <w:rsid w:val="00456080"/>
    <w:rsid w:val="00457648"/>
    <w:rsid w:val="00460046"/>
    <w:rsid w:val="004608B3"/>
    <w:rsid w:val="00460A2D"/>
    <w:rsid w:val="00462652"/>
    <w:rsid w:val="00463D29"/>
    <w:rsid w:val="00464A8D"/>
    <w:rsid w:val="00465A6B"/>
    <w:rsid w:val="004665C7"/>
    <w:rsid w:val="004667D5"/>
    <w:rsid w:val="00466F63"/>
    <w:rsid w:val="00467D31"/>
    <w:rsid w:val="00470717"/>
    <w:rsid w:val="0047158C"/>
    <w:rsid w:val="00471B69"/>
    <w:rsid w:val="0047439E"/>
    <w:rsid w:val="00475629"/>
    <w:rsid w:val="00475CE0"/>
    <w:rsid w:val="0047604F"/>
    <w:rsid w:val="004775BF"/>
    <w:rsid w:val="00477655"/>
    <w:rsid w:val="00477BC2"/>
    <w:rsid w:val="00477CF0"/>
    <w:rsid w:val="0048048B"/>
    <w:rsid w:val="00480998"/>
    <w:rsid w:val="00480CB2"/>
    <w:rsid w:val="00480F34"/>
    <w:rsid w:val="00481899"/>
    <w:rsid w:val="004819B5"/>
    <w:rsid w:val="00481A52"/>
    <w:rsid w:val="00481A67"/>
    <w:rsid w:val="00481A6F"/>
    <w:rsid w:val="00481CAD"/>
    <w:rsid w:val="00482B89"/>
    <w:rsid w:val="004839CD"/>
    <w:rsid w:val="00483F4B"/>
    <w:rsid w:val="00484415"/>
    <w:rsid w:val="00484BBD"/>
    <w:rsid w:val="00490624"/>
    <w:rsid w:val="00490900"/>
    <w:rsid w:val="00490A7B"/>
    <w:rsid w:val="00491EB8"/>
    <w:rsid w:val="004921C2"/>
    <w:rsid w:val="004925C8"/>
    <w:rsid w:val="00492B0C"/>
    <w:rsid w:val="0049440E"/>
    <w:rsid w:val="00494993"/>
    <w:rsid w:val="00494AEE"/>
    <w:rsid w:val="00495BB8"/>
    <w:rsid w:val="00496105"/>
    <w:rsid w:val="004962FA"/>
    <w:rsid w:val="00496AF0"/>
    <w:rsid w:val="004A24A6"/>
    <w:rsid w:val="004A2DE8"/>
    <w:rsid w:val="004A3D82"/>
    <w:rsid w:val="004A4F46"/>
    <w:rsid w:val="004A69EF"/>
    <w:rsid w:val="004A7047"/>
    <w:rsid w:val="004A768A"/>
    <w:rsid w:val="004B37D4"/>
    <w:rsid w:val="004B3F6B"/>
    <w:rsid w:val="004B41C6"/>
    <w:rsid w:val="004B4716"/>
    <w:rsid w:val="004B4A1E"/>
    <w:rsid w:val="004B5B1E"/>
    <w:rsid w:val="004B759C"/>
    <w:rsid w:val="004B7DCA"/>
    <w:rsid w:val="004C0220"/>
    <w:rsid w:val="004C0B2C"/>
    <w:rsid w:val="004C18F8"/>
    <w:rsid w:val="004C3E5D"/>
    <w:rsid w:val="004C4640"/>
    <w:rsid w:val="004C4D43"/>
    <w:rsid w:val="004C5352"/>
    <w:rsid w:val="004C55DD"/>
    <w:rsid w:val="004C5C99"/>
    <w:rsid w:val="004C6118"/>
    <w:rsid w:val="004C696F"/>
    <w:rsid w:val="004C6BBE"/>
    <w:rsid w:val="004C6F3C"/>
    <w:rsid w:val="004C74DC"/>
    <w:rsid w:val="004C75F5"/>
    <w:rsid w:val="004C78D0"/>
    <w:rsid w:val="004C7DDF"/>
    <w:rsid w:val="004D0196"/>
    <w:rsid w:val="004D0ABE"/>
    <w:rsid w:val="004D2173"/>
    <w:rsid w:val="004D244D"/>
    <w:rsid w:val="004D338F"/>
    <w:rsid w:val="004D3A12"/>
    <w:rsid w:val="004D42B5"/>
    <w:rsid w:val="004D56BB"/>
    <w:rsid w:val="004D65EE"/>
    <w:rsid w:val="004D691A"/>
    <w:rsid w:val="004D6BCE"/>
    <w:rsid w:val="004D6C06"/>
    <w:rsid w:val="004D79E5"/>
    <w:rsid w:val="004D7A3E"/>
    <w:rsid w:val="004E13AE"/>
    <w:rsid w:val="004E1A2F"/>
    <w:rsid w:val="004E1AC2"/>
    <w:rsid w:val="004E1C0D"/>
    <w:rsid w:val="004E2062"/>
    <w:rsid w:val="004E237F"/>
    <w:rsid w:val="004E248D"/>
    <w:rsid w:val="004E2C16"/>
    <w:rsid w:val="004E338E"/>
    <w:rsid w:val="004E4C86"/>
    <w:rsid w:val="004E4DF5"/>
    <w:rsid w:val="004E54B7"/>
    <w:rsid w:val="004E55ED"/>
    <w:rsid w:val="004E5A54"/>
    <w:rsid w:val="004E5AB9"/>
    <w:rsid w:val="004E641D"/>
    <w:rsid w:val="004E666E"/>
    <w:rsid w:val="004F014A"/>
    <w:rsid w:val="004F04A4"/>
    <w:rsid w:val="004F0E43"/>
    <w:rsid w:val="004F0E54"/>
    <w:rsid w:val="004F1269"/>
    <w:rsid w:val="004F148B"/>
    <w:rsid w:val="004F15DF"/>
    <w:rsid w:val="004F1C64"/>
    <w:rsid w:val="004F2288"/>
    <w:rsid w:val="004F25EC"/>
    <w:rsid w:val="004F2DE7"/>
    <w:rsid w:val="004F3EB8"/>
    <w:rsid w:val="004F3F0F"/>
    <w:rsid w:val="004F470B"/>
    <w:rsid w:val="004F49E7"/>
    <w:rsid w:val="004F5086"/>
    <w:rsid w:val="004F54C1"/>
    <w:rsid w:val="004F5F86"/>
    <w:rsid w:val="004F6E70"/>
    <w:rsid w:val="004F7600"/>
    <w:rsid w:val="004F76EF"/>
    <w:rsid w:val="004F7AAC"/>
    <w:rsid w:val="00500BFD"/>
    <w:rsid w:val="00501684"/>
    <w:rsid w:val="00501C8E"/>
    <w:rsid w:val="00501DC4"/>
    <w:rsid w:val="0050283A"/>
    <w:rsid w:val="00502D7C"/>
    <w:rsid w:val="00502E5B"/>
    <w:rsid w:val="00502F81"/>
    <w:rsid w:val="00503F1B"/>
    <w:rsid w:val="00504712"/>
    <w:rsid w:val="00504D67"/>
    <w:rsid w:val="00505A25"/>
    <w:rsid w:val="00505C50"/>
    <w:rsid w:val="005069F0"/>
    <w:rsid w:val="00506A13"/>
    <w:rsid w:val="00506A53"/>
    <w:rsid w:val="00510BB7"/>
    <w:rsid w:val="00511681"/>
    <w:rsid w:val="00511929"/>
    <w:rsid w:val="00512A62"/>
    <w:rsid w:val="00512C62"/>
    <w:rsid w:val="00513423"/>
    <w:rsid w:val="00513A8E"/>
    <w:rsid w:val="00513B1C"/>
    <w:rsid w:val="00515351"/>
    <w:rsid w:val="0051588D"/>
    <w:rsid w:val="00515BE8"/>
    <w:rsid w:val="0051644D"/>
    <w:rsid w:val="00516A6E"/>
    <w:rsid w:val="005170B5"/>
    <w:rsid w:val="005205F6"/>
    <w:rsid w:val="00520A33"/>
    <w:rsid w:val="00521116"/>
    <w:rsid w:val="005224A1"/>
    <w:rsid w:val="00522A86"/>
    <w:rsid w:val="00522CE3"/>
    <w:rsid w:val="00523E7A"/>
    <w:rsid w:val="00524853"/>
    <w:rsid w:val="005252F1"/>
    <w:rsid w:val="00526134"/>
    <w:rsid w:val="00526451"/>
    <w:rsid w:val="00532103"/>
    <w:rsid w:val="00532F04"/>
    <w:rsid w:val="00533472"/>
    <w:rsid w:val="00533518"/>
    <w:rsid w:val="00534DBF"/>
    <w:rsid w:val="005357FD"/>
    <w:rsid w:val="00535EA7"/>
    <w:rsid w:val="005365B2"/>
    <w:rsid w:val="00536654"/>
    <w:rsid w:val="005371C1"/>
    <w:rsid w:val="00537834"/>
    <w:rsid w:val="005411C1"/>
    <w:rsid w:val="00541D1C"/>
    <w:rsid w:val="00541EEC"/>
    <w:rsid w:val="00541FC4"/>
    <w:rsid w:val="00541FD5"/>
    <w:rsid w:val="005420A4"/>
    <w:rsid w:val="00542AF9"/>
    <w:rsid w:val="005431DB"/>
    <w:rsid w:val="005435CB"/>
    <w:rsid w:val="00544AAD"/>
    <w:rsid w:val="00544BE2"/>
    <w:rsid w:val="0054508B"/>
    <w:rsid w:val="00545106"/>
    <w:rsid w:val="005451D7"/>
    <w:rsid w:val="005454D8"/>
    <w:rsid w:val="00545ACE"/>
    <w:rsid w:val="005467E3"/>
    <w:rsid w:val="00546A69"/>
    <w:rsid w:val="00546CBB"/>
    <w:rsid w:val="005476C8"/>
    <w:rsid w:val="0054774A"/>
    <w:rsid w:val="00551107"/>
    <w:rsid w:val="005518B4"/>
    <w:rsid w:val="00552213"/>
    <w:rsid w:val="00552A8A"/>
    <w:rsid w:val="005546E1"/>
    <w:rsid w:val="00554DD6"/>
    <w:rsid w:val="00555411"/>
    <w:rsid w:val="00556914"/>
    <w:rsid w:val="00556B9C"/>
    <w:rsid w:val="0055711A"/>
    <w:rsid w:val="00557654"/>
    <w:rsid w:val="005606E1"/>
    <w:rsid w:val="00560A36"/>
    <w:rsid w:val="00560A79"/>
    <w:rsid w:val="005622DC"/>
    <w:rsid w:val="0056252C"/>
    <w:rsid w:val="00564113"/>
    <w:rsid w:val="005643E8"/>
    <w:rsid w:val="005644F8"/>
    <w:rsid w:val="00564D6C"/>
    <w:rsid w:val="005654BE"/>
    <w:rsid w:val="00565879"/>
    <w:rsid w:val="00566529"/>
    <w:rsid w:val="00566961"/>
    <w:rsid w:val="005669DC"/>
    <w:rsid w:val="00567533"/>
    <w:rsid w:val="00571232"/>
    <w:rsid w:val="00571DBA"/>
    <w:rsid w:val="005723DC"/>
    <w:rsid w:val="0057263D"/>
    <w:rsid w:val="005726F3"/>
    <w:rsid w:val="005735C3"/>
    <w:rsid w:val="005736C2"/>
    <w:rsid w:val="00573BF3"/>
    <w:rsid w:val="00574DC1"/>
    <w:rsid w:val="00575895"/>
    <w:rsid w:val="00575B2A"/>
    <w:rsid w:val="00577C3A"/>
    <w:rsid w:val="005802E6"/>
    <w:rsid w:val="00580F6D"/>
    <w:rsid w:val="00581A05"/>
    <w:rsid w:val="00581D03"/>
    <w:rsid w:val="0058256A"/>
    <w:rsid w:val="005825B3"/>
    <w:rsid w:val="00582816"/>
    <w:rsid w:val="00582ABD"/>
    <w:rsid w:val="00583539"/>
    <w:rsid w:val="00583C49"/>
    <w:rsid w:val="00584DB3"/>
    <w:rsid w:val="00585A68"/>
    <w:rsid w:val="00586E5B"/>
    <w:rsid w:val="005874BA"/>
    <w:rsid w:val="005876EF"/>
    <w:rsid w:val="005878B8"/>
    <w:rsid w:val="00587995"/>
    <w:rsid w:val="005905B4"/>
    <w:rsid w:val="00590773"/>
    <w:rsid w:val="00590BC0"/>
    <w:rsid w:val="00590DD9"/>
    <w:rsid w:val="005915D7"/>
    <w:rsid w:val="005917E3"/>
    <w:rsid w:val="005926F2"/>
    <w:rsid w:val="0059280A"/>
    <w:rsid w:val="005930E6"/>
    <w:rsid w:val="00593C63"/>
    <w:rsid w:val="00594BFF"/>
    <w:rsid w:val="00595B0C"/>
    <w:rsid w:val="005967A6"/>
    <w:rsid w:val="005967EE"/>
    <w:rsid w:val="00596D62"/>
    <w:rsid w:val="005977A9"/>
    <w:rsid w:val="005A09E8"/>
    <w:rsid w:val="005A0A0A"/>
    <w:rsid w:val="005A0B3D"/>
    <w:rsid w:val="005A2394"/>
    <w:rsid w:val="005A2822"/>
    <w:rsid w:val="005A308C"/>
    <w:rsid w:val="005A3ADA"/>
    <w:rsid w:val="005A4204"/>
    <w:rsid w:val="005A4528"/>
    <w:rsid w:val="005A4E57"/>
    <w:rsid w:val="005A4F9A"/>
    <w:rsid w:val="005A6080"/>
    <w:rsid w:val="005A63E9"/>
    <w:rsid w:val="005A6538"/>
    <w:rsid w:val="005A6690"/>
    <w:rsid w:val="005A66AD"/>
    <w:rsid w:val="005A68EE"/>
    <w:rsid w:val="005B0817"/>
    <w:rsid w:val="005B0D5E"/>
    <w:rsid w:val="005B10DB"/>
    <w:rsid w:val="005B175C"/>
    <w:rsid w:val="005B1867"/>
    <w:rsid w:val="005B1CE1"/>
    <w:rsid w:val="005B3E38"/>
    <w:rsid w:val="005B47D1"/>
    <w:rsid w:val="005B5690"/>
    <w:rsid w:val="005B5B8E"/>
    <w:rsid w:val="005B6045"/>
    <w:rsid w:val="005B6BD8"/>
    <w:rsid w:val="005B7AAB"/>
    <w:rsid w:val="005B7B7A"/>
    <w:rsid w:val="005B7F8C"/>
    <w:rsid w:val="005C0C37"/>
    <w:rsid w:val="005C29C8"/>
    <w:rsid w:val="005C2CFF"/>
    <w:rsid w:val="005C4A34"/>
    <w:rsid w:val="005C4CDD"/>
    <w:rsid w:val="005C512B"/>
    <w:rsid w:val="005C56A4"/>
    <w:rsid w:val="005C613B"/>
    <w:rsid w:val="005C619B"/>
    <w:rsid w:val="005C62C9"/>
    <w:rsid w:val="005C6E9F"/>
    <w:rsid w:val="005C6EB2"/>
    <w:rsid w:val="005C6F03"/>
    <w:rsid w:val="005C701B"/>
    <w:rsid w:val="005C7F3D"/>
    <w:rsid w:val="005D0515"/>
    <w:rsid w:val="005D0E6E"/>
    <w:rsid w:val="005D1A5D"/>
    <w:rsid w:val="005D2E87"/>
    <w:rsid w:val="005D4956"/>
    <w:rsid w:val="005D515E"/>
    <w:rsid w:val="005D5E0B"/>
    <w:rsid w:val="005D6B11"/>
    <w:rsid w:val="005D6D07"/>
    <w:rsid w:val="005D72EC"/>
    <w:rsid w:val="005D7846"/>
    <w:rsid w:val="005D79BB"/>
    <w:rsid w:val="005E0481"/>
    <w:rsid w:val="005E0D69"/>
    <w:rsid w:val="005E141A"/>
    <w:rsid w:val="005E2553"/>
    <w:rsid w:val="005E30D1"/>
    <w:rsid w:val="005E4137"/>
    <w:rsid w:val="005E4AAD"/>
    <w:rsid w:val="005E4ABE"/>
    <w:rsid w:val="005E4DDD"/>
    <w:rsid w:val="005E5088"/>
    <w:rsid w:val="005E60CE"/>
    <w:rsid w:val="005E60F5"/>
    <w:rsid w:val="005E756D"/>
    <w:rsid w:val="005E7B45"/>
    <w:rsid w:val="005F1172"/>
    <w:rsid w:val="005F163A"/>
    <w:rsid w:val="005F2E1E"/>
    <w:rsid w:val="005F2F4F"/>
    <w:rsid w:val="005F3006"/>
    <w:rsid w:val="005F3867"/>
    <w:rsid w:val="005F3CFC"/>
    <w:rsid w:val="005F52E4"/>
    <w:rsid w:val="005F5B90"/>
    <w:rsid w:val="005F6E77"/>
    <w:rsid w:val="005F7518"/>
    <w:rsid w:val="005F77A5"/>
    <w:rsid w:val="00600FF3"/>
    <w:rsid w:val="006020B8"/>
    <w:rsid w:val="006021F4"/>
    <w:rsid w:val="006023A2"/>
    <w:rsid w:val="006039B0"/>
    <w:rsid w:val="0060542B"/>
    <w:rsid w:val="00605AC8"/>
    <w:rsid w:val="0060710A"/>
    <w:rsid w:val="00607642"/>
    <w:rsid w:val="0061157C"/>
    <w:rsid w:val="006116D6"/>
    <w:rsid w:val="00611BD5"/>
    <w:rsid w:val="00611D13"/>
    <w:rsid w:val="006122CB"/>
    <w:rsid w:val="006124EC"/>
    <w:rsid w:val="00612533"/>
    <w:rsid w:val="00612559"/>
    <w:rsid w:val="00612BC5"/>
    <w:rsid w:val="00612C62"/>
    <w:rsid w:val="00612E00"/>
    <w:rsid w:val="006137A4"/>
    <w:rsid w:val="00613885"/>
    <w:rsid w:val="0061497F"/>
    <w:rsid w:val="0061525B"/>
    <w:rsid w:val="00615FC3"/>
    <w:rsid w:val="00616B49"/>
    <w:rsid w:val="00617997"/>
    <w:rsid w:val="00617E4F"/>
    <w:rsid w:val="006205D7"/>
    <w:rsid w:val="006212F4"/>
    <w:rsid w:val="0062136D"/>
    <w:rsid w:val="00621FAA"/>
    <w:rsid w:val="00622BCB"/>
    <w:rsid w:val="006234A2"/>
    <w:rsid w:val="00624B01"/>
    <w:rsid w:val="006253D5"/>
    <w:rsid w:val="0062542D"/>
    <w:rsid w:val="00625F2E"/>
    <w:rsid w:val="00626F5F"/>
    <w:rsid w:val="00627BCD"/>
    <w:rsid w:val="00627D66"/>
    <w:rsid w:val="00631079"/>
    <w:rsid w:val="006311DA"/>
    <w:rsid w:val="00631DCB"/>
    <w:rsid w:val="00631E35"/>
    <w:rsid w:val="00632425"/>
    <w:rsid w:val="006324C5"/>
    <w:rsid w:val="00632B80"/>
    <w:rsid w:val="00633369"/>
    <w:rsid w:val="00634EB6"/>
    <w:rsid w:val="0063533C"/>
    <w:rsid w:val="0063560C"/>
    <w:rsid w:val="00636593"/>
    <w:rsid w:val="00640208"/>
    <w:rsid w:val="00641AC2"/>
    <w:rsid w:val="00641B22"/>
    <w:rsid w:val="00643E26"/>
    <w:rsid w:val="00644C53"/>
    <w:rsid w:val="006453A3"/>
    <w:rsid w:val="006454A6"/>
    <w:rsid w:val="006460DA"/>
    <w:rsid w:val="00646562"/>
    <w:rsid w:val="00646758"/>
    <w:rsid w:val="00646A98"/>
    <w:rsid w:val="0064712A"/>
    <w:rsid w:val="006471BB"/>
    <w:rsid w:val="00647FDB"/>
    <w:rsid w:val="00650D4C"/>
    <w:rsid w:val="00651518"/>
    <w:rsid w:val="00651589"/>
    <w:rsid w:val="00651BA8"/>
    <w:rsid w:val="0065339E"/>
    <w:rsid w:val="00653E9A"/>
    <w:rsid w:val="00656B4B"/>
    <w:rsid w:val="006611B2"/>
    <w:rsid w:val="00661B07"/>
    <w:rsid w:val="006625A5"/>
    <w:rsid w:val="00663DF6"/>
    <w:rsid w:val="0066445B"/>
    <w:rsid w:val="006646D8"/>
    <w:rsid w:val="0066485B"/>
    <w:rsid w:val="00664A68"/>
    <w:rsid w:val="00665A43"/>
    <w:rsid w:val="00665C3D"/>
    <w:rsid w:val="00666304"/>
    <w:rsid w:val="00670B47"/>
    <w:rsid w:val="006716EA"/>
    <w:rsid w:val="00671B21"/>
    <w:rsid w:val="00671DFD"/>
    <w:rsid w:val="00671EC4"/>
    <w:rsid w:val="00672296"/>
    <w:rsid w:val="00673C8C"/>
    <w:rsid w:val="00674747"/>
    <w:rsid w:val="0067535B"/>
    <w:rsid w:val="00676675"/>
    <w:rsid w:val="00676AF6"/>
    <w:rsid w:val="00676D52"/>
    <w:rsid w:val="006773E9"/>
    <w:rsid w:val="006774EA"/>
    <w:rsid w:val="006811F9"/>
    <w:rsid w:val="00682AD7"/>
    <w:rsid w:val="006839CB"/>
    <w:rsid w:val="0068438E"/>
    <w:rsid w:val="00684614"/>
    <w:rsid w:val="00684F77"/>
    <w:rsid w:val="0068549A"/>
    <w:rsid w:val="006858D2"/>
    <w:rsid w:val="00686915"/>
    <w:rsid w:val="00686F4F"/>
    <w:rsid w:val="00686F59"/>
    <w:rsid w:val="00686FEB"/>
    <w:rsid w:val="006873A5"/>
    <w:rsid w:val="00687709"/>
    <w:rsid w:val="006902DA"/>
    <w:rsid w:val="0069042A"/>
    <w:rsid w:val="006904D5"/>
    <w:rsid w:val="00690FD0"/>
    <w:rsid w:val="0069199E"/>
    <w:rsid w:val="00691D42"/>
    <w:rsid w:val="00692BF2"/>
    <w:rsid w:val="0069344B"/>
    <w:rsid w:val="0069387D"/>
    <w:rsid w:val="00693A7B"/>
    <w:rsid w:val="00693F70"/>
    <w:rsid w:val="006941E8"/>
    <w:rsid w:val="0069435B"/>
    <w:rsid w:val="006943DE"/>
    <w:rsid w:val="006956C1"/>
    <w:rsid w:val="00695EC0"/>
    <w:rsid w:val="00696ABE"/>
    <w:rsid w:val="006976E8"/>
    <w:rsid w:val="00697F33"/>
    <w:rsid w:val="006A02F8"/>
    <w:rsid w:val="006A0333"/>
    <w:rsid w:val="006A0435"/>
    <w:rsid w:val="006A06BA"/>
    <w:rsid w:val="006A144C"/>
    <w:rsid w:val="006A19C9"/>
    <w:rsid w:val="006A200A"/>
    <w:rsid w:val="006A27F6"/>
    <w:rsid w:val="006A2CFB"/>
    <w:rsid w:val="006A3008"/>
    <w:rsid w:val="006A3181"/>
    <w:rsid w:val="006A3524"/>
    <w:rsid w:val="006A4230"/>
    <w:rsid w:val="006A46B3"/>
    <w:rsid w:val="006A4AD6"/>
    <w:rsid w:val="006A4D8A"/>
    <w:rsid w:val="006A53B8"/>
    <w:rsid w:val="006A6157"/>
    <w:rsid w:val="006A6E28"/>
    <w:rsid w:val="006A77D9"/>
    <w:rsid w:val="006B03F2"/>
    <w:rsid w:val="006B079B"/>
    <w:rsid w:val="006B1614"/>
    <w:rsid w:val="006B17ED"/>
    <w:rsid w:val="006B2C52"/>
    <w:rsid w:val="006B2CC2"/>
    <w:rsid w:val="006B3DA0"/>
    <w:rsid w:val="006B42CD"/>
    <w:rsid w:val="006B53D3"/>
    <w:rsid w:val="006B5A26"/>
    <w:rsid w:val="006B5DCA"/>
    <w:rsid w:val="006B67DB"/>
    <w:rsid w:val="006B691E"/>
    <w:rsid w:val="006B6D77"/>
    <w:rsid w:val="006B7559"/>
    <w:rsid w:val="006B77CE"/>
    <w:rsid w:val="006B7912"/>
    <w:rsid w:val="006C062B"/>
    <w:rsid w:val="006C11AD"/>
    <w:rsid w:val="006C20D9"/>
    <w:rsid w:val="006C2FBC"/>
    <w:rsid w:val="006C32A3"/>
    <w:rsid w:val="006C3E82"/>
    <w:rsid w:val="006C5F0C"/>
    <w:rsid w:val="006C6A41"/>
    <w:rsid w:val="006C7041"/>
    <w:rsid w:val="006C720C"/>
    <w:rsid w:val="006C7322"/>
    <w:rsid w:val="006C77EC"/>
    <w:rsid w:val="006C79DA"/>
    <w:rsid w:val="006D0283"/>
    <w:rsid w:val="006D2A51"/>
    <w:rsid w:val="006D33C0"/>
    <w:rsid w:val="006D385A"/>
    <w:rsid w:val="006D4A88"/>
    <w:rsid w:val="006D4F4A"/>
    <w:rsid w:val="006D51B3"/>
    <w:rsid w:val="006D5AC9"/>
    <w:rsid w:val="006D5EB4"/>
    <w:rsid w:val="006D5ECF"/>
    <w:rsid w:val="006D60DB"/>
    <w:rsid w:val="006D61F1"/>
    <w:rsid w:val="006D6742"/>
    <w:rsid w:val="006D6F17"/>
    <w:rsid w:val="006D70DA"/>
    <w:rsid w:val="006D7269"/>
    <w:rsid w:val="006E01E1"/>
    <w:rsid w:val="006E0795"/>
    <w:rsid w:val="006E0B5D"/>
    <w:rsid w:val="006E1442"/>
    <w:rsid w:val="006E2B55"/>
    <w:rsid w:val="006E30CC"/>
    <w:rsid w:val="006E4198"/>
    <w:rsid w:val="006E4425"/>
    <w:rsid w:val="006E51E2"/>
    <w:rsid w:val="006E5A01"/>
    <w:rsid w:val="006E5ACC"/>
    <w:rsid w:val="006E5BB6"/>
    <w:rsid w:val="006E7A9B"/>
    <w:rsid w:val="006F0ADD"/>
    <w:rsid w:val="006F0F42"/>
    <w:rsid w:val="006F17C3"/>
    <w:rsid w:val="006F1CCA"/>
    <w:rsid w:val="006F2B86"/>
    <w:rsid w:val="006F359B"/>
    <w:rsid w:val="006F3689"/>
    <w:rsid w:val="006F36A2"/>
    <w:rsid w:val="006F57C3"/>
    <w:rsid w:val="006F6A32"/>
    <w:rsid w:val="006F6FAD"/>
    <w:rsid w:val="006F7E8A"/>
    <w:rsid w:val="00700546"/>
    <w:rsid w:val="00701DC6"/>
    <w:rsid w:val="00702818"/>
    <w:rsid w:val="00703DFE"/>
    <w:rsid w:val="007050BF"/>
    <w:rsid w:val="00705CD7"/>
    <w:rsid w:val="00705ED0"/>
    <w:rsid w:val="00706DD2"/>
    <w:rsid w:val="00707062"/>
    <w:rsid w:val="007079FC"/>
    <w:rsid w:val="0071044A"/>
    <w:rsid w:val="00710883"/>
    <w:rsid w:val="00710D9B"/>
    <w:rsid w:val="007124A3"/>
    <w:rsid w:val="00712D65"/>
    <w:rsid w:val="00713CD3"/>
    <w:rsid w:val="00714B8A"/>
    <w:rsid w:val="00715A52"/>
    <w:rsid w:val="007164C5"/>
    <w:rsid w:val="00716D52"/>
    <w:rsid w:val="00717BBD"/>
    <w:rsid w:val="00717D65"/>
    <w:rsid w:val="0072180C"/>
    <w:rsid w:val="00721974"/>
    <w:rsid w:val="00721CDE"/>
    <w:rsid w:val="00721DDA"/>
    <w:rsid w:val="007224C5"/>
    <w:rsid w:val="00722C09"/>
    <w:rsid w:val="007234C5"/>
    <w:rsid w:val="0072444D"/>
    <w:rsid w:val="0072490B"/>
    <w:rsid w:val="0072545F"/>
    <w:rsid w:val="00725469"/>
    <w:rsid w:val="00725715"/>
    <w:rsid w:val="007272C3"/>
    <w:rsid w:val="007301B8"/>
    <w:rsid w:val="00730985"/>
    <w:rsid w:val="00731944"/>
    <w:rsid w:val="00732B90"/>
    <w:rsid w:val="00732F31"/>
    <w:rsid w:val="007345F6"/>
    <w:rsid w:val="007348F8"/>
    <w:rsid w:val="007349FB"/>
    <w:rsid w:val="0073516A"/>
    <w:rsid w:val="007361EE"/>
    <w:rsid w:val="0073637A"/>
    <w:rsid w:val="007374E8"/>
    <w:rsid w:val="00740289"/>
    <w:rsid w:val="00740D39"/>
    <w:rsid w:val="007416AC"/>
    <w:rsid w:val="007427F5"/>
    <w:rsid w:val="00742EBF"/>
    <w:rsid w:val="00743503"/>
    <w:rsid w:val="00743855"/>
    <w:rsid w:val="007459CF"/>
    <w:rsid w:val="007517A4"/>
    <w:rsid w:val="00751A4F"/>
    <w:rsid w:val="007522F5"/>
    <w:rsid w:val="00753C8E"/>
    <w:rsid w:val="00753DDE"/>
    <w:rsid w:val="007542F2"/>
    <w:rsid w:val="007545C3"/>
    <w:rsid w:val="0075566F"/>
    <w:rsid w:val="00755683"/>
    <w:rsid w:val="00755B24"/>
    <w:rsid w:val="007563F9"/>
    <w:rsid w:val="007576BA"/>
    <w:rsid w:val="007604F1"/>
    <w:rsid w:val="00760A12"/>
    <w:rsid w:val="00760F3C"/>
    <w:rsid w:val="007614DF"/>
    <w:rsid w:val="00761A51"/>
    <w:rsid w:val="00761C30"/>
    <w:rsid w:val="007622ED"/>
    <w:rsid w:val="00763901"/>
    <w:rsid w:val="00763D85"/>
    <w:rsid w:val="00764342"/>
    <w:rsid w:val="00764357"/>
    <w:rsid w:val="00765CC7"/>
    <w:rsid w:val="00766411"/>
    <w:rsid w:val="00766419"/>
    <w:rsid w:val="00766532"/>
    <w:rsid w:val="00766D4C"/>
    <w:rsid w:val="00767717"/>
    <w:rsid w:val="007710C8"/>
    <w:rsid w:val="00771263"/>
    <w:rsid w:val="0077395F"/>
    <w:rsid w:val="00773D1D"/>
    <w:rsid w:val="0077426A"/>
    <w:rsid w:val="00774976"/>
    <w:rsid w:val="00774A21"/>
    <w:rsid w:val="00774EEC"/>
    <w:rsid w:val="00775DCF"/>
    <w:rsid w:val="0077618C"/>
    <w:rsid w:val="00776857"/>
    <w:rsid w:val="00776C7D"/>
    <w:rsid w:val="00777870"/>
    <w:rsid w:val="00777D33"/>
    <w:rsid w:val="0078068B"/>
    <w:rsid w:val="007807B1"/>
    <w:rsid w:val="00780B43"/>
    <w:rsid w:val="0078100F"/>
    <w:rsid w:val="00781037"/>
    <w:rsid w:val="00781A1E"/>
    <w:rsid w:val="00781AD6"/>
    <w:rsid w:val="00782159"/>
    <w:rsid w:val="00784690"/>
    <w:rsid w:val="00785EB0"/>
    <w:rsid w:val="00786B56"/>
    <w:rsid w:val="00787A73"/>
    <w:rsid w:val="00787B6F"/>
    <w:rsid w:val="007906A2"/>
    <w:rsid w:val="00790F52"/>
    <w:rsid w:val="007910A9"/>
    <w:rsid w:val="00791653"/>
    <w:rsid w:val="007916D9"/>
    <w:rsid w:val="00791B45"/>
    <w:rsid w:val="007922CA"/>
    <w:rsid w:val="007923FC"/>
    <w:rsid w:val="0079242D"/>
    <w:rsid w:val="00792A9D"/>
    <w:rsid w:val="00793896"/>
    <w:rsid w:val="007941DF"/>
    <w:rsid w:val="00794444"/>
    <w:rsid w:val="0079468C"/>
    <w:rsid w:val="007955AC"/>
    <w:rsid w:val="00795793"/>
    <w:rsid w:val="00795DC1"/>
    <w:rsid w:val="0079687A"/>
    <w:rsid w:val="00796B5A"/>
    <w:rsid w:val="00797228"/>
    <w:rsid w:val="00797AC4"/>
    <w:rsid w:val="00797C10"/>
    <w:rsid w:val="007A0450"/>
    <w:rsid w:val="007A163A"/>
    <w:rsid w:val="007A1A9E"/>
    <w:rsid w:val="007A1B96"/>
    <w:rsid w:val="007A1DA7"/>
    <w:rsid w:val="007A3669"/>
    <w:rsid w:val="007A3B6E"/>
    <w:rsid w:val="007A46E3"/>
    <w:rsid w:val="007A4BD6"/>
    <w:rsid w:val="007A4C2D"/>
    <w:rsid w:val="007A517D"/>
    <w:rsid w:val="007A5684"/>
    <w:rsid w:val="007A56D2"/>
    <w:rsid w:val="007A56F1"/>
    <w:rsid w:val="007A6062"/>
    <w:rsid w:val="007A72A8"/>
    <w:rsid w:val="007A7892"/>
    <w:rsid w:val="007A79CB"/>
    <w:rsid w:val="007B02EF"/>
    <w:rsid w:val="007B1E88"/>
    <w:rsid w:val="007B2E70"/>
    <w:rsid w:val="007B3ED8"/>
    <w:rsid w:val="007B4C10"/>
    <w:rsid w:val="007B4F3B"/>
    <w:rsid w:val="007B50E5"/>
    <w:rsid w:val="007B6381"/>
    <w:rsid w:val="007B7DD3"/>
    <w:rsid w:val="007C02DD"/>
    <w:rsid w:val="007C08D2"/>
    <w:rsid w:val="007C0AB2"/>
    <w:rsid w:val="007C0B12"/>
    <w:rsid w:val="007C0F6D"/>
    <w:rsid w:val="007C238C"/>
    <w:rsid w:val="007C2534"/>
    <w:rsid w:val="007C3561"/>
    <w:rsid w:val="007C451F"/>
    <w:rsid w:val="007C63BC"/>
    <w:rsid w:val="007C7356"/>
    <w:rsid w:val="007C75A1"/>
    <w:rsid w:val="007C7ADF"/>
    <w:rsid w:val="007C7D9A"/>
    <w:rsid w:val="007D0EBE"/>
    <w:rsid w:val="007D1C44"/>
    <w:rsid w:val="007D1D15"/>
    <w:rsid w:val="007D2698"/>
    <w:rsid w:val="007D3B2C"/>
    <w:rsid w:val="007D6F12"/>
    <w:rsid w:val="007D7679"/>
    <w:rsid w:val="007D7947"/>
    <w:rsid w:val="007E058F"/>
    <w:rsid w:val="007E06B6"/>
    <w:rsid w:val="007E1B9D"/>
    <w:rsid w:val="007E3BE6"/>
    <w:rsid w:val="007E48B5"/>
    <w:rsid w:val="007E55CF"/>
    <w:rsid w:val="007E5B57"/>
    <w:rsid w:val="007E6121"/>
    <w:rsid w:val="007E709E"/>
    <w:rsid w:val="007E709F"/>
    <w:rsid w:val="007E765F"/>
    <w:rsid w:val="007F087E"/>
    <w:rsid w:val="007F0B33"/>
    <w:rsid w:val="007F0B48"/>
    <w:rsid w:val="007F0BAD"/>
    <w:rsid w:val="007F20ED"/>
    <w:rsid w:val="007F31CE"/>
    <w:rsid w:val="007F3330"/>
    <w:rsid w:val="007F3352"/>
    <w:rsid w:val="007F370B"/>
    <w:rsid w:val="007F4CA3"/>
    <w:rsid w:val="007F578A"/>
    <w:rsid w:val="007F647D"/>
    <w:rsid w:val="007F6D41"/>
    <w:rsid w:val="007F750D"/>
    <w:rsid w:val="007F794F"/>
    <w:rsid w:val="00800AAB"/>
    <w:rsid w:val="00800B4A"/>
    <w:rsid w:val="008012CE"/>
    <w:rsid w:val="008029B2"/>
    <w:rsid w:val="00802E9D"/>
    <w:rsid w:val="00803AA7"/>
    <w:rsid w:val="00804A56"/>
    <w:rsid w:val="00804FDD"/>
    <w:rsid w:val="008059CB"/>
    <w:rsid w:val="00807215"/>
    <w:rsid w:val="0080786B"/>
    <w:rsid w:val="008108CA"/>
    <w:rsid w:val="008117D0"/>
    <w:rsid w:val="00811BDB"/>
    <w:rsid w:val="0081236F"/>
    <w:rsid w:val="008126D3"/>
    <w:rsid w:val="00812EB7"/>
    <w:rsid w:val="008144F4"/>
    <w:rsid w:val="00814968"/>
    <w:rsid w:val="00814A49"/>
    <w:rsid w:val="00816373"/>
    <w:rsid w:val="00816F65"/>
    <w:rsid w:val="00816FFF"/>
    <w:rsid w:val="008172F6"/>
    <w:rsid w:val="00817AC1"/>
    <w:rsid w:val="00817AED"/>
    <w:rsid w:val="0082109C"/>
    <w:rsid w:val="00821290"/>
    <w:rsid w:val="00822912"/>
    <w:rsid w:val="00822C2E"/>
    <w:rsid w:val="00823558"/>
    <w:rsid w:val="00824B7F"/>
    <w:rsid w:val="00824BD3"/>
    <w:rsid w:val="00826240"/>
    <w:rsid w:val="00826A78"/>
    <w:rsid w:val="00826B17"/>
    <w:rsid w:val="0082730A"/>
    <w:rsid w:val="0082792A"/>
    <w:rsid w:val="00830052"/>
    <w:rsid w:val="00830102"/>
    <w:rsid w:val="008303DB"/>
    <w:rsid w:val="008319C0"/>
    <w:rsid w:val="00831E4F"/>
    <w:rsid w:val="00831F0B"/>
    <w:rsid w:val="0083287E"/>
    <w:rsid w:val="008356D0"/>
    <w:rsid w:val="00835E1B"/>
    <w:rsid w:val="00837A14"/>
    <w:rsid w:val="00840E42"/>
    <w:rsid w:val="008412F1"/>
    <w:rsid w:val="00841409"/>
    <w:rsid w:val="0084153A"/>
    <w:rsid w:val="00841BCB"/>
    <w:rsid w:val="00842722"/>
    <w:rsid w:val="008427AF"/>
    <w:rsid w:val="00842CC3"/>
    <w:rsid w:val="00843F52"/>
    <w:rsid w:val="00844F2F"/>
    <w:rsid w:val="008454AE"/>
    <w:rsid w:val="00846521"/>
    <w:rsid w:val="00846CE8"/>
    <w:rsid w:val="00846F8D"/>
    <w:rsid w:val="00847048"/>
    <w:rsid w:val="008471C4"/>
    <w:rsid w:val="00847385"/>
    <w:rsid w:val="00847843"/>
    <w:rsid w:val="00847A88"/>
    <w:rsid w:val="00851C77"/>
    <w:rsid w:val="00851D97"/>
    <w:rsid w:val="008522D3"/>
    <w:rsid w:val="0085249C"/>
    <w:rsid w:val="008524D2"/>
    <w:rsid w:val="0085386D"/>
    <w:rsid w:val="00854ADE"/>
    <w:rsid w:val="008553B2"/>
    <w:rsid w:val="008557ED"/>
    <w:rsid w:val="00855903"/>
    <w:rsid w:val="00855FE8"/>
    <w:rsid w:val="00857D30"/>
    <w:rsid w:val="00860B1A"/>
    <w:rsid w:val="008617FE"/>
    <w:rsid w:val="00861B88"/>
    <w:rsid w:val="00861F7D"/>
    <w:rsid w:val="00862C05"/>
    <w:rsid w:val="00864094"/>
    <w:rsid w:val="00866CE1"/>
    <w:rsid w:val="00870849"/>
    <w:rsid w:val="00870E1A"/>
    <w:rsid w:val="0087189F"/>
    <w:rsid w:val="008724E9"/>
    <w:rsid w:val="00872B81"/>
    <w:rsid w:val="00873FCF"/>
    <w:rsid w:val="008744BC"/>
    <w:rsid w:val="008744D1"/>
    <w:rsid w:val="00875709"/>
    <w:rsid w:val="00876B0A"/>
    <w:rsid w:val="00876C30"/>
    <w:rsid w:val="008807DB"/>
    <w:rsid w:val="00880FB8"/>
    <w:rsid w:val="00882313"/>
    <w:rsid w:val="008827E1"/>
    <w:rsid w:val="0088589D"/>
    <w:rsid w:val="00886116"/>
    <w:rsid w:val="00886E75"/>
    <w:rsid w:val="0088749D"/>
    <w:rsid w:val="00887CEB"/>
    <w:rsid w:val="00887FDD"/>
    <w:rsid w:val="008909A8"/>
    <w:rsid w:val="00890A35"/>
    <w:rsid w:val="00890A6F"/>
    <w:rsid w:val="00890D42"/>
    <w:rsid w:val="0089250E"/>
    <w:rsid w:val="00892A8C"/>
    <w:rsid w:val="00892CAB"/>
    <w:rsid w:val="00892DD6"/>
    <w:rsid w:val="008937A3"/>
    <w:rsid w:val="00893991"/>
    <w:rsid w:val="00895859"/>
    <w:rsid w:val="008958BB"/>
    <w:rsid w:val="00896A68"/>
    <w:rsid w:val="00896C54"/>
    <w:rsid w:val="00897981"/>
    <w:rsid w:val="008A01CB"/>
    <w:rsid w:val="008A0684"/>
    <w:rsid w:val="008A06A2"/>
    <w:rsid w:val="008A09E0"/>
    <w:rsid w:val="008A105A"/>
    <w:rsid w:val="008A1C04"/>
    <w:rsid w:val="008A2779"/>
    <w:rsid w:val="008A3630"/>
    <w:rsid w:val="008A3862"/>
    <w:rsid w:val="008A3AFB"/>
    <w:rsid w:val="008A3DA0"/>
    <w:rsid w:val="008A41BA"/>
    <w:rsid w:val="008A4836"/>
    <w:rsid w:val="008A48D1"/>
    <w:rsid w:val="008A4DCB"/>
    <w:rsid w:val="008A6037"/>
    <w:rsid w:val="008A6F63"/>
    <w:rsid w:val="008A7415"/>
    <w:rsid w:val="008B0206"/>
    <w:rsid w:val="008B0295"/>
    <w:rsid w:val="008B17B6"/>
    <w:rsid w:val="008B193A"/>
    <w:rsid w:val="008B1963"/>
    <w:rsid w:val="008B37A5"/>
    <w:rsid w:val="008B3999"/>
    <w:rsid w:val="008B49B0"/>
    <w:rsid w:val="008B4B8C"/>
    <w:rsid w:val="008B525E"/>
    <w:rsid w:val="008B5D73"/>
    <w:rsid w:val="008B6404"/>
    <w:rsid w:val="008B6802"/>
    <w:rsid w:val="008B690E"/>
    <w:rsid w:val="008B74D7"/>
    <w:rsid w:val="008C0FE3"/>
    <w:rsid w:val="008C1158"/>
    <w:rsid w:val="008C2CA3"/>
    <w:rsid w:val="008C2CB9"/>
    <w:rsid w:val="008C2E48"/>
    <w:rsid w:val="008C57AC"/>
    <w:rsid w:val="008C6582"/>
    <w:rsid w:val="008C6838"/>
    <w:rsid w:val="008C6865"/>
    <w:rsid w:val="008C7512"/>
    <w:rsid w:val="008D07E1"/>
    <w:rsid w:val="008D0FF4"/>
    <w:rsid w:val="008D1021"/>
    <w:rsid w:val="008D10EE"/>
    <w:rsid w:val="008D2A54"/>
    <w:rsid w:val="008D3BBA"/>
    <w:rsid w:val="008D489F"/>
    <w:rsid w:val="008D4A72"/>
    <w:rsid w:val="008D7410"/>
    <w:rsid w:val="008D76B0"/>
    <w:rsid w:val="008E0693"/>
    <w:rsid w:val="008E0F85"/>
    <w:rsid w:val="008E17AF"/>
    <w:rsid w:val="008E1A89"/>
    <w:rsid w:val="008E1E97"/>
    <w:rsid w:val="008E3612"/>
    <w:rsid w:val="008E36A5"/>
    <w:rsid w:val="008E3CB9"/>
    <w:rsid w:val="008E52F6"/>
    <w:rsid w:val="008E7144"/>
    <w:rsid w:val="008E76FC"/>
    <w:rsid w:val="008F2A5A"/>
    <w:rsid w:val="008F398B"/>
    <w:rsid w:val="008F3EF5"/>
    <w:rsid w:val="008F4A59"/>
    <w:rsid w:val="008F50E2"/>
    <w:rsid w:val="008F5B12"/>
    <w:rsid w:val="008F61A4"/>
    <w:rsid w:val="008F673C"/>
    <w:rsid w:val="008F6AAD"/>
    <w:rsid w:val="008F6F99"/>
    <w:rsid w:val="008F7227"/>
    <w:rsid w:val="008F7726"/>
    <w:rsid w:val="00901116"/>
    <w:rsid w:val="00902874"/>
    <w:rsid w:val="00903819"/>
    <w:rsid w:val="00905391"/>
    <w:rsid w:val="00905495"/>
    <w:rsid w:val="0090632C"/>
    <w:rsid w:val="00906B13"/>
    <w:rsid w:val="00906CE8"/>
    <w:rsid w:val="00907713"/>
    <w:rsid w:val="009079F8"/>
    <w:rsid w:val="00910677"/>
    <w:rsid w:val="00910AB5"/>
    <w:rsid w:val="00911E91"/>
    <w:rsid w:val="009127B8"/>
    <w:rsid w:val="0091338C"/>
    <w:rsid w:val="00913C4B"/>
    <w:rsid w:val="0091587E"/>
    <w:rsid w:val="00915D7F"/>
    <w:rsid w:val="00916B8A"/>
    <w:rsid w:val="00920C4E"/>
    <w:rsid w:val="009212AC"/>
    <w:rsid w:val="009220F6"/>
    <w:rsid w:val="00922338"/>
    <w:rsid w:val="00923861"/>
    <w:rsid w:val="0092428F"/>
    <w:rsid w:val="00924652"/>
    <w:rsid w:val="00924753"/>
    <w:rsid w:val="0092550E"/>
    <w:rsid w:val="009255C6"/>
    <w:rsid w:val="0092599B"/>
    <w:rsid w:val="00925AC4"/>
    <w:rsid w:val="00925CEC"/>
    <w:rsid w:val="0092603D"/>
    <w:rsid w:val="00927870"/>
    <w:rsid w:val="0093076F"/>
    <w:rsid w:val="009311BA"/>
    <w:rsid w:val="00931774"/>
    <w:rsid w:val="009321C2"/>
    <w:rsid w:val="00932622"/>
    <w:rsid w:val="00932748"/>
    <w:rsid w:val="009328CB"/>
    <w:rsid w:val="00932935"/>
    <w:rsid w:val="00932AFC"/>
    <w:rsid w:val="00932DF4"/>
    <w:rsid w:val="0093370A"/>
    <w:rsid w:val="00935870"/>
    <w:rsid w:val="00935BA4"/>
    <w:rsid w:val="00935D33"/>
    <w:rsid w:val="00936BD2"/>
    <w:rsid w:val="00937A59"/>
    <w:rsid w:val="00940CFF"/>
    <w:rsid w:val="00942A6A"/>
    <w:rsid w:val="00943EBB"/>
    <w:rsid w:val="00944D3F"/>
    <w:rsid w:val="009457CB"/>
    <w:rsid w:val="00945869"/>
    <w:rsid w:val="00945A84"/>
    <w:rsid w:val="00946293"/>
    <w:rsid w:val="00946AF5"/>
    <w:rsid w:val="00947BC9"/>
    <w:rsid w:val="00947F1D"/>
    <w:rsid w:val="0095095A"/>
    <w:rsid w:val="00951425"/>
    <w:rsid w:val="0095187E"/>
    <w:rsid w:val="00951DFB"/>
    <w:rsid w:val="009531BD"/>
    <w:rsid w:val="00953603"/>
    <w:rsid w:val="00953663"/>
    <w:rsid w:val="00953808"/>
    <w:rsid w:val="009544BF"/>
    <w:rsid w:val="00954992"/>
    <w:rsid w:val="0095619B"/>
    <w:rsid w:val="00956A06"/>
    <w:rsid w:val="00961136"/>
    <w:rsid w:val="00962D5A"/>
    <w:rsid w:val="009630F7"/>
    <w:rsid w:val="00963598"/>
    <w:rsid w:val="009659CD"/>
    <w:rsid w:val="00966A26"/>
    <w:rsid w:val="00966A43"/>
    <w:rsid w:val="00967BFD"/>
    <w:rsid w:val="00970D32"/>
    <w:rsid w:val="0097108B"/>
    <w:rsid w:val="00972B71"/>
    <w:rsid w:val="00974045"/>
    <w:rsid w:val="009740DC"/>
    <w:rsid w:val="009743C1"/>
    <w:rsid w:val="00974C39"/>
    <w:rsid w:val="00974F18"/>
    <w:rsid w:val="00974F5F"/>
    <w:rsid w:val="0097510A"/>
    <w:rsid w:val="00975D97"/>
    <w:rsid w:val="00975EF9"/>
    <w:rsid w:val="00976397"/>
    <w:rsid w:val="00976545"/>
    <w:rsid w:val="009773C6"/>
    <w:rsid w:val="009773C8"/>
    <w:rsid w:val="0098463E"/>
    <w:rsid w:val="0098486C"/>
    <w:rsid w:val="00985433"/>
    <w:rsid w:val="0098571D"/>
    <w:rsid w:val="00985A7E"/>
    <w:rsid w:val="00987273"/>
    <w:rsid w:val="0099062B"/>
    <w:rsid w:val="009908EC"/>
    <w:rsid w:val="009926D0"/>
    <w:rsid w:val="00992C1B"/>
    <w:rsid w:val="00993077"/>
    <w:rsid w:val="00993876"/>
    <w:rsid w:val="009940AA"/>
    <w:rsid w:val="00994286"/>
    <w:rsid w:val="00994CDE"/>
    <w:rsid w:val="00995542"/>
    <w:rsid w:val="009956D0"/>
    <w:rsid w:val="00996D2C"/>
    <w:rsid w:val="009976C1"/>
    <w:rsid w:val="009A01D0"/>
    <w:rsid w:val="009A0AB5"/>
    <w:rsid w:val="009A223E"/>
    <w:rsid w:val="009A2FCE"/>
    <w:rsid w:val="009A71F0"/>
    <w:rsid w:val="009A7B57"/>
    <w:rsid w:val="009A7D0E"/>
    <w:rsid w:val="009B088C"/>
    <w:rsid w:val="009B1124"/>
    <w:rsid w:val="009B1793"/>
    <w:rsid w:val="009B1D83"/>
    <w:rsid w:val="009B256C"/>
    <w:rsid w:val="009B25DB"/>
    <w:rsid w:val="009B3577"/>
    <w:rsid w:val="009B36B4"/>
    <w:rsid w:val="009B387E"/>
    <w:rsid w:val="009B3AC5"/>
    <w:rsid w:val="009B4484"/>
    <w:rsid w:val="009B47DE"/>
    <w:rsid w:val="009B59F1"/>
    <w:rsid w:val="009B680B"/>
    <w:rsid w:val="009B709F"/>
    <w:rsid w:val="009B799F"/>
    <w:rsid w:val="009B7D9D"/>
    <w:rsid w:val="009C047F"/>
    <w:rsid w:val="009C088D"/>
    <w:rsid w:val="009C2700"/>
    <w:rsid w:val="009C292F"/>
    <w:rsid w:val="009C2B88"/>
    <w:rsid w:val="009C38D4"/>
    <w:rsid w:val="009C51CB"/>
    <w:rsid w:val="009C6D3B"/>
    <w:rsid w:val="009D09F7"/>
    <w:rsid w:val="009D1EAA"/>
    <w:rsid w:val="009D2856"/>
    <w:rsid w:val="009D293C"/>
    <w:rsid w:val="009D2B0D"/>
    <w:rsid w:val="009D38D4"/>
    <w:rsid w:val="009D3992"/>
    <w:rsid w:val="009D3B6B"/>
    <w:rsid w:val="009D471F"/>
    <w:rsid w:val="009D5610"/>
    <w:rsid w:val="009D5641"/>
    <w:rsid w:val="009D695D"/>
    <w:rsid w:val="009D6DC4"/>
    <w:rsid w:val="009E0908"/>
    <w:rsid w:val="009E1BE8"/>
    <w:rsid w:val="009E1C6C"/>
    <w:rsid w:val="009E1D25"/>
    <w:rsid w:val="009E3036"/>
    <w:rsid w:val="009E3941"/>
    <w:rsid w:val="009E414F"/>
    <w:rsid w:val="009E4765"/>
    <w:rsid w:val="009E4E14"/>
    <w:rsid w:val="009E4F6A"/>
    <w:rsid w:val="009E59D2"/>
    <w:rsid w:val="009E5DD7"/>
    <w:rsid w:val="009E61D2"/>
    <w:rsid w:val="009F0505"/>
    <w:rsid w:val="009F071D"/>
    <w:rsid w:val="009F07EB"/>
    <w:rsid w:val="009F0AC9"/>
    <w:rsid w:val="009F1ECF"/>
    <w:rsid w:val="009F39C8"/>
    <w:rsid w:val="009F40F1"/>
    <w:rsid w:val="009F4429"/>
    <w:rsid w:val="009F78F0"/>
    <w:rsid w:val="009F7D5C"/>
    <w:rsid w:val="00A00310"/>
    <w:rsid w:val="00A0051E"/>
    <w:rsid w:val="00A00DB1"/>
    <w:rsid w:val="00A02135"/>
    <w:rsid w:val="00A02621"/>
    <w:rsid w:val="00A03B20"/>
    <w:rsid w:val="00A04118"/>
    <w:rsid w:val="00A0427E"/>
    <w:rsid w:val="00A05A52"/>
    <w:rsid w:val="00A05F4E"/>
    <w:rsid w:val="00A06A08"/>
    <w:rsid w:val="00A07B93"/>
    <w:rsid w:val="00A10456"/>
    <w:rsid w:val="00A10DD2"/>
    <w:rsid w:val="00A118AD"/>
    <w:rsid w:val="00A11BF6"/>
    <w:rsid w:val="00A1392D"/>
    <w:rsid w:val="00A141D4"/>
    <w:rsid w:val="00A1431A"/>
    <w:rsid w:val="00A14728"/>
    <w:rsid w:val="00A1491D"/>
    <w:rsid w:val="00A14A74"/>
    <w:rsid w:val="00A14BB6"/>
    <w:rsid w:val="00A14BCD"/>
    <w:rsid w:val="00A157FB"/>
    <w:rsid w:val="00A15DFA"/>
    <w:rsid w:val="00A16AAB"/>
    <w:rsid w:val="00A16AF9"/>
    <w:rsid w:val="00A16F40"/>
    <w:rsid w:val="00A176AF"/>
    <w:rsid w:val="00A17B1F"/>
    <w:rsid w:val="00A204A8"/>
    <w:rsid w:val="00A21540"/>
    <w:rsid w:val="00A2170E"/>
    <w:rsid w:val="00A22BE9"/>
    <w:rsid w:val="00A23505"/>
    <w:rsid w:val="00A236DE"/>
    <w:rsid w:val="00A241E0"/>
    <w:rsid w:val="00A2439F"/>
    <w:rsid w:val="00A248F2"/>
    <w:rsid w:val="00A25439"/>
    <w:rsid w:val="00A25B12"/>
    <w:rsid w:val="00A25CB7"/>
    <w:rsid w:val="00A26AB9"/>
    <w:rsid w:val="00A30DD5"/>
    <w:rsid w:val="00A312EA"/>
    <w:rsid w:val="00A31424"/>
    <w:rsid w:val="00A32176"/>
    <w:rsid w:val="00A33692"/>
    <w:rsid w:val="00A35083"/>
    <w:rsid w:val="00A36666"/>
    <w:rsid w:val="00A3777B"/>
    <w:rsid w:val="00A3782A"/>
    <w:rsid w:val="00A40370"/>
    <w:rsid w:val="00A4128C"/>
    <w:rsid w:val="00A41F7E"/>
    <w:rsid w:val="00A42FC9"/>
    <w:rsid w:val="00A4319C"/>
    <w:rsid w:val="00A4361F"/>
    <w:rsid w:val="00A445B7"/>
    <w:rsid w:val="00A446DE"/>
    <w:rsid w:val="00A4509A"/>
    <w:rsid w:val="00A45F4F"/>
    <w:rsid w:val="00A500F3"/>
    <w:rsid w:val="00A50424"/>
    <w:rsid w:val="00A51DE9"/>
    <w:rsid w:val="00A52110"/>
    <w:rsid w:val="00A527CF"/>
    <w:rsid w:val="00A52DB1"/>
    <w:rsid w:val="00A5363A"/>
    <w:rsid w:val="00A53ADC"/>
    <w:rsid w:val="00A53C6D"/>
    <w:rsid w:val="00A54380"/>
    <w:rsid w:val="00A54947"/>
    <w:rsid w:val="00A54A40"/>
    <w:rsid w:val="00A55639"/>
    <w:rsid w:val="00A5584C"/>
    <w:rsid w:val="00A5676E"/>
    <w:rsid w:val="00A573A9"/>
    <w:rsid w:val="00A57D4E"/>
    <w:rsid w:val="00A61213"/>
    <w:rsid w:val="00A616EF"/>
    <w:rsid w:val="00A62B8C"/>
    <w:rsid w:val="00A63CD1"/>
    <w:rsid w:val="00A6503E"/>
    <w:rsid w:val="00A65969"/>
    <w:rsid w:val="00A65CE8"/>
    <w:rsid w:val="00A667E4"/>
    <w:rsid w:val="00A667F7"/>
    <w:rsid w:val="00A66DA8"/>
    <w:rsid w:val="00A6703B"/>
    <w:rsid w:val="00A67047"/>
    <w:rsid w:val="00A672EF"/>
    <w:rsid w:val="00A701F6"/>
    <w:rsid w:val="00A7035E"/>
    <w:rsid w:val="00A70748"/>
    <w:rsid w:val="00A70C72"/>
    <w:rsid w:val="00A71E93"/>
    <w:rsid w:val="00A71F05"/>
    <w:rsid w:val="00A71FCD"/>
    <w:rsid w:val="00A72F25"/>
    <w:rsid w:val="00A734A5"/>
    <w:rsid w:val="00A739D2"/>
    <w:rsid w:val="00A73E33"/>
    <w:rsid w:val="00A7439E"/>
    <w:rsid w:val="00A74F16"/>
    <w:rsid w:val="00A76648"/>
    <w:rsid w:val="00A769BE"/>
    <w:rsid w:val="00A810A5"/>
    <w:rsid w:val="00A81205"/>
    <w:rsid w:val="00A81C0D"/>
    <w:rsid w:val="00A81CC4"/>
    <w:rsid w:val="00A824E5"/>
    <w:rsid w:val="00A8260B"/>
    <w:rsid w:val="00A836BC"/>
    <w:rsid w:val="00A83AB2"/>
    <w:rsid w:val="00A83CD0"/>
    <w:rsid w:val="00A84981"/>
    <w:rsid w:val="00A84AC9"/>
    <w:rsid w:val="00A85A37"/>
    <w:rsid w:val="00A85BAC"/>
    <w:rsid w:val="00A87197"/>
    <w:rsid w:val="00A876D6"/>
    <w:rsid w:val="00A901B8"/>
    <w:rsid w:val="00A91BD6"/>
    <w:rsid w:val="00A91D8F"/>
    <w:rsid w:val="00A9237F"/>
    <w:rsid w:val="00A92819"/>
    <w:rsid w:val="00A92965"/>
    <w:rsid w:val="00A92AB9"/>
    <w:rsid w:val="00A9301D"/>
    <w:rsid w:val="00A9371C"/>
    <w:rsid w:val="00A9426A"/>
    <w:rsid w:val="00A9427B"/>
    <w:rsid w:val="00A95A02"/>
    <w:rsid w:val="00A95D38"/>
    <w:rsid w:val="00A9668B"/>
    <w:rsid w:val="00A96BFB"/>
    <w:rsid w:val="00A97C80"/>
    <w:rsid w:val="00A97F2D"/>
    <w:rsid w:val="00AA003F"/>
    <w:rsid w:val="00AA07AF"/>
    <w:rsid w:val="00AA0B04"/>
    <w:rsid w:val="00AA1073"/>
    <w:rsid w:val="00AA1595"/>
    <w:rsid w:val="00AA31CA"/>
    <w:rsid w:val="00AA4173"/>
    <w:rsid w:val="00AA45BF"/>
    <w:rsid w:val="00AA4A39"/>
    <w:rsid w:val="00AA4B1A"/>
    <w:rsid w:val="00AA5D9B"/>
    <w:rsid w:val="00AA6699"/>
    <w:rsid w:val="00AA6BD4"/>
    <w:rsid w:val="00AA7851"/>
    <w:rsid w:val="00AB037A"/>
    <w:rsid w:val="00AB1880"/>
    <w:rsid w:val="00AB19BA"/>
    <w:rsid w:val="00AB1D6A"/>
    <w:rsid w:val="00AB2718"/>
    <w:rsid w:val="00AB2F33"/>
    <w:rsid w:val="00AB3727"/>
    <w:rsid w:val="00AB3DBB"/>
    <w:rsid w:val="00AB620F"/>
    <w:rsid w:val="00AB6A15"/>
    <w:rsid w:val="00AB6AFA"/>
    <w:rsid w:val="00AB6C52"/>
    <w:rsid w:val="00AB7814"/>
    <w:rsid w:val="00AB7F2D"/>
    <w:rsid w:val="00AC03EB"/>
    <w:rsid w:val="00AC122A"/>
    <w:rsid w:val="00AC14F1"/>
    <w:rsid w:val="00AC195F"/>
    <w:rsid w:val="00AC2D54"/>
    <w:rsid w:val="00AC3BD2"/>
    <w:rsid w:val="00AC3DC6"/>
    <w:rsid w:val="00AC406A"/>
    <w:rsid w:val="00AC413C"/>
    <w:rsid w:val="00AC44C3"/>
    <w:rsid w:val="00AC547C"/>
    <w:rsid w:val="00AC5679"/>
    <w:rsid w:val="00AC6047"/>
    <w:rsid w:val="00AC71DE"/>
    <w:rsid w:val="00AC7D8F"/>
    <w:rsid w:val="00AC7E2E"/>
    <w:rsid w:val="00AD0FD7"/>
    <w:rsid w:val="00AD1265"/>
    <w:rsid w:val="00AD209D"/>
    <w:rsid w:val="00AD25B9"/>
    <w:rsid w:val="00AD2DE8"/>
    <w:rsid w:val="00AD32D4"/>
    <w:rsid w:val="00AD4B0B"/>
    <w:rsid w:val="00AE1BD6"/>
    <w:rsid w:val="00AE1D46"/>
    <w:rsid w:val="00AE1F64"/>
    <w:rsid w:val="00AE1F79"/>
    <w:rsid w:val="00AE236D"/>
    <w:rsid w:val="00AE323D"/>
    <w:rsid w:val="00AE4FCA"/>
    <w:rsid w:val="00AE5A55"/>
    <w:rsid w:val="00AE6003"/>
    <w:rsid w:val="00AE624F"/>
    <w:rsid w:val="00AE6B99"/>
    <w:rsid w:val="00AE6BEC"/>
    <w:rsid w:val="00AE7040"/>
    <w:rsid w:val="00AE7CC1"/>
    <w:rsid w:val="00AE7ECE"/>
    <w:rsid w:val="00AF0702"/>
    <w:rsid w:val="00AF0AA5"/>
    <w:rsid w:val="00AF0B3A"/>
    <w:rsid w:val="00AF0EBE"/>
    <w:rsid w:val="00AF0EFB"/>
    <w:rsid w:val="00AF13E6"/>
    <w:rsid w:val="00AF2458"/>
    <w:rsid w:val="00AF2889"/>
    <w:rsid w:val="00AF2C5F"/>
    <w:rsid w:val="00AF35B9"/>
    <w:rsid w:val="00AF4286"/>
    <w:rsid w:val="00AF498B"/>
    <w:rsid w:val="00AF5A98"/>
    <w:rsid w:val="00AF5EF9"/>
    <w:rsid w:val="00AF60C2"/>
    <w:rsid w:val="00AF6201"/>
    <w:rsid w:val="00AF6D36"/>
    <w:rsid w:val="00AF7466"/>
    <w:rsid w:val="00AF75BE"/>
    <w:rsid w:val="00AF76C5"/>
    <w:rsid w:val="00AF79C9"/>
    <w:rsid w:val="00AF7E41"/>
    <w:rsid w:val="00B0168B"/>
    <w:rsid w:val="00B02A47"/>
    <w:rsid w:val="00B036AC"/>
    <w:rsid w:val="00B038D8"/>
    <w:rsid w:val="00B03C44"/>
    <w:rsid w:val="00B052E0"/>
    <w:rsid w:val="00B05AD8"/>
    <w:rsid w:val="00B072BD"/>
    <w:rsid w:val="00B113AC"/>
    <w:rsid w:val="00B1176B"/>
    <w:rsid w:val="00B11D18"/>
    <w:rsid w:val="00B120E8"/>
    <w:rsid w:val="00B127B0"/>
    <w:rsid w:val="00B13407"/>
    <w:rsid w:val="00B13F7B"/>
    <w:rsid w:val="00B14629"/>
    <w:rsid w:val="00B151D8"/>
    <w:rsid w:val="00B15C8E"/>
    <w:rsid w:val="00B163CF"/>
    <w:rsid w:val="00B164C8"/>
    <w:rsid w:val="00B166DE"/>
    <w:rsid w:val="00B16D65"/>
    <w:rsid w:val="00B17634"/>
    <w:rsid w:val="00B1780E"/>
    <w:rsid w:val="00B1781D"/>
    <w:rsid w:val="00B17DAF"/>
    <w:rsid w:val="00B203AE"/>
    <w:rsid w:val="00B209FE"/>
    <w:rsid w:val="00B2157C"/>
    <w:rsid w:val="00B2243A"/>
    <w:rsid w:val="00B228FE"/>
    <w:rsid w:val="00B230E1"/>
    <w:rsid w:val="00B23940"/>
    <w:rsid w:val="00B240C6"/>
    <w:rsid w:val="00B24E42"/>
    <w:rsid w:val="00B25A51"/>
    <w:rsid w:val="00B25EF8"/>
    <w:rsid w:val="00B25F29"/>
    <w:rsid w:val="00B2631A"/>
    <w:rsid w:val="00B26937"/>
    <w:rsid w:val="00B26CD2"/>
    <w:rsid w:val="00B26E42"/>
    <w:rsid w:val="00B274DC"/>
    <w:rsid w:val="00B27829"/>
    <w:rsid w:val="00B27B99"/>
    <w:rsid w:val="00B30111"/>
    <w:rsid w:val="00B31A7E"/>
    <w:rsid w:val="00B31B29"/>
    <w:rsid w:val="00B328E4"/>
    <w:rsid w:val="00B33DDE"/>
    <w:rsid w:val="00B33FB0"/>
    <w:rsid w:val="00B347F3"/>
    <w:rsid w:val="00B34B00"/>
    <w:rsid w:val="00B34C23"/>
    <w:rsid w:val="00B34E43"/>
    <w:rsid w:val="00B34E48"/>
    <w:rsid w:val="00B36022"/>
    <w:rsid w:val="00B36231"/>
    <w:rsid w:val="00B402FF"/>
    <w:rsid w:val="00B40580"/>
    <w:rsid w:val="00B40D56"/>
    <w:rsid w:val="00B40F7E"/>
    <w:rsid w:val="00B4180E"/>
    <w:rsid w:val="00B41E9D"/>
    <w:rsid w:val="00B42C03"/>
    <w:rsid w:val="00B44562"/>
    <w:rsid w:val="00B45786"/>
    <w:rsid w:val="00B45A2B"/>
    <w:rsid w:val="00B46CBE"/>
    <w:rsid w:val="00B50F4A"/>
    <w:rsid w:val="00B51B73"/>
    <w:rsid w:val="00B52542"/>
    <w:rsid w:val="00B5299E"/>
    <w:rsid w:val="00B53074"/>
    <w:rsid w:val="00B57760"/>
    <w:rsid w:val="00B605F7"/>
    <w:rsid w:val="00B60EF2"/>
    <w:rsid w:val="00B6105C"/>
    <w:rsid w:val="00B61FFB"/>
    <w:rsid w:val="00B6411B"/>
    <w:rsid w:val="00B6501B"/>
    <w:rsid w:val="00B6736F"/>
    <w:rsid w:val="00B676C8"/>
    <w:rsid w:val="00B67D0C"/>
    <w:rsid w:val="00B70ACC"/>
    <w:rsid w:val="00B72011"/>
    <w:rsid w:val="00B72128"/>
    <w:rsid w:val="00B72356"/>
    <w:rsid w:val="00B7236D"/>
    <w:rsid w:val="00B74581"/>
    <w:rsid w:val="00B74D31"/>
    <w:rsid w:val="00B751A1"/>
    <w:rsid w:val="00B760B4"/>
    <w:rsid w:val="00B778BE"/>
    <w:rsid w:val="00B77949"/>
    <w:rsid w:val="00B80D45"/>
    <w:rsid w:val="00B80EAF"/>
    <w:rsid w:val="00B80FBA"/>
    <w:rsid w:val="00B81584"/>
    <w:rsid w:val="00B815D5"/>
    <w:rsid w:val="00B820FE"/>
    <w:rsid w:val="00B8286B"/>
    <w:rsid w:val="00B839CD"/>
    <w:rsid w:val="00B83D3E"/>
    <w:rsid w:val="00B83DEE"/>
    <w:rsid w:val="00B83E6C"/>
    <w:rsid w:val="00B84CE8"/>
    <w:rsid w:val="00B85B3C"/>
    <w:rsid w:val="00B86A0E"/>
    <w:rsid w:val="00B87F33"/>
    <w:rsid w:val="00B90070"/>
    <w:rsid w:val="00B91320"/>
    <w:rsid w:val="00B91B39"/>
    <w:rsid w:val="00B92F62"/>
    <w:rsid w:val="00B93802"/>
    <w:rsid w:val="00B95152"/>
    <w:rsid w:val="00B952FB"/>
    <w:rsid w:val="00B96462"/>
    <w:rsid w:val="00B971FD"/>
    <w:rsid w:val="00BA07AD"/>
    <w:rsid w:val="00BA0EBF"/>
    <w:rsid w:val="00BA1999"/>
    <w:rsid w:val="00BA1DE6"/>
    <w:rsid w:val="00BA1EBC"/>
    <w:rsid w:val="00BA328A"/>
    <w:rsid w:val="00BA374C"/>
    <w:rsid w:val="00BA3D47"/>
    <w:rsid w:val="00BA40B3"/>
    <w:rsid w:val="00BA465A"/>
    <w:rsid w:val="00BA47A1"/>
    <w:rsid w:val="00BA5659"/>
    <w:rsid w:val="00BA58C2"/>
    <w:rsid w:val="00BA5A4F"/>
    <w:rsid w:val="00BA5BAD"/>
    <w:rsid w:val="00BA600F"/>
    <w:rsid w:val="00BA6299"/>
    <w:rsid w:val="00BA649A"/>
    <w:rsid w:val="00BA7B4D"/>
    <w:rsid w:val="00BB0418"/>
    <w:rsid w:val="00BB05C1"/>
    <w:rsid w:val="00BB0A81"/>
    <w:rsid w:val="00BB18BD"/>
    <w:rsid w:val="00BB1A99"/>
    <w:rsid w:val="00BB2C7B"/>
    <w:rsid w:val="00BB3E9A"/>
    <w:rsid w:val="00BB4E91"/>
    <w:rsid w:val="00BB5A6E"/>
    <w:rsid w:val="00BB674F"/>
    <w:rsid w:val="00BB6764"/>
    <w:rsid w:val="00BB69AD"/>
    <w:rsid w:val="00BB6E1C"/>
    <w:rsid w:val="00BB739E"/>
    <w:rsid w:val="00BC019B"/>
    <w:rsid w:val="00BC0490"/>
    <w:rsid w:val="00BC100F"/>
    <w:rsid w:val="00BC258C"/>
    <w:rsid w:val="00BC2E3E"/>
    <w:rsid w:val="00BC3142"/>
    <w:rsid w:val="00BC335D"/>
    <w:rsid w:val="00BC3A20"/>
    <w:rsid w:val="00BC3C0E"/>
    <w:rsid w:val="00BC52C9"/>
    <w:rsid w:val="00BC5ABD"/>
    <w:rsid w:val="00BC6BDA"/>
    <w:rsid w:val="00BC6DAD"/>
    <w:rsid w:val="00BD10C8"/>
    <w:rsid w:val="00BD16E8"/>
    <w:rsid w:val="00BD255E"/>
    <w:rsid w:val="00BD2C6A"/>
    <w:rsid w:val="00BD2E63"/>
    <w:rsid w:val="00BD6022"/>
    <w:rsid w:val="00BD60A5"/>
    <w:rsid w:val="00BD60FF"/>
    <w:rsid w:val="00BD7AC5"/>
    <w:rsid w:val="00BD7F4D"/>
    <w:rsid w:val="00BE0E84"/>
    <w:rsid w:val="00BE1586"/>
    <w:rsid w:val="00BE19B8"/>
    <w:rsid w:val="00BE2B7F"/>
    <w:rsid w:val="00BE2C75"/>
    <w:rsid w:val="00BE369D"/>
    <w:rsid w:val="00BE3B36"/>
    <w:rsid w:val="00BE4D03"/>
    <w:rsid w:val="00BE5CEA"/>
    <w:rsid w:val="00BE7017"/>
    <w:rsid w:val="00BE7378"/>
    <w:rsid w:val="00BE788D"/>
    <w:rsid w:val="00BE7906"/>
    <w:rsid w:val="00BE798B"/>
    <w:rsid w:val="00BF0969"/>
    <w:rsid w:val="00BF0A1B"/>
    <w:rsid w:val="00BF108E"/>
    <w:rsid w:val="00BF15F0"/>
    <w:rsid w:val="00BF1BD6"/>
    <w:rsid w:val="00BF1C6B"/>
    <w:rsid w:val="00BF3658"/>
    <w:rsid w:val="00BF3F9C"/>
    <w:rsid w:val="00BF49B0"/>
    <w:rsid w:val="00BF59F4"/>
    <w:rsid w:val="00BF601D"/>
    <w:rsid w:val="00BF6820"/>
    <w:rsid w:val="00BF74C7"/>
    <w:rsid w:val="00C00F72"/>
    <w:rsid w:val="00C01D3E"/>
    <w:rsid w:val="00C01DDE"/>
    <w:rsid w:val="00C025B3"/>
    <w:rsid w:val="00C03EAD"/>
    <w:rsid w:val="00C03FFD"/>
    <w:rsid w:val="00C04D10"/>
    <w:rsid w:val="00C05116"/>
    <w:rsid w:val="00C0606C"/>
    <w:rsid w:val="00C063AD"/>
    <w:rsid w:val="00C0674F"/>
    <w:rsid w:val="00C0696D"/>
    <w:rsid w:val="00C0797C"/>
    <w:rsid w:val="00C1086B"/>
    <w:rsid w:val="00C128D8"/>
    <w:rsid w:val="00C12E3D"/>
    <w:rsid w:val="00C12ECA"/>
    <w:rsid w:val="00C13840"/>
    <w:rsid w:val="00C141C9"/>
    <w:rsid w:val="00C14FD6"/>
    <w:rsid w:val="00C15BA8"/>
    <w:rsid w:val="00C17751"/>
    <w:rsid w:val="00C17A3D"/>
    <w:rsid w:val="00C203D4"/>
    <w:rsid w:val="00C21E75"/>
    <w:rsid w:val="00C22D7A"/>
    <w:rsid w:val="00C23D65"/>
    <w:rsid w:val="00C24009"/>
    <w:rsid w:val="00C25FD4"/>
    <w:rsid w:val="00C26C41"/>
    <w:rsid w:val="00C26CA2"/>
    <w:rsid w:val="00C27744"/>
    <w:rsid w:val="00C30062"/>
    <w:rsid w:val="00C3034F"/>
    <w:rsid w:val="00C31072"/>
    <w:rsid w:val="00C3162E"/>
    <w:rsid w:val="00C3202D"/>
    <w:rsid w:val="00C32603"/>
    <w:rsid w:val="00C32AD1"/>
    <w:rsid w:val="00C330BA"/>
    <w:rsid w:val="00C3343D"/>
    <w:rsid w:val="00C33A68"/>
    <w:rsid w:val="00C35184"/>
    <w:rsid w:val="00C35711"/>
    <w:rsid w:val="00C3578C"/>
    <w:rsid w:val="00C36094"/>
    <w:rsid w:val="00C363B9"/>
    <w:rsid w:val="00C36C10"/>
    <w:rsid w:val="00C36D34"/>
    <w:rsid w:val="00C36DC8"/>
    <w:rsid w:val="00C37F61"/>
    <w:rsid w:val="00C410D1"/>
    <w:rsid w:val="00C4672B"/>
    <w:rsid w:val="00C468E9"/>
    <w:rsid w:val="00C46D5D"/>
    <w:rsid w:val="00C4747B"/>
    <w:rsid w:val="00C50971"/>
    <w:rsid w:val="00C518BE"/>
    <w:rsid w:val="00C52BC8"/>
    <w:rsid w:val="00C52E2C"/>
    <w:rsid w:val="00C54E0A"/>
    <w:rsid w:val="00C55424"/>
    <w:rsid w:val="00C5551A"/>
    <w:rsid w:val="00C55F54"/>
    <w:rsid w:val="00C565EB"/>
    <w:rsid w:val="00C56B47"/>
    <w:rsid w:val="00C5760E"/>
    <w:rsid w:val="00C5770E"/>
    <w:rsid w:val="00C6150A"/>
    <w:rsid w:val="00C6154C"/>
    <w:rsid w:val="00C61594"/>
    <w:rsid w:val="00C620D3"/>
    <w:rsid w:val="00C62AC5"/>
    <w:rsid w:val="00C630AC"/>
    <w:rsid w:val="00C6410B"/>
    <w:rsid w:val="00C64265"/>
    <w:rsid w:val="00C6448D"/>
    <w:rsid w:val="00C64564"/>
    <w:rsid w:val="00C64F92"/>
    <w:rsid w:val="00C658EB"/>
    <w:rsid w:val="00C6664D"/>
    <w:rsid w:val="00C666F1"/>
    <w:rsid w:val="00C66CBE"/>
    <w:rsid w:val="00C67342"/>
    <w:rsid w:val="00C67743"/>
    <w:rsid w:val="00C67A0D"/>
    <w:rsid w:val="00C704C0"/>
    <w:rsid w:val="00C70B92"/>
    <w:rsid w:val="00C7227F"/>
    <w:rsid w:val="00C7284E"/>
    <w:rsid w:val="00C731F5"/>
    <w:rsid w:val="00C73A7C"/>
    <w:rsid w:val="00C73DF2"/>
    <w:rsid w:val="00C73F8B"/>
    <w:rsid w:val="00C7417D"/>
    <w:rsid w:val="00C74DF9"/>
    <w:rsid w:val="00C763CC"/>
    <w:rsid w:val="00C76859"/>
    <w:rsid w:val="00C76C16"/>
    <w:rsid w:val="00C800BF"/>
    <w:rsid w:val="00C80F89"/>
    <w:rsid w:val="00C813DE"/>
    <w:rsid w:val="00C82523"/>
    <w:rsid w:val="00C82B48"/>
    <w:rsid w:val="00C83623"/>
    <w:rsid w:val="00C836D5"/>
    <w:rsid w:val="00C842A2"/>
    <w:rsid w:val="00C850E2"/>
    <w:rsid w:val="00C85781"/>
    <w:rsid w:val="00C85E86"/>
    <w:rsid w:val="00C86BA3"/>
    <w:rsid w:val="00C871A4"/>
    <w:rsid w:val="00C935C3"/>
    <w:rsid w:val="00C93A92"/>
    <w:rsid w:val="00C93C59"/>
    <w:rsid w:val="00C95C76"/>
    <w:rsid w:val="00C95DED"/>
    <w:rsid w:val="00C96196"/>
    <w:rsid w:val="00C96E2F"/>
    <w:rsid w:val="00C9765D"/>
    <w:rsid w:val="00CA011C"/>
    <w:rsid w:val="00CA1CD7"/>
    <w:rsid w:val="00CA34C2"/>
    <w:rsid w:val="00CA3920"/>
    <w:rsid w:val="00CA42E3"/>
    <w:rsid w:val="00CA4517"/>
    <w:rsid w:val="00CA46AB"/>
    <w:rsid w:val="00CA58F5"/>
    <w:rsid w:val="00CA6417"/>
    <w:rsid w:val="00CA66C7"/>
    <w:rsid w:val="00CA7476"/>
    <w:rsid w:val="00CA7ABE"/>
    <w:rsid w:val="00CB0169"/>
    <w:rsid w:val="00CB01EE"/>
    <w:rsid w:val="00CB0364"/>
    <w:rsid w:val="00CB0980"/>
    <w:rsid w:val="00CB16E7"/>
    <w:rsid w:val="00CB1C0A"/>
    <w:rsid w:val="00CB21EF"/>
    <w:rsid w:val="00CB3948"/>
    <w:rsid w:val="00CB3E09"/>
    <w:rsid w:val="00CB4B18"/>
    <w:rsid w:val="00CB4C95"/>
    <w:rsid w:val="00CB6C76"/>
    <w:rsid w:val="00CB6D58"/>
    <w:rsid w:val="00CB7D30"/>
    <w:rsid w:val="00CC03FC"/>
    <w:rsid w:val="00CC05D4"/>
    <w:rsid w:val="00CC40CD"/>
    <w:rsid w:val="00CC494D"/>
    <w:rsid w:val="00CC5012"/>
    <w:rsid w:val="00CC54C1"/>
    <w:rsid w:val="00CC5A0C"/>
    <w:rsid w:val="00CC5E8C"/>
    <w:rsid w:val="00CC6938"/>
    <w:rsid w:val="00CC6B01"/>
    <w:rsid w:val="00CC701F"/>
    <w:rsid w:val="00CD0E49"/>
    <w:rsid w:val="00CD1356"/>
    <w:rsid w:val="00CD1698"/>
    <w:rsid w:val="00CD1B1A"/>
    <w:rsid w:val="00CD23CE"/>
    <w:rsid w:val="00CD25EE"/>
    <w:rsid w:val="00CD2DE7"/>
    <w:rsid w:val="00CD3EED"/>
    <w:rsid w:val="00CD51E0"/>
    <w:rsid w:val="00CD5C1C"/>
    <w:rsid w:val="00CD7068"/>
    <w:rsid w:val="00CD71C8"/>
    <w:rsid w:val="00CE1191"/>
    <w:rsid w:val="00CE168B"/>
    <w:rsid w:val="00CE177A"/>
    <w:rsid w:val="00CE1820"/>
    <w:rsid w:val="00CE213F"/>
    <w:rsid w:val="00CE2279"/>
    <w:rsid w:val="00CE2B79"/>
    <w:rsid w:val="00CE2C00"/>
    <w:rsid w:val="00CE2D60"/>
    <w:rsid w:val="00CE3C9A"/>
    <w:rsid w:val="00CE4CD5"/>
    <w:rsid w:val="00CE6381"/>
    <w:rsid w:val="00CE6AC0"/>
    <w:rsid w:val="00CE755B"/>
    <w:rsid w:val="00CE78E6"/>
    <w:rsid w:val="00CF0663"/>
    <w:rsid w:val="00CF1CEF"/>
    <w:rsid w:val="00CF245C"/>
    <w:rsid w:val="00CF26A3"/>
    <w:rsid w:val="00CF350E"/>
    <w:rsid w:val="00CF38DF"/>
    <w:rsid w:val="00CF3F70"/>
    <w:rsid w:val="00CF4D98"/>
    <w:rsid w:val="00CF5166"/>
    <w:rsid w:val="00CF63C2"/>
    <w:rsid w:val="00CF69AC"/>
    <w:rsid w:val="00CF6FFA"/>
    <w:rsid w:val="00CF723C"/>
    <w:rsid w:val="00CF7693"/>
    <w:rsid w:val="00D000ED"/>
    <w:rsid w:val="00D00E62"/>
    <w:rsid w:val="00D012E6"/>
    <w:rsid w:val="00D016CA"/>
    <w:rsid w:val="00D017BE"/>
    <w:rsid w:val="00D01B03"/>
    <w:rsid w:val="00D031D0"/>
    <w:rsid w:val="00D035A9"/>
    <w:rsid w:val="00D03D6B"/>
    <w:rsid w:val="00D03EEE"/>
    <w:rsid w:val="00D04082"/>
    <w:rsid w:val="00D047F3"/>
    <w:rsid w:val="00D04B61"/>
    <w:rsid w:val="00D063A9"/>
    <w:rsid w:val="00D07096"/>
    <w:rsid w:val="00D07A08"/>
    <w:rsid w:val="00D11C81"/>
    <w:rsid w:val="00D11DAA"/>
    <w:rsid w:val="00D11EEA"/>
    <w:rsid w:val="00D1208F"/>
    <w:rsid w:val="00D133EA"/>
    <w:rsid w:val="00D1593E"/>
    <w:rsid w:val="00D17126"/>
    <w:rsid w:val="00D20B0D"/>
    <w:rsid w:val="00D21E42"/>
    <w:rsid w:val="00D21F82"/>
    <w:rsid w:val="00D24132"/>
    <w:rsid w:val="00D24153"/>
    <w:rsid w:val="00D24548"/>
    <w:rsid w:val="00D257F7"/>
    <w:rsid w:val="00D25BE4"/>
    <w:rsid w:val="00D26276"/>
    <w:rsid w:val="00D26338"/>
    <w:rsid w:val="00D26E98"/>
    <w:rsid w:val="00D27718"/>
    <w:rsid w:val="00D30081"/>
    <w:rsid w:val="00D30C4A"/>
    <w:rsid w:val="00D30D19"/>
    <w:rsid w:val="00D31AC2"/>
    <w:rsid w:val="00D31AE6"/>
    <w:rsid w:val="00D31F92"/>
    <w:rsid w:val="00D340C2"/>
    <w:rsid w:val="00D343B2"/>
    <w:rsid w:val="00D3532B"/>
    <w:rsid w:val="00D35DA5"/>
    <w:rsid w:val="00D37211"/>
    <w:rsid w:val="00D376C1"/>
    <w:rsid w:val="00D41B5E"/>
    <w:rsid w:val="00D41E2F"/>
    <w:rsid w:val="00D42D09"/>
    <w:rsid w:val="00D4301D"/>
    <w:rsid w:val="00D43181"/>
    <w:rsid w:val="00D4425D"/>
    <w:rsid w:val="00D4450E"/>
    <w:rsid w:val="00D457F1"/>
    <w:rsid w:val="00D45CE3"/>
    <w:rsid w:val="00D47FA2"/>
    <w:rsid w:val="00D50345"/>
    <w:rsid w:val="00D504AF"/>
    <w:rsid w:val="00D5330D"/>
    <w:rsid w:val="00D53FF7"/>
    <w:rsid w:val="00D54A7A"/>
    <w:rsid w:val="00D553ED"/>
    <w:rsid w:val="00D5549E"/>
    <w:rsid w:val="00D5567C"/>
    <w:rsid w:val="00D56886"/>
    <w:rsid w:val="00D57009"/>
    <w:rsid w:val="00D60003"/>
    <w:rsid w:val="00D6050A"/>
    <w:rsid w:val="00D60528"/>
    <w:rsid w:val="00D61081"/>
    <w:rsid w:val="00D610D2"/>
    <w:rsid w:val="00D6123B"/>
    <w:rsid w:val="00D6182B"/>
    <w:rsid w:val="00D630C5"/>
    <w:rsid w:val="00D65FAC"/>
    <w:rsid w:val="00D66EE5"/>
    <w:rsid w:val="00D71451"/>
    <w:rsid w:val="00D72441"/>
    <w:rsid w:val="00D72ADC"/>
    <w:rsid w:val="00D72BA6"/>
    <w:rsid w:val="00D72FD9"/>
    <w:rsid w:val="00D736FF"/>
    <w:rsid w:val="00D7397C"/>
    <w:rsid w:val="00D74B2C"/>
    <w:rsid w:val="00D753F1"/>
    <w:rsid w:val="00D7728C"/>
    <w:rsid w:val="00D77F1F"/>
    <w:rsid w:val="00D8005B"/>
    <w:rsid w:val="00D800C7"/>
    <w:rsid w:val="00D8163E"/>
    <w:rsid w:val="00D81CB6"/>
    <w:rsid w:val="00D83F66"/>
    <w:rsid w:val="00D84429"/>
    <w:rsid w:val="00D84D51"/>
    <w:rsid w:val="00D85B44"/>
    <w:rsid w:val="00D8698C"/>
    <w:rsid w:val="00D86CE5"/>
    <w:rsid w:val="00D87304"/>
    <w:rsid w:val="00D8746E"/>
    <w:rsid w:val="00D87AF6"/>
    <w:rsid w:val="00D87CA6"/>
    <w:rsid w:val="00D9071B"/>
    <w:rsid w:val="00D90740"/>
    <w:rsid w:val="00D91B1D"/>
    <w:rsid w:val="00D937B0"/>
    <w:rsid w:val="00D951D2"/>
    <w:rsid w:val="00D96D8D"/>
    <w:rsid w:val="00D9781D"/>
    <w:rsid w:val="00D97CCD"/>
    <w:rsid w:val="00DA0936"/>
    <w:rsid w:val="00DA11D1"/>
    <w:rsid w:val="00DA14A8"/>
    <w:rsid w:val="00DA1B70"/>
    <w:rsid w:val="00DA23DC"/>
    <w:rsid w:val="00DA26FE"/>
    <w:rsid w:val="00DA3DE4"/>
    <w:rsid w:val="00DA51AD"/>
    <w:rsid w:val="00DA7373"/>
    <w:rsid w:val="00DB06DD"/>
    <w:rsid w:val="00DB1138"/>
    <w:rsid w:val="00DB2161"/>
    <w:rsid w:val="00DB28B7"/>
    <w:rsid w:val="00DB2E78"/>
    <w:rsid w:val="00DB3929"/>
    <w:rsid w:val="00DB40FD"/>
    <w:rsid w:val="00DB5075"/>
    <w:rsid w:val="00DB52F8"/>
    <w:rsid w:val="00DB5BAD"/>
    <w:rsid w:val="00DB733D"/>
    <w:rsid w:val="00DC0027"/>
    <w:rsid w:val="00DC046E"/>
    <w:rsid w:val="00DC0616"/>
    <w:rsid w:val="00DC0B7E"/>
    <w:rsid w:val="00DC1426"/>
    <w:rsid w:val="00DC1A0D"/>
    <w:rsid w:val="00DC4563"/>
    <w:rsid w:val="00DC607F"/>
    <w:rsid w:val="00DC644A"/>
    <w:rsid w:val="00DC7D47"/>
    <w:rsid w:val="00DD0151"/>
    <w:rsid w:val="00DD1BAB"/>
    <w:rsid w:val="00DD1DDF"/>
    <w:rsid w:val="00DD1EC3"/>
    <w:rsid w:val="00DD2076"/>
    <w:rsid w:val="00DD209E"/>
    <w:rsid w:val="00DD249B"/>
    <w:rsid w:val="00DD2E59"/>
    <w:rsid w:val="00DD385F"/>
    <w:rsid w:val="00DD3B2F"/>
    <w:rsid w:val="00DD3C36"/>
    <w:rsid w:val="00DD442C"/>
    <w:rsid w:val="00DD487F"/>
    <w:rsid w:val="00DD521D"/>
    <w:rsid w:val="00DD6A49"/>
    <w:rsid w:val="00DD746E"/>
    <w:rsid w:val="00DD7742"/>
    <w:rsid w:val="00DD7EF3"/>
    <w:rsid w:val="00DE19EB"/>
    <w:rsid w:val="00DE1B5D"/>
    <w:rsid w:val="00DE1D2C"/>
    <w:rsid w:val="00DE2239"/>
    <w:rsid w:val="00DE2B6B"/>
    <w:rsid w:val="00DE2DFD"/>
    <w:rsid w:val="00DE4BCD"/>
    <w:rsid w:val="00DE6595"/>
    <w:rsid w:val="00DF03BB"/>
    <w:rsid w:val="00DF0B13"/>
    <w:rsid w:val="00DF0FD7"/>
    <w:rsid w:val="00DF0FEA"/>
    <w:rsid w:val="00DF12E3"/>
    <w:rsid w:val="00DF1E3E"/>
    <w:rsid w:val="00DF1FBB"/>
    <w:rsid w:val="00DF430D"/>
    <w:rsid w:val="00DF441D"/>
    <w:rsid w:val="00DF4952"/>
    <w:rsid w:val="00DF5B87"/>
    <w:rsid w:val="00DF5C3D"/>
    <w:rsid w:val="00DF6367"/>
    <w:rsid w:val="00DF7933"/>
    <w:rsid w:val="00DF799F"/>
    <w:rsid w:val="00DF7A05"/>
    <w:rsid w:val="00E002DE"/>
    <w:rsid w:val="00E006B6"/>
    <w:rsid w:val="00E0080F"/>
    <w:rsid w:val="00E02269"/>
    <w:rsid w:val="00E02B4F"/>
    <w:rsid w:val="00E03577"/>
    <w:rsid w:val="00E03A02"/>
    <w:rsid w:val="00E03F23"/>
    <w:rsid w:val="00E06A26"/>
    <w:rsid w:val="00E06AD6"/>
    <w:rsid w:val="00E072F7"/>
    <w:rsid w:val="00E07AAE"/>
    <w:rsid w:val="00E07E09"/>
    <w:rsid w:val="00E11512"/>
    <w:rsid w:val="00E1184C"/>
    <w:rsid w:val="00E118B9"/>
    <w:rsid w:val="00E12222"/>
    <w:rsid w:val="00E12290"/>
    <w:rsid w:val="00E1233C"/>
    <w:rsid w:val="00E1257B"/>
    <w:rsid w:val="00E13009"/>
    <w:rsid w:val="00E13393"/>
    <w:rsid w:val="00E13B6F"/>
    <w:rsid w:val="00E15C22"/>
    <w:rsid w:val="00E1697E"/>
    <w:rsid w:val="00E16BBA"/>
    <w:rsid w:val="00E177A4"/>
    <w:rsid w:val="00E20CBA"/>
    <w:rsid w:val="00E22500"/>
    <w:rsid w:val="00E22F68"/>
    <w:rsid w:val="00E236F4"/>
    <w:rsid w:val="00E23819"/>
    <w:rsid w:val="00E24FB3"/>
    <w:rsid w:val="00E25068"/>
    <w:rsid w:val="00E2557A"/>
    <w:rsid w:val="00E25D81"/>
    <w:rsid w:val="00E26AF2"/>
    <w:rsid w:val="00E26FAE"/>
    <w:rsid w:val="00E2762E"/>
    <w:rsid w:val="00E27EFA"/>
    <w:rsid w:val="00E303E0"/>
    <w:rsid w:val="00E30408"/>
    <w:rsid w:val="00E30FC7"/>
    <w:rsid w:val="00E320DA"/>
    <w:rsid w:val="00E32B86"/>
    <w:rsid w:val="00E32D30"/>
    <w:rsid w:val="00E32E15"/>
    <w:rsid w:val="00E33548"/>
    <w:rsid w:val="00E33AC2"/>
    <w:rsid w:val="00E33AD1"/>
    <w:rsid w:val="00E33F8E"/>
    <w:rsid w:val="00E3565F"/>
    <w:rsid w:val="00E3580C"/>
    <w:rsid w:val="00E35CBE"/>
    <w:rsid w:val="00E3615D"/>
    <w:rsid w:val="00E400BB"/>
    <w:rsid w:val="00E40516"/>
    <w:rsid w:val="00E405F5"/>
    <w:rsid w:val="00E4083F"/>
    <w:rsid w:val="00E40CC0"/>
    <w:rsid w:val="00E41521"/>
    <w:rsid w:val="00E42668"/>
    <w:rsid w:val="00E42B00"/>
    <w:rsid w:val="00E43FF0"/>
    <w:rsid w:val="00E44698"/>
    <w:rsid w:val="00E44F0D"/>
    <w:rsid w:val="00E455F5"/>
    <w:rsid w:val="00E456A8"/>
    <w:rsid w:val="00E45970"/>
    <w:rsid w:val="00E467A9"/>
    <w:rsid w:val="00E469C3"/>
    <w:rsid w:val="00E47885"/>
    <w:rsid w:val="00E47B24"/>
    <w:rsid w:val="00E47B79"/>
    <w:rsid w:val="00E52AC3"/>
    <w:rsid w:val="00E5309B"/>
    <w:rsid w:val="00E53133"/>
    <w:rsid w:val="00E53849"/>
    <w:rsid w:val="00E538D9"/>
    <w:rsid w:val="00E53D0E"/>
    <w:rsid w:val="00E53E04"/>
    <w:rsid w:val="00E54270"/>
    <w:rsid w:val="00E547ED"/>
    <w:rsid w:val="00E554A9"/>
    <w:rsid w:val="00E56197"/>
    <w:rsid w:val="00E56850"/>
    <w:rsid w:val="00E56B69"/>
    <w:rsid w:val="00E57014"/>
    <w:rsid w:val="00E572B4"/>
    <w:rsid w:val="00E57F94"/>
    <w:rsid w:val="00E60310"/>
    <w:rsid w:val="00E60CAE"/>
    <w:rsid w:val="00E617C1"/>
    <w:rsid w:val="00E61935"/>
    <w:rsid w:val="00E62EB1"/>
    <w:rsid w:val="00E631B9"/>
    <w:rsid w:val="00E6358A"/>
    <w:rsid w:val="00E63CB4"/>
    <w:rsid w:val="00E64173"/>
    <w:rsid w:val="00E6495B"/>
    <w:rsid w:val="00E6514B"/>
    <w:rsid w:val="00E66440"/>
    <w:rsid w:val="00E666FB"/>
    <w:rsid w:val="00E6695E"/>
    <w:rsid w:val="00E66A42"/>
    <w:rsid w:val="00E66C0C"/>
    <w:rsid w:val="00E7153C"/>
    <w:rsid w:val="00E71B13"/>
    <w:rsid w:val="00E71DC2"/>
    <w:rsid w:val="00E72564"/>
    <w:rsid w:val="00E73425"/>
    <w:rsid w:val="00E7379C"/>
    <w:rsid w:val="00E74359"/>
    <w:rsid w:val="00E749DD"/>
    <w:rsid w:val="00E76266"/>
    <w:rsid w:val="00E76642"/>
    <w:rsid w:val="00E76D8C"/>
    <w:rsid w:val="00E77E0E"/>
    <w:rsid w:val="00E81457"/>
    <w:rsid w:val="00E821D7"/>
    <w:rsid w:val="00E8274E"/>
    <w:rsid w:val="00E82BC5"/>
    <w:rsid w:val="00E83CD4"/>
    <w:rsid w:val="00E85AD0"/>
    <w:rsid w:val="00E87A9C"/>
    <w:rsid w:val="00E87B7D"/>
    <w:rsid w:val="00E9045F"/>
    <w:rsid w:val="00E920C5"/>
    <w:rsid w:val="00E934A6"/>
    <w:rsid w:val="00E94FAC"/>
    <w:rsid w:val="00E97011"/>
    <w:rsid w:val="00E97303"/>
    <w:rsid w:val="00E978B5"/>
    <w:rsid w:val="00E97D98"/>
    <w:rsid w:val="00EA0048"/>
    <w:rsid w:val="00EA0096"/>
    <w:rsid w:val="00EA0692"/>
    <w:rsid w:val="00EA1466"/>
    <w:rsid w:val="00EA3363"/>
    <w:rsid w:val="00EA34B8"/>
    <w:rsid w:val="00EA3E7A"/>
    <w:rsid w:val="00EA3FD8"/>
    <w:rsid w:val="00EA425E"/>
    <w:rsid w:val="00EA4330"/>
    <w:rsid w:val="00EA4F4E"/>
    <w:rsid w:val="00EA5261"/>
    <w:rsid w:val="00EA5EB5"/>
    <w:rsid w:val="00EA5EFF"/>
    <w:rsid w:val="00EA74CD"/>
    <w:rsid w:val="00EA7D9F"/>
    <w:rsid w:val="00EB196C"/>
    <w:rsid w:val="00EB2525"/>
    <w:rsid w:val="00EB2541"/>
    <w:rsid w:val="00EB2A4D"/>
    <w:rsid w:val="00EB349C"/>
    <w:rsid w:val="00EB574C"/>
    <w:rsid w:val="00EB5D91"/>
    <w:rsid w:val="00EB703B"/>
    <w:rsid w:val="00EB73AE"/>
    <w:rsid w:val="00EC014C"/>
    <w:rsid w:val="00EC1679"/>
    <w:rsid w:val="00EC20D0"/>
    <w:rsid w:val="00EC2129"/>
    <w:rsid w:val="00EC24FD"/>
    <w:rsid w:val="00EC2961"/>
    <w:rsid w:val="00EC2DED"/>
    <w:rsid w:val="00EC3504"/>
    <w:rsid w:val="00EC395D"/>
    <w:rsid w:val="00EC57DE"/>
    <w:rsid w:val="00EC66F2"/>
    <w:rsid w:val="00EC7A06"/>
    <w:rsid w:val="00EC7A72"/>
    <w:rsid w:val="00EC7B7C"/>
    <w:rsid w:val="00ED0D1D"/>
    <w:rsid w:val="00ED12BE"/>
    <w:rsid w:val="00ED3597"/>
    <w:rsid w:val="00ED485F"/>
    <w:rsid w:val="00ED5598"/>
    <w:rsid w:val="00ED5AF8"/>
    <w:rsid w:val="00ED5EA1"/>
    <w:rsid w:val="00ED6004"/>
    <w:rsid w:val="00ED6B1B"/>
    <w:rsid w:val="00EE02CF"/>
    <w:rsid w:val="00EE0AAC"/>
    <w:rsid w:val="00EE11DA"/>
    <w:rsid w:val="00EE15B3"/>
    <w:rsid w:val="00EE1BC5"/>
    <w:rsid w:val="00EE22EA"/>
    <w:rsid w:val="00EE2345"/>
    <w:rsid w:val="00EE2B66"/>
    <w:rsid w:val="00EE2E28"/>
    <w:rsid w:val="00EE3FF2"/>
    <w:rsid w:val="00EE417F"/>
    <w:rsid w:val="00EE470A"/>
    <w:rsid w:val="00EE47E7"/>
    <w:rsid w:val="00EE564A"/>
    <w:rsid w:val="00EE58BF"/>
    <w:rsid w:val="00EE5CCD"/>
    <w:rsid w:val="00EE612C"/>
    <w:rsid w:val="00EE6BDC"/>
    <w:rsid w:val="00EE715C"/>
    <w:rsid w:val="00EE7EA8"/>
    <w:rsid w:val="00EF132F"/>
    <w:rsid w:val="00EF1652"/>
    <w:rsid w:val="00EF1C0D"/>
    <w:rsid w:val="00EF24DD"/>
    <w:rsid w:val="00EF2524"/>
    <w:rsid w:val="00EF2C0A"/>
    <w:rsid w:val="00EF358F"/>
    <w:rsid w:val="00EF3763"/>
    <w:rsid w:val="00EF5884"/>
    <w:rsid w:val="00EF5A30"/>
    <w:rsid w:val="00EF5F03"/>
    <w:rsid w:val="00EF636C"/>
    <w:rsid w:val="00EF66DD"/>
    <w:rsid w:val="00EF66E3"/>
    <w:rsid w:val="00F00E12"/>
    <w:rsid w:val="00F012B1"/>
    <w:rsid w:val="00F01C3C"/>
    <w:rsid w:val="00F0291D"/>
    <w:rsid w:val="00F029D8"/>
    <w:rsid w:val="00F02B44"/>
    <w:rsid w:val="00F040FF"/>
    <w:rsid w:val="00F04D5D"/>
    <w:rsid w:val="00F0706C"/>
    <w:rsid w:val="00F07277"/>
    <w:rsid w:val="00F101F8"/>
    <w:rsid w:val="00F11128"/>
    <w:rsid w:val="00F1151B"/>
    <w:rsid w:val="00F116A3"/>
    <w:rsid w:val="00F1181C"/>
    <w:rsid w:val="00F11FB1"/>
    <w:rsid w:val="00F125F3"/>
    <w:rsid w:val="00F14514"/>
    <w:rsid w:val="00F14885"/>
    <w:rsid w:val="00F148B2"/>
    <w:rsid w:val="00F15895"/>
    <w:rsid w:val="00F15C6C"/>
    <w:rsid w:val="00F16673"/>
    <w:rsid w:val="00F1780A"/>
    <w:rsid w:val="00F17D1A"/>
    <w:rsid w:val="00F17D5E"/>
    <w:rsid w:val="00F17FDA"/>
    <w:rsid w:val="00F2011D"/>
    <w:rsid w:val="00F21D35"/>
    <w:rsid w:val="00F2207E"/>
    <w:rsid w:val="00F22455"/>
    <w:rsid w:val="00F236B4"/>
    <w:rsid w:val="00F23E53"/>
    <w:rsid w:val="00F23E72"/>
    <w:rsid w:val="00F24237"/>
    <w:rsid w:val="00F248A4"/>
    <w:rsid w:val="00F2523B"/>
    <w:rsid w:val="00F252A7"/>
    <w:rsid w:val="00F264CE"/>
    <w:rsid w:val="00F27031"/>
    <w:rsid w:val="00F2703C"/>
    <w:rsid w:val="00F27082"/>
    <w:rsid w:val="00F270E6"/>
    <w:rsid w:val="00F271C9"/>
    <w:rsid w:val="00F2721B"/>
    <w:rsid w:val="00F27246"/>
    <w:rsid w:val="00F274BF"/>
    <w:rsid w:val="00F27A32"/>
    <w:rsid w:val="00F27D23"/>
    <w:rsid w:val="00F30D97"/>
    <w:rsid w:val="00F30F36"/>
    <w:rsid w:val="00F314A9"/>
    <w:rsid w:val="00F31E9E"/>
    <w:rsid w:val="00F3213A"/>
    <w:rsid w:val="00F3274E"/>
    <w:rsid w:val="00F33539"/>
    <w:rsid w:val="00F345F1"/>
    <w:rsid w:val="00F3462E"/>
    <w:rsid w:val="00F34A8B"/>
    <w:rsid w:val="00F356A6"/>
    <w:rsid w:val="00F35DF9"/>
    <w:rsid w:val="00F35F9A"/>
    <w:rsid w:val="00F3693E"/>
    <w:rsid w:val="00F36A29"/>
    <w:rsid w:val="00F3738D"/>
    <w:rsid w:val="00F40CF0"/>
    <w:rsid w:val="00F42046"/>
    <w:rsid w:val="00F45218"/>
    <w:rsid w:val="00F456DC"/>
    <w:rsid w:val="00F465C8"/>
    <w:rsid w:val="00F47F47"/>
    <w:rsid w:val="00F50386"/>
    <w:rsid w:val="00F50E37"/>
    <w:rsid w:val="00F5182F"/>
    <w:rsid w:val="00F521A6"/>
    <w:rsid w:val="00F531FC"/>
    <w:rsid w:val="00F53B45"/>
    <w:rsid w:val="00F541B9"/>
    <w:rsid w:val="00F54486"/>
    <w:rsid w:val="00F54A4A"/>
    <w:rsid w:val="00F56EAB"/>
    <w:rsid w:val="00F572B7"/>
    <w:rsid w:val="00F5753F"/>
    <w:rsid w:val="00F57559"/>
    <w:rsid w:val="00F60B73"/>
    <w:rsid w:val="00F60D93"/>
    <w:rsid w:val="00F615A1"/>
    <w:rsid w:val="00F61A9E"/>
    <w:rsid w:val="00F63681"/>
    <w:rsid w:val="00F640BE"/>
    <w:rsid w:val="00F64156"/>
    <w:rsid w:val="00F6431A"/>
    <w:rsid w:val="00F64B7F"/>
    <w:rsid w:val="00F65784"/>
    <w:rsid w:val="00F65FBE"/>
    <w:rsid w:val="00F679DA"/>
    <w:rsid w:val="00F70979"/>
    <w:rsid w:val="00F70FCE"/>
    <w:rsid w:val="00F71B43"/>
    <w:rsid w:val="00F71F72"/>
    <w:rsid w:val="00F73811"/>
    <w:rsid w:val="00F75AE6"/>
    <w:rsid w:val="00F7637F"/>
    <w:rsid w:val="00F766DA"/>
    <w:rsid w:val="00F77BA2"/>
    <w:rsid w:val="00F8053B"/>
    <w:rsid w:val="00F81F7D"/>
    <w:rsid w:val="00F83154"/>
    <w:rsid w:val="00F832D3"/>
    <w:rsid w:val="00F837CC"/>
    <w:rsid w:val="00F84107"/>
    <w:rsid w:val="00F86236"/>
    <w:rsid w:val="00F87A0D"/>
    <w:rsid w:val="00F90C47"/>
    <w:rsid w:val="00F923E9"/>
    <w:rsid w:val="00F9259A"/>
    <w:rsid w:val="00F92DC1"/>
    <w:rsid w:val="00F93BCE"/>
    <w:rsid w:val="00F93DA4"/>
    <w:rsid w:val="00F9555C"/>
    <w:rsid w:val="00F95C6D"/>
    <w:rsid w:val="00F9642C"/>
    <w:rsid w:val="00F9738A"/>
    <w:rsid w:val="00F974F3"/>
    <w:rsid w:val="00F97B20"/>
    <w:rsid w:val="00FA1842"/>
    <w:rsid w:val="00FA29EF"/>
    <w:rsid w:val="00FA2C11"/>
    <w:rsid w:val="00FA30A5"/>
    <w:rsid w:val="00FA3709"/>
    <w:rsid w:val="00FA3993"/>
    <w:rsid w:val="00FA3EA5"/>
    <w:rsid w:val="00FA43C2"/>
    <w:rsid w:val="00FA4F5E"/>
    <w:rsid w:val="00FA57ED"/>
    <w:rsid w:val="00FA6496"/>
    <w:rsid w:val="00FA6A77"/>
    <w:rsid w:val="00FB03BD"/>
    <w:rsid w:val="00FB11A0"/>
    <w:rsid w:val="00FB14FE"/>
    <w:rsid w:val="00FB265B"/>
    <w:rsid w:val="00FB3FE6"/>
    <w:rsid w:val="00FB4C94"/>
    <w:rsid w:val="00FB5CF8"/>
    <w:rsid w:val="00FB6DAF"/>
    <w:rsid w:val="00FC044C"/>
    <w:rsid w:val="00FC0A4B"/>
    <w:rsid w:val="00FC2E65"/>
    <w:rsid w:val="00FC3AFF"/>
    <w:rsid w:val="00FC4494"/>
    <w:rsid w:val="00FC4AFC"/>
    <w:rsid w:val="00FD0974"/>
    <w:rsid w:val="00FD188A"/>
    <w:rsid w:val="00FD1905"/>
    <w:rsid w:val="00FD1C7E"/>
    <w:rsid w:val="00FD434A"/>
    <w:rsid w:val="00FD4C67"/>
    <w:rsid w:val="00FD4E6D"/>
    <w:rsid w:val="00FD5259"/>
    <w:rsid w:val="00FD71D1"/>
    <w:rsid w:val="00FD7988"/>
    <w:rsid w:val="00FE03A0"/>
    <w:rsid w:val="00FE12B4"/>
    <w:rsid w:val="00FE1AD5"/>
    <w:rsid w:val="00FE1E56"/>
    <w:rsid w:val="00FE211E"/>
    <w:rsid w:val="00FE2603"/>
    <w:rsid w:val="00FE3B6E"/>
    <w:rsid w:val="00FE3D17"/>
    <w:rsid w:val="00FE6443"/>
    <w:rsid w:val="00FE6685"/>
    <w:rsid w:val="00FE6C9C"/>
    <w:rsid w:val="00FE7213"/>
    <w:rsid w:val="00FE7C9C"/>
    <w:rsid w:val="00FF0154"/>
    <w:rsid w:val="00FF20A4"/>
    <w:rsid w:val="00FF2B7D"/>
    <w:rsid w:val="00FF2DBC"/>
    <w:rsid w:val="00FF3581"/>
    <w:rsid w:val="00FF425C"/>
    <w:rsid w:val="00FF57AF"/>
    <w:rsid w:val="00FF68DD"/>
    <w:rsid w:val="00FF7858"/>
    <w:rsid w:val="011F478E"/>
    <w:rsid w:val="013A1130"/>
    <w:rsid w:val="01414658"/>
    <w:rsid w:val="01474512"/>
    <w:rsid w:val="015B30EE"/>
    <w:rsid w:val="01B53780"/>
    <w:rsid w:val="01BF364C"/>
    <w:rsid w:val="01E950D4"/>
    <w:rsid w:val="01F63744"/>
    <w:rsid w:val="0222615D"/>
    <w:rsid w:val="02236824"/>
    <w:rsid w:val="022D4BC3"/>
    <w:rsid w:val="028426B0"/>
    <w:rsid w:val="031B2597"/>
    <w:rsid w:val="038A4E5A"/>
    <w:rsid w:val="03AB679F"/>
    <w:rsid w:val="03B875A9"/>
    <w:rsid w:val="03D012A8"/>
    <w:rsid w:val="03D73C4B"/>
    <w:rsid w:val="041451F9"/>
    <w:rsid w:val="0476464C"/>
    <w:rsid w:val="04AA2DF7"/>
    <w:rsid w:val="04BF387D"/>
    <w:rsid w:val="04F824D0"/>
    <w:rsid w:val="04F92F58"/>
    <w:rsid w:val="050C1B34"/>
    <w:rsid w:val="050E5F9C"/>
    <w:rsid w:val="05713656"/>
    <w:rsid w:val="05795B3E"/>
    <w:rsid w:val="057D35B7"/>
    <w:rsid w:val="059B3AAE"/>
    <w:rsid w:val="05B74D88"/>
    <w:rsid w:val="05C86530"/>
    <w:rsid w:val="05E70A8D"/>
    <w:rsid w:val="05F05689"/>
    <w:rsid w:val="062B4BF2"/>
    <w:rsid w:val="0686670B"/>
    <w:rsid w:val="06984505"/>
    <w:rsid w:val="07166970"/>
    <w:rsid w:val="073E1BD9"/>
    <w:rsid w:val="07550A0D"/>
    <w:rsid w:val="076013E0"/>
    <w:rsid w:val="077D2D70"/>
    <w:rsid w:val="07905D5A"/>
    <w:rsid w:val="07F54BC0"/>
    <w:rsid w:val="081E113D"/>
    <w:rsid w:val="082008CE"/>
    <w:rsid w:val="084271A3"/>
    <w:rsid w:val="084E3529"/>
    <w:rsid w:val="08732BE6"/>
    <w:rsid w:val="08953074"/>
    <w:rsid w:val="08953FD7"/>
    <w:rsid w:val="08EE643E"/>
    <w:rsid w:val="092B438D"/>
    <w:rsid w:val="09652A3B"/>
    <w:rsid w:val="096B180A"/>
    <w:rsid w:val="09705438"/>
    <w:rsid w:val="097C6C10"/>
    <w:rsid w:val="09933D81"/>
    <w:rsid w:val="09A600A3"/>
    <w:rsid w:val="09A815EF"/>
    <w:rsid w:val="09BF0A5F"/>
    <w:rsid w:val="09E7370B"/>
    <w:rsid w:val="09FF14CE"/>
    <w:rsid w:val="0A26422C"/>
    <w:rsid w:val="0A800311"/>
    <w:rsid w:val="0A99181D"/>
    <w:rsid w:val="0A9C614A"/>
    <w:rsid w:val="0AFD778B"/>
    <w:rsid w:val="0B3003D8"/>
    <w:rsid w:val="0B6D3222"/>
    <w:rsid w:val="0B9C55C0"/>
    <w:rsid w:val="0BA421A8"/>
    <w:rsid w:val="0BB42AF6"/>
    <w:rsid w:val="0BCF050F"/>
    <w:rsid w:val="0C1434FE"/>
    <w:rsid w:val="0C596928"/>
    <w:rsid w:val="0C660B78"/>
    <w:rsid w:val="0C7E6025"/>
    <w:rsid w:val="0CA641DD"/>
    <w:rsid w:val="0CC60B6C"/>
    <w:rsid w:val="0D0A5D09"/>
    <w:rsid w:val="0D2155A8"/>
    <w:rsid w:val="0D221DDF"/>
    <w:rsid w:val="0D533931"/>
    <w:rsid w:val="0D8060B5"/>
    <w:rsid w:val="0DC336E3"/>
    <w:rsid w:val="0DDD37ED"/>
    <w:rsid w:val="0E0A7653"/>
    <w:rsid w:val="0E1507A0"/>
    <w:rsid w:val="0E475C67"/>
    <w:rsid w:val="0E7526B5"/>
    <w:rsid w:val="0ECC765A"/>
    <w:rsid w:val="0EDB5CFB"/>
    <w:rsid w:val="0F0C458B"/>
    <w:rsid w:val="0F0F024B"/>
    <w:rsid w:val="0F5F2017"/>
    <w:rsid w:val="0F5F78EA"/>
    <w:rsid w:val="0FDE1BE5"/>
    <w:rsid w:val="0FE9305A"/>
    <w:rsid w:val="0FEF7C0A"/>
    <w:rsid w:val="10175EDA"/>
    <w:rsid w:val="10435247"/>
    <w:rsid w:val="10637A13"/>
    <w:rsid w:val="10817ED7"/>
    <w:rsid w:val="10DA2738"/>
    <w:rsid w:val="10F10C20"/>
    <w:rsid w:val="11647498"/>
    <w:rsid w:val="116E79F0"/>
    <w:rsid w:val="118A0495"/>
    <w:rsid w:val="119F5EB8"/>
    <w:rsid w:val="11B72F56"/>
    <w:rsid w:val="11D3202B"/>
    <w:rsid w:val="125E6002"/>
    <w:rsid w:val="12732B87"/>
    <w:rsid w:val="1296776D"/>
    <w:rsid w:val="12BF62B6"/>
    <w:rsid w:val="12C742F7"/>
    <w:rsid w:val="12DB4336"/>
    <w:rsid w:val="12F05378"/>
    <w:rsid w:val="12F56050"/>
    <w:rsid w:val="130A06A1"/>
    <w:rsid w:val="130B0F8E"/>
    <w:rsid w:val="132C75E5"/>
    <w:rsid w:val="138A677A"/>
    <w:rsid w:val="13920C1B"/>
    <w:rsid w:val="139E7937"/>
    <w:rsid w:val="13BC3585"/>
    <w:rsid w:val="13C30A2F"/>
    <w:rsid w:val="143762B6"/>
    <w:rsid w:val="14DB3B34"/>
    <w:rsid w:val="14E043C3"/>
    <w:rsid w:val="1515263B"/>
    <w:rsid w:val="15182ED1"/>
    <w:rsid w:val="1524417A"/>
    <w:rsid w:val="15270CC8"/>
    <w:rsid w:val="153F7393"/>
    <w:rsid w:val="154E2C8D"/>
    <w:rsid w:val="159D60AA"/>
    <w:rsid w:val="160E074B"/>
    <w:rsid w:val="161533F4"/>
    <w:rsid w:val="164B1687"/>
    <w:rsid w:val="165E3383"/>
    <w:rsid w:val="166321E2"/>
    <w:rsid w:val="166951DF"/>
    <w:rsid w:val="166F55AD"/>
    <w:rsid w:val="168A7548"/>
    <w:rsid w:val="168E35F3"/>
    <w:rsid w:val="16A042E2"/>
    <w:rsid w:val="16D6369B"/>
    <w:rsid w:val="16D704B9"/>
    <w:rsid w:val="170C0021"/>
    <w:rsid w:val="175D1EAE"/>
    <w:rsid w:val="178072CB"/>
    <w:rsid w:val="178B077E"/>
    <w:rsid w:val="17C5097C"/>
    <w:rsid w:val="17CD7F2C"/>
    <w:rsid w:val="17F220A2"/>
    <w:rsid w:val="17FA4F98"/>
    <w:rsid w:val="180E1CDE"/>
    <w:rsid w:val="183220F4"/>
    <w:rsid w:val="18A37E82"/>
    <w:rsid w:val="18A60350"/>
    <w:rsid w:val="18AC3253"/>
    <w:rsid w:val="18B629AF"/>
    <w:rsid w:val="18B814D1"/>
    <w:rsid w:val="18C01770"/>
    <w:rsid w:val="190E697D"/>
    <w:rsid w:val="194444AB"/>
    <w:rsid w:val="19503D2D"/>
    <w:rsid w:val="196C1CF0"/>
    <w:rsid w:val="1A15511C"/>
    <w:rsid w:val="1A4C04ED"/>
    <w:rsid w:val="1A4D7C55"/>
    <w:rsid w:val="1A5D6BD9"/>
    <w:rsid w:val="1A7549DA"/>
    <w:rsid w:val="1AA33CBC"/>
    <w:rsid w:val="1AF95386"/>
    <w:rsid w:val="1B1C2D2D"/>
    <w:rsid w:val="1B30632B"/>
    <w:rsid w:val="1B3262A6"/>
    <w:rsid w:val="1B3D3845"/>
    <w:rsid w:val="1B4B4845"/>
    <w:rsid w:val="1B6273E1"/>
    <w:rsid w:val="1BA04486"/>
    <w:rsid w:val="1BE95AA6"/>
    <w:rsid w:val="1C1E6B79"/>
    <w:rsid w:val="1C66496D"/>
    <w:rsid w:val="1CE31FD5"/>
    <w:rsid w:val="1D49300A"/>
    <w:rsid w:val="1D6C20DF"/>
    <w:rsid w:val="1D8D1246"/>
    <w:rsid w:val="1E491587"/>
    <w:rsid w:val="1E8933F5"/>
    <w:rsid w:val="1EBF464D"/>
    <w:rsid w:val="1EC16D2C"/>
    <w:rsid w:val="1EC835CB"/>
    <w:rsid w:val="1EF160BB"/>
    <w:rsid w:val="1F2C7FBC"/>
    <w:rsid w:val="1F5F1D69"/>
    <w:rsid w:val="1FF76471"/>
    <w:rsid w:val="201574A1"/>
    <w:rsid w:val="202368F5"/>
    <w:rsid w:val="203505B5"/>
    <w:rsid w:val="20376A0E"/>
    <w:rsid w:val="203E3C53"/>
    <w:rsid w:val="206F2642"/>
    <w:rsid w:val="20822DE8"/>
    <w:rsid w:val="208E6AB2"/>
    <w:rsid w:val="20B2493E"/>
    <w:rsid w:val="20CB5CFA"/>
    <w:rsid w:val="20CC07CE"/>
    <w:rsid w:val="212A7045"/>
    <w:rsid w:val="21325E8A"/>
    <w:rsid w:val="21560235"/>
    <w:rsid w:val="21913DBA"/>
    <w:rsid w:val="21CC7DA6"/>
    <w:rsid w:val="22361832"/>
    <w:rsid w:val="22564C3B"/>
    <w:rsid w:val="227117F0"/>
    <w:rsid w:val="229270D1"/>
    <w:rsid w:val="229E596C"/>
    <w:rsid w:val="22B60D13"/>
    <w:rsid w:val="22E91128"/>
    <w:rsid w:val="22F22704"/>
    <w:rsid w:val="232501E8"/>
    <w:rsid w:val="236B54FC"/>
    <w:rsid w:val="23CD1FB5"/>
    <w:rsid w:val="23F519CD"/>
    <w:rsid w:val="24136870"/>
    <w:rsid w:val="24152A49"/>
    <w:rsid w:val="24287BD3"/>
    <w:rsid w:val="24456D39"/>
    <w:rsid w:val="245C6969"/>
    <w:rsid w:val="248A6B80"/>
    <w:rsid w:val="248B666C"/>
    <w:rsid w:val="248F341C"/>
    <w:rsid w:val="24983B90"/>
    <w:rsid w:val="24AC7022"/>
    <w:rsid w:val="24E21EE4"/>
    <w:rsid w:val="24F417CC"/>
    <w:rsid w:val="250658E9"/>
    <w:rsid w:val="255D3125"/>
    <w:rsid w:val="25FD0128"/>
    <w:rsid w:val="260B5107"/>
    <w:rsid w:val="265E792E"/>
    <w:rsid w:val="26647764"/>
    <w:rsid w:val="269359AB"/>
    <w:rsid w:val="26E92F7B"/>
    <w:rsid w:val="26F85FDC"/>
    <w:rsid w:val="274C7001"/>
    <w:rsid w:val="27535BB4"/>
    <w:rsid w:val="2760332F"/>
    <w:rsid w:val="276C4D98"/>
    <w:rsid w:val="27DB51E2"/>
    <w:rsid w:val="281B37C7"/>
    <w:rsid w:val="282C1A16"/>
    <w:rsid w:val="286B013A"/>
    <w:rsid w:val="289205C0"/>
    <w:rsid w:val="28BF0495"/>
    <w:rsid w:val="28CC37B0"/>
    <w:rsid w:val="28E229B0"/>
    <w:rsid w:val="28FC2B64"/>
    <w:rsid w:val="298D57F4"/>
    <w:rsid w:val="299520CD"/>
    <w:rsid w:val="29992D97"/>
    <w:rsid w:val="29B05B01"/>
    <w:rsid w:val="29BA5E4B"/>
    <w:rsid w:val="29E83B4C"/>
    <w:rsid w:val="2A0E7C5A"/>
    <w:rsid w:val="2A30484F"/>
    <w:rsid w:val="2A5B30DB"/>
    <w:rsid w:val="2A5C5F05"/>
    <w:rsid w:val="2A716802"/>
    <w:rsid w:val="2A830702"/>
    <w:rsid w:val="2ABE5E63"/>
    <w:rsid w:val="2AF71B8D"/>
    <w:rsid w:val="2AFD3C60"/>
    <w:rsid w:val="2B395012"/>
    <w:rsid w:val="2B7E4D77"/>
    <w:rsid w:val="2BA2006A"/>
    <w:rsid w:val="2BBE0430"/>
    <w:rsid w:val="2BC30C31"/>
    <w:rsid w:val="2BCB6D3F"/>
    <w:rsid w:val="2BD6693F"/>
    <w:rsid w:val="2BF85B55"/>
    <w:rsid w:val="2C05252B"/>
    <w:rsid w:val="2C0B468C"/>
    <w:rsid w:val="2C0F4C44"/>
    <w:rsid w:val="2C65272B"/>
    <w:rsid w:val="2C8B6B16"/>
    <w:rsid w:val="2CB66777"/>
    <w:rsid w:val="2CD66501"/>
    <w:rsid w:val="2CDE0930"/>
    <w:rsid w:val="2D0E077F"/>
    <w:rsid w:val="2D4A1A33"/>
    <w:rsid w:val="2D5D5673"/>
    <w:rsid w:val="2D9503A5"/>
    <w:rsid w:val="2DDB2055"/>
    <w:rsid w:val="2DEB22B2"/>
    <w:rsid w:val="2E29023F"/>
    <w:rsid w:val="2E512696"/>
    <w:rsid w:val="2E5D662D"/>
    <w:rsid w:val="2E772F6E"/>
    <w:rsid w:val="2EA5381D"/>
    <w:rsid w:val="2F0163E4"/>
    <w:rsid w:val="2F034C6F"/>
    <w:rsid w:val="2F136099"/>
    <w:rsid w:val="2F3B15D1"/>
    <w:rsid w:val="2F744BFB"/>
    <w:rsid w:val="2F894AE1"/>
    <w:rsid w:val="2FCA6592"/>
    <w:rsid w:val="2FD67739"/>
    <w:rsid w:val="2FDC6AC2"/>
    <w:rsid w:val="304A1D25"/>
    <w:rsid w:val="307652AC"/>
    <w:rsid w:val="30830218"/>
    <w:rsid w:val="30876B7D"/>
    <w:rsid w:val="30C52AF8"/>
    <w:rsid w:val="30CD0A7E"/>
    <w:rsid w:val="30D57311"/>
    <w:rsid w:val="30FD50F3"/>
    <w:rsid w:val="31195BDD"/>
    <w:rsid w:val="3122362C"/>
    <w:rsid w:val="312276CE"/>
    <w:rsid w:val="31552BA5"/>
    <w:rsid w:val="31626EEC"/>
    <w:rsid w:val="317E0238"/>
    <w:rsid w:val="31B53DBA"/>
    <w:rsid w:val="31BA1499"/>
    <w:rsid w:val="31E53686"/>
    <w:rsid w:val="31FF007C"/>
    <w:rsid w:val="320D64CA"/>
    <w:rsid w:val="32556B94"/>
    <w:rsid w:val="3273520E"/>
    <w:rsid w:val="32862880"/>
    <w:rsid w:val="32B9130E"/>
    <w:rsid w:val="33564E06"/>
    <w:rsid w:val="339300E8"/>
    <w:rsid w:val="33CA0F1F"/>
    <w:rsid w:val="340B1FFA"/>
    <w:rsid w:val="342C1FFE"/>
    <w:rsid w:val="344A245E"/>
    <w:rsid w:val="348C016B"/>
    <w:rsid w:val="34A42278"/>
    <w:rsid w:val="34B86AE5"/>
    <w:rsid w:val="34D74C20"/>
    <w:rsid w:val="353051D1"/>
    <w:rsid w:val="35FA3E19"/>
    <w:rsid w:val="361353F3"/>
    <w:rsid w:val="363A5F44"/>
    <w:rsid w:val="36714B5C"/>
    <w:rsid w:val="36937331"/>
    <w:rsid w:val="36B55F6B"/>
    <w:rsid w:val="370D6776"/>
    <w:rsid w:val="37316B00"/>
    <w:rsid w:val="37396ED7"/>
    <w:rsid w:val="37764DF8"/>
    <w:rsid w:val="37AF43BA"/>
    <w:rsid w:val="37C3238F"/>
    <w:rsid w:val="37E80F39"/>
    <w:rsid w:val="37F41BB3"/>
    <w:rsid w:val="38157B80"/>
    <w:rsid w:val="382F5281"/>
    <w:rsid w:val="38455D28"/>
    <w:rsid w:val="38540F22"/>
    <w:rsid w:val="38AE66E1"/>
    <w:rsid w:val="38C15A41"/>
    <w:rsid w:val="38C63024"/>
    <w:rsid w:val="38CD18D2"/>
    <w:rsid w:val="38EB71DA"/>
    <w:rsid w:val="39080D99"/>
    <w:rsid w:val="399519B8"/>
    <w:rsid w:val="39B1799E"/>
    <w:rsid w:val="3A1979FF"/>
    <w:rsid w:val="3A496F92"/>
    <w:rsid w:val="3A684BD0"/>
    <w:rsid w:val="3A7C210F"/>
    <w:rsid w:val="3A8A1CB0"/>
    <w:rsid w:val="3A8C029D"/>
    <w:rsid w:val="3AAF3A0E"/>
    <w:rsid w:val="3B5B1A05"/>
    <w:rsid w:val="3B711D66"/>
    <w:rsid w:val="3B7D4803"/>
    <w:rsid w:val="3B8A0623"/>
    <w:rsid w:val="3B8D40B2"/>
    <w:rsid w:val="3BBC0B3B"/>
    <w:rsid w:val="3BDB63DE"/>
    <w:rsid w:val="3C022718"/>
    <w:rsid w:val="3CEB1852"/>
    <w:rsid w:val="3D05463E"/>
    <w:rsid w:val="3D0F5AFE"/>
    <w:rsid w:val="3D130A3D"/>
    <w:rsid w:val="3D196227"/>
    <w:rsid w:val="3D3E6CE2"/>
    <w:rsid w:val="3DA74BD2"/>
    <w:rsid w:val="3DD63BA2"/>
    <w:rsid w:val="3E5D33E1"/>
    <w:rsid w:val="3E743817"/>
    <w:rsid w:val="3E83186C"/>
    <w:rsid w:val="3E9130FC"/>
    <w:rsid w:val="3E9E5DB4"/>
    <w:rsid w:val="3EC035FB"/>
    <w:rsid w:val="3F5102FC"/>
    <w:rsid w:val="3F662721"/>
    <w:rsid w:val="3F83211A"/>
    <w:rsid w:val="3F9F114C"/>
    <w:rsid w:val="3FBE237E"/>
    <w:rsid w:val="3FCE7AFC"/>
    <w:rsid w:val="3FD008F7"/>
    <w:rsid w:val="3FDC2B95"/>
    <w:rsid w:val="3FF40ABD"/>
    <w:rsid w:val="4028609E"/>
    <w:rsid w:val="40374B23"/>
    <w:rsid w:val="4062059F"/>
    <w:rsid w:val="409B7986"/>
    <w:rsid w:val="40D37DE8"/>
    <w:rsid w:val="40DB10C6"/>
    <w:rsid w:val="40F80713"/>
    <w:rsid w:val="410157A1"/>
    <w:rsid w:val="41025C66"/>
    <w:rsid w:val="41122B16"/>
    <w:rsid w:val="411761DC"/>
    <w:rsid w:val="416870FB"/>
    <w:rsid w:val="41912701"/>
    <w:rsid w:val="41CE7D37"/>
    <w:rsid w:val="41D27A78"/>
    <w:rsid w:val="41D85F1B"/>
    <w:rsid w:val="41DC598D"/>
    <w:rsid w:val="41FA15A4"/>
    <w:rsid w:val="42355F51"/>
    <w:rsid w:val="42465FDE"/>
    <w:rsid w:val="42884742"/>
    <w:rsid w:val="42AE5AE3"/>
    <w:rsid w:val="43205265"/>
    <w:rsid w:val="435A19B8"/>
    <w:rsid w:val="4371153F"/>
    <w:rsid w:val="437319E8"/>
    <w:rsid w:val="43A93B18"/>
    <w:rsid w:val="43B97087"/>
    <w:rsid w:val="43C85B6C"/>
    <w:rsid w:val="44047851"/>
    <w:rsid w:val="441D6C88"/>
    <w:rsid w:val="442335B6"/>
    <w:rsid w:val="444075FB"/>
    <w:rsid w:val="44717C3B"/>
    <w:rsid w:val="4498432F"/>
    <w:rsid w:val="44BE65E0"/>
    <w:rsid w:val="44DA2A97"/>
    <w:rsid w:val="45045AC7"/>
    <w:rsid w:val="455F7633"/>
    <w:rsid w:val="4565432C"/>
    <w:rsid w:val="4571546A"/>
    <w:rsid w:val="458E64E3"/>
    <w:rsid w:val="45B5655D"/>
    <w:rsid w:val="4617028E"/>
    <w:rsid w:val="46490C32"/>
    <w:rsid w:val="465D36F9"/>
    <w:rsid w:val="46601924"/>
    <w:rsid w:val="467266A6"/>
    <w:rsid w:val="4697305B"/>
    <w:rsid w:val="46A56AD1"/>
    <w:rsid w:val="46CC7D06"/>
    <w:rsid w:val="471D5D1F"/>
    <w:rsid w:val="472A4DB0"/>
    <w:rsid w:val="473356F4"/>
    <w:rsid w:val="47373039"/>
    <w:rsid w:val="4738342D"/>
    <w:rsid w:val="474E3444"/>
    <w:rsid w:val="47B274D3"/>
    <w:rsid w:val="481B0885"/>
    <w:rsid w:val="48506B8D"/>
    <w:rsid w:val="48601652"/>
    <w:rsid w:val="486A46AE"/>
    <w:rsid w:val="486C005E"/>
    <w:rsid w:val="488C03BF"/>
    <w:rsid w:val="48BC31D0"/>
    <w:rsid w:val="48C545BC"/>
    <w:rsid w:val="48F65F65"/>
    <w:rsid w:val="49306B00"/>
    <w:rsid w:val="49521BA8"/>
    <w:rsid w:val="499A3893"/>
    <w:rsid w:val="49A530B7"/>
    <w:rsid w:val="49AB1223"/>
    <w:rsid w:val="49B52C28"/>
    <w:rsid w:val="49C50F64"/>
    <w:rsid w:val="49C66E58"/>
    <w:rsid w:val="49C74D88"/>
    <w:rsid w:val="49D436C4"/>
    <w:rsid w:val="49F22054"/>
    <w:rsid w:val="49FF35F0"/>
    <w:rsid w:val="4A5A6C98"/>
    <w:rsid w:val="4A6C1E8B"/>
    <w:rsid w:val="4A7A2ACD"/>
    <w:rsid w:val="4A88530D"/>
    <w:rsid w:val="4A8E43FC"/>
    <w:rsid w:val="4A93053B"/>
    <w:rsid w:val="4AD01BE1"/>
    <w:rsid w:val="4B011FCA"/>
    <w:rsid w:val="4B0E599D"/>
    <w:rsid w:val="4B1F5BC5"/>
    <w:rsid w:val="4B580938"/>
    <w:rsid w:val="4B582BD7"/>
    <w:rsid w:val="4B870790"/>
    <w:rsid w:val="4B9C0EE4"/>
    <w:rsid w:val="4BDB4ECF"/>
    <w:rsid w:val="4C0A629B"/>
    <w:rsid w:val="4C1F0DF3"/>
    <w:rsid w:val="4C580BD3"/>
    <w:rsid w:val="4C582B91"/>
    <w:rsid w:val="4C703C6A"/>
    <w:rsid w:val="4C7833EE"/>
    <w:rsid w:val="4C9C1748"/>
    <w:rsid w:val="4C9C7DD3"/>
    <w:rsid w:val="4D202F62"/>
    <w:rsid w:val="4DBB2E72"/>
    <w:rsid w:val="4DCB2E58"/>
    <w:rsid w:val="4E373D90"/>
    <w:rsid w:val="4E7749B9"/>
    <w:rsid w:val="4EA86BDB"/>
    <w:rsid w:val="4EE851A5"/>
    <w:rsid w:val="4F140B78"/>
    <w:rsid w:val="4F2518BB"/>
    <w:rsid w:val="4F7B158B"/>
    <w:rsid w:val="4FA47FEB"/>
    <w:rsid w:val="4FE42F56"/>
    <w:rsid w:val="4FF74ABD"/>
    <w:rsid w:val="501705F4"/>
    <w:rsid w:val="50263228"/>
    <w:rsid w:val="50337DE3"/>
    <w:rsid w:val="503D6F7D"/>
    <w:rsid w:val="505F72C1"/>
    <w:rsid w:val="506967E7"/>
    <w:rsid w:val="50A1369E"/>
    <w:rsid w:val="50E13A61"/>
    <w:rsid w:val="50E768C2"/>
    <w:rsid w:val="510332A5"/>
    <w:rsid w:val="51184E28"/>
    <w:rsid w:val="5146382D"/>
    <w:rsid w:val="514D55B6"/>
    <w:rsid w:val="51704CBB"/>
    <w:rsid w:val="517459E7"/>
    <w:rsid w:val="518911B3"/>
    <w:rsid w:val="519604B6"/>
    <w:rsid w:val="51AF1EBF"/>
    <w:rsid w:val="51B75200"/>
    <w:rsid w:val="51BA1695"/>
    <w:rsid w:val="520118FC"/>
    <w:rsid w:val="521F1472"/>
    <w:rsid w:val="521F586A"/>
    <w:rsid w:val="523D1809"/>
    <w:rsid w:val="524940D1"/>
    <w:rsid w:val="52CE3B68"/>
    <w:rsid w:val="52EC4C08"/>
    <w:rsid w:val="537F06C2"/>
    <w:rsid w:val="54114993"/>
    <w:rsid w:val="542E2783"/>
    <w:rsid w:val="542F1216"/>
    <w:rsid w:val="546820CD"/>
    <w:rsid w:val="54913A31"/>
    <w:rsid w:val="54C52B79"/>
    <w:rsid w:val="54D8158B"/>
    <w:rsid w:val="54F24A86"/>
    <w:rsid w:val="55160719"/>
    <w:rsid w:val="552E5396"/>
    <w:rsid w:val="553118B0"/>
    <w:rsid w:val="557E4204"/>
    <w:rsid w:val="559001B2"/>
    <w:rsid w:val="55A57758"/>
    <w:rsid w:val="55B2291D"/>
    <w:rsid w:val="55B57121"/>
    <w:rsid w:val="55E318A6"/>
    <w:rsid w:val="566121E5"/>
    <w:rsid w:val="56CC45F9"/>
    <w:rsid w:val="56F0380D"/>
    <w:rsid w:val="571C6F11"/>
    <w:rsid w:val="571D2CE1"/>
    <w:rsid w:val="576E2CF5"/>
    <w:rsid w:val="57B94EB3"/>
    <w:rsid w:val="57C06E42"/>
    <w:rsid w:val="57EB2BCA"/>
    <w:rsid w:val="5806221B"/>
    <w:rsid w:val="58290EC7"/>
    <w:rsid w:val="58AC24B2"/>
    <w:rsid w:val="58B87927"/>
    <w:rsid w:val="592A55C1"/>
    <w:rsid w:val="593144FC"/>
    <w:rsid w:val="5A2B3125"/>
    <w:rsid w:val="5A4B7271"/>
    <w:rsid w:val="5A521EF4"/>
    <w:rsid w:val="5A6D682C"/>
    <w:rsid w:val="5ACD342C"/>
    <w:rsid w:val="5B0A0DD2"/>
    <w:rsid w:val="5B3B15CF"/>
    <w:rsid w:val="5B6E0F16"/>
    <w:rsid w:val="5B7A1B2D"/>
    <w:rsid w:val="5BEB64C0"/>
    <w:rsid w:val="5C104A5B"/>
    <w:rsid w:val="5C1551FE"/>
    <w:rsid w:val="5C3366A7"/>
    <w:rsid w:val="5C5408DC"/>
    <w:rsid w:val="5C633523"/>
    <w:rsid w:val="5CA64F1D"/>
    <w:rsid w:val="5CBB0D92"/>
    <w:rsid w:val="5CC01720"/>
    <w:rsid w:val="5CCA5A2B"/>
    <w:rsid w:val="5CED0088"/>
    <w:rsid w:val="5D1A42DE"/>
    <w:rsid w:val="5D4221F0"/>
    <w:rsid w:val="5DC27194"/>
    <w:rsid w:val="5DD059F6"/>
    <w:rsid w:val="5E057968"/>
    <w:rsid w:val="5E09322F"/>
    <w:rsid w:val="5EA726FD"/>
    <w:rsid w:val="5EA82DB6"/>
    <w:rsid w:val="5EAE4130"/>
    <w:rsid w:val="5EF71F20"/>
    <w:rsid w:val="5F001790"/>
    <w:rsid w:val="5F33152F"/>
    <w:rsid w:val="5F726888"/>
    <w:rsid w:val="5F751977"/>
    <w:rsid w:val="5F844AC4"/>
    <w:rsid w:val="5FA50DD3"/>
    <w:rsid w:val="5FFA1C96"/>
    <w:rsid w:val="600913B2"/>
    <w:rsid w:val="60754BB7"/>
    <w:rsid w:val="60762229"/>
    <w:rsid w:val="60764CF9"/>
    <w:rsid w:val="60AC6FBA"/>
    <w:rsid w:val="60B60E67"/>
    <w:rsid w:val="610A32A7"/>
    <w:rsid w:val="61354A1E"/>
    <w:rsid w:val="61552F0D"/>
    <w:rsid w:val="620B22C0"/>
    <w:rsid w:val="623E7551"/>
    <w:rsid w:val="624A5543"/>
    <w:rsid w:val="62907492"/>
    <w:rsid w:val="62FB32C7"/>
    <w:rsid w:val="630768CC"/>
    <w:rsid w:val="63091291"/>
    <w:rsid w:val="631F1C72"/>
    <w:rsid w:val="63462E7A"/>
    <w:rsid w:val="635E0683"/>
    <w:rsid w:val="63672749"/>
    <w:rsid w:val="63AC6F8D"/>
    <w:rsid w:val="63CA58DD"/>
    <w:rsid w:val="63CE356C"/>
    <w:rsid w:val="63D424EF"/>
    <w:rsid w:val="63D67F31"/>
    <w:rsid w:val="63E35D12"/>
    <w:rsid w:val="63FE4EB5"/>
    <w:rsid w:val="640B10BF"/>
    <w:rsid w:val="6418486A"/>
    <w:rsid w:val="64184C55"/>
    <w:rsid w:val="645C08F1"/>
    <w:rsid w:val="64754CB1"/>
    <w:rsid w:val="64831D2E"/>
    <w:rsid w:val="64844338"/>
    <w:rsid w:val="648A47B6"/>
    <w:rsid w:val="648F4E80"/>
    <w:rsid w:val="64EE053F"/>
    <w:rsid w:val="654477AC"/>
    <w:rsid w:val="6558590B"/>
    <w:rsid w:val="65676711"/>
    <w:rsid w:val="65C06265"/>
    <w:rsid w:val="666004AD"/>
    <w:rsid w:val="668A2862"/>
    <w:rsid w:val="66F74058"/>
    <w:rsid w:val="670B0904"/>
    <w:rsid w:val="671202EA"/>
    <w:rsid w:val="671F6FDB"/>
    <w:rsid w:val="672F0CB1"/>
    <w:rsid w:val="67556715"/>
    <w:rsid w:val="67902998"/>
    <w:rsid w:val="679720DB"/>
    <w:rsid w:val="67BB3C02"/>
    <w:rsid w:val="67C948C8"/>
    <w:rsid w:val="67F14957"/>
    <w:rsid w:val="680545F9"/>
    <w:rsid w:val="68127CA1"/>
    <w:rsid w:val="68462EA0"/>
    <w:rsid w:val="6854743C"/>
    <w:rsid w:val="68A13454"/>
    <w:rsid w:val="68EC7CB2"/>
    <w:rsid w:val="68FD4C1B"/>
    <w:rsid w:val="69300193"/>
    <w:rsid w:val="69406EC7"/>
    <w:rsid w:val="69741C50"/>
    <w:rsid w:val="69CD1302"/>
    <w:rsid w:val="69D24549"/>
    <w:rsid w:val="69F24B71"/>
    <w:rsid w:val="6A1C1474"/>
    <w:rsid w:val="6A633F0C"/>
    <w:rsid w:val="6A6754CD"/>
    <w:rsid w:val="6A945A9B"/>
    <w:rsid w:val="6AA563A9"/>
    <w:rsid w:val="6AEA2988"/>
    <w:rsid w:val="6B0D6695"/>
    <w:rsid w:val="6B155834"/>
    <w:rsid w:val="6B18088B"/>
    <w:rsid w:val="6B294019"/>
    <w:rsid w:val="6B537455"/>
    <w:rsid w:val="6BA07380"/>
    <w:rsid w:val="6BE10C67"/>
    <w:rsid w:val="6C490484"/>
    <w:rsid w:val="6C930AE4"/>
    <w:rsid w:val="6CA41265"/>
    <w:rsid w:val="6CA874F3"/>
    <w:rsid w:val="6CC10560"/>
    <w:rsid w:val="6CC91860"/>
    <w:rsid w:val="6CD5347D"/>
    <w:rsid w:val="6CF55FCB"/>
    <w:rsid w:val="6CFC2451"/>
    <w:rsid w:val="6D035459"/>
    <w:rsid w:val="6D1A42F7"/>
    <w:rsid w:val="6D1C038D"/>
    <w:rsid w:val="6D777B45"/>
    <w:rsid w:val="6D8215FE"/>
    <w:rsid w:val="6D93291F"/>
    <w:rsid w:val="6D9838BD"/>
    <w:rsid w:val="6DD0636B"/>
    <w:rsid w:val="6DD72F0E"/>
    <w:rsid w:val="6DE74E84"/>
    <w:rsid w:val="6E033242"/>
    <w:rsid w:val="6E102A0C"/>
    <w:rsid w:val="6E176BDB"/>
    <w:rsid w:val="6E450AE0"/>
    <w:rsid w:val="6E636E1D"/>
    <w:rsid w:val="6E87135C"/>
    <w:rsid w:val="6EB159C7"/>
    <w:rsid w:val="6EC05B55"/>
    <w:rsid w:val="6EC73260"/>
    <w:rsid w:val="6EE460F8"/>
    <w:rsid w:val="6F0C033D"/>
    <w:rsid w:val="6F24276B"/>
    <w:rsid w:val="6F25742D"/>
    <w:rsid w:val="6F3B0EF7"/>
    <w:rsid w:val="6F5748DD"/>
    <w:rsid w:val="6F6A455F"/>
    <w:rsid w:val="6F760B24"/>
    <w:rsid w:val="6FD85B76"/>
    <w:rsid w:val="700B3712"/>
    <w:rsid w:val="702D7F6B"/>
    <w:rsid w:val="703B084C"/>
    <w:rsid w:val="704310D1"/>
    <w:rsid w:val="706D3C70"/>
    <w:rsid w:val="70A94A19"/>
    <w:rsid w:val="70A94CC8"/>
    <w:rsid w:val="70B70481"/>
    <w:rsid w:val="70C434B3"/>
    <w:rsid w:val="70CD6221"/>
    <w:rsid w:val="710E3010"/>
    <w:rsid w:val="71D92F74"/>
    <w:rsid w:val="721232F7"/>
    <w:rsid w:val="7214068D"/>
    <w:rsid w:val="72876DEB"/>
    <w:rsid w:val="72C044A1"/>
    <w:rsid w:val="72C82DDB"/>
    <w:rsid w:val="72CE307C"/>
    <w:rsid w:val="72CF5F88"/>
    <w:rsid w:val="72D8279D"/>
    <w:rsid w:val="731B682F"/>
    <w:rsid w:val="73213242"/>
    <w:rsid w:val="733F310D"/>
    <w:rsid w:val="736C0658"/>
    <w:rsid w:val="739C685F"/>
    <w:rsid w:val="73C6697E"/>
    <w:rsid w:val="74073DEB"/>
    <w:rsid w:val="742B41E8"/>
    <w:rsid w:val="74BE03A6"/>
    <w:rsid w:val="74BE288E"/>
    <w:rsid w:val="75315330"/>
    <w:rsid w:val="7547484E"/>
    <w:rsid w:val="75537FCB"/>
    <w:rsid w:val="75AD1FE0"/>
    <w:rsid w:val="75D448D6"/>
    <w:rsid w:val="75DC75CE"/>
    <w:rsid w:val="760358FD"/>
    <w:rsid w:val="76067A3F"/>
    <w:rsid w:val="760826FB"/>
    <w:rsid w:val="762B1C02"/>
    <w:rsid w:val="76783F09"/>
    <w:rsid w:val="767A627F"/>
    <w:rsid w:val="76970BE9"/>
    <w:rsid w:val="76AB31AF"/>
    <w:rsid w:val="76C02781"/>
    <w:rsid w:val="76CF41D8"/>
    <w:rsid w:val="76F13CA5"/>
    <w:rsid w:val="76FB702E"/>
    <w:rsid w:val="772F0A16"/>
    <w:rsid w:val="777C2CA0"/>
    <w:rsid w:val="778B254E"/>
    <w:rsid w:val="77900E7D"/>
    <w:rsid w:val="77EE3255"/>
    <w:rsid w:val="782D0FE6"/>
    <w:rsid w:val="78623394"/>
    <w:rsid w:val="7872717E"/>
    <w:rsid w:val="78A04D26"/>
    <w:rsid w:val="78B00EED"/>
    <w:rsid w:val="78EB42AB"/>
    <w:rsid w:val="79135EA3"/>
    <w:rsid w:val="791F21A9"/>
    <w:rsid w:val="794C7835"/>
    <w:rsid w:val="796B347E"/>
    <w:rsid w:val="79902E08"/>
    <w:rsid w:val="79B77AFD"/>
    <w:rsid w:val="79D73853"/>
    <w:rsid w:val="7A0D48AB"/>
    <w:rsid w:val="7A5B3CF3"/>
    <w:rsid w:val="7A9A1EA4"/>
    <w:rsid w:val="7AA0261E"/>
    <w:rsid w:val="7AB819AD"/>
    <w:rsid w:val="7ABA4E4E"/>
    <w:rsid w:val="7AF84F8C"/>
    <w:rsid w:val="7AFD5EEC"/>
    <w:rsid w:val="7B127A63"/>
    <w:rsid w:val="7B1A2C8D"/>
    <w:rsid w:val="7B2F3497"/>
    <w:rsid w:val="7B6B270A"/>
    <w:rsid w:val="7B6D3913"/>
    <w:rsid w:val="7B723B08"/>
    <w:rsid w:val="7BB32526"/>
    <w:rsid w:val="7BB53C3F"/>
    <w:rsid w:val="7BBC5AB7"/>
    <w:rsid w:val="7BBE3A01"/>
    <w:rsid w:val="7BCD6BDC"/>
    <w:rsid w:val="7C0C11A8"/>
    <w:rsid w:val="7C14735D"/>
    <w:rsid w:val="7C3E12A0"/>
    <w:rsid w:val="7C414944"/>
    <w:rsid w:val="7C510C49"/>
    <w:rsid w:val="7C5A5435"/>
    <w:rsid w:val="7C993A37"/>
    <w:rsid w:val="7CAB1C8C"/>
    <w:rsid w:val="7CD767AA"/>
    <w:rsid w:val="7D255415"/>
    <w:rsid w:val="7D325471"/>
    <w:rsid w:val="7D374FCD"/>
    <w:rsid w:val="7D424EAA"/>
    <w:rsid w:val="7D464CFB"/>
    <w:rsid w:val="7D7A588D"/>
    <w:rsid w:val="7D841B3F"/>
    <w:rsid w:val="7DC02A7D"/>
    <w:rsid w:val="7DD341AE"/>
    <w:rsid w:val="7E0C219E"/>
    <w:rsid w:val="7E18219E"/>
    <w:rsid w:val="7E206EC8"/>
    <w:rsid w:val="7E286A6E"/>
    <w:rsid w:val="7E490FDF"/>
    <w:rsid w:val="7E681C8F"/>
    <w:rsid w:val="7E750D36"/>
    <w:rsid w:val="7EA94C29"/>
    <w:rsid w:val="7ED515EB"/>
    <w:rsid w:val="7F360D4C"/>
    <w:rsid w:val="7F5C1428"/>
    <w:rsid w:val="7F610DF9"/>
    <w:rsid w:val="7F7C6DCD"/>
    <w:rsid w:val="7F9F323C"/>
    <w:rsid w:val="7FD13BEB"/>
    <w:rsid w:val="7FEF62ED"/>
    <w:rsid w:val="7FF74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autoRedefine/>
    <w:qFormat/>
    <w:uiPriority w:val="9"/>
    <w:pPr>
      <w:keepNext/>
      <w:keepLines/>
      <w:spacing w:before="260" w:after="260" w:line="416" w:lineRule="auto"/>
      <w:outlineLvl w:val="1"/>
    </w:pPr>
    <w:rPr>
      <w:rFonts w:ascii="Cambria" w:hAnsi="Cambria"/>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autoRedefine/>
    <w:unhideWhenUsed/>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5">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4"/>
    <w:autoRedefine/>
    <w:qFormat/>
    <w:uiPriority w:val="0"/>
    <w:pPr>
      <w:ind w:firstLine="420"/>
    </w:pPr>
    <w:rPr>
      <w:sz w:val="21"/>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Document Map"/>
    <w:basedOn w:val="1"/>
    <w:link w:val="78"/>
    <w:autoRedefine/>
    <w:semiHidden/>
    <w:unhideWhenUsed/>
    <w:qFormat/>
    <w:uiPriority w:val="99"/>
    <w:rPr>
      <w:rFonts w:ascii="宋体"/>
      <w:sz w:val="18"/>
      <w:szCs w:val="18"/>
    </w:rPr>
  </w:style>
  <w:style w:type="paragraph" w:styleId="9">
    <w:name w:val="annotation text"/>
    <w:basedOn w:val="1"/>
    <w:link w:val="52"/>
    <w:autoRedefine/>
    <w:unhideWhenUsed/>
    <w:qFormat/>
    <w:uiPriority w:val="99"/>
    <w:pPr>
      <w:jc w:val="left"/>
    </w:pPr>
  </w:style>
  <w:style w:type="paragraph" w:styleId="10">
    <w:name w:val="Body Text"/>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11">
    <w:name w:val="Body Text Indent"/>
    <w:basedOn w:val="1"/>
    <w:next w:val="1"/>
    <w:link w:val="53"/>
    <w:autoRedefine/>
    <w:qFormat/>
    <w:uiPriority w:val="0"/>
    <w:pPr>
      <w:spacing w:line="200" w:lineRule="atLeast"/>
      <w:ind w:firstLine="301"/>
    </w:pPr>
    <w:rPr>
      <w:rFonts w:ascii="宋体" w:hAnsi="Courier New"/>
      <w:spacing w:val="-4"/>
      <w:sz w:val="18"/>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link w:val="42"/>
    <w:autoRedefine/>
    <w:qFormat/>
    <w:uiPriority w:val="0"/>
    <w:pPr>
      <w:spacing w:beforeLines="50" w:afterLines="50" w:line="400" w:lineRule="atLeast"/>
    </w:pPr>
    <w:rPr>
      <w:rFonts w:ascii="宋体" w:hAnsi="Courier New"/>
      <w:sz w:val="24"/>
    </w:rPr>
  </w:style>
  <w:style w:type="paragraph" w:styleId="14">
    <w:name w:val="Date"/>
    <w:basedOn w:val="1"/>
    <w:next w:val="1"/>
    <w:autoRedefine/>
    <w:qFormat/>
    <w:uiPriority w:val="0"/>
    <w:pPr>
      <w:ind w:left="2500" w:leftChars="2500"/>
    </w:pPr>
    <w:rPr>
      <w:rFonts w:eastAsia="楷体_GB2312"/>
      <w:sz w:val="32"/>
      <w:szCs w:val="20"/>
    </w:rPr>
  </w:style>
  <w:style w:type="paragraph" w:styleId="15">
    <w:name w:val="Balloon Text"/>
    <w:basedOn w:val="1"/>
    <w:autoRedefine/>
    <w:qFormat/>
    <w:uiPriority w:val="0"/>
    <w:rPr>
      <w:sz w:val="18"/>
      <w:szCs w:val="18"/>
    </w:rPr>
  </w:style>
  <w:style w:type="paragraph" w:styleId="16">
    <w:name w:val="footer"/>
    <w:basedOn w:val="1"/>
    <w:link w:val="34"/>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style>
  <w:style w:type="paragraph" w:styleId="19">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Title"/>
    <w:basedOn w:val="1"/>
    <w:link w:val="43"/>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annotation subject"/>
    <w:basedOn w:val="9"/>
    <w:next w:val="9"/>
    <w:link w:val="60"/>
    <w:autoRedefine/>
    <w:unhideWhenUsed/>
    <w:qFormat/>
    <w:uiPriority w:val="99"/>
    <w:rPr>
      <w:b/>
      <w:bCs/>
    </w:rPr>
  </w:style>
  <w:style w:type="paragraph" w:styleId="23">
    <w:name w:val="Body Text First Indent 2"/>
    <w:basedOn w:val="11"/>
    <w:autoRedefine/>
    <w:unhideWhenUsed/>
    <w:qFormat/>
    <w:uiPriority w:val="99"/>
    <w:pPr>
      <w:ind w:firstLine="420"/>
    </w:p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FollowedHyperlink"/>
    <w:basedOn w:val="26"/>
    <w:autoRedefine/>
    <w:unhideWhenUsed/>
    <w:qFormat/>
    <w:uiPriority w:val="99"/>
    <w:rPr>
      <w:color w:val="5579A7"/>
      <w:u w:val="none"/>
    </w:rPr>
  </w:style>
  <w:style w:type="character" w:styleId="30">
    <w:name w:val="Hyperlink"/>
    <w:basedOn w:val="26"/>
    <w:autoRedefine/>
    <w:qFormat/>
    <w:uiPriority w:val="0"/>
    <w:rPr>
      <w:color w:val="5579A7"/>
      <w:u w:val="none"/>
    </w:rPr>
  </w:style>
  <w:style w:type="character" w:styleId="31">
    <w:name w:val="annotation reference"/>
    <w:autoRedefine/>
    <w:unhideWhenUsed/>
    <w:qFormat/>
    <w:uiPriority w:val="99"/>
    <w:rPr>
      <w:sz w:val="21"/>
      <w:szCs w:val="21"/>
    </w:rPr>
  </w:style>
  <w:style w:type="paragraph" w:customStyle="1" w:styleId="32">
    <w:name w:val="Default"/>
    <w:next w:val="3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页脚 Char"/>
    <w:link w:val="16"/>
    <w:autoRedefine/>
    <w:qFormat/>
    <w:uiPriority w:val="99"/>
    <w:rPr>
      <w:kern w:val="2"/>
      <w:sz w:val="18"/>
      <w:szCs w:val="18"/>
    </w:rPr>
  </w:style>
  <w:style w:type="character" w:customStyle="1" w:styleId="35">
    <w:name w:val="sub_title s0"/>
    <w:basedOn w:val="26"/>
    <w:autoRedefine/>
    <w:qFormat/>
    <w:uiPriority w:val="0"/>
  </w:style>
  <w:style w:type="character" w:customStyle="1" w:styleId="36">
    <w:name w:val="正文文本缩进 字符"/>
    <w:autoRedefine/>
    <w:qFormat/>
    <w:uiPriority w:val="0"/>
    <w:rPr>
      <w:rFonts w:ascii="宋体" w:hAnsi="Courier New"/>
      <w:spacing w:val="-4"/>
      <w:kern w:val="2"/>
      <w:sz w:val="18"/>
    </w:rPr>
  </w:style>
  <w:style w:type="character" w:customStyle="1" w:styleId="37">
    <w:name w:val="jbox-icon-info"/>
    <w:basedOn w:val="26"/>
    <w:autoRedefine/>
    <w:qFormat/>
    <w:uiPriority w:val="0"/>
  </w:style>
  <w:style w:type="character" w:customStyle="1" w:styleId="38">
    <w:name w:val="Plain Text Char Char"/>
    <w:link w:val="39"/>
    <w:autoRedefine/>
    <w:qFormat/>
    <w:uiPriority w:val="0"/>
    <w:rPr>
      <w:rFonts w:ascii="宋体" w:hAnsi="Courier New" w:cs="宋体"/>
    </w:rPr>
  </w:style>
  <w:style w:type="paragraph" w:customStyle="1" w:styleId="39">
    <w:name w:val="纯文本1"/>
    <w:basedOn w:val="1"/>
    <w:link w:val="38"/>
    <w:autoRedefine/>
    <w:qFormat/>
    <w:uiPriority w:val="0"/>
    <w:rPr>
      <w:rFonts w:ascii="宋体" w:hAnsi="Courier New" w:cs="宋体"/>
      <w:kern w:val="0"/>
      <w:sz w:val="20"/>
      <w:szCs w:val="20"/>
    </w:rPr>
  </w:style>
  <w:style w:type="character" w:customStyle="1" w:styleId="40">
    <w:name w:val="black601"/>
    <w:autoRedefine/>
    <w:qFormat/>
    <w:uiPriority w:val="0"/>
    <w:rPr>
      <w:color w:val="666666"/>
    </w:rPr>
  </w:style>
  <w:style w:type="character" w:customStyle="1" w:styleId="41">
    <w:name w:val="纯文本 Char"/>
    <w:autoRedefine/>
    <w:qFormat/>
    <w:uiPriority w:val="99"/>
    <w:rPr>
      <w:rFonts w:ascii="宋体" w:hAnsi="Courier New"/>
      <w:kern w:val="2"/>
      <w:sz w:val="24"/>
      <w:szCs w:val="24"/>
    </w:rPr>
  </w:style>
  <w:style w:type="character" w:customStyle="1" w:styleId="42">
    <w:name w:val="纯文本 Char2"/>
    <w:link w:val="13"/>
    <w:autoRedefine/>
    <w:qFormat/>
    <w:uiPriority w:val="0"/>
    <w:rPr>
      <w:rFonts w:ascii="宋体" w:hAnsi="Courier New"/>
      <w:kern w:val="2"/>
      <w:sz w:val="24"/>
      <w:szCs w:val="24"/>
    </w:rPr>
  </w:style>
  <w:style w:type="character" w:customStyle="1" w:styleId="43">
    <w:name w:val="标题 Char"/>
    <w:link w:val="21"/>
    <w:autoRedefine/>
    <w:qFormat/>
    <w:uiPriority w:val="0"/>
    <w:rPr>
      <w:b/>
      <w:sz w:val="24"/>
      <w:lang w:val="en-GB"/>
    </w:rPr>
  </w:style>
  <w:style w:type="character" w:customStyle="1" w:styleId="44">
    <w:name w:val="正文缩进 Char"/>
    <w:link w:val="6"/>
    <w:autoRedefine/>
    <w:qFormat/>
    <w:uiPriority w:val="0"/>
    <w:rPr>
      <w:rFonts w:eastAsia="宋体"/>
      <w:kern w:val="2"/>
      <w:sz w:val="21"/>
      <w:lang w:val="en-US" w:eastAsia="zh-CN" w:bidi="ar-SA"/>
    </w:rPr>
  </w:style>
  <w:style w:type="character" w:customStyle="1" w:styleId="45">
    <w:name w:val="jbox-icon-error"/>
    <w:basedOn w:val="26"/>
    <w:autoRedefine/>
    <w:qFormat/>
    <w:uiPriority w:val="0"/>
  </w:style>
  <w:style w:type="character" w:customStyle="1" w:styleId="46">
    <w:name w:val="jbox-icon-loading"/>
    <w:basedOn w:val="26"/>
    <w:autoRedefine/>
    <w:qFormat/>
    <w:uiPriority w:val="0"/>
  </w:style>
  <w:style w:type="character" w:customStyle="1" w:styleId="47">
    <w:name w:val="z-窗体顶端 Char"/>
    <w:link w:val="48"/>
    <w:autoRedefine/>
    <w:semiHidden/>
    <w:qFormat/>
    <w:uiPriority w:val="99"/>
    <w:rPr>
      <w:rFonts w:ascii="Arial" w:hAnsi="Arial"/>
      <w:vanish/>
      <w:sz w:val="16"/>
      <w:szCs w:val="16"/>
    </w:rPr>
  </w:style>
  <w:style w:type="paragraph" w:customStyle="1" w:styleId="48">
    <w:name w:val="z-窗体顶端1"/>
    <w:basedOn w:val="1"/>
    <w:next w:val="1"/>
    <w:link w:val="47"/>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49">
    <w:name w:val="jbox-icon-question"/>
    <w:basedOn w:val="26"/>
    <w:autoRedefine/>
    <w:qFormat/>
    <w:uiPriority w:val="0"/>
  </w:style>
  <w:style w:type="character" w:customStyle="1" w:styleId="50">
    <w:name w:val="标题 字符1"/>
    <w:autoRedefine/>
    <w:qFormat/>
    <w:uiPriority w:val="10"/>
    <w:rPr>
      <w:rFonts w:ascii="等线 Light" w:hAnsi="等线 Light" w:cs="Times New Roman"/>
      <w:b/>
      <w:bCs/>
      <w:kern w:val="2"/>
      <w:sz w:val="32"/>
      <w:szCs w:val="32"/>
    </w:rPr>
  </w:style>
  <w:style w:type="character" w:customStyle="1" w:styleId="51">
    <w:name w:val="jbox-icon-success"/>
    <w:basedOn w:val="26"/>
    <w:autoRedefine/>
    <w:qFormat/>
    <w:uiPriority w:val="0"/>
  </w:style>
  <w:style w:type="character" w:customStyle="1" w:styleId="52">
    <w:name w:val="批注文字 Char"/>
    <w:link w:val="9"/>
    <w:autoRedefine/>
    <w:qFormat/>
    <w:uiPriority w:val="99"/>
    <w:rPr>
      <w:kern w:val="2"/>
      <w:sz w:val="28"/>
      <w:szCs w:val="24"/>
    </w:rPr>
  </w:style>
  <w:style w:type="character" w:customStyle="1" w:styleId="53">
    <w:name w:val="正文文本缩进 Char"/>
    <w:link w:val="11"/>
    <w:autoRedefine/>
    <w:qFormat/>
    <w:uiPriority w:val="0"/>
    <w:rPr>
      <w:rFonts w:ascii="宋体" w:hAnsi="Courier New"/>
      <w:spacing w:val="-4"/>
      <w:kern w:val="2"/>
      <w:sz w:val="18"/>
    </w:rPr>
  </w:style>
  <w:style w:type="character" w:customStyle="1" w:styleId="54">
    <w:name w:val="maywed421"/>
    <w:autoRedefine/>
    <w:qFormat/>
    <w:uiPriority w:val="0"/>
    <w:rPr>
      <w:color w:val="366FB6"/>
      <w:u w:val="none"/>
    </w:rPr>
  </w:style>
  <w:style w:type="character" w:customStyle="1" w:styleId="55">
    <w:name w:val="jbox-icon-warning"/>
    <w:basedOn w:val="26"/>
    <w:autoRedefine/>
    <w:qFormat/>
    <w:uiPriority w:val="0"/>
  </w:style>
  <w:style w:type="character" w:customStyle="1" w:styleId="56">
    <w:name w:val="jbox-icon-none"/>
    <w:basedOn w:val="26"/>
    <w:autoRedefine/>
    <w:qFormat/>
    <w:uiPriority w:val="0"/>
    <w:rPr>
      <w:vanish/>
    </w:rPr>
  </w:style>
  <w:style w:type="character" w:customStyle="1" w:styleId="57">
    <w:name w:val="标题 1 Char"/>
    <w:link w:val="3"/>
    <w:autoRedefine/>
    <w:qFormat/>
    <w:uiPriority w:val="9"/>
    <w:rPr>
      <w:b/>
      <w:bCs/>
      <w:kern w:val="44"/>
      <w:sz w:val="44"/>
      <w:szCs w:val="44"/>
    </w:rPr>
  </w:style>
  <w:style w:type="character" w:customStyle="1" w:styleId="58">
    <w:name w:val="z-窗体底端 Char"/>
    <w:link w:val="59"/>
    <w:autoRedefine/>
    <w:semiHidden/>
    <w:qFormat/>
    <w:uiPriority w:val="99"/>
    <w:rPr>
      <w:rFonts w:ascii="Arial" w:hAnsi="Arial"/>
      <w:vanish/>
      <w:sz w:val="16"/>
      <w:szCs w:val="16"/>
    </w:rPr>
  </w:style>
  <w:style w:type="paragraph" w:customStyle="1" w:styleId="59">
    <w:name w:val="z-窗体底端1"/>
    <w:basedOn w:val="1"/>
    <w:next w:val="1"/>
    <w:link w:val="58"/>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60">
    <w:name w:val="批注主题 Char"/>
    <w:link w:val="22"/>
    <w:autoRedefine/>
    <w:semiHidden/>
    <w:qFormat/>
    <w:uiPriority w:val="99"/>
    <w:rPr>
      <w:b/>
      <w:bCs/>
      <w:kern w:val="2"/>
      <w:sz w:val="28"/>
      <w:szCs w:val="24"/>
    </w:rPr>
  </w:style>
  <w:style w:type="character" w:customStyle="1" w:styleId="61">
    <w:name w:val="纯文本 Char1"/>
    <w:autoRedefine/>
    <w:qFormat/>
    <w:uiPriority w:val="0"/>
    <w:rPr>
      <w:rFonts w:ascii="宋体" w:hAnsi="Courier New"/>
      <w:kern w:val="2"/>
      <w:sz w:val="21"/>
    </w:rPr>
  </w:style>
  <w:style w:type="character" w:customStyle="1" w:styleId="62">
    <w:name w:val="jbox-icon"/>
    <w:basedOn w:val="26"/>
    <w:autoRedefine/>
    <w:qFormat/>
    <w:uiPriority w:val="0"/>
  </w:style>
  <w:style w:type="character" w:customStyle="1" w:styleId="63">
    <w:name w:val="标题 1 Char Char"/>
    <w:autoRedefine/>
    <w:qFormat/>
    <w:uiPriority w:val="0"/>
    <w:rPr>
      <w:rFonts w:eastAsia="宋体"/>
      <w:b/>
      <w:spacing w:val="-2"/>
      <w:sz w:val="24"/>
      <w:lang w:val="en-US" w:eastAsia="zh-CN" w:bidi="ar-SA"/>
    </w:rPr>
  </w:style>
  <w:style w:type="character" w:customStyle="1" w:styleId="64">
    <w:name w:val="标题 2 Char"/>
    <w:link w:val="4"/>
    <w:autoRedefine/>
    <w:semiHidden/>
    <w:qFormat/>
    <w:uiPriority w:val="9"/>
    <w:rPr>
      <w:rFonts w:ascii="Cambria" w:hAnsi="Cambria" w:eastAsia="宋体" w:cs="Times New Roman"/>
      <w:b/>
      <w:bCs/>
      <w:kern w:val="2"/>
      <w:sz w:val="32"/>
      <w:szCs w:val="32"/>
    </w:rPr>
  </w:style>
  <w:style w:type="paragraph" w:customStyle="1" w:styleId="65">
    <w:name w:val="Proposals body"/>
    <w:basedOn w:val="1"/>
    <w:next w:val="1"/>
    <w:autoRedefine/>
    <w:qFormat/>
    <w:uiPriority w:val="0"/>
    <w:pPr>
      <w:widowControl/>
      <w:spacing w:line="460" w:lineRule="exact"/>
      <w:jc w:val="left"/>
    </w:pPr>
    <w:rPr>
      <w:rFonts w:ascii="仿宋_GB2312" w:eastAsia="仿宋_GB2312"/>
      <w:snapToGrid w:val="0"/>
      <w:kern w:val="0"/>
      <w:sz w:val="24"/>
    </w:rPr>
  </w:style>
  <w:style w:type="paragraph" w:customStyle="1" w:styleId="66">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7">
    <w:name w:val="正文段"/>
    <w:basedOn w:val="1"/>
    <w:autoRedefine/>
    <w:qFormat/>
    <w:uiPriority w:val="0"/>
    <w:pPr>
      <w:widowControl/>
      <w:snapToGrid w:val="0"/>
      <w:spacing w:afterLines="50"/>
      <w:ind w:firstLine="200" w:firstLineChars="200"/>
    </w:pPr>
    <w:rPr>
      <w:kern w:val="0"/>
      <w:sz w:val="24"/>
      <w:szCs w:val="20"/>
    </w:rPr>
  </w:style>
  <w:style w:type="paragraph" w:customStyle="1" w:styleId="68">
    <w:name w:val="p0"/>
    <w:basedOn w:val="1"/>
    <w:autoRedefine/>
    <w:qFormat/>
    <w:uiPriority w:val="0"/>
    <w:pPr>
      <w:widowControl/>
      <w:spacing w:line="365" w:lineRule="atLeast"/>
      <w:ind w:left="1"/>
    </w:pPr>
    <w:rPr>
      <w:kern w:val="0"/>
      <w:sz w:val="20"/>
      <w:szCs w:val="20"/>
    </w:rPr>
  </w:style>
  <w:style w:type="paragraph" w:customStyle="1" w:styleId="69">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彩色列表 - 强调文字颜色 11"/>
    <w:basedOn w:val="1"/>
    <w:autoRedefine/>
    <w:qFormat/>
    <w:uiPriority w:val="34"/>
    <w:pPr>
      <w:ind w:firstLine="420" w:firstLineChars="200"/>
    </w:pPr>
    <w:rPr>
      <w:rFonts w:ascii="Calibri" w:hAnsi="Calibri"/>
      <w:sz w:val="21"/>
      <w:szCs w:val="22"/>
    </w:rPr>
  </w:style>
  <w:style w:type="paragraph" w:customStyle="1" w:styleId="71">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72">
    <w:name w:val="Char Char Char Char1"/>
    <w:basedOn w:val="1"/>
    <w:autoRedefine/>
    <w:qFormat/>
    <w:uiPriority w:val="0"/>
    <w:rPr>
      <w:rFonts w:ascii="Tahoma" w:hAnsi="Tahoma"/>
      <w:sz w:val="24"/>
      <w:szCs w:val="20"/>
    </w:rPr>
  </w:style>
  <w:style w:type="paragraph" w:customStyle="1" w:styleId="73">
    <w:name w:val="List Paragraph1"/>
    <w:basedOn w:val="1"/>
    <w:autoRedefine/>
    <w:qFormat/>
    <w:uiPriority w:val="0"/>
    <w:pPr>
      <w:ind w:firstLine="420" w:firstLineChars="200"/>
    </w:pPr>
    <w:rPr>
      <w:sz w:val="21"/>
    </w:rPr>
  </w:style>
  <w:style w:type="paragraph" w:customStyle="1" w:styleId="74">
    <w:name w:val="默认段落字体 Para Char Char Char Char Char Char Char Char Char1 Char Char Char Char"/>
    <w:basedOn w:val="1"/>
    <w:autoRedefine/>
    <w:qFormat/>
    <w:uiPriority w:val="0"/>
    <w:rPr>
      <w:rFonts w:ascii="Tahoma" w:hAnsi="Tahoma"/>
      <w:sz w:val="24"/>
      <w:szCs w:val="20"/>
    </w:rPr>
  </w:style>
  <w:style w:type="paragraph" w:customStyle="1" w:styleId="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77">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78">
    <w:name w:val="文档结构图 Char"/>
    <w:basedOn w:val="26"/>
    <w:link w:val="8"/>
    <w:autoRedefine/>
    <w:semiHidden/>
    <w:qFormat/>
    <w:uiPriority w:val="99"/>
    <w:rPr>
      <w:rFonts w:ascii="宋体"/>
      <w:kern w:val="2"/>
      <w:sz w:val="18"/>
      <w:szCs w:val="18"/>
    </w:rPr>
  </w:style>
  <w:style w:type="paragraph" w:styleId="7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33</Pages>
  <Words>14851</Words>
  <Characters>15712</Characters>
  <Lines>123</Lines>
  <Paragraphs>34</Paragraphs>
  <TotalTime>21</TotalTime>
  <ScaleCrop>false</ScaleCrop>
  <LinksUpToDate>false</LinksUpToDate>
  <CharactersWithSpaces>16597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2022-07-06T09:00:00Z</dcterms:created>
  <dc:creator>jj</dc:creator>
  <cp:lastModifiedBy>陈培特</cp:lastModifiedBy>
  <cp:lastPrinted>2018-12-24T02:45:00Z</cp:lastPrinted>
  <dcterms:modified xsi:type="dcterms:W3CDTF">2024-11-13T01:12:22Z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4A23AC5202B64CEFA9DCAD968257F050_13</vt:lpwstr>
  </property>
</Properties>
</file>