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jc w:val="center"/>
        <w:rPr>
          <w:rFonts w:hint="eastAsia"/>
          <w:b/>
          <w:color w:val="auto"/>
          <w:spacing w:val="-6"/>
          <w:sz w:val="48"/>
          <w:szCs w:val="48"/>
          <w:highlight w:val="none"/>
          <w:lang w:eastAsia="zh-CN"/>
        </w:rPr>
      </w:pPr>
    </w:p>
    <w:p>
      <w:pPr>
        <w:spacing w:before="120"/>
        <w:jc w:val="center"/>
        <w:rPr>
          <w:rFonts w:hint="eastAsia" w:eastAsia="仿宋"/>
          <w:b/>
          <w:color w:val="auto"/>
          <w:spacing w:val="-6"/>
          <w:sz w:val="48"/>
          <w:szCs w:val="48"/>
          <w:highlight w:val="none"/>
          <w:lang w:eastAsia="zh-CN"/>
        </w:rPr>
      </w:pPr>
      <w:r>
        <w:rPr>
          <w:rFonts w:hint="eastAsia"/>
          <w:b/>
          <w:color w:val="auto"/>
          <w:spacing w:val="-6"/>
          <w:sz w:val="48"/>
          <w:szCs w:val="48"/>
          <w:highlight w:val="none"/>
          <w:lang w:eastAsia="zh-CN"/>
        </w:rPr>
        <w:t>杭州市富阳区第三人民医院基本账户、专用账户（工会）招标项目</w:t>
      </w:r>
    </w:p>
    <w:p>
      <w:pPr>
        <w:spacing w:before="120"/>
        <w:jc w:val="center"/>
        <w:rPr>
          <w:color w:val="auto"/>
          <w:highlight w:val="none"/>
        </w:rPr>
      </w:pPr>
    </w:p>
    <w:p>
      <w:pPr>
        <w:spacing w:before="120"/>
        <w:ind w:firstLine="2800" w:firstLineChars="1000"/>
        <w:jc w:val="both"/>
        <w:rPr>
          <w:rFonts w:hint="default" w:eastAsia="仿宋"/>
          <w:b/>
          <w:color w:val="auto"/>
          <w:spacing w:val="-6"/>
          <w:sz w:val="28"/>
          <w:szCs w:val="28"/>
          <w:highlight w:val="none"/>
          <w:lang w:val="en-US" w:eastAsia="zh-CN"/>
        </w:rPr>
      </w:pPr>
      <w:r>
        <w:rPr>
          <w:rFonts w:hint="eastAsia"/>
          <w:color w:val="auto"/>
          <w:sz w:val="28"/>
          <w:szCs w:val="28"/>
          <w:highlight w:val="none"/>
        </w:rPr>
        <w:t>项目编号：ZJZC202</w:t>
      </w:r>
      <w:r>
        <w:rPr>
          <w:rFonts w:hint="eastAsia"/>
          <w:color w:val="auto"/>
          <w:sz w:val="28"/>
          <w:szCs w:val="28"/>
          <w:highlight w:val="none"/>
          <w:lang w:val="en-US" w:eastAsia="zh-CN"/>
        </w:rPr>
        <w:t>5</w:t>
      </w:r>
      <w:r>
        <w:rPr>
          <w:rFonts w:hint="eastAsia"/>
          <w:color w:val="auto"/>
          <w:sz w:val="28"/>
          <w:szCs w:val="28"/>
          <w:highlight w:val="none"/>
        </w:rPr>
        <w:t>-</w:t>
      </w:r>
      <w:r>
        <w:rPr>
          <w:rFonts w:hint="eastAsia"/>
          <w:color w:val="auto"/>
          <w:sz w:val="28"/>
          <w:szCs w:val="28"/>
          <w:highlight w:val="none"/>
          <w:lang w:val="en-US" w:eastAsia="zh-CN"/>
        </w:rPr>
        <w:t>02</w:t>
      </w:r>
    </w:p>
    <w:p>
      <w:pPr>
        <w:pStyle w:val="35"/>
        <w:spacing w:before="124" w:after="124"/>
        <w:rPr>
          <w:b/>
          <w:color w:val="auto"/>
          <w:spacing w:val="40"/>
          <w:szCs w:val="21"/>
          <w:highlight w:val="none"/>
        </w:rPr>
      </w:pPr>
    </w:p>
    <w:p>
      <w:pPr>
        <w:spacing w:before="120" w:after="100" w:afterAutospacing="1" w:line="800" w:lineRule="exact"/>
        <w:ind w:right="-108"/>
        <w:jc w:val="center"/>
        <w:rPr>
          <w:b/>
          <w:color w:val="auto"/>
          <w:spacing w:val="40"/>
          <w:sz w:val="84"/>
          <w:szCs w:val="84"/>
          <w:highlight w:val="none"/>
        </w:rPr>
      </w:pPr>
      <w:r>
        <w:rPr>
          <w:rFonts w:hint="eastAsia"/>
          <w:b/>
          <w:color w:val="auto"/>
          <w:spacing w:val="40"/>
          <w:sz w:val="84"/>
          <w:szCs w:val="84"/>
          <w:highlight w:val="none"/>
        </w:rPr>
        <w:t>公</w:t>
      </w:r>
    </w:p>
    <w:p>
      <w:pPr>
        <w:spacing w:before="120" w:after="100" w:afterAutospacing="1" w:line="800" w:lineRule="exact"/>
        <w:ind w:right="-108"/>
        <w:jc w:val="center"/>
        <w:rPr>
          <w:b/>
          <w:color w:val="auto"/>
          <w:spacing w:val="40"/>
          <w:sz w:val="84"/>
          <w:szCs w:val="84"/>
          <w:highlight w:val="none"/>
        </w:rPr>
      </w:pPr>
      <w:r>
        <w:rPr>
          <w:rFonts w:hint="eastAsia"/>
          <w:b/>
          <w:color w:val="auto"/>
          <w:spacing w:val="40"/>
          <w:sz w:val="84"/>
          <w:szCs w:val="84"/>
          <w:highlight w:val="none"/>
        </w:rPr>
        <w:t>开</w:t>
      </w:r>
    </w:p>
    <w:p>
      <w:pPr>
        <w:spacing w:before="120" w:after="100" w:afterAutospacing="1" w:line="800" w:lineRule="exact"/>
        <w:ind w:right="-108"/>
        <w:jc w:val="center"/>
        <w:rPr>
          <w:b/>
          <w:color w:val="auto"/>
          <w:spacing w:val="40"/>
          <w:sz w:val="84"/>
          <w:szCs w:val="84"/>
          <w:highlight w:val="none"/>
        </w:rPr>
      </w:pPr>
      <w:r>
        <w:rPr>
          <w:rFonts w:hint="eastAsia"/>
          <w:b/>
          <w:color w:val="auto"/>
          <w:spacing w:val="40"/>
          <w:sz w:val="84"/>
          <w:szCs w:val="84"/>
          <w:highlight w:val="none"/>
        </w:rPr>
        <w:t>招</w:t>
      </w:r>
    </w:p>
    <w:p>
      <w:pPr>
        <w:spacing w:before="120" w:after="100" w:afterAutospacing="1" w:line="800" w:lineRule="exact"/>
        <w:ind w:right="-108"/>
        <w:jc w:val="center"/>
        <w:rPr>
          <w:b/>
          <w:color w:val="auto"/>
          <w:spacing w:val="40"/>
          <w:sz w:val="84"/>
          <w:szCs w:val="84"/>
          <w:highlight w:val="none"/>
        </w:rPr>
      </w:pPr>
      <w:r>
        <w:rPr>
          <w:rFonts w:hint="eastAsia"/>
          <w:b/>
          <w:color w:val="auto"/>
          <w:spacing w:val="40"/>
          <w:sz w:val="84"/>
          <w:szCs w:val="84"/>
          <w:highlight w:val="none"/>
        </w:rPr>
        <w:t>标</w:t>
      </w:r>
    </w:p>
    <w:p>
      <w:pPr>
        <w:spacing w:before="120" w:after="100" w:afterAutospacing="1" w:line="800" w:lineRule="exact"/>
        <w:ind w:right="-108"/>
        <w:jc w:val="center"/>
        <w:rPr>
          <w:b/>
          <w:color w:val="auto"/>
          <w:spacing w:val="40"/>
          <w:sz w:val="84"/>
          <w:szCs w:val="84"/>
          <w:highlight w:val="none"/>
        </w:rPr>
      </w:pPr>
      <w:r>
        <w:rPr>
          <w:rFonts w:hint="eastAsia"/>
          <w:b/>
          <w:color w:val="auto"/>
          <w:spacing w:val="40"/>
          <w:sz w:val="84"/>
          <w:szCs w:val="84"/>
          <w:highlight w:val="none"/>
        </w:rPr>
        <w:t>文</w:t>
      </w:r>
    </w:p>
    <w:p>
      <w:pPr>
        <w:spacing w:before="120" w:after="100" w:afterAutospacing="1" w:line="800" w:lineRule="exact"/>
        <w:ind w:right="-108"/>
        <w:jc w:val="center"/>
        <w:rPr>
          <w:b/>
          <w:color w:val="auto"/>
          <w:spacing w:val="40"/>
          <w:sz w:val="84"/>
          <w:szCs w:val="84"/>
          <w:highlight w:val="none"/>
        </w:rPr>
      </w:pPr>
      <w:r>
        <w:rPr>
          <w:rFonts w:hint="eastAsia"/>
          <w:b/>
          <w:color w:val="auto"/>
          <w:spacing w:val="40"/>
          <w:sz w:val="84"/>
          <w:szCs w:val="84"/>
          <w:highlight w:val="none"/>
        </w:rPr>
        <w:t>件</w:t>
      </w:r>
    </w:p>
    <w:p>
      <w:pPr>
        <w:pStyle w:val="48"/>
        <w:spacing w:before="156" w:after="156" w:line="360" w:lineRule="auto"/>
        <w:jc w:val="center"/>
        <w:rPr>
          <w:rFonts w:hint="eastAsia" w:ascii="仿宋" w:hAnsi="仿宋" w:eastAsia="仿宋" w:cs="仿宋"/>
          <w:color w:val="auto"/>
          <w:kern w:val="3"/>
          <w:sz w:val="32"/>
          <w:szCs w:val="32"/>
          <w:highlight w:val="none"/>
          <w:lang w:val="en-US" w:eastAsia="zh-CN" w:bidi="ar-SA"/>
        </w:rPr>
      </w:pPr>
      <w:r>
        <w:rPr>
          <w:rFonts w:hint="eastAsia" w:ascii="仿宋" w:hAnsi="仿宋" w:eastAsia="仿宋" w:cs="仿宋"/>
          <w:color w:val="auto"/>
          <w:kern w:val="3"/>
          <w:sz w:val="32"/>
          <w:szCs w:val="32"/>
          <w:highlight w:val="none"/>
          <w:lang w:val="en-US" w:eastAsia="zh-CN" w:bidi="ar-SA"/>
        </w:rPr>
        <w:t>招标人：</w:t>
      </w:r>
      <w:r>
        <w:rPr>
          <w:rFonts w:hint="eastAsia" w:ascii="仿宋" w:hAnsi="仿宋" w:cs="仿宋"/>
          <w:color w:val="auto"/>
          <w:kern w:val="3"/>
          <w:sz w:val="32"/>
          <w:szCs w:val="32"/>
          <w:highlight w:val="none"/>
          <w:lang w:val="en-US" w:eastAsia="zh-CN" w:bidi="ar-SA"/>
        </w:rPr>
        <w:t> 杭州市富阳区第三人民医院</w:t>
      </w:r>
      <w:r>
        <w:rPr>
          <w:rFonts w:hint="eastAsia" w:ascii="仿宋" w:hAnsi="仿宋" w:eastAsia="仿宋" w:cs="仿宋"/>
          <w:color w:val="auto"/>
          <w:kern w:val="3"/>
          <w:sz w:val="32"/>
          <w:szCs w:val="32"/>
          <w:highlight w:val="none"/>
          <w:lang w:val="en-US" w:eastAsia="zh-CN" w:bidi="ar-SA"/>
        </w:rPr>
        <w:t>(盖章)</w:t>
      </w:r>
    </w:p>
    <w:p>
      <w:pPr>
        <w:spacing w:line="500" w:lineRule="exact"/>
        <w:ind w:right="105"/>
        <w:jc w:val="center"/>
        <w:rPr>
          <w:color w:val="auto"/>
          <w:highlight w:val="none"/>
        </w:rPr>
      </w:pPr>
      <w:r>
        <w:rPr>
          <w:rFonts w:hint="eastAsia" w:ascii="仿宋" w:hAnsi="仿宋" w:eastAsia="仿宋" w:cs="仿宋"/>
          <w:color w:val="auto"/>
          <w:kern w:val="3"/>
          <w:sz w:val="32"/>
          <w:szCs w:val="32"/>
          <w:highlight w:val="none"/>
          <w:lang w:val="en-US" w:eastAsia="zh-CN" w:bidi="ar-SA"/>
        </w:rPr>
        <w:t>招标代理机构：</w:t>
      </w:r>
      <w:r>
        <w:rPr>
          <w:rFonts w:hint="eastAsia" w:cs="仿宋"/>
          <w:color w:val="auto"/>
          <w:kern w:val="3"/>
          <w:sz w:val="32"/>
          <w:szCs w:val="32"/>
          <w:highlight w:val="none"/>
          <w:lang w:val="en-US" w:eastAsia="zh-CN" w:bidi="ar-SA"/>
        </w:rPr>
        <w:t>浙江中诚工程管理科技有限公司</w:t>
      </w:r>
      <w:r>
        <w:rPr>
          <w:rFonts w:hint="eastAsia"/>
          <w:color w:val="auto"/>
          <w:sz w:val="32"/>
          <w:szCs w:val="32"/>
          <w:highlight w:val="none"/>
        </w:rPr>
        <w:t>(盖章)</w:t>
      </w:r>
    </w:p>
    <w:p>
      <w:pPr>
        <w:spacing w:before="120"/>
        <w:rPr>
          <w:color w:val="auto"/>
          <w:sz w:val="30"/>
          <w:szCs w:val="30"/>
          <w:highlight w:val="none"/>
        </w:rPr>
      </w:pPr>
    </w:p>
    <w:p>
      <w:pPr>
        <w:pStyle w:val="48"/>
        <w:spacing w:before="156" w:after="156" w:line="360" w:lineRule="auto"/>
        <w:ind w:left="1900" w:hanging="640"/>
        <w:rPr>
          <w:rFonts w:ascii="仿宋" w:hAnsi="仿宋"/>
          <w:color w:val="auto"/>
          <w:sz w:val="32"/>
          <w:szCs w:val="32"/>
          <w:highlight w:val="none"/>
        </w:rPr>
      </w:pPr>
    </w:p>
    <w:p>
      <w:pPr>
        <w:pStyle w:val="48"/>
        <w:spacing w:before="156" w:after="156" w:line="360" w:lineRule="auto"/>
        <w:jc w:val="both"/>
        <w:rPr>
          <w:rFonts w:ascii="仿宋" w:hAnsi="仿宋"/>
          <w:b/>
          <w:color w:val="auto"/>
          <w:sz w:val="44"/>
          <w:szCs w:val="44"/>
          <w:highlight w:val="none"/>
        </w:rPr>
      </w:pPr>
    </w:p>
    <w:p>
      <w:pPr>
        <w:pStyle w:val="48"/>
        <w:spacing w:before="156" w:after="156" w:line="360" w:lineRule="auto"/>
        <w:ind w:left="885" w:hanging="885"/>
        <w:jc w:val="center"/>
        <w:rPr>
          <w:rFonts w:ascii="仿宋" w:hAnsi="仿宋"/>
          <w:b/>
          <w:color w:val="auto"/>
          <w:sz w:val="44"/>
          <w:szCs w:val="44"/>
          <w:highlight w:val="none"/>
        </w:rPr>
      </w:pPr>
      <w:r>
        <w:rPr>
          <w:rFonts w:hint="eastAsia" w:ascii="仿宋" w:hAnsi="仿宋"/>
          <w:b/>
          <w:color w:val="auto"/>
          <w:sz w:val="44"/>
          <w:szCs w:val="44"/>
          <w:highlight w:val="none"/>
        </w:rPr>
        <w:t>目    录</w:t>
      </w:r>
    </w:p>
    <w:p>
      <w:pPr>
        <w:pStyle w:val="48"/>
        <w:spacing w:before="156" w:after="156" w:line="360" w:lineRule="auto"/>
        <w:ind w:left="1900" w:hanging="640"/>
        <w:jc w:val="center"/>
        <w:rPr>
          <w:rFonts w:ascii="仿宋" w:hAnsi="仿宋"/>
          <w:color w:val="auto"/>
          <w:sz w:val="32"/>
          <w:szCs w:val="32"/>
          <w:highlight w:val="none"/>
        </w:rPr>
      </w:pPr>
    </w:p>
    <w:p>
      <w:pPr>
        <w:spacing w:before="120" w:line="480" w:lineRule="exact"/>
        <w:ind w:firstLine="300" w:firstLineChars="100"/>
        <w:rPr>
          <w:color w:val="auto"/>
          <w:sz w:val="30"/>
          <w:szCs w:val="30"/>
          <w:highlight w:val="none"/>
        </w:rPr>
      </w:pPr>
      <w:r>
        <w:rPr>
          <w:rFonts w:hint="eastAsia"/>
          <w:color w:val="auto"/>
          <w:sz w:val="30"/>
          <w:szCs w:val="30"/>
          <w:highlight w:val="none"/>
        </w:rPr>
        <w:t>第一章    招标公告……………………………………… 3</w:t>
      </w:r>
    </w:p>
    <w:p>
      <w:pPr>
        <w:spacing w:before="120" w:line="480" w:lineRule="exact"/>
        <w:ind w:firstLine="300" w:firstLineChars="100"/>
        <w:rPr>
          <w:rFonts w:hint="eastAsia" w:eastAsia="仿宋"/>
          <w:color w:val="auto"/>
          <w:sz w:val="30"/>
          <w:szCs w:val="30"/>
          <w:highlight w:val="none"/>
          <w:lang w:eastAsia="zh-CN"/>
        </w:rPr>
      </w:pPr>
      <w:r>
        <w:rPr>
          <w:rFonts w:hint="eastAsia"/>
          <w:color w:val="auto"/>
          <w:sz w:val="30"/>
          <w:szCs w:val="30"/>
          <w:highlight w:val="none"/>
        </w:rPr>
        <w:t xml:space="preserve">第二章    投标人须知…………………………………… </w:t>
      </w:r>
      <w:r>
        <w:rPr>
          <w:rFonts w:hint="eastAsia"/>
          <w:color w:val="auto"/>
          <w:sz w:val="30"/>
          <w:szCs w:val="30"/>
          <w:highlight w:val="none"/>
          <w:lang w:val="en-US" w:eastAsia="zh-CN"/>
        </w:rPr>
        <w:t>7</w:t>
      </w:r>
    </w:p>
    <w:p>
      <w:pPr>
        <w:spacing w:before="120" w:line="480" w:lineRule="exact"/>
        <w:ind w:firstLine="300" w:firstLineChars="100"/>
        <w:rPr>
          <w:rFonts w:hint="default" w:eastAsia="仿宋"/>
          <w:color w:val="auto"/>
          <w:sz w:val="30"/>
          <w:szCs w:val="30"/>
          <w:highlight w:val="none"/>
          <w:lang w:val="en-US" w:eastAsia="zh-CN"/>
        </w:rPr>
      </w:pPr>
      <w:r>
        <w:rPr>
          <w:rFonts w:hint="eastAsia"/>
          <w:color w:val="auto"/>
          <w:sz w:val="30"/>
          <w:szCs w:val="30"/>
          <w:highlight w:val="none"/>
        </w:rPr>
        <w:t xml:space="preserve">第三章    评标办法及评分标准………………………… </w:t>
      </w:r>
      <w:r>
        <w:rPr>
          <w:rFonts w:hint="eastAsia"/>
          <w:color w:val="auto"/>
          <w:sz w:val="30"/>
          <w:szCs w:val="30"/>
          <w:highlight w:val="none"/>
          <w:lang w:val="en-US" w:eastAsia="zh-CN"/>
        </w:rPr>
        <w:t>19</w:t>
      </w:r>
    </w:p>
    <w:p>
      <w:pPr>
        <w:spacing w:before="120" w:line="480" w:lineRule="exact"/>
        <w:ind w:firstLine="300" w:firstLineChars="100"/>
        <w:rPr>
          <w:rFonts w:hint="default" w:eastAsia="仿宋"/>
          <w:color w:val="auto"/>
          <w:sz w:val="30"/>
          <w:szCs w:val="30"/>
          <w:highlight w:val="none"/>
          <w:lang w:val="en-US" w:eastAsia="zh-CN"/>
        </w:rPr>
      </w:pPr>
      <w:r>
        <w:rPr>
          <w:rFonts w:hint="eastAsia"/>
          <w:color w:val="auto"/>
          <w:sz w:val="30"/>
          <w:szCs w:val="30"/>
          <w:highlight w:val="none"/>
        </w:rPr>
        <w:t xml:space="preserve">第四章    杭州市富阳区政府采购合同主要条款……… </w:t>
      </w:r>
      <w:r>
        <w:rPr>
          <w:rFonts w:hint="eastAsia"/>
          <w:color w:val="auto"/>
          <w:sz w:val="30"/>
          <w:szCs w:val="30"/>
          <w:highlight w:val="none"/>
          <w:lang w:val="en-US" w:eastAsia="zh-CN"/>
        </w:rPr>
        <w:t>23</w:t>
      </w:r>
    </w:p>
    <w:p>
      <w:pPr>
        <w:spacing w:before="120" w:line="480" w:lineRule="exact"/>
        <w:ind w:firstLine="300" w:firstLineChars="100"/>
        <w:rPr>
          <w:rFonts w:hint="default" w:eastAsia="仿宋"/>
          <w:color w:val="auto"/>
          <w:sz w:val="30"/>
          <w:szCs w:val="30"/>
          <w:highlight w:val="none"/>
          <w:lang w:val="en-US" w:eastAsia="zh-CN"/>
        </w:rPr>
      </w:pPr>
      <w:r>
        <w:rPr>
          <w:rFonts w:hint="eastAsia"/>
          <w:color w:val="auto"/>
          <w:sz w:val="30"/>
          <w:szCs w:val="30"/>
          <w:highlight w:val="none"/>
        </w:rPr>
        <w:t>第</w:t>
      </w:r>
      <w:r>
        <w:rPr>
          <w:rFonts w:hint="eastAsia"/>
          <w:color w:val="auto"/>
          <w:sz w:val="30"/>
          <w:szCs w:val="30"/>
          <w:highlight w:val="none"/>
          <w:lang w:eastAsia="zh-CN"/>
        </w:rPr>
        <w:t>五</w:t>
      </w:r>
      <w:r>
        <w:rPr>
          <w:rFonts w:hint="eastAsia"/>
          <w:color w:val="auto"/>
          <w:sz w:val="30"/>
          <w:szCs w:val="30"/>
          <w:highlight w:val="none"/>
        </w:rPr>
        <w:t xml:space="preserve">章    投标文件格式附件…………………………… </w:t>
      </w:r>
      <w:r>
        <w:rPr>
          <w:rFonts w:hint="eastAsia"/>
          <w:color w:val="auto"/>
          <w:sz w:val="30"/>
          <w:szCs w:val="30"/>
          <w:highlight w:val="none"/>
          <w:lang w:val="en-US" w:eastAsia="zh-CN"/>
        </w:rPr>
        <w:t>25</w:t>
      </w:r>
    </w:p>
    <w:p>
      <w:pPr>
        <w:rPr>
          <w:color w:val="auto"/>
          <w:highlight w:val="none"/>
        </w:rPr>
      </w:pPr>
    </w:p>
    <w:p>
      <w:pPr>
        <w:pStyle w:val="5"/>
        <w:rPr>
          <w:color w:val="auto"/>
          <w:highlight w:val="none"/>
        </w:rPr>
      </w:pPr>
      <w:r>
        <w:rPr>
          <w:color w:val="auto"/>
          <w:sz w:val="32"/>
          <w:szCs w:val="32"/>
          <w:highlight w:val="none"/>
        </w:rPr>
        <w:br w:type="page"/>
      </w:r>
      <w:bookmarkStart w:id="0" w:name="_Toc1382136464"/>
      <w:r>
        <w:rPr>
          <w:rFonts w:hint="eastAsia"/>
          <w:color w:val="auto"/>
          <w:highlight w:val="none"/>
        </w:rPr>
        <w:t>第一章  招标公告</w:t>
      </w:r>
      <w:bookmarkEnd w:id="0"/>
    </w:p>
    <w:p>
      <w:pPr>
        <w:keepNext w:val="0"/>
        <w:keepLines w:val="0"/>
        <w:pageBreakBefore w:val="0"/>
        <w:kinsoku/>
        <w:wordWrap w:val="0"/>
        <w:overflowPunct/>
        <w:topLinePunct/>
        <w:autoSpaceDE/>
        <w:autoSpaceDN/>
        <w:bidi w:val="0"/>
        <w:adjustRightInd/>
        <w:spacing w:line="400" w:lineRule="exact"/>
        <w:ind w:firstLine="480" w:firstLineChars="200"/>
        <w:textAlignment w:val="auto"/>
        <w:rPr>
          <w:color w:val="auto"/>
          <w:highlight w:val="none"/>
        </w:rPr>
      </w:pPr>
      <w:r>
        <w:rPr>
          <w:rFonts w:hint="eastAsia"/>
          <w:color w:val="auto"/>
          <w:highlight w:val="none"/>
          <w:lang w:eastAsia="zh-CN"/>
        </w:rPr>
        <w:t>浙江中诚工程管理科技有限公司</w:t>
      </w:r>
      <w:r>
        <w:rPr>
          <w:color w:val="auto"/>
          <w:highlight w:val="none"/>
        </w:rPr>
        <w:t>受</w:t>
      </w:r>
      <w:r>
        <w:rPr>
          <w:rFonts w:hint="eastAsia"/>
          <w:color w:val="auto"/>
          <w:highlight w:val="none"/>
          <w:lang w:eastAsia="zh-CN"/>
        </w:rPr>
        <w:t> 杭州市富阳区第三人民医院</w:t>
      </w:r>
      <w:r>
        <w:rPr>
          <w:color w:val="auto"/>
          <w:highlight w:val="none"/>
        </w:rPr>
        <w:t>委托，根据《杭州市富阳区区级行政事业单位公款竞争性存放管理办法》(富财预执〔2023〕17号)及有关法律法规规定，就</w:t>
      </w:r>
      <w:r>
        <w:rPr>
          <w:rFonts w:hint="eastAsia"/>
          <w:color w:val="auto"/>
          <w:highlight w:val="none"/>
          <w:lang w:eastAsia="zh-CN"/>
        </w:rPr>
        <w:t>杭州市富阳区第三人民医院基本账户、专用账户（工会）招标项目</w:t>
      </w:r>
      <w:r>
        <w:rPr>
          <w:color w:val="auto"/>
          <w:highlight w:val="none"/>
        </w:rPr>
        <w:t>进行公开招标，现欢迎符合条件有意参加投标的单位参加投标。</w:t>
      </w:r>
      <w:r>
        <w:rPr>
          <w:rFonts w:hint="eastAsia"/>
          <w:color w:val="auto"/>
          <w:highlight w:val="none"/>
        </w:rPr>
        <w:t>本项目的投标人应在政采云平台（https://www.zcygov.cn/）报名并获取（下载）招标文件，并于</w:t>
      </w:r>
      <w:r>
        <w:rPr>
          <w:rFonts w:hint="eastAsia"/>
          <w:color w:val="auto"/>
          <w:highlight w:val="none"/>
          <w:lang w:val="en-US" w:eastAsia="zh-CN"/>
        </w:rPr>
        <w:t>2025</w:t>
      </w:r>
      <w:r>
        <w:rPr>
          <w:rFonts w:hint="eastAsia"/>
          <w:color w:val="auto"/>
          <w:highlight w:val="none"/>
        </w:rPr>
        <w:t>年</w:t>
      </w:r>
      <w:r>
        <w:rPr>
          <w:rFonts w:hint="eastAsia"/>
          <w:color w:val="auto"/>
          <w:highlight w:val="none"/>
          <w:lang w:val="en-US" w:eastAsia="zh-CN"/>
        </w:rPr>
        <w:t>2</w:t>
      </w:r>
      <w:r>
        <w:rPr>
          <w:rFonts w:hint="eastAsia"/>
          <w:color w:val="auto"/>
          <w:highlight w:val="none"/>
        </w:rPr>
        <w:t>月</w:t>
      </w:r>
      <w:r>
        <w:rPr>
          <w:rFonts w:hint="eastAsia"/>
          <w:color w:val="auto"/>
          <w:highlight w:val="none"/>
          <w:lang w:val="en-US" w:eastAsia="zh-CN"/>
        </w:rPr>
        <w:t>13</w:t>
      </w:r>
      <w:r>
        <w:rPr>
          <w:rFonts w:hint="eastAsia"/>
          <w:color w:val="auto"/>
          <w:highlight w:val="none"/>
        </w:rPr>
        <w:t>日</w:t>
      </w:r>
      <w:r>
        <w:rPr>
          <w:rFonts w:hint="eastAsia"/>
          <w:color w:val="auto"/>
          <w:highlight w:val="none"/>
          <w:lang w:val="en-US" w:eastAsia="zh-CN"/>
        </w:rPr>
        <w:t>9</w:t>
      </w:r>
      <w:r>
        <w:rPr>
          <w:rFonts w:hint="eastAsia"/>
          <w:color w:val="auto"/>
          <w:highlight w:val="none"/>
        </w:rPr>
        <w:t>点</w:t>
      </w:r>
      <w:r>
        <w:rPr>
          <w:rFonts w:hint="eastAsia"/>
          <w:color w:val="auto"/>
          <w:highlight w:val="none"/>
          <w:lang w:val="en-US" w:eastAsia="zh-CN"/>
        </w:rPr>
        <w:t>30</w:t>
      </w:r>
      <w:r>
        <w:rPr>
          <w:rFonts w:hint="eastAsia"/>
          <w:color w:val="auto"/>
          <w:highlight w:val="none"/>
        </w:rPr>
        <w:t>分00秒（北京时间）前递交（上传）投标文件。</w:t>
      </w:r>
    </w:p>
    <w:p>
      <w:pPr>
        <w:keepNext w:val="0"/>
        <w:keepLines w:val="0"/>
        <w:pageBreakBefore w:val="0"/>
        <w:kinsoku/>
        <w:overflowPunct/>
        <w:autoSpaceDE/>
        <w:autoSpaceDN/>
        <w:bidi w:val="0"/>
        <w:adjustRightInd/>
        <w:spacing w:line="400" w:lineRule="exact"/>
        <w:ind w:firstLine="482" w:firstLineChars="200"/>
        <w:textAlignment w:val="auto"/>
        <w:rPr>
          <w:rFonts w:hint="eastAsia" w:eastAsia="仿宋"/>
          <w:b/>
          <w:bCs/>
          <w:color w:val="auto"/>
          <w:highlight w:val="none"/>
          <w:lang w:eastAsia="zh-CN"/>
        </w:rPr>
      </w:pPr>
      <w:r>
        <w:rPr>
          <w:rFonts w:hint="eastAsia"/>
          <w:b/>
          <w:bCs/>
          <w:color w:val="auto"/>
          <w:highlight w:val="none"/>
        </w:rPr>
        <w:t>一、项目名称：</w:t>
      </w:r>
      <w:r>
        <w:rPr>
          <w:rFonts w:hint="eastAsia"/>
          <w:color w:val="auto"/>
          <w:highlight w:val="none"/>
          <w:lang w:eastAsia="zh-CN"/>
        </w:rPr>
        <w:t>杭州市富阳区第三人民医院基本账户、专用账户（工会）招标项目</w:t>
      </w:r>
    </w:p>
    <w:p>
      <w:pPr>
        <w:keepNext w:val="0"/>
        <w:keepLines w:val="0"/>
        <w:pageBreakBefore w:val="0"/>
        <w:kinsoku/>
        <w:overflowPunct/>
        <w:autoSpaceDE/>
        <w:autoSpaceDN/>
        <w:bidi w:val="0"/>
        <w:adjustRightInd/>
        <w:spacing w:line="400" w:lineRule="exact"/>
        <w:ind w:firstLine="482" w:firstLineChars="200"/>
        <w:textAlignment w:val="auto"/>
        <w:rPr>
          <w:rFonts w:hint="eastAsia" w:eastAsia="仿宋"/>
          <w:b/>
          <w:bCs/>
          <w:color w:val="auto"/>
          <w:highlight w:val="none"/>
          <w:lang w:eastAsia="zh-CN"/>
        </w:rPr>
      </w:pPr>
      <w:r>
        <w:rPr>
          <w:rFonts w:hint="eastAsia"/>
          <w:b/>
          <w:bCs/>
          <w:color w:val="auto"/>
          <w:highlight w:val="none"/>
        </w:rPr>
        <w:t>二、项目编号：</w:t>
      </w:r>
      <w:r>
        <w:rPr>
          <w:rFonts w:hint="eastAsia"/>
          <w:b w:val="0"/>
          <w:bCs w:val="0"/>
          <w:color w:val="auto"/>
          <w:highlight w:val="none"/>
        </w:rPr>
        <w:t>ZJZC202</w:t>
      </w:r>
      <w:r>
        <w:rPr>
          <w:rFonts w:hint="eastAsia"/>
          <w:b w:val="0"/>
          <w:bCs w:val="0"/>
          <w:color w:val="auto"/>
          <w:highlight w:val="none"/>
          <w:lang w:val="en-US" w:eastAsia="zh-CN"/>
        </w:rPr>
        <w:t>5</w:t>
      </w:r>
      <w:r>
        <w:rPr>
          <w:rFonts w:hint="eastAsia"/>
          <w:b w:val="0"/>
          <w:bCs w:val="0"/>
          <w:color w:val="auto"/>
          <w:highlight w:val="none"/>
        </w:rPr>
        <w:t>-</w:t>
      </w:r>
      <w:r>
        <w:rPr>
          <w:rFonts w:hint="eastAsia"/>
          <w:b w:val="0"/>
          <w:bCs w:val="0"/>
          <w:color w:val="auto"/>
          <w:highlight w:val="none"/>
          <w:lang w:val="en-US" w:eastAsia="zh-CN"/>
        </w:rPr>
        <w:t>02</w:t>
      </w:r>
    </w:p>
    <w:p>
      <w:pPr>
        <w:keepNext w:val="0"/>
        <w:keepLines w:val="0"/>
        <w:pageBreakBefore w:val="0"/>
        <w:kinsoku/>
        <w:overflowPunct/>
        <w:autoSpaceDE/>
        <w:autoSpaceDN/>
        <w:bidi w:val="0"/>
        <w:adjustRightInd/>
        <w:spacing w:line="400" w:lineRule="exact"/>
        <w:ind w:firstLine="482" w:firstLineChars="200"/>
        <w:textAlignment w:val="auto"/>
        <w:rPr>
          <w:b/>
          <w:bCs/>
          <w:color w:val="auto"/>
          <w:highlight w:val="none"/>
        </w:rPr>
      </w:pPr>
      <w:r>
        <w:rPr>
          <w:rFonts w:hint="eastAsia"/>
          <w:b/>
          <w:bCs/>
          <w:color w:val="auto"/>
          <w:highlight w:val="none"/>
        </w:rPr>
        <w:t>三、采购方式：</w:t>
      </w:r>
      <w:r>
        <w:rPr>
          <w:rFonts w:hint="eastAsia"/>
          <w:b w:val="0"/>
          <w:bCs w:val="0"/>
          <w:color w:val="auto"/>
          <w:highlight w:val="none"/>
        </w:rPr>
        <w:t>公开招标</w:t>
      </w:r>
    </w:p>
    <w:p>
      <w:pPr>
        <w:keepNext w:val="0"/>
        <w:keepLines w:val="0"/>
        <w:pageBreakBefore w:val="0"/>
        <w:kinsoku/>
        <w:overflowPunct/>
        <w:autoSpaceDE/>
        <w:autoSpaceDN/>
        <w:bidi w:val="0"/>
        <w:adjustRightInd/>
        <w:spacing w:line="400" w:lineRule="exact"/>
        <w:ind w:firstLine="482" w:firstLineChars="200"/>
        <w:textAlignment w:val="auto"/>
        <w:rPr>
          <w:b/>
          <w:bCs/>
          <w:color w:val="auto"/>
          <w:highlight w:val="none"/>
        </w:rPr>
      </w:pPr>
      <w:r>
        <w:rPr>
          <w:rFonts w:hint="eastAsia"/>
          <w:b/>
          <w:bCs/>
          <w:color w:val="auto"/>
          <w:highlight w:val="none"/>
        </w:rPr>
        <w:t>四、</w:t>
      </w:r>
      <w:r>
        <w:rPr>
          <w:b/>
          <w:color w:val="auto"/>
          <w:highlight w:val="none"/>
        </w:rPr>
        <w:t>招标项目简要说明</w:t>
      </w:r>
      <w:r>
        <w:rPr>
          <w:rFonts w:hint="eastAsia"/>
          <w:b/>
          <w:bCs/>
          <w:color w:val="auto"/>
          <w:highlight w:val="none"/>
        </w:rPr>
        <w:t>：（详见采购需求）</w:t>
      </w:r>
    </w:p>
    <w:p>
      <w:pPr>
        <w:pStyle w:val="83"/>
        <w:keepNext w:val="0"/>
        <w:keepLines w:val="0"/>
        <w:pageBreakBefore w:val="0"/>
        <w:kinsoku/>
        <w:overflowPunct/>
        <w:autoSpaceDE/>
        <w:autoSpaceDN/>
        <w:bidi w:val="0"/>
        <w:adjustRightInd/>
        <w:spacing w:before="0" w:beforeAutospacing="0" w:after="0" w:afterAutospacing="0" w:line="400" w:lineRule="exact"/>
        <w:ind w:firstLine="480" w:firstLineChars="200"/>
        <w:textAlignment w:val="auto"/>
        <w:rPr>
          <w:rFonts w:hint="eastAsia" w:ascii="仿宋" w:hAnsi="仿宋"/>
          <w:color w:val="auto"/>
          <w:highlight w:val="none"/>
        </w:rPr>
      </w:pPr>
      <w:r>
        <w:rPr>
          <w:rFonts w:hint="eastAsia" w:ascii="仿宋" w:hAnsi="仿宋"/>
          <w:color w:val="auto"/>
          <w:highlight w:val="none"/>
        </w:rPr>
        <w:t>1、本项目为</w:t>
      </w:r>
      <w:r>
        <w:rPr>
          <w:rFonts w:hint="eastAsia" w:ascii="仿宋" w:hAnsi="仿宋"/>
          <w:color w:val="auto"/>
          <w:highlight w:val="none"/>
          <w:lang w:eastAsia="zh-CN"/>
        </w:rPr>
        <w:t> 杭州市富阳区第三人民医院基本账户、专用账户（工会）招标</w:t>
      </w:r>
      <w:r>
        <w:rPr>
          <w:rFonts w:hint="eastAsia" w:ascii="仿宋" w:hAnsi="仿宋"/>
          <w:color w:val="auto"/>
          <w:highlight w:val="none"/>
        </w:rPr>
        <w:t>的开户及管理服务。</w:t>
      </w:r>
    </w:p>
    <w:p>
      <w:pPr>
        <w:pStyle w:val="83"/>
        <w:keepNext w:val="0"/>
        <w:keepLines w:val="0"/>
        <w:pageBreakBefore w:val="0"/>
        <w:kinsoku/>
        <w:overflowPunct/>
        <w:autoSpaceDE/>
        <w:autoSpaceDN/>
        <w:bidi w:val="0"/>
        <w:adjustRightInd/>
        <w:spacing w:before="0" w:beforeAutospacing="0" w:after="0" w:afterAutospacing="0" w:line="400" w:lineRule="exact"/>
        <w:ind w:firstLine="480" w:firstLineChars="200"/>
        <w:textAlignment w:val="auto"/>
        <w:rPr>
          <w:rFonts w:hint="eastAsia" w:ascii="仿宋" w:hAnsi="仿宋"/>
          <w:color w:val="auto"/>
          <w:highlight w:val="none"/>
          <w:lang w:val="en-US" w:eastAsia="zh-CN"/>
        </w:rPr>
      </w:pPr>
      <w:r>
        <w:rPr>
          <w:rFonts w:hint="eastAsia" w:ascii="仿宋" w:hAnsi="仿宋"/>
          <w:color w:val="auto"/>
          <w:highlight w:val="none"/>
          <w:lang w:val="en-US" w:eastAsia="zh-CN"/>
        </w:rPr>
        <w:t>2、现通过公开招标方式择优选择1家中标单位（具体详见招标文件）。</w:t>
      </w:r>
    </w:p>
    <w:p>
      <w:pPr>
        <w:pStyle w:val="83"/>
        <w:keepNext w:val="0"/>
        <w:keepLines w:val="0"/>
        <w:pageBreakBefore w:val="0"/>
        <w:kinsoku/>
        <w:overflowPunct/>
        <w:autoSpaceDE/>
        <w:autoSpaceDN/>
        <w:bidi w:val="0"/>
        <w:adjustRightInd/>
        <w:spacing w:before="0" w:beforeAutospacing="0" w:after="0" w:afterAutospacing="0" w:line="400" w:lineRule="exact"/>
        <w:ind w:firstLine="480" w:firstLineChars="200"/>
        <w:textAlignment w:val="auto"/>
        <w:rPr>
          <w:rFonts w:ascii="仿宋" w:hAnsi="仿宋"/>
          <w:color w:val="auto"/>
          <w:highlight w:val="none"/>
        </w:rPr>
      </w:pPr>
      <w:r>
        <w:rPr>
          <w:rFonts w:hint="eastAsia" w:ascii="仿宋" w:hAnsi="仿宋"/>
          <w:color w:val="auto"/>
          <w:highlight w:val="none"/>
          <w:lang w:val="en-US" w:eastAsia="zh-CN"/>
        </w:rPr>
        <w:t>3</w:t>
      </w:r>
      <w:r>
        <w:rPr>
          <w:rFonts w:hint="eastAsia" w:ascii="仿宋" w:hAnsi="仿宋"/>
          <w:color w:val="auto"/>
          <w:highlight w:val="none"/>
        </w:rPr>
        <w:t>、账户管理年限：五年（具体时间以签订合同之日计算）；</w:t>
      </w:r>
    </w:p>
    <w:p>
      <w:pPr>
        <w:keepNext w:val="0"/>
        <w:keepLines w:val="0"/>
        <w:pageBreakBefore w:val="0"/>
        <w:kinsoku/>
        <w:wordWrap w:val="0"/>
        <w:overflowPunct/>
        <w:topLinePunct/>
        <w:autoSpaceDE/>
        <w:autoSpaceDN/>
        <w:bidi w:val="0"/>
        <w:adjustRightInd/>
        <w:spacing w:line="400" w:lineRule="exact"/>
        <w:ind w:firstLine="482" w:firstLineChars="200"/>
        <w:textAlignment w:val="auto"/>
        <w:rPr>
          <w:b/>
          <w:bCs/>
          <w:color w:val="auto"/>
          <w:highlight w:val="none"/>
        </w:rPr>
      </w:pPr>
      <w:r>
        <w:rPr>
          <w:rFonts w:hint="eastAsia"/>
          <w:b/>
          <w:bCs/>
          <w:color w:val="auto"/>
          <w:highlight w:val="none"/>
        </w:rPr>
        <w:t>五、合格投标人的资格要求</w:t>
      </w:r>
    </w:p>
    <w:p>
      <w:pPr>
        <w:pStyle w:val="83"/>
        <w:widowControl w:val="0"/>
        <w:spacing w:before="0" w:beforeAutospacing="0" w:after="0" w:afterAutospacing="0" w:line="440" w:lineRule="exact"/>
        <w:ind w:firstLine="482" w:firstLineChars="200"/>
        <w:rPr>
          <w:rFonts w:ascii="仿宋" w:hAnsi="仿宋" w:eastAsia="仿宋"/>
          <w:color w:val="auto"/>
          <w:highlight w:val="none"/>
        </w:rPr>
      </w:pPr>
      <w:bookmarkStart w:id="1" w:name="_Hlk89544082"/>
      <w:r>
        <w:rPr>
          <w:rFonts w:hint="eastAsia" w:ascii="仿宋" w:hAnsi="仿宋" w:eastAsia="仿宋"/>
          <w:b/>
          <w:color w:val="auto"/>
          <w:highlight w:val="none"/>
        </w:rPr>
        <w:t>在中华人民共和国境内依法设立的国有商业银行、股份制商业银行、邮政储蓄银行、城市商业银行、农村商业银行及政策性银行，并在富阳区行政区域内设有分支机构。同时必须符合以下条件：</w:t>
      </w:r>
      <w:r>
        <w:rPr>
          <w:rFonts w:ascii="仿宋" w:hAnsi="仿宋" w:eastAsia="仿宋"/>
          <w:color w:val="auto"/>
          <w:highlight w:val="none"/>
        </w:rPr>
        <w:t xml:space="preserve"> </w:t>
      </w:r>
    </w:p>
    <w:p>
      <w:pPr>
        <w:pStyle w:val="83"/>
        <w:widowControl w:val="0"/>
        <w:spacing w:before="0" w:beforeAutospacing="0" w:after="0" w:afterAutospacing="0" w:line="440" w:lineRule="exact"/>
        <w:ind w:firstLine="480" w:firstLineChars="200"/>
        <w:rPr>
          <w:rFonts w:ascii="仿宋" w:hAnsi="仿宋" w:eastAsia="仿宋"/>
          <w:color w:val="auto"/>
          <w:highlight w:val="none"/>
        </w:rPr>
      </w:pPr>
      <w:r>
        <w:rPr>
          <w:rFonts w:hint="eastAsia" w:ascii="仿宋" w:hAnsi="仿宋" w:eastAsia="仿宋"/>
          <w:color w:val="auto"/>
          <w:highlight w:val="none"/>
        </w:rPr>
        <w:t>1</w:t>
      </w:r>
      <w:r>
        <w:rPr>
          <w:rFonts w:ascii="仿宋" w:hAnsi="仿宋" w:eastAsia="仿宋"/>
          <w:color w:val="auto"/>
          <w:highlight w:val="none"/>
        </w:rPr>
        <w:t>.</w:t>
      </w:r>
      <w:r>
        <w:rPr>
          <w:rFonts w:hint="eastAsia" w:ascii="仿宋" w:hAnsi="仿宋" w:eastAsia="仿宋"/>
          <w:color w:val="auto"/>
          <w:highlight w:val="none"/>
        </w:rPr>
        <w:t>在区级行政事业单位所在同城设有分支机构；</w:t>
      </w:r>
    </w:p>
    <w:p>
      <w:pPr>
        <w:pStyle w:val="83"/>
        <w:widowControl w:val="0"/>
        <w:spacing w:before="0" w:beforeAutospacing="0" w:after="0" w:afterAutospacing="0" w:line="440" w:lineRule="exact"/>
        <w:ind w:firstLine="480" w:firstLineChars="200"/>
        <w:rPr>
          <w:rFonts w:ascii="仿宋" w:hAnsi="仿宋" w:eastAsia="仿宋"/>
          <w:color w:val="auto"/>
          <w:highlight w:val="none"/>
        </w:rPr>
      </w:pPr>
      <w:r>
        <w:rPr>
          <w:rFonts w:hint="eastAsia" w:ascii="仿宋" w:hAnsi="仿宋" w:eastAsia="仿宋"/>
          <w:color w:val="auto"/>
          <w:highlight w:val="none"/>
        </w:rPr>
        <w:t>2.依法开展经营活动，近3年内在经营活动中无重大违法违规记录及重大违约事件；</w:t>
      </w:r>
    </w:p>
    <w:p>
      <w:pPr>
        <w:pStyle w:val="83"/>
        <w:widowControl w:val="0"/>
        <w:spacing w:before="0" w:beforeAutospacing="0" w:after="0" w:afterAutospacing="0" w:line="440" w:lineRule="exact"/>
        <w:ind w:firstLine="480" w:firstLineChars="200"/>
        <w:rPr>
          <w:rFonts w:ascii="仿宋" w:hAnsi="仿宋" w:eastAsia="仿宋"/>
          <w:b/>
          <w:bCs/>
          <w:color w:val="auto"/>
          <w:highlight w:val="none"/>
        </w:rPr>
      </w:pPr>
      <w:r>
        <w:rPr>
          <w:rFonts w:hint="eastAsia" w:ascii="仿宋" w:hAnsi="仿宋" w:eastAsia="仿宋"/>
          <w:color w:val="auto"/>
          <w:highlight w:val="none"/>
        </w:rPr>
        <w:t>3.纳入人民银行综合评价的银行，人民银行上年度综合评价应达到B级及以上，不纳入人民银行综合评价范围的银行不受此限制。</w:t>
      </w:r>
      <w:r>
        <w:rPr>
          <w:rFonts w:hint="eastAsia" w:ascii="仿宋" w:hAnsi="仿宋" w:eastAsia="仿宋"/>
          <w:b/>
          <w:bCs/>
          <w:color w:val="auto"/>
          <w:highlight w:val="none"/>
        </w:rPr>
        <w:t>（上年度综合评价未出的，可提供仅有且最新的评级）</w:t>
      </w:r>
    </w:p>
    <w:p>
      <w:pPr>
        <w:widowControl w:val="0"/>
        <w:spacing w:line="440" w:lineRule="exact"/>
        <w:ind w:firstLine="480" w:firstLineChars="200"/>
        <w:rPr>
          <w:rFonts w:ascii="仿宋" w:hAnsi="仿宋" w:eastAsia="仿宋"/>
          <w:color w:val="auto"/>
          <w:highlight w:val="none"/>
        </w:rPr>
      </w:pPr>
      <w:r>
        <w:rPr>
          <w:rFonts w:ascii="仿宋" w:hAnsi="仿宋" w:eastAsia="仿宋"/>
          <w:color w:val="auto"/>
          <w:highlight w:val="none"/>
        </w:rPr>
        <w:t>4</w:t>
      </w:r>
      <w:r>
        <w:rPr>
          <w:rFonts w:hint="eastAsia" w:ascii="仿宋" w:hAnsi="仿宋" w:eastAsia="仿宋"/>
          <w:color w:val="auto"/>
          <w:highlight w:val="none"/>
        </w:rPr>
        <w:t>.持中国银行行业监督管理部门颁发的《金融许可证》。</w:t>
      </w:r>
      <w:bookmarkEnd w:id="1"/>
    </w:p>
    <w:p>
      <w:pPr>
        <w:keepNext w:val="0"/>
        <w:keepLines w:val="0"/>
        <w:pageBreakBefore w:val="0"/>
        <w:kinsoku/>
        <w:overflowPunct/>
        <w:autoSpaceDE/>
        <w:autoSpaceDN/>
        <w:bidi w:val="0"/>
        <w:adjustRightInd/>
        <w:spacing w:line="400" w:lineRule="exact"/>
        <w:ind w:firstLine="482" w:firstLineChars="200"/>
        <w:jc w:val="left"/>
        <w:textAlignment w:val="auto"/>
        <w:rPr>
          <w:b/>
          <w:bCs/>
          <w:color w:val="auto"/>
          <w:highlight w:val="none"/>
        </w:rPr>
      </w:pPr>
      <w:r>
        <w:rPr>
          <w:rFonts w:hint="eastAsia"/>
          <w:b/>
          <w:bCs/>
          <w:color w:val="auto"/>
          <w:highlight w:val="none"/>
        </w:rPr>
        <w:t>六、报名时间期限、地点、方式及报名需线上递交的文件：</w:t>
      </w:r>
    </w:p>
    <w:p>
      <w:pPr>
        <w:keepNext w:val="0"/>
        <w:keepLines w:val="0"/>
        <w:pageBreakBefore w:val="0"/>
        <w:kinsoku/>
        <w:overflowPunct/>
        <w:autoSpaceDE/>
        <w:autoSpaceDN/>
        <w:bidi w:val="0"/>
        <w:adjustRightInd/>
        <w:spacing w:line="400" w:lineRule="exact"/>
        <w:ind w:firstLine="480" w:firstLineChars="200"/>
        <w:jc w:val="left"/>
        <w:textAlignment w:val="auto"/>
        <w:rPr>
          <w:b/>
          <w:bCs/>
          <w:color w:val="auto"/>
          <w:highlight w:val="none"/>
        </w:rPr>
      </w:pPr>
      <w:r>
        <w:rPr>
          <w:rFonts w:hint="eastAsia"/>
          <w:color w:val="auto"/>
          <w:highlight w:val="none"/>
        </w:rPr>
        <w:t>1.时间期限：</w:t>
      </w:r>
      <w:r>
        <w:rPr>
          <w:rFonts w:hint="eastAsia"/>
          <w:color w:val="000000" w:themeColor="text1"/>
          <w:highlight w:val="none"/>
          <w14:textFill>
            <w14:solidFill>
              <w14:schemeClr w14:val="tx1"/>
            </w14:solidFill>
          </w14:textFill>
        </w:rPr>
        <w:t>至</w:t>
      </w:r>
      <w:r>
        <w:rPr>
          <w:rFonts w:hint="eastAsia"/>
          <w:color w:val="000000" w:themeColor="text1"/>
          <w:highlight w:val="none"/>
          <w:lang w:val="en-US" w:eastAsia="zh-CN"/>
          <w14:textFill>
            <w14:solidFill>
              <w14:schemeClr w14:val="tx1"/>
            </w14:solidFill>
          </w14:textFill>
        </w:rPr>
        <w:t>2025</w:t>
      </w:r>
      <w:r>
        <w:rPr>
          <w:rFonts w:hint="eastAsia"/>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13</w:t>
      </w:r>
      <w:r>
        <w:rPr>
          <w:rFonts w:hint="eastAsia"/>
          <w:color w:val="000000" w:themeColor="text1"/>
          <w:highlight w:val="none"/>
          <w14:textFill>
            <w14:solidFill>
              <w14:schemeClr w14:val="tx1"/>
            </w14:solidFill>
          </w14:textFill>
        </w:rPr>
        <w:t>日</w:t>
      </w:r>
      <w:r>
        <w:rPr>
          <w:rFonts w:hint="eastAsia" w:ascii="仿宋" w:hAnsi="仿宋" w:eastAsia="仿宋"/>
          <w:color w:val="auto"/>
          <w:highlight w:val="none"/>
        </w:rPr>
        <w:t>(招标文件获取时间同报名时间)</w:t>
      </w:r>
      <w:r>
        <w:rPr>
          <w:rFonts w:hint="eastAsia"/>
          <w:color w:val="000000" w:themeColor="text1"/>
          <w:highlight w:val="none"/>
          <w14:textFill>
            <w14:solidFill>
              <w14:schemeClr w14:val="tx1"/>
            </w14:solidFill>
          </w14:textFill>
        </w:rPr>
        <w:t>；</w:t>
      </w:r>
    </w:p>
    <w:p>
      <w:pPr>
        <w:keepNext w:val="0"/>
        <w:keepLines w:val="0"/>
        <w:pageBreakBefore w:val="0"/>
        <w:kinsoku/>
        <w:overflowPunct/>
        <w:autoSpaceDE/>
        <w:autoSpaceDN/>
        <w:bidi w:val="0"/>
        <w:adjustRightInd/>
        <w:spacing w:line="400" w:lineRule="exact"/>
        <w:ind w:firstLine="480" w:firstLineChars="200"/>
        <w:jc w:val="left"/>
        <w:textAlignment w:val="auto"/>
        <w:rPr>
          <w:b/>
          <w:bCs/>
          <w:color w:val="auto"/>
          <w:highlight w:val="none"/>
        </w:rPr>
      </w:pPr>
      <w:r>
        <w:rPr>
          <w:rFonts w:hint="eastAsia"/>
          <w:color w:val="auto"/>
          <w:highlight w:val="none"/>
        </w:rPr>
        <w:t>2.地点：政采云平台(https://www.zcygov.cn/)；</w:t>
      </w:r>
    </w:p>
    <w:p>
      <w:pPr>
        <w:keepNext w:val="0"/>
        <w:keepLines w:val="0"/>
        <w:pageBreakBefore w:val="0"/>
        <w:kinsoku/>
        <w:overflowPunct/>
        <w:autoSpaceDE/>
        <w:autoSpaceDN/>
        <w:bidi w:val="0"/>
        <w:adjustRightInd/>
        <w:spacing w:line="400" w:lineRule="exact"/>
        <w:ind w:firstLine="480" w:firstLineChars="200"/>
        <w:jc w:val="left"/>
        <w:textAlignment w:val="auto"/>
        <w:rPr>
          <w:color w:val="auto"/>
          <w:highlight w:val="none"/>
        </w:rPr>
      </w:pPr>
      <w:r>
        <w:rPr>
          <w:rFonts w:hint="eastAsia"/>
          <w:color w:val="auto"/>
          <w:highlight w:val="none"/>
        </w:rPr>
        <w:t>3.方式：投标人登录政采云平台，注册为正式供应商，配置岗位并进入“用户中心-公款竞争性存放-竞标项目”，在“竞标项目-进行中”标签页下选择要报名的项目，点击操作栏【报名】按钮，填写报名信息进行报名，若报名一个项目中多个标项的，则需每个标项均进行报名操作；</w:t>
      </w:r>
    </w:p>
    <w:p>
      <w:pPr>
        <w:keepNext w:val="0"/>
        <w:keepLines w:val="0"/>
        <w:pageBreakBefore w:val="0"/>
        <w:kinsoku/>
        <w:overflowPunct/>
        <w:autoSpaceDE/>
        <w:autoSpaceDN/>
        <w:bidi w:val="0"/>
        <w:adjustRightInd/>
        <w:spacing w:line="400" w:lineRule="exact"/>
        <w:ind w:firstLine="480" w:firstLineChars="200"/>
        <w:jc w:val="left"/>
        <w:textAlignment w:val="auto"/>
        <w:rPr>
          <w:bCs/>
          <w:color w:val="auto"/>
          <w:highlight w:val="none"/>
        </w:rPr>
      </w:pPr>
      <w:r>
        <w:rPr>
          <w:rFonts w:hint="eastAsia"/>
          <w:color w:val="auto"/>
          <w:highlight w:val="none"/>
        </w:rPr>
        <w:t>4.</w:t>
      </w:r>
      <w:r>
        <w:rPr>
          <w:rFonts w:hint="eastAsia"/>
          <w:bCs/>
          <w:color w:val="auto"/>
          <w:highlight w:val="none"/>
        </w:rPr>
        <w:t>报名需线上递交的文件：</w:t>
      </w:r>
    </w:p>
    <w:p>
      <w:pPr>
        <w:keepNext w:val="0"/>
        <w:keepLines w:val="0"/>
        <w:pageBreakBefore w:val="0"/>
        <w:kinsoku/>
        <w:overflowPunct/>
        <w:autoSpaceDE/>
        <w:autoSpaceDN/>
        <w:bidi w:val="0"/>
        <w:adjustRightInd/>
        <w:spacing w:line="400" w:lineRule="exact"/>
        <w:ind w:firstLine="480" w:firstLineChars="200"/>
        <w:jc w:val="left"/>
        <w:textAlignment w:val="auto"/>
        <w:rPr>
          <w:bCs/>
          <w:color w:val="auto"/>
          <w:highlight w:val="none"/>
        </w:rPr>
      </w:pPr>
      <w:r>
        <w:rPr>
          <w:rFonts w:hint="eastAsia"/>
          <w:bCs/>
          <w:color w:val="auto"/>
          <w:highlight w:val="none"/>
        </w:rPr>
        <w:t>（1）</w:t>
      </w:r>
      <w:r>
        <w:rPr>
          <w:bCs/>
          <w:color w:val="auto"/>
          <w:highlight w:val="none"/>
        </w:rPr>
        <w:t>法定代表人（或主要负责人）授权书或单位介绍信；</w:t>
      </w:r>
    </w:p>
    <w:p>
      <w:pPr>
        <w:keepNext w:val="0"/>
        <w:keepLines w:val="0"/>
        <w:pageBreakBefore w:val="0"/>
        <w:kinsoku/>
        <w:overflowPunct/>
        <w:autoSpaceDE/>
        <w:autoSpaceDN/>
        <w:bidi w:val="0"/>
        <w:adjustRightInd/>
        <w:spacing w:line="400" w:lineRule="exact"/>
        <w:ind w:firstLine="480" w:firstLineChars="200"/>
        <w:jc w:val="left"/>
        <w:textAlignment w:val="auto"/>
        <w:rPr>
          <w:bCs/>
          <w:color w:val="auto"/>
          <w:highlight w:val="none"/>
        </w:rPr>
      </w:pPr>
      <w:r>
        <w:rPr>
          <w:rFonts w:hint="eastAsia"/>
          <w:bCs/>
          <w:color w:val="auto"/>
          <w:highlight w:val="none"/>
        </w:rPr>
        <w:t>（2）</w:t>
      </w:r>
      <w:r>
        <w:rPr>
          <w:bCs/>
          <w:color w:val="auto"/>
          <w:highlight w:val="none"/>
        </w:rPr>
        <w:t>营业执照</w:t>
      </w:r>
      <w:r>
        <w:rPr>
          <w:rFonts w:hint="eastAsia"/>
          <w:bCs/>
          <w:color w:val="auto"/>
          <w:highlight w:val="none"/>
        </w:rPr>
        <w:t>原件或</w:t>
      </w:r>
      <w:r>
        <w:rPr>
          <w:bCs/>
          <w:color w:val="auto"/>
          <w:highlight w:val="none"/>
        </w:rPr>
        <w:t>复印件（复印件必须加盖单位公章）；</w:t>
      </w:r>
    </w:p>
    <w:p>
      <w:pPr>
        <w:keepNext w:val="0"/>
        <w:keepLines w:val="0"/>
        <w:pageBreakBefore w:val="0"/>
        <w:kinsoku/>
        <w:overflowPunct/>
        <w:autoSpaceDE/>
        <w:autoSpaceDN/>
        <w:bidi w:val="0"/>
        <w:adjustRightInd/>
        <w:spacing w:line="400" w:lineRule="exact"/>
        <w:ind w:firstLine="480" w:firstLineChars="200"/>
        <w:jc w:val="left"/>
        <w:textAlignment w:val="auto"/>
        <w:rPr>
          <w:rFonts w:hint="eastAsia" w:eastAsia="仿宋"/>
          <w:bCs/>
          <w:color w:val="auto"/>
          <w:highlight w:val="none"/>
          <w:lang w:val="en-US" w:eastAsia="zh-CN"/>
        </w:rPr>
      </w:pPr>
      <w:r>
        <w:rPr>
          <w:rFonts w:hint="eastAsia"/>
          <w:bCs/>
          <w:color w:val="auto"/>
          <w:highlight w:val="none"/>
        </w:rPr>
        <w:t>（3）</w:t>
      </w:r>
      <w:r>
        <w:rPr>
          <w:bCs/>
          <w:color w:val="auto"/>
          <w:highlight w:val="none"/>
        </w:rPr>
        <w:t>金融许可证</w:t>
      </w:r>
      <w:r>
        <w:rPr>
          <w:rFonts w:hint="eastAsia"/>
          <w:bCs/>
          <w:color w:val="auto"/>
          <w:highlight w:val="none"/>
        </w:rPr>
        <w:t>原件或</w:t>
      </w:r>
      <w:r>
        <w:rPr>
          <w:bCs/>
          <w:color w:val="auto"/>
          <w:highlight w:val="none"/>
        </w:rPr>
        <w:t>复印件（复印件必须加盖单位公章）</w:t>
      </w:r>
      <w:r>
        <w:rPr>
          <w:rFonts w:hint="eastAsia"/>
          <w:bCs/>
          <w:color w:val="auto"/>
          <w:highlight w:val="none"/>
          <w:lang w:val="en-US" w:eastAsia="zh-CN"/>
        </w:rPr>
        <w:t>;</w:t>
      </w:r>
    </w:p>
    <w:p>
      <w:pPr>
        <w:keepNext w:val="0"/>
        <w:keepLines w:val="0"/>
        <w:pageBreakBefore w:val="0"/>
        <w:kinsoku/>
        <w:overflowPunct/>
        <w:autoSpaceDE/>
        <w:autoSpaceDN/>
        <w:bidi w:val="0"/>
        <w:adjustRightInd/>
        <w:spacing w:line="400" w:lineRule="exact"/>
        <w:ind w:firstLine="480" w:firstLineChars="200"/>
        <w:jc w:val="left"/>
        <w:textAlignment w:val="auto"/>
        <w:rPr>
          <w:rFonts w:hint="eastAsia"/>
          <w:bCs/>
          <w:color w:val="auto"/>
          <w:highlight w:val="none"/>
        </w:rPr>
      </w:pPr>
      <w:bookmarkStart w:id="2" w:name="OLE_LINK2"/>
      <w:r>
        <w:rPr>
          <w:rFonts w:hint="eastAsia"/>
          <w:bCs/>
          <w:color w:val="auto"/>
          <w:highlight w:val="none"/>
        </w:rPr>
        <w:t>（4）其它投标人资格要求的相关证明资料（复印件必须加盖单位公章）。</w:t>
      </w:r>
      <w:bookmarkEnd w:id="2"/>
    </w:p>
    <w:p>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5.招标文件售价：免费</w:t>
      </w:r>
    </w:p>
    <w:p>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6.提示：</w:t>
      </w:r>
    </w:p>
    <w:p>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（1）招标人、招标代理机构依托政采云平台完成本项目的电子交易活动，平台不接受未按上述方式报名的投标人进行投标活动；</w:t>
      </w:r>
    </w:p>
    <w:p>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（2）对未报名的投标人对招标文件提出的质疑，招标人或招标代理机构将不予受理；</w:t>
      </w:r>
    </w:p>
    <w:p>
      <w:pPr>
        <w:widowControl w:val="0"/>
        <w:spacing w:line="440" w:lineRule="exact"/>
        <w:ind w:firstLine="480" w:firstLineChars="200"/>
        <w:rPr>
          <w:rFonts w:ascii="仿宋" w:hAnsi="仿宋" w:eastAsia="仿宋"/>
          <w:color w:val="auto"/>
          <w:highlight w:val="none"/>
        </w:rPr>
      </w:pPr>
      <w:r>
        <w:rPr>
          <w:rFonts w:hint="eastAsia" w:ascii="仿宋" w:hAnsi="仿宋" w:eastAsia="仿宋"/>
          <w:color w:val="auto"/>
          <w:highlight w:val="none"/>
        </w:rPr>
        <w:t>（3）招标人或招标代理机构对已发出的招标文件等进行必要的澄清或者修改的，招标人或招标代理机构将通过政采云平台发布公告形式通知。</w:t>
      </w:r>
    </w:p>
    <w:p>
      <w:pPr>
        <w:widowControl w:val="0"/>
        <w:spacing w:line="440" w:lineRule="exact"/>
        <w:ind w:firstLine="480" w:firstLineChars="200"/>
        <w:rPr>
          <w:rFonts w:hint="eastAsia"/>
          <w:bCs/>
          <w:color w:val="auto"/>
          <w:highlight w:val="none"/>
        </w:rPr>
      </w:pPr>
      <w:r>
        <w:rPr>
          <w:rFonts w:hint="eastAsia" w:ascii="仿宋" w:hAnsi="仿宋" w:eastAsia="仿宋"/>
          <w:color w:val="auto"/>
          <w:highlight w:val="none"/>
        </w:rPr>
        <w:t>（4）不再提供招标文件纸质版;</w:t>
      </w:r>
    </w:p>
    <w:p>
      <w:pPr>
        <w:keepNext w:val="0"/>
        <w:keepLines w:val="0"/>
        <w:pageBreakBefore w:val="0"/>
        <w:kinsoku/>
        <w:overflowPunct/>
        <w:autoSpaceDE/>
        <w:autoSpaceDN/>
        <w:bidi w:val="0"/>
        <w:adjustRightInd/>
        <w:spacing w:line="400" w:lineRule="exact"/>
        <w:ind w:firstLine="482" w:firstLineChars="200"/>
        <w:jc w:val="left"/>
        <w:textAlignment w:val="auto"/>
        <w:rPr>
          <w:b/>
          <w:bCs/>
          <w:color w:val="auto"/>
          <w:highlight w:val="none"/>
          <w:u w:val="single"/>
        </w:rPr>
      </w:pPr>
      <w:r>
        <w:rPr>
          <w:rFonts w:hint="eastAsia"/>
          <w:b/>
          <w:bCs/>
          <w:color w:val="auto"/>
          <w:highlight w:val="none"/>
          <w:lang w:val="en-US" w:eastAsia="zh-CN"/>
        </w:rPr>
        <w:t>七</w:t>
      </w:r>
      <w:r>
        <w:rPr>
          <w:rFonts w:hint="eastAsia"/>
          <w:b/>
          <w:bCs/>
          <w:color w:val="auto"/>
          <w:highlight w:val="none"/>
        </w:rPr>
        <w:t>、电子招投标的说明</w:t>
      </w:r>
    </w:p>
    <w:p>
      <w:pPr>
        <w:keepNext w:val="0"/>
        <w:keepLines w:val="0"/>
        <w:pageBreakBefore w:val="0"/>
        <w:kinsoku/>
        <w:overflowPunct/>
        <w:autoSpaceDE/>
        <w:autoSpaceDN/>
        <w:bidi w:val="0"/>
        <w:adjustRightInd/>
        <w:spacing w:line="400" w:lineRule="exact"/>
        <w:ind w:firstLine="480" w:firstLineChars="200"/>
        <w:textAlignment w:val="auto"/>
        <w:rPr>
          <w:color w:val="auto"/>
          <w:highlight w:val="none"/>
        </w:rPr>
      </w:pPr>
      <w:r>
        <w:rPr>
          <w:rFonts w:hint="eastAsia"/>
          <w:color w:val="auto"/>
          <w:highlight w:val="none"/>
        </w:rPr>
        <w:t>1.电子招投标：本项目以数据电文形式，依托“政府采购云平台（www.zcygov.cn）”进行招投标活动，各投标人应按照本项目招标文件和政采云平台的要求编制并递交投标文件，不接受纸质投标文件。</w:t>
      </w:r>
    </w:p>
    <w:p>
      <w:pPr>
        <w:keepNext w:val="0"/>
        <w:keepLines w:val="0"/>
        <w:pageBreakBefore w:val="0"/>
        <w:kinsoku/>
        <w:overflowPunct/>
        <w:autoSpaceDE/>
        <w:autoSpaceDN/>
        <w:bidi w:val="0"/>
        <w:adjustRightInd/>
        <w:spacing w:line="400" w:lineRule="exact"/>
        <w:ind w:firstLine="480" w:firstLineChars="200"/>
        <w:textAlignment w:val="auto"/>
        <w:rPr>
          <w:color w:val="auto"/>
          <w:highlight w:val="none"/>
        </w:rPr>
      </w:pPr>
      <w:r>
        <w:rPr>
          <w:rFonts w:hint="eastAsia"/>
          <w:color w:val="auto"/>
          <w:highlight w:val="none"/>
        </w:rPr>
        <w:t>2.投标准备：</w:t>
      </w:r>
    </w:p>
    <w:p>
      <w:pPr>
        <w:keepNext w:val="0"/>
        <w:keepLines w:val="0"/>
        <w:pageBreakBefore w:val="0"/>
        <w:kinsoku/>
        <w:overflowPunct/>
        <w:autoSpaceDE/>
        <w:autoSpaceDN/>
        <w:bidi w:val="0"/>
        <w:adjustRightInd/>
        <w:spacing w:line="400" w:lineRule="exact"/>
        <w:ind w:firstLine="720" w:firstLineChars="300"/>
        <w:textAlignment w:val="auto"/>
        <w:rPr>
          <w:color w:val="auto"/>
          <w:highlight w:val="none"/>
        </w:rPr>
      </w:pPr>
      <w:r>
        <w:rPr>
          <w:rFonts w:hint="eastAsia"/>
          <w:color w:val="auto"/>
          <w:highlight w:val="none"/>
        </w:rPr>
        <w:t>①注册账号--点击“入驻中心”，选择“公款竞争性存放” 模块，进行银行注册资料填写。</w:t>
      </w:r>
    </w:p>
    <w:p>
      <w:pPr>
        <w:keepNext w:val="0"/>
        <w:keepLines w:val="0"/>
        <w:pageBreakBefore w:val="0"/>
        <w:kinsoku/>
        <w:overflowPunct/>
        <w:autoSpaceDE/>
        <w:autoSpaceDN/>
        <w:bidi w:val="0"/>
        <w:adjustRightInd/>
        <w:spacing w:line="400" w:lineRule="exact"/>
        <w:ind w:firstLine="720" w:firstLineChars="300"/>
        <w:textAlignment w:val="auto"/>
        <w:rPr>
          <w:color w:val="auto"/>
          <w:highlight w:val="none"/>
        </w:rPr>
      </w:pPr>
      <w:r>
        <w:rPr>
          <w:rFonts w:hint="eastAsia"/>
          <w:color w:val="auto"/>
          <w:highlight w:val="none"/>
        </w:rPr>
        <w:t>操作流程详见“政采云平台-服务中心-帮助文档-入驻与配置”</w:t>
      </w:r>
    </w:p>
    <w:p>
      <w:pPr>
        <w:keepNext w:val="0"/>
        <w:keepLines w:val="0"/>
        <w:pageBreakBefore w:val="0"/>
        <w:kinsoku/>
        <w:overflowPunct/>
        <w:autoSpaceDE/>
        <w:autoSpaceDN/>
        <w:bidi w:val="0"/>
        <w:adjustRightInd/>
        <w:spacing w:line="400" w:lineRule="exact"/>
        <w:ind w:firstLine="720" w:firstLineChars="300"/>
        <w:textAlignment w:val="auto"/>
        <w:rPr>
          <w:color w:val="auto"/>
          <w:highlight w:val="none"/>
        </w:rPr>
      </w:pPr>
      <w:r>
        <w:rPr>
          <w:rFonts w:hint="eastAsia"/>
          <w:color w:val="auto"/>
          <w:highlight w:val="none"/>
        </w:rPr>
        <w:t>②申领CA数字证书---申领流程详见“浙江政府采购网-下载专区-电子交易客户端-CA驱动和申领流程”：投标人应在开标前完成CA数字证书办理，完成CA数字证书办理预计1-2周左右，各投标人应充分考虑办理时间等因素。</w:t>
      </w:r>
    </w:p>
    <w:p>
      <w:pPr>
        <w:keepNext w:val="0"/>
        <w:keepLines w:val="0"/>
        <w:pageBreakBefore w:val="0"/>
        <w:kinsoku/>
        <w:overflowPunct/>
        <w:autoSpaceDE/>
        <w:autoSpaceDN/>
        <w:bidi w:val="0"/>
        <w:adjustRightInd/>
        <w:spacing w:line="400" w:lineRule="exact"/>
        <w:ind w:firstLine="480" w:firstLineChars="200"/>
        <w:jc w:val="left"/>
        <w:textAlignment w:val="auto"/>
        <w:rPr>
          <w:color w:val="auto"/>
          <w:highlight w:val="none"/>
        </w:rPr>
      </w:pPr>
      <w:r>
        <w:rPr>
          <w:rFonts w:hint="eastAsia"/>
          <w:color w:val="auto"/>
          <w:highlight w:val="none"/>
        </w:rPr>
        <w:t xml:space="preserve">办理流程详见:CA管理操作指南  </w:t>
      </w:r>
      <w:r>
        <w:rPr>
          <w:color w:val="auto"/>
          <w:highlight w:val="none"/>
        </w:rPr>
        <w:fldChar w:fldCharType="begin"/>
      </w:r>
      <w:r>
        <w:rPr>
          <w:color w:val="auto"/>
          <w:highlight w:val="none"/>
        </w:rPr>
        <w:instrText xml:space="preserve"> HYPERLINK "https://service.zcygov.cn/" \l "/knowledges/cm2eqWwBFdiHxlNd_otq/lwV6GXABiyELHE-oVMj3" </w:instrText>
      </w:r>
      <w:r>
        <w:rPr>
          <w:color w:val="auto"/>
          <w:highlight w:val="none"/>
        </w:rPr>
        <w:fldChar w:fldCharType="separate"/>
      </w:r>
      <w:r>
        <w:rPr>
          <w:rFonts w:hint="eastAsia"/>
          <w:color w:val="auto"/>
          <w:highlight w:val="none"/>
        </w:rPr>
        <w:t>https://service.zcygov.cn/#/knowledges/cm2eqWwBFdiHxlNd_otq/lwV6GXABiyELHE-oVMj3</w:t>
      </w:r>
      <w:r>
        <w:rPr>
          <w:rFonts w:hint="eastAsia"/>
          <w:color w:val="auto"/>
          <w:highlight w:val="none"/>
        </w:rPr>
        <w:fldChar w:fldCharType="end"/>
      </w:r>
    </w:p>
    <w:p>
      <w:pPr>
        <w:keepNext w:val="0"/>
        <w:keepLines w:val="0"/>
        <w:pageBreakBefore w:val="0"/>
        <w:kinsoku/>
        <w:overflowPunct/>
        <w:autoSpaceDE/>
        <w:autoSpaceDN/>
        <w:bidi w:val="0"/>
        <w:adjustRightInd/>
        <w:spacing w:line="400" w:lineRule="exact"/>
        <w:ind w:firstLine="480" w:firstLineChars="200"/>
        <w:jc w:val="left"/>
        <w:textAlignment w:val="auto"/>
        <w:rPr>
          <w:color w:val="auto"/>
          <w:highlight w:val="none"/>
        </w:rPr>
      </w:pPr>
      <w:r>
        <w:rPr>
          <w:rFonts w:hint="eastAsia"/>
          <w:color w:val="auto"/>
          <w:highlight w:val="none"/>
        </w:rPr>
        <w:t>CA相关热点问题TOP专题页https://service.zcygov.cn/#/knowledges/depk120BkjoVoiMyPhAJ/8QejCnEBiyELHE-ohzp-</w:t>
      </w:r>
    </w:p>
    <w:p>
      <w:pPr>
        <w:keepNext w:val="0"/>
        <w:keepLines w:val="0"/>
        <w:pageBreakBefore w:val="0"/>
        <w:kinsoku/>
        <w:overflowPunct/>
        <w:autoSpaceDE/>
        <w:autoSpaceDN/>
        <w:bidi w:val="0"/>
        <w:adjustRightInd/>
        <w:spacing w:line="400" w:lineRule="exact"/>
        <w:ind w:firstLine="480" w:firstLineChars="200"/>
        <w:jc w:val="left"/>
        <w:textAlignment w:val="auto"/>
        <w:rPr>
          <w:color w:val="auto"/>
          <w:highlight w:val="none"/>
        </w:rPr>
      </w:pPr>
      <w:r>
        <w:rPr>
          <w:rFonts w:hint="eastAsia"/>
          <w:color w:val="auto"/>
          <w:highlight w:val="none"/>
        </w:rPr>
        <w:t>3.投标报名：使用账号登录或者使用CA登录政采云平台；进入“用户中心-公款竞争性存放-竞标项目”，在 “竞标项目-进行中”标签页下选择要报名的项目，点击【报名】按钮，填写报名信息进行报名。</w:t>
      </w:r>
    </w:p>
    <w:p>
      <w:pPr>
        <w:keepNext w:val="0"/>
        <w:keepLines w:val="0"/>
        <w:pageBreakBefore w:val="0"/>
        <w:kinsoku/>
        <w:overflowPunct/>
        <w:autoSpaceDE/>
        <w:autoSpaceDN/>
        <w:bidi w:val="0"/>
        <w:adjustRightInd/>
        <w:spacing w:line="400" w:lineRule="exact"/>
        <w:ind w:firstLine="480" w:firstLineChars="200"/>
        <w:jc w:val="left"/>
        <w:textAlignment w:val="auto"/>
        <w:rPr>
          <w:color w:val="auto"/>
          <w:highlight w:val="none"/>
        </w:rPr>
      </w:pPr>
      <w:r>
        <w:rPr>
          <w:rFonts w:hint="eastAsia"/>
          <w:color w:val="auto"/>
          <w:highlight w:val="none"/>
        </w:rPr>
        <w:t>4.招标文件的获取：使用账号登录或者使用CA登录政采云平台；报名审核通过后，进入“用户中心-公款竞争性存放-竞标项目”，在“竞标项目-进行中”标签页下，选择报名的项目，点击【获取招标文件】按钮。</w:t>
      </w:r>
    </w:p>
    <w:p>
      <w:pPr>
        <w:keepNext w:val="0"/>
        <w:keepLines w:val="0"/>
        <w:pageBreakBefore w:val="0"/>
        <w:kinsoku/>
        <w:overflowPunct/>
        <w:autoSpaceDE/>
        <w:autoSpaceDN/>
        <w:bidi w:val="0"/>
        <w:adjustRightInd/>
        <w:spacing w:line="400" w:lineRule="exact"/>
        <w:ind w:firstLine="480" w:firstLineChars="200"/>
        <w:jc w:val="left"/>
        <w:textAlignment w:val="auto"/>
        <w:rPr>
          <w:color w:val="auto"/>
          <w:highlight w:val="none"/>
        </w:rPr>
      </w:pPr>
      <w:r>
        <w:rPr>
          <w:rFonts w:hint="eastAsia"/>
          <w:color w:val="auto"/>
          <w:highlight w:val="none"/>
        </w:rPr>
        <w:t>5.投标：投标人通过“政采云平台”进行投标；使用账号登录或者使用CA登录政采云平台，进入“用户中心-公款竞争性存放-竞标项目”，在“竞标项目-进行中”标签页下，选择要投标的项目，点击【投标】按钮。</w:t>
      </w:r>
    </w:p>
    <w:p>
      <w:pPr>
        <w:keepNext w:val="0"/>
        <w:keepLines w:val="0"/>
        <w:pageBreakBefore w:val="0"/>
        <w:kinsoku/>
        <w:overflowPunct/>
        <w:autoSpaceDE/>
        <w:autoSpaceDN/>
        <w:bidi w:val="0"/>
        <w:adjustRightInd/>
        <w:spacing w:line="400" w:lineRule="exact"/>
        <w:ind w:firstLine="480" w:firstLineChars="200"/>
        <w:jc w:val="left"/>
        <w:textAlignment w:val="auto"/>
        <w:rPr>
          <w:color w:val="auto"/>
          <w:highlight w:val="none"/>
        </w:rPr>
      </w:pPr>
      <w:r>
        <w:rPr>
          <w:rFonts w:hint="eastAsia"/>
          <w:color w:val="auto"/>
          <w:highlight w:val="none"/>
        </w:rPr>
        <w:t>6.投标确认：投标信息提交成功后，在投标截止时间前投标人完成投标确认后才视为投标成功。使用账号登录或者使用CA登录政采云平台，进入“用户中心-公款竞争性存放-竞标项目”，在“竞标项目-进行中”标签页下，选择状态为“待确认”的项目，点击右边操作栏【确认】按钮，进行确认。</w:t>
      </w:r>
    </w:p>
    <w:p>
      <w:pPr>
        <w:keepNext w:val="0"/>
        <w:keepLines w:val="0"/>
        <w:pageBreakBefore w:val="0"/>
        <w:kinsoku/>
        <w:overflowPunct/>
        <w:autoSpaceDE/>
        <w:autoSpaceDN/>
        <w:bidi w:val="0"/>
        <w:adjustRightInd/>
        <w:spacing w:line="400" w:lineRule="exact"/>
        <w:ind w:firstLine="480" w:firstLineChars="200"/>
        <w:jc w:val="left"/>
        <w:textAlignment w:val="auto"/>
        <w:rPr>
          <w:color w:val="auto"/>
          <w:highlight w:val="none"/>
        </w:rPr>
      </w:pPr>
      <w:r>
        <w:rPr>
          <w:rFonts w:hint="eastAsia"/>
          <w:color w:val="auto"/>
          <w:highlight w:val="none"/>
        </w:rPr>
        <w:t>7.查看开标情况：到达开标时间后，投标人可查看各银行投标情况；使用账号登录或者使用CA登录政采云平台，进入“用户中心-公款竞争性存放-竞标项目”，在“竞标项目-进行中”标签页下，选择状态为“评标中”的项目，点击右边操作栏【查看】按钮，进行查看。</w:t>
      </w:r>
    </w:p>
    <w:p>
      <w:pPr>
        <w:keepNext w:val="0"/>
        <w:keepLines w:val="0"/>
        <w:pageBreakBefore w:val="0"/>
        <w:kinsoku/>
        <w:overflowPunct/>
        <w:autoSpaceDE/>
        <w:autoSpaceDN/>
        <w:bidi w:val="0"/>
        <w:adjustRightInd/>
        <w:spacing w:line="400" w:lineRule="exact"/>
        <w:ind w:firstLine="480" w:firstLineChars="200"/>
        <w:jc w:val="left"/>
        <w:textAlignment w:val="auto"/>
        <w:rPr>
          <w:color w:val="auto"/>
          <w:highlight w:val="none"/>
        </w:rPr>
      </w:pPr>
      <w:r>
        <w:rPr>
          <w:rFonts w:hint="eastAsia"/>
          <w:color w:val="auto"/>
          <w:highlight w:val="none"/>
        </w:rPr>
        <w:t>8.查看开、评标信息：开标结束后，投标人可通过政采云平台查看开标信息及评标结果；使用账号登录或者使用CA登录政采云平台，进入“用户中心-公款竞争性存放-竞标项目”，在“竞标项目-全部”标签页下，可通过项目状态查看是否中标。</w:t>
      </w:r>
    </w:p>
    <w:p>
      <w:pPr>
        <w:keepNext w:val="0"/>
        <w:keepLines w:val="0"/>
        <w:pageBreakBefore w:val="0"/>
        <w:kinsoku/>
        <w:overflowPunct/>
        <w:autoSpaceDE/>
        <w:autoSpaceDN/>
        <w:bidi w:val="0"/>
        <w:adjustRightInd/>
        <w:spacing w:line="400" w:lineRule="exact"/>
        <w:ind w:firstLine="480" w:firstLineChars="200"/>
        <w:jc w:val="left"/>
        <w:textAlignment w:val="auto"/>
        <w:rPr>
          <w:color w:val="auto"/>
          <w:highlight w:val="none"/>
        </w:rPr>
      </w:pPr>
      <w:r>
        <w:rPr>
          <w:rFonts w:hint="eastAsia"/>
          <w:color w:val="auto"/>
          <w:highlight w:val="none"/>
        </w:rPr>
        <w:t>9.查看中标通知书：中标通知书发布后，投标人可通过政采云平台查看；使用账号登录或者使用CA登录政采云平台，进入“用户中心-公款竞争性存放-中标通知书管理”，在“中标通知书管理”页面，选择状态为“已中标”的项目，点击右边操作栏【查看】按钮，进行查看。</w:t>
      </w:r>
    </w:p>
    <w:p>
      <w:pPr>
        <w:keepNext w:val="0"/>
        <w:keepLines w:val="0"/>
        <w:pageBreakBefore w:val="0"/>
        <w:kinsoku/>
        <w:overflowPunct/>
        <w:autoSpaceDE/>
        <w:autoSpaceDN/>
        <w:bidi w:val="0"/>
        <w:adjustRightInd/>
        <w:spacing w:line="400" w:lineRule="exact"/>
        <w:ind w:firstLine="480" w:firstLineChars="200"/>
        <w:jc w:val="left"/>
        <w:textAlignment w:val="auto"/>
        <w:rPr>
          <w:color w:val="auto"/>
          <w:highlight w:val="none"/>
        </w:rPr>
      </w:pPr>
      <w:r>
        <w:rPr>
          <w:rFonts w:hint="eastAsia"/>
          <w:color w:val="auto"/>
          <w:highlight w:val="none"/>
        </w:rPr>
        <w:t>10.操作流程：详见政采云平台“服务中心-帮助文档-公开竞争性存放-操作流程”。</w:t>
      </w:r>
    </w:p>
    <w:p>
      <w:pPr>
        <w:keepNext w:val="0"/>
        <w:keepLines w:val="0"/>
        <w:pageBreakBefore w:val="0"/>
        <w:kinsoku/>
        <w:overflowPunct/>
        <w:autoSpaceDE/>
        <w:autoSpaceDN/>
        <w:bidi w:val="0"/>
        <w:adjustRightInd/>
        <w:spacing w:line="400" w:lineRule="exact"/>
        <w:ind w:firstLine="480" w:firstLineChars="200"/>
        <w:jc w:val="left"/>
        <w:textAlignment w:val="auto"/>
        <w:rPr>
          <w:color w:val="auto"/>
          <w:highlight w:val="none"/>
        </w:rPr>
      </w:pPr>
      <w:r>
        <w:rPr>
          <w:rFonts w:hint="eastAsia"/>
          <w:color w:val="auto"/>
          <w:highlight w:val="none"/>
        </w:rPr>
        <w:t>11.投标人在使用系统进行投标的过程中遇到涉及平台使用的任何问题，可致电政采云平台技术支持热线咨询，联系方式：</w:t>
      </w:r>
      <w:r>
        <w:rPr>
          <w:rFonts w:hint="eastAsia"/>
          <w:color w:val="auto"/>
          <w:highlight w:val="none"/>
          <w:lang w:eastAsia="zh-CN"/>
        </w:rPr>
        <w:t>95763</w:t>
      </w:r>
      <w:r>
        <w:rPr>
          <w:rFonts w:hint="eastAsia"/>
          <w:color w:val="auto"/>
          <w:highlight w:val="none"/>
        </w:rPr>
        <w:t>。</w:t>
      </w:r>
    </w:p>
    <w:p>
      <w:pPr>
        <w:keepNext w:val="0"/>
        <w:keepLines w:val="0"/>
        <w:pageBreakBefore w:val="0"/>
        <w:kinsoku/>
        <w:overflowPunct/>
        <w:topLinePunct/>
        <w:autoSpaceDE/>
        <w:autoSpaceDN/>
        <w:bidi w:val="0"/>
        <w:adjustRightInd/>
        <w:snapToGrid w:val="0"/>
        <w:spacing w:line="400" w:lineRule="exact"/>
        <w:ind w:firstLine="482" w:firstLineChars="200"/>
        <w:jc w:val="left"/>
        <w:textAlignment w:val="auto"/>
        <w:rPr>
          <w:color w:val="auto"/>
          <w:highlight w:val="none"/>
        </w:rPr>
      </w:pPr>
      <w:r>
        <w:rPr>
          <w:rFonts w:hint="eastAsia"/>
          <w:b/>
          <w:bCs/>
          <w:color w:val="auto"/>
          <w:highlight w:val="none"/>
          <w:lang w:val="en-US" w:eastAsia="zh-CN"/>
        </w:rPr>
        <w:t>八</w:t>
      </w:r>
      <w:r>
        <w:rPr>
          <w:rFonts w:hint="eastAsia"/>
          <w:b/>
          <w:bCs/>
          <w:color w:val="auto"/>
          <w:highlight w:val="none"/>
        </w:rPr>
        <w:t>、投标截止时间和地点</w:t>
      </w:r>
      <w:r>
        <w:rPr>
          <w:rFonts w:hint="eastAsia"/>
          <w:b/>
          <w:color w:val="auto"/>
          <w:highlight w:val="none"/>
        </w:rPr>
        <w:t>：</w:t>
      </w:r>
    </w:p>
    <w:p>
      <w:pPr>
        <w:keepNext w:val="0"/>
        <w:keepLines w:val="0"/>
        <w:pageBreakBefore w:val="0"/>
        <w:kinsoku/>
        <w:overflowPunct/>
        <w:topLinePunct/>
        <w:autoSpaceDE/>
        <w:autoSpaceDN/>
        <w:bidi w:val="0"/>
        <w:adjustRightInd/>
        <w:spacing w:line="400" w:lineRule="exact"/>
        <w:ind w:firstLine="480" w:firstLineChars="200"/>
        <w:textAlignment w:val="auto"/>
        <w:rPr>
          <w:color w:val="auto"/>
          <w:highlight w:val="none"/>
        </w:rPr>
      </w:pPr>
      <w:r>
        <w:rPr>
          <w:rFonts w:hint="eastAsia"/>
          <w:color w:val="auto"/>
          <w:highlight w:val="none"/>
        </w:rPr>
        <w:t>1.投标截止时间：</w:t>
      </w:r>
      <w:r>
        <w:rPr>
          <w:rFonts w:hint="eastAsia"/>
          <w:color w:val="000000" w:themeColor="text1"/>
          <w:highlight w:val="none"/>
          <w:lang w:val="en-US" w:eastAsia="zh-CN"/>
          <w14:textFill>
            <w14:solidFill>
              <w14:schemeClr w14:val="tx1"/>
            </w14:solidFill>
          </w14:textFill>
        </w:rPr>
        <w:t>2025</w:t>
      </w:r>
      <w:r>
        <w:rPr>
          <w:rFonts w:hint="eastAsia"/>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13</w:t>
      </w:r>
      <w:r>
        <w:rPr>
          <w:rFonts w:hint="eastAsia"/>
          <w:color w:val="000000" w:themeColor="text1"/>
          <w:highlight w:val="none"/>
          <w14:textFill>
            <w14:solidFill>
              <w14:schemeClr w14:val="tx1"/>
            </w14:solidFill>
          </w14:textFill>
        </w:rPr>
        <w:t>日</w:t>
      </w:r>
      <w:r>
        <w:rPr>
          <w:rFonts w:hint="eastAsia"/>
          <w:color w:val="000000" w:themeColor="text1"/>
          <w:highlight w:val="none"/>
          <w:lang w:val="en-US" w:eastAsia="zh-CN"/>
          <w14:textFill>
            <w14:solidFill>
              <w14:schemeClr w14:val="tx1"/>
            </w14:solidFill>
          </w14:textFill>
        </w:rPr>
        <w:t>09</w:t>
      </w:r>
      <w:r>
        <w:rPr>
          <w:rFonts w:hint="eastAsia"/>
          <w:color w:val="000000" w:themeColor="text1"/>
          <w:highlight w:val="none"/>
          <w14:textFill>
            <w14:solidFill>
              <w14:schemeClr w14:val="tx1"/>
            </w14:solidFill>
          </w14:textFill>
        </w:rPr>
        <w:t>时</w:t>
      </w:r>
      <w:r>
        <w:rPr>
          <w:rFonts w:hint="eastAsia"/>
          <w:color w:val="000000" w:themeColor="text1"/>
          <w:highlight w:val="none"/>
          <w:lang w:val="en-US" w:eastAsia="zh-CN"/>
          <w14:textFill>
            <w14:solidFill>
              <w14:schemeClr w14:val="tx1"/>
            </w14:solidFill>
          </w14:textFill>
        </w:rPr>
        <w:t>30</w:t>
      </w:r>
      <w:r>
        <w:rPr>
          <w:rFonts w:hint="eastAsia"/>
          <w:color w:val="000000" w:themeColor="text1"/>
          <w:highlight w:val="none"/>
          <w14:textFill>
            <w14:solidFill>
              <w14:schemeClr w14:val="tx1"/>
            </w14:solidFill>
          </w14:textFill>
        </w:rPr>
        <w:t>分</w:t>
      </w:r>
      <w:r>
        <w:rPr>
          <w:rFonts w:hint="eastAsia"/>
          <w:color w:val="000000" w:themeColor="text1"/>
          <w:highlight w:val="none"/>
          <w:lang w:val="en-US" w:eastAsia="zh-CN"/>
          <w14:textFill>
            <w14:solidFill>
              <w14:schemeClr w14:val="tx1"/>
            </w14:solidFill>
          </w14:textFill>
        </w:rPr>
        <w:t>00</w:t>
      </w:r>
      <w:r>
        <w:rPr>
          <w:rFonts w:hint="eastAsia"/>
          <w:color w:val="000000" w:themeColor="text1"/>
          <w:highlight w:val="none"/>
          <w14:textFill>
            <w14:solidFill>
              <w14:schemeClr w14:val="tx1"/>
            </w14:solidFill>
          </w14:textFill>
        </w:rPr>
        <w:t>秒。</w:t>
      </w:r>
    </w:p>
    <w:p>
      <w:pPr>
        <w:keepNext w:val="0"/>
        <w:keepLines w:val="0"/>
        <w:pageBreakBefore w:val="0"/>
        <w:kinsoku/>
        <w:overflowPunct/>
        <w:autoSpaceDE/>
        <w:autoSpaceDN/>
        <w:bidi w:val="0"/>
        <w:adjustRightInd/>
        <w:spacing w:line="400" w:lineRule="exact"/>
        <w:ind w:firstLine="480" w:firstLineChars="200"/>
        <w:textAlignment w:val="auto"/>
        <w:rPr>
          <w:color w:val="auto"/>
          <w:highlight w:val="none"/>
        </w:rPr>
      </w:pPr>
      <w:r>
        <w:rPr>
          <w:rFonts w:hint="eastAsia"/>
          <w:color w:val="auto"/>
          <w:highlight w:val="none"/>
        </w:rPr>
        <w:t>2.投标人应当在投标截止时间前完成在线投标，并可以补充、修改或者撤回电子投标文件。补充或者修改电子投标文件的，应当先行撤回原文件，补充、修改后重新投标和递交。投标截止时间前未完成投标的，视为撤回投标文件。投标、响应截止时间后投标的，将被拒收。</w:t>
      </w:r>
    </w:p>
    <w:p>
      <w:pPr>
        <w:keepNext w:val="0"/>
        <w:keepLines w:val="0"/>
        <w:pageBreakBefore w:val="0"/>
        <w:kinsoku/>
        <w:overflowPunct/>
        <w:autoSpaceDE/>
        <w:autoSpaceDN/>
        <w:bidi w:val="0"/>
        <w:adjustRightInd/>
        <w:spacing w:line="400" w:lineRule="exact"/>
        <w:ind w:firstLine="480" w:firstLineChars="200"/>
        <w:textAlignment w:val="auto"/>
        <w:rPr>
          <w:color w:val="auto"/>
          <w:highlight w:val="none"/>
        </w:rPr>
      </w:pPr>
      <w:bookmarkStart w:id="3" w:name="B27_开标地点"/>
      <w:r>
        <w:rPr>
          <w:rFonts w:hint="eastAsia"/>
          <w:color w:val="auto"/>
          <w:highlight w:val="none"/>
        </w:rPr>
        <w:t>3.投标地点：</w:t>
      </w:r>
      <w:bookmarkEnd w:id="3"/>
      <w:r>
        <w:rPr>
          <w:rFonts w:hint="eastAsia"/>
          <w:color w:val="auto"/>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102"/>
          <w:rFonts w:hint="eastAsia"/>
          <w:color w:val="auto"/>
          <w:highlight w:val="none"/>
        </w:rPr>
        <w:t>https://www.zcygov.cn/</w:t>
      </w:r>
      <w:r>
        <w:rPr>
          <w:rStyle w:val="102"/>
          <w:rFonts w:hint="eastAsia"/>
          <w:color w:val="auto"/>
          <w:highlight w:val="none"/>
        </w:rPr>
        <w:fldChar w:fldCharType="end"/>
      </w:r>
      <w:r>
        <w:rPr>
          <w:rFonts w:hint="eastAsia"/>
          <w:color w:val="auto"/>
          <w:highlight w:val="none"/>
        </w:rPr>
        <w:t>)，本项目采用全流程电子化交易，无须参加现场开标会。</w:t>
      </w:r>
    </w:p>
    <w:p>
      <w:pPr>
        <w:keepNext w:val="0"/>
        <w:keepLines w:val="0"/>
        <w:pageBreakBefore w:val="0"/>
        <w:kinsoku/>
        <w:overflowPunct/>
        <w:autoSpaceDE/>
        <w:autoSpaceDN/>
        <w:bidi w:val="0"/>
        <w:adjustRightInd/>
        <w:snapToGrid w:val="0"/>
        <w:spacing w:line="400" w:lineRule="exact"/>
        <w:ind w:firstLine="482" w:firstLineChars="200"/>
        <w:textAlignment w:val="auto"/>
        <w:rPr>
          <w:b/>
          <w:color w:val="auto"/>
          <w:highlight w:val="none"/>
        </w:rPr>
      </w:pPr>
      <w:r>
        <w:rPr>
          <w:rFonts w:hint="eastAsia"/>
          <w:b/>
          <w:color w:val="auto"/>
          <w:highlight w:val="none"/>
          <w:lang w:val="en-US" w:eastAsia="zh-CN"/>
        </w:rPr>
        <w:t>九</w:t>
      </w:r>
      <w:r>
        <w:rPr>
          <w:rFonts w:hint="eastAsia"/>
          <w:b/>
          <w:color w:val="auto"/>
          <w:highlight w:val="none"/>
        </w:rPr>
        <w:t>、开标时间和地点：</w:t>
      </w:r>
    </w:p>
    <w:p>
      <w:pPr>
        <w:keepNext w:val="0"/>
        <w:keepLines w:val="0"/>
        <w:pageBreakBefore w:val="0"/>
        <w:kinsoku/>
        <w:overflowPunct/>
        <w:autoSpaceDE/>
        <w:autoSpaceDN/>
        <w:bidi w:val="0"/>
        <w:adjustRightInd/>
        <w:spacing w:line="400" w:lineRule="exact"/>
        <w:ind w:firstLine="480" w:firstLineChars="200"/>
        <w:textAlignment w:val="auto"/>
        <w:rPr>
          <w:color w:val="auto"/>
          <w:highlight w:val="none"/>
        </w:rPr>
      </w:pPr>
      <w:r>
        <w:rPr>
          <w:rFonts w:hint="eastAsia"/>
          <w:color w:val="auto"/>
          <w:highlight w:val="none"/>
        </w:rPr>
        <w:t>1.开标时间：</w:t>
      </w:r>
      <w:r>
        <w:rPr>
          <w:rFonts w:hint="eastAsia"/>
          <w:color w:val="auto"/>
          <w:highlight w:val="none"/>
          <w:lang w:val="en-US" w:eastAsia="zh-CN"/>
        </w:rPr>
        <w:t>2025</w:t>
      </w:r>
      <w:r>
        <w:rPr>
          <w:rFonts w:hint="eastAsia"/>
          <w:color w:val="auto"/>
          <w:highlight w:val="none"/>
        </w:rPr>
        <w:t>年</w:t>
      </w:r>
      <w:r>
        <w:rPr>
          <w:rFonts w:hint="eastAsia"/>
          <w:color w:val="auto"/>
          <w:highlight w:val="none"/>
          <w:lang w:val="en-US" w:eastAsia="zh-CN"/>
        </w:rPr>
        <w:t>2</w:t>
      </w:r>
      <w:r>
        <w:rPr>
          <w:rFonts w:hint="eastAsia"/>
          <w:color w:val="auto"/>
          <w:highlight w:val="none"/>
        </w:rPr>
        <w:t>月</w:t>
      </w:r>
      <w:r>
        <w:rPr>
          <w:rFonts w:hint="eastAsia"/>
          <w:color w:val="auto"/>
          <w:highlight w:val="none"/>
          <w:lang w:val="en-US" w:eastAsia="zh-CN"/>
        </w:rPr>
        <w:t>13</w:t>
      </w:r>
      <w:r>
        <w:rPr>
          <w:rFonts w:hint="eastAsia"/>
          <w:color w:val="auto"/>
          <w:highlight w:val="none"/>
        </w:rPr>
        <w:t>日</w:t>
      </w:r>
      <w:r>
        <w:rPr>
          <w:rFonts w:hint="eastAsia"/>
          <w:color w:val="auto"/>
          <w:highlight w:val="none"/>
          <w:lang w:val="en-US" w:eastAsia="zh-CN"/>
        </w:rPr>
        <w:t>9</w:t>
      </w:r>
      <w:r>
        <w:rPr>
          <w:rFonts w:hint="eastAsia"/>
          <w:color w:val="auto"/>
          <w:highlight w:val="none"/>
        </w:rPr>
        <w:t>时</w:t>
      </w:r>
      <w:r>
        <w:rPr>
          <w:rFonts w:hint="eastAsia"/>
          <w:color w:val="auto"/>
          <w:highlight w:val="none"/>
          <w:lang w:val="en-US" w:eastAsia="zh-CN"/>
        </w:rPr>
        <w:t>30</w:t>
      </w:r>
      <w:r>
        <w:rPr>
          <w:rFonts w:hint="eastAsia"/>
          <w:color w:val="auto"/>
          <w:highlight w:val="none"/>
        </w:rPr>
        <w:t>分</w:t>
      </w:r>
      <w:r>
        <w:rPr>
          <w:rFonts w:hint="eastAsia"/>
          <w:color w:val="auto"/>
          <w:highlight w:val="none"/>
          <w:lang w:val="en-US" w:eastAsia="zh-CN"/>
        </w:rPr>
        <w:t>00</w:t>
      </w:r>
      <w:r>
        <w:rPr>
          <w:rFonts w:hint="eastAsia"/>
          <w:color w:val="auto"/>
          <w:highlight w:val="none"/>
        </w:rPr>
        <w:t>秒。</w:t>
      </w:r>
      <w:r>
        <w:rPr>
          <w:color w:val="auto"/>
          <w:highlight w:val="none"/>
        </w:rPr>
        <w:tab/>
      </w:r>
    </w:p>
    <w:p>
      <w:pPr>
        <w:keepNext w:val="0"/>
        <w:keepLines w:val="0"/>
        <w:pageBreakBefore w:val="0"/>
        <w:kinsoku/>
        <w:overflowPunct/>
        <w:autoSpaceDE/>
        <w:autoSpaceDN/>
        <w:bidi w:val="0"/>
        <w:adjustRightInd/>
        <w:spacing w:line="400" w:lineRule="exact"/>
        <w:ind w:firstLine="480" w:firstLineChars="200"/>
        <w:textAlignment w:val="auto"/>
        <w:rPr>
          <w:color w:val="auto"/>
          <w:highlight w:val="none"/>
        </w:rPr>
      </w:pPr>
      <w:r>
        <w:rPr>
          <w:rFonts w:hint="eastAsia"/>
          <w:color w:val="auto"/>
          <w:highlight w:val="none"/>
        </w:rPr>
        <w:t>2.开标地点：</w:t>
      </w:r>
      <w:r>
        <w:rPr>
          <w:rFonts w:hint="eastAsia"/>
          <w:color w:val="auto"/>
          <w:highlight w:val="none"/>
          <w:lang w:eastAsia="zh-CN"/>
        </w:rPr>
        <w:t>浙江中诚工程管理科技有限公司</w:t>
      </w:r>
      <w:r>
        <w:rPr>
          <w:rFonts w:hint="eastAsia"/>
          <w:color w:val="auto"/>
          <w:highlight w:val="none"/>
        </w:rPr>
        <w:t>开标室（杭州市富阳区体育馆路290号秦汉大厦东1501）；政采云平台(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102"/>
          <w:rFonts w:hint="eastAsia"/>
          <w:color w:val="auto"/>
          <w:highlight w:val="none"/>
        </w:rPr>
        <w:t>https://www.zcygov.cn/</w:t>
      </w:r>
      <w:r>
        <w:rPr>
          <w:rStyle w:val="102"/>
          <w:rFonts w:hint="eastAsia"/>
          <w:color w:val="auto"/>
          <w:highlight w:val="none"/>
        </w:rPr>
        <w:fldChar w:fldCharType="end"/>
      </w:r>
      <w:r>
        <w:rPr>
          <w:rFonts w:hint="eastAsia"/>
          <w:color w:val="auto"/>
          <w:highlight w:val="none"/>
        </w:rPr>
        <w:t>)</w:t>
      </w:r>
    </w:p>
    <w:p>
      <w:pPr>
        <w:pStyle w:val="2"/>
        <w:keepNext w:val="0"/>
        <w:keepLines w:val="0"/>
        <w:pageBreakBefore w:val="0"/>
        <w:kinsoku/>
        <w:overflowPunct/>
        <w:autoSpaceDE/>
        <w:autoSpaceDN/>
        <w:bidi w:val="0"/>
        <w:adjustRightInd/>
        <w:spacing w:before="0" w:after="0" w:line="400" w:lineRule="exact"/>
        <w:ind w:left="572" w:leftChars="200" w:hanging="92" w:hangingChars="38"/>
        <w:jc w:val="both"/>
        <w:textAlignment w:val="auto"/>
        <w:rPr>
          <w:color w:val="auto"/>
          <w:sz w:val="24"/>
          <w:szCs w:val="24"/>
          <w:highlight w:val="none"/>
        </w:rPr>
      </w:pPr>
      <w:r>
        <w:rPr>
          <w:rFonts w:hint="eastAsia"/>
          <w:color w:val="auto"/>
          <w:sz w:val="24"/>
          <w:szCs w:val="24"/>
          <w:highlight w:val="none"/>
        </w:rPr>
        <w:t>十、招标答疑：</w:t>
      </w:r>
    </w:p>
    <w:p>
      <w:pPr>
        <w:widowControl w:val="0"/>
        <w:topLinePunct/>
        <w:spacing w:line="440" w:lineRule="exact"/>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提疑截止时间：</w:t>
      </w:r>
      <w:r>
        <w:rPr>
          <w:rFonts w:hint="eastAsia"/>
          <w:color w:val="auto"/>
          <w:highlight w:val="none"/>
          <w:lang w:val="en-US" w:eastAsia="zh-CN"/>
        </w:rPr>
        <w:t>2025</w:t>
      </w:r>
      <w:r>
        <w:rPr>
          <w:rFonts w:hint="eastAsia" w:ascii="仿宋" w:hAnsi="仿宋" w:eastAsia="仿宋"/>
          <w:color w:val="auto"/>
          <w:highlight w:val="none"/>
        </w:rPr>
        <w:t>年</w:t>
      </w:r>
      <w:r>
        <w:rPr>
          <w:rFonts w:hint="eastAsia"/>
          <w:color w:val="auto"/>
          <w:highlight w:val="none"/>
          <w:lang w:val="en-US" w:eastAsia="zh-CN"/>
        </w:rPr>
        <w:t>2</w:t>
      </w:r>
      <w:r>
        <w:rPr>
          <w:rFonts w:hint="eastAsia" w:ascii="仿宋" w:hAnsi="仿宋" w:eastAsia="仿宋"/>
          <w:color w:val="auto"/>
          <w:highlight w:val="none"/>
        </w:rPr>
        <w:t>月</w:t>
      </w:r>
      <w:r>
        <w:rPr>
          <w:rFonts w:hint="eastAsia"/>
          <w:color w:val="auto"/>
          <w:highlight w:val="none"/>
          <w:lang w:val="en-US" w:eastAsia="zh-CN"/>
        </w:rPr>
        <w:t>8</w:t>
      </w:r>
      <w:r>
        <w:rPr>
          <w:rFonts w:hint="eastAsia" w:ascii="仿宋" w:hAnsi="仿宋" w:eastAsia="仿宋"/>
          <w:color w:val="auto"/>
          <w:highlight w:val="none"/>
        </w:rPr>
        <w:t>日</w:t>
      </w:r>
      <w:r>
        <w:rPr>
          <w:rFonts w:hint="eastAsia"/>
          <w:color w:val="auto"/>
          <w:highlight w:val="none"/>
          <w:lang w:val="en-US" w:eastAsia="zh-CN"/>
        </w:rPr>
        <w:t>16</w:t>
      </w:r>
      <w:r>
        <w:rPr>
          <w:rFonts w:hint="eastAsia" w:ascii="仿宋" w:hAnsi="仿宋" w:eastAsia="仿宋" w:cs="仿宋_GB2312"/>
          <w:color w:val="auto"/>
          <w:highlight w:val="none"/>
        </w:rPr>
        <w:t>时00分，</w:t>
      </w:r>
      <w:r>
        <w:rPr>
          <w:rFonts w:hint="eastAsia" w:ascii="仿宋" w:hAnsi="仿宋" w:eastAsia="仿宋"/>
          <w:color w:val="auto"/>
          <w:highlight w:val="none"/>
        </w:rPr>
        <w:t>各投标人以书面形式递交或邮寄至招标代理机构联系地址，电子版发送至邮箱</w:t>
      </w:r>
      <w:r>
        <w:rPr>
          <w:rFonts w:hint="eastAsia"/>
          <w:color w:val="auto"/>
          <w:highlight w:val="none"/>
          <w:lang w:val="en-US" w:eastAsia="zh-CN"/>
        </w:rPr>
        <w:t>361461019@qq</w:t>
      </w:r>
      <w:r>
        <w:rPr>
          <w:rFonts w:ascii="仿宋" w:hAnsi="仿宋" w:eastAsia="仿宋"/>
          <w:color w:val="auto"/>
          <w:highlight w:val="none"/>
        </w:rPr>
        <w:t>.com</w:t>
      </w:r>
      <w:r>
        <w:rPr>
          <w:rFonts w:hint="eastAsia" w:ascii="仿宋" w:hAnsi="仿宋" w:eastAsia="仿宋"/>
          <w:color w:val="auto"/>
          <w:highlight w:val="none"/>
        </w:rPr>
        <w:t>；</w:t>
      </w:r>
    </w:p>
    <w:p>
      <w:pPr>
        <w:widowControl w:val="0"/>
        <w:topLinePunct/>
        <w:spacing w:line="440" w:lineRule="exact"/>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答疑截止时间：</w:t>
      </w:r>
      <w:r>
        <w:rPr>
          <w:rFonts w:hint="eastAsia"/>
          <w:color w:val="auto"/>
          <w:highlight w:val="none"/>
          <w:lang w:val="en-US" w:eastAsia="zh-CN"/>
        </w:rPr>
        <w:t>2025</w:t>
      </w:r>
      <w:r>
        <w:rPr>
          <w:rFonts w:hint="eastAsia" w:ascii="仿宋" w:hAnsi="仿宋" w:eastAsia="仿宋"/>
          <w:color w:val="auto"/>
          <w:highlight w:val="none"/>
        </w:rPr>
        <w:t>年</w:t>
      </w:r>
      <w:r>
        <w:rPr>
          <w:rFonts w:hint="eastAsia"/>
          <w:color w:val="auto"/>
          <w:highlight w:val="none"/>
          <w:lang w:val="en-US" w:eastAsia="zh-CN"/>
        </w:rPr>
        <w:t>2</w:t>
      </w:r>
      <w:r>
        <w:rPr>
          <w:rFonts w:hint="eastAsia" w:ascii="仿宋" w:hAnsi="仿宋" w:eastAsia="仿宋"/>
          <w:color w:val="auto"/>
          <w:highlight w:val="none"/>
        </w:rPr>
        <w:t>月</w:t>
      </w:r>
      <w:r>
        <w:rPr>
          <w:rFonts w:hint="eastAsia"/>
          <w:color w:val="auto"/>
          <w:highlight w:val="none"/>
          <w:lang w:val="en-US" w:eastAsia="zh-CN"/>
        </w:rPr>
        <w:t>10</w:t>
      </w:r>
      <w:r>
        <w:rPr>
          <w:rFonts w:hint="eastAsia" w:ascii="仿宋" w:hAnsi="仿宋" w:eastAsia="仿宋"/>
          <w:color w:val="auto"/>
          <w:highlight w:val="none"/>
        </w:rPr>
        <w:t>日</w:t>
      </w:r>
      <w:r>
        <w:rPr>
          <w:rFonts w:hint="eastAsia" w:cs="仿宋_GB2312"/>
          <w:color w:val="auto"/>
          <w:highlight w:val="none"/>
          <w:lang w:val="en-US" w:eastAsia="zh-CN"/>
        </w:rPr>
        <w:t>17</w:t>
      </w:r>
      <w:r>
        <w:rPr>
          <w:rFonts w:hint="eastAsia" w:ascii="仿宋" w:hAnsi="仿宋" w:eastAsia="仿宋" w:cs="仿宋_GB2312"/>
          <w:color w:val="auto"/>
          <w:highlight w:val="none"/>
        </w:rPr>
        <w:t>时00分。</w:t>
      </w:r>
    </w:p>
    <w:p>
      <w:pPr>
        <w:keepNext w:val="0"/>
        <w:keepLines w:val="0"/>
        <w:pageBreakBefore w:val="0"/>
        <w:kinsoku/>
        <w:wordWrap w:val="0"/>
        <w:overflowPunct/>
        <w:topLinePunct/>
        <w:autoSpaceDE/>
        <w:autoSpaceDN/>
        <w:bidi w:val="0"/>
        <w:adjustRightInd/>
        <w:spacing w:line="400" w:lineRule="exact"/>
        <w:ind w:firstLine="482" w:firstLineChars="200"/>
        <w:jc w:val="left"/>
        <w:textAlignment w:val="auto"/>
        <w:rPr>
          <w:rFonts w:cs="宋体"/>
          <w:b/>
          <w:bCs/>
          <w:color w:val="auto"/>
          <w:kern w:val="0"/>
          <w:highlight w:val="none"/>
        </w:rPr>
      </w:pPr>
      <w:r>
        <w:rPr>
          <w:rFonts w:hint="eastAsia"/>
          <w:b/>
          <w:color w:val="auto"/>
          <w:highlight w:val="none"/>
        </w:rPr>
        <w:t>十</w:t>
      </w:r>
      <w:r>
        <w:rPr>
          <w:rFonts w:hint="eastAsia"/>
          <w:b/>
          <w:color w:val="auto"/>
          <w:highlight w:val="none"/>
          <w:lang w:val="en-US" w:eastAsia="zh-CN"/>
        </w:rPr>
        <w:t>一</w:t>
      </w:r>
      <w:r>
        <w:rPr>
          <w:rFonts w:hint="eastAsia"/>
          <w:b/>
          <w:color w:val="auto"/>
          <w:highlight w:val="none"/>
        </w:rPr>
        <w:t>、业务咨询：</w:t>
      </w:r>
      <w:r>
        <w:rPr>
          <w:rStyle w:val="96"/>
          <w:rFonts w:hint="eastAsia"/>
          <w:color w:val="auto"/>
          <w:highlight w:val="none"/>
        </w:rPr>
        <w:t>对本次招标提出询问、质疑、投诉，请按以下方式联系。</w:t>
      </w:r>
    </w:p>
    <w:p>
      <w:pPr>
        <w:keepNext w:val="0"/>
        <w:keepLines w:val="0"/>
        <w:pageBreakBefore w:val="0"/>
        <w:kinsoku/>
        <w:overflowPunct/>
        <w:autoSpaceDE/>
        <w:autoSpaceDN/>
        <w:bidi w:val="0"/>
        <w:adjustRightInd/>
        <w:spacing w:line="400" w:lineRule="exact"/>
        <w:textAlignment w:val="auto"/>
        <w:rPr>
          <w:color w:val="auto"/>
          <w:highlight w:val="none"/>
        </w:rPr>
      </w:pPr>
      <w:r>
        <w:rPr>
          <w:rFonts w:hint="eastAsia"/>
          <w:color w:val="auto"/>
          <w:highlight w:val="none"/>
        </w:rPr>
        <w:t xml:space="preserve">    1.招标人信息</w:t>
      </w:r>
    </w:p>
    <w:p>
      <w:pPr>
        <w:keepNext w:val="0"/>
        <w:keepLines w:val="0"/>
        <w:pageBreakBefore w:val="0"/>
        <w:kinsoku/>
        <w:overflowPunct/>
        <w:autoSpaceDE/>
        <w:autoSpaceDN/>
        <w:bidi w:val="0"/>
        <w:adjustRightInd/>
        <w:spacing w:line="400" w:lineRule="exact"/>
        <w:ind w:firstLine="480" w:firstLineChars="200"/>
        <w:textAlignment w:val="auto"/>
        <w:rPr>
          <w:rFonts w:hint="eastAsia"/>
          <w:color w:val="auto"/>
          <w:highlight w:val="none"/>
        </w:rPr>
      </w:pPr>
      <w:r>
        <w:rPr>
          <w:rFonts w:hint="eastAsia"/>
          <w:color w:val="auto"/>
          <w:highlight w:val="none"/>
        </w:rPr>
        <w:t>名    称： </w:t>
      </w:r>
      <w:r>
        <w:rPr>
          <w:rFonts w:hint="eastAsia"/>
          <w:color w:val="auto"/>
          <w:highlight w:val="none"/>
          <w:lang w:val="en-US" w:eastAsia="zh-CN"/>
        </w:rPr>
        <w:t>杭州市富阳区第三人民医院　</w:t>
      </w:r>
      <w:r>
        <w:rPr>
          <w:rFonts w:hint="eastAsia"/>
          <w:color w:val="auto"/>
          <w:highlight w:val="none"/>
        </w:rPr>
        <w:t>　　　　　　　　　　</w:t>
      </w:r>
    </w:p>
    <w:p>
      <w:pPr>
        <w:keepNext w:val="0"/>
        <w:keepLines w:val="0"/>
        <w:pageBreakBefore w:val="0"/>
        <w:kinsoku/>
        <w:overflowPunct/>
        <w:autoSpaceDE/>
        <w:autoSpaceDN/>
        <w:bidi w:val="0"/>
        <w:adjustRightInd/>
        <w:spacing w:line="40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地    址： 富春街道春华村珠山路20号    </w:t>
      </w:r>
    </w:p>
    <w:p>
      <w:pPr>
        <w:keepNext w:val="0"/>
        <w:keepLines w:val="0"/>
        <w:pageBreakBefore w:val="0"/>
        <w:kinsoku/>
        <w:overflowPunct/>
        <w:autoSpaceDE/>
        <w:autoSpaceDN/>
        <w:bidi w:val="0"/>
        <w:adjustRightInd/>
        <w:spacing w:line="40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传    真： /　　</w:t>
      </w:r>
    </w:p>
    <w:p>
      <w:pPr>
        <w:keepNext w:val="0"/>
        <w:keepLines w:val="0"/>
        <w:pageBreakBefore w:val="0"/>
        <w:kinsoku/>
        <w:overflowPunct/>
        <w:autoSpaceDE/>
        <w:autoSpaceDN/>
        <w:bidi w:val="0"/>
        <w:adjustRightInd/>
        <w:spacing w:line="40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项目联系人（询问）：姚院      　　　　　　　　　　</w:t>
      </w:r>
    </w:p>
    <w:p>
      <w:pPr>
        <w:keepNext w:val="0"/>
        <w:keepLines w:val="0"/>
        <w:pageBreakBefore w:val="0"/>
        <w:kinsoku/>
        <w:overflowPunct/>
        <w:autoSpaceDE/>
        <w:autoSpaceDN/>
        <w:bidi w:val="0"/>
        <w:adjustRightInd/>
        <w:spacing w:line="400" w:lineRule="exact"/>
        <w:ind w:firstLine="480" w:firstLineChars="200"/>
        <w:textAlignment w:val="auto"/>
        <w:rPr>
          <w:rFonts w:hint="default"/>
          <w:color w:val="auto"/>
          <w:highlight w:val="none"/>
          <w:lang w:val="en-US" w:eastAsia="zh-CN"/>
        </w:rPr>
      </w:pPr>
      <w:r>
        <w:rPr>
          <w:rFonts w:hint="eastAsia"/>
          <w:color w:val="auto"/>
          <w:highlight w:val="none"/>
          <w:lang w:val="en-US" w:eastAsia="zh-CN"/>
        </w:rPr>
        <w:t>项目联系方式（询问）：0571-63310105</w:t>
      </w:r>
    </w:p>
    <w:p>
      <w:pPr>
        <w:keepNext w:val="0"/>
        <w:keepLines w:val="0"/>
        <w:pageBreakBefore w:val="0"/>
        <w:kinsoku/>
        <w:overflowPunct/>
        <w:autoSpaceDE/>
        <w:autoSpaceDN/>
        <w:bidi w:val="0"/>
        <w:adjustRightInd/>
        <w:spacing w:line="400" w:lineRule="exact"/>
        <w:ind w:firstLine="480" w:firstLineChars="200"/>
        <w:textAlignment w:val="auto"/>
        <w:rPr>
          <w:color w:val="auto"/>
          <w:highlight w:val="none"/>
        </w:rPr>
      </w:pPr>
      <w:r>
        <w:rPr>
          <w:rFonts w:hint="eastAsia"/>
          <w:color w:val="auto"/>
          <w:highlight w:val="none"/>
        </w:rPr>
        <w:t>2.招标代理机构信息</w:t>
      </w:r>
    </w:p>
    <w:p>
      <w:pPr>
        <w:keepNext w:val="0"/>
        <w:keepLines w:val="0"/>
        <w:pageBreakBefore w:val="0"/>
        <w:kinsoku/>
        <w:overflowPunct/>
        <w:autoSpaceDE/>
        <w:autoSpaceDN/>
        <w:bidi w:val="0"/>
        <w:adjustRightInd/>
        <w:spacing w:line="400" w:lineRule="exact"/>
        <w:ind w:firstLine="480"/>
        <w:textAlignment w:val="auto"/>
        <w:rPr>
          <w:color w:val="auto"/>
          <w:highlight w:val="none"/>
        </w:rPr>
      </w:pPr>
      <w:r>
        <w:rPr>
          <w:rFonts w:hint="eastAsia"/>
          <w:color w:val="auto"/>
          <w:highlight w:val="none"/>
        </w:rPr>
        <w:t>名  称：</w:t>
      </w:r>
      <w:r>
        <w:rPr>
          <w:rFonts w:hint="eastAsia"/>
          <w:color w:val="auto"/>
          <w:highlight w:val="none"/>
          <w:lang w:eastAsia="zh-CN"/>
        </w:rPr>
        <w:t>浙江中诚工程管理科技有限公司</w:t>
      </w:r>
      <w:r>
        <w:rPr>
          <w:rFonts w:hint="eastAsia"/>
          <w:color w:val="auto"/>
          <w:highlight w:val="none"/>
        </w:rPr>
        <w:t xml:space="preserve"> </w:t>
      </w:r>
    </w:p>
    <w:p>
      <w:pPr>
        <w:keepNext w:val="0"/>
        <w:keepLines w:val="0"/>
        <w:pageBreakBefore w:val="0"/>
        <w:kinsoku/>
        <w:overflowPunct/>
        <w:autoSpaceDE/>
        <w:autoSpaceDN/>
        <w:bidi w:val="0"/>
        <w:adjustRightInd/>
        <w:spacing w:line="400" w:lineRule="exact"/>
        <w:ind w:firstLine="480"/>
        <w:textAlignment w:val="auto"/>
        <w:rPr>
          <w:rFonts w:hint="eastAsia" w:eastAsia="仿宋"/>
          <w:color w:val="auto"/>
          <w:highlight w:val="none"/>
          <w:lang w:eastAsia="zh-CN"/>
        </w:rPr>
      </w:pPr>
      <w:r>
        <w:rPr>
          <w:rFonts w:hint="eastAsia"/>
          <w:color w:val="auto"/>
          <w:highlight w:val="none"/>
        </w:rPr>
        <w:t>地  址：杭州市富阳区体育馆路290号秦汉大厦东1501 </w:t>
      </w:r>
    </w:p>
    <w:p>
      <w:pPr>
        <w:keepNext w:val="0"/>
        <w:keepLines w:val="0"/>
        <w:pageBreakBefore w:val="0"/>
        <w:kinsoku/>
        <w:overflowPunct/>
        <w:autoSpaceDE/>
        <w:autoSpaceDN/>
        <w:bidi w:val="0"/>
        <w:adjustRightInd/>
        <w:spacing w:line="400" w:lineRule="exact"/>
        <w:textAlignment w:val="auto"/>
        <w:rPr>
          <w:color w:val="auto"/>
          <w:highlight w:val="none"/>
        </w:rPr>
      </w:pPr>
      <w:r>
        <w:rPr>
          <w:rFonts w:hint="eastAsia"/>
          <w:color w:val="auto"/>
          <w:highlight w:val="none"/>
        </w:rPr>
        <w:t xml:space="preserve">    邮  箱：</w:t>
      </w:r>
      <w:r>
        <w:rPr>
          <w:rFonts w:hint="eastAsia"/>
          <w:color w:val="auto"/>
          <w:highlight w:val="none"/>
          <w:lang w:val="en-US" w:eastAsia="zh-CN"/>
        </w:rPr>
        <w:t>361461019@qq.com</w:t>
      </w:r>
    </w:p>
    <w:p>
      <w:pPr>
        <w:keepNext w:val="0"/>
        <w:keepLines w:val="0"/>
        <w:pageBreakBefore w:val="0"/>
        <w:kinsoku/>
        <w:overflowPunct/>
        <w:autoSpaceDE/>
        <w:autoSpaceDN/>
        <w:bidi w:val="0"/>
        <w:adjustRightInd/>
        <w:spacing w:line="400" w:lineRule="exact"/>
        <w:textAlignment w:val="auto"/>
        <w:rPr>
          <w:color w:val="auto"/>
          <w:highlight w:val="none"/>
        </w:rPr>
      </w:pPr>
      <w:r>
        <w:rPr>
          <w:rFonts w:hint="eastAsia"/>
          <w:color w:val="auto"/>
          <w:highlight w:val="none"/>
        </w:rPr>
        <w:t xml:space="preserve">    项目联系人（询问）：朱志强</w:t>
      </w:r>
    </w:p>
    <w:p>
      <w:pPr>
        <w:keepNext w:val="0"/>
        <w:keepLines w:val="0"/>
        <w:pageBreakBefore w:val="0"/>
        <w:kinsoku/>
        <w:overflowPunct/>
        <w:autoSpaceDE/>
        <w:autoSpaceDN/>
        <w:bidi w:val="0"/>
        <w:adjustRightInd/>
        <w:spacing w:line="400" w:lineRule="exact"/>
        <w:textAlignment w:val="auto"/>
        <w:rPr>
          <w:rFonts w:hint="default" w:eastAsia="仿宋"/>
          <w:color w:val="auto"/>
          <w:highlight w:val="none"/>
          <w:lang w:val="en-US" w:eastAsia="zh-CN"/>
        </w:rPr>
      </w:pPr>
      <w:r>
        <w:rPr>
          <w:rFonts w:hint="eastAsia"/>
          <w:color w:val="auto"/>
          <w:highlight w:val="none"/>
        </w:rPr>
        <w:t xml:space="preserve">    项目联系方式（询问）：</w:t>
      </w:r>
      <w:r>
        <w:rPr>
          <w:rFonts w:hint="eastAsia" w:cs="仿宋"/>
          <w:highlight w:val="none"/>
        </w:rPr>
        <w:t>0571-61778189  </w:t>
      </w:r>
    </w:p>
    <w:p>
      <w:pPr>
        <w:keepNext w:val="0"/>
        <w:keepLines w:val="0"/>
        <w:pageBreakBefore w:val="0"/>
        <w:kinsoku/>
        <w:overflowPunct/>
        <w:autoSpaceDE/>
        <w:autoSpaceDN/>
        <w:bidi w:val="0"/>
        <w:adjustRightInd/>
        <w:spacing w:line="400" w:lineRule="exact"/>
        <w:textAlignment w:val="auto"/>
        <w:rPr>
          <w:rFonts w:hint="eastAsia" w:eastAsia="仿宋"/>
          <w:color w:val="auto"/>
          <w:highlight w:val="none"/>
          <w:lang w:val="en-US" w:eastAsia="zh-CN"/>
        </w:rPr>
      </w:pPr>
      <w:r>
        <w:rPr>
          <w:rFonts w:hint="eastAsia"/>
          <w:color w:val="auto"/>
          <w:highlight w:val="none"/>
        </w:rPr>
        <w:t xml:space="preserve">    质疑联系人：</w:t>
      </w:r>
      <w:r>
        <w:rPr>
          <w:rFonts w:hint="eastAsia"/>
          <w:color w:val="auto"/>
          <w:highlight w:val="none"/>
          <w:lang w:val="en-US" w:eastAsia="zh-CN"/>
        </w:rPr>
        <w:t>孔雁、李慧</w:t>
      </w:r>
    </w:p>
    <w:p>
      <w:pPr>
        <w:keepNext w:val="0"/>
        <w:keepLines w:val="0"/>
        <w:pageBreakBefore w:val="0"/>
        <w:kinsoku/>
        <w:overflowPunct/>
        <w:autoSpaceDE/>
        <w:autoSpaceDN/>
        <w:bidi w:val="0"/>
        <w:adjustRightInd/>
        <w:spacing w:line="400" w:lineRule="exact"/>
        <w:textAlignment w:val="auto"/>
        <w:rPr>
          <w:rFonts w:hint="eastAsia" w:eastAsia="仿宋"/>
          <w:color w:val="auto"/>
          <w:highlight w:val="none"/>
          <w:lang w:eastAsia="zh-CN"/>
        </w:rPr>
      </w:pPr>
      <w:r>
        <w:rPr>
          <w:rFonts w:hint="eastAsia"/>
          <w:color w:val="auto"/>
          <w:highlight w:val="none"/>
        </w:rPr>
        <w:t xml:space="preserve">    质疑联系方式：</w:t>
      </w:r>
      <w:r>
        <w:rPr>
          <w:rFonts w:hint="eastAsia" w:cs="仿宋"/>
          <w:highlight w:val="none"/>
        </w:rPr>
        <w:t>0571-61778189  </w:t>
      </w:r>
      <w:r>
        <w:rPr>
          <w:rFonts w:hint="eastAsia"/>
          <w:color w:val="auto"/>
          <w:highlight w:val="none"/>
        </w:rPr>
        <w:t xml:space="preserve"> </w:t>
      </w:r>
    </w:p>
    <w:p>
      <w:pPr>
        <w:keepNext w:val="0"/>
        <w:keepLines w:val="0"/>
        <w:pageBreakBefore w:val="0"/>
        <w:kinsoku/>
        <w:overflowPunct/>
        <w:autoSpaceDE/>
        <w:autoSpaceDN/>
        <w:bidi w:val="0"/>
        <w:adjustRightInd/>
        <w:spacing w:line="400" w:lineRule="exact"/>
        <w:ind w:firstLine="482" w:firstLineChars="200"/>
        <w:textAlignment w:val="auto"/>
        <w:rPr>
          <w:rFonts w:hint="eastAsia" w:eastAsia="仿宋"/>
          <w:b/>
          <w:bCs/>
          <w:color w:val="auto"/>
          <w:highlight w:val="none"/>
          <w:lang w:eastAsia="zh-CN"/>
        </w:rPr>
      </w:pPr>
      <w:r>
        <w:rPr>
          <w:rFonts w:hint="eastAsia"/>
          <w:b/>
          <w:bCs/>
          <w:color w:val="auto"/>
          <w:highlight w:val="none"/>
        </w:rPr>
        <w:t>若对项目招标电子交易平台操作有疑问，可登录政采云（https://www.zcygov.cn/），点击右侧咨询小采，获取采小蜜智能服务管家帮助，或拨打政采云服务热线</w:t>
      </w:r>
      <w:r>
        <w:rPr>
          <w:rFonts w:hint="eastAsia"/>
          <w:b/>
          <w:bCs/>
          <w:color w:val="auto"/>
          <w:highlight w:val="none"/>
          <w:lang w:eastAsia="zh-CN"/>
        </w:rPr>
        <w:t>95763</w:t>
      </w:r>
      <w:r>
        <w:rPr>
          <w:rFonts w:hint="eastAsia"/>
          <w:b/>
          <w:bCs/>
          <w:color w:val="auto"/>
          <w:highlight w:val="none"/>
        </w:rPr>
        <w:t>获取热线服务帮助。</w:t>
      </w:r>
    </w:p>
    <w:p>
      <w:pPr>
        <w:keepNext w:val="0"/>
        <w:keepLines w:val="0"/>
        <w:pageBreakBefore w:val="0"/>
        <w:kinsoku/>
        <w:overflowPunct/>
        <w:autoSpaceDE/>
        <w:autoSpaceDN/>
        <w:bidi w:val="0"/>
        <w:adjustRightInd/>
        <w:spacing w:line="400" w:lineRule="exact"/>
        <w:ind w:firstLine="482" w:firstLineChars="200"/>
        <w:textAlignment w:val="auto"/>
        <w:rPr>
          <w:color w:val="auto"/>
          <w:highlight w:val="none"/>
        </w:rPr>
      </w:pPr>
      <w:r>
        <w:rPr>
          <w:rFonts w:hint="eastAsia"/>
          <w:b/>
          <w:bCs/>
          <w:color w:val="auto"/>
          <w:highlight w:val="none"/>
        </w:rPr>
        <w:t xml:space="preserve">    CA问题联系电话（人工）：汇信CA 400-888-4636；天谷CA 400-087-8198。</w:t>
      </w:r>
    </w:p>
    <w:p>
      <w:pPr>
        <w:jc w:val="right"/>
        <w:rPr>
          <w:rFonts w:hint="eastAsia"/>
          <w:color w:val="auto"/>
          <w:highlight w:val="none"/>
          <w:lang w:eastAsia="zh-CN"/>
        </w:rPr>
      </w:pPr>
      <w:r>
        <w:rPr>
          <w:rFonts w:hint="eastAsia"/>
          <w:color w:val="auto"/>
          <w:highlight w:val="none"/>
          <w:lang w:eastAsia="zh-CN"/>
        </w:rPr>
        <w:t> </w:t>
      </w:r>
    </w:p>
    <w:p>
      <w:pPr>
        <w:jc w:val="right"/>
        <w:rPr>
          <w:rFonts w:hint="eastAsia" w:eastAsia="仿宋"/>
          <w:color w:val="auto"/>
          <w:highlight w:val="none"/>
          <w:lang w:eastAsia="zh-CN"/>
        </w:rPr>
      </w:pPr>
      <w:r>
        <w:rPr>
          <w:rFonts w:hint="eastAsia"/>
          <w:color w:val="auto"/>
          <w:highlight w:val="none"/>
          <w:lang w:eastAsia="zh-CN"/>
        </w:rPr>
        <w:t>杭州市富阳区第三人民医院</w:t>
      </w:r>
    </w:p>
    <w:p>
      <w:pPr>
        <w:jc w:val="right"/>
        <w:rPr>
          <w:rFonts w:hint="eastAsia" w:eastAsia="仿宋"/>
          <w:color w:val="auto"/>
          <w:highlight w:val="none"/>
          <w:lang w:eastAsia="zh-CN"/>
        </w:rPr>
      </w:pPr>
      <w:r>
        <w:rPr>
          <w:rFonts w:hint="eastAsia"/>
          <w:color w:val="auto"/>
          <w:highlight w:val="none"/>
          <w:lang w:eastAsia="zh-CN"/>
        </w:rPr>
        <w:t>浙江中诚工程管理科技有限公司</w:t>
      </w:r>
    </w:p>
    <w:p>
      <w:pPr>
        <w:jc w:val="right"/>
        <w:rPr>
          <w:color w:val="auto"/>
          <w:highlight w:val="none"/>
        </w:rPr>
      </w:pPr>
      <w:r>
        <w:rPr>
          <w:rFonts w:hint="eastAsia"/>
          <w:color w:val="auto"/>
          <w:highlight w:val="none"/>
        </w:rPr>
        <w:t xml:space="preserve">  </w:t>
      </w:r>
      <w:r>
        <w:rPr>
          <w:rFonts w:hint="eastAsia"/>
          <w:color w:val="auto"/>
          <w:highlight w:val="none"/>
          <w:lang w:val="en-US" w:eastAsia="zh-CN"/>
        </w:rPr>
        <w:t>2025</w:t>
      </w:r>
      <w:r>
        <w:rPr>
          <w:rFonts w:hint="eastAsia"/>
          <w:color w:val="auto"/>
          <w:highlight w:val="none"/>
        </w:rPr>
        <w:t>年</w:t>
      </w:r>
      <w:r>
        <w:rPr>
          <w:rFonts w:hint="eastAsia"/>
          <w:color w:val="auto"/>
          <w:highlight w:val="none"/>
          <w:lang w:val="en-US" w:eastAsia="zh-CN"/>
        </w:rPr>
        <w:t>1</w:t>
      </w:r>
      <w:r>
        <w:rPr>
          <w:rFonts w:hint="eastAsia"/>
          <w:color w:val="auto"/>
          <w:highlight w:val="none"/>
        </w:rPr>
        <w:t>月</w:t>
      </w:r>
      <w:r>
        <w:rPr>
          <w:rFonts w:hint="eastAsia"/>
          <w:color w:val="auto"/>
          <w:highlight w:val="none"/>
          <w:lang w:val="en-US" w:eastAsia="zh-CN"/>
        </w:rPr>
        <w:t>24</w:t>
      </w:r>
      <w:r>
        <w:rPr>
          <w:rFonts w:hint="eastAsia"/>
          <w:color w:val="auto"/>
          <w:highlight w:val="none"/>
        </w:rPr>
        <w:t>日</w:t>
      </w:r>
    </w:p>
    <w:p>
      <w:pPr>
        <w:rPr>
          <w:b/>
          <w:color w:val="auto"/>
          <w:sz w:val="36"/>
          <w:szCs w:val="36"/>
          <w:highlight w:val="none"/>
        </w:rPr>
      </w:pPr>
      <w:r>
        <w:rPr>
          <w:b/>
          <w:color w:val="auto"/>
          <w:sz w:val="36"/>
          <w:szCs w:val="36"/>
          <w:highlight w:val="none"/>
        </w:rPr>
        <w:br w:type="page"/>
      </w:r>
    </w:p>
    <w:p>
      <w:pPr>
        <w:pStyle w:val="5"/>
        <w:rPr>
          <w:color w:val="auto"/>
          <w:highlight w:val="none"/>
        </w:rPr>
      </w:pPr>
      <w:bookmarkStart w:id="4" w:name="_Toc236940849"/>
      <w:r>
        <w:rPr>
          <w:rFonts w:hint="eastAsia"/>
          <w:color w:val="auto"/>
          <w:highlight w:val="none"/>
        </w:rPr>
        <w:t>第二章  投标人须知</w:t>
      </w:r>
      <w:bookmarkEnd w:id="4"/>
    </w:p>
    <w:p>
      <w:pPr>
        <w:pStyle w:val="2"/>
        <w:spacing w:before="0" w:after="0" w:line="360" w:lineRule="auto"/>
        <w:ind w:left="578" w:hanging="578"/>
        <w:rPr>
          <w:color w:val="auto"/>
          <w:highlight w:val="none"/>
        </w:rPr>
      </w:pPr>
      <w:r>
        <w:rPr>
          <w:rFonts w:hint="eastAsia"/>
          <w:color w:val="auto"/>
          <w:highlight w:val="none"/>
        </w:rPr>
        <w:t>前附表</w:t>
      </w:r>
    </w:p>
    <w:tbl>
      <w:tblPr>
        <w:tblStyle w:val="89"/>
        <w:tblW w:w="9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890"/>
        <w:gridCol w:w="6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topLinePunct/>
              <w:spacing w:before="0" w:beforeAutospacing="0" w:after="0" w:afterAutospacing="0"/>
              <w:ind w:left="0" w:right="0"/>
              <w:jc w:val="center"/>
              <w:rPr>
                <w:rFonts w:hint="default"/>
                <w:color w:val="auto"/>
                <w:highlight w:val="none"/>
              </w:rPr>
            </w:pPr>
            <w:r>
              <w:rPr>
                <w:rFonts w:hint="eastAsia"/>
                <w:color w:val="auto"/>
                <w:highlight w:val="none"/>
              </w:rPr>
              <w:t>序号</w:t>
            </w:r>
          </w:p>
        </w:tc>
        <w:tc>
          <w:tcPr>
            <w:tcW w:w="87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topLinePunct/>
              <w:spacing w:before="0" w:beforeAutospacing="0" w:after="0" w:afterAutospacing="0"/>
              <w:ind w:left="0" w:right="0"/>
              <w:jc w:val="center"/>
              <w:rPr>
                <w:rFonts w:hint="default"/>
                <w:color w:val="auto"/>
                <w:highlight w:val="none"/>
              </w:rPr>
            </w:pPr>
            <w:r>
              <w:rPr>
                <w:rFonts w:hint="eastAsia"/>
                <w:color w:val="auto"/>
                <w:highlight w:val="none"/>
              </w:rPr>
              <w:t>内容说明及要求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topLinePunct/>
              <w:spacing w:before="0" w:beforeAutospacing="0" w:after="0" w:afterAutospacing="0"/>
              <w:ind w:left="0" w:right="0"/>
              <w:jc w:val="center"/>
              <w:rPr>
                <w:rFonts w:hint="default"/>
                <w:color w:val="auto"/>
                <w:highlight w:val="none"/>
              </w:rPr>
            </w:pPr>
            <w:r>
              <w:rPr>
                <w:rFonts w:hint="eastAsia"/>
                <w:color w:val="auto"/>
                <w:highlight w:val="none"/>
              </w:rPr>
              <w:t>1</w:t>
            </w:r>
          </w:p>
        </w:tc>
        <w:tc>
          <w:tcPr>
            <w:tcW w:w="18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topLinePunct/>
              <w:spacing w:before="0" w:beforeAutospacing="0" w:after="0" w:afterAutospacing="0"/>
              <w:ind w:left="0" w:right="0"/>
              <w:jc w:val="center"/>
              <w:rPr>
                <w:rFonts w:hint="default"/>
                <w:color w:val="auto"/>
                <w:highlight w:val="none"/>
              </w:rPr>
            </w:pPr>
            <w:r>
              <w:rPr>
                <w:rFonts w:hint="eastAsia"/>
                <w:color w:val="auto"/>
                <w:highlight w:val="none"/>
              </w:rPr>
              <w:t>项目名称</w:t>
            </w:r>
          </w:p>
        </w:tc>
        <w:tc>
          <w:tcPr>
            <w:tcW w:w="6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rPr>
                <w:rFonts w:hint="eastAsia" w:eastAsia="仿宋"/>
                <w:color w:val="auto"/>
                <w:highlight w:val="none"/>
                <w:lang w:eastAsia="zh-CN"/>
              </w:rPr>
            </w:pPr>
            <w:r>
              <w:rPr>
                <w:rFonts w:hint="eastAsia"/>
                <w:color w:val="auto"/>
                <w:highlight w:val="none"/>
                <w:lang w:eastAsia="zh-CN"/>
              </w:rPr>
              <w:t>杭州市富阳区第三人民医院基本账户、专用账户（工会）招标项目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topLinePunct/>
              <w:spacing w:before="0" w:beforeAutospacing="0" w:after="0" w:afterAutospacing="0"/>
              <w:ind w:left="0" w:right="0"/>
              <w:jc w:val="center"/>
              <w:rPr>
                <w:rFonts w:hint="default"/>
                <w:color w:val="auto"/>
                <w:highlight w:val="none"/>
              </w:rPr>
            </w:pPr>
            <w:r>
              <w:rPr>
                <w:rFonts w:hint="eastAsia"/>
                <w:color w:val="auto"/>
                <w:highlight w:val="none"/>
              </w:rPr>
              <w:t>2</w:t>
            </w:r>
          </w:p>
        </w:tc>
        <w:tc>
          <w:tcPr>
            <w:tcW w:w="18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topLinePunct/>
              <w:spacing w:before="0" w:beforeAutospacing="0" w:after="0" w:afterAutospacing="0"/>
              <w:ind w:left="0" w:right="0"/>
              <w:jc w:val="center"/>
              <w:rPr>
                <w:rFonts w:hint="default"/>
                <w:color w:val="auto"/>
                <w:highlight w:val="none"/>
              </w:rPr>
            </w:pPr>
            <w:r>
              <w:rPr>
                <w:rFonts w:hint="eastAsia"/>
                <w:color w:val="auto"/>
                <w:highlight w:val="none"/>
              </w:rPr>
              <w:t>账户管理年限</w:t>
            </w:r>
          </w:p>
        </w:tc>
        <w:tc>
          <w:tcPr>
            <w:tcW w:w="6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rPr>
                <w:rFonts w:hint="default"/>
                <w:color w:val="auto"/>
                <w:highlight w:val="none"/>
              </w:rPr>
            </w:pPr>
            <w:r>
              <w:rPr>
                <w:rFonts w:hint="eastAsia" w:cs="Arial"/>
                <w:color w:val="auto"/>
                <w:highlight w:val="none"/>
              </w:rPr>
              <w:t>五年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topLinePunct/>
              <w:spacing w:before="0" w:beforeAutospacing="0" w:after="0" w:afterAutospacing="0"/>
              <w:ind w:left="0" w:right="0"/>
              <w:jc w:val="center"/>
              <w:rPr>
                <w:rFonts w:hint="default"/>
                <w:color w:val="auto"/>
                <w:highlight w:val="none"/>
              </w:rPr>
            </w:pPr>
            <w:r>
              <w:rPr>
                <w:rFonts w:hint="eastAsia"/>
                <w:color w:val="auto"/>
                <w:highlight w:val="none"/>
              </w:rPr>
              <w:t>3</w:t>
            </w:r>
          </w:p>
        </w:tc>
        <w:tc>
          <w:tcPr>
            <w:tcW w:w="18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topLinePunct/>
              <w:spacing w:before="0" w:beforeAutospacing="0" w:after="0" w:afterAutospacing="0"/>
              <w:ind w:left="0" w:right="0"/>
              <w:jc w:val="center"/>
              <w:rPr>
                <w:rFonts w:hint="default"/>
                <w:color w:val="auto"/>
                <w:highlight w:val="none"/>
              </w:rPr>
            </w:pPr>
            <w:r>
              <w:rPr>
                <w:rFonts w:hint="eastAsia"/>
                <w:color w:val="auto"/>
                <w:highlight w:val="none"/>
              </w:rPr>
              <w:t>投标文件递交截止时间与地点</w:t>
            </w:r>
          </w:p>
        </w:tc>
        <w:tc>
          <w:tcPr>
            <w:tcW w:w="6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rPr>
                <w:rFonts w:hint="default"/>
                <w:color w:val="auto"/>
                <w:highlight w:val="none"/>
              </w:rPr>
            </w:pPr>
            <w:r>
              <w:rPr>
                <w:rFonts w:hint="eastAsia"/>
                <w:color w:val="auto"/>
                <w:highlight w:val="none"/>
              </w:rPr>
              <w:t>（1）投标文件递交截止时间：</w:t>
            </w:r>
            <w:r>
              <w:rPr>
                <w:rFonts w:hint="eastAsia"/>
                <w:color w:val="auto"/>
                <w:highlight w:val="none"/>
                <w:lang w:val="en-US" w:eastAsia="zh-CN"/>
              </w:rPr>
              <w:t>2025</w:t>
            </w:r>
            <w:r>
              <w:rPr>
                <w:rFonts w:hint="eastAsia"/>
                <w:color w:val="auto"/>
                <w:highlight w:val="none"/>
              </w:rPr>
              <w:t>年</w:t>
            </w:r>
            <w:r>
              <w:rPr>
                <w:rFonts w:hint="eastAsia"/>
                <w:color w:val="auto"/>
                <w:highlight w:val="none"/>
                <w:lang w:val="en-US" w:eastAsia="zh-CN"/>
              </w:rPr>
              <w:t>2</w:t>
            </w:r>
            <w:r>
              <w:rPr>
                <w:rFonts w:hint="eastAsia"/>
                <w:color w:val="auto"/>
                <w:highlight w:val="none"/>
              </w:rPr>
              <w:t>月</w:t>
            </w:r>
            <w:r>
              <w:rPr>
                <w:rFonts w:hint="eastAsia"/>
                <w:color w:val="auto"/>
                <w:highlight w:val="none"/>
                <w:lang w:val="en-US" w:eastAsia="zh-CN"/>
              </w:rPr>
              <w:t>13</w:t>
            </w:r>
            <w:r>
              <w:rPr>
                <w:rFonts w:hint="eastAsia"/>
                <w:color w:val="auto"/>
                <w:highlight w:val="none"/>
              </w:rPr>
              <w:t>日</w:t>
            </w:r>
            <w:r>
              <w:rPr>
                <w:rFonts w:hint="eastAsia"/>
                <w:color w:val="auto"/>
                <w:highlight w:val="none"/>
                <w:lang w:val="en-US" w:eastAsia="zh-CN"/>
              </w:rPr>
              <w:t>9</w:t>
            </w:r>
            <w:r>
              <w:rPr>
                <w:rFonts w:hint="eastAsia"/>
                <w:color w:val="auto"/>
                <w:highlight w:val="none"/>
              </w:rPr>
              <w:t>时</w:t>
            </w:r>
            <w:r>
              <w:rPr>
                <w:rFonts w:hint="eastAsia"/>
                <w:color w:val="auto"/>
                <w:highlight w:val="none"/>
                <w:lang w:val="en-US" w:eastAsia="zh-CN"/>
              </w:rPr>
              <w:t>30</w:t>
            </w:r>
            <w:r>
              <w:rPr>
                <w:rFonts w:hint="eastAsia"/>
                <w:color w:val="auto"/>
                <w:highlight w:val="none"/>
              </w:rPr>
              <w:t>分</w:t>
            </w:r>
            <w:r>
              <w:rPr>
                <w:rFonts w:hint="eastAsia"/>
                <w:color w:val="auto"/>
                <w:highlight w:val="none"/>
                <w:lang w:val="en-US" w:eastAsia="zh-CN"/>
              </w:rPr>
              <w:t>00</w:t>
            </w:r>
            <w:r>
              <w:rPr>
                <w:rFonts w:hint="eastAsia"/>
                <w:color w:val="auto"/>
                <w:highlight w:val="none"/>
              </w:rPr>
              <w:t>秒止</w:t>
            </w:r>
          </w:p>
          <w:p>
            <w:pPr>
              <w:pStyle w:val="106"/>
              <w:keepNext w:val="0"/>
              <w:keepLines w:val="0"/>
              <w:suppressLineNumbers w:val="0"/>
              <w:topLinePunct/>
              <w:snapToGrid/>
              <w:spacing w:before="0" w:beforeAutospacing="0" w:after="0" w:afterAutospacing="0" w:line="360" w:lineRule="auto"/>
              <w:ind w:left="0" w:right="0"/>
              <w:rPr>
                <w:rFonts w:hint="default" w:ascii="仿宋" w:hAnsi="仿宋"/>
                <w:color w:val="auto"/>
                <w:szCs w:val="24"/>
                <w:highlight w:val="none"/>
              </w:rPr>
            </w:pPr>
            <w:r>
              <w:rPr>
                <w:rFonts w:hint="eastAsia" w:ascii="仿宋" w:hAnsi="仿宋"/>
                <w:color w:val="auto"/>
                <w:kern w:val="3"/>
                <w:szCs w:val="24"/>
                <w:highlight w:val="none"/>
              </w:rPr>
              <w:t>（2）</w:t>
            </w:r>
            <w:r>
              <w:rPr>
                <w:rFonts w:hint="eastAsia" w:ascii="仿宋" w:hAnsi="仿宋"/>
                <w:color w:val="auto"/>
                <w:szCs w:val="24"/>
                <w:highlight w:val="none"/>
              </w:rPr>
              <w:t>投标文件递交地点：政采云平台(https://www.zcygov.cn/)；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topLinePunct/>
              <w:spacing w:before="0" w:beforeAutospacing="0" w:after="0" w:afterAutospacing="0"/>
              <w:ind w:left="0" w:right="0"/>
              <w:jc w:val="center"/>
              <w:rPr>
                <w:rFonts w:hint="default"/>
                <w:color w:val="auto"/>
                <w:highlight w:val="none"/>
              </w:rPr>
            </w:pPr>
            <w:r>
              <w:rPr>
                <w:rFonts w:hint="eastAsia"/>
                <w:color w:val="auto"/>
                <w:highlight w:val="none"/>
              </w:rPr>
              <w:t>4</w:t>
            </w:r>
          </w:p>
        </w:tc>
        <w:tc>
          <w:tcPr>
            <w:tcW w:w="18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topLinePunct/>
              <w:spacing w:before="0" w:beforeAutospacing="0" w:after="0" w:afterAutospacing="0"/>
              <w:ind w:left="0" w:right="0"/>
              <w:jc w:val="center"/>
              <w:rPr>
                <w:rFonts w:hint="default"/>
                <w:color w:val="auto"/>
                <w:highlight w:val="none"/>
              </w:rPr>
            </w:pPr>
            <w:r>
              <w:rPr>
                <w:rFonts w:hint="eastAsia"/>
                <w:color w:val="auto"/>
                <w:highlight w:val="none"/>
              </w:rPr>
              <w:t>开标时间与地点</w:t>
            </w:r>
          </w:p>
        </w:tc>
        <w:tc>
          <w:tcPr>
            <w:tcW w:w="6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rPr>
                <w:rFonts w:hint="default"/>
                <w:color w:val="auto"/>
                <w:highlight w:val="none"/>
              </w:rPr>
            </w:pPr>
            <w:r>
              <w:rPr>
                <w:rFonts w:hint="eastAsia"/>
                <w:color w:val="auto"/>
                <w:highlight w:val="none"/>
              </w:rPr>
              <w:t>（1）开标时间：</w:t>
            </w:r>
            <w:r>
              <w:rPr>
                <w:rFonts w:hint="eastAsia"/>
                <w:color w:val="auto"/>
                <w:highlight w:val="none"/>
                <w:lang w:val="en-US" w:eastAsia="zh-CN"/>
              </w:rPr>
              <w:t>2025</w:t>
            </w:r>
            <w:r>
              <w:rPr>
                <w:rFonts w:hint="eastAsia"/>
                <w:color w:val="auto"/>
                <w:highlight w:val="none"/>
              </w:rPr>
              <w:t>年</w:t>
            </w:r>
            <w:r>
              <w:rPr>
                <w:rFonts w:hint="eastAsia"/>
                <w:color w:val="auto"/>
                <w:highlight w:val="none"/>
                <w:lang w:val="en-US" w:eastAsia="zh-CN"/>
              </w:rPr>
              <w:t>2</w:t>
            </w:r>
            <w:r>
              <w:rPr>
                <w:rFonts w:hint="eastAsia"/>
                <w:color w:val="auto"/>
                <w:highlight w:val="none"/>
              </w:rPr>
              <w:t>月</w:t>
            </w:r>
            <w:r>
              <w:rPr>
                <w:rFonts w:hint="eastAsia"/>
                <w:color w:val="auto"/>
                <w:highlight w:val="none"/>
                <w:lang w:val="en-US" w:eastAsia="zh-CN"/>
              </w:rPr>
              <w:t>13</w:t>
            </w:r>
            <w:r>
              <w:rPr>
                <w:rFonts w:hint="eastAsia"/>
                <w:color w:val="auto"/>
                <w:highlight w:val="none"/>
              </w:rPr>
              <w:t>日</w:t>
            </w:r>
            <w:r>
              <w:rPr>
                <w:rFonts w:hint="eastAsia"/>
                <w:color w:val="auto"/>
                <w:highlight w:val="none"/>
                <w:lang w:val="en-US" w:eastAsia="zh-CN"/>
              </w:rPr>
              <w:t>9</w:t>
            </w:r>
            <w:r>
              <w:rPr>
                <w:rFonts w:hint="eastAsia"/>
                <w:color w:val="auto"/>
                <w:highlight w:val="none"/>
              </w:rPr>
              <w:t>时</w:t>
            </w:r>
            <w:r>
              <w:rPr>
                <w:rFonts w:hint="eastAsia"/>
                <w:color w:val="auto"/>
                <w:highlight w:val="none"/>
                <w:lang w:val="en-US" w:eastAsia="zh-CN"/>
              </w:rPr>
              <w:t>30</w:t>
            </w:r>
            <w:r>
              <w:rPr>
                <w:rFonts w:hint="eastAsia"/>
                <w:color w:val="auto"/>
                <w:highlight w:val="none"/>
              </w:rPr>
              <w:t>分</w:t>
            </w:r>
            <w:r>
              <w:rPr>
                <w:rFonts w:hint="eastAsia"/>
                <w:color w:val="auto"/>
                <w:highlight w:val="none"/>
                <w:lang w:val="en-US" w:eastAsia="zh-CN"/>
              </w:rPr>
              <w:t>00</w:t>
            </w:r>
            <w:r>
              <w:rPr>
                <w:rFonts w:hint="eastAsia"/>
                <w:color w:val="auto"/>
                <w:highlight w:val="none"/>
              </w:rPr>
              <w:t>秒止</w:t>
            </w:r>
          </w:p>
          <w:p>
            <w:pPr>
              <w:pStyle w:val="106"/>
              <w:keepNext w:val="0"/>
              <w:keepLines w:val="0"/>
              <w:widowControl w:val="0"/>
              <w:suppressLineNumbers w:val="0"/>
              <w:wordWrap w:val="0"/>
              <w:topLinePunct/>
              <w:snapToGrid/>
              <w:spacing w:before="0" w:beforeAutospacing="0" w:after="0" w:afterAutospacing="0" w:line="360" w:lineRule="auto"/>
              <w:ind w:left="0" w:right="0"/>
              <w:rPr>
                <w:rFonts w:hint="default" w:ascii="仿宋" w:hAnsi="仿宋"/>
                <w:color w:val="auto"/>
                <w:szCs w:val="24"/>
                <w:highlight w:val="none"/>
              </w:rPr>
            </w:pPr>
            <w:r>
              <w:rPr>
                <w:rFonts w:hint="eastAsia" w:ascii="仿宋" w:hAnsi="仿宋"/>
                <w:color w:val="auto"/>
                <w:kern w:val="3"/>
                <w:szCs w:val="24"/>
                <w:highlight w:val="none"/>
              </w:rPr>
              <w:t>（2）</w:t>
            </w:r>
            <w:r>
              <w:rPr>
                <w:rFonts w:hint="eastAsia" w:ascii="仿宋" w:hAnsi="仿宋" w:cs="Arial"/>
                <w:color w:val="auto"/>
                <w:szCs w:val="24"/>
                <w:highlight w:val="none"/>
              </w:rPr>
              <w:t>开标地点：</w:t>
            </w:r>
            <w:r>
              <w:rPr>
                <w:rFonts w:hint="eastAsia" w:ascii="仿宋" w:hAnsi="仿宋"/>
                <w:color w:val="auto"/>
                <w:highlight w:val="none"/>
                <w:lang w:eastAsia="zh-CN"/>
              </w:rPr>
              <w:t>浙江中诚工程管理科技有限公司</w:t>
            </w:r>
            <w:r>
              <w:rPr>
                <w:rFonts w:hint="eastAsia" w:ascii="仿宋" w:hAnsi="仿宋"/>
                <w:color w:val="auto"/>
                <w:highlight w:val="none"/>
              </w:rPr>
              <w:t>开标室（杭州市富阳区体育馆路290号秦汉大厦东1501）；政采云平台(</w:t>
            </w:r>
            <w:r>
              <w:rPr>
                <w:rFonts w:hint="default"/>
                <w:color w:val="auto"/>
                <w:highlight w:val="none"/>
              </w:rPr>
              <w:fldChar w:fldCharType="begin"/>
            </w:r>
            <w:r>
              <w:rPr>
                <w:rFonts w:hint="default"/>
                <w:color w:val="auto"/>
                <w:highlight w:val="none"/>
              </w:rPr>
              <w:instrText xml:space="preserve"> HYPERLINK "https://www.zcygov.cn/" </w:instrText>
            </w:r>
            <w:r>
              <w:rPr>
                <w:rFonts w:hint="default"/>
                <w:color w:val="auto"/>
                <w:highlight w:val="none"/>
              </w:rPr>
              <w:fldChar w:fldCharType="separate"/>
            </w:r>
            <w:r>
              <w:rPr>
                <w:rStyle w:val="102"/>
                <w:rFonts w:hint="eastAsia" w:ascii="仿宋" w:hAnsi="仿宋"/>
                <w:color w:val="auto"/>
                <w:highlight w:val="none"/>
              </w:rPr>
              <w:t>https://www.zcygov.cn/</w:t>
            </w:r>
            <w:r>
              <w:rPr>
                <w:rStyle w:val="102"/>
                <w:rFonts w:hint="eastAsia" w:ascii="仿宋" w:hAnsi="仿宋"/>
                <w:color w:val="auto"/>
                <w:highlight w:val="none"/>
              </w:rPr>
              <w:fldChar w:fldCharType="end"/>
            </w:r>
            <w:r>
              <w:rPr>
                <w:rFonts w:hint="eastAsia" w:ascii="仿宋" w:hAnsi="仿宋"/>
                <w:color w:val="auto"/>
                <w:highlight w:val="none"/>
              </w:rPr>
              <w:t>)</w:t>
            </w:r>
            <w:r>
              <w:rPr>
                <w:rFonts w:hint="eastAsia" w:ascii="仿宋" w:hAnsi="仿宋"/>
                <w:color w:val="auto"/>
                <w:szCs w:val="24"/>
                <w:highlight w:val="none"/>
              </w:rPr>
              <w:t>；本项目全流程电子标，无须参加现场开标会议。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topLinePunct/>
              <w:spacing w:before="0" w:beforeAutospacing="0" w:after="0" w:afterAutospacing="0"/>
              <w:ind w:left="0" w:right="0"/>
              <w:jc w:val="center"/>
              <w:rPr>
                <w:rFonts w:hint="default"/>
                <w:color w:val="auto"/>
                <w:highlight w:val="none"/>
              </w:rPr>
            </w:pPr>
            <w:r>
              <w:rPr>
                <w:rFonts w:hint="eastAsia"/>
                <w:color w:val="auto"/>
                <w:highlight w:val="none"/>
              </w:rPr>
              <w:t>5</w:t>
            </w:r>
          </w:p>
        </w:tc>
        <w:tc>
          <w:tcPr>
            <w:tcW w:w="18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topLinePunct/>
              <w:spacing w:before="0" w:beforeAutospacing="0" w:after="0" w:afterAutospacing="0"/>
              <w:ind w:left="0" w:right="0"/>
              <w:jc w:val="center"/>
              <w:rPr>
                <w:rFonts w:hint="default"/>
                <w:color w:val="auto"/>
                <w:highlight w:val="none"/>
              </w:rPr>
            </w:pPr>
            <w:r>
              <w:rPr>
                <w:rFonts w:hint="eastAsia" w:cs="Arial"/>
                <w:color w:val="auto"/>
                <w:highlight w:val="none"/>
              </w:rPr>
              <w:t>投标报价及费用</w:t>
            </w:r>
          </w:p>
        </w:tc>
        <w:tc>
          <w:tcPr>
            <w:tcW w:w="6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rPr>
                <w:rFonts w:hint="default"/>
                <w:color w:val="auto"/>
                <w:highlight w:val="none"/>
              </w:rPr>
            </w:pPr>
            <w:r>
              <w:rPr>
                <w:rFonts w:hint="eastAsia"/>
                <w:color w:val="auto"/>
                <w:highlight w:val="none"/>
              </w:rPr>
              <w:t>（1）本项目投标应以人民币报价。</w:t>
            </w:r>
          </w:p>
          <w:p>
            <w:pPr>
              <w:keepNext w:val="0"/>
              <w:keepLines w:val="0"/>
              <w:suppressLineNumbers w:val="0"/>
              <w:topLinePunct/>
              <w:spacing w:before="0" w:beforeAutospacing="0" w:after="0" w:afterAutospacing="0"/>
              <w:ind w:left="0" w:right="0"/>
              <w:rPr>
                <w:rFonts w:hint="default"/>
                <w:color w:val="auto"/>
                <w:highlight w:val="none"/>
              </w:rPr>
            </w:pPr>
            <w:r>
              <w:rPr>
                <w:rFonts w:hint="eastAsia"/>
                <w:color w:val="auto"/>
                <w:highlight w:val="none"/>
              </w:rPr>
              <w:t>（2）不论投标结果如何，投标人均应自行承担所有与投标有关的全部费用。</w:t>
            </w:r>
          </w:p>
          <w:p>
            <w:pPr>
              <w:pStyle w:val="106"/>
              <w:keepNext w:val="0"/>
              <w:keepLines w:val="0"/>
              <w:suppressLineNumbers w:val="0"/>
              <w:topLinePunct/>
              <w:snapToGrid/>
              <w:spacing w:before="0" w:beforeAutospacing="0" w:after="0" w:afterAutospacing="0" w:line="360" w:lineRule="auto"/>
              <w:ind w:left="0" w:right="0"/>
              <w:rPr>
                <w:rFonts w:hint="default" w:ascii="仿宋" w:hAnsi="仿宋"/>
                <w:color w:val="auto"/>
                <w:szCs w:val="24"/>
                <w:highlight w:val="none"/>
              </w:rPr>
            </w:pPr>
            <w:r>
              <w:rPr>
                <w:rFonts w:hint="eastAsia" w:ascii="仿宋" w:hAnsi="仿宋"/>
                <w:color w:val="auto"/>
                <w:kern w:val="3"/>
                <w:szCs w:val="24"/>
                <w:highlight w:val="none"/>
              </w:rPr>
              <w:t>（3）本项目不接受选择性报价。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topLinePunct/>
              <w:spacing w:before="0" w:beforeAutospacing="0" w:after="0" w:afterAutospacing="0"/>
              <w:ind w:left="0" w:right="0"/>
              <w:jc w:val="center"/>
              <w:rPr>
                <w:rFonts w:hint="default"/>
                <w:color w:val="auto"/>
                <w:highlight w:val="none"/>
              </w:rPr>
            </w:pPr>
            <w:r>
              <w:rPr>
                <w:rFonts w:hint="eastAsia"/>
                <w:color w:val="auto"/>
                <w:highlight w:val="none"/>
              </w:rPr>
              <w:t>6</w:t>
            </w:r>
          </w:p>
        </w:tc>
        <w:tc>
          <w:tcPr>
            <w:tcW w:w="18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topLinePunct/>
              <w:spacing w:before="0" w:beforeAutospacing="0" w:after="0" w:afterAutospacing="0"/>
              <w:ind w:left="0" w:right="0"/>
              <w:jc w:val="center"/>
              <w:rPr>
                <w:rFonts w:hint="default" w:cs="Arial"/>
                <w:color w:val="auto"/>
                <w:highlight w:val="none"/>
              </w:rPr>
            </w:pPr>
            <w:r>
              <w:rPr>
                <w:rFonts w:hint="eastAsia" w:cs="Arial"/>
                <w:color w:val="auto"/>
                <w:highlight w:val="none"/>
              </w:rPr>
              <w:t>转包与分包</w:t>
            </w:r>
          </w:p>
        </w:tc>
        <w:tc>
          <w:tcPr>
            <w:tcW w:w="6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rPr>
                <w:rFonts w:hint="default"/>
                <w:color w:val="auto"/>
                <w:highlight w:val="none"/>
              </w:rPr>
            </w:pPr>
            <w:r>
              <w:rPr>
                <w:rFonts w:hint="eastAsia"/>
                <w:color w:val="auto"/>
                <w:highlight w:val="none"/>
              </w:rPr>
              <w:t>（1）本项目不允许转包</w:t>
            </w:r>
          </w:p>
          <w:p>
            <w:pPr>
              <w:pStyle w:val="106"/>
              <w:keepNext w:val="0"/>
              <w:keepLines w:val="0"/>
              <w:suppressLineNumbers w:val="0"/>
              <w:topLinePunct/>
              <w:snapToGrid/>
              <w:spacing w:before="0" w:beforeAutospacing="0" w:after="0" w:afterAutospacing="0" w:line="360" w:lineRule="auto"/>
              <w:ind w:left="0" w:right="0"/>
              <w:rPr>
                <w:rFonts w:hint="default" w:ascii="仿宋" w:hAnsi="仿宋"/>
                <w:color w:val="auto"/>
                <w:szCs w:val="24"/>
                <w:highlight w:val="none"/>
              </w:rPr>
            </w:pPr>
            <w:r>
              <w:rPr>
                <w:rFonts w:hint="eastAsia" w:ascii="仿宋" w:hAnsi="仿宋"/>
                <w:color w:val="auto"/>
                <w:kern w:val="3"/>
                <w:szCs w:val="24"/>
                <w:highlight w:val="none"/>
              </w:rPr>
              <w:t>（2）</w:t>
            </w:r>
            <w:r>
              <w:rPr>
                <w:rFonts w:hint="eastAsia" w:ascii="仿宋" w:hAnsi="仿宋"/>
                <w:color w:val="auto"/>
                <w:szCs w:val="24"/>
                <w:highlight w:val="none"/>
              </w:rPr>
              <w:t>本项目不允许分包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topLinePunct/>
              <w:spacing w:before="0" w:beforeAutospacing="0" w:after="0" w:afterAutospacing="0"/>
              <w:ind w:left="0" w:right="0"/>
              <w:jc w:val="center"/>
              <w:rPr>
                <w:rFonts w:hint="default"/>
                <w:color w:val="auto"/>
                <w:highlight w:val="none"/>
              </w:rPr>
            </w:pPr>
            <w:r>
              <w:rPr>
                <w:rFonts w:hint="eastAsia"/>
                <w:color w:val="auto"/>
                <w:highlight w:val="none"/>
              </w:rPr>
              <w:t>8</w:t>
            </w:r>
          </w:p>
        </w:tc>
        <w:tc>
          <w:tcPr>
            <w:tcW w:w="18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topLinePunct/>
              <w:spacing w:before="0" w:beforeAutospacing="0" w:after="0" w:afterAutospacing="0"/>
              <w:ind w:left="0" w:right="0"/>
              <w:jc w:val="center"/>
              <w:rPr>
                <w:rFonts w:hint="default"/>
                <w:color w:val="auto"/>
                <w:highlight w:val="none"/>
              </w:rPr>
            </w:pPr>
            <w:r>
              <w:rPr>
                <w:rFonts w:hint="eastAsia"/>
                <w:color w:val="auto"/>
                <w:highlight w:val="none"/>
              </w:rPr>
              <w:t>评标办法及标准</w:t>
            </w:r>
          </w:p>
        </w:tc>
        <w:tc>
          <w:tcPr>
            <w:tcW w:w="6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rPr>
                <w:rFonts w:hint="default" w:cs="Arial"/>
                <w:color w:val="auto"/>
                <w:highlight w:val="none"/>
              </w:rPr>
            </w:pPr>
            <w:r>
              <w:rPr>
                <w:rFonts w:hint="eastAsia"/>
                <w:color w:val="auto"/>
                <w:highlight w:val="none"/>
              </w:rPr>
              <w:t>按照招标文件第三章评标办法及评分标准。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topLinePunct/>
              <w:spacing w:before="0" w:beforeAutospacing="0" w:after="0" w:afterAutospacing="0"/>
              <w:ind w:left="0" w:right="0"/>
              <w:jc w:val="center"/>
              <w:rPr>
                <w:rFonts w:hint="default"/>
                <w:color w:val="auto"/>
                <w:highlight w:val="none"/>
              </w:rPr>
            </w:pPr>
            <w:r>
              <w:rPr>
                <w:rFonts w:hint="eastAsia"/>
                <w:color w:val="auto"/>
                <w:highlight w:val="none"/>
              </w:rPr>
              <w:t>9</w:t>
            </w:r>
          </w:p>
        </w:tc>
        <w:tc>
          <w:tcPr>
            <w:tcW w:w="18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topLinePunct/>
              <w:spacing w:before="0" w:beforeAutospacing="0" w:after="0" w:afterAutospacing="0"/>
              <w:ind w:left="0" w:right="0"/>
              <w:jc w:val="center"/>
              <w:rPr>
                <w:rFonts w:hint="default"/>
                <w:color w:val="auto"/>
                <w:highlight w:val="none"/>
              </w:rPr>
            </w:pPr>
            <w:r>
              <w:rPr>
                <w:rFonts w:hint="eastAsia"/>
                <w:color w:val="auto"/>
                <w:highlight w:val="none"/>
              </w:rPr>
              <w:t>评标结果公示、公告</w:t>
            </w:r>
          </w:p>
        </w:tc>
        <w:tc>
          <w:tcPr>
            <w:tcW w:w="6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topLinePunct/>
              <w:spacing w:before="0" w:beforeAutospacing="0" w:after="0" w:afterAutospacing="0"/>
              <w:ind w:left="0" w:right="0"/>
              <w:rPr>
                <w:rFonts w:hint="default"/>
                <w:color w:val="auto"/>
                <w:highlight w:val="none"/>
              </w:rPr>
            </w:pPr>
            <w:r>
              <w:rPr>
                <w:rFonts w:hint="eastAsia"/>
                <w:color w:val="auto"/>
                <w:highlight w:val="none"/>
              </w:rPr>
              <w:t>评标结束后7个工作日内发布评标结果，公示于</w:t>
            </w:r>
            <w:r>
              <w:rPr>
                <w:rFonts w:hint="eastAsia" w:cs="Arial"/>
                <w:color w:val="auto"/>
                <w:highlight w:val="none"/>
              </w:rPr>
              <w:t>浙江政府采购网(</w:t>
            </w:r>
            <w:r>
              <w:rPr>
                <w:rFonts w:hint="default"/>
                <w:color w:val="auto"/>
                <w:highlight w:val="none"/>
              </w:rPr>
              <w:fldChar w:fldCharType="begin"/>
            </w:r>
            <w:r>
              <w:rPr>
                <w:rFonts w:hint="default"/>
                <w:color w:val="auto"/>
                <w:highlight w:val="none"/>
              </w:rPr>
              <w:instrText xml:space="preserve"> HYPERLINK "http://www.zjzfcg.gov.cn/" </w:instrText>
            </w:r>
            <w:r>
              <w:rPr>
                <w:rFonts w:hint="default"/>
                <w:color w:val="auto"/>
                <w:highlight w:val="none"/>
              </w:rPr>
              <w:fldChar w:fldCharType="separate"/>
            </w:r>
            <w:r>
              <w:rPr>
                <w:rStyle w:val="102"/>
                <w:rFonts w:hint="eastAsia" w:cs="Arial"/>
                <w:color w:val="auto"/>
                <w:highlight w:val="none"/>
              </w:rPr>
              <w:t>http://www.zjzfcg.gov.cn</w:t>
            </w:r>
            <w:r>
              <w:rPr>
                <w:rStyle w:val="102"/>
                <w:rFonts w:hint="eastAsia" w:cs="Arial"/>
                <w:color w:val="auto"/>
                <w:highlight w:val="none"/>
              </w:rPr>
              <w:fldChar w:fldCharType="end"/>
            </w:r>
            <w:r>
              <w:rPr>
                <w:rFonts w:hint="eastAsia" w:cs="Arial"/>
                <w:color w:val="auto"/>
                <w:highlight w:val="none"/>
              </w:rPr>
              <w:t>) 、杭州市富阳区人民政府网（</w:t>
            </w:r>
            <w:r>
              <w:rPr>
                <w:rFonts w:hint="default" w:cs="Arial"/>
                <w:color w:val="auto"/>
                <w:highlight w:val="none"/>
              </w:rPr>
              <w:t>http://www.fuyang.gov.cn/col/col1229351685/index.html</w:t>
            </w:r>
            <w:r>
              <w:rPr>
                <w:rFonts w:hint="eastAsia" w:cs="Arial"/>
                <w:color w:val="auto"/>
                <w:highlight w:val="none"/>
              </w:rPr>
              <w:t>）</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topLinePunct/>
              <w:spacing w:before="0" w:beforeAutospacing="0" w:after="0" w:afterAutospacing="0"/>
              <w:ind w:left="0" w:right="0"/>
              <w:jc w:val="center"/>
              <w:rPr>
                <w:rFonts w:hint="default"/>
                <w:color w:val="auto"/>
                <w:highlight w:val="none"/>
              </w:rPr>
            </w:pPr>
            <w:r>
              <w:rPr>
                <w:rFonts w:hint="eastAsia"/>
                <w:color w:val="auto"/>
                <w:highlight w:val="none"/>
              </w:rPr>
              <w:t>10</w:t>
            </w:r>
          </w:p>
        </w:tc>
        <w:tc>
          <w:tcPr>
            <w:tcW w:w="18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topLinePunct/>
              <w:spacing w:before="0" w:beforeAutospacing="0" w:after="0" w:afterAutospacing="0"/>
              <w:ind w:left="0" w:right="0"/>
              <w:jc w:val="center"/>
              <w:rPr>
                <w:rFonts w:hint="default"/>
                <w:color w:val="auto"/>
                <w:highlight w:val="none"/>
              </w:rPr>
            </w:pPr>
            <w:r>
              <w:rPr>
                <w:rFonts w:hint="eastAsia"/>
                <w:color w:val="auto"/>
                <w:highlight w:val="none"/>
              </w:rPr>
              <w:t>签订合同时间</w:t>
            </w:r>
          </w:p>
        </w:tc>
        <w:tc>
          <w:tcPr>
            <w:tcW w:w="6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rPr>
                <w:rFonts w:hint="default"/>
                <w:color w:val="auto"/>
                <w:highlight w:val="none"/>
              </w:rPr>
            </w:pPr>
            <w:r>
              <w:rPr>
                <w:rFonts w:hint="eastAsia"/>
                <w:color w:val="auto"/>
                <w:highlight w:val="none"/>
              </w:rPr>
              <w:t>中标通知书发出后5个工作日内。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topLinePunct/>
              <w:spacing w:before="0" w:beforeAutospacing="0" w:after="0" w:afterAutospacing="0"/>
              <w:ind w:left="0" w:right="0"/>
              <w:jc w:val="center"/>
              <w:rPr>
                <w:rFonts w:hint="default"/>
                <w:color w:val="auto"/>
                <w:highlight w:val="none"/>
              </w:rPr>
            </w:pPr>
            <w:r>
              <w:rPr>
                <w:rFonts w:hint="eastAsia"/>
                <w:color w:val="auto"/>
                <w:highlight w:val="none"/>
              </w:rPr>
              <w:t>11</w:t>
            </w:r>
          </w:p>
        </w:tc>
        <w:tc>
          <w:tcPr>
            <w:tcW w:w="18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topLinePunct/>
              <w:spacing w:before="0" w:beforeAutospacing="0" w:after="0" w:afterAutospacing="0"/>
              <w:ind w:left="0" w:right="0"/>
              <w:jc w:val="center"/>
              <w:rPr>
                <w:rFonts w:hint="default"/>
                <w:color w:val="auto"/>
                <w:highlight w:val="none"/>
              </w:rPr>
            </w:pPr>
            <w:r>
              <w:rPr>
                <w:rFonts w:hint="eastAsia" w:cs="仿宋_GB2312"/>
                <w:color w:val="auto"/>
                <w:highlight w:val="none"/>
              </w:rPr>
              <w:t>招标答疑</w:t>
            </w:r>
          </w:p>
        </w:tc>
        <w:tc>
          <w:tcPr>
            <w:tcW w:w="6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rPr>
                <w:rFonts w:hint="default"/>
                <w:color w:val="auto"/>
                <w:highlight w:val="none"/>
              </w:rPr>
            </w:pPr>
            <w:r>
              <w:rPr>
                <w:rFonts w:hint="eastAsia" w:cs="仿宋_GB2312"/>
                <w:color w:val="auto"/>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国资（政府）采购监督管理部门投诉。质疑函范本、投诉书范本请到浙江政府采购网下载专区下载。</w:t>
            </w:r>
            <w:r>
              <w:rPr>
                <w:rFonts w:hint="default" w:cs="仿宋_GB2312"/>
                <w:color w:val="auto"/>
                <w:highlight w:val="none"/>
              </w:rPr>
              <w:t>电子版发送至</w:t>
            </w:r>
            <w:r>
              <w:rPr>
                <w:rFonts w:hint="eastAsia" w:cs="仿宋_GB2312"/>
                <w:color w:val="auto"/>
                <w:highlight w:val="none"/>
                <w:lang w:val="en-US" w:eastAsia="zh-CN"/>
              </w:rPr>
              <w:t>361461019@qq.com</w:t>
            </w:r>
            <w:r>
              <w:rPr>
                <w:rFonts w:hint="default" w:cs="仿宋_GB2312"/>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topLinePunct/>
              <w:spacing w:before="0" w:beforeAutospacing="0" w:after="0" w:afterAutospacing="0"/>
              <w:ind w:left="0" w:right="0"/>
              <w:jc w:val="center"/>
              <w:rPr>
                <w:rFonts w:hint="default"/>
                <w:color w:val="auto"/>
                <w:highlight w:val="none"/>
              </w:rPr>
            </w:pPr>
            <w:r>
              <w:rPr>
                <w:rFonts w:hint="eastAsia"/>
                <w:color w:val="auto"/>
                <w:highlight w:val="none"/>
              </w:rPr>
              <w:t>12</w:t>
            </w:r>
          </w:p>
        </w:tc>
        <w:tc>
          <w:tcPr>
            <w:tcW w:w="18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topLinePunct/>
              <w:spacing w:before="0" w:beforeAutospacing="0" w:after="0" w:afterAutospacing="0"/>
              <w:ind w:left="0" w:right="0"/>
              <w:jc w:val="center"/>
              <w:rPr>
                <w:rFonts w:hint="default"/>
                <w:color w:val="auto"/>
                <w:highlight w:val="none"/>
              </w:rPr>
            </w:pPr>
            <w:r>
              <w:rPr>
                <w:rFonts w:hint="eastAsia"/>
                <w:color w:val="auto"/>
                <w:highlight w:val="none"/>
              </w:rPr>
              <w:t>投标保证金</w:t>
            </w:r>
          </w:p>
        </w:tc>
        <w:tc>
          <w:tcPr>
            <w:tcW w:w="6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rPr>
                <w:rFonts w:hint="default"/>
                <w:color w:val="auto"/>
                <w:highlight w:val="none"/>
              </w:rPr>
            </w:pPr>
            <w:r>
              <w:rPr>
                <w:rFonts w:hint="eastAsia"/>
                <w:color w:val="auto"/>
                <w:highlight w:val="none"/>
              </w:rPr>
              <w:t>本项目不需要交纳投标保证金。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topLinePunct/>
              <w:spacing w:before="0" w:beforeAutospacing="0" w:after="0" w:afterAutospacing="0"/>
              <w:ind w:left="0" w:right="0"/>
              <w:jc w:val="center"/>
              <w:rPr>
                <w:rFonts w:hint="default"/>
                <w:color w:val="auto"/>
                <w:highlight w:val="none"/>
              </w:rPr>
            </w:pPr>
            <w:r>
              <w:rPr>
                <w:rFonts w:hint="eastAsia"/>
                <w:color w:val="auto"/>
                <w:highlight w:val="none"/>
              </w:rPr>
              <w:t>13</w:t>
            </w:r>
          </w:p>
        </w:tc>
        <w:tc>
          <w:tcPr>
            <w:tcW w:w="18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topLinePunct/>
              <w:spacing w:before="0" w:beforeAutospacing="0" w:after="0" w:afterAutospacing="0"/>
              <w:ind w:left="0" w:right="0"/>
              <w:jc w:val="center"/>
              <w:rPr>
                <w:rFonts w:hint="default"/>
                <w:color w:val="auto"/>
                <w:highlight w:val="none"/>
              </w:rPr>
            </w:pPr>
            <w:r>
              <w:rPr>
                <w:rFonts w:hint="eastAsia"/>
                <w:color w:val="auto"/>
                <w:highlight w:val="none"/>
              </w:rPr>
              <w:t>投标有效期</w:t>
            </w:r>
          </w:p>
        </w:tc>
        <w:tc>
          <w:tcPr>
            <w:tcW w:w="6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rPr>
                <w:rFonts w:hint="default"/>
                <w:color w:val="auto"/>
                <w:highlight w:val="none"/>
              </w:rPr>
            </w:pPr>
            <w:r>
              <w:rPr>
                <w:rFonts w:hint="default"/>
                <w:b/>
                <w:bCs/>
                <w:color w:val="auto"/>
                <w:highlight w:val="none"/>
              </w:rPr>
              <w:t>60日历天（从投标截止之日算起）。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topLinePunct/>
              <w:spacing w:before="0" w:beforeAutospacing="0" w:after="0" w:afterAutospacing="0"/>
              <w:ind w:left="0" w:right="0"/>
              <w:jc w:val="center"/>
              <w:rPr>
                <w:rFonts w:hint="default"/>
                <w:color w:val="auto"/>
                <w:highlight w:val="none"/>
              </w:rPr>
            </w:pPr>
            <w:r>
              <w:rPr>
                <w:rFonts w:hint="eastAsia"/>
                <w:color w:val="auto"/>
                <w:highlight w:val="none"/>
              </w:rPr>
              <w:t>14</w:t>
            </w:r>
          </w:p>
        </w:tc>
        <w:tc>
          <w:tcPr>
            <w:tcW w:w="18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topLinePunct/>
              <w:spacing w:before="0" w:beforeAutospacing="0" w:after="0" w:afterAutospacing="0"/>
              <w:ind w:left="0" w:right="0"/>
              <w:jc w:val="center"/>
              <w:rPr>
                <w:rFonts w:hint="default"/>
                <w:color w:val="auto"/>
                <w:highlight w:val="none"/>
              </w:rPr>
            </w:pPr>
            <w:r>
              <w:rPr>
                <w:rFonts w:hint="eastAsia"/>
                <w:color w:val="auto"/>
                <w:highlight w:val="none"/>
              </w:rPr>
              <w:t>全流程电子化项目投标说明</w:t>
            </w:r>
          </w:p>
        </w:tc>
        <w:tc>
          <w:tcPr>
            <w:tcW w:w="6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ind w:left="0" w:right="0"/>
              <w:rPr>
                <w:rFonts w:hint="default"/>
                <w:color w:val="auto"/>
                <w:highlight w:val="none"/>
              </w:rPr>
            </w:pPr>
            <w:r>
              <w:rPr>
                <w:rFonts w:hint="eastAsia"/>
                <w:color w:val="auto"/>
                <w:highlight w:val="none"/>
              </w:rPr>
              <w:t>本项目实行电子投标。电子投标文件，按政采云平台用户中心-公款竞争性存放电子招投标操作指南及本招标文件要求递交。</w:t>
            </w:r>
          </w:p>
          <w:p>
            <w:pPr>
              <w:keepNext w:val="0"/>
              <w:keepLines w:val="0"/>
              <w:suppressLineNumbers w:val="0"/>
              <w:topLinePunct/>
              <w:spacing w:before="0" w:beforeAutospacing="0" w:after="0" w:afterAutospacing="0"/>
              <w:ind w:left="0" w:right="0"/>
              <w:rPr>
                <w:rFonts w:hint="default"/>
                <w:color w:val="auto"/>
                <w:highlight w:val="none"/>
              </w:rPr>
            </w:pPr>
            <w:r>
              <w:rPr>
                <w:rFonts w:hint="eastAsia"/>
                <w:color w:val="auto"/>
                <w:highlight w:val="none"/>
              </w:rPr>
              <w:t>▲</w:t>
            </w:r>
            <w:r>
              <w:rPr>
                <w:rFonts w:hint="eastAsia"/>
                <w:b/>
                <w:bCs/>
                <w:color w:val="auto"/>
                <w:highlight w:val="none"/>
              </w:rPr>
              <w:t>投标人须在投标截止时间前完成投标确认后才视为投标成功，规定时间未完成投标确认的，投标无效。</w:t>
            </w:r>
          </w:p>
          <w:p>
            <w:pPr>
              <w:keepNext w:val="0"/>
              <w:keepLines w:val="0"/>
              <w:suppressLineNumbers w:val="0"/>
              <w:topLinePunct/>
              <w:spacing w:before="0" w:beforeAutospacing="0" w:after="0" w:afterAutospacing="0"/>
              <w:ind w:left="0" w:right="0"/>
              <w:rPr>
                <w:rFonts w:hint="default"/>
                <w:color w:val="auto"/>
                <w:highlight w:val="none"/>
              </w:rPr>
            </w:pPr>
            <w:r>
              <w:rPr>
                <w:rFonts w:hint="eastAsia"/>
                <w:color w:val="auto"/>
                <w:highlight w:val="none"/>
              </w:rPr>
              <w:t>▲</w:t>
            </w:r>
            <w:r>
              <w:rPr>
                <w:rFonts w:hint="eastAsia"/>
                <w:b/>
                <w:bCs/>
                <w:color w:val="auto"/>
                <w:highlight w:val="none"/>
              </w:rPr>
              <w:t>未传输递交电子投标文件的，投标无效。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topLinePunct/>
              <w:spacing w:before="0" w:beforeAutospacing="0" w:after="0" w:afterAutospacing="0"/>
              <w:ind w:left="0" w:right="0"/>
              <w:jc w:val="center"/>
              <w:rPr>
                <w:rFonts w:hint="default"/>
                <w:color w:val="auto"/>
                <w:highlight w:val="none"/>
              </w:rPr>
            </w:pPr>
            <w:r>
              <w:rPr>
                <w:rFonts w:hint="eastAsia"/>
                <w:color w:val="auto"/>
                <w:highlight w:val="none"/>
              </w:rPr>
              <w:t>15</w:t>
            </w:r>
          </w:p>
        </w:tc>
        <w:tc>
          <w:tcPr>
            <w:tcW w:w="18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topLinePunct/>
              <w:autoSpaceDE w:val="0"/>
              <w:autoSpaceDN w:val="0"/>
              <w:spacing w:before="0" w:beforeAutospacing="0" w:after="0" w:afterAutospacing="0"/>
              <w:ind w:left="0" w:right="0"/>
              <w:jc w:val="center"/>
              <w:textAlignment w:val="bottom"/>
              <w:rPr>
                <w:rFonts w:hint="default"/>
                <w:color w:val="auto"/>
                <w:highlight w:val="none"/>
              </w:rPr>
            </w:pPr>
            <w:r>
              <w:rPr>
                <w:rFonts w:hint="eastAsia"/>
                <w:color w:val="auto"/>
                <w:highlight w:val="none"/>
              </w:rPr>
              <w:t>解释</w:t>
            </w:r>
          </w:p>
        </w:tc>
        <w:tc>
          <w:tcPr>
            <w:tcW w:w="6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autoSpaceDE w:val="0"/>
              <w:autoSpaceDN w:val="0"/>
              <w:spacing w:before="0" w:beforeAutospacing="0" w:after="0" w:afterAutospacing="0"/>
              <w:ind w:left="0" w:right="0"/>
              <w:textAlignment w:val="bottom"/>
              <w:rPr>
                <w:rFonts w:hint="default"/>
                <w:color w:val="auto"/>
                <w:highlight w:val="none"/>
              </w:rPr>
            </w:pPr>
            <w:r>
              <w:rPr>
                <w:rFonts w:hint="eastAsia"/>
                <w:color w:val="auto"/>
                <w:highlight w:val="none"/>
              </w:rPr>
              <w:t>本招标文件的解释权属于</w:t>
            </w:r>
            <w:r>
              <w:rPr>
                <w:rFonts w:hint="eastAsia"/>
                <w:color w:val="auto"/>
                <w:highlight w:val="none"/>
                <w:lang w:eastAsia="zh-CN"/>
              </w:rPr>
              <w:t>浙江中诚工程管理科技有限公司</w:t>
            </w:r>
            <w:r>
              <w:rPr>
                <w:rFonts w:hint="eastAsia"/>
                <w:color w:val="auto"/>
                <w:highlight w:val="none"/>
              </w:rPr>
              <w:t>和招标人。</w:t>
            </w:r>
          </w:p>
        </w:tc>
      </w:tr>
    </w:tbl>
    <w:p>
      <w:pPr>
        <w:pStyle w:val="2"/>
        <w:keepNext w:val="0"/>
        <w:keepLines w:val="0"/>
        <w:wordWrap w:val="0"/>
        <w:topLinePunct/>
        <w:spacing w:before="0" w:after="0" w:line="360" w:lineRule="auto"/>
        <w:ind w:left="0" w:firstLine="0"/>
        <w:rPr>
          <w:color w:val="auto"/>
          <w:highlight w:val="none"/>
        </w:rPr>
      </w:pPr>
      <w:r>
        <w:rPr>
          <w:color w:val="auto"/>
          <w:sz w:val="30"/>
          <w:szCs w:val="30"/>
          <w:highlight w:val="none"/>
        </w:rPr>
        <w:br w:type="page"/>
      </w:r>
      <w:r>
        <w:rPr>
          <w:rStyle w:val="248"/>
          <w:rFonts w:hint="eastAsia"/>
          <w:b/>
          <w:bCs/>
          <w:color w:val="auto"/>
          <w:highlight w:val="none"/>
        </w:rPr>
        <w:t>一、总则</w:t>
      </w:r>
    </w:p>
    <w:p>
      <w:pPr>
        <w:wordWrap w:val="0"/>
        <w:topLinePunct/>
        <w:ind w:firstLine="482" w:firstLineChars="200"/>
        <w:rPr>
          <w:b/>
          <w:bCs/>
          <w:color w:val="auto"/>
          <w:highlight w:val="none"/>
        </w:rPr>
      </w:pPr>
      <w:r>
        <w:rPr>
          <w:rFonts w:hint="eastAsia"/>
          <w:b/>
          <w:bCs/>
          <w:color w:val="auto"/>
          <w:highlight w:val="none"/>
        </w:rPr>
        <w:t>（一）招标方式</w:t>
      </w:r>
    </w:p>
    <w:p>
      <w:pPr>
        <w:wordWrap w:val="0"/>
        <w:topLinePunct/>
        <w:ind w:firstLine="456" w:firstLineChars="200"/>
        <w:rPr>
          <w:color w:val="auto"/>
          <w:highlight w:val="none"/>
        </w:rPr>
      </w:pPr>
      <w:r>
        <w:rPr>
          <w:rFonts w:hint="eastAsia" w:cs="仿宋_GB2312"/>
          <w:color w:val="auto"/>
          <w:spacing w:val="-6"/>
          <w:highlight w:val="none"/>
        </w:rPr>
        <w:t>本次招标采取公开招标方式，招标公告信息发布渠道为：“</w:t>
      </w:r>
      <w:r>
        <w:rPr>
          <w:rFonts w:hint="eastAsia" w:cs="Arial"/>
          <w:color w:val="auto"/>
          <w:highlight w:val="none"/>
        </w:rPr>
        <w:t>杭州市富阳区人民政府网</w:t>
      </w:r>
      <w:r>
        <w:rPr>
          <w:rFonts w:hint="eastAsia" w:cs="仿宋_GB2312"/>
          <w:color w:val="auto"/>
          <w:spacing w:val="-6"/>
          <w:highlight w:val="none"/>
        </w:rPr>
        <w:t>”、“浙江政府采购网”。本招标文件仅适用于招标公告中所述</w:t>
      </w:r>
      <w:r>
        <w:rPr>
          <w:rFonts w:hint="eastAsia"/>
          <w:color w:val="auto"/>
          <w:highlight w:val="none"/>
          <w:lang w:eastAsia="zh-CN"/>
        </w:rPr>
        <w:t>杭州市富阳区第三人民医院基本账户、专用账户（工会）招标项目</w:t>
      </w:r>
      <w:r>
        <w:rPr>
          <w:rFonts w:hint="eastAsia" w:cs="仿宋_GB2312"/>
          <w:color w:val="auto"/>
          <w:spacing w:val="-6"/>
          <w:highlight w:val="none"/>
        </w:rPr>
        <w:t>。</w:t>
      </w:r>
    </w:p>
    <w:p>
      <w:pPr>
        <w:wordWrap w:val="0"/>
        <w:topLinePunct/>
        <w:ind w:firstLine="482" w:firstLineChars="200"/>
        <w:rPr>
          <w:b/>
          <w:bCs/>
          <w:color w:val="auto"/>
          <w:highlight w:val="none"/>
        </w:rPr>
      </w:pPr>
      <w:r>
        <w:rPr>
          <w:rFonts w:hint="eastAsia"/>
          <w:b/>
          <w:bCs/>
          <w:color w:val="auto"/>
          <w:highlight w:val="none"/>
        </w:rPr>
        <w:t>（二）合格的投标人</w:t>
      </w:r>
    </w:p>
    <w:p>
      <w:pPr>
        <w:widowControl w:val="0"/>
        <w:spacing w:line="440" w:lineRule="exact"/>
        <w:ind w:firstLine="482" w:firstLineChars="200"/>
        <w:rPr>
          <w:rFonts w:ascii="仿宋" w:hAnsi="仿宋" w:eastAsia="仿宋"/>
          <w:b/>
          <w:bCs/>
          <w:color w:val="auto"/>
          <w:highlight w:val="none"/>
        </w:rPr>
      </w:pPr>
      <w:r>
        <w:rPr>
          <w:rFonts w:hint="eastAsia" w:ascii="仿宋" w:hAnsi="仿宋" w:eastAsia="仿宋"/>
          <w:b/>
          <w:bCs/>
          <w:color w:val="auto"/>
          <w:highlight w:val="none"/>
        </w:rPr>
        <w:t>在中华人民共和国境内依法设立的国有商业银行、股份制商业银行、邮政储蓄银行、城市商业银行、农村商业银行及政策性银行，并在富阳区行政区域内设有分支机构。同时必须符合以下条件：</w:t>
      </w:r>
      <w:r>
        <w:rPr>
          <w:rFonts w:ascii="仿宋" w:hAnsi="仿宋" w:eastAsia="仿宋"/>
          <w:b/>
          <w:bCs/>
          <w:color w:val="auto"/>
          <w:highlight w:val="none"/>
        </w:rPr>
        <w:t xml:space="preserve"> </w:t>
      </w:r>
    </w:p>
    <w:p>
      <w:pPr>
        <w:pStyle w:val="83"/>
        <w:widowControl w:val="0"/>
        <w:spacing w:before="0" w:beforeAutospacing="0" w:after="0" w:afterAutospacing="0" w:line="440" w:lineRule="exact"/>
        <w:ind w:firstLine="480" w:firstLineChars="200"/>
        <w:rPr>
          <w:rFonts w:ascii="仿宋" w:hAnsi="仿宋" w:eastAsia="仿宋"/>
          <w:color w:val="auto"/>
          <w:highlight w:val="none"/>
        </w:rPr>
      </w:pPr>
      <w:r>
        <w:rPr>
          <w:rFonts w:hint="eastAsia" w:ascii="仿宋" w:hAnsi="仿宋" w:eastAsia="仿宋"/>
          <w:color w:val="auto"/>
          <w:highlight w:val="none"/>
        </w:rPr>
        <w:t>1</w:t>
      </w:r>
      <w:r>
        <w:rPr>
          <w:rFonts w:ascii="仿宋" w:hAnsi="仿宋" w:eastAsia="仿宋"/>
          <w:color w:val="auto"/>
          <w:highlight w:val="none"/>
        </w:rPr>
        <w:t>.</w:t>
      </w:r>
      <w:r>
        <w:rPr>
          <w:rFonts w:hint="eastAsia" w:ascii="仿宋" w:hAnsi="仿宋" w:eastAsia="仿宋"/>
          <w:color w:val="auto"/>
          <w:highlight w:val="none"/>
        </w:rPr>
        <w:t>在区级行政事业单位所在同城设有分支机构；</w:t>
      </w:r>
    </w:p>
    <w:p>
      <w:pPr>
        <w:pStyle w:val="83"/>
        <w:widowControl w:val="0"/>
        <w:spacing w:before="0" w:beforeAutospacing="0" w:after="0" w:afterAutospacing="0" w:line="440" w:lineRule="exact"/>
        <w:ind w:firstLine="480" w:firstLineChars="200"/>
        <w:rPr>
          <w:rFonts w:ascii="仿宋" w:hAnsi="仿宋" w:eastAsia="仿宋"/>
          <w:color w:val="auto"/>
          <w:highlight w:val="none"/>
        </w:rPr>
      </w:pPr>
      <w:r>
        <w:rPr>
          <w:rFonts w:hint="eastAsia" w:ascii="仿宋" w:hAnsi="仿宋" w:eastAsia="仿宋"/>
          <w:color w:val="auto"/>
          <w:highlight w:val="none"/>
        </w:rPr>
        <w:t>2.依法开展经营活动，近3年内在经营活动中无重大违法违规记录及重大违约事件；</w:t>
      </w:r>
    </w:p>
    <w:p>
      <w:pPr>
        <w:pStyle w:val="83"/>
        <w:widowControl w:val="0"/>
        <w:spacing w:before="0" w:beforeAutospacing="0" w:after="0" w:afterAutospacing="0" w:line="440" w:lineRule="exact"/>
        <w:ind w:firstLine="480" w:firstLineChars="200"/>
        <w:rPr>
          <w:rFonts w:ascii="仿宋" w:hAnsi="仿宋" w:eastAsia="仿宋"/>
          <w:color w:val="auto"/>
          <w:highlight w:val="none"/>
        </w:rPr>
      </w:pPr>
      <w:r>
        <w:rPr>
          <w:rFonts w:hint="eastAsia" w:ascii="仿宋" w:hAnsi="仿宋" w:eastAsia="仿宋"/>
          <w:color w:val="auto"/>
          <w:highlight w:val="none"/>
        </w:rPr>
        <w:t>3.纳入人民银行综合评价的银行，人民银行上年度综合评价应达到B级及以上，不纳入人民银行综合评价范围的银行不受此限制。</w:t>
      </w:r>
      <w:r>
        <w:rPr>
          <w:rFonts w:hint="eastAsia" w:ascii="仿宋" w:hAnsi="仿宋" w:eastAsia="仿宋"/>
          <w:b/>
          <w:bCs/>
          <w:color w:val="auto"/>
          <w:highlight w:val="none"/>
        </w:rPr>
        <w:t>（上年度综合评价未出的，可提供仅有且最新的评级）</w:t>
      </w:r>
    </w:p>
    <w:p>
      <w:pPr>
        <w:wordWrap w:val="0"/>
        <w:topLinePunct/>
        <w:ind w:firstLine="480" w:firstLineChars="200"/>
        <w:rPr>
          <w:rFonts w:hint="eastAsia" w:ascii="仿宋" w:hAnsi="仿宋" w:eastAsia="仿宋"/>
          <w:color w:val="auto"/>
          <w:highlight w:val="none"/>
        </w:rPr>
      </w:pPr>
      <w:r>
        <w:rPr>
          <w:rFonts w:ascii="仿宋" w:hAnsi="仿宋" w:eastAsia="仿宋"/>
          <w:color w:val="auto"/>
          <w:highlight w:val="none"/>
        </w:rPr>
        <w:t>4</w:t>
      </w:r>
      <w:r>
        <w:rPr>
          <w:rFonts w:hint="eastAsia" w:ascii="仿宋" w:hAnsi="仿宋" w:eastAsia="仿宋"/>
          <w:color w:val="auto"/>
          <w:highlight w:val="none"/>
        </w:rPr>
        <w:t>.持中国银行行业监督管理部门颁发的《金融许可证》。</w:t>
      </w:r>
    </w:p>
    <w:p>
      <w:pPr>
        <w:wordWrap w:val="0"/>
        <w:topLinePunct/>
        <w:ind w:firstLine="482" w:firstLineChars="200"/>
        <w:rPr>
          <w:b/>
          <w:bCs/>
          <w:color w:val="auto"/>
          <w:highlight w:val="none"/>
        </w:rPr>
      </w:pPr>
      <w:r>
        <w:rPr>
          <w:rFonts w:hint="eastAsia"/>
          <w:b/>
          <w:bCs/>
          <w:color w:val="auto"/>
          <w:highlight w:val="none"/>
        </w:rPr>
        <w:t>（三）投标费用</w:t>
      </w:r>
    </w:p>
    <w:p>
      <w:pPr>
        <w:ind w:firstLine="480" w:firstLineChars="200"/>
        <w:rPr>
          <w:color w:val="auto"/>
          <w:highlight w:val="none"/>
        </w:rPr>
      </w:pPr>
      <w:r>
        <w:rPr>
          <w:rFonts w:hint="eastAsia"/>
          <w:color w:val="auto"/>
          <w:highlight w:val="none"/>
        </w:rPr>
        <w:t>无论投标过程和结果如何，投标人均应自行承担所有与投标有关的全部费用。</w:t>
      </w:r>
    </w:p>
    <w:p>
      <w:pPr>
        <w:ind w:firstLine="472" w:firstLineChars="196"/>
        <w:rPr>
          <w:b/>
          <w:bCs/>
          <w:color w:val="auto"/>
          <w:highlight w:val="none"/>
        </w:rPr>
      </w:pPr>
      <w:r>
        <w:rPr>
          <w:rFonts w:hint="eastAsia"/>
          <w:b/>
          <w:bCs/>
          <w:color w:val="auto"/>
          <w:highlight w:val="none"/>
        </w:rPr>
        <w:t>本项目招标代理费由中标单位支付，中标</w:t>
      </w:r>
      <w:r>
        <w:rPr>
          <w:rFonts w:hint="eastAsia"/>
          <w:b/>
          <w:bCs/>
          <w:color w:val="auto"/>
          <w:highlight w:val="none"/>
          <w:lang w:eastAsia="zh-CN"/>
        </w:rPr>
        <w:t>单位</w:t>
      </w:r>
      <w:r>
        <w:rPr>
          <w:rFonts w:hint="eastAsia"/>
          <w:b/>
          <w:bCs/>
          <w:color w:val="auto"/>
          <w:highlight w:val="none"/>
        </w:rPr>
        <w:t>在领取中标通知书时，向代理机构交纳招标代理费人民币</w:t>
      </w:r>
      <w:r>
        <w:rPr>
          <w:rFonts w:hint="eastAsia"/>
          <w:b/>
          <w:bCs/>
          <w:color w:val="auto"/>
          <w:highlight w:val="none"/>
          <w:lang w:eastAsia="zh-CN"/>
        </w:rPr>
        <w:t>壹万</w:t>
      </w:r>
      <w:r>
        <w:rPr>
          <w:rFonts w:hint="eastAsia"/>
          <w:b/>
          <w:bCs/>
          <w:color w:val="auto"/>
          <w:highlight w:val="none"/>
          <w:lang w:val="en-US" w:eastAsia="zh-CN"/>
        </w:rPr>
        <w:t>伍仟</w:t>
      </w:r>
      <w:r>
        <w:rPr>
          <w:rFonts w:hint="eastAsia"/>
          <w:b/>
          <w:bCs/>
          <w:color w:val="auto"/>
          <w:highlight w:val="none"/>
        </w:rPr>
        <w:t>元整（小写：</w:t>
      </w:r>
      <w:r>
        <w:rPr>
          <w:rFonts w:hint="eastAsia"/>
          <w:b/>
          <w:bCs/>
          <w:color w:val="auto"/>
          <w:highlight w:val="none"/>
          <w:lang w:val="en-US" w:eastAsia="zh-CN"/>
        </w:rPr>
        <w:t>15000</w:t>
      </w:r>
      <w:r>
        <w:rPr>
          <w:rFonts w:hint="eastAsia"/>
          <w:b/>
          <w:bCs/>
          <w:color w:val="auto"/>
          <w:highlight w:val="none"/>
        </w:rPr>
        <w:t>元），</w:t>
      </w:r>
      <w:r>
        <w:rPr>
          <w:rFonts w:hint="eastAsia" w:cs="仿宋_GB2312"/>
          <w:b/>
          <w:color w:val="auto"/>
          <w:highlight w:val="none"/>
        </w:rPr>
        <w:t>请各投标单位在投标时综合考虑</w:t>
      </w:r>
      <w:r>
        <w:rPr>
          <w:rFonts w:hint="eastAsia"/>
          <w:b/>
          <w:bCs/>
          <w:color w:val="auto"/>
          <w:highlight w:val="none"/>
        </w:rPr>
        <w:t>。</w:t>
      </w:r>
    </w:p>
    <w:p>
      <w:pPr>
        <w:wordWrap w:val="0"/>
        <w:topLinePunct/>
        <w:ind w:firstLine="482" w:firstLineChars="200"/>
        <w:rPr>
          <w:b/>
          <w:bCs/>
          <w:color w:val="auto"/>
          <w:highlight w:val="none"/>
        </w:rPr>
      </w:pPr>
      <w:r>
        <w:rPr>
          <w:rFonts w:hint="eastAsia"/>
          <w:b/>
          <w:bCs/>
          <w:color w:val="auto"/>
          <w:highlight w:val="none"/>
        </w:rPr>
        <w:t>（四）招标文件的约束力</w:t>
      </w:r>
    </w:p>
    <w:p>
      <w:pPr>
        <w:wordWrap w:val="0"/>
        <w:topLinePunct/>
        <w:ind w:firstLine="456" w:firstLineChars="200"/>
        <w:rPr>
          <w:b/>
          <w:bCs/>
          <w:color w:val="auto"/>
          <w:highlight w:val="none"/>
        </w:rPr>
      </w:pPr>
      <w:r>
        <w:rPr>
          <w:rFonts w:hint="eastAsia" w:cs="仿宋_GB2312"/>
          <w:color w:val="auto"/>
          <w:spacing w:val="-6"/>
          <w:highlight w:val="none"/>
        </w:rPr>
        <w:t>投标人一旦确认参加投标，即被认为接受了本招标文件中的所有条件和规定。</w:t>
      </w:r>
      <w:r>
        <w:rPr>
          <w:rFonts w:hint="eastAsia"/>
          <w:color w:val="auto"/>
          <w:highlight w:val="none"/>
        </w:rPr>
        <w:t>投标人应仔细阅读招标文件的所有内容，按照招标文件的要求提交投标文件，并对所提供的全部资料的真实性承担法律责任。</w:t>
      </w:r>
    </w:p>
    <w:p>
      <w:pPr>
        <w:pStyle w:val="2"/>
        <w:keepNext w:val="0"/>
        <w:keepLines w:val="0"/>
        <w:spacing w:before="0" w:after="0" w:line="360" w:lineRule="auto"/>
        <w:ind w:left="0" w:firstLine="0"/>
        <w:rPr>
          <w:color w:val="auto"/>
          <w:highlight w:val="none"/>
        </w:rPr>
      </w:pPr>
      <w:r>
        <w:rPr>
          <w:rFonts w:hint="eastAsia"/>
          <w:color w:val="auto"/>
          <w:highlight w:val="none"/>
        </w:rPr>
        <w:t>二、招标文件</w:t>
      </w:r>
    </w:p>
    <w:p>
      <w:pPr>
        <w:wordWrap w:val="0"/>
        <w:topLinePunct/>
        <w:ind w:firstLine="482" w:firstLineChars="200"/>
        <w:rPr>
          <w:b/>
          <w:bCs/>
          <w:color w:val="auto"/>
          <w:highlight w:val="none"/>
        </w:rPr>
      </w:pPr>
      <w:r>
        <w:rPr>
          <w:rFonts w:hint="eastAsia"/>
          <w:b/>
          <w:bCs/>
          <w:color w:val="auto"/>
          <w:highlight w:val="none"/>
        </w:rPr>
        <w:t>（一）招标文件的澄清</w:t>
      </w:r>
    </w:p>
    <w:p>
      <w:pPr>
        <w:wordWrap w:val="0"/>
        <w:topLinePunct/>
        <w:ind w:firstLine="480" w:firstLineChars="200"/>
        <w:rPr>
          <w:color w:val="auto"/>
          <w:highlight w:val="none"/>
        </w:rPr>
      </w:pPr>
      <w:r>
        <w:rPr>
          <w:rFonts w:hint="eastAsia"/>
          <w:color w:val="auto"/>
          <w:highlight w:val="none"/>
        </w:rPr>
        <w:t>1.投标人应认真阅读本招标文件，发现其中有误或有不合理要求的，投标人应当在前附表规定时间前以书面形式（加盖公章的纸质信件和数据电文，包括传真、电子数据交换和电子邮件）（下同）向招标代理机构提出。招标代理机构将在规定时间内，以书面形式予以答复，答复中包括原提出的问题，但不包括问题的来源。如规定时间内未收到任何质疑，则视为各投标人均对此无异议。</w:t>
      </w:r>
    </w:p>
    <w:p>
      <w:pPr>
        <w:wordWrap w:val="0"/>
        <w:topLinePunct/>
        <w:ind w:firstLine="480" w:firstLineChars="200"/>
        <w:rPr>
          <w:color w:val="auto"/>
          <w:highlight w:val="none"/>
        </w:rPr>
      </w:pPr>
      <w:r>
        <w:rPr>
          <w:rFonts w:hint="eastAsia"/>
          <w:color w:val="auto"/>
          <w:highlight w:val="none"/>
        </w:rPr>
        <w:t>2. 招标代理机构将视情况确定是否有必要在开标前对招标文件进行澄清，如有必要，招标代理机构将通过更正公告形式发布澄清通知并视情况决定是否延长开标日期。</w:t>
      </w:r>
    </w:p>
    <w:p>
      <w:pPr>
        <w:wordWrap w:val="0"/>
        <w:topLinePunct/>
        <w:ind w:firstLine="482" w:firstLineChars="200"/>
        <w:rPr>
          <w:b/>
          <w:bCs/>
          <w:color w:val="auto"/>
          <w:highlight w:val="none"/>
        </w:rPr>
      </w:pPr>
      <w:r>
        <w:rPr>
          <w:rFonts w:hint="eastAsia"/>
          <w:b/>
          <w:bCs/>
          <w:color w:val="auto"/>
          <w:highlight w:val="none"/>
        </w:rPr>
        <w:t>（二）招标文件的修改</w:t>
      </w:r>
    </w:p>
    <w:p>
      <w:pPr>
        <w:wordWrap w:val="0"/>
        <w:topLinePunct/>
        <w:ind w:firstLine="480" w:firstLineChars="200"/>
        <w:rPr>
          <w:color w:val="auto"/>
          <w:highlight w:val="none"/>
        </w:rPr>
      </w:pPr>
      <w:r>
        <w:rPr>
          <w:rFonts w:hint="eastAsia"/>
          <w:color w:val="auto"/>
          <w:highlight w:val="none"/>
        </w:rPr>
        <w:t>1.在投标截止期前任何时候，招标代理机构（招标人）无论是出于何种原因，均可对招标文件进行修改，并将修改的内容以更正公告的形式在相关网站发布。</w:t>
      </w:r>
    </w:p>
    <w:p>
      <w:pPr>
        <w:wordWrap w:val="0"/>
        <w:topLinePunct/>
        <w:ind w:firstLine="480" w:firstLineChars="200"/>
        <w:rPr>
          <w:color w:val="auto"/>
          <w:highlight w:val="none"/>
        </w:rPr>
      </w:pPr>
      <w:r>
        <w:rPr>
          <w:rFonts w:hint="eastAsia"/>
          <w:color w:val="auto"/>
          <w:highlight w:val="none"/>
        </w:rPr>
        <w:t>2.招标文件澄清、答复、修改、补充的内容为招标文件的组成部分。当招标文件与招标文件的答复、澄清、修改、补充通知就同一内容的表述不一致时，以最后发出的公告为准。</w:t>
      </w:r>
    </w:p>
    <w:p>
      <w:pPr>
        <w:wordWrap w:val="0"/>
        <w:topLinePunct/>
        <w:ind w:firstLine="480" w:firstLineChars="200"/>
        <w:rPr>
          <w:color w:val="auto"/>
          <w:highlight w:val="none"/>
        </w:rPr>
      </w:pPr>
      <w:r>
        <w:rPr>
          <w:rFonts w:hint="eastAsia"/>
          <w:color w:val="auto"/>
          <w:highlight w:val="none"/>
        </w:rPr>
        <w:t>3.为使投标人有足够的时间按招标文件修改要求修正投标文件，招标代理机构可酌情推迟投标的截止日期和开标日期，并将修改的内容以更正公告的形式在相关网站发布。</w:t>
      </w:r>
    </w:p>
    <w:p>
      <w:pPr>
        <w:wordWrap w:val="0"/>
        <w:topLinePunct/>
        <w:ind w:firstLine="480" w:firstLineChars="200"/>
        <w:rPr>
          <w:color w:val="auto"/>
          <w:highlight w:val="none"/>
        </w:rPr>
      </w:pPr>
      <w:r>
        <w:rPr>
          <w:rFonts w:hint="eastAsia"/>
          <w:color w:val="auto"/>
          <w:highlight w:val="none"/>
        </w:rPr>
        <w:t>4.更正公告的内容将作为招标文件的组成部分，对所有投标人均具有约束力。</w:t>
      </w:r>
    </w:p>
    <w:p>
      <w:pPr>
        <w:wordWrap w:val="0"/>
        <w:topLinePunct/>
        <w:ind w:firstLine="472" w:firstLineChars="196"/>
        <w:rPr>
          <w:b/>
          <w:bCs/>
          <w:color w:val="auto"/>
          <w:highlight w:val="none"/>
        </w:rPr>
      </w:pPr>
      <w:r>
        <w:rPr>
          <w:rFonts w:hint="eastAsia"/>
          <w:b/>
          <w:bCs/>
          <w:color w:val="auto"/>
          <w:highlight w:val="none"/>
        </w:rPr>
        <w:t>▲投标文件未按招标文件的最终澄清、修改的内容进行编制的，投标无效。</w:t>
      </w:r>
    </w:p>
    <w:p>
      <w:pPr>
        <w:pStyle w:val="2"/>
        <w:keepNext w:val="0"/>
        <w:keepLines w:val="0"/>
        <w:topLinePunct/>
        <w:spacing w:before="0" w:after="0" w:line="360" w:lineRule="auto"/>
        <w:ind w:left="0" w:firstLine="0"/>
        <w:rPr>
          <w:color w:val="auto"/>
          <w:highlight w:val="none"/>
        </w:rPr>
      </w:pPr>
      <w:r>
        <w:rPr>
          <w:rFonts w:hint="eastAsia"/>
          <w:color w:val="auto"/>
          <w:highlight w:val="none"/>
        </w:rPr>
        <w:t>三、投标文件</w:t>
      </w:r>
    </w:p>
    <w:p>
      <w:pPr>
        <w:wordWrap w:val="0"/>
        <w:topLinePunct/>
        <w:ind w:firstLine="480" w:firstLineChars="200"/>
        <w:rPr>
          <w:color w:val="auto"/>
          <w:highlight w:val="none"/>
        </w:rPr>
      </w:pPr>
      <w:r>
        <w:rPr>
          <w:rFonts w:hint="eastAsia"/>
          <w:color w:val="auto"/>
          <w:highlight w:val="none"/>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pPr>
        <w:wordWrap w:val="0"/>
        <w:topLinePunct/>
        <w:ind w:firstLine="480" w:firstLineChars="200"/>
        <w:rPr>
          <w:b/>
          <w:bCs/>
          <w:color w:val="auto"/>
          <w:highlight w:val="none"/>
        </w:rPr>
      </w:pPr>
      <w:r>
        <w:rPr>
          <w:rFonts w:hint="eastAsia"/>
          <w:color w:val="auto"/>
          <w:highlight w:val="none"/>
        </w:rPr>
        <w:t>本项目以数据电文形式，依托“政府采购云平台（www.zcygov.cn）”进行招投标活动，各投标人应按照本项目招标文件和政采云平台的要求编制并递交投标文件，不接受纸质投标文件。</w:t>
      </w:r>
    </w:p>
    <w:p>
      <w:pPr>
        <w:pStyle w:val="6"/>
        <w:keepNext w:val="0"/>
        <w:keepLines w:val="0"/>
        <w:wordWrap w:val="0"/>
        <w:topLinePunct/>
        <w:snapToGrid/>
        <w:ind w:left="0" w:firstLine="482" w:firstLineChars="200"/>
        <w:rPr>
          <w:color w:val="auto"/>
          <w:sz w:val="24"/>
          <w:szCs w:val="24"/>
          <w:highlight w:val="none"/>
        </w:rPr>
      </w:pPr>
      <w:r>
        <w:rPr>
          <w:rFonts w:hint="eastAsia"/>
          <w:color w:val="auto"/>
          <w:sz w:val="24"/>
          <w:szCs w:val="24"/>
          <w:highlight w:val="none"/>
        </w:rPr>
        <w:t>（一）投标文件的语言及计量</w:t>
      </w:r>
    </w:p>
    <w:p>
      <w:pPr>
        <w:wordWrap w:val="0"/>
        <w:topLinePunct/>
        <w:ind w:firstLine="480" w:firstLineChars="200"/>
        <w:rPr>
          <w:color w:val="auto"/>
          <w:highlight w:val="none"/>
        </w:rPr>
      </w:pPr>
      <w:r>
        <w:rPr>
          <w:rFonts w:hint="eastAsia"/>
          <w:color w:val="auto"/>
          <w:highlight w:val="none"/>
        </w:rPr>
        <w:t>1.投标人的投标文件以及与招标人就有关投标事宜的所有来往函电，均应以中文汉语书写。除签名、盖章、专用名称等特殊情形外，以中文汉语以外的文字表述的投标文件及函电，招标人将不予接受。</w:t>
      </w:r>
    </w:p>
    <w:p>
      <w:pPr>
        <w:wordWrap w:val="0"/>
        <w:topLinePunct/>
        <w:ind w:left="480" w:leftChars="200"/>
        <w:rPr>
          <w:b/>
          <w:bCs/>
          <w:color w:val="auto"/>
          <w:highlight w:val="none"/>
        </w:rPr>
      </w:pPr>
      <w:r>
        <w:rPr>
          <w:rFonts w:hint="eastAsia"/>
          <w:color w:val="auto"/>
          <w:highlight w:val="none"/>
        </w:rPr>
        <w:t>2.投标文件中如附有外文资料，须逐一对应翻译成中文汉语并附在相关外文资料后面。</w:t>
      </w:r>
      <w:r>
        <w:rPr>
          <w:rFonts w:hint="eastAsia"/>
          <w:b/>
          <w:bCs/>
          <w:color w:val="auto"/>
          <w:highlight w:val="none"/>
        </w:rPr>
        <w:t>▲不提供准确翻译资料的，投标无效。</w:t>
      </w:r>
    </w:p>
    <w:p>
      <w:pPr>
        <w:wordWrap w:val="0"/>
        <w:topLinePunct/>
        <w:ind w:firstLine="480" w:firstLineChars="200"/>
        <w:rPr>
          <w:color w:val="auto"/>
          <w:highlight w:val="none"/>
        </w:rPr>
      </w:pPr>
      <w:r>
        <w:rPr>
          <w:rFonts w:hint="eastAsia"/>
          <w:color w:val="auto"/>
          <w:highlight w:val="none"/>
        </w:rPr>
        <w:t>3.投标计量单位，招标文件已有明确规定的，使用招标文件规定的计量单位；招标文件没有规定的，应采用中华人民共和国法定计量单位（货币单位：人民币元）。</w:t>
      </w:r>
    </w:p>
    <w:p>
      <w:pPr>
        <w:wordWrap w:val="0"/>
        <w:topLinePunct/>
        <w:ind w:firstLine="482" w:firstLineChars="200"/>
        <w:rPr>
          <w:b/>
          <w:bCs/>
          <w:color w:val="auto"/>
          <w:highlight w:val="none"/>
        </w:rPr>
      </w:pPr>
      <w:r>
        <w:rPr>
          <w:rFonts w:hint="eastAsia"/>
          <w:b/>
          <w:bCs/>
          <w:color w:val="auto"/>
          <w:highlight w:val="none"/>
        </w:rPr>
        <w:t>（二）投标文件的组成</w:t>
      </w:r>
    </w:p>
    <w:p>
      <w:pPr>
        <w:wordWrap w:val="0"/>
        <w:topLinePunct/>
        <w:ind w:firstLine="472" w:firstLineChars="196"/>
        <w:rPr>
          <w:color w:val="auto"/>
          <w:highlight w:val="none"/>
        </w:rPr>
      </w:pPr>
      <w:r>
        <w:rPr>
          <w:rFonts w:hint="eastAsia"/>
          <w:b/>
          <w:bCs/>
          <w:color w:val="auto"/>
          <w:highlight w:val="none"/>
        </w:rPr>
        <w:t>投标文件为电子投标文件。电子投标文件按“政采云平台-用户中心</w:t>
      </w:r>
      <w:r>
        <w:rPr>
          <w:b/>
          <w:bCs/>
          <w:color w:val="auto"/>
          <w:highlight w:val="none"/>
        </w:rPr>
        <w:t>-公款竞争性存放电子招投标操作指南</w:t>
      </w:r>
      <w:r>
        <w:rPr>
          <w:rFonts w:hint="eastAsia"/>
          <w:b/>
          <w:bCs/>
          <w:color w:val="auto"/>
          <w:highlight w:val="none"/>
        </w:rPr>
        <w:t>”及本招标文件要求制作并递交。电子投标文件的应包括（但不仅限于）下列部分：</w:t>
      </w:r>
    </w:p>
    <w:p>
      <w:pPr>
        <w:topLinePunct/>
        <w:ind w:firstLine="480" w:firstLineChars="200"/>
        <w:rPr>
          <w:color w:val="auto"/>
          <w:highlight w:val="none"/>
        </w:rPr>
      </w:pPr>
      <w:r>
        <w:rPr>
          <w:rFonts w:hint="eastAsia"/>
          <w:color w:val="auto"/>
          <w:highlight w:val="none"/>
        </w:rPr>
        <w:t>（1）投标文件封面及目录</w:t>
      </w:r>
    </w:p>
    <w:p>
      <w:pPr>
        <w:topLinePunct/>
        <w:ind w:firstLine="480" w:firstLineChars="200"/>
        <w:rPr>
          <w:color w:val="auto"/>
          <w:highlight w:val="none"/>
        </w:rPr>
      </w:pPr>
      <w:r>
        <w:rPr>
          <w:rFonts w:hint="eastAsia"/>
          <w:color w:val="auto"/>
          <w:highlight w:val="none"/>
        </w:rPr>
        <w:t>（2）</w:t>
      </w:r>
      <w:r>
        <w:rPr>
          <w:rFonts w:hint="eastAsia" w:cs="黑体"/>
          <w:bCs/>
          <w:color w:val="auto"/>
          <w:highlight w:val="none"/>
        </w:rPr>
        <w:t>营业执照、税务登记证、组织机构代码证书（“五证合一”仅需提供营业执照）</w:t>
      </w:r>
      <w:r>
        <w:rPr>
          <w:rFonts w:hint="eastAsia"/>
          <w:color w:val="auto"/>
          <w:highlight w:val="none"/>
        </w:rPr>
        <w:t>（复印件必须加盖单位公章）；</w:t>
      </w:r>
    </w:p>
    <w:p>
      <w:pPr>
        <w:topLinePunct/>
        <w:ind w:firstLine="480" w:firstLineChars="200"/>
        <w:rPr>
          <w:color w:val="auto"/>
          <w:highlight w:val="none"/>
        </w:rPr>
      </w:pPr>
      <w:r>
        <w:rPr>
          <w:rFonts w:hint="eastAsia"/>
          <w:color w:val="auto"/>
          <w:highlight w:val="none"/>
        </w:rPr>
        <w:t>（3）</w:t>
      </w:r>
      <w:r>
        <w:rPr>
          <w:rFonts w:hint="eastAsia" w:cs="黑体"/>
          <w:bCs/>
          <w:color w:val="auto"/>
          <w:highlight w:val="none"/>
        </w:rPr>
        <w:t>中国银行行业监督管理部门颁发的《金融许可证》</w:t>
      </w:r>
      <w:r>
        <w:rPr>
          <w:rFonts w:hint="eastAsia"/>
          <w:color w:val="auto"/>
          <w:highlight w:val="none"/>
        </w:rPr>
        <w:t>（复印件必须加盖单位公章）</w:t>
      </w:r>
      <w:r>
        <w:rPr>
          <w:rFonts w:hint="eastAsia" w:cs="黑体"/>
          <w:bCs/>
          <w:color w:val="auto"/>
          <w:highlight w:val="none"/>
        </w:rPr>
        <w:t>；</w:t>
      </w:r>
    </w:p>
    <w:p>
      <w:pPr>
        <w:topLinePunct/>
        <w:ind w:firstLine="480" w:firstLineChars="200"/>
        <w:rPr>
          <w:color w:val="auto"/>
          <w:highlight w:val="none"/>
        </w:rPr>
      </w:pPr>
      <w:r>
        <w:rPr>
          <w:rFonts w:hint="eastAsia"/>
          <w:color w:val="auto"/>
          <w:highlight w:val="none"/>
        </w:rPr>
        <w:t>（4）提供有效的法定代表人授权委托书（格式见附件）；</w:t>
      </w:r>
      <w:r>
        <w:rPr>
          <w:rFonts w:hint="eastAsia"/>
          <w:bCs/>
          <w:color w:val="auto"/>
          <w:highlight w:val="none"/>
        </w:rPr>
        <w:t>（如法定代表人直接参加投标并对相应文件签字的，只需提供其身份证正反面）</w:t>
      </w:r>
    </w:p>
    <w:p>
      <w:pPr>
        <w:topLinePunct/>
        <w:ind w:firstLine="480" w:firstLineChars="200"/>
        <w:rPr>
          <w:rFonts w:cs="仿宋_GB2312"/>
          <w:color w:val="auto"/>
          <w:highlight w:val="none"/>
        </w:rPr>
      </w:pPr>
      <w:r>
        <w:rPr>
          <w:rFonts w:hint="eastAsia"/>
          <w:color w:val="auto"/>
          <w:highlight w:val="none"/>
        </w:rPr>
        <w:t>（5）纳入人民银行综合评价的银行，</w:t>
      </w:r>
      <w:r>
        <w:rPr>
          <w:rFonts w:hint="eastAsia" w:cs="仿宋_GB2312"/>
          <w:color w:val="auto"/>
          <w:highlight w:val="none"/>
          <w:lang w:eastAsia="zh-CN"/>
        </w:rPr>
        <w:t>上</w:t>
      </w:r>
      <w:r>
        <w:rPr>
          <w:rFonts w:hint="eastAsia" w:cs="仿宋_GB2312"/>
          <w:color w:val="auto"/>
          <w:highlight w:val="none"/>
        </w:rPr>
        <w:t>年度中国人民银行富阳支行综合评价B级（含）以上证明文件</w:t>
      </w:r>
      <w:r>
        <w:rPr>
          <w:rFonts w:hint="eastAsia" w:cs="仿宋_GB2312"/>
          <w:color w:val="auto"/>
          <w:highlight w:val="none"/>
          <w:lang w:eastAsia="zh-CN"/>
        </w:rPr>
        <w:t>。</w:t>
      </w:r>
      <w:r>
        <w:rPr>
          <w:rFonts w:hint="eastAsia" w:cs="仿宋_GB2312"/>
          <w:color w:val="auto"/>
          <w:highlight w:val="none"/>
        </w:rPr>
        <w:t>不纳入人民银行综合评价范围的银行不受此限制。</w:t>
      </w:r>
    </w:p>
    <w:p>
      <w:pPr>
        <w:topLinePunct/>
        <w:ind w:firstLine="480" w:firstLineChars="200"/>
        <w:rPr>
          <w:rFonts w:cs="仿宋_GB2312"/>
          <w:color w:val="auto"/>
          <w:highlight w:val="none"/>
        </w:rPr>
      </w:pPr>
      <w:r>
        <w:rPr>
          <w:rFonts w:hint="eastAsia" w:cs="仿宋_GB2312"/>
          <w:color w:val="auto"/>
          <w:highlight w:val="none"/>
        </w:rPr>
        <w:t>（6）近三年内在经营活动中无重大违法违规记录及重大违约事件的承诺函；（格式见附件）</w:t>
      </w:r>
    </w:p>
    <w:p>
      <w:pPr>
        <w:topLinePunct/>
        <w:ind w:firstLine="480" w:firstLineChars="200"/>
        <w:rPr>
          <w:rFonts w:hint="eastAsia" w:cs="仿宋_GB2312"/>
          <w:color w:val="auto"/>
          <w:highlight w:val="none"/>
        </w:rPr>
      </w:pPr>
      <w:r>
        <w:rPr>
          <w:rFonts w:hint="eastAsia" w:cs="仿宋_GB2312"/>
          <w:color w:val="auto"/>
          <w:highlight w:val="none"/>
        </w:rPr>
        <w:t>（7）符合参与采购活动的资格条件并且没有税收缴纳、社会保障等方面的失信记录的承诺函；（格式见附件）</w:t>
      </w:r>
    </w:p>
    <w:p>
      <w:pPr>
        <w:topLinePunct/>
        <w:ind w:firstLine="480" w:firstLineChars="200"/>
        <w:rPr>
          <w:rFonts w:hint="eastAsia"/>
          <w:color w:val="auto"/>
          <w:highlight w:val="none"/>
          <w:lang w:val="en-US" w:eastAsia="zh-CN"/>
        </w:rPr>
      </w:pPr>
      <w:r>
        <w:rPr>
          <w:rFonts w:hint="eastAsia"/>
          <w:color w:val="auto"/>
          <w:highlight w:val="none"/>
          <w:lang w:val="en-US" w:eastAsia="zh-CN"/>
        </w:rPr>
        <w:t>（8）服务水平（详见评分指标）；</w:t>
      </w:r>
    </w:p>
    <w:p>
      <w:pPr>
        <w:topLinePunct/>
        <w:ind w:firstLine="480" w:firstLineChars="200"/>
        <w:rPr>
          <w:rFonts w:hint="eastAsia"/>
          <w:color w:val="auto"/>
          <w:highlight w:val="none"/>
        </w:rPr>
      </w:pPr>
      <w:r>
        <w:rPr>
          <w:rFonts w:hint="eastAsia"/>
          <w:color w:val="auto"/>
          <w:highlight w:val="none"/>
        </w:rPr>
        <w:t>（</w:t>
      </w:r>
      <w:r>
        <w:rPr>
          <w:rFonts w:hint="eastAsia"/>
          <w:color w:val="auto"/>
          <w:highlight w:val="none"/>
          <w:lang w:val="en-US" w:eastAsia="zh-CN"/>
        </w:rPr>
        <w:t>9</w:t>
      </w:r>
      <w:r>
        <w:rPr>
          <w:rFonts w:hint="eastAsia"/>
          <w:color w:val="auto"/>
          <w:highlight w:val="none"/>
        </w:rPr>
        <w:t>）廉政承诺书 (格式见附件)；</w:t>
      </w:r>
    </w:p>
    <w:p>
      <w:pPr>
        <w:topLinePunct/>
        <w:ind w:firstLine="480" w:firstLineChars="200"/>
        <w:rPr>
          <w:rFonts w:hint="eastAsia"/>
          <w:color w:val="auto"/>
          <w:highlight w:val="none"/>
        </w:rPr>
      </w:pPr>
      <w:r>
        <w:rPr>
          <w:rFonts w:hint="eastAsia"/>
          <w:color w:val="auto"/>
          <w:highlight w:val="none"/>
        </w:rPr>
        <w:t>（1</w:t>
      </w:r>
      <w:r>
        <w:rPr>
          <w:rFonts w:hint="eastAsia"/>
          <w:color w:val="auto"/>
          <w:highlight w:val="none"/>
          <w:lang w:val="en-US" w:eastAsia="zh-CN"/>
        </w:rPr>
        <w:t>0</w:t>
      </w:r>
      <w:r>
        <w:rPr>
          <w:rFonts w:hint="eastAsia"/>
          <w:color w:val="auto"/>
          <w:highlight w:val="none"/>
        </w:rPr>
        <w:t>）投标承诺函 (格式见附件)；</w:t>
      </w:r>
    </w:p>
    <w:p>
      <w:pPr>
        <w:topLinePunct/>
        <w:ind w:firstLine="480" w:firstLineChars="200"/>
        <w:rPr>
          <w:rFonts w:hint="eastAsia"/>
          <w:color w:val="auto"/>
          <w:highlight w:val="none"/>
        </w:rPr>
      </w:pPr>
      <w:r>
        <w:rPr>
          <w:rFonts w:hint="eastAsia"/>
          <w:color w:val="auto"/>
          <w:highlight w:val="none"/>
        </w:rPr>
        <w:t>（1</w:t>
      </w:r>
      <w:r>
        <w:rPr>
          <w:rFonts w:hint="eastAsia"/>
          <w:color w:val="auto"/>
          <w:highlight w:val="none"/>
          <w:lang w:val="en-US" w:eastAsia="zh-CN"/>
        </w:rPr>
        <w:t>1</w:t>
      </w:r>
      <w:r>
        <w:rPr>
          <w:rFonts w:hint="eastAsia"/>
          <w:color w:val="auto"/>
          <w:highlight w:val="none"/>
        </w:rPr>
        <w:t>）报价一览表（格式见附件）；</w:t>
      </w:r>
    </w:p>
    <w:p>
      <w:pPr>
        <w:topLinePunct/>
        <w:ind w:firstLine="480" w:firstLineChars="200"/>
        <w:rPr>
          <w:rFonts w:hint="eastAsia"/>
          <w:color w:val="auto"/>
          <w:highlight w:val="none"/>
        </w:rPr>
      </w:pPr>
      <w:r>
        <w:rPr>
          <w:rFonts w:hint="eastAsia"/>
          <w:color w:val="auto"/>
          <w:highlight w:val="none"/>
        </w:rPr>
        <w:t>（1</w:t>
      </w:r>
      <w:r>
        <w:rPr>
          <w:rFonts w:hint="eastAsia"/>
          <w:color w:val="auto"/>
          <w:highlight w:val="none"/>
          <w:lang w:val="en-US" w:eastAsia="zh-CN"/>
        </w:rPr>
        <w:t>2</w:t>
      </w:r>
      <w:r>
        <w:rPr>
          <w:rFonts w:hint="eastAsia"/>
          <w:color w:val="auto"/>
          <w:highlight w:val="none"/>
        </w:rPr>
        <w:t>）投标人认为需要的其他文件或说明（如有）。</w:t>
      </w:r>
    </w:p>
    <w:p>
      <w:pPr>
        <w:pStyle w:val="6"/>
        <w:keepNext w:val="0"/>
        <w:keepLines w:val="0"/>
        <w:wordWrap w:val="0"/>
        <w:topLinePunct/>
        <w:snapToGrid/>
        <w:ind w:left="0" w:firstLine="482" w:firstLineChars="200"/>
        <w:rPr>
          <w:color w:val="auto"/>
          <w:sz w:val="24"/>
          <w:szCs w:val="24"/>
          <w:highlight w:val="none"/>
        </w:rPr>
      </w:pPr>
      <w:r>
        <w:rPr>
          <w:rFonts w:hint="eastAsia"/>
          <w:color w:val="auto"/>
          <w:sz w:val="24"/>
          <w:szCs w:val="24"/>
          <w:highlight w:val="none"/>
        </w:rPr>
        <w:t>（三）投标文件的编制、签署</w:t>
      </w:r>
    </w:p>
    <w:p>
      <w:pPr>
        <w:wordWrap w:val="0"/>
        <w:topLinePunct/>
        <w:ind w:firstLine="480" w:firstLineChars="200"/>
        <w:rPr>
          <w:color w:val="auto"/>
          <w:highlight w:val="none"/>
        </w:rPr>
      </w:pPr>
      <w:r>
        <w:rPr>
          <w:rFonts w:hint="eastAsia"/>
          <w:color w:val="auto"/>
          <w:highlight w:val="none"/>
        </w:rPr>
        <w:t>组成投标文件的各项资料均应遵守本条：</w:t>
      </w:r>
    </w:p>
    <w:p>
      <w:pPr>
        <w:wordWrap w:val="0"/>
        <w:topLinePunct/>
        <w:ind w:firstLine="480" w:firstLineChars="200"/>
        <w:rPr>
          <w:color w:val="auto"/>
          <w:highlight w:val="none"/>
        </w:rPr>
      </w:pPr>
      <w:r>
        <w:rPr>
          <w:rFonts w:hint="eastAsia"/>
          <w:color w:val="auto"/>
          <w:highlight w:val="none"/>
        </w:rPr>
        <w:t>1.投标文件的签署、盖章：</w:t>
      </w:r>
    </w:p>
    <w:p>
      <w:pPr>
        <w:wordWrap w:val="0"/>
        <w:topLinePunct/>
        <w:ind w:firstLine="480" w:firstLineChars="200"/>
        <w:rPr>
          <w:b/>
          <w:bCs/>
          <w:color w:val="auto"/>
          <w:highlight w:val="none"/>
        </w:rPr>
      </w:pPr>
      <w:r>
        <w:rPr>
          <w:rFonts w:hint="eastAsia"/>
          <w:color w:val="auto"/>
          <w:highlight w:val="none"/>
        </w:rPr>
        <w:t>投标文件按照招标文件格式要求进行签署、盖章。</w:t>
      </w:r>
      <w:r>
        <w:rPr>
          <w:rFonts w:hint="eastAsia"/>
          <w:b/>
          <w:bCs/>
          <w:color w:val="auto"/>
          <w:highlight w:val="none"/>
        </w:rPr>
        <w:t>▲投标人的投标文件未按照招标文件要求签署、盖章的，其投标无效。</w:t>
      </w:r>
    </w:p>
    <w:p>
      <w:pPr>
        <w:ind w:firstLine="472" w:firstLineChars="196"/>
        <w:rPr>
          <w:b/>
          <w:bCs/>
          <w:color w:val="auto"/>
          <w:highlight w:val="none"/>
        </w:rPr>
      </w:pPr>
      <w:r>
        <w:rPr>
          <w:rFonts w:hint="eastAsia"/>
          <w:b/>
          <w:bCs/>
          <w:color w:val="auto"/>
          <w:highlight w:val="none"/>
        </w:rPr>
        <w:t>▲2.投标文件须由法定代表人或其授权代表签署。应由投标人法定代表人或授权代表签字的，须签名或电子签名或盖章，否则按无效标处理。</w:t>
      </w:r>
    </w:p>
    <w:p>
      <w:pPr>
        <w:ind w:firstLine="480" w:firstLineChars="200"/>
        <w:rPr>
          <w:color w:val="auto"/>
          <w:highlight w:val="none"/>
        </w:rPr>
      </w:pPr>
      <w:r>
        <w:rPr>
          <w:rFonts w:hint="eastAsia"/>
          <w:color w:val="auto"/>
          <w:highlight w:val="none"/>
        </w:rPr>
        <w:t>3.投标文件应字迹清楚、内容齐全、格式规范，如有修改，修改处须有法定代表人或其授权代表签名或电子签名并加盖投标人公章。投标文件因字迹潦草或表达不清所引起的后果由投标人负责。</w:t>
      </w:r>
    </w:p>
    <w:p>
      <w:pPr>
        <w:pStyle w:val="6"/>
        <w:keepNext w:val="0"/>
        <w:keepLines w:val="0"/>
        <w:wordWrap w:val="0"/>
        <w:topLinePunct/>
        <w:snapToGrid/>
        <w:ind w:left="0" w:firstLine="482" w:firstLineChars="200"/>
        <w:rPr>
          <w:color w:val="auto"/>
          <w:sz w:val="24"/>
          <w:szCs w:val="24"/>
          <w:highlight w:val="none"/>
        </w:rPr>
      </w:pPr>
      <w:r>
        <w:rPr>
          <w:rFonts w:hint="eastAsia"/>
          <w:color w:val="auto"/>
          <w:sz w:val="24"/>
          <w:szCs w:val="24"/>
          <w:highlight w:val="none"/>
        </w:rPr>
        <w:t>（四）投标报价</w:t>
      </w:r>
    </w:p>
    <w:p>
      <w:pPr>
        <w:ind w:firstLine="480" w:firstLineChars="200"/>
        <w:rPr>
          <w:color w:val="auto"/>
          <w:highlight w:val="none"/>
        </w:rPr>
      </w:pPr>
      <w:r>
        <w:rPr>
          <w:rFonts w:hint="eastAsia"/>
          <w:color w:val="auto"/>
          <w:highlight w:val="none"/>
        </w:rPr>
        <w:t>1.所有投标报价均以人民币元为计算单位。</w:t>
      </w:r>
      <w:r>
        <w:rPr>
          <w:rFonts w:hint="eastAsia" w:cs="仿宋_GB2312"/>
          <w:color w:val="auto"/>
          <w:highlight w:val="none"/>
        </w:rPr>
        <w:t>有关本项目所需的一切费用均计入报价。投标人应根据《投标报价一览表》填写相关内容。</w:t>
      </w:r>
      <w:r>
        <w:rPr>
          <w:rFonts w:hint="eastAsia"/>
          <w:color w:val="auto"/>
          <w:highlight w:val="none"/>
        </w:rPr>
        <w:t>投标报价应是唯一的，招标人将拒绝有选择的报价，投标报价应按招标文件中相关附表格式填报。</w:t>
      </w:r>
    </w:p>
    <w:p>
      <w:pPr>
        <w:ind w:firstLine="480" w:firstLineChars="200"/>
        <w:rPr>
          <w:color w:val="auto"/>
          <w:highlight w:val="none"/>
        </w:rPr>
      </w:pPr>
      <w:r>
        <w:rPr>
          <w:rFonts w:hint="eastAsia"/>
          <w:color w:val="auto"/>
          <w:highlight w:val="none"/>
        </w:rPr>
        <w:t>2.投标价格应该已经扣除所有同业折扣以及现金折扣。投标报价应包括所需缴纳的所有税费、项目实施所需的一切费用。</w:t>
      </w:r>
    </w:p>
    <w:p>
      <w:pPr>
        <w:pStyle w:val="6"/>
        <w:keepNext w:val="0"/>
        <w:keepLines w:val="0"/>
        <w:wordWrap w:val="0"/>
        <w:topLinePunct/>
        <w:snapToGrid/>
        <w:ind w:left="0" w:firstLine="482" w:firstLineChars="200"/>
        <w:rPr>
          <w:color w:val="auto"/>
          <w:sz w:val="24"/>
          <w:szCs w:val="24"/>
          <w:highlight w:val="none"/>
        </w:rPr>
      </w:pPr>
      <w:r>
        <w:rPr>
          <w:rFonts w:hint="eastAsia"/>
          <w:color w:val="auto"/>
          <w:sz w:val="24"/>
          <w:szCs w:val="24"/>
          <w:highlight w:val="none"/>
        </w:rPr>
        <w:t>（五）投标文件的递交、补充和修改</w:t>
      </w:r>
    </w:p>
    <w:p>
      <w:pPr>
        <w:ind w:firstLine="480" w:firstLineChars="200"/>
        <w:rPr>
          <w:color w:val="auto"/>
          <w:highlight w:val="none"/>
        </w:rPr>
      </w:pPr>
      <w:r>
        <w:rPr>
          <w:rFonts w:hint="eastAsia"/>
          <w:color w:val="auto"/>
          <w:highlight w:val="none"/>
        </w:rPr>
        <w:t>1.在投标截止时间前，除投标人补充、修改或者撤回投标文件外，任何单位和个人不得提取投标文件。</w:t>
      </w:r>
    </w:p>
    <w:p>
      <w:pPr>
        <w:ind w:firstLine="480" w:firstLineChars="200"/>
        <w:rPr>
          <w:color w:val="auto"/>
          <w:highlight w:val="none"/>
        </w:rPr>
      </w:pPr>
      <w:r>
        <w:rPr>
          <w:rFonts w:hint="eastAsia"/>
          <w:color w:val="auto"/>
          <w:highlight w:val="none"/>
        </w:rPr>
        <w:t>2.投标文件的补充和修改</w:t>
      </w:r>
    </w:p>
    <w:p>
      <w:pPr>
        <w:ind w:firstLine="472" w:firstLineChars="196"/>
        <w:rPr>
          <w:b/>
          <w:bCs/>
          <w:color w:val="auto"/>
          <w:highlight w:val="none"/>
        </w:rPr>
      </w:pPr>
      <w:r>
        <w:rPr>
          <w:rFonts w:hint="eastAsia"/>
          <w:b/>
          <w:bCs/>
          <w:color w:val="auto"/>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pPr>
        <w:pStyle w:val="476"/>
        <w:spacing w:beforeLines="0" w:afterLines="0"/>
        <w:ind w:firstLine="480" w:firstLineChars="200"/>
        <w:rPr>
          <w:color w:val="auto"/>
          <w:highlight w:val="none"/>
        </w:rPr>
      </w:pPr>
      <w:r>
        <w:rPr>
          <w:rFonts w:hint="eastAsia"/>
          <w:color w:val="auto"/>
          <w:highlight w:val="none"/>
        </w:rPr>
        <w:t>3.投标截止时间和有效时间</w:t>
      </w:r>
    </w:p>
    <w:p>
      <w:pPr>
        <w:pStyle w:val="476"/>
        <w:wordWrap w:val="0"/>
        <w:topLinePunct/>
        <w:spacing w:beforeLines="0" w:afterLines="0"/>
        <w:ind w:firstLine="480" w:firstLineChars="200"/>
        <w:rPr>
          <w:color w:val="auto"/>
          <w:highlight w:val="none"/>
        </w:rPr>
      </w:pPr>
      <w:r>
        <w:rPr>
          <w:rFonts w:hint="eastAsia"/>
          <w:color w:val="auto"/>
          <w:highlight w:val="none"/>
        </w:rPr>
        <w:t>（1）投标截止时间见前附表。如因电子交易平台原因影响投标截止时间的，招标人可以视情况延长投标文件提交的截止时间。在上述情况下，招标人与投标人在之前投标截止期方面的全部权利、责任和义务，将适用于延长至新的投标截止期。</w:t>
      </w:r>
    </w:p>
    <w:p>
      <w:pPr>
        <w:pStyle w:val="476"/>
        <w:wordWrap w:val="0"/>
        <w:topLinePunct/>
        <w:spacing w:beforeLines="0" w:afterLines="0"/>
        <w:ind w:firstLine="480" w:firstLineChars="200"/>
        <w:rPr>
          <w:color w:val="auto"/>
          <w:highlight w:val="none"/>
        </w:rPr>
      </w:pPr>
      <w:r>
        <w:rPr>
          <w:rFonts w:hint="eastAsia"/>
          <w:color w:val="auto"/>
          <w:highlight w:val="none"/>
        </w:rPr>
        <w:t>（2）投标有效期为从提交投标文件的截止之日起60天。投标文件合格投递后，自投标截止日期起，在投标有效期内有效。在原定投标有效期满之前，如果出现特殊情况，招标人可以以书面形式通知投标人延长投标有效期。投标人同意延长的，不得要求或被允许修改其投标文件，投标人拒绝延长的，视同放弃投标。</w:t>
      </w:r>
    </w:p>
    <w:p>
      <w:pPr>
        <w:pStyle w:val="2"/>
        <w:keepNext w:val="0"/>
        <w:keepLines w:val="0"/>
        <w:spacing w:before="0" w:after="0" w:line="360" w:lineRule="auto"/>
        <w:ind w:left="0" w:firstLine="0"/>
        <w:rPr>
          <w:color w:val="auto"/>
          <w:highlight w:val="none"/>
        </w:rPr>
      </w:pPr>
      <w:r>
        <w:rPr>
          <w:rFonts w:hint="eastAsia"/>
          <w:color w:val="auto"/>
          <w:highlight w:val="none"/>
        </w:rPr>
        <w:t>四、开标</w:t>
      </w:r>
    </w:p>
    <w:p>
      <w:pPr>
        <w:wordWrap w:val="0"/>
        <w:topLinePunct/>
        <w:ind w:firstLine="482" w:firstLineChars="200"/>
        <w:rPr>
          <w:color w:val="auto"/>
          <w:highlight w:val="none"/>
        </w:rPr>
      </w:pPr>
      <w:r>
        <w:rPr>
          <w:rFonts w:hint="eastAsia"/>
          <w:b/>
          <w:bCs/>
          <w:color w:val="auto"/>
          <w:highlight w:val="none"/>
        </w:rPr>
        <w:t>（一）开标程序</w:t>
      </w:r>
    </w:p>
    <w:p>
      <w:pPr>
        <w:wordWrap w:val="0"/>
        <w:topLinePunct/>
        <w:ind w:firstLine="480" w:firstLineChars="200"/>
        <w:rPr>
          <w:color w:val="auto"/>
          <w:highlight w:val="none"/>
        </w:rPr>
      </w:pPr>
      <w:r>
        <w:rPr>
          <w:rFonts w:hint="eastAsia"/>
          <w:color w:val="auto"/>
          <w:highlight w:val="none"/>
        </w:rPr>
        <w:t>电子招投标开标及评审程序：</w:t>
      </w:r>
    </w:p>
    <w:p>
      <w:pPr>
        <w:ind w:firstLine="480" w:firstLineChars="200"/>
        <w:rPr>
          <w:color w:val="auto"/>
          <w:highlight w:val="none"/>
        </w:rPr>
      </w:pPr>
      <w:r>
        <w:rPr>
          <w:rFonts w:hint="eastAsia"/>
          <w:color w:val="auto"/>
          <w:highlight w:val="none"/>
        </w:rPr>
        <w:t>1.开标会由招标代理机构主持，主持人宣布开标会议开始；</w:t>
      </w:r>
    </w:p>
    <w:p>
      <w:pPr>
        <w:ind w:firstLine="480" w:firstLineChars="200"/>
        <w:rPr>
          <w:color w:val="auto"/>
          <w:highlight w:val="none"/>
        </w:rPr>
      </w:pPr>
      <w:r>
        <w:rPr>
          <w:rFonts w:hint="eastAsia"/>
          <w:color w:val="auto"/>
          <w:highlight w:val="none"/>
        </w:rPr>
        <w:t>2.主持人介绍参加开标会的成员，宣布开标期间的有关事项、开标纪律、应当回避的情形等注意事项；</w:t>
      </w:r>
    </w:p>
    <w:p>
      <w:pPr>
        <w:ind w:firstLine="480" w:firstLineChars="200"/>
        <w:rPr>
          <w:color w:val="auto"/>
          <w:highlight w:val="none"/>
        </w:rPr>
      </w:pPr>
      <w:r>
        <w:rPr>
          <w:rFonts w:hint="eastAsia"/>
          <w:color w:val="auto"/>
          <w:highlight w:val="none"/>
        </w:rPr>
        <w:t>3.投标截止时间后，电子交易平台按开标时间自动提取所有投标文件，主持人宣读在线递交电子投标文件的投标人名单。投标人不足</w:t>
      </w:r>
      <w:r>
        <w:rPr>
          <w:rFonts w:hint="eastAsia"/>
          <w:color w:val="auto"/>
          <w:highlight w:val="none"/>
          <w:lang w:val="en-US" w:eastAsia="zh-CN"/>
        </w:rPr>
        <w:t>三</w:t>
      </w:r>
      <w:r>
        <w:rPr>
          <w:rFonts w:hint="eastAsia"/>
          <w:color w:val="auto"/>
          <w:highlight w:val="none"/>
        </w:rPr>
        <w:t>家的，不得开标。</w:t>
      </w:r>
    </w:p>
    <w:p>
      <w:pPr>
        <w:wordWrap w:val="0"/>
        <w:topLinePunct/>
        <w:ind w:firstLine="480" w:firstLineChars="200"/>
        <w:rPr>
          <w:color w:val="auto"/>
          <w:highlight w:val="none"/>
        </w:rPr>
      </w:pPr>
      <w:r>
        <w:rPr>
          <w:rFonts w:hint="eastAsia"/>
          <w:color w:val="auto"/>
          <w:highlight w:val="none"/>
        </w:rPr>
        <w:t>4.开标后，招标人或招标代理机构依法对投标人的符合性进行审查，依据法律法规和招标文件的规定，对投标人的响应文件进行符合性审查。投标人未按照招标文件要求提供有效响应资料的，视为投标人不符合招标文件中规定的要求，其投标无效。对未通过符合性审查的投标人，招标人或招标代理机构告知其未通过的原因，如投标有效供应商不足</w:t>
      </w:r>
      <w:r>
        <w:rPr>
          <w:rFonts w:hint="eastAsia"/>
          <w:color w:val="auto"/>
          <w:highlight w:val="none"/>
          <w:lang w:val="en-US" w:eastAsia="zh-CN"/>
        </w:rPr>
        <w:t>三</w:t>
      </w:r>
      <w:r>
        <w:rPr>
          <w:rFonts w:hint="eastAsia"/>
          <w:color w:val="auto"/>
          <w:highlight w:val="none"/>
        </w:rPr>
        <w:t>家，评标委员会确定为废标。</w:t>
      </w:r>
    </w:p>
    <w:p>
      <w:pPr>
        <w:wordWrap w:val="0"/>
        <w:topLinePunct/>
        <w:ind w:firstLine="480" w:firstLineChars="200"/>
        <w:rPr>
          <w:color w:val="auto"/>
          <w:highlight w:val="none"/>
        </w:rPr>
      </w:pPr>
      <w:r>
        <w:rPr>
          <w:rFonts w:hint="eastAsia"/>
          <w:color w:val="auto"/>
          <w:highlight w:val="none"/>
        </w:rPr>
        <w:t>5.评标委员会对通过符合性审查的投标人的响应文件进行评审。在电子交易平台系统上公开有效投标的评分结果。</w:t>
      </w:r>
    </w:p>
    <w:p>
      <w:pPr>
        <w:wordWrap w:val="0"/>
        <w:topLinePunct/>
        <w:ind w:firstLine="480" w:firstLineChars="200"/>
        <w:rPr>
          <w:color w:val="auto"/>
          <w:highlight w:val="none"/>
        </w:rPr>
      </w:pPr>
      <w:r>
        <w:rPr>
          <w:rFonts w:hint="eastAsia"/>
          <w:color w:val="auto"/>
          <w:highlight w:val="none"/>
        </w:rPr>
        <w:t>6.在电子交易平台系统上公布评审结果。评标结束，公布有效投标人的评分结果和推荐的中标候选人，主持人宣布本次开标会议结束。</w:t>
      </w:r>
    </w:p>
    <w:p>
      <w:pPr>
        <w:wordWrap w:val="0"/>
        <w:topLinePunct/>
        <w:ind w:firstLine="482" w:firstLineChars="200"/>
        <w:rPr>
          <w:color w:val="auto"/>
          <w:highlight w:val="none"/>
        </w:rPr>
      </w:pPr>
      <w:r>
        <w:rPr>
          <w:rFonts w:hint="eastAsia"/>
          <w:b/>
          <w:bCs/>
          <w:color w:val="auto"/>
          <w:highlight w:val="none"/>
        </w:rPr>
        <w:t>特别说明：</w:t>
      </w:r>
    </w:p>
    <w:p>
      <w:pPr>
        <w:wordWrap w:val="0"/>
        <w:topLinePunct/>
        <w:ind w:firstLine="482" w:firstLineChars="200"/>
        <w:rPr>
          <w:b/>
          <w:bCs/>
          <w:color w:val="auto"/>
          <w:highlight w:val="none"/>
        </w:rPr>
      </w:pPr>
      <w:r>
        <w:rPr>
          <w:rFonts w:hint="eastAsia"/>
          <w:b/>
          <w:bCs/>
          <w:color w:val="auto"/>
          <w:highlight w:val="none"/>
        </w:rPr>
        <w:t>1、政采云公司如对电子化开标及评审程序有调整的，按调整后的程序操作。</w:t>
      </w:r>
    </w:p>
    <w:p>
      <w:pPr>
        <w:wordWrap w:val="0"/>
        <w:topLinePunct/>
        <w:ind w:firstLine="482" w:firstLineChars="200"/>
        <w:rPr>
          <w:b/>
          <w:bCs/>
          <w:color w:val="auto"/>
          <w:highlight w:val="none"/>
        </w:rPr>
      </w:pPr>
      <w:r>
        <w:rPr>
          <w:rFonts w:hint="eastAsia"/>
          <w:b/>
          <w:bCs/>
          <w:color w:val="auto"/>
          <w:highlight w:val="none"/>
        </w:rPr>
        <w:t>2、目前公款竞争性存放招标全流程电子化交易。</w:t>
      </w:r>
    </w:p>
    <w:p>
      <w:pPr>
        <w:wordWrap w:val="0"/>
        <w:topLinePunct/>
        <w:ind w:firstLine="482" w:firstLineChars="200"/>
        <w:rPr>
          <w:b/>
          <w:bCs/>
          <w:color w:val="auto"/>
          <w:highlight w:val="none"/>
        </w:rPr>
      </w:pPr>
      <w:r>
        <w:rPr>
          <w:rFonts w:hint="eastAsia"/>
          <w:b/>
          <w:bCs/>
          <w:color w:val="auto"/>
          <w:highlight w:val="none"/>
        </w:rPr>
        <w:t>3、本项目原则上采用政采云电子招投标开标及评审程序，但有下情形之一的，按以下情况处理：</w:t>
      </w:r>
    </w:p>
    <w:p>
      <w:pPr>
        <w:wordWrap w:val="0"/>
        <w:topLinePunct/>
        <w:ind w:firstLine="472" w:firstLineChars="196"/>
        <w:rPr>
          <w:b/>
          <w:bCs/>
          <w:color w:val="auto"/>
          <w:highlight w:val="none"/>
        </w:rPr>
      </w:pPr>
      <w:r>
        <w:rPr>
          <w:rFonts w:hint="eastAsia"/>
          <w:b/>
          <w:bCs/>
          <w:color w:val="auto"/>
          <w:highlight w:val="none"/>
        </w:rPr>
        <w:t>（1）若因政采云平台原因无法读取或电子开评标无法正常进行，代理机构将情况上报行业监管部门同意后，重新组织招标活动。</w:t>
      </w:r>
    </w:p>
    <w:p>
      <w:pPr>
        <w:pStyle w:val="2"/>
        <w:keepNext w:val="0"/>
        <w:keepLines w:val="0"/>
        <w:topLinePunct/>
        <w:spacing w:before="0" w:after="0" w:line="360" w:lineRule="auto"/>
        <w:ind w:left="0" w:firstLine="0"/>
        <w:rPr>
          <w:color w:val="auto"/>
          <w:highlight w:val="none"/>
        </w:rPr>
      </w:pPr>
      <w:r>
        <w:rPr>
          <w:rFonts w:hint="eastAsia"/>
          <w:color w:val="auto"/>
          <w:highlight w:val="none"/>
        </w:rPr>
        <w:t>五、评标</w:t>
      </w:r>
    </w:p>
    <w:p>
      <w:pPr>
        <w:pStyle w:val="6"/>
        <w:keepNext w:val="0"/>
        <w:keepLines w:val="0"/>
        <w:wordWrap w:val="0"/>
        <w:topLinePunct/>
        <w:snapToGrid/>
        <w:ind w:left="0" w:firstLine="482" w:firstLineChars="200"/>
        <w:rPr>
          <w:color w:val="auto"/>
          <w:sz w:val="24"/>
          <w:szCs w:val="24"/>
          <w:highlight w:val="none"/>
        </w:rPr>
      </w:pPr>
      <w:r>
        <w:rPr>
          <w:rFonts w:hint="eastAsia"/>
          <w:color w:val="auto"/>
          <w:sz w:val="24"/>
          <w:szCs w:val="24"/>
          <w:highlight w:val="none"/>
        </w:rPr>
        <w:t>（一）评标委员会</w:t>
      </w:r>
    </w:p>
    <w:p>
      <w:pPr>
        <w:wordWrap w:val="0"/>
        <w:topLinePunct/>
        <w:ind w:firstLine="472" w:firstLineChars="196"/>
        <w:rPr>
          <w:color w:val="auto"/>
          <w:highlight w:val="none"/>
        </w:rPr>
      </w:pPr>
      <w:r>
        <w:rPr>
          <w:rFonts w:hint="eastAsia"/>
          <w:b/>
          <w:bCs/>
          <w:color w:val="auto"/>
          <w:highlight w:val="none"/>
        </w:rPr>
        <w:t>1.评标委员会的组成。</w:t>
      </w:r>
      <w:r>
        <w:rPr>
          <w:rFonts w:hint="eastAsia"/>
          <w:color w:val="auto"/>
          <w:highlight w:val="none"/>
        </w:rPr>
        <w:t>评标委员会依法由相关专家和招标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pPr>
        <w:wordWrap w:val="0"/>
        <w:topLinePunct/>
        <w:ind w:firstLine="472" w:firstLineChars="196"/>
        <w:rPr>
          <w:rFonts w:cs="Times New Roman"/>
          <w:color w:val="auto"/>
          <w:highlight w:val="none"/>
        </w:rPr>
      </w:pPr>
      <w:r>
        <w:rPr>
          <w:rFonts w:hint="eastAsia" w:cs="Times New Roman"/>
          <w:b/>
          <w:bCs/>
          <w:color w:val="auto"/>
          <w:highlight w:val="none"/>
        </w:rPr>
        <w:t>2.评标委员会组成人员的回避。</w:t>
      </w:r>
      <w:r>
        <w:rPr>
          <w:rFonts w:hint="eastAsia" w:cs="Times New Roman"/>
          <w:color w:val="auto"/>
          <w:highlight w:val="none"/>
        </w:rPr>
        <w:t>在采购活动中，评标委员会的组成人员与供应商有下列利害关系之一的，应当回避：</w:t>
      </w:r>
    </w:p>
    <w:p>
      <w:pPr>
        <w:wordWrap w:val="0"/>
        <w:topLinePunct/>
        <w:ind w:firstLine="480" w:firstLineChars="200"/>
        <w:rPr>
          <w:rFonts w:cs="Times New Roman"/>
          <w:color w:val="auto"/>
          <w:highlight w:val="none"/>
        </w:rPr>
      </w:pPr>
      <w:r>
        <w:rPr>
          <w:rFonts w:hint="eastAsia" w:cs="Times New Roman"/>
          <w:color w:val="auto"/>
          <w:highlight w:val="none"/>
        </w:rPr>
        <w:t>（1）参加采购活动前3年内与供应商存在劳动关系；</w:t>
      </w:r>
    </w:p>
    <w:p>
      <w:pPr>
        <w:wordWrap w:val="0"/>
        <w:topLinePunct/>
        <w:ind w:firstLine="480" w:firstLineChars="200"/>
        <w:rPr>
          <w:rFonts w:cs="Times New Roman"/>
          <w:color w:val="auto"/>
          <w:highlight w:val="none"/>
        </w:rPr>
      </w:pPr>
      <w:r>
        <w:rPr>
          <w:rFonts w:hint="eastAsia" w:cs="Times New Roman"/>
          <w:color w:val="auto"/>
          <w:highlight w:val="none"/>
        </w:rPr>
        <w:t>（2）参加采购活动前3年内担任供应商的董事、监事；</w:t>
      </w:r>
    </w:p>
    <w:p>
      <w:pPr>
        <w:wordWrap w:val="0"/>
        <w:topLinePunct/>
        <w:ind w:firstLine="480" w:firstLineChars="200"/>
        <w:rPr>
          <w:rFonts w:cs="Times New Roman"/>
          <w:color w:val="auto"/>
          <w:highlight w:val="none"/>
        </w:rPr>
      </w:pPr>
      <w:r>
        <w:rPr>
          <w:rFonts w:hint="eastAsia" w:cs="Times New Roman"/>
          <w:color w:val="auto"/>
          <w:highlight w:val="none"/>
        </w:rPr>
        <w:t>（3）参加采购活动前3年内是供应商的控股股东或者实际控制人；</w:t>
      </w:r>
    </w:p>
    <w:p>
      <w:pPr>
        <w:wordWrap w:val="0"/>
        <w:topLinePunct/>
        <w:ind w:firstLine="480" w:firstLineChars="200"/>
        <w:rPr>
          <w:rFonts w:cs="Times New Roman"/>
          <w:color w:val="auto"/>
          <w:highlight w:val="none"/>
        </w:rPr>
      </w:pPr>
      <w:r>
        <w:rPr>
          <w:rFonts w:hint="eastAsia" w:cs="Times New Roman"/>
          <w:color w:val="auto"/>
          <w:highlight w:val="none"/>
        </w:rPr>
        <w:t>（4）与供应商的法定代表人或者负责人有夫妻、直系血亲、三代以内旁系血亲或者近姻亲关系；</w:t>
      </w:r>
    </w:p>
    <w:p>
      <w:pPr>
        <w:wordWrap w:val="0"/>
        <w:topLinePunct/>
        <w:ind w:firstLine="480" w:firstLineChars="200"/>
        <w:rPr>
          <w:rFonts w:cs="Times New Roman"/>
          <w:color w:val="auto"/>
          <w:highlight w:val="none"/>
        </w:rPr>
      </w:pPr>
      <w:r>
        <w:rPr>
          <w:rFonts w:hint="eastAsia" w:cs="Times New Roman"/>
          <w:color w:val="auto"/>
          <w:highlight w:val="none"/>
        </w:rPr>
        <w:t>（5）与供应商有其他可能影响政府采购活动公平、公正进行的关系。</w:t>
      </w:r>
    </w:p>
    <w:p>
      <w:pPr>
        <w:wordWrap w:val="0"/>
        <w:topLinePunct/>
        <w:ind w:firstLine="472" w:firstLineChars="196"/>
        <w:rPr>
          <w:rFonts w:cs="Times New Roman"/>
          <w:b/>
          <w:bCs/>
          <w:color w:val="auto"/>
          <w:highlight w:val="none"/>
        </w:rPr>
      </w:pPr>
      <w:r>
        <w:rPr>
          <w:rFonts w:hint="eastAsia" w:cs="Times New Roman"/>
          <w:b/>
          <w:bCs/>
          <w:color w:val="auto"/>
          <w:highlight w:val="none"/>
        </w:rPr>
        <w:t>3.评标委员会负责具体评标事务，并独立履行下列职责：</w:t>
      </w:r>
    </w:p>
    <w:p>
      <w:pPr>
        <w:wordWrap w:val="0"/>
        <w:topLinePunct/>
        <w:ind w:firstLine="480" w:firstLineChars="200"/>
        <w:rPr>
          <w:rFonts w:cs="Times New Roman"/>
          <w:color w:val="auto"/>
          <w:highlight w:val="none"/>
        </w:rPr>
      </w:pPr>
      <w:r>
        <w:rPr>
          <w:rFonts w:hint="eastAsia" w:cs="Times New Roman"/>
          <w:color w:val="auto"/>
          <w:highlight w:val="none"/>
        </w:rPr>
        <w:t>（1）审查、评价投标文件是否符合招标文件的商务、技术等实质性要求；</w:t>
      </w:r>
    </w:p>
    <w:p>
      <w:pPr>
        <w:wordWrap w:val="0"/>
        <w:topLinePunct/>
        <w:ind w:firstLine="480" w:firstLineChars="200"/>
        <w:rPr>
          <w:rFonts w:cs="Times New Roman"/>
          <w:color w:val="auto"/>
          <w:highlight w:val="none"/>
        </w:rPr>
      </w:pPr>
      <w:r>
        <w:rPr>
          <w:rFonts w:hint="eastAsia" w:cs="Times New Roman"/>
          <w:color w:val="auto"/>
          <w:highlight w:val="none"/>
        </w:rPr>
        <w:t>（2）要求投标人对投标文件有关事项作出澄清或者说明；</w:t>
      </w:r>
    </w:p>
    <w:p>
      <w:pPr>
        <w:wordWrap w:val="0"/>
        <w:topLinePunct/>
        <w:ind w:firstLine="480" w:firstLineChars="200"/>
        <w:rPr>
          <w:rFonts w:cs="Times New Roman"/>
          <w:color w:val="auto"/>
          <w:highlight w:val="none"/>
        </w:rPr>
      </w:pPr>
      <w:r>
        <w:rPr>
          <w:rFonts w:hint="eastAsia" w:cs="Times New Roman"/>
          <w:color w:val="auto"/>
          <w:highlight w:val="none"/>
        </w:rPr>
        <w:t>（3）对投标文件进行比较和评价；</w:t>
      </w:r>
    </w:p>
    <w:p>
      <w:pPr>
        <w:wordWrap w:val="0"/>
        <w:topLinePunct/>
        <w:ind w:firstLine="480" w:firstLineChars="200"/>
        <w:rPr>
          <w:rFonts w:cs="Times New Roman"/>
          <w:color w:val="auto"/>
          <w:highlight w:val="none"/>
        </w:rPr>
      </w:pPr>
      <w:r>
        <w:rPr>
          <w:rFonts w:hint="eastAsia" w:cs="Times New Roman"/>
          <w:color w:val="auto"/>
          <w:highlight w:val="none"/>
        </w:rPr>
        <w:t>（4）确定中标候选人名单，以及根据招标人委托直接确定中标人；</w:t>
      </w:r>
    </w:p>
    <w:p>
      <w:pPr>
        <w:wordWrap w:val="0"/>
        <w:topLinePunct/>
        <w:ind w:firstLine="480" w:firstLineChars="200"/>
        <w:rPr>
          <w:rFonts w:cs="Times New Roman"/>
          <w:color w:val="auto"/>
          <w:highlight w:val="none"/>
        </w:rPr>
      </w:pPr>
      <w:r>
        <w:rPr>
          <w:rFonts w:hint="eastAsia" w:cs="Times New Roman"/>
          <w:color w:val="auto"/>
          <w:highlight w:val="none"/>
        </w:rPr>
        <w:t>（5）向招标人、招标人或者有关部门报告评标中发现的违法行为；</w:t>
      </w:r>
    </w:p>
    <w:p>
      <w:pPr>
        <w:wordWrap w:val="0"/>
        <w:topLinePunct/>
        <w:ind w:firstLine="480" w:firstLineChars="200"/>
        <w:rPr>
          <w:rFonts w:cs="Times New Roman"/>
          <w:color w:val="auto"/>
          <w:highlight w:val="none"/>
        </w:rPr>
      </w:pPr>
      <w:r>
        <w:rPr>
          <w:rFonts w:hint="eastAsia" w:cs="Times New Roman"/>
          <w:color w:val="auto"/>
          <w:highlight w:val="none"/>
        </w:rPr>
        <w:t>（6）法律、法规、规章、招标文件等规定的其它事项。</w:t>
      </w:r>
    </w:p>
    <w:p>
      <w:pPr>
        <w:wordWrap w:val="0"/>
        <w:topLinePunct/>
        <w:ind w:firstLine="482" w:firstLineChars="200"/>
        <w:rPr>
          <w:b/>
          <w:color w:val="auto"/>
          <w:highlight w:val="none"/>
        </w:rPr>
      </w:pPr>
      <w:r>
        <w:rPr>
          <w:rFonts w:hint="eastAsia"/>
          <w:b/>
          <w:color w:val="auto"/>
          <w:highlight w:val="none"/>
        </w:rPr>
        <w:t>（二）评标原则</w:t>
      </w:r>
    </w:p>
    <w:p>
      <w:pPr>
        <w:wordWrap w:val="0"/>
        <w:topLinePunct/>
        <w:ind w:firstLine="480" w:firstLineChars="200"/>
        <w:rPr>
          <w:color w:val="auto"/>
          <w:highlight w:val="none"/>
        </w:rPr>
      </w:pPr>
      <w:r>
        <w:rPr>
          <w:rFonts w:hint="eastAsia"/>
          <w:color w:val="auto"/>
          <w:highlight w:val="none"/>
        </w:rPr>
        <w:t>1.评标委员会必须公平、公正、客观，不带任何倾向性和启发性；按照招标文件的要求和条件进行评标；客观、公正地对待所有投标人，对所有投标评审，均采用相同的程序和标准。</w:t>
      </w:r>
    </w:p>
    <w:p>
      <w:pPr>
        <w:wordWrap w:val="0"/>
        <w:topLinePunct/>
        <w:ind w:firstLine="480" w:firstLineChars="200"/>
        <w:rPr>
          <w:color w:val="auto"/>
          <w:highlight w:val="none"/>
        </w:rPr>
      </w:pPr>
      <w:r>
        <w:rPr>
          <w:rFonts w:hint="eastAsia"/>
          <w:color w:val="auto"/>
          <w:highlight w:val="none"/>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pPr>
        <w:wordWrap w:val="0"/>
        <w:topLinePunct/>
        <w:ind w:firstLine="480" w:firstLineChars="200"/>
        <w:rPr>
          <w:color w:val="auto"/>
          <w:highlight w:val="none"/>
        </w:rPr>
      </w:pPr>
      <w:r>
        <w:rPr>
          <w:rFonts w:hint="eastAsia"/>
          <w:color w:val="auto"/>
          <w:highlight w:val="none"/>
        </w:rPr>
        <w:t>3.在评标过程中，评标委员会及有关工作人员不得私下与投标人接触，在招标工作结束后，凡与评标情况有接触的人不得向外界透露任何与评标有关的内容。招标人不向落标方解释落标原因。</w:t>
      </w:r>
    </w:p>
    <w:p>
      <w:pPr>
        <w:wordWrap w:val="0"/>
        <w:topLinePunct/>
        <w:ind w:firstLine="480" w:firstLineChars="200"/>
        <w:rPr>
          <w:color w:val="auto"/>
          <w:highlight w:val="none"/>
        </w:rPr>
      </w:pPr>
      <w:r>
        <w:rPr>
          <w:rFonts w:hint="eastAsia"/>
          <w:color w:val="auto"/>
          <w:highlight w:val="none"/>
        </w:rPr>
        <w:t>4.在开标、评标期间，任何单位和个人不得干扰、影响评标的正常进行，投标人不得向评标委员会成员询问评标情况，不得进行旨在影响评标结果的活动，否则将废除其投标资格。</w:t>
      </w:r>
    </w:p>
    <w:p>
      <w:pPr>
        <w:wordWrap w:val="0"/>
        <w:topLinePunct/>
        <w:ind w:firstLine="480" w:firstLineChars="200"/>
        <w:rPr>
          <w:color w:val="auto"/>
          <w:highlight w:val="none"/>
        </w:rPr>
      </w:pPr>
      <w:r>
        <w:rPr>
          <w:rFonts w:hint="eastAsia"/>
          <w:color w:val="auto"/>
          <w:highlight w:val="none"/>
        </w:rPr>
        <w:t>5、评标方法及评分标准等，详见招标文件“第三章  评标办法及评分标准”。</w:t>
      </w:r>
    </w:p>
    <w:p>
      <w:pPr>
        <w:wordWrap w:val="0"/>
        <w:topLinePunct/>
        <w:ind w:firstLine="482" w:firstLineChars="200"/>
        <w:rPr>
          <w:b/>
          <w:bCs/>
          <w:color w:val="auto"/>
          <w:highlight w:val="none"/>
        </w:rPr>
      </w:pPr>
      <w:r>
        <w:rPr>
          <w:rFonts w:hint="eastAsia"/>
          <w:b/>
          <w:bCs/>
          <w:color w:val="auto"/>
          <w:highlight w:val="none"/>
        </w:rPr>
        <w:t>（三）评标程序</w:t>
      </w:r>
    </w:p>
    <w:p>
      <w:pPr>
        <w:wordWrap w:val="0"/>
        <w:topLinePunct/>
        <w:ind w:firstLine="480" w:firstLineChars="200"/>
        <w:rPr>
          <w:color w:val="auto"/>
          <w:highlight w:val="none"/>
        </w:rPr>
      </w:pPr>
      <w:r>
        <w:rPr>
          <w:rFonts w:hint="eastAsia"/>
          <w:color w:val="auto"/>
          <w:highlight w:val="none"/>
        </w:rPr>
        <w:t>本项目评标一般将按以下程序进行：投标文件审查、投标文件的澄清、投标文件的比较与评价、推荐中标候选人和编写评标报告等。</w:t>
      </w:r>
    </w:p>
    <w:p>
      <w:pPr>
        <w:wordWrap w:val="0"/>
        <w:topLinePunct/>
        <w:ind w:firstLine="482" w:firstLineChars="200"/>
        <w:rPr>
          <w:b/>
          <w:color w:val="auto"/>
          <w:highlight w:val="none"/>
        </w:rPr>
      </w:pPr>
      <w:r>
        <w:rPr>
          <w:rFonts w:hint="eastAsia"/>
          <w:b/>
          <w:color w:val="auto"/>
          <w:highlight w:val="none"/>
        </w:rPr>
        <w:t>1.投标文件审查</w:t>
      </w:r>
    </w:p>
    <w:p>
      <w:pPr>
        <w:wordWrap w:val="0"/>
        <w:topLinePunct/>
        <w:ind w:firstLine="482" w:firstLineChars="200"/>
        <w:rPr>
          <w:color w:val="auto"/>
          <w:highlight w:val="none"/>
        </w:rPr>
      </w:pPr>
      <w:r>
        <w:rPr>
          <w:rFonts w:hint="eastAsia"/>
          <w:b/>
          <w:color w:val="auto"/>
          <w:highlight w:val="none"/>
        </w:rPr>
        <w:t>符合性检查：供应商应在投标文件符合性模块中上传完整有效的投标文件，</w:t>
      </w:r>
      <w:r>
        <w:rPr>
          <w:rFonts w:hint="eastAsia"/>
          <w:color w:val="auto"/>
          <w:highlight w:val="none"/>
        </w:rPr>
        <w:t>评标委员会依据招标文件的规定，从投标文件的有效性、完整性和对招标文件的响应程度进行审查、比较和评估，以确定是否对招标文件的实质性要求作出响应。符合性检查不合格的投标人，投标文件审查结论不合格。如投标有效供应商不足</w:t>
      </w:r>
      <w:r>
        <w:rPr>
          <w:rFonts w:hint="eastAsia"/>
          <w:color w:val="auto"/>
          <w:highlight w:val="none"/>
          <w:lang w:val="en-US" w:eastAsia="zh-CN"/>
        </w:rPr>
        <w:t>三</w:t>
      </w:r>
      <w:r>
        <w:rPr>
          <w:rFonts w:hint="eastAsia"/>
          <w:color w:val="auto"/>
          <w:highlight w:val="none"/>
        </w:rPr>
        <w:t>家，评标委员会确定为废标。</w:t>
      </w:r>
    </w:p>
    <w:p>
      <w:pPr>
        <w:wordWrap w:val="0"/>
        <w:topLinePunct/>
        <w:ind w:firstLine="472" w:firstLineChars="196"/>
        <w:rPr>
          <w:b/>
          <w:color w:val="auto"/>
          <w:highlight w:val="none"/>
        </w:rPr>
      </w:pPr>
      <w:r>
        <w:rPr>
          <w:rFonts w:hint="eastAsia"/>
          <w:b/>
          <w:color w:val="auto"/>
          <w:highlight w:val="none"/>
        </w:rPr>
        <w:t>2.投标文件的澄清</w:t>
      </w:r>
    </w:p>
    <w:p>
      <w:pPr>
        <w:wordWrap w:val="0"/>
        <w:topLinePunct/>
        <w:ind w:firstLine="480" w:firstLineChars="200"/>
        <w:rPr>
          <w:color w:val="auto"/>
          <w:highlight w:val="none"/>
        </w:rPr>
      </w:pPr>
      <w:r>
        <w:rPr>
          <w:rFonts w:hint="eastAsia"/>
          <w:color w:val="auto"/>
          <w:highlight w:val="none"/>
        </w:rPr>
        <w:t>对投标文件中含义不明确、同类问题表述不一致或者有明显文字和计算错误的内容，评标委员会可以书面形式要求投标人作出必要的澄清、说明或者纠正。投标人的澄清、说明或者补正不得超出投标文件的范围或者改变投标文件的实质性内容。</w:t>
      </w:r>
      <w:r>
        <w:rPr>
          <w:rFonts w:hint="eastAsia" w:cs="仿宋_GB2312"/>
          <w:bCs/>
          <w:color w:val="auto"/>
          <w:highlight w:val="none"/>
        </w:rPr>
        <w:t>评委会将允许修正投标文件中不构成重大偏离的、微小的、非正规的、不一致的或不规则的地方，但这些修改不能影响任何投标人相应的名次排列。</w:t>
      </w:r>
    </w:p>
    <w:p>
      <w:pPr>
        <w:wordWrap w:val="0"/>
        <w:topLinePunct/>
        <w:ind w:firstLine="472" w:firstLineChars="196"/>
        <w:rPr>
          <w:b/>
          <w:color w:val="auto"/>
          <w:highlight w:val="none"/>
        </w:rPr>
      </w:pPr>
      <w:r>
        <w:rPr>
          <w:rFonts w:hint="eastAsia"/>
          <w:b/>
          <w:color w:val="auto"/>
          <w:highlight w:val="none"/>
        </w:rPr>
        <w:t>3.投标文件的比较与评价</w:t>
      </w:r>
    </w:p>
    <w:p>
      <w:pPr>
        <w:wordWrap w:val="0"/>
        <w:topLinePunct/>
        <w:ind w:firstLine="480" w:firstLineChars="200"/>
        <w:rPr>
          <w:color w:val="auto"/>
          <w:highlight w:val="none"/>
        </w:rPr>
      </w:pPr>
      <w:r>
        <w:rPr>
          <w:rFonts w:hint="eastAsia"/>
          <w:color w:val="auto"/>
          <w:highlight w:val="none"/>
        </w:rPr>
        <w:t>评标委员会对投标文件审查结论合格的投标人进行评审。评审结束后，在电子交易平台系统上公开评审结果。</w:t>
      </w:r>
    </w:p>
    <w:p>
      <w:pPr>
        <w:wordWrap w:val="0"/>
        <w:topLinePunct/>
        <w:ind w:firstLine="472" w:firstLineChars="196"/>
        <w:rPr>
          <w:b/>
          <w:color w:val="auto"/>
          <w:highlight w:val="none"/>
        </w:rPr>
      </w:pPr>
      <w:r>
        <w:rPr>
          <w:rFonts w:hint="eastAsia"/>
          <w:b/>
          <w:color w:val="auto"/>
          <w:highlight w:val="none"/>
        </w:rPr>
        <w:t>4.推荐中标候选人与编写评标报告</w:t>
      </w:r>
    </w:p>
    <w:p>
      <w:pPr>
        <w:wordWrap w:val="0"/>
        <w:topLinePunct/>
        <w:ind w:firstLine="480" w:firstLineChars="200"/>
        <w:rPr>
          <w:color w:val="auto"/>
          <w:highlight w:val="none"/>
        </w:rPr>
      </w:pPr>
      <w:r>
        <w:rPr>
          <w:rFonts w:hint="eastAsia"/>
          <w:color w:val="auto"/>
          <w:highlight w:val="none"/>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pPr>
        <w:topLinePunct/>
        <w:jc w:val="center"/>
        <w:outlineLvl w:val="0"/>
        <w:rPr>
          <w:b/>
          <w:bCs/>
          <w:color w:val="auto"/>
          <w:sz w:val="32"/>
          <w:szCs w:val="32"/>
          <w:highlight w:val="none"/>
        </w:rPr>
      </w:pPr>
      <w:r>
        <w:rPr>
          <w:rFonts w:hint="eastAsia"/>
          <w:b/>
          <w:bCs/>
          <w:color w:val="auto"/>
          <w:sz w:val="32"/>
          <w:szCs w:val="32"/>
          <w:highlight w:val="none"/>
        </w:rPr>
        <w:t>六、无效的投标</w:t>
      </w:r>
    </w:p>
    <w:p>
      <w:pPr>
        <w:wordWrap w:val="0"/>
        <w:topLinePunct/>
        <w:ind w:firstLine="482" w:firstLineChars="200"/>
        <w:outlineLvl w:val="0"/>
        <w:rPr>
          <w:rFonts w:cs="仿宋_GB2312"/>
          <w:b/>
          <w:color w:val="auto"/>
          <w:kern w:val="0"/>
          <w:highlight w:val="none"/>
        </w:rPr>
      </w:pPr>
      <w:r>
        <w:rPr>
          <w:rFonts w:hint="eastAsia" w:cs="仿宋_GB2312"/>
          <w:b/>
          <w:color w:val="auto"/>
          <w:kern w:val="0"/>
          <w:highlight w:val="none"/>
        </w:rPr>
        <w:t>发生下列情况之一的投标文件被视为无效：</w:t>
      </w:r>
    </w:p>
    <w:p>
      <w:pPr>
        <w:wordWrap w:val="0"/>
        <w:topLinePunct/>
        <w:ind w:firstLine="480" w:firstLineChars="200"/>
        <w:outlineLvl w:val="0"/>
        <w:rPr>
          <w:rFonts w:cs="仿宋_GB2312"/>
          <w:color w:val="auto"/>
          <w:kern w:val="0"/>
          <w:highlight w:val="none"/>
        </w:rPr>
      </w:pPr>
      <w:r>
        <w:rPr>
          <w:rFonts w:hint="eastAsia" w:cs="仿宋_GB2312"/>
          <w:color w:val="auto"/>
          <w:kern w:val="0"/>
          <w:highlight w:val="none"/>
        </w:rPr>
        <w:t>（一）投标截止时间前未传输递交电子投标文件的；</w:t>
      </w:r>
    </w:p>
    <w:p>
      <w:pPr>
        <w:wordWrap w:val="0"/>
        <w:topLinePunct/>
        <w:ind w:firstLine="480" w:firstLineChars="200"/>
        <w:outlineLvl w:val="0"/>
        <w:rPr>
          <w:rFonts w:cs="仿宋_GB2312"/>
          <w:color w:val="auto"/>
          <w:kern w:val="0"/>
          <w:highlight w:val="none"/>
        </w:rPr>
      </w:pPr>
      <w:r>
        <w:rPr>
          <w:rFonts w:hint="eastAsia" w:cs="仿宋_GB2312"/>
          <w:color w:val="auto"/>
          <w:kern w:val="0"/>
          <w:highlight w:val="none"/>
        </w:rPr>
        <w:t>（二）投标文件组成漏项或未按规定的格式编制，内容不全或内容字迹模糊辨认不清影响评标的；</w:t>
      </w:r>
    </w:p>
    <w:p>
      <w:pPr>
        <w:wordWrap w:val="0"/>
        <w:topLinePunct/>
        <w:ind w:firstLine="480" w:firstLineChars="200"/>
        <w:outlineLvl w:val="0"/>
        <w:rPr>
          <w:rFonts w:cs="仿宋_GB2312"/>
          <w:color w:val="auto"/>
          <w:kern w:val="0"/>
          <w:highlight w:val="none"/>
        </w:rPr>
      </w:pPr>
      <w:r>
        <w:rPr>
          <w:rFonts w:hint="eastAsia" w:cs="仿宋_GB2312"/>
          <w:color w:val="auto"/>
          <w:kern w:val="0"/>
          <w:highlight w:val="none"/>
        </w:rPr>
        <w:t>（三）投标人未能通过符合性审查的：未按照招标文件要求提供有效响应文件证明材料的；</w:t>
      </w:r>
    </w:p>
    <w:p>
      <w:pPr>
        <w:wordWrap w:val="0"/>
        <w:topLinePunct/>
        <w:ind w:firstLine="480" w:firstLineChars="200"/>
        <w:outlineLvl w:val="0"/>
        <w:rPr>
          <w:rFonts w:cs="仿宋_GB2312"/>
          <w:color w:val="auto"/>
          <w:kern w:val="0"/>
          <w:highlight w:val="none"/>
        </w:rPr>
      </w:pPr>
      <w:r>
        <w:rPr>
          <w:rFonts w:hint="eastAsia" w:cs="仿宋_GB2312"/>
          <w:color w:val="auto"/>
          <w:kern w:val="0"/>
          <w:highlight w:val="none"/>
        </w:rPr>
        <w:t>（四）不符合浙江省市场利率定价自律机制会议要求的利率范围的；</w:t>
      </w:r>
    </w:p>
    <w:p>
      <w:pPr>
        <w:wordWrap w:val="0"/>
        <w:topLinePunct/>
        <w:ind w:firstLine="480" w:firstLineChars="200"/>
        <w:outlineLvl w:val="0"/>
        <w:rPr>
          <w:rFonts w:cs="仿宋_GB2312"/>
          <w:color w:val="auto"/>
          <w:kern w:val="0"/>
          <w:highlight w:val="none"/>
        </w:rPr>
      </w:pPr>
      <w:r>
        <w:rPr>
          <w:rFonts w:hint="eastAsia" w:cs="仿宋_GB2312"/>
          <w:color w:val="auto"/>
          <w:kern w:val="0"/>
          <w:highlight w:val="none"/>
        </w:rPr>
        <w:t>（五）未按规定出具廉政承诺书。竞标银行竞标时，应当按要求出具廉政承诺书（格式见附件），承诺不得向单位领导以及相关业务部门负责人输送任何利益，不得将资金存放与上述人员在本竞标单位的配偶、子女及其配偶以及其他特定关系人的业绩、收入挂钩。</w:t>
      </w:r>
    </w:p>
    <w:p>
      <w:pPr>
        <w:wordWrap w:val="0"/>
        <w:topLinePunct/>
        <w:ind w:firstLine="480" w:firstLineChars="200"/>
        <w:outlineLvl w:val="0"/>
        <w:rPr>
          <w:rFonts w:cs="仿宋_GB2312"/>
          <w:color w:val="auto"/>
          <w:kern w:val="0"/>
          <w:highlight w:val="none"/>
        </w:rPr>
      </w:pPr>
      <w:r>
        <w:rPr>
          <w:rFonts w:hint="eastAsia" w:cs="仿宋_GB2312"/>
          <w:color w:val="auto"/>
          <w:kern w:val="0"/>
          <w:highlight w:val="none"/>
        </w:rPr>
        <w:t>（六）递交两个或多个内容不同的投标方案的，或投标报价有选择性的；</w:t>
      </w:r>
    </w:p>
    <w:p>
      <w:pPr>
        <w:wordWrap w:val="0"/>
        <w:topLinePunct/>
        <w:ind w:firstLine="480" w:firstLineChars="200"/>
        <w:outlineLvl w:val="0"/>
        <w:rPr>
          <w:rFonts w:cs="仿宋_GB2312"/>
          <w:color w:val="auto"/>
          <w:kern w:val="0"/>
          <w:highlight w:val="none"/>
        </w:rPr>
      </w:pPr>
      <w:r>
        <w:rPr>
          <w:rFonts w:hint="eastAsia" w:cs="仿宋_GB2312"/>
          <w:color w:val="auto"/>
          <w:kern w:val="0"/>
          <w:highlight w:val="none"/>
        </w:rPr>
        <w:t>（七）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pPr>
        <w:wordWrap w:val="0"/>
        <w:topLinePunct/>
        <w:ind w:firstLine="480" w:firstLineChars="200"/>
        <w:outlineLvl w:val="0"/>
        <w:rPr>
          <w:rFonts w:cs="仿宋_GB2312"/>
          <w:color w:val="auto"/>
          <w:kern w:val="0"/>
          <w:highlight w:val="none"/>
        </w:rPr>
      </w:pPr>
      <w:r>
        <w:rPr>
          <w:rFonts w:hint="eastAsia" w:cs="仿宋_GB2312"/>
          <w:color w:val="auto"/>
          <w:kern w:val="0"/>
          <w:highlight w:val="none"/>
        </w:rPr>
        <w:t>（八）投标文件未按招标文件的最新澄清、修改的内容进行编制的；</w:t>
      </w:r>
    </w:p>
    <w:p>
      <w:pPr>
        <w:pStyle w:val="190"/>
        <w:wordWrap w:val="0"/>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（九）投标文件应盖而未盖公章或盖非公司公章的、未有效授权，报价一览表、</w:t>
      </w:r>
      <w:r>
        <w:rPr>
          <w:rFonts w:hint="eastAsia" w:ascii="仿宋" w:hAnsi="仿宋" w:eastAsia="仿宋" w:cs="仿宋"/>
          <w:color w:val="auto"/>
          <w:szCs w:val="24"/>
          <w:highlight w:val="none"/>
        </w:rPr>
        <w:t>法定代表人授权委托书</w:t>
      </w:r>
      <w:r>
        <w:rPr>
          <w:rFonts w:hint="eastAsia" w:ascii="仿宋" w:hAnsi="仿宋" w:eastAsia="仿宋" w:cs="仿宋_GB2312"/>
          <w:color w:val="auto"/>
          <w:kern w:val="0"/>
          <w:szCs w:val="22"/>
          <w:highlight w:val="none"/>
        </w:rPr>
        <w:t>等填写不完整或有涂改的；</w:t>
      </w:r>
    </w:p>
    <w:p>
      <w:pPr>
        <w:pStyle w:val="190"/>
        <w:wordWrap w:val="0"/>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（十）投标报价超过本项目规定限价的；</w:t>
      </w:r>
    </w:p>
    <w:p>
      <w:pPr>
        <w:pStyle w:val="190"/>
        <w:wordWrap w:val="0"/>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（十一）投标人提供虚假材料投标的（包括但不限于以下情节）：</w:t>
      </w:r>
    </w:p>
    <w:p>
      <w:pPr>
        <w:pStyle w:val="190"/>
        <w:spacing w:before="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1.使用伪造、变造的许可证件的；</w:t>
      </w:r>
    </w:p>
    <w:p>
      <w:pPr>
        <w:pStyle w:val="190"/>
        <w:spacing w:before="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2.提供虚假的财务状况或者业绩的；</w:t>
      </w:r>
    </w:p>
    <w:p>
      <w:pPr>
        <w:pStyle w:val="190"/>
        <w:spacing w:before="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3.提供虚假的项目负责人或者主要技术人员简历、劳动关系证明的；</w:t>
      </w:r>
    </w:p>
    <w:p>
      <w:pPr>
        <w:pStyle w:val="190"/>
        <w:spacing w:before="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4.提供虚假的信用状况的；</w:t>
      </w:r>
    </w:p>
    <w:p>
      <w:pPr>
        <w:pStyle w:val="190"/>
        <w:spacing w:before="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5.其他弄虚作假的行为的。</w:t>
      </w:r>
    </w:p>
    <w:p>
      <w:pPr>
        <w:pStyle w:val="190"/>
        <w:wordWrap w:val="0"/>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（十二）投标人有串通投标、弄虚作假、行贿等违法违规行为；</w:t>
      </w:r>
    </w:p>
    <w:p>
      <w:pPr>
        <w:pStyle w:val="190"/>
        <w:wordWrap w:val="0"/>
        <w:topLinePunct/>
        <w:spacing w:before="0"/>
        <w:ind w:firstLine="480"/>
        <w:jc w:val="both"/>
        <w:outlineLvl w:val="0"/>
        <w:rPr>
          <w:rFonts w:ascii="仿宋" w:hAnsi="仿宋" w:eastAsia="仿宋" w:cs="仿宋"/>
          <w:b/>
          <w:bCs/>
          <w:color w:val="auto"/>
          <w:szCs w:val="24"/>
          <w:highlight w:val="none"/>
          <w:u w:val="double"/>
        </w:rPr>
      </w:pPr>
      <w:r>
        <w:rPr>
          <w:rFonts w:hint="eastAsia" w:ascii="仿宋" w:hAnsi="仿宋" w:eastAsia="仿宋" w:cs="仿宋"/>
          <w:color w:val="auto"/>
          <w:kern w:val="0"/>
          <w:szCs w:val="22"/>
          <w:highlight w:val="none"/>
        </w:rPr>
        <w:t>（十三）招</w:t>
      </w:r>
      <w:r>
        <w:rPr>
          <w:rFonts w:hint="eastAsia" w:ascii="仿宋" w:hAnsi="仿宋" w:eastAsia="仿宋" w:cs="仿宋"/>
          <w:color w:val="auto"/>
          <w:kern w:val="0"/>
          <w:highlight w:val="none"/>
        </w:rPr>
        <w:t>标文件有其他规定为无效投标情形的；</w:t>
      </w:r>
    </w:p>
    <w:p>
      <w:pPr>
        <w:wordWrap w:val="0"/>
        <w:topLinePunct/>
        <w:ind w:firstLine="480" w:firstLineChars="200"/>
        <w:outlineLvl w:val="0"/>
        <w:rPr>
          <w:color w:val="auto"/>
          <w:kern w:val="0"/>
          <w:highlight w:val="none"/>
        </w:rPr>
      </w:pPr>
      <w:r>
        <w:rPr>
          <w:rFonts w:hint="eastAsia"/>
          <w:color w:val="auto"/>
          <w:kern w:val="0"/>
          <w:highlight w:val="none"/>
        </w:rPr>
        <w:t>（十四）出现影响采购公正的违法违规行为；</w:t>
      </w:r>
    </w:p>
    <w:p>
      <w:pPr>
        <w:wordWrap w:val="0"/>
        <w:topLinePunct/>
        <w:ind w:firstLine="480" w:firstLineChars="200"/>
        <w:outlineLvl w:val="0"/>
        <w:rPr>
          <w:color w:val="auto"/>
          <w:kern w:val="0"/>
          <w:highlight w:val="none"/>
        </w:rPr>
      </w:pPr>
      <w:r>
        <w:rPr>
          <w:rFonts w:hint="eastAsia"/>
          <w:color w:val="auto"/>
          <w:kern w:val="0"/>
          <w:highlight w:val="none"/>
        </w:rPr>
        <w:t>（十五）投标文件含有招标人不能接受的附加条件的；</w:t>
      </w:r>
    </w:p>
    <w:p>
      <w:pPr>
        <w:wordWrap w:val="0"/>
        <w:topLinePunct/>
        <w:ind w:firstLine="480" w:firstLineChars="200"/>
        <w:outlineLvl w:val="0"/>
        <w:rPr>
          <w:color w:val="auto"/>
          <w:kern w:val="0"/>
          <w:highlight w:val="none"/>
        </w:rPr>
      </w:pPr>
      <w:r>
        <w:rPr>
          <w:rFonts w:hint="eastAsia"/>
          <w:color w:val="auto"/>
          <w:kern w:val="0"/>
          <w:highlight w:val="none"/>
        </w:rPr>
        <w:t>（十六）不符合法律、法规和本招标文件规定的其他实质性要求的。</w:t>
      </w:r>
    </w:p>
    <w:p>
      <w:pPr>
        <w:wordWrap w:val="0"/>
        <w:topLinePunct/>
        <w:jc w:val="center"/>
        <w:rPr>
          <w:b/>
          <w:bCs/>
          <w:color w:val="auto"/>
          <w:sz w:val="32"/>
          <w:szCs w:val="32"/>
          <w:highlight w:val="none"/>
        </w:rPr>
      </w:pPr>
      <w:r>
        <w:rPr>
          <w:rFonts w:hint="eastAsia"/>
          <w:b/>
          <w:bCs/>
          <w:color w:val="auto"/>
          <w:sz w:val="32"/>
          <w:szCs w:val="32"/>
          <w:highlight w:val="none"/>
        </w:rPr>
        <w:t>七.电子交易活动的中止</w:t>
      </w:r>
    </w:p>
    <w:p>
      <w:pPr>
        <w:wordWrap w:val="0"/>
        <w:topLinePunct/>
        <w:ind w:firstLine="480" w:firstLineChars="200"/>
        <w:outlineLvl w:val="0"/>
        <w:rPr>
          <w:color w:val="auto"/>
          <w:highlight w:val="none"/>
        </w:rPr>
      </w:pPr>
      <w:r>
        <w:rPr>
          <w:rFonts w:hint="eastAsia"/>
          <w:color w:val="auto"/>
          <w:highlight w:val="none"/>
        </w:rPr>
        <w:t>招标过程中出现以下情形，导致电子交易平台无法正常运行，或者无法保证电子交易的公平、公正和安全时，招标代理机构可中止电子交易活动：</w:t>
      </w:r>
    </w:p>
    <w:p>
      <w:pPr>
        <w:wordWrap w:val="0"/>
        <w:topLinePunct/>
        <w:ind w:firstLine="480" w:firstLineChars="200"/>
        <w:outlineLvl w:val="0"/>
        <w:rPr>
          <w:color w:val="auto"/>
          <w:highlight w:val="none"/>
        </w:rPr>
      </w:pPr>
      <w:r>
        <w:rPr>
          <w:rFonts w:hint="eastAsia"/>
          <w:color w:val="auto"/>
          <w:highlight w:val="none"/>
        </w:rPr>
        <w:t xml:space="preserve">（一）电子交易平台发生故障而无法登录访问的； </w:t>
      </w:r>
    </w:p>
    <w:p>
      <w:pPr>
        <w:wordWrap w:val="0"/>
        <w:topLinePunct/>
        <w:ind w:firstLine="480" w:firstLineChars="200"/>
        <w:outlineLvl w:val="0"/>
        <w:rPr>
          <w:color w:val="auto"/>
          <w:highlight w:val="none"/>
        </w:rPr>
      </w:pPr>
      <w:r>
        <w:rPr>
          <w:rFonts w:hint="eastAsia"/>
          <w:color w:val="auto"/>
          <w:highlight w:val="none"/>
        </w:rPr>
        <w:t>（二）电子交易平台应用或数据库出现错误，不能进行正常操作的；</w:t>
      </w:r>
    </w:p>
    <w:p>
      <w:pPr>
        <w:wordWrap w:val="0"/>
        <w:topLinePunct/>
        <w:ind w:firstLine="480" w:firstLineChars="200"/>
        <w:outlineLvl w:val="0"/>
        <w:rPr>
          <w:color w:val="auto"/>
          <w:highlight w:val="none"/>
        </w:rPr>
      </w:pPr>
      <w:r>
        <w:rPr>
          <w:rFonts w:hint="eastAsia"/>
          <w:color w:val="auto"/>
          <w:highlight w:val="none"/>
        </w:rPr>
        <w:t>（三）电子交易平台发现严重安全漏洞，有潜在泄密危险的；</w:t>
      </w:r>
    </w:p>
    <w:p>
      <w:pPr>
        <w:wordWrap w:val="0"/>
        <w:topLinePunct/>
        <w:ind w:firstLine="480" w:firstLineChars="200"/>
        <w:outlineLvl w:val="0"/>
        <w:rPr>
          <w:color w:val="auto"/>
          <w:highlight w:val="none"/>
        </w:rPr>
      </w:pPr>
      <w:r>
        <w:rPr>
          <w:rFonts w:hint="eastAsia"/>
          <w:color w:val="auto"/>
          <w:highlight w:val="none"/>
        </w:rPr>
        <w:t xml:space="preserve">（四）病毒发作导致不能进行正常操作的； </w:t>
      </w:r>
    </w:p>
    <w:p>
      <w:pPr>
        <w:wordWrap w:val="0"/>
        <w:topLinePunct/>
        <w:ind w:firstLine="480" w:firstLineChars="200"/>
        <w:outlineLvl w:val="0"/>
        <w:rPr>
          <w:color w:val="auto"/>
          <w:highlight w:val="none"/>
        </w:rPr>
      </w:pPr>
      <w:r>
        <w:rPr>
          <w:rFonts w:hint="eastAsia"/>
          <w:color w:val="auto"/>
          <w:highlight w:val="none"/>
        </w:rPr>
        <w:t>（五）其他无法保证电子交易的公平、公正和安全的情况。</w:t>
      </w:r>
    </w:p>
    <w:p>
      <w:pPr>
        <w:pStyle w:val="2"/>
        <w:keepNext w:val="0"/>
        <w:keepLines w:val="0"/>
        <w:topLinePunct/>
        <w:spacing w:before="0" w:after="0" w:line="360" w:lineRule="auto"/>
        <w:ind w:left="0" w:firstLine="480" w:firstLineChars="200"/>
        <w:jc w:val="both"/>
        <w:rPr>
          <w:b w:val="0"/>
          <w:bCs w:val="0"/>
          <w:color w:val="auto"/>
          <w:sz w:val="24"/>
          <w:szCs w:val="24"/>
          <w:highlight w:val="none"/>
        </w:rPr>
      </w:pPr>
      <w:r>
        <w:rPr>
          <w:rFonts w:hint="eastAsia"/>
          <w:b w:val="0"/>
          <w:bCs w:val="0"/>
          <w:color w:val="auto"/>
          <w:sz w:val="24"/>
          <w:szCs w:val="24"/>
          <w:highlight w:val="none"/>
        </w:rPr>
        <w:t>出现以上情形，不影响采购公平、公正性的，招标代理机构可以待上述情形消除后继续</w:t>
      </w:r>
    </w:p>
    <w:p>
      <w:pPr>
        <w:pStyle w:val="2"/>
        <w:keepNext w:val="0"/>
        <w:keepLines w:val="0"/>
        <w:wordWrap w:val="0"/>
        <w:topLinePunct/>
        <w:spacing w:before="0" w:after="0" w:line="360" w:lineRule="auto"/>
        <w:ind w:left="0" w:firstLine="0"/>
        <w:jc w:val="both"/>
        <w:rPr>
          <w:b w:val="0"/>
          <w:bCs w:val="0"/>
          <w:color w:val="auto"/>
          <w:sz w:val="24"/>
          <w:szCs w:val="24"/>
          <w:highlight w:val="none"/>
        </w:rPr>
      </w:pPr>
      <w:r>
        <w:rPr>
          <w:rFonts w:hint="eastAsia"/>
          <w:b w:val="0"/>
          <w:bCs w:val="0"/>
          <w:color w:val="auto"/>
          <w:sz w:val="24"/>
          <w:szCs w:val="24"/>
          <w:highlight w:val="none"/>
        </w:rPr>
        <w:t>组织电子交易活动，也可以决定某些环节以纸质形式进行；影响或可能影响采购公平、公正</w:t>
      </w:r>
    </w:p>
    <w:p>
      <w:pPr>
        <w:pStyle w:val="2"/>
        <w:keepNext w:val="0"/>
        <w:keepLines w:val="0"/>
        <w:wordWrap w:val="0"/>
        <w:topLinePunct/>
        <w:spacing w:before="0" w:after="0" w:line="360" w:lineRule="auto"/>
        <w:ind w:left="0" w:firstLine="0"/>
        <w:jc w:val="both"/>
        <w:rPr>
          <w:b w:val="0"/>
          <w:bCs w:val="0"/>
          <w:color w:val="auto"/>
          <w:sz w:val="24"/>
          <w:szCs w:val="24"/>
          <w:highlight w:val="none"/>
        </w:rPr>
      </w:pPr>
      <w:r>
        <w:rPr>
          <w:rFonts w:hint="eastAsia"/>
          <w:b w:val="0"/>
          <w:bCs w:val="0"/>
          <w:color w:val="auto"/>
          <w:sz w:val="24"/>
          <w:szCs w:val="24"/>
          <w:highlight w:val="none"/>
        </w:rPr>
        <w:t>性的，应当重新采购。</w:t>
      </w:r>
    </w:p>
    <w:p>
      <w:pPr>
        <w:pStyle w:val="2"/>
        <w:keepNext w:val="0"/>
        <w:keepLines w:val="0"/>
        <w:topLinePunct/>
        <w:spacing w:before="0" w:after="0" w:line="360" w:lineRule="auto"/>
        <w:ind w:left="0" w:firstLine="0"/>
        <w:rPr>
          <w:color w:val="auto"/>
          <w:highlight w:val="none"/>
        </w:rPr>
      </w:pPr>
      <w:r>
        <w:rPr>
          <w:rFonts w:hint="eastAsia"/>
          <w:color w:val="auto"/>
          <w:highlight w:val="none"/>
        </w:rPr>
        <w:t>八、废标</w:t>
      </w:r>
    </w:p>
    <w:p>
      <w:pPr>
        <w:wordWrap w:val="0"/>
        <w:topLinePunct/>
        <w:ind w:firstLine="480" w:firstLineChars="200"/>
        <w:rPr>
          <w:color w:val="auto"/>
          <w:highlight w:val="none"/>
        </w:rPr>
      </w:pPr>
      <w:r>
        <w:rPr>
          <w:rFonts w:hint="eastAsia"/>
          <w:color w:val="auto"/>
          <w:highlight w:val="none"/>
        </w:rPr>
        <w:t>在采购中，出现下列情形之一的，应予废标：</w:t>
      </w:r>
    </w:p>
    <w:p>
      <w:pPr>
        <w:wordWrap w:val="0"/>
        <w:topLinePunct/>
        <w:ind w:firstLine="480" w:firstLineChars="200"/>
        <w:rPr>
          <w:color w:val="auto"/>
          <w:highlight w:val="none"/>
        </w:rPr>
      </w:pPr>
      <w:r>
        <w:rPr>
          <w:rFonts w:hint="eastAsia"/>
          <w:color w:val="auto"/>
          <w:highlight w:val="none"/>
        </w:rPr>
        <w:t>（一）符合专业条件的供应商或者对采购文件作实质响应的供应商不足</w:t>
      </w:r>
      <w:r>
        <w:rPr>
          <w:rFonts w:hint="eastAsia"/>
          <w:color w:val="auto"/>
          <w:highlight w:val="none"/>
          <w:lang w:val="en-US" w:eastAsia="zh-CN"/>
        </w:rPr>
        <w:t>三</w:t>
      </w:r>
      <w:r>
        <w:rPr>
          <w:rFonts w:hint="eastAsia"/>
          <w:color w:val="auto"/>
          <w:highlight w:val="none"/>
        </w:rPr>
        <w:t>家的；</w:t>
      </w:r>
    </w:p>
    <w:p>
      <w:pPr>
        <w:wordWrap w:val="0"/>
        <w:topLinePunct/>
        <w:ind w:firstLine="480" w:firstLineChars="200"/>
        <w:rPr>
          <w:color w:val="auto"/>
          <w:highlight w:val="none"/>
        </w:rPr>
      </w:pPr>
      <w:r>
        <w:rPr>
          <w:rFonts w:hint="eastAsia"/>
          <w:color w:val="auto"/>
          <w:highlight w:val="none"/>
        </w:rPr>
        <w:t>（二）出现影响采购公正的违法、违规行为的；</w:t>
      </w:r>
    </w:p>
    <w:p>
      <w:pPr>
        <w:wordWrap w:val="0"/>
        <w:topLinePunct/>
        <w:ind w:firstLine="480" w:firstLineChars="200"/>
        <w:rPr>
          <w:color w:val="auto"/>
          <w:highlight w:val="none"/>
        </w:rPr>
      </w:pPr>
      <w:r>
        <w:rPr>
          <w:rFonts w:hint="eastAsia"/>
          <w:color w:val="auto"/>
          <w:highlight w:val="none"/>
        </w:rPr>
        <w:t>（三）投标人的报价均超过了项目最高限价的；</w:t>
      </w:r>
    </w:p>
    <w:p>
      <w:pPr>
        <w:wordWrap w:val="0"/>
        <w:topLinePunct/>
        <w:ind w:firstLine="480" w:firstLineChars="200"/>
        <w:rPr>
          <w:color w:val="auto"/>
          <w:highlight w:val="none"/>
        </w:rPr>
      </w:pPr>
      <w:r>
        <w:rPr>
          <w:rFonts w:hint="eastAsia"/>
          <w:color w:val="auto"/>
          <w:highlight w:val="none"/>
        </w:rPr>
        <w:t>（四）因重大变故，采购任务取消的；</w:t>
      </w:r>
    </w:p>
    <w:p>
      <w:pPr>
        <w:wordWrap w:val="0"/>
        <w:topLinePunct/>
        <w:ind w:firstLine="480" w:firstLineChars="200"/>
        <w:rPr>
          <w:color w:val="auto"/>
          <w:highlight w:val="none"/>
        </w:rPr>
      </w:pPr>
      <w:r>
        <w:rPr>
          <w:rFonts w:hint="eastAsia"/>
          <w:color w:val="auto"/>
          <w:highlight w:val="none"/>
        </w:rPr>
        <w:t>废标后，招标代理机构应当将废标理由通知所有投标人。</w:t>
      </w:r>
    </w:p>
    <w:p>
      <w:pPr>
        <w:pStyle w:val="2"/>
        <w:keepNext w:val="0"/>
        <w:keepLines w:val="0"/>
        <w:topLinePunct/>
        <w:spacing w:before="0" w:after="0" w:line="360" w:lineRule="auto"/>
        <w:ind w:left="0" w:firstLine="0"/>
        <w:rPr>
          <w:color w:val="auto"/>
          <w:highlight w:val="none"/>
        </w:rPr>
      </w:pPr>
      <w:r>
        <w:rPr>
          <w:rFonts w:hint="eastAsia"/>
          <w:color w:val="auto"/>
          <w:highlight w:val="none"/>
        </w:rPr>
        <w:t>九、重新组织采购</w:t>
      </w:r>
    </w:p>
    <w:p>
      <w:pPr>
        <w:wordWrap w:val="0"/>
        <w:topLinePunct/>
        <w:ind w:firstLine="480" w:firstLineChars="200"/>
        <w:rPr>
          <w:color w:val="auto"/>
          <w:highlight w:val="none"/>
        </w:rPr>
      </w:pPr>
      <w:r>
        <w:rPr>
          <w:rFonts w:hint="eastAsia"/>
          <w:color w:val="auto"/>
          <w:highlight w:val="none"/>
        </w:rPr>
        <w:t>（一）修改招标文件，重新组织招标活动。评标委员会发现招标文件存在歧义、重大缺陷导致评标工作无法进行，或者招标文件内容违反国家有关强制性规定的，将停止评标工作，并与招标人、招标代理机构沟通并作书面记录。招标人、招标代理机构确认后，将修改招标文件，重新组织采购活动。</w:t>
      </w:r>
    </w:p>
    <w:p>
      <w:pPr>
        <w:wordWrap w:val="0"/>
        <w:topLinePunct/>
        <w:ind w:firstLine="480" w:firstLineChars="200"/>
        <w:rPr>
          <w:color w:val="auto"/>
          <w:highlight w:val="none"/>
        </w:rPr>
      </w:pPr>
      <w:r>
        <w:rPr>
          <w:rFonts w:hint="eastAsia"/>
          <w:color w:val="auto"/>
          <w:highlight w:val="none"/>
        </w:rPr>
        <w:t>（二）</w:t>
      </w:r>
      <w:r>
        <w:rPr>
          <w:rFonts w:hint="eastAsia" w:cs="仿宋_GB2312"/>
          <w:bCs/>
          <w:color w:val="auto"/>
          <w:highlight w:val="none"/>
        </w:rPr>
        <w:t>最终有效的投标人或者对招标文件作实质响应的投标人不足</w:t>
      </w:r>
      <w:r>
        <w:rPr>
          <w:rFonts w:hint="eastAsia" w:cs="仿宋_GB2312"/>
          <w:bCs/>
          <w:color w:val="auto"/>
          <w:highlight w:val="none"/>
          <w:lang w:val="en-US" w:eastAsia="zh-CN"/>
        </w:rPr>
        <w:t>三</w:t>
      </w:r>
      <w:r>
        <w:rPr>
          <w:rFonts w:hint="eastAsia" w:cs="仿宋_GB2312"/>
          <w:bCs/>
          <w:color w:val="auto"/>
          <w:highlight w:val="none"/>
        </w:rPr>
        <w:t>家的，经评标委员会确认后，重新组织招标。</w:t>
      </w:r>
    </w:p>
    <w:p>
      <w:pPr>
        <w:pStyle w:val="2"/>
        <w:keepNext w:val="0"/>
        <w:keepLines w:val="0"/>
        <w:topLinePunct/>
        <w:spacing w:before="0" w:after="0" w:line="360" w:lineRule="auto"/>
        <w:ind w:left="0" w:firstLine="0"/>
        <w:rPr>
          <w:color w:val="auto"/>
          <w:highlight w:val="none"/>
        </w:rPr>
      </w:pPr>
      <w:r>
        <w:rPr>
          <w:rFonts w:hint="eastAsia"/>
          <w:color w:val="auto"/>
          <w:highlight w:val="none"/>
        </w:rPr>
        <w:t>十、定标</w:t>
      </w:r>
    </w:p>
    <w:p>
      <w:pPr>
        <w:wordWrap w:val="0"/>
        <w:topLinePunct/>
        <w:ind w:firstLine="480" w:firstLineChars="200"/>
        <w:rPr>
          <w:color w:val="auto"/>
          <w:highlight w:val="none"/>
        </w:rPr>
      </w:pPr>
      <w:r>
        <w:rPr>
          <w:rFonts w:hint="eastAsia"/>
          <w:color w:val="auto"/>
          <w:highlight w:val="none"/>
        </w:rPr>
        <w:t>（一）</w:t>
      </w:r>
      <w:r>
        <w:rPr>
          <w:rFonts w:hint="eastAsia"/>
          <w:highlight w:val="none"/>
        </w:rPr>
        <w:t>本项目由评标委员会根据招标文件和有关规定推荐中标候选人，</w:t>
      </w:r>
      <w:r>
        <w:rPr>
          <w:rFonts w:hint="eastAsia"/>
          <w:bCs/>
          <w:highlight w:val="none"/>
        </w:rPr>
        <w:t>评标委员会首先对所有合格投标人按第三章中“评标方法”相关标准进行打分，</w:t>
      </w:r>
      <w:r>
        <w:rPr>
          <w:rFonts w:hint="eastAsia"/>
          <w:spacing w:val="-6"/>
          <w:highlight w:val="none"/>
        </w:rPr>
        <w:t>最终按总得分由高到低排序确定中标单位（如总得分相同，按投标人技术文件得分由高到低顺序排列；如总得分及技术文件得分相同时，按投标人商务文件得分由高到低顺序排列；如总得分、技术文件得分及商务文件得分均相同时，抽签确定中标人），并形成评标意见。</w:t>
      </w:r>
    </w:p>
    <w:p>
      <w:pPr>
        <w:wordWrap w:val="0"/>
        <w:topLinePunct/>
        <w:ind w:firstLine="480" w:firstLineChars="200"/>
        <w:rPr>
          <w:color w:val="auto"/>
          <w:highlight w:val="none"/>
        </w:rPr>
      </w:pPr>
      <w:r>
        <w:rPr>
          <w:rFonts w:hint="eastAsia"/>
          <w:color w:val="auto"/>
          <w:highlight w:val="none"/>
        </w:rPr>
        <w:t>（二）本项目由评标委员会根据招标文件和有关规定推荐中标候选人，采购结果由招标人代表签字确认。招标人自收到评审报告之日起5个工作日内，将通过电子交易平台在评审报告推荐的中标候选人中按顺序确定中标人。</w:t>
      </w:r>
    </w:p>
    <w:p>
      <w:pPr>
        <w:wordWrap w:val="0"/>
        <w:topLinePunct/>
        <w:ind w:firstLine="480" w:firstLineChars="200"/>
        <w:rPr>
          <w:color w:val="auto"/>
          <w:highlight w:val="none"/>
        </w:rPr>
      </w:pPr>
      <w:r>
        <w:rPr>
          <w:rFonts w:hint="eastAsia"/>
          <w:color w:val="auto"/>
          <w:highlight w:val="none"/>
        </w:rPr>
        <w:t>（三）自中标人确定之日起2个工作日内，招标代理机构通过纸质形式或电子交易平台向中标人发出中标通知书，同时在浙江省政府采购网、</w:t>
      </w:r>
      <w:r>
        <w:rPr>
          <w:rFonts w:hint="eastAsia" w:cs="Arial"/>
          <w:color w:val="auto"/>
          <w:highlight w:val="none"/>
        </w:rPr>
        <w:t>杭州市富阳区人民政府网</w:t>
      </w:r>
      <w:r>
        <w:rPr>
          <w:rFonts w:hint="eastAsia"/>
          <w:color w:val="auto"/>
          <w:highlight w:val="none"/>
        </w:rPr>
        <w:t>发布采购结果公告，中标结果公告内容包括招标人及其委托的招标代理机构的名称、地址、联系方式，项目名称和项目编号，中标人名称、地址和中标金额，主要中标标的服务要求，中标公告期限。公告期限为3个工作日。</w:t>
      </w:r>
      <w:r>
        <w:rPr>
          <w:rFonts w:hint="eastAsia" w:cs="仿宋_GB2312"/>
          <w:bCs/>
          <w:color w:val="auto"/>
          <w:highlight w:val="none"/>
        </w:rPr>
        <w:t>招标人对中标结果不负责解释。</w:t>
      </w:r>
    </w:p>
    <w:p>
      <w:pPr>
        <w:wordWrap w:val="0"/>
        <w:topLinePunct/>
        <w:ind w:firstLine="480" w:firstLineChars="200"/>
        <w:rPr>
          <w:color w:val="auto"/>
          <w:highlight w:val="none"/>
        </w:rPr>
      </w:pPr>
      <w:r>
        <w:rPr>
          <w:rFonts w:hint="eastAsia"/>
          <w:color w:val="auto"/>
          <w:highlight w:val="none"/>
        </w:rPr>
        <w:t>（四）</w:t>
      </w:r>
      <w:r>
        <w:rPr>
          <w:rFonts w:hint="eastAsia" w:cs="仿宋_GB2312"/>
          <w:color w:val="auto"/>
          <w:highlight w:val="none"/>
        </w:rPr>
        <w:t>在招标人发出中标通知书前，中标候选人有违反有关法律法规和本项目要求行为的，则取消其预中标资格，并根据评标委员会推荐的中标候选人先后顺序，将下一顺序单位作为中标公示单位，或由招标人组织评标委员会复议后提出重新组织招标等建议。</w:t>
      </w:r>
    </w:p>
    <w:p>
      <w:pPr>
        <w:wordWrap w:val="0"/>
        <w:topLinePunct/>
        <w:ind w:firstLine="480" w:firstLineChars="200"/>
        <w:rPr>
          <w:rFonts w:cs="仿宋_GB2312"/>
          <w:color w:val="auto"/>
          <w:spacing w:val="-6"/>
          <w:highlight w:val="none"/>
        </w:rPr>
      </w:pPr>
      <w:r>
        <w:rPr>
          <w:rFonts w:hint="eastAsia"/>
          <w:color w:val="auto"/>
          <w:highlight w:val="none"/>
        </w:rPr>
        <w:t>（五）中标公示期内无异议后，由招标人向中标人签发中标通知书，</w:t>
      </w:r>
      <w:r>
        <w:rPr>
          <w:rFonts w:hint="eastAsia" w:cs="仿宋_GB2312"/>
          <w:color w:val="auto"/>
          <w:spacing w:val="-6"/>
          <w:highlight w:val="none"/>
        </w:rPr>
        <w:t>投标人全部接受合同条件并签订合同后，中标通知书亦成为合同的组成部分。</w:t>
      </w:r>
      <w:r>
        <w:rPr>
          <w:rFonts w:hint="eastAsia"/>
          <w:color w:val="auto"/>
          <w:highlight w:val="none"/>
        </w:rPr>
        <w:t>中标通知书对招标人和中标人具有同等法律效力。</w:t>
      </w:r>
    </w:p>
    <w:p>
      <w:pPr>
        <w:wordWrap w:val="0"/>
        <w:topLinePunct/>
        <w:ind w:firstLine="456" w:firstLineChars="200"/>
        <w:rPr>
          <w:rFonts w:hint="eastAsia"/>
          <w:color w:val="auto"/>
          <w:highlight w:val="none"/>
        </w:rPr>
      </w:pPr>
      <w:r>
        <w:rPr>
          <w:rFonts w:hint="eastAsia" w:cs="仿宋_GB2312"/>
          <w:color w:val="auto"/>
          <w:spacing w:val="-6"/>
          <w:highlight w:val="none"/>
        </w:rPr>
        <w:t>（六）</w:t>
      </w:r>
      <w:r>
        <w:rPr>
          <w:rFonts w:hint="eastAsia"/>
          <w:color w:val="auto"/>
          <w:highlight w:val="none"/>
        </w:rPr>
        <w:t>中标通知书发出后，</w:t>
      </w:r>
      <w:r>
        <w:rPr>
          <w:rFonts w:hint="eastAsia" w:cs="仿宋_GB2312"/>
          <w:color w:val="auto"/>
          <w:highlight w:val="none"/>
        </w:rPr>
        <w:t>如中标人拒绝承担中标的项目，或提出招标人不能接受的条件，致使合同无法签订，招标人将取消其中标资格并承担相应法律责任，并根据评标委员会推荐的中标候选人先后顺序，将下一顺序单位作为预中标公示单位，或由招标人组织评标委员会</w:t>
      </w:r>
      <w:r>
        <w:rPr>
          <w:rFonts w:hint="eastAsia"/>
          <w:color w:val="auto"/>
          <w:highlight w:val="none"/>
        </w:rPr>
        <w:t>复议后提出重新组织招标等建议。</w:t>
      </w:r>
    </w:p>
    <w:p>
      <w:pPr>
        <w:pStyle w:val="2"/>
        <w:keepNext w:val="0"/>
        <w:keepLines w:val="0"/>
        <w:topLinePunct/>
        <w:spacing w:before="0" w:after="0" w:line="360" w:lineRule="auto"/>
        <w:ind w:left="0" w:firstLine="0"/>
        <w:rPr>
          <w:color w:val="auto"/>
          <w:highlight w:val="none"/>
        </w:rPr>
      </w:pPr>
      <w:r>
        <w:rPr>
          <w:rFonts w:hint="eastAsia"/>
          <w:color w:val="auto"/>
          <w:highlight w:val="none"/>
        </w:rPr>
        <w:t>十一、合同签订及其他</w:t>
      </w:r>
    </w:p>
    <w:p>
      <w:pPr>
        <w:wordWrap w:val="0"/>
        <w:topLinePunct/>
        <w:ind w:firstLine="482" w:firstLineChars="200"/>
        <w:rPr>
          <w:color w:val="auto"/>
          <w:highlight w:val="none"/>
        </w:rPr>
      </w:pPr>
      <w:r>
        <w:rPr>
          <w:rFonts w:hint="eastAsia"/>
          <w:b/>
          <w:bCs/>
          <w:color w:val="auto"/>
          <w:highlight w:val="none"/>
        </w:rPr>
        <w:t>（一）签订合同</w:t>
      </w:r>
    </w:p>
    <w:p>
      <w:pPr>
        <w:wordWrap w:val="0"/>
        <w:topLinePunct/>
        <w:ind w:firstLine="480" w:firstLineChars="200"/>
        <w:rPr>
          <w:color w:val="auto"/>
          <w:highlight w:val="none"/>
        </w:rPr>
      </w:pPr>
      <w:r>
        <w:rPr>
          <w:rFonts w:hint="eastAsia"/>
          <w:color w:val="auto"/>
          <w:highlight w:val="none"/>
        </w:rPr>
        <w:t>1.招标人与中标人应当在《中标通知书》发出之日起5个工作日内按照招标文件及投标文件确定的事项签订合同</w:t>
      </w:r>
      <w:r>
        <w:rPr>
          <w:rFonts w:hint="eastAsia" w:cs="仿宋_GB2312"/>
          <w:color w:val="auto"/>
          <w:highlight w:val="none"/>
        </w:rPr>
        <w:t>并办理具体事宜</w:t>
      </w:r>
      <w:r>
        <w:rPr>
          <w:rFonts w:hint="eastAsia"/>
          <w:color w:val="auto"/>
          <w:highlight w:val="none"/>
        </w:rPr>
        <w:t>。</w:t>
      </w:r>
    </w:p>
    <w:p>
      <w:pPr>
        <w:wordWrap w:val="0"/>
        <w:topLinePunct/>
        <w:ind w:firstLine="480" w:firstLineChars="200"/>
        <w:rPr>
          <w:color w:val="auto"/>
          <w:highlight w:val="none"/>
        </w:rPr>
      </w:pPr>
      <w:r>
        <w:rPr>
          <w:rFonts w:hint="eastAsia"/>
          <w:color w:val="auto"/>
          <w:highlight w:val="none"/>
        </w:rPr>
        <w:t>2.招标文件、中标人的投标文件、澄清文件及中标通知书等，均为签订合同的依据。</w:t>
      </w:r>
    </w:p>
    <w:p>
      <w:pPr>
        <w:wordWrap w:val="0"/>
        <w:topLinePunct/>
        <w:ind w:firstLine="480" w:firstLineChars="200"/>
        <w:rPr>
          <w:color w:val="auto"/>
          <w:highlight w:val="none"/>
        </w:rPr>
      </w:pPr>
      <w:r>
        <w:rPr>
          <w:rFonts w:hint="eastAsia"/>
          <w:color w:val="auto"/>
          <w:highlight w:val="none"/>
        </w:rPr>
        <w:t>3.中标人拖延、拒签合同的，或提出招标人不能接受的条件，致使合同无法签订，除按照合同条款处理外，招标人将书面报告财政部门。招标人将取消其中标资格，按照评审报告推荐的中标或者成交候选人名单排序，确定下一次序中标候选人签订合同或另行组织采购，也可以重新开展招标活动。</w:t>
      </w:r>
    </w:p>
    <w:p>
      <w:pPr>
        <w:pStyle w:val="1025"/>
        <w:shd w:val="clear" w:color="auto" w:fill="FFFFFF"/>
        <w:wordWrap w:val="0"/>
        <w:topLinePunct/>
        <w:spacing w:before="0" w:beforeAutospacing="0" w:after="0" w:afterAutospacing="0"/>
        <w:ind w:firstLine="480" w:firstLineChars="200"/>
        <w:contextualSpacing/>
        <w:rPr>
          <w:rFonts w:ascii="仿宋" w:hAnsi="仿宋" w:cs="仿宋"/>
          <w:color w:val="auto"/>
          <w:kern w:val="2"/>
          <w:szCs w:val="22"/>
          <w:highlight w:val="none"/>
        </w:rPr>
        <w:sectPr>
          <w:headerReference r:id="rId5" w:type="default"/>
          <w:footerReference r:id="rId6" w:type="default"/>
          <w:pgSz w:w="11906" w:h="16838"/>
          <w:pgMar w:top="1418" w:right="1133" w:bottom="1418" w:left="1134" w:header="851" w:footer="992" w:gutter="0"/>
          <w:cols w:space="720" w:num="1"/>
          <w:docGrid w:type="lines" w:linePitch="312" w:charSpace="0"/>
        </w:sectPr>
      </w:pPr>
    </w:p>
    <w:p>
      <w:pPr>
        <w:pStyle w:val="5"/>
        <w:rPr>
          <w:color w:val="auto"/>
          <w:highlight w:val="none"/>
        </w:rPr>
      </w:pPr>
      <w:bookmarkStart w:id="5" w:name="_Toc830167605"/>
      <w:r>
        <w:rPr>
          <w:rFonts w:hint="eastAsia"/>
          <w:color w:val="auto"/>
          <w:highlight w:val="none"/>
        </w:rPr>
        <w:t>第三章  评标办法及评分标准</w:t>
      </w:r>
      <w:bookmarkEnd w:id="5"/>
    </w:p>
    <w:p>
      <w:pPr>
        <w:pStyle w:val="22"/>
        <w:wordWrap w:val="0"/>
        <w:topLinePunct/>
        <w:snapToGrid w:val="0"/>
        <w:ind w:firstLine="482" w:firstLineChars="200"/>
        <w:rPr>
          <w:b/>
          <w:color w:val="auto"/>
          <w:szCs w:val="24"/>
          <w:highlight w:val="none"/>
        </w:rPr>
      </w:pPr>
      <w:r>
        <w:rPr>
          <w:rFonts w:hint="eastAsia"/>
          <w:b/>
          <w:color w:val="auto"/>
          <w:szCs w:val="24"/>
          <w:highlight w:val="none"/>
        </w:rPr>
        <w:t>一、评分指标：</w:t>
      </w:r>
    </w:p>
    <w:p>
      <w:pPr>
        <w:pStyle w:val="22"/>
        <w:snapToGrid w:val="0"/>
        <w:ind w:firstLineChars="175"/>
        <w:rPr>
          <w:rFonts w:hint="eastAsia"/>
          <w:color w:val="auto"/>
          <w:highlight w:val="none"/>
        </w:rPr>
      </w:pPr>
      <w:r>
        <w:rPr>
          <w:rFonts w:hint="eastAsia"/>
          <w:color w:val="auto"/>
          <w:highlight w:val="none"/>
        </w:rPr>
        <w:t>本项目均采用综合评分法评标委员会将对各投标人的投标文件和投标人的经营状况、服务水平、经济发展贡献、利率水平等指标进行综合评审，满分为100分（评标委员会先对每个有效投标人的投标文件独立进行评价及打分，计算各评标委员会最终得分后取平均值，作为投标单位综合得分）。最终按总得分由高到低排序确定中标单位（如总得分相同，按投标人技术文件得分由高到低顺序排列；如总得分及技术文件得分相同时，按投标人商务文件得分由高到低顺序排列；如总得分、技术文件得分及商务文件得分均相同时，抽签确定中标人），并形成评标意见。</w:t>
      </w:r>
    </w:p>
    <w:p>
      <w:pPr>
        <w:pStyle w:val="22"/>
        <w:snapToGrid w:val="0"/>
        <w:ind w:firstLineChars="175"/>
        <w:rPr>
          <w:bCs/>
          <w:color w:val="auto"/>
          <w:szCs w:val="24"/>
          <w:highlight w:val="none"/>
        </w:rPr>
      </w:pPr>
      <w:r>
        <w:rPr>
          <w:rFonts w:hint="eastAsia"/>
          <w:color w:val="auto"/>
          <w:szCs w:val="24"/>
          <w:highlight w:val="none"/>
        </w:rPr>
        <w:t>评分过程中采用四舍五入法，</w:t>
      </w:r>
      <w:r>
        <w:rPr>
          <w:rFonts w:hint="eastAsia"/>
          <w:bCs/>
          <w:color w:val="auto"/>
          <w:szCs w:val="24"/>
          <w:highlight w:val="none"/>
        </w:rPr>
        <w:t>并保留小数2位。</w:t>
      </w:r>
    </w:p>
    <w:p>
      <w:pPr>
        <w:pStyle w:val="22"/>
        <w:wordWrap w:val="0"/>
        <w:topLinePunct/>
        <w:snapToGrid w:val="0"/>
        <w:ind w:firstLine="480" w:firstLineChars="200"/>
        <w:rPr>
          <w:rFonts w:hint="eastAsia"/>
          <w:color w:val="auto"/>
          <w:szCs w:val="24"/>
          <w:highlight w:val="none"/>
        </w:rPr>
      </w:pPr>
      <w:r>
        <w:rPr>
          <w:rFonts w:hint="eastAsia"/>
          <w:color w:val="auto"/>
          <w:szCs w:val="24"/>
          <w:highlight w:val="none"/>
        </w:rPr>
        <w:t>评分指标内容如下：</w:t>
      </w:r>
    </w:p>
    <w:tbl>
      <w:tblPr>
        <w:tblStyle w:val="1029"/>
        <w:tblW w:w="917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1"/>
        <w:gridCol w:w="1287"/>
        <w:gridCol w:w="1480"/>
        <w:gridCol w:w="3810"/>
        <w:gridCol w:w="699"/>
        <w:gridCol w:w="11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jc w:val="center"/>
        </w:trPr>
        <w:tc>
          <w:tcPr>
            <w:tcW w:w="701" w:type="dxa"/>
            <w:vAlign w:val="center"/>
          </w:tcPr>
          <w:p>
            <w:pPr>
              <w:jc w:val="center"/>
              <w:rPr>
                <w:rFonts w:hint="eastAsia"/>
                <w:b/>
                <w:bCs/>
                <w:snapToGrid w:val="0"/>
                <w:color w:val="000000"/>
                <w:kern w:val="0"/>
                <w:sz w:val="24"/>
                <w:szCs w:val="24"/>
                <w:highlight w:val="none"/>
              </w:rPr>
            </w:pPr>
            <w:bookmarkStart w:id="6" w:name="_Toc425682676"/>
            <w:r>
              <w:rPr>
                <w:rFonts w:hint="eastAsia"/>
                <w:b/>
                <w:bCs/>
                <w:snapToGrid w:val="0"/>
                <w:color w:val="000000"/>
                <w:kern w:val="0"/>
                <w:sz w:val="24"/>
                <w:szCs w:val="24"/>
                <w:highlight w:val="none"/>
              </w:rPr>
              <w:t>指标</w:t>
            </w:r>
          </w:p>
        </w:tc>
        <w:tc>
          <w:tcPr>
            <w:tcW w:w="8474" w:type="dxa"/>
            <w:gridSpan w:val="5"/>
            <w:vAlign w:val="center"/>
          </w:tcPr>
          <w:p>
            <w:pPr>
              <w:jc w:val="center"/>
              <w:rPr>
                <w:rFonts w:hint="eastAsia"/>
                <w:b/>
                <w:bCs/>
                <w:snapToGrid w:val="0"/>
                <w:color w:val="000000"/>
                <w:kern w:val="0"/>
                <w:sz w:val="24"/>
                <w:szCs w:val="24"/>
                <w:highlight w:val="none"/>
              </w:rPr>
            </w:pPr>
            <w:r>
              <w:rPr>
                <w:rFonts w:hint="eastAsia"/>
                <w:b/>
                <w:bCs/>
                <w:snapToGrid w:val="0"/>
                <w:color w:val="000000"/>
                <w:kern w:val="0"/>
                <w:sz w:val="24"/>
                <w:szCs w:val="24"/>
                <w:highlight w:val="none"/>
              </w:rPr>
              <w:t>评分指标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701" w:type="dxa"/>
            <w:vAlign w:val="center"/>
          </w:tcPr>
          <w:p>
            <w:pPr>
              <w:jc w:val="center"/>
              <w:rPr>
                <w:rFonts w:hint="eastAsia"/>
                <w:snapToGrid w:val="0"/>
                <w:color w:val="000000"/>
                <w:kern w:val="0"/>
                <w:sz w:val="24"/>
                <w:szCs w:val="24"/>
                <w:highlight w:val="none"/>
              </w:rPr>
            </w:pPr>
            <w:r>
              <w:rPr>
                <w:rFonts w:hint="eastAsia"/>
                <w:snapToGrid w:val="0"/>
                <w:color w:val="000000"/>
                <w:kern w:val="0"/>
                <w:sz w:val="24"/>
                <w:szCs w:val="24"/>
                <w:highlight w:val="none"/>
              </w:rPr>
              <w:t>类型</w:t>
            </w:r>
          </w:p>
        </w:tc>
        <w:tc>
          <w:tcPr>
            <w:tcW w:w="1287" w:type="dxa"/>
            <w:vAlign w:val="center"/>
          </w:tcPr>
          <w:p>
            <w:pPr>
              <w:jc w:val="center"/>
              <w:rPr>
                <w:rFonts w:hint="eastAsia"/>
                <w:snapToGrid w:val="0"/>
                <w:color w:val="000000"/>
                <w:kern w:val="0"/>
                <w:sz w:val="24"/>
                <w:szCs w:val="24"/>
                <w:highlight w:val="none"/>
              </w:rPr>
            </w:pPr>
            <w:r>
              <w:rPr>
                <w:rFonts w:hint="eastAsia"/>
                <w:snapToGrid w:val="0"/>
                <w:color w:val="000000"/>
                <w:kern w:val="0"/>
                <w:sz w:val="24"/>
                <w:szCs w:val="24"/>
                <w:highlight w:val="none"/>
              </w:rPr>
              <w:t>指标名称</w:t>
            </w:r>
          </w:p>
        </w:tc>
        <w:tc>
          <w:tcPr>
            <w:tcW w:w="1480" w:type="dxa"/>
            <w:vAlign w:val="center"/>
          </w:tcPr>
          <w:p>
            <w:pPr>
              <w:jc w:val="center"/>
              <w:rPr>
                <w:rFonts w:hint="eastAsia"/>
                <w:snapToGrid w:val="0"/>
                <w:color w:val="000000"/>
                <w:kern w:val="0"/>
                <w:sz w:val="24"/>
                <w:szCs w:val="24"/>
                <w:highlight w:val="none"/>
              </w:rPr>
            </w:pPr>
            <w:r>
              <w:rPr>
                <w:rFonts w:hint="eastAsia"/>
                <w:snapToGrid w:val="0"/>
                <w:color w:val="000000"/>
                <w:kern w:val="0"/>
                <w:sz w:val="24"/>
                <w:szCs w:val="24"/>
                <w:highlight w:val="none"/>
              </w:rPr>
              <w:t>具体内容</w:t>
            </w:r>
          </w:p>
        </w:tc>
        <w:tc>
          <w:tcPr>
            <w:tcW w:w="3810" w:type="dxa"/>
            <w:vAlign w:val="center"/>
          </w:tcPr>
          <w:p>
            <w:pPr>
              <w:jc w:val="center"/>
              <w:rPr>
                <w:rFonts w:hint="eastAsia"/>
                <w:snapToGrid w:val="0"/>
                <w:color w:val="000000"/>
                <w:kern w:val="0"/>
                <w:sz w:val="24"/>
                <w:szCs w:val="24"/>
                <w:highlight w:val="none"/>
              </w:rPr>
            </w:pPr>
            <w:r>
              <w:rPr>
                <w:rFonts w:hint="eastAsia"/>
                <w:snapToGrid w:val="0"/>
                <w:color w:val="000000"/>
                <w:kern w:val="0"/>
                <w:sz w:val="24"/>
                <w:szCs w:val="24"/>
                <w:highlight w:val="none"/>
              </w:rPr>
              <w:t>计分方法</w:t>
            </w:r>
          </w:p>
        </w:tc>
        <w:tc>
          <w:tcPr>
            <w:tcW w:w="699" w:type="dxa"/>
            <w:vAlign w:val="center"/>
          </w:tcPr>
          <w:p>
            <w:pPr>
              <w:jc w:val="center"/>
              <w:rPr>
                <w:rFonts w:hint="eastAsia"/>
                <w:snapToGrid w:val="0"/>
                <w:color w:val="000000"/>
                <w:kern w:val="0"/>
                <w:sz w:val="24"/>
                <w:szCs w:val="24"/>
                <w:highlight w:val="none"/>
              </w:rPr>
            </w:pPr>
            <w:r>
              <w:rPr>
                <w:rFonts w:hint="eastAsia"/>
                <w:snapToGrid w:val="0"/>
                <w:color w:val="000000"/>
                <w:kern w:val="0"/>
                <w:sz w:val="24"/>
                <w:szCs w:val="24"/>
                <w:highlight w:val="none"/>
              </w:rPr>
              <w:t>指标分值</w:t>
            </w:r>
          </w:p>
        </w:tc>
        <w:tc>
          <w:tcPr>
            <w:tcW w:w="1198" w:type="dxa"/>
            <w:vAlign w:val="center"/>
          </w:tcPr>
          <w:p>
            <w:pPr>
              <w:jc w:val="center"/>
              <w:rPr>
                <w:rFonts w:hint="eastAsia"/>
                <w:snapToGrid w:val="0"/>
                <w:color w:val="000000"/>
                <w:kern w:val="0"/>
                <w:sz w:val="24"/>
                <w:szCs w:val="24"/>
                <w:highlight w:val="none"/>
              </w:rPr>
            </w:pPr>
            <w:r>
              <w:rPr>
                <w:rFonts w:hint="eastAsia"/>
                <w:snapToGrid w:val="0"/>
                <w:color w:val="000000"/>
                <w:kern w:val="0"/>
                <w:sz w:val="24"/>
                <w:szCs w:val="24"/>
                <w:highlight w:val="none"/>
              </w:rPr>
              <w:t>指标数据提供单位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19" w:hRule="atLeast"/>
          <w:jc w:val="center"/>
        </w:trPr>
        <w:tc>
          <w:tcPr>
            <w:tcW w:w="701" w:type="dxa"/>
            <w:vMerge w:val="restart"/>
            <w:tcBorders>
              <w:bottom w:val="nil"/>
            </w:tcBorders>
            <w:vAlign w:val="center"/>
          </w:tcPr>
          <w:p>
            <w:pPr>
              <w:rPr>
                <w:rFonts w:hint="eastAsia"/>
                <w:snapToGrid w:val="0"/>
                <w:color w:val="000000"/>
                <w:kern w:val="0"/>
                <w:sz w:val="24"/>
                <w:szCs w:val="24"/>
                <w:highlight w:val="none"/>
              </w:rPr>
            </w:pPr>
            <w:r>
              <w:rPr>
                <w:rFonts w:hint="eastAsia"/>
                <w:snapToGrid w:val="0"/>
                <w:color w:val="000000"/>
                <w:kern w:val="0"/>
                <w:sz w:val="24"/>
                <w:szCs w:val="24"/>
                <w:highlight w:val="none"/>
              </w:rPr>
              <w:t>利率水平（</w:t>
            </w:r>
            <w:r>
              <w:rPr>
                <w:rFonts w:hint="eastAsia"/>
                <w:snapToGrid w:val="0"/>
                <w:color w:val="000000"/>
                <w:kern w:val="0"/>
                <w:sz w:val="24"/>
                <w:szCs w:val="24"/>
                <w:highlight w:val="none"/>
                <w:lang w:eastAsia="zh-CN"/>
              </w:rPr>
              <w:t>25</w:t>
            </w:r>
            <w:r>
              <w:rPr>
                <w:rFonts w:hint="eastAsia"/>
                <w:snapToGrid w:val="0"/>
                <w:color w:val="000000"/>
                <w:kern w:val="0"/>
                <w:sz w:val="24"/>
                <w:szCs w:val="24"/>
                <w:highlight w:val="none"/>
              </w:rPr>
              <w:t>分）</w:t>
            </w:r>
          </w:p>
        </w:tc>
        <w:tc>
          <w:tcPr>
            <w:tcW w:w="1287" w:type="dxa"/>
            <w:vAlign w:val="center"/>
          </w:tcPr>
          <w:p>
            <w:pPr>
              <w:keepNext w:val="0"/>
              <w:keepLines w:val="0"/>
              <w:widowControl/>
              <w:suppressLineNumbers w:val="0"/>
              <w:jc w:val="left"/>
              <w:textAlignment w:val="center"/>
              <w:rPr>
                <w:rFonts w:hint="eastAsia"/>
                <w:snapToGrid w:val="0"/>
                <w:color w:val="000000"/>
                <w:kern w:val="0"/>
                <w:sz w:val="24"/>
                <w:szCs w:val="24"/>
                <w:highlight w:val="none"/>
              </w:rPr>
            </w:pPr>
            <w:r>
              <w:rPr>
                <w:rFonts w:hint="eastAsia" w:ascii="仿宋" w:hAnsi="仿宋" w:eastAsia="仿宋" w:cs="仿宋"/>
                <w:i w:val="0"/>
                <w:iCs w:val="0"/>
                <w:snapToGrid w:val="0"/>
                <w:color w:val="000000"/>
                <w:kern w:val="0"/>
                <w:sz w:val="24"/>
                <w:szCs w:val="24"/>
                <w:highlight w:val="none"/>
                <w:u w:val="none"/>
                <w:lang w:val="en-US" w:eastAsia="zh-CN" w:bidi="ar"/>
              </w:rPr>
              <w:t>活期存款利率</w:t>
            </w:r>
          </w:p>
        </w:tc>
        <w:tc>
          <w:tcPr>
            <w:tcW w:w="1480" w:type="dxa"/>
            <w:vAlign w:val="center"/>
          </w:tcPr>
          <w:p>
            <w:pPr>
              <w:keepNext w:val="0"/>
              <w:keepLines w:val="0"/>
              <w:widowControl/>
              <w:suppressLineNumbers w:val="0"/>
              <w:jc w:val="left"/>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highlight w:val="none"/>
                <w:u w:val="none"/>
                <w:lang w:val="en-US" w:eastAsia="zh-CN" w:bidi="ar"/>
              </w:rPr>
              <w:t>反映竞标银行在国家相关政策规定范围内给出的活期存款利率。</w:t>
            </w:r>
          </w:p>
        </w:tc>
        <w:tc>
          <w:tcPr>
            <w:tcW w:w="3810" w:type="dxa"/>
            <w:vAlign w:val="center"/>
          </w:tcPr>
          <w:p>
            <w:pPr>
              <w:keepNext w:val="0"/>
              <w:keepLines w:val="0"/>
              <w:widowControl/>
              <w:suppressLineNumbers w:val="0"/>
              <w:jc w:val="left"/>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highlight w:val="none"/>
                <w:u w:val="none"/>
                <w:lang w:val="en-US" w:eastAsia="zh-CN" w:bidi="ar"/>
              </w:rPr>
              <w:t>活期存款利率最高的竞标银行为第1名，得满分，其他银行按与第1名的占比计分，计算公式=活期存款利率/第1名活期存款利率×10。不为整数时按直线插入法计算，小数点保留两位小数。</w:t>
            </w:r>
          </w:p>
        </w:tc>
        <w:tc>
          <w:tcPr>
            <w:tcW w:w="699" w:type="dxa"/>
            <w:vAlign w:val="center"/>
          </w:tcPr>
          <w:p>
            <w:pPr>
              <w:keepNext w:val="0"/>
              <w:keepLines w:val="0"/>
              <w:widowControl/>
              <w:suppressLineNumbers w:val="0"/>
              <w:jc w:val="center"/>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highlight w:val="none"/>
                <w:u w:val="none"/>
                <w:lang w:val="en-US" w:eastAsia="zh-CN" w:bidi="ar"/>
              </w:rPr>
              <w:t>10</w:t>
            </w:r>
          </w:p>
        </w:tc>
        <w:tc>
          <w:tcPr>
            <w:tcW w:w="1198" w:type="dxa"/>
            <w:vAlign w:val="center"/>
          </w:tcPr>
          <w:p>
            <w:pPr>
              <w:rPr>
                <w:rFonts w:hint="eastAsia"/>
                <w:snapToGrid w:val="0"/>
                <w:color w:val="000000"/>
                <w:kern w:val="0"/>
                <w:sz w:val="24"/>
                <w:szCs w:val="24"/>
                <w:highlight w:val="none"/>
              </w:rPr>
            </w:pPr>
            <w:r>
              <w:rPr>
                <w:rFonts w:hint="eastAsia"/>
                <w:snapToGrid w:val="0"/>
                <w:color w:val="000000"/>
                <w:kern w:val="0"/>
                <w:sz w:val="24"/>
                <w:szCs w:val="24"/>
                <w:highlight w:val="none"/>
              </w:rPr>
              <w:t>由竞标银行提供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31" w:hRule="atLeast"/>
          <w:jc w:val="center"/>
        </w:trPr>
        <w:tc>
          <w:tcPr>
            <w:tcW w:w="701" w:type="dxa"/>
            <w:vMerge w:val="continue"/>
            <w:tcBorders>
              <w:top w:val="nil"/>
            </w:tcBorders>
            <w:vAlign w:val="center"/>
          </w:tcPr>
          <w:p>
            <w:pPr>
              <w:rPr>
                <w:rFonts w:hint="eastAsia"/>
                <w:snapToGrid w:val="0"/>
                <w:color w:val="000000"/>
                <w:kern w:val="0"/>
                <w:sz w:val="24"/>
                <w:szCs w:val="24"/>
                <w:highlight w:val="none"/>
              </w:rPr>
            </w:pPr>
          </w:p>
        </w:tc>
        <w:tc>
          <w:tcPr>
            <w:tcW w:w="1287" w:type="dxa"/>
            <w:vAlign w:val="center"/>
          </w:tcPr>
          <w:p>
            <w:pPr>
              <w:keepNext w:val="0"/>
              <w:keepLines w:val="0"/>
              <w:widowControl/>
              <w:suppressLineNumbers w:val="0"/>
              <w:jc w:val="left"/>
              <w:textAlignment w:val="center"/>
              <w:rPr>
                <w:rFonts w:hint="eastAsia"/>
                <w:snapToGrid w:val="0"/>
                <w:color w:val="000000"/>
                <w:kern w:val="0"/>
                <w:sz w:val="24"/>
                <w:szCs w:val="24"/>
                <w:highlight w:val="none"/>
              </w:rPr>
            </w:pPr>
            <w:r>
              <w:rPr>
                <w:rFonts w:hint="eastAsia" w:ascii="仿宋" w:hAnsi="仿宋" w:eastAsia="仿宋" w:cs="仿宋"/>
                <w:i w:val="0"/>
                <w:iCs w:val="0"/>
                <w:snapToGrid w:val="0"/>
                <w:color w:val="000000"/>
                <w:kern w:val="0"/>
                <w:sz w:val="24"/>
                <w:szCs w:val="24"/>
                <w:highlight w:val="none"/>
                <w:u w:val="none"/>
                <w:lang w:val="en-US" w:eastAsia="zh-CN" w:bidi="ar"/>
              </w:rPr>
              <w:t>协定存款利率</w:t>
            </w:r>
          </w:p>
        </w:tc>
        <w:tc>
          <w:tcPr>
            <w:tcW w:w="1480" w:type="dxa"/>
            <w:vAlign w:val="center"/>
          </w:tcPr>
          <w:p>
            <w:pPr>
              <w:keepNext w:val="0"/>
              <w:keepLines w:val="0"/>
              <w:widowControl/>
              <w:suppressLineNumbers w:val="0"/>
              <w:jc w:val="left"/>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highlight w:val="none"/>
                <w:u w:val="none"/>
                <w:lang w:val="en-US" w:eastAsia="zh-CN" w:bidi="ar"/>
              </w:rPr>
              <w:t>反映竞标银行在国家相关政策规定范围内给出的协定存款利率。</w:t>
            </w:r>
          </w:p>
        </w:tc>
        <w:tc>
          <w:tcPr>
            <w:tcW w:w="3810" w:type="dxa"/>
            <w:vAlign w:val="center"/>
          </w:tcPr>
          <w:p>
            <w:pPr>
              <w:keepNext w:val="0"/>
              <w:keepLines w:val="0"/>
              <w:widowControl/>
              <w:suppressLineNumbers w:val="0"/>
              <w:jc w:val="left"/>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highlight w:val="none"/>
                <w:u w:val="none"/>
                <w:lang w:val="en-US" w:eastAsia="zh-CN" w:bidi="ar"/>
              </w:rPr>
              <w:t>协定存款利率最高的竞标银行为第1名，得满分，其他银行按与第1名的占比计分，计算公式=协定存款利率/第1名协定存款利率×10。不为整数时按直线插入法计算，小数点保留两位小数。</w:t>
            </w:r>
          </w:p>
        </w:tc>
        <w:tc>
          <w:tcPr>
            <w:tcW w:w="699" w:type="dxa"/>
            <w:vAlign w:val="center"/>
          </w:tcPr>
          <w:p>
            <w:pPr>
              <w:keepNext w:val="0"/>
              <w:keepLines w:val="0"/>
              <w:widowControl/>
              <w:suppressLineNumbers w:val="0"/>
              <w:jc w:val="center"/>
              <w:textAlignment w:val="center"/>
              <w:rPr>
                <w:rFonts w:hint="eastAsia"/>
                <w:snapToGrid w:val="0"/>
                <w:color w:val="000000"/>
                <w:kern w:val="0"/>
                <w:sz w:val="24"/>
                <w:szCs w:val="24"/>
                <w:highlight w:val="none"/>
              </w:rPr>
            </w:pPr>
            <w:r>
              <w:rPr>
                <w:rFonts w:hint="eastAsia" w:ascii="仿宋" w:hAnsi="仿宋" w:eastAsia="仿宋" w:cs="仿宋"/>
                <w:i w:val="0"/>
                <w:iCs w:val="0"/>
                <w:snapToGrid w:val="0"/>
                <w:color w:val="000000"/>
                <w:kern w:val="0"/>
                <w:sz w:val="24"/>
                <w:szCs w:val="24"/>
                <w:highlight w:val="none"/>
                <w:u w:val="none"/>
                <w:lang w:val="en-US" w:eastAsia="zh-CN" w:bidi="ar"/>
              </w:rPr>
              <w:t>10</w:t>
            </w:r>
          </w:p>
        </w:tc>
        <w:tc>
          <w:tcPr>
            <w:tcW w:w="1198" w:type="dxa"/>
            <w:vAlign w:val="center"/>
          </w:tcPr>
          <w:p>
            <w:pPr>
              <w:rPr>
                <w:rFonts w:hint="eastAsia"/>
                <w:snapToGrid w:val="0"/>
                <w:color w:val="000000"/>
                <w:kern w:val="0"/>
                <w:sz w:val="24"/>
                <w:szCs w:val="24"/>
                <w:highlight w:val="none"/>
              </w:rPr>
            </w:pPr>
            <w:r>
              <w:rPr>
                <w:rFonts w:hint="eastAsia"/>
                <w:snapToGrid w:val="0"/>
                <w:color w:val="000000"/>
                <w:kern w:val="0"/>
                <w:sz w:val="24"/>
                <w:szCs w:val="24"/>
                <w:highlight w:val="none"/>
              </w:rPr>
              <w:t>由竞标银行提供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30" w:hRule="atLeast"/>
          <w:jc w:val="center"/>
        </w:trPr>
        <w:tc>
          <w:tcPr>
            <w:tcW w:w="701" w:type="dxa"/>
            <w:vMerge w:val="continue"/>
            <w:tcBorders>
              <w:top w:val="nil"/>
              <w:bottom w:val="nil"/>
            </w:tcBorders>
            <w:vAlign w:val="center"/>
          </w:tcPr>
          <w:p>
            <w:pPr>
              <w:rPr>
                <w:rFonts w:hint="eastAsia"/>
                <w:snapToGrid w:val="0"/>
                <w:color w:val="000000"/>
                <w:kern w:val="0"/>
                <w:sz w:val="24"/>
                <w:szCs w:val="24"/>
                <w:highlight w:val="none"/>
              </w:rPr>
            </w:pPr>
          </w:p>
        </w:tc>
        <w:tc>
          <w:tcPr>
            <w:tcW w:w="1287" w:type="dxa"/>
            <w:vAlign w:val="center"/>
          </w:tcPr>
          <w:p>
            <w:pPr>
              <w:keepNext w:val="0"/>
              <w:keepLines w:val="0"/>
              <w:widowControl/>
              <w:suppressLineNumbers w:val="0"/>
              <w:jc w:val="left"/>
              <w:textAlignment w:val="center"/>
              <w:rPr>
                <w:rFonts w:hint="eastAsia"/>
                <w:snapToGrid w:val="0"/>
                <w:color w:val="000000"/>
                <w:kern w:val="0"/>
                <w:sz w:val="24"/>
                <w:szCs w:val="24"/>
                <w:highlight w:val="none"/>
              </w:rPr>
            </w:pPr>
            <w:r>
              <w:rPr>
                <w:rFonts w:hint="eastAsia" w:ascii="仿宋" w:hAnsi="仿宋" w:eastAsia="仿宋" w:cs="仿宋"/>
                <w:i w:val="0"/>
                <w:iCs w:val="0"/>
                <w:snapToGrid w:val="0"/>
                <w:color w:val="000000"/>
                <w:kern w:val="0"/>
                <w:sz w:val="24"/>
                <w:szCs w:val="24"/>
                <w:highlight w:val="none"/>
                <w:u w:val="none"/>
                <w:lang w:val="en-US" w:eastAsia="zh-CN" w:bidi="ar"/>
              </w:rPr>
              <w:t>协定存款起存点</w:t>
            </w:r>
          </w:p>
        </w:tc>
        <w:tc>
          <w:tcPr>
            <w:tcW w:w="1480" w:type="dxa"/>
            <w:vAlign w:val="center"/>
          </w:tcPr>
          <w:p>
            <w:pPr>
              <w:keepNext w:val="0"/>
              <w:keepLines w:val="0"/>
              <w:widowControl/>
              <w:suppressLineNumbers w:val="0"/>
              <w:jc w:val="left"/>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highlight w:val="none"/>
                <w:u w:val="none"/>
                <w:lang w:val="en-US" w:eastAsia="zh-CN" w:bidi="ar"/>
              </w:rPr>
              <w:t>反映竞标银行在国家相关政策规定范围内给出的协定存款起存金额。</w:t>
            </w:r>
          </w:p>
        </w:tc>
        <w:tc>
          <w:tcPr>
            <w:tcW w:w="3810" w:type="dxa"/>
            <w:vAlign w:val="center"/>
          </w:tcPr>
          <w:p>
            <w:pPr>
              <w:keepNext w:val="0"/>
              <w:keepLines w:val="0"/>
              <w:widowControl/>
              <w:suppressLineNumbers w:val="0"/>
              <w:jc w:val="left"/>
              <w:textAlignment w:val="center"/>
              <w:rPr>
                <w:rFonts w:hint="eastAsia"/>
                <w:snapToGrid w:val="0"/>
                <w:color w:val="000000"/>
                <w:kern w:val="0"/>
                <w:sz w:val="24"/>
                <w:szCs w:val="24"/>
                <w:highlight w:val="none"/>
                <w:lang w:eastAsia="zh-CN"/>
              </w:rPr>
            </w:pPr>
            <w:bookmarkStart w:id="7" w:name="OLE_LINK6"/>
            <w:r>
              <w:rPr>
                <w:rFonts w:hint="eastAsia" w:ascii="仿宋" w:hAnsi="仿宋" w:eastAsia="仿宋" w:cs="仿宋"/>
                <w:i w:val="0"/>
                <w:iCs w:val="0"/>
                <w:snapToGrid w:val="0"/>
                <w:color w:val="000000"/>
                <w:kern w:val="0"/>
                <w:sz w:val="24"/>
                <w:szCs w:val="24"/>
                <w:highlight w:val="none"/>
                <w:u w:val="none"/>
                <w:lang w:val="en-US" w:eastAsia="zh-CN" w:bidi="ar"/>
              </w:rPr>
              <w:t>关于协定存款资金起存额度计分办法如下：根据各投标人提供的协定存款资金起存额度（以“万元”为单位），起存额度在1万元（含）以下的得满分，起存额度在1万元至5万元（含）得4分，起存额度在5万元至10万元（含）得3分，起存额度在10万至50万元（含）以上的得1分，50万元以上不得分。</w:t>
            </w:r>
            <w:bookmarkEnd w:id="7"/>
          </w:p>
        </w:tc>
        <w:tc>
          <w:tcPr>
            <w:tcW w:w="699" w:type="dxa"/>
            <w:vAlign w:val="center"/>
          </w:tcPr>
          <w:p>
            <w:pPr>
              <w:keepNext w:val="0"/>
              <w:keepLines w:val="0"/>
              <w:widowControl/>
              <w:suppressLineNumbers w:val="0"/>
              <w:jc w:val="center"/>
              <w:textAlignment w:val="center"/>
              <w:rPr>
                <w:rFonts w:hint="eastAsia"/>
                <w:snapToGrid w:val="0"/>
                <w:color w:val="000000"/>
                <w:kern w:val="0"/>
                <w:sz w:val="24"/>
                <w:szCs w:val="24"/>
                <w:highlight w:val="none"/>
              </w:rPr>
            </w:pPr>
            <w:r>
              <w:rPr>
                <w:rFonts w:hint="eastAsia" w:ascii="仿宋" w:hAnsi="仿宋" w:eastAsia="仿宋" w:cs="仿宋"/>
                <w:i w:val="0"/>
                <w:iCs w:val="0"/>
                <w:snapToGrid w:val="0"/>
                <w:color w:val="000000"/>
                <w:kern w:val="0"/>
                <w:sz w:val="24"/>
                <w:szCs w:val="24"/>
                <w:highlight w:val="none"/>
                <w:u w:val="none"/>
                <w:lang w:val="en-US" w:eastAsia="zh-CN" w:bidi="ar"/>
              </w:rPr>
              <w:t>5</w:t>
            </w:r>
          </w:p>
        </w:tc>
        <w:tc>
          <w:tcPr>
            <w:tcW w:w="1198" w:type="dxa"/>
            <w:vAlign w:val="center"/>
          </w:tcPr>
          <w:p>
            <w:pPr>
              <w:rPr>
                <w:rFonts w:hint="eastAsia"/>
                <w:snapToGrid w:val="0"/>
                <w:color w:val="000000"/>
                <w:kern w:val="0"/>
                <w:sz w:val="24"/>
                <w:szCs w:val="24"/>
                <w:highlight w:val="none"/>
              </w:rPr>
            </w:pPr>
            <w:r>
              <w:rPr>
                <w:rFonts w:hint="eastAsia"/>
                <w:snapToGrid w:val="0"/>
                <w:color w:val="000000"/>
                <w:kern w:val="0"/>
                <w:sz w:val="24"/>
                <w:szCs w:val="24"/>
                <w:highlight w:val="none"/>
              </w:rPr>
              <w:t>由竞标银行提供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4" w:hRule="atLeast"/>
          <w:jc w:val="center"/>
        </w:trPr>
        <w:tc>
          <w:tcPr>
            <w:tcW w:w="701" w:type="dxa"/>
            <w:vMerge w:val="restart"/>
            <w:vAlign w:val="center"/>
          </w:tcPr>
          <w:p>
            <w:pPr>
              <w:rPr>
                <w:rFonts w:hint="eastAsia"/>
                <w:snapToGrid w:val="0"/>
                <w:color w:val="000000"/>
                <w:kern w:val="0"/>
                <w:sz w:val="24"/>
                <w:szCs w:val="24"/>
                <w:highlight w:val="none"/>
              </w:rPr>
            </w:pPr>
            <w:r>
              <w:rPr>
                <w:rFonts w:hint="eastAsia"/>
                <w:snapToGrid w:val="0"/>
                <w:color w:val="000000"/>
                <w:kern w:val="0"/>
                <w:sz w:val="24"/>
                <w:szCs w:val="24"/>
                <w:highlight w:val="none"/>
              </w:rPr>
              <w:t>经营状况（30分）</w:t>
            </w:r>
          </w:p>
        </w:tc>
        <w:tc>
          <w:tcPr>
            <w:tcW w:w="1287" w:type="dxa"/>
            <w:vAlign w:val="center"/>
          </w:tcPr>
          <w:p>
            <w:pPr>
              <w:rPr>
                <w:rFonts w:hint="eastAsia"/>
                <w:snapToGrid w:val="0"/>
                <w:color w:val="000000"/>
                <w:kern w:val="0"/>
                <w:sz w:val="24"/>
                <w:szCs w:val="24"/>
                <w:highlight w:val="none"/>
                <w:lang w:eastAsia="zh-CN"/>
              </w:rPr>
            </w:pPr>
            <w:r>
              <w:rPr>
                <w:rFonts w:hint="eastAsia"/>
                <w:snapToGrid w:val="0"/>
                <w:color w:val="000000"/>
                <w:kern w:val="0"/>
                <w:sz w:val="24"/>
                <w:szCs w:val="24"/>
                <w:highlight w:val="none"/>
                <w:lang w:eastAsia="zh-CN"/>
              </w:rPr>
              <w:t>金融机构考核评分指标</w:t>
            </w:r>
          </w:p>
        </w:tc>
        <w:tc>
          <w:tcPr>
            <w:tcW w:w="1480" w:type="dxa"/>
            <w:vAlign w:val="center"/>
          </w:tcPr>
          <w:p>
            <w:pPr>
              <w:keepNext w:val="0"/>
              <w:keepLines w:val="0"/>
              <w:widowControl/>
              <w:suppressLineNumbers w:val="0"/>
              <w:jc w:val="left"/>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highlight w:val="none"/>
                <w:u w:val="none"/>
                <w:lang w:val="en-US" w:eastAsia="zh-CN" w:bidi="ar"/>
              </w:rPr>
              <w:t>反映2023年度在富银行机构支持地经济发展结果的评价。</w:t>
            </w:r>
          </w:p>
        </w:tc>
        <w:tc>
          <w:tcPr>
            <w:tcW w:w="3810" w:type="dxa"/>
            <w:vAlign w:val="center"/>
          </w:tcPr>
          <w:p>
            <w:pPr>
              <w:keepNext w:val="0"/>
              <w:keepLines w:val="0"/>
              <w:widowControl/>
              <w:suppressLineNumbers w:val="0"/>
              <w:jc w:val="left"/>
              <w:textAlignment w:val="center"/>
              <w:rPr>
                <w:rFonts w:hint="eastAsia" w:eastAsia="仿宋"/>
                <w:snapToGrid w:val="0"/>
                <w:color w:val="000000"/>
                <w:kern w:val="0"/>
                <w:sz w:val="24"/>
                <w:szCs w:val="24"/>
                <w:highlight w:val="none"/>
                <w:lang w:val="en-US" w:eastAsia="zh-CN"/>
              </w:rPr>
            </w:pPr>
            <w:r>
              <w:rPr>
                <w:rFonts w:hint="eastAsia" w:ascii="仿宋" w:hAnsi="仿宋" w:eastAsia="仿宋" w:cs="仿宋"/>
                <w:i w:val="0"/>
                <w:iCs w:val="0"/>
                <w:snapToGrid w:val="0"/>
                <w:color w:val="000000"/>
                <w:kern w:val="0"/>
                <w:sz w:val="24"/>
                <w:szCs w:val="24"/>
                <w:highlight w:val="none"/>
                <w:u w:val="none"/>
                <w:lang w:val="en-US" w:eastAsia="zh-CN" w:bidi="ar"/>
              </w:rPr>
              <w:t>对各竞标银行2023年度金融机构考核评分结果计算得分,一等奖得6分，二等奖得4分，三等奖得2分，其他1分。若2024年度考评结果未</w:t>
            </w:r>
            <w:r>
              <w:rPr>
                <w:rFonts w:hint="eastAsia" w:cs="仿宋"/>
                <w:i w:val="0"/>
                <w:iCs w:val="0"/>
                <w:snapToGrid w:val="0"/>
                <w:color w:val="000000"/>
                <w:kern w:val="0"/>
                <w:sz w:val="24"/>
                <w:szCs w:val="24"/>
                <w:highlight w:val="none"/>
                <w:u w:val="none"/>
                <w:lang w:val="en-US" w:eastAsia="zh-CN" w:bidi="ar"/>
              </w:rPr>
              <w:t>出。</w:t>
            </w:r>
          </w:p>
        </w:tc>
        <w:tc>
          <w:tcPr>
            <w:tcW w:w="699" w:type="dxa"/>
            <w:vAlign w:val="center"/>
          </w:tcPr>
          <w:p>
            <w:pPr>
              <w:keepNext w:val="0"/>
              <w:keepLines w:val="0"/>
              <w:widowControl/>
              <w:suppressLineNumbers w:val="0"/>
              <w:jc w:val="center"/>
              <w:textAlignment w:val="center"/>
              <w:rPr>
                <w:rFonts w:hint="eastAsia" w:eastAsia="仿宋"/>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highlight w:val="none"/>
                <w:u w:val="none"/>
                <w:lang w:val="en-US" w:eastAsia="zh-CN" w:bidi="ar"/>
              </w:rPr>
              <w:t>6</w:t>
            </w:r>
          </w:p>
        </w:tc>
        <w:tc>
          <w:tcPr>
            <w:tcW w:w="1198" w:type="dxa"/>
            <w:vAlign w:val="center"/>
          </w:tcPr>
          <w:p>
            <w:pPr>
              <w:rPr>
                <w:rFonts w:hint="eastAsia"/>
                <w:snapToGrid w:val="0"/>
                <w:color w:val="000000"/>
                <w:kern w:val="0"/>
                <w:sz w:val="24"/>
                <w:szCs w:val="24"/>
                <w:highlight w:val="none"/>
              </w:rPr>
            </w:pPr>
            <w:r>
              <w:rPr>
                <w:rFonts w:hint="eastAsia"/>
                <w:snapToGrid w:val="0"/>
                <w:color w:val="000000"/>
                <w:kern w:val="0"/>
                <w:sz w:val="24"/>
                <w:szCs w:val="24"/>
                <w:highlight w:val="none"/>
              </w:rPr>
              <w:t>由区府办提供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4" w:hRule="atLeast"/>
          <w:jc w:val="center"/>
        </w:trPr>
        <w:tc>
          <w:tcPr>
            <w:tcW w:w="701" w:type="dxa"/>
            <w:vMerge w:val="continue"/>
            <w:vAlign w:val="center"/>
          </w:tcPr>
          <w:p>
            <w:pPr>
              <w:rPr>
                <w:rFonts w:hint="eastAsia"/>
                <w:snapToGrid w:val="0"/>
                <w:color w:val="000000"/>
                <w:kern w:val="0"/>
                <w:sz w:val="24"/>
                <w:szCs w:val="24"/>
                <w:highlight w:val="none"/>
              </w:rPr>
            </w:pPr>
          </w:p>
        </w:tc>
        <w:tc>
          <w:tcPr>
            <w:tcW w:w="1287" w:type="dxa"/>
            <w:vAlign w:val="center"/>
          </w:tcPr>
          <w:p>
            <w:pPr>
              <w:keepNext w:val="0"/>
              <w:keepLines w:val="0"/>
              <w:widowControl/>
              <w:suppressLineNumbers w:val="0"/>
              <w:jc w:val="left"/>
              <w:textAlignment w:val="center"/>
              <w:rPr>
                <w:rFonts w:hint="eastAsia"/>
                <w:snapToGrid w:val="0"/>
                <w:color w:val="000000"/>
                <w:kern w:val="0"/>
                <w:sz w:val="24"/>
                <w:szCs w:val="24"/>
                <w:highlight w:val="none"/>
              </w:rPr>
            </w:pPr>
            <w:r>
              <w:rPr>
                <w:rFonts w:hint="eastAsia" w:ascii="仿宋" w:hAnsi="仿宋" w:eastAsia="仿宋" w:cs="仿宋"/>
                <w:i w:val="0"/>
                <w:iCs w:val="0"/>
                <w:snapToGrid w:val="0"/>
                <w:color w:val="000000"/>
                <w:kern w:val="0"/>
                <w:sz w:val="24"/>
                <w:szCs w:val="24"/>
                <w:u w:val="none"/>
                <w:lang w:val="en-US" w:eastAsia="zh-CN" w:bidi="ar"/>
              </w:rPr>
              <w:t>不良贷款指标</w:t>
            </w:r>
          </w:p>
        </w:tc>
        <w:tc>
          <w:tcPr>
            <w:tcW w:w="1480" w:type="dxa"/>
            <w:vAlign w:val="center"/>
          </w:tcPr>
          <w:p>
            <w:pPr>
              <w:keepNext w:val="0"/>
              <w:keepLines w:val="0"/>
              <w:widowControl/>
              <w:suppressLineNumbers w:val="0"/>
              <w:jc w:val="left"/>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u w:val="none"/>
                <w:lang w:val="en-US" w:eastAsia="zh-CN" w:bidi="ar"/>
              </w:rPr>
              <w:t>指2024年末竞标银行不良贷款率情况</w:t>
            </w:r>
          </w:p>
        </w:tc>
        <w:tc>
          <w:tcPr>
            <w:tcW w:w="3810" w:type="dxa"/>
            <w:vAlign w:val="center"/>
          </w:tcPr>
          <w:p>
            <w:pPr>
              <w:keepNext w:val="0"/>
              <w:keepLines w:val="0"/>
              <w:widowControl/>
              <w:suppressLineNumbers w:val="0"/>
              <w:jc w:val="left"/>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u w:val="none"/>
                <w:lang w:val="en-US" w:eastAsia="zh-CN" w:bidi="ar"/>
              </w:rPr>
              <w:t>根据浙江金融监管局富阳监管支局提供的2024年12月31日富阳区不良贷款率排名得分（6分），第一名满分,每递减一名扣减的分值为“该项分值/竞标银行数量”。</w:t>
            </w:r>
          </w:p>
        </w:tc>
        <w:tc>
          <w:tcPr>
            <w:tcW w:w="699" w:type="dxa"/>
            <w:vAlign w:val="center"/>
          </w:tcPr>
          <w:p>
            <w:pPr>
              <w:keepNext w:val="0"/>
              <w:keepLines w:val="0"/>
              <w:widowControl/>
              <w:suppressLineNumbers w:val="0"/>
              <w:jc w:val="center"/>
              <w:textAlignment w:val="center"/>
              <w:rPr>
                <w:rFonts w:hint="eastAsia" w:eastAsia="仿宋"/>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u w:val="none"/>
                <w:lang w:val="en-US" w:eastAsia="zh-CN" w:bidi="ar"/>
              </w:rPr>
              <w:t>6</w:t>
            </w:r>
          </w:p>
        </w:tc>
        <w:tc>
          <w:tcPr>
            <w:tcW w:w="1198" w:type="dxa"/>
            <w:vAlign w:val="center"/>
          </w:tcPr>
          <w:p>
            <w:pPr>
              <w:keepNext w:val="0"/>
              <w:keepLines w:val="0"/>
              <w:widowControl/>
              <w:suppressLineNumbers w:val="0"/>
              <w:jc w:val="center"/>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u w:val="none"/>
                <w:lang w:val="en-US" w:eastAsia="zh-CN" w:bidi="ar"/>
              </w:rPr>
              <w:t>由浙江金融监管局富阳监管支局提供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7" w:hRule="atLeast"/>
          <w:jc w:val="center"/>
        </w:trPr>
        <w:tc>
          <w:tcPr>
            <w:tcW w:w="701" w:type="dxa"/>
            <w:vMerge w:val="continue"/>
            <w:vAlign w:val="center"/>
          </w:tcPr>
          <w:p>
            <w:pPr>
              <w:rPr>
                <w:rFonts w:hint="eastAsia"/>
                <w:snapToGrid w:val="0"/>
                <w:color w:val="000000"/>
                <w:kern w:val="0"/>
                <w:sz w:val="24"/>
                <w:szCs w:val="24"/>
                <w:highlight w:val="none"/>
                <w:lang w:eastAsia="zh-CN"/>
              </w:rPr>
            </w:pPr>
          </w:p>
        </w:tc>
        <w:tc>
          <w:tcPr>
            <w:tcW w:w="1287" w:type="dxa"/>
            <w:vMerge w:val="restart"/>
            <w:vAlign w:val="center"/>
          </w:tcPr>
          <w:p>
            <w:pPr>
              <w:keepNext w:val="0"/>
              <w:keepLines w:val="0"/>
              <w:widowControl/>
              <w:suppressLineNumbers w:val="0"/>
              <w:jc w:val="left"/>
              <w:textAlignment w:val="center"/>
              <w:rPr>
                <w:rFonts w:hint="eastAsia"/>
                <w:snapToGrid w:val="0"/>
                <w:color w:val="000000"/>
                <w:kern w:val="0"/>
                <w:sz w:val="24"/>
                <w:szCs w:val="24"/>
                <w:highlight w:val="none"/>
              </w:rPr>
            </w:pPr>
            <w:r>
              <w:rPr>
                <w:rFonts w:hint="eastAsia" w:ascii="仿宋" w:hAnsi="仿宋" w:eastAsia="仿宋" w:cs="仿宋"/>
                <w:i w:val="0"/>
                <w:iCs w:val="0"/>
                <w:snapToGrid w:val="0"/>
                <w:color w:val="000000"/>
                <w:kern w:val="0"/>
                <w:sz w:val="24"/>
                <w:szCs w:val="24"/>
                <w:u w:val="none"/>
                <w:lang w:val="en-US" w:eastAsia="zh-CN" w:bidi="ar"/>
              </w:rPr>
              <w:t>存款指标</w:t>
            </w:r>
          </w:p>
        </w:tc>
        <w:tc>
          <w:tcPr>
            <w:tcW w:w="1480" w:type="dxa"/>
            <w:vMerge w:val="restart"/>
            <w:vAlign w:val="center"/>
          </w:tcPr>
          <w:p>
            <w:pPr>
              <w:keepNext w:val="0"/>
              <w:keepLines w:val="0"/>
              <w:widowControl/>
              <w:suppressLineNumbers w:val="0"/>
              <w:jc w:val="left"/>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u w:val="none"/>
                <w:lang w:val="en-US" w:eastAsia="zh-CN" w:bidi="ar"/>
              </w:rPr>
              <w:t>指2024年末竞标银行对富阳区的存款情况。</w:t>
            </w:r>
          </w:p>
        </w:tc>
        <w:tc>
          <w:tcPr>
            <w:tcW w:w="3810" w:type="dxa"/>
            <w:vAlign w:val="center"/>
          </w:tcPr>
          <w:p>
            <w:pPr>
              <w:keepNext w:val="0"/>
              <w:keepLines w:val="0"/>
              <w:widowControl/>
              <w:suppressLineNumbers w:val="0"/>
              <w:jc w:val="left"/>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u w:val="none"/>
                <w:lang w:val="en-US" w:eastAsia="zh-CN" w:bidi="ar"/>
              </w:rPr>
              <w:t>根据浙江金融监管局富阳监管支局提供的2024年12月31日富阳区存款余额排名得分（3分），第一名满分,每递减一名扣减的分值为“该项分值/竞标银行数量”。</w:t>
            </w:r>
          </w:p>
        </w:tc>
        <w:tc>
          <w:tcPr>
            <w:tcW w:w="699" w:type="dxa"/>
            <w:vMerge w:val="restart"/>
            <w:vAlign w:val="center"/>
          </w:tcPr>
          <w:p>
            <w:pPr>
              <w:keepNext w:val="0"/>
              <w:keepLines w:val="0"/>
              <w:widowControl/>
              <w:suppressLineNumbers w:val="0"/>
              <w:jc w:val="center"/>
              <w:textAlignment w:val="center"/>
              <w:rPr>
                <w:rFonts w:hint="eastAsia" w:eastAsia="仿宋"/>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u w:val="none"/>
                <w:lang w:val="en-US" w:eastAsia="zh-CN" w:bidi="ar"/>
              </w:rPr>
              <w:t>6</w:t>
            </w:r>
          </w:p>
        </w:tc>
        <w:tc>
          <w:tcPr>
            <w:tcW w:w="1198" w:type="dxa"/>
            <w:vMerge w:val="restart"/>
            <w:vAlign w:val="center"/>
          </w:tcPr>
          <w:p>
            <w:pPr>
              <w:keepNext w:val="0"/>
              <w:keepLines w:val="0"/>
              <w:widowControl/>
              <w:suppressLineNumbers w:val="0"/>
              <w:jc w:val="center"/>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u w:val="none"/>
                <w:lang w:val="en-US" w:eastAsia="zh-CN" w:bidi="ar"/>
              </w:rPr>
              <w:t>由浙江金融监管局富阳监管支局提供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3" w:hRule="atLeast"/>
          <w:jc w:val="center"/>
        </w:trPr>
        <w:tc>
          <w:tcPr>
            <w:tcW w:w="701" w:type="dxa"/>
            <w:vMerge w:val="continue"/>
            <w:vAlign w:val="center"/>
          </w:tcPr>
          <w:p>
            <w:pPr>
              <w:rPr>
                <w:rFonts w:hint="eastAsia"/>
                <w:snapToGrid w:val="0"/>
                <w:color w:val="000000"/>
                <w:kern w:val="0"/>
                <w:sz w:val="24"/>
                <w:szCs w:val="24"/>
                <w:highlight w:val="none"/>
                <w:lang w:eastAsia="zh-CN"/>
              </w:rPr>
            </w:pPr>
          </w:p>
        </w:tc>
        <w:tc>
          <w:tcPr>
            <w:tcW w:w="1287" w:type="dxa"/>
            <w:vMerge w:val="continue"/>
            <w:vAlign w:val="center"/>
          </w:tcPr>
          <w:p>
            <w:pPr>
              <w:keepNext w:val="0"/>
              <w:keepLines w:val="0"/>
              <w:widowControl/>
              <w:suppressLineNumbers w:val="0"/>
              <w:jc w:val="left"/>
              <w:textAlignment w:val="center"/>
              <w:rPr>
                <w:rFonts w:hint="eastAsia"/>
                <w:snapToGrid w:val="0"/>
                <w:color w:val="000000"/>
                <w:kern w:val="0"/>
                <w:sz w:val="24"/>
                <w:szCs w:val="24"/>
                <w:highlight w:val="none"/>
              </w:rPr>
            </w:pPr>
          </w:p>
        </w:tc>
        <w:tc>
          <w:tcPr>
            <w:tcW w:w="1480" w:type="dxa"/>
            <w:vMerge w:val="continue"/>
            <w:vAlign w:val="center"/>
          </w:tcPr>
          <w:p>
            <w:pPr>
              <w:keepNext w:val="0"/>
              <w:keepLines w:val="0"/>
              <w:widowControl/>
              <w:suppressLineNumbers w:val="0"/>
              <w:jc w:val="left"/>
              <w:textAlignment w:val="center"/>
              <w:rPr>
                <w:rFonts w:hint="eastAsia"/>
                <w:snapToGrid w:val="0"/>
                <w:color w:val="000000"/>
                <w:kern w:val="0"/>
                <w:sz w:val="24"/>
                <w:szCs w:val="24"/>
                <w:highlight w:val="none"/>
                <w:lang w:eastAsia="zh-CN"/>
              </w:rPr>
            </w:pPr>
          </w:p>
        </w:tc>
        <w:tc>
          <w:tcPr>
            <w:tcW w:w="3810" w:type="dxa"/>
            <w:vAlign w:val="center"/>
          </w:tcPr>
          <w:p>
            <w:pPr>
              <w:keepNext w:val="0"/>
              <w:keepLines w:val="0"/>
              <w:widowControl/>
              <w:suppressLineNumbers w:val="0"/>
              <w:jc w:val="left"/>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u w:val="none"/>
                <w:lang w:val="en-US" w:eastAsia="zh-CN" w:bidi="ar"/>
              </w:rPr>
              <w:t>根据浙江金融监管局富阳监管支局提供的2024年12月31日富阳区存款增幅排名得分（3分），第一名满分,每递减一名扣减的分值为“该项分值/竞标银行数量”。</w:t>
            </w:r>
          </w:p>
        </w:tc>
        <w:tc>
          <w:tcPr>
            <w:tcW w:w="699" w:type="dxa"/>
            <w:vMerge w:val="continue"/>
            <w:vAlign w:val="center"/>
          </w:tcPr>
          <w:p>
            <w:pPr>
              <w:keepNext w:val="0"/>
              <w:keepLines w:val="0"/>
              <w:widowControl/>
              <w:suppressLineNumbers w:val="0"/>
              <w:jc w:val="center"/>
              <w:textAlignment w:val="center"/>
              <w:rPr>
                <w:rFonts w:hint="eastAsia" w:eastAsia="仿宋"/>
                <w:snapToGrid w:val="0"/>
                <w:color w:val="000000"/>
                <w:kern w:val="0"/>
                <w:sz w:val="24"/>
                <w:szCs w:val="24"/>
                <w:highlight w:val="none"/>
                <w:lang w:eastAsia="zh-CN"/>
              </w:rPr>
            </w:pPr>
          </w:p>
        </w:tc>
        <w:tc>
          <w:tcPr>
            <w:tcW w:w="1198" w:type="dxa"/>
            <w:vMerge w:val="continue"/>
            <w:vAlign w:val="center"/>
          </w:tcPr>
          <w:p>
            <w:pPr>
              <w:rPr>
                <w:rFonts w:hint="eastAsia"/>
                <w:snapToGrid w:val="0"/>
                <w:color w:val="000000"/>
                <w:kern w:val="0"/>
                <w:sz w:val="24"/>
                <w:szCs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0" w:hRule="atLeast"/>
          <w:jc w:val="center"/>
        </w:trPr>
        <w:tc>
          <w:tcPr>
            <w:tcW w:w="701" w:type="dxa"/>
            <w:vMerge w:val="continue"/>
            <w:vAlign w:val="center"/>
          </w:tcPr>
          <w:p>
            <w:pPr>
              <w:rPr>
                <w:rFonts w:hint="eastAsia"/>
                <w:snapToGrid w:val="0"/>
                <w:color w:val="000000"/>
                <w:kern w:val="0"/>
                <w:sz w:val="24"/>
                <w:szCs w:val="24"/>
                <w:highlight w:val="none"/>
              </w:rPr>
            </w:pPr>
          </w:p>
        </w:tc>
        <w:tc>
          <w:tcPr>
            <w:tcW w:w="1287" w:type="dxa"/>
            <w:vMerge w:val="restart"/>
            <w:vAlign w:val="center"/>
          </w:tcPr>
          <w:p>
            <w:pPr>
              <w:keepNext w:val="0"/>
              <w:keepLines w:val="0"/>
              <w:widowControl/>
              <w:suppressLineNumbers w:val="0"/>
              <w:jc w:val="both"/>
              <w:textAlignment w:val="center"/>
              <w:rPr>
                <w:rFonts w:hint="eastAsia"/>
                <w:snapToGrid w:val="0"/>
                <w:color w:val="000000"/>
                <w:kern w:val="0"/>
                <w:sz w:val="24"/>
                <w:szCs w:val="24"/>
                <w:highlight w:val="none"/>
              </w:rPr>
            </w:pPr>
            <w:r>
              <w:rPr>
                <w:rFonts w:hint="eastAsia" w:ascii="仿宋" w:hAnsi="仿宋" w:eastAsia="仿宋" w:cs="仿宋"/>
                <w:i w:val="0"/>
                <w:iCs w:val="0"/>
                <w:snapToGrid w:val="0"/>
                <w:color w:val="000000"/>
                <w:kern w:val="0"/>
                <w:sz w:val="24"/>
                <w:szCs w:val="24"/>
                <w:u w:val="none"/>
                <w:lang w:val="en-US" w:eastAsia="zh-CN" w:bidi="ar"/>
              </w:rPr>
              <w:t>贷款指标</w:t>
            </w:r>
          </w:p>
        </w:tc>
        <w:tc>
          <w:tcPr>
            <w:tcW w:w="1480" w:type="dxa"/>
            <w:vMerge w:val="restart"/>
            <w:vAlign w:val="center"/>
          </w:tcPr>
          <w:p>
            <w:pPr>
              <w:keepNext w:val="0"/>
              <w:keepLines w:val="0"/>
              <w:widowControl/>
              <w:suppressLineNumbers w:val="0"/>
              <w:jc w:val="left"/>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u w:val="none"/>
                <w:lang w:val="en-US" w:eastAsia="zh-CN" w:bidi="ar"/>
              </w:rPr>
              <w:t>指2024年末竞标银行对富阳区的贷款情况。</w:t>
            </w:r>
          </w:p>
        </w:tc>
        <w:tc>
          <w:tcPr>
            <w:tcW w:w="3810" w:type="dxa"/>
            <w:vAlign w:val="center"/>
          </w:tcPr>
          <w:p>
            <w:pPr>
              <w:keepNext w:val="0"/>
              <w:keepLines w:val="0"/>
              <w:widowControl/>
              <w:suppressLineNumbers w:val="0"/>
              <w:jc w:val="left"/>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u w:val="none"/>
                <w:lang w:val="en-US" w:eastAsia="zh-CN" w:bidi="ar"/>
              </w:rPr>
              <w:t>根据浙江金融监管局富阳监管支局提供的2024年12月31日富阳区贷款余额排名得分（3分），第一名满分,每递减一名扣减的分值为“该项分值/竞标银行数量”。</w:t>
            </w:r>
          </w:p>
        </w:tc>
        <w:tc>
          <w:tcPr>
            <w:tcW w:w="699" w:type="dxa"/>
            <w:vMerge w:val="restart"/>
            <w:vAlign w:val="center"/>
          </w:tcPr>
          <w:p>
            <w:pPr>
              <w:keepNext w:val="0"/>
              <w:keepLines w:val="0"/>
              <w:widowControl/>
              <w:suppressLineNumbers w:val="0"/>
              <w:jc w:val="center"/>
              <w:textAlignment w:val="center"/>
              <w:rPr>
                <w:rFonts w:hint="eastAsia" w:eastAsia="仿宋"/>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u w:val="none"/>
                <w:lang w:val="en-US" w:eastAsia="zh-CN" w:bidi="ar"/>
              </w:rPr>
              <w:t>6</w:t>
            </w:r>
          </w:p>
        </w:tc>
        <w:tc>
          <w:tcPr>
            <w:tcW w:w="1198" w:type="dxa"/>
            <w:vMerge w:val="restart"/>
            <w:vAlign w:val="center"/>
          </w:tcPr>
          <w:p>
            <w:pPr>
              <w:keepNext w:val="0"/>
              <w:keepLines w:val="0"/>
              <w:widowControl/>
              <w:suppressLineNumbers w:val="0"/>
              <w:jc w:val="center"/>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u w:val="none"/>
                <w:lang w:val="en-US" w:eastAsia="zh-CN" w:bidi="ar"/>
              </w:rPr>
              <w:t>由浙江金融监管局富阳监管支局提供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0" w:hRule="atLeast"/>
          <w:jc w:val="center"/>
        </w:trPr>
        <w:tc>
          <w:tcPr>
            <w:tcW w:w="701" w:type="dxa"/>
            <w:vMerge w:val="continue"/>
            <w:vAlign w:val="center"/>
          </w:tcPr>
          <w:p>
            <w:pPr>
              <w:rPr>
                <w:rFonts w:hint="eastAsia"/>
                <w:snapToGrid w:val="0"/>
                <w:color w:val="000000"/>
                <w:kern w:val="0"/>
                <w:sz w:val="24"/>
                <w:szCs w:val="24"/>
                <w:highlight w:val="none"/>
              </w:rPr>
            </w:pPr>
          </w:p>
        </w:tc>
        <w:tc>
          <w:tcPr>
            <w:tcW w:w="1287" w:type="dxa"/>
            <w:vMerge w:val="continue"/>
            <w:vAlign w:val="center"/>
          </w:tcPr>
          <w:p>
            <w:pPr>
              <w:keepNext w:val="0"/>
              <w:keepLines w:val="0"/>
              <w:widowControl/>
              <w:suppressLineNumbers w:val="0"/>
              <w:jc w:val="both"/>
              <w:textAlignment w:val="center"/>
              <w:rPr>
                <w:rFonts w:hint="eastAsia"/>
                <w:snapToGrid w:val="0"/>
                <w:color w:val="000000"/>
                <w:kern w:val="0"/>
                <w:sz w:val="24"/>
                <w:szCs w:val="24"/>
                <w:highlight w:val="none"/>
              </w:rPr>
            </w:pPr>
          </w:p>
        </w:tc>
        <w:tc>
          <w:tcPr>
            <w:tcW w:w="1480" w:type="dxa"/>
            <w:vMerge w:val="continue"/>
            <w:vAlign w:val="center"/>
          </w:tcPr>
          <w:p>
            <w:pPr>
              <w:keepNext w:val="0"/>
              <w:keepLines w:val="0"/>
              <w:widowControl/>
              <w:suppressLineNumbers w:val="0"/>
              <w:jc w:val="left"/>
              <w:textAlignment w:val="center"/>
              <w:rPr>
                <w:rFonts w:hint="eastAsia"/>
                <w:snapToGrid w:val="0"/>
                <w:color w:val="000000"/>
                <w:kern w:val="0"/>
                <w:sz w:val="24"/>
                <w:szCs w:val="24"/>
                <w:highlight w:val="none"/>
                <w:lang w:eastAsia="zh-CN"/>
              </w:rPr>
            </w:pPr>
          </w:p>
        </w:tc>
        <w:tc>
          <w:tcPr>
            <w:tcW w:w="3810" w:type="dxa"/>
            <w:vAlign w:val="center"/>
          </w:tcPr>
          <w:p>
            <w:pPr>
              <w:keepNext w:val="0"/>
              <w:keepLines w:val="0"/>
              <w:widowControl/>
              <w:suppressLineNumbers w:val="0"/>
              <w:jc w:val="left"/>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u w:val="none"/>
                <w:lang w:val="en-US" w:eastAsia="zh-CN" w:bidi="ar"/>
              </w:rPr>
              <w:t>根据浙江金融监管局富阳监管支局提供的2024年12月31日富阳区贷款增幅排名得分（3分），第一名满分,每递减一名扣减的分值为“该项分值/竞标银行数量”。</w:t>
            </w:r>
          </w:p>
        </w:tc>
        <w:tc>
          <w:tcPr>
            <w:tcW w:w="699" w:type="dxa"/>
            <w:vMerge w:val="continue"/>
            <w:vAlign w:val="center"/>
          </w:tcPr>
          <w:p>
            <w:pPr>
              <w:keepNext w:val="0"/>
              <w:keepLines w:val="0"/>
              <w:widowControl/>
              <w:suppressLineNumbers w:val="0"/>
              <w:jc w:val="center"/>
              <w:textAlignment w:val="center"/>
              <w:rPr>
                <w:rFonts w:hint="eastAsia" w:eastAsia="仿宋"/>
                <w:snapToGrid w:val="0"/>
                <w:color w:val="000000"/>
                <w:kern w:val="0"/>
                <w:sz w:val="24"/>
                <w:szCs w:val="24"/>
                <w:highlight w:val="none"/>
                <w:lang w:eastAsia="zh-CN"/>
              </w:rPr>
            </w:pPr>
          </w:p>
        </w:tc>
        <w:tc>
          <w:tcPr>
            <w:tcW w:w="1198" w:type="dxa"/>
            <w:vMerge w:val="continue"/>
            <w:vAlign w:val="center"/>
          </w:tcPr>
          <w:p>
            <w:pPr>
              <w:rPr>
                <w:rFonts w:hint="eastAsia"/>
                <w:snapToGrid w:val="0"/>
                <w:color w:val="000000"/>
                <w:kern w:val="0"/>
                <w:sz w:val="24"/>
                <w:szCs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jc w:val="center"/>
        </w:trPr>
        <w:tc>
          <w:tcPr>
            <w:tcW w:w="701" w:type="dxa"/>
            <w:vMerge w:val="continue"/>
            <w:vAlign w:val="center"/>
          </w:tcPr>
          <w:p>
            <w:pPr>
              <w:rPr>
                <w:rFonts w:hint="eastAsia"/>
                <w:snapToGrid w:val="0"/>
                <w:color w:val="000000"/>
                <w:kern w:val="0"/>
                <w:sz w:val="24"/>
                <w:szCs w:val="24"/>
                <w:highlight w:val="none"/>
                <w:lang w:eastAsia="zh-CN"/>
              </w:rPr>
            </w:pPr>
          </w:p>
        </w:tc>
        <w:tc>
          <w:tcPr>
            <w:tcW w:w="1287" w:type="dxa"/>
            <w:vAlign w:val="center"/>
          </w:tcPr>
          <w:p>
            <w:pPr>
              <w:keepNext w:val="0"/>
              <w:keepLines w:val="0"/>
              <w:widowControl/>
              <w:suppressLineNumbers w:val="0"/>
              <w:jc w:val="left"/>
              <w:textAlignment w:val="center"/>
              <w:rPr>
                <w:rFonts w:hint="eastAsia"/>
                <w:snapToGrid w:val="0"/>
                <w:color w:val="000000"/>
                <w:kern w:val="0"/>
                <w:sz w:val="24"/>
                <w:szCs w:val="24"/>
                <w:highlight w:val="none"/>
              </w:rPr>
            </w:pPr>
            <w:r>
              <w:rPr>
                <w:rFonts w:hint="eastAsia" w:ascii="仿宋" w:hAnsi="仿宋" w:eastAsia="仿宋" w:cs="仿宋"/>
                <w:i w:val="0"/>
                <w:iCs w:val="0"/>
                <w:snapToGrid w:val="0"/>
                <w:color w:val="000000"/>
                <w:kern w:val="0"/>
                <w:sz w:val="24"/>
                <w:szCs w:val="24"/>
                <w:highlight w:val="none"/>
                <w:u w:val="none"/>
                <w:lang w:val="en-US" w:eastAsia="zh-CN" w:bidi="ar"/>
              </w:rPr>
              <w:t>偿付能力</w:t>
            </w:r>
          </w:p>
        </w:tc>
        <w:tc>
          <w:tcPr>
            <w:tcW w:w="1480" w:type="dxa"/>
            <w:vAlign w:val="center"/>
          </w:tcPr>
          <w:p>
            <w:pPr>
              <w:keepNext w:val="0"/>
              <w:keepLines w:val="0"/>
              <w:widowControl/>
              <w:suppressLineNumbers w:val="0"/>
              <w:jc w:val="both"/>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highlight w:val="none"/>
                <w:u w:val="none"/>
                <w:lang w:val="en-US" w:eastAsia="zh-CN" w:bidi="ar"/>
              </w:rPr>
              <w:t>该指标反映2023年度竞标银行偿付能力情况。</w:t>
            </w:r>
          </w:p>
        </w:tc>
        <w:tc>
          <w:tcPr>
            <w:tcW w:w="3810" w:type="dxa"/>
            <w:vAlign w:val="center"/>
          </w:tcPr>
          <w:p>
            <w:pPr>
              <w:keepNext w:val="0"/>
              <w:keepLines w:val="0"/>
              <w:widowControl/>
              <w:suppressLineNumbers w:val="0"/>
              <w:jc w:val="left"/>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highlight w:val="none"/>
                <w:u w:val="none"/>
                <w:lang w:val="en-US" w:eastAsia="zh-CN" w:bidi="ar"/>
              </w:rPr>
              <w:t>竞标银行2023年度拨备覆盖率达到150%或书面证据证明该指标符合监管要求的得满分，低于150%且未取得书面证明的不得分。</w:t>
            </w:r>
          </w:p>
        </w:tc>
        <w:tc>
          <w:tcPr>
            <w:tcW w:w="699" w:type="dxa"/>
            <w:vAlign w:val="center"/>
          </w:tcPr>
          <w:p>
            <w:pPr>
              <w:keepNext w:val="0"/>
              <w:keepLines w:val="0"/>
              <w:widowControl/>
              <w:suppressLineNumbers w:val="0"/>
              <w:jc w:val="center"/>
              <w:textAlignment w:val="center"/>
              <w:rPr>
                <w:rFonts w:hint="eastAsia" w:eastAsia="仿宋"/>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highlight w:val="none"/>
                <w:u w:val="none"/>
                <w:lang w:val="en-US" w:eastAsia="zh-CN" w:bidi="ar"/>
              </w:rPr>
              <w:t>6</w:t>
            </w:r>
          </w:p>
        </w:tc>
        <w:tc>
          <w:tcPr>
            <w:tcW w:w="1198" w:type="dxa"/>
            <w:vAlign w:val="center"/>
          </w:tcPr>
          <w:p>
            <w:pPr>
              <w:rPr>
                <w:rFonts w:hint="eastAsia"/>
                <w:snapToGrid w:val="0"/>
                <w:color w:val="000000"/>
                <w:kern w:val="0"/>
                <w:sz w:val="24"/>
                <w:szCs w:val="24"/>
                <w:highlight w:val="none"/>
              </w:rPr>
            </w:pPr>
            <w:r>
              <w:rPr>
                <w:rFonts w:hint="eastAsia"/>
                <w:snapToGrid w:val="0"/>
                <w:color w:val="000000"/>
                <w:kern w:val="0"/>
                <w:sz w:val="24"/>
                <w:szCs w:val="24"/>
                <w:highlight w:val="none"/>
              </w:rPr>
              <w:t>由竞标银行提供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8" w:hRule="atLeast"/>
          <w:jc w:val="center"/>
        </w:trPr>
        <w:tc>
          <w:tcPr>
            <w:tcW w:w="701" w:type="dxa"/>
            <w:vMerge w:val="restart"/>
            <w:tcBorders>
              <w:bottom w:val="nil"/>
            </w:tcBorders>
            <w:vAlign w:val="center"/>
          </w:tcPr>
          <w:p>
            <w:pPr>
              <w:rPr>
                <w:rFonts w:hint="eastAsia"/>
                <w:snapToGrid w:val="0"/>
                <w:color w:val="000000"/>
                <w:kern w:val="0"/>
                <w:sz w:val="24"/>
                <w:szCs w:val="24"/>
                <w:highlight w:val="none"/>
                <w:lang w:eastAsia="zh-CN"/>
              </w:rPr>
            </w:pPr>
            <w:r>
              <w:rPr>
                <w:rFonts w:hint="eastAsia"/>
                <w:snapToGrid w:val="0"/>
                <w:color w:val="000000"/>
                <w:kern w:val="0"/>
                <w:sz w:val="24"/>
                <w:szCs w:val="24"/>
                <w:highlight w:val="none"/>
                <w:lang w:eastAsia="zh-CN"/>
              </w:rPr>
              <w:t>经济发展贡献指标（30分）</w:t>
            </w:r>
          </w:p>
        </w:tc>
        <w:tc>
          <w:tcPr>
            <w:tcW w:w="1287" w:type="dxa"/>
            <w:vAlign w:val="center"/>
          </w:tcPr>
          <w:p>
            <w:pPr>
              <w:keepNext w:val="0"/>
              <w:keepLines w:val="0"/>
              <w:widowControl/>
              <w:suppressLineNumbers w:val="0"/>
              <w:jc w:val="left"/>
              <w:textAlignment w:val="center"/>
              <w:rPr>
                <w:rFonts w:hint="eastAsia"/>
                <w:snapToGrid w:val="0"/>
                <w:color w:val="000000"/>
                <w:kern w:val="0"/>
                <w:sz w:val="24"/>
                <w:szCs w:val="24"/>
                <w:highlight w:val="none"/>
              </w:rPr>
            </w:pPr>
            <w:r>
              <w:rPr>
                <w:rFonts w:hint="eastAsia" w:ascii="仿宋" w:hAnsi="仿宋" w:eastAsia="仿宋" w:cs="仿宋"/>
                <w:i w:val="0"/>
                <w:iCs w:val="0"/>
                <w:snapToGrid w:val="0"/>
                <w:color w:val="000000"/>
                <w:kern w:val="0"/>
                <w:sz w:val="24"/>
                <w:szCs w:val="24"/>
                <w:highlight w:val="none"/>
                <w:u w:val="none"/>
                <w:lang w:val="en-US" w:eastAsia="zh-CN" w:bidi="ar"/>
              </w:rPr>
              <w:t>与区政府战略合作签约情况</w:t>
            </w:r>
          </w:p>
        </w:tc>
        <w:tc>
          <w:tcPr>
            <w:tcW w:w="1480" w:type="dxa"/>
            <w:vAlign w:val="center"/>
          </w:tcPr>
          <w:p>
            <w:pPr>
              <w:keepNext w:val="0"/>
              <w:keepLines w:val="0"/>
              <w:widowControl/>
              <w:suppressLineNumbers w:val="0"/>
              <w:jc w:val="both"/>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highlight w:val="none"/>
                <w:u w:val="none"/>
                <w:lang w:val="en-US" w:eastAsia="zh-CN" w:bidi="ar"/>
              </w:rPr>
              <w:t>该指标反映竞标银行与富阳区合作情况。</w:t>
            </w:r>
          </w:p>
        </w:tc>
        <w:tc>
          <w:tcPr>
            <w:tcW w:w="3810" w:type="dxa"/>
            <w:vAlign w:val="center"/>
          </w:tcPr>
          <w:p>
            <w:pPr>
              <w:keepNext w:val="0"/>
              <w:keepLines w:val="0"/>
              <w:widowControl/>
              <w:suppressLineNumbers w:val="0"/>
              <w:jc w:val="left"/>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highlight w:val="none"/>
                <w:u w:val="none"/>
                <w:lang w:val="en-US" w:eastAsia="zh-CN" w:bidi="ar"/>
              </w:rPr>
              <w:t>投标人与富阳区政府签署战略合作支持当地经济建设发展，并且协议在有效期内的得4分，其他不得分。</w:t>
            </w:r>
          </w:p>
        </w:tc>
        <w:tc>
          <w:tcPr>
            <w:tcW w:w="699" w:type="dxa"/>
            <w:vAlign w:val="center"/>
          </w:tcPr>
          <w:p>
            <w:pPr>
              <w:keepNext w:val="0"/>
              <w:keepLines w:val="0"/>
              <w:widowControl/>
              <w:suppressLineNumbers w:val="0"/>
              <w:jc w:val="center"/>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highlight w:val="none"/>
                <w:u w:val="none"/>
                <w:lang w:val="en-US" w:eastAsia="zh-CN" w:bidi="ar"/>
              </w:rPr>
              <w:t>4</w:t>
            </w:r>
          </w:p>
        </w:tc>
        <w:tc>
          <w:tcPr>
            <w:tcW w:w="1198" w:type="dxa"/>
            <w:vAlign w:val="center"/>
          </w:tcPr>
          <w:p>
            <w:pPr>
              <w:rPr>
                <w:rFonts w:hint="eastAsia"/>
                <w:snapToGrid w:val="0"/>
                <w:color w:val="000000"/>
                <w:kern w:val="0"/>
                <w:sz w:val="24"/>
                <w:szCs w:val="24"/>
                <w:highlight w:val="none"/>
                <w:lang w:eastAsia="zh-CN"/>
              </w:rPr>
            </w:pPr>
            <w:r>
              <w:rPr>
                <w:rFonts w:hint="eastAsia"/>
                <w:snapToGrid w:val="0"/>
                <w:color w:val="000000"/>
                <w:kern w:val="0"/>
                <w:sz w:val="24"/>
                <w:szCs w:val="24"/>
                <w:highlight w:val="none"/>
                <w:lang w:eastAsia="zh-CN"/>
              </w:rPr>
              <w:t>由竞标银行提供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9" w:hRule="atLeast"/>
          <w:jc w:val="center"/>
        </w:trPr>
        <w:tc>
          <w:tcPr>
            <w:tcW w:w="701" w:type="dxa"/>
            <w:vMerge w:val="continue"/>
            <w:tcBorders>
              <w:bottom w:val="nil"/>
            </w:tcBorders>
            <w:vAlign w:val="center"/>
          </w:tcPr>
          <w:p>
            <w:pPr>
              <w:rPr>
                <w:rFonts w:hint="eastAsia"/>
                <w:snapToGrid w:val="0"/>
                <w:color w:val="000000"/>
                <w:kern w:val="0"/>
                <w:sz w:val="24"/>
                <w:szCs w:val="24"/>
                <w:highlight w:val="none"/>
                <w:lang w:eastAsia="zh-CN"/>
              </w:rPr>
            </w:pPr>
          </w:p>
        </w:tc>
        <w:tc>
          <w:tcPr>
            <w:tcW w:w="128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napToGrid w:val="0"/>
                <w:color w:val="000000"/>
                <w:kern w:val="0"/>
                <w:sz w:val="24"/>
                <w:szCs w:val="24"/>
                <w:highlight w:val="none"/>
              </w:rPr>
            </w:pPr>
            <w:r>
              <w:rPr>
                <w:rFonts w:hint="eastAsia" w:ascii="仿宋" w:hAnsi="仿宋" w:eastAsia="仿宋" w:cs="仿宋"/>
                <w:i w:val="0"/>
                <w:iCs w:val="0"/>
                <w:snapToGrid w:val="0"/>
                <w:color w:val="000000"/>
                <w:kern w:val="0"/>
                <w:sz w:val="24"/>
                <w:szCs w:val="24"/>
                <w:u w:val="none"/>
                <w:lang w:val="en-US" w:eastAsia="zh-CN" w:bidi="ar"/>
              </w:rPr>
              <w:t>支持国有控股企业信贷指标</w:t>
            </w:r>
          </w:p>
        </w:tc>
        <w:tc>
          <w:tcPr>
            <w:tcW w:w="14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u w:val="none"/>
                <w:lang w:val="en-US" w:eastAsia="zh-CN" w:bidi="ar"/>
              </w:rPr>
              <w:t>指2024年末各竞标银行对富阳区国有控股企业信贷支持力度。</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u w:val="none"/>
                <w:lang w:val="en-US" w:eastAsia="zh-CN" w:bidi="ar"/>
              </w:rPr>
              <w:t>2024年12月31日竞标银行对富阳区国有控股企业贷款余额排名计算得分（2分）。第一名满分,每递减一名扣减的分值为“该项分值/竞标银行数量”。</w:t>
            </w:r>
          </w:p>
        </w:tc>
        <w:tc>
          <w:tcPr>
            <w:tcW w:w="699" w:type="dxa"/>
            <w:vMerge w:val="restart"/>
            <w:tcBorders>
              <w:top w:val="single" w:color="000000" w:sz="4" w:space="0"/>
              <w:left w:val="single" w:color="000000" w:sz="4" w:space="0"/>
              <w:right w:val="nil"/>
            </w:tcBorders>
            <w:shd w:val="clear" w:color="auto" w:fill="auto"/>
            <w:vAlign w:val="center"/>
          </w:tcPr>
          <w:p>
            <w:pPr>
              <w:keepNext w:val="0"/>
              <w:keepLines w:val="0"/>
              <w:widowControl/>
              <w:suppressLineNumbers w:val="0"/>
              <w:jc w:val="center"/>
              <w:textAlignment w:val="center"/>
              <w:rPr>
                <w:rFonts w:hint="default"/>
                <w:snapToGrid w:val="0"/>
                <w:color w:val="000000"/>
                <w:kern w:val="0"/>
                <w:sz w:val="24"/>
                <w:szCs w:val="24"/>
                <w:highlight w:val="none"/>
                <w:lang w:val="en-US" w:eastAsia="zh-CN"/>
              </w:rPr>
            </w:pPr>
            <w:r>
              <w:rPr>
                <w:rFonts w:hint="eastAsia" w:ascii="仿宋" w:hAnsi="仿宋" w:eastAsia="仿宋" w:cs="仿宋"/>
                <w:i w:val="0"/>
                <w:iCs w:val="0"/>
                <w:snapToGrid w:val="0"/>
                <w:color w:val="000000"/>
                <w:kern w:val="0"/>
                <w:sz w:val="24"/>
                <w:szCs w:val="24"/>
                <w:u w:val="none"/>
                <w:lang w:val="en-US" w:eastAsia="zh-CN" w:bidi="ar"/>
              </w:rPr>
              <w:t>4</w:t>
            </w:r>
          </w:p>
        </w:tc>
        <w:tc>
          <w:tcPr>
            <w:tcW w:w="119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u w:val="none"/>
                <w:lang w:val="en-US" w:eastAsia="zh-CN" w:bidi="ar"/>
              </w:rPr>
              <w:t>由浙江金融监管局富阳监管支局提供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8" w:hRule="atLeast"/>
          <w:jc w:val="center"/>
        </w:trPr>
        <w:tc>
          <w:tcPr>
            <w:tcW w:w="701" w:type="dxa"/>
            <w:vMerge w:val="continue"/>
            <w:tcBorders>
              <w:top w:val="nil"/>
              <w:bottom w:val="nil"/>
            </w:tcBorders>
            <w:vAlign w:val="center"/>
          </w:tcPr>
          <w:p>
            <w:pPr>
              <w:rPr>
                <w:rFonts w:hint="eastAsia"/>
                <w:snapToGrid w:val="0"/>
                <w:color w:val="000000"/>
                <w:kern w:val="0"/>
                <w:sz w:val="24"/>
                <w:szCs w:val="24"/>
                <w:highlight w:val="none"/>
                <w:lang w:eastAsia="zh-CN"/>
              </w:rPr>
            </w:pPr>
          </w:p>
        </w:tc>
        <w:tc>
          <w:tcPr>
            <w:tcW w:w="1287" w:type="dxa"/>
            <w:vMerge w:val="continue"/>
            <w:tcBorders>
              <w:left w:val="single" w:color="000000" w:sz="4" w:space="0"/>
              <w:right w:val="single" w:color="000000" w:sz="4" w:space="0"/>
            </w:tcBorders>
            <w:vAlign w:val="center"/>
          </w:tcPr>
          <w:p>
            <w:pPr>
              <w:rPr>
                <w:rFonts w:hint="eastAsia"/>
                <w:snapToGrid w:val="0"/>
                <w:color w:val="000000"/>
                <w:kern w:val="0"/>
                <w:sz w:val="24"/>
                <w:szCs w:val="24"/>
                <w:highlight w:val="none"/>
                <w:lang w:eastAsia="zh-CN"/>
              </w:rPr>
            </w:pPr>
          </w:p>
        </w:tc>
        <w:tc>
          <w:tcPr>
            <w:tcW w:w="1480" w:type="dxa"/>
            <w:vMerge w:val="continue"/>
            <w:tcBorders>
              <w:left w:val="single" w:color="000000" w:sz="4" w:space="0"/>
              <w:right w:val="single" w:color="000000" w:sz="4" w:space="0"/>
            </w:tcBorders>
            <w:vAlign w:val="center"/>
          </w:tcPr>
          <w:p>
            <w:pPr>
              <w:rPr>
                <w:rFonts w:hint="eastAsia"/>
                <w:snapToGrid w:val="0"/>
                <w:color w:val="000000"/>
                <w:kern w:val="0"/>
                <w:sz w:val="24"/>
                <w:szCs w:val="24"/>
                <w:highlight w:val="none"/>
                <w:lang w:eastAsia="zh-CN"/>
              </w:rPr>
            </w:pPr>
          </w:p>
        </w:tc>
        <w:tc>
          <w:tcPr>
            <w:tcW w:w="3810" w:type="dxa"/>
            <w:vAlign w:val="center"/>
          </w:tcPr>
          <w:p>
            <w:pPr>
              <w:keepNext w:val="0"/>
              <w:keepLines w:val="0"/>
              <w:widowControl/>
              <w:suppressLineNumbers w:val="0"/>
              <w:jc w:val="left"/>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u w:val="none"/>
                <w:lang w:val="en-US" w:eastAsia="zh-CN" w:bidi="ar"/>
              </w:rPr>
              <w:t>2024年12月31日竞标银行对富阳区国有控股企业贷款</w:t>
            </w:r>
            <w:r>
              <w:rPr>
                <w:rFonts w:hint="eastAsia" w:cs="仿宋"/>
                <w:i w:val="0"/>
                <w:iCs w:val="0"/>
                <w:snapToGrid w:val="0"/>
                <w:color w:val="000000"/>
                <w:kern w:val="0"/>
                <w:sz w:val="24"/>
                <w:szCs w:val="24"/>
                <w:u w:val="none"/>
                <w:lang w:val="en-US" w:eastAsia="zh-CN" w:bidi="ar"/>
              </w:rPr>
              <w:t>增幅</w:t>
            </w:r>
            <w:bookmarkStart w:id="13" w:name="_GoBack"/>
            <w:bookmarkEnd w:id="13"/>
            <w:r>
              <w:rPr>
                <w:rFonts w:hint="eastAsia" w:ascii="仿宋" w:hAnsi="仿宋" w:eastAsia="仿宋" w:cs="仿宋"/>
                <w:i w:val="0"/>
                <w:iCs w:val="0"/>
                <w:snapToGrid w:val="0"/>
                <w:color w:val="000000"/>
                <w:kern w:val="0"/>
                <w:sz w:val="24"/>
                <w:szCs w:val="24"/>
                <w:u w:val="none"/>
                <w:lang w:val="en-US" w:eastAsia="zh-CN" w:bidi="ar"/>
              </w:rPr>
              <w:t>排名计算得分（2分）。第一名满分,每递减一名扣减的分值为“该项分值/竞标银行数量”。</w:t>
            </w:r>
          </w:p>
        </w:tc>
        <w:tc>
          <w:tcPr>
            <w:tcW w:w="699" w:type="dxa"/>
            <w:vMerge w:val="continue"/>
            <w:tcBorders>
              <w:left w:val="single" w:color="000000" w:sz="4" w:space="0"/>
              <w:right w:val="nil"/>
            </w:tcBorders>
            <w:vAlign w:val="center"/>
          </w:tcPr>
          <w:p>
            <w:pPr>
              <w:jc w:val="center"/>
              <w:rPr>
                <w:rFonts w:hint="eastAsia"/>
                <w:snapToGrid w:val="0"/>
                <w:color w:val="000000"/>
                <w:kern w:val="0"/>
                <w:sz w:val="24"/>
                <w:szCs w:val="24"/>
                <w:highlight w:val="none"/>
                <w:lang w:eastAsia="zh-CN"/>
              </w:rPr>
            </w:pPr>
          </w:p>
        </w:tc>
        <w:tc>
          <w:tcPr>
            <w:tcW w:w="1198" w:type="dxa"/>
            <w:vMerge w:val="continue"/>
            <w:tcBorders>
              <w:left w:val="single" w:color="000000" w:sz="4" w:space="0"/>
              <w:right w:val="single" w:color="000000" w:sz="4" w:space="0"/>
            </w:tcBorders>
            <w:vAlign w:val="center"/>
          </w:tcPr>
          <w:p>
            <w:pPr>
              <w:rPr>
                <w:rFonts w:hint="eastAsia"/>
                <w:snapToGrid w:val="0"/>
                <w:color w:val="000000"/>
                <w:kern w:val="0"/>
                <w:sz w:val="24"/>
                <w:szCs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8" w:hRule="atLeast"/>
          <w:jc w:val="center"/>
        </w:trPr>
        <w:tc>
          <w:tcPr>
            <w:tcW w:w="701" w:type="dxa"/>
            <w:vMerge w:val="continue"/>
            <w:tcBorders>
              <w:top w:val="nil"/>
              <w:bottom w:val="nil"/>
            </w:tcBorders>
            <w:vAlign w:val="center"/>
          </w:tcPr>
          <w:p>
            <w:pPr>
              <w:rPr>
                <w:rFonts w:hint="eastAsia"/>
                <w:snapToGrid w:val="0"/>
                <w:color w:val="000000"/>
                <w:kern w:val="0"/>
                <w:sz w:val="24"/>
                <w:szCs w:val="24"/>
                <w:highlight w:val="none"/>
                <w:lang w:eastAsia="zh-CN"/>
              </w:rPr>
            </w:pPr>
          </w:p>
        </w:tc>
        <w:tc>
          <w:tcPr>
            <w:tcW w:w="1287" w:type="dxa"/>
            <w:vMerge w:val="restart"/>
            <w:tcBorders>
              <w:left w:val="single" w:color="000000" w:sz="4" w:space="0"/>
              <w:right w:val="single" w:color="000000" w:sz="4" w:space="0"/>
            </w:tcBorders>
            <w:vAlign w:val="center"/>
          </w:tcPr>
          <w:p>
            <w:pPr>
              <w:keepNext w:val="0"/>
              <w:keepLines w:val="0"/>
              <w:widowControl/>
              <w:suppressLineNumbers w:val="0"/>
              <w:jc w:val="left"/>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u w:val="none"/>
                <w:lang w:val="en-US" w:eastAsia="zh-CN" w:bidi="ar"/>
              </w:rPr>
              <w:t>支持私人控股企业信贷指标</w:t>
            </w:r>
          </w:p>
        </w:tc>
        <w:tc>
          <w:tcPr>
            <w:tcW w:w="1480" w:type="dxa"/>
            <w:vMerge w:val="restart"/>
            <w:tcBorders>
              <w:left w:val="single" w:color="000000" w:sz="4" w:space="0"/>
              <w:right w:val="single" w:color="000000" w:sz="4" w:space="0"/>
            </w:tcBorders>
            <w:vAlign w:val="center"/>
          </w:tcPr>
          <w:p>
            <w:pPr>
              <w:keepNext w:val="0"/>
              <w:keepLines w:val="0"/>
              <w:widowControl/>
              <w:suppressLineNumbers w:val="0"/>
              <w:jc w:val="left"/>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u w:val="none"/>
                <w:lang w:val="en-US" w:eastAsia="zh-CN" w:bidi="ar"/>
              </w:rPr>
              <w:t>指2024年末各竞标银行对富阳区私人控股企业信贷支持力度。</w:t>
            </w:r>
          </w:p>
        </w:tc>
        <w:tc>
          <w:tcPr>
            <w:tcW w:w="3810"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2024年12月31日竞标银行对富阳区私人控股企业贷款余额排名计算得分（2分）。第一名满分,每递减一名扣减的分值为“该项分值/竞标银行数量”。</w:t>
            </w:r>
          </w:p>
        </w:tc>
        <w:tc>
          <w:tcPr>
            <w:tcW w:w="699" w:type="dxa"/>
            <w:vMerge w:val="restart"/>
            <w:tcBorders>
              <w:left w:val="single" w:color="000000" w:sz="4" w:space="0"/>
              <w:right w:val="nil"/>
            </w:tcBorders>
            <w:vAlign w:val="center"/>
          </w:tcPr>
          <w:p>
            <w:pPr>
              <w:keepNext w:val="0"/>
              <w:keepLines w:val="0"/>
              <w:widowControl/>
              <w:suppressLineNumbers w:val="0"/>
              <w:jc w:val="center"/>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u w:val="none"/>
                <w:lang w:val="en-US" w:eastAsia="zh-CN" w:bidi="ar"/>
              </w:rPr>
              <w:t>4</w:t>
            </w:r>
          </w:p>
        </w:tc>
        <w:tc>
          <w:tcPr>
            <w:tcW w:w="1198" w:type="dxa"/>
            <w:vMerge w:val="restart"/>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u w:val="none"/>
                <w:lang w:val="en-US" w:eastAsia="zh-CN" w:bidi="ar"/>
              </w:rPr>
              <w:t>由浙江金融监管局富阳监管支局提供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8" w:hRule="atLeast"/>
          <w:jc w:val="center"/>
        </w:trPr>
        <w:tc>
          <w:tcPr>
            <w:tcW w:w="701" w:type="dxa"/>
            <w:vMerge w:val="continue"/>
            <w:tcBorders>
              <w:top w:val="nil"/>
              <w:bottom w:val="nil"/>
            </w:tcBorders>
            <w:vAlign w:val="center"/>
          </w:tcPr>
          <w:p>
            <w:pPr>
              <w:rPr>
                <w:rFonts w:hint="eastAsia"/>
                <w:snapToGrid w:val="0"/>
                <w:color w:val="000000"/>
                <w:kern w:val="0"/>
                <w:sz w:val="24"/>
                <w:szCs w:val="24"/>
                <w:highlight w:val="none"/>
                <w:lang w:eastAsia="zh-CN"/>
              </w:rPr>
            </w:pPr>
          </w:p>
        </w:tc>
        <w:tc>
          <w:tcPr>
            <w:tcW w:w="1287" w:type="dxa"/>
            <w:vMerge w:val="continue"/>
            <w:tcBorders>
              <w:left w:val="single" w:color="000000" w:sz="4" w:space="0"/>
              <w:right w:val="single" w:color="000000" w:sz="4" w:space="0"/>
            </w:tcBorders>
            <w:vAlign w:val="center"/>
          </w:tcPr>
          <w:p>
            <w:pPr>
              <w:rPr>
                <w:rFonts w:hint="eastAsia"/>
                <w:snapToGrid w:val="0"/>
                <w:color w:val="000000"/>
                <w:kern w:val="0"/>
                <w:sz w:val="24"/>
                <w:szCs w:val="24"/>
                <w:highlight w:val="none"/>
                <w:lang w:eastAsia="zh-CN"/>
              </w:rPr>
            </w:pPr>
          </w:p>
        </w:tc>
        <w:tc>
          <w:tcPr>
            <w:tcW w:w="1480" w:type="dxa"/>
            <w:vMerge w:val="continue"/>
            <w:tcBorders>
              <w:left w:val="single" w:color="000000" w:sz="4" w:space="0"/>
              <w:right w:val="single" w:color="000000" w:sz="4" w:space="0"/>
            </w:tcBorders>
            <w:vAlign w:val="center"/>
          </w:tcPr>
          <w:p>
            <w:pPr>
              <w:rPr>
                <w:rFonts w:hint="eastAsia"/>
                <w:snapToGrid w:val="0"/>
                <w:color w:val="000000"/>
                <w:kern w:val="0"/>
                <w:sz w:val="24"/>
                <w:szCs w:val="24"/>
                <w:highlight w:val="none"/>
                <w:lang w:eastAsia="zh-CN"/>
              </w:rPr>
            </w:pPr>
          </w:p>
        </w:tc>
        <w:tc>
          <w:tcPr>
            <w:tcW w:w="3810" w:type="dxa"/>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2024年12月31日竞标银行对富阳区私人控股企业贷款增幅排名计算得分（2分）。第一名满分,每递减一名扣减的分值为“该项分值/竞标银行数量”。</w:t>
            </w:r>
          </w:p>
        </w:tc>
        <w:tc>
          <w:tcPr>
            <w:tcW w:w="699" w:type="dxa"/>
            <w:vMerge w:val="continue"/>
            <w:tcBorders>
              <w:left w:val="single" w:color="000000" w:sz="4" w:space="0"/>
              <w:right w:val="nil"/>
            </w:tcBorders>
            <w:vAlign w:val="center"/>
          </w:tcPr>
          <w:p>
            <w:pPr>
              <w:jc w:val="center"/>
              <w:rPr>
                <w:rFonts w:hint="eastAsia"/>
                <w:snapToGrid w:val="0"/>
                <w:color w:val="000000"/>
                <w:kern w:val="0"/>
                <w:sz w:val="24"/>
                <w:szCs w:val="24"/>
                <w:highlight w:val="none"/>
                <w:lang w:eastAsia="zh-CN"/>
              </w:rPr>
            </w:pPr>
          </w:p>
        </w:tc>
        <w:tc>
          <w:tcPr>
            <w:tcW w:w="1198" w:type="dxa"/>
            <w:vMerge w:val="continue"/>
            <w:tcBorders>
              <w:left w:val="single" w:color="000000" w:sz="4" w:space="0"/>
              <w:right w:val="single" w:color="000000" w:sz="4" w:space="0"/>
            </w:tcBorders>
            <w:vAlign w:val="center"/>
          </w:tcPr>
          <w:p>
            <w:pPr>
              <w:rPr>
                <w:rFonts w:hint="eastAsia"/>
                <w:snapToGrid w:val="0"/>
                <w:color w:val="000000"/>
                <w:kern w:val="0"/>
                <w:sz w:val="24"/>
                <w:szCs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76" w:hRule="atLeast"/>
          <w:jc w:val="center"/>
        </w:trPr>
        <w:tc>
          <w:tcPr>
            <w:tcW w:w="701" w:type="dxa"/>
            <w:vMerge w:val="continue"/>
            <w:tcBorders>
              <w:top w:val="nil"/>
              <w:bottom w:val="nil"/>
            </w:tcBorders>
            <w:vAlign w:val="center"/>
          </w:tcPr>
          <w:p>
            <w:pPr>
              <w:rPr>
                <w:rFonts w:hint="eastAsia"/>
                <w:snapToGrid w:val="0"/>
                <w:color w:val="000000"/>
                <w:kern w:val="0"/>
                <w:sz w:val="24"/>
                <w:szCs w:val="24"/>
                <w:highlight w:val="none"/>
                <w:lang w:eastAsia="zh-CN"/>
              </w:rPr>
            </w:pPr>
          </w:p>
        </w:tc>
        <w:tc>
          <w:tcPr>
            <w:tcW w:w="1287" w:type="dxa"/>
            <w:vMerge w:val="restart"/>
            <w:vAlign w:val="center"/>
          </w:tcPr>
          <w:p>
            <w:pPr>
              <w:keepNext w:val="0"/>
              <w:keepLines w:val="0"/>
              <w:widowControl/>
              <w:suppressLineNumbers w:val="0"/>
              <w:jc w:val="both"/>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u w:val="none"/>
                <w:lang w:val="en-US" w:eastAsia="zh-CN" w:bidi="ar"/>
              </w:rPr>
              <w:t>支持小微企业信贷指标</w:t>
            </w:r>
          </w:p>
        </w:tc>
        <w:tc>
          <w:tcPr>
            <w:tcW w:w="1480" w:type="dxa"/>
            <w:vMerge w:val="restart"/>
            <w:vAlign w:val="center"/>
          </w:tcPr>
          <w:p>
            <w:pPr>
              <w:keepNext w:val="0"/>
              <w:keepLines w:val="0"/>
              <w:widowControl/>
              <w:suppressLineNumbers w:val="0"/>
              <w:jc w:val="both"/>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u w:val="none"/>
                <w:lang w:val="en-US" w:eastAsia="zh-CN" w:bidi="ar"/>
              </w:rPr>
              <w:t>指2024年末各竞标银行对富阳区小微企业信贷支持力度。</w:t>
            </w:r>
          </w:p>
        </w:tc>
        <w:tc>
          <w:tcPr>
            <w:tcW w:w="3810" w:type="dxa"/>
            <w:vAlign w:val="center"/>
          </w:tcPr>
          <w:p>
            <w:pPr>
              <w:keepNext w:val="0"/>
              <w:keepLines w:val="0"/>
              <w:widowControl/>
              <w:suppressLineNumbers w:val="0"/>
              <w:jc w:val="left"/>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u w:val="none"/>
                <w:lang w:val="en-US" w:eastAsia="zh-CN" w:bidi="ar"/>
              </w:rPr>
              <w:t>2024年12月31日竞标银行对富阳区小微企业贷款余额排名计算得分（2分）。第一名满分,每递减一名扣减的分值为“该项分值/竞标银行数量”。</w:t>
            </w:r>
          </w:p>
        </w:tc>
        <w:tc>
          <w:tcPr>
            <w:tcW w:w="699" w:type="dxa"/>
            <w:vMerge w:val="restart"/>
            <w:vAlign w:val="center"/>
          </w:tcPr>
          <w:p>
            <w:pPr>
              <w:keepNext w:val="0"/>
              <w:keepLines w:val="0"/>
              <w:widowControl/>
              <w:suppressLineNumbers w:val="0"/>
              <w:jc w:val="center"/>
              <w:textAlignment w:val="center"/>
              <w:rPr>
                <w:rFonts w:hint="default"/>
                <w:snapToGrid w:val="0"/>
                <w:color w:val="000000"/>
                <w:kern w:val="0"/>
                <w:sz w:val="24"/>
                <w:szCs w:val="24"/>
                <w:highlight w:val="none"/>
                <w:lang w:val="en-US" w:eastAsia="zh-CN"/>
              </w:rPr>
            </w:pPr>
            <w:r>
              <w:rPr>
                <w:rFonts w:hint="eastAsia" w:ascii="仿宋" w:hAnsi="仿宋" w:eastAsia="仿宋" w:cs="仿宋"/>
                <w:i w:val="0"/>
                <w:iCs w:val="0"/>
                <w:snapToGrid w:val="0"/>
                <w:color w:val="000000"/>
                <w:kern w:val="0"/>
                <w:sz w:val="24"/>
                <w:szCs w:val="24"/>
                <w:u w:val="none"/>
                <w:lang w:val="en-US" w:eastAsia="zh-CN" w:bidi="ar"/>
              </w:rPr>
              <w:t>4</w:t>
            </w:r>
          </w:p>
        </w:tc>
        <w:tc>
          <w:tcPr>
            <w:tcW w:w="1198" w:type="dxa"/>
            <w:vMerge w:val="restart"/>
            <w:vAlign w:val="center"/>
          </w:tcPr>
          <w:p>
            <w:pPr>
              <w:keepNext w:val="0"/>
              <w:keepLines w:val="0"/>
              <w:widowControl/>
              <w:suppressLineNumbers w:val="0"/>
              <w:jc w:val="center"/>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u w:val="none"/>
                <w:lang w:val="en-US" w:eastAsia="zh-CN" w:bidi="ar"/>
              </w:rPr>
              <w:t>由浙江金融监管局富阳监管支局提供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8" w:hRule="atLeast"/>
          <w:jc w:val="center"/>
        </w:trPr>
        <w:tc>
          <w:tcPr>
            <w:tcW w:w="701" w:type="dxa"/>
            <w:vMerge w:val="continue"/>
            <w:tcBorders>
              <w:top w:val="nil"/>
              <w:bottom w:val="nil"/>
            </w:tcBorders>
            <w:vAlign w:val="center"/>
          </w:tcPr>
          <w:p>
            <w:pPr>
              <w:rPr>
                <w:rFonts w:hint="eastAsia"/>
                <w:snapToGrid w:val="0"/>
                <w:color w:val="000000"/>
                <w:kern w:val="0"/>
                <w:sz w:val="24"/>
                <w:szCs w:val="24"/>
                <w:highlight w:val="none"/>
                <w:lang w:eastAsia="zh-CN"/>
              </w:rPr>
            </w:pPr>
          </w:p>
        </w:tc>
        <w:tc>
          <w:tcPr>
            <w:tcW w:w="1287" w:type="dxa"/>
            <w:vMerge w:val="continue"/>
            <w:vAlign w:val="center"/>
          </w:tcPr>
          <w:p>
            <w:pPr>
              <w:rPr>
                <w:rFonts w:hint="eastAsia"/>
                <w:snapToGrid w:val="0"/>
                <w:color w:val="000000"/>
                <w:kern w:val="0"/>
                <w:sz w:val="24"/>
                <w:szCs w:val="24"/>
                <w:highlight w:val="none"/>
                <w:lang w:eastAsia="zh-CN"/>
              </w:rPr>
            </w:pPr>
          </w:p>
        </w:tc>
        <w:tc>
          <w:tcPr>
            <w:tcW w:w="1480" w:type="dxa"/>
            <w:vMerge w:val="continue"/>
            <w:vAlign w:val="center"/>
          </w:tcPr>
          <w:p>
            <w:pPr>
              <w:rPr>
                <w:rFonts w:hint="eastAsia"/>
                <w:snapToGrid w:val="0"/>
                <w:color w:val="000000"/>
                <w:kern w:val="0"/>
                <w:sz w:val="24"/>
                <w:szCs w:val="24"/>
                <w:highlight w:val="none"/>
                <w:lang w:eastAsia="zh-CN"/>
              </w:rPr>
            </w:pPr>
          </w:p>
        </w:tc>
        <w:tc>
          <w:tcPr>
            <w:tcW w:w="3810" w:type="dxa"/>
            <w:vAlign w:val="center"/>
          </w:tcPr>
          <w:p>
            <w:pPr>
              <w:keepNext w:val="0"/>
              <w:keepLines w:val="0"/>
              <w:widowControl/>
              <w:suppressLineNumbers w:val="0"/>
              <w:jc w:val="left"/>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u w:val="none"/>
                <w:lang w:val="en-US" w:eastAsia="zh-CN" w:bidi="ar"/>
              </w:rPr>
              <w:t>2024年12月31日竞标银行对富阳区小微企业贷款增幅排名计算得分（2分）。第一名满分,每递减一名扣减的分值为“该项分值/竞标银行数量”。</w:t>
            </w:r>
          </w:p>
        </w:tc>
        <w:tc>
          <w:tcPr>
            <w:tcW w:w="699" w:type="dxa"/>
            <w:vMerge w:val="continue"/>
            <w:vAlign w:val="center"/>
          </w:tcPr>
          <w:p>
            <w:pPr>
              <w:jc w:val="center"/>
              <w:rPr>
                <w:rFonts w:hint="eastAsia"/>
                <w:snapToGrid w:val="0"/>
                <w:color w:val="000000"/>
                <w:kern w:val="0"/>
                <w:sz w:val="24"/>
                <w:szCs w:val="24"/>
                <w:highlight w:val="none"/>
                <w:lang w:eastAsia="zh-CN"/>
              </w:rPr>
            </w:pPr>
          </w:p>
        </w:tc>
        <w:tc>
          <w:tcPr>
            <w:tcW w:w="1198" w:type="dxa"/>
            <w:vMerge w:val="continue"/>
            <w:vAlign w:val="center"/>
          </w:tcPr>
          <w:p>
            <w:pPr>
              <w:rPr>
                <w:rFonts w:hint="eastAsia"/>
                <w:snapToGrid w:val="0"/>
                <w:color w:val="000000"/>
                <w:kern w:val="0"/>
                <w:sz w:val="24"/>
                <w:szCs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86" w:hRule="atLeast"/>
          <w:jc w:val="center"/>
        </w:trPr>
        <w:tc>
          <w:tcPr>
            <w:tcW w:w="701" w:type="dxa"/>
            <w:vMerge w:val="continue"/>
            <w:tcBorders>
              <w:top w:val="nil"/>
              <w:bottom w:val="nil"/>
            </w:tcBorders>
            <w:vAlign w:val="center"/>
          </w:tcPr>
          <w:p>
            <w:pPr>
              <w:rPr>
                <w:rFonts w:hint="eastAsia"/>
                <w:snapToGrid w:val="0"/>
                <w:color w:val="000000"/>
                <w:kern w:val="0"/>
                <w:sz w:val="24"/>
                <w:szCs w:val="24"/>
                <w:highlight w:val="none"/>
                <w:lang w:eastAsia="zh-CN"/>
              </w:rPr>
            </w:pPr>
          </w:p>
        </w:tc>
        <w:tc>
          <w:tcPr>
            <w:tcW w:w="1287" w:type="dxa"/>
            <w:vMerge w:val="restart"/>
            <w:vAlign w:val="center"/>
          </w:tcPr>
          <w:p>
            <w:pPr>
              <w:keepNext w:val="0"/>
              <w:keepLines w:val="0"/>
              <w:widowControl/>
              <w:suppressLineNumbers w:val="0"/>
              <w:jc w:val="left"/>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u w:val="none"/>
                <w:lang w:val="en-US" w:eastAsia="zh-CN" w:bidi="ar"/>
              </w:rPr>
              <w:t>支持制造业企业信贷指标</w:t>
            </w:r>
          </w:p>
        </w:tc>
        <w:tc>
          <w:tcPr>
            <w:tcW w:w="1480" w:type="dxa"/>
            <w:vMerge w:val="restart"/>
            <w:vAlign w:val="center"/>
          </w:tcPr>
          <w:p>
            <w:pPr>
              <w:keepNext w:val="0"/>
              <w:keepLines w:val="0"/>
              <w:widowControl/>
              <w:suppressLineNumbers w:val="0"/>
              <w:jc w:val="left"/>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u w:val="none"/>
                <w:lang w:val="en-US" w:eastAsia="zh-CN" w:bidi="ar"/>
              </w:rPr>
              <w:t>指2024年末各竞标银行对富阳区制造业企业信贷支持力度。</w:t>
            </w:r>
          </w:p>
        </w:tc>
        <w:tc>
          <w:tcPr>
            <w:tcW w:w="3810" w:type="dxa"/>
            <w:tcBorders>
              <w:bottom w:val="nil"/>
            </w:tcBorders>
            <w:vAlign w:val="center"/>
          </w:tcPr>
          <w:p>
            <w:pPr>
              <w:keepNext w:val="0"/>
              <w:keepLines w:val="0"/>
              <w:widowControl/>
              <w:suppressLineNumbers w:val="0"/>
              <w:jc w:val="both"/>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u w:val="none"/>
                <w:lang w:val="en-US" w:eastAsia="zh-CN" w:bidi="ar"/>
              </w:rPr>
              <w:t>2024年12月31日竞标银行对富阳区制造业企业贷款余额排名计算得分（2分）。第一名满分,每递减一名扣减的分值为“该项分值/竞标银行数量”。</w:t>
            </w:r>
          </w:p>
        </w:tc>
        <w:tc>
          <w:tcPr>
            <w:tcW w:w="699" w:type="dxa"/>
            <w:vMerge w:val="restart"/>
            <w:vAlign w:val="center"/>
          </w:tcPr>
          <w:p>
            <w:pPr>
              <w:keepNext w:val="0"/>
              <w:keepLines w:val="0"/>
              <w:widowControl/>
              <w:suppressLineNumbers w:val="0"/>
              <w:jc w:val="center"/>
              <w:textAlignment w:val="center"/>
              <w:rPr>
                <w:rFonts w:hint="default"/>
                <w:snapToGrid w:val="0"/>
                <w:color w:val="000000"/>
                <w:kern w:val="0"/>
                <w:sz w:val="24"/>
                <w:szCs w:val="24"/>
                <w:highlight w:val="none"/>
                <w:lang w:val="en-US" w:eastAsia="zh-CN"/>
              </w:rPr>
            </w:pPr>
            <w:r>
              <w:rPr>
                <w:rFonts w:hint="eastAsia" w:ascii="仿宋" w:hAnsi="仿宋" w:eastAsia="仿宋" w:cs="仿宋"/>
                <w:i w:val="0"/>
                <w:iCs w:val="0"/>
                <w:snapToGrid w:val="0"/>
                <w:color w:val="000000"/>
                <w:kern w:val="0"/>
                <w:sz w:val="24"/>
                <w:szCs w:val="24"/>
                <w:u w:val="none"/>
                <w:lang w:val="en-US" w:eastAsia="zh-CN" w:bidi="ar"/>
              </w:rPr>
              <w:t>4</w:t>
            </w:r>
          </w:p>
        </w:tc>
        <w:tc>
          <w:tcPr>
            <w:tcW w:w="1198" w:type="dxa"/>
            <w:vMerge w:val="restart"/>
            <w:vAlign w:val="center"/>
          </w:tcPr>
          <w:p>
            <w:pPr>
              <w:keepNext w:val="0"/>
              <w:keepLines w:val="0"/>
              <w:widowControl/>
              <w:suppressLineNumbers w:val="0"/>
              <w:jc w:val="center"/>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u w:val="none"/>
                <w:lang w:val="en-US" w:eastAsia="zh-CN" w:bidi="ar"/>
              </w:rPr>
              <w:t>由浙江金融监管局富阳监管支局提供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8" w:hRule="atLeast"/>
          <w:jc w:val="center"/>
        </w:trPr>
        <w:tc>
          <w:tcPr>
            <w:tcW w:w="701" w:type="dxa"/>
            <w:tcBorders>
              <w:top w:val="nil"/>
              <w:bottom w:val="nil"/>
            </w:tcBorders>
            <w:vAlign w:val="center"/>
          </w:tcPr>
          <w:p>
            <w:pPr>
              <w:rPr>
                <w:rFonts w:hint="eastAsia"/>
                <w:snapToGrid w:val="0"/>
                <w:color w:val="000000"/>
                <w:kern w:val="0"/>
                <w:sz w:val="24"/>
                <w:szCs w:val="24"/>
                <w:highlight w:val="none"/>
                <w:lang w:eastAsia="zh-CN"/>
              </w:rPr>
            </w:pPr>
          </w:p>
        </w:tc>
        <w:tc>
          <w:tcPr>
            <w:tcW w:w="1287" w:type="dxa"/>
            <w:vMerge w:val="continue"/>
            <w:tcBorders>
              <w:bottom w:val="nil"/>
            </w:tcBorders>
            <w:vAlign w:val="center"/>
          </w:tcPr>
          <w:p>
            <w:pPr>
              <w:rPr>
                <w:rFonts w:hint="eastAsia"/>
                <w:snapToGrid w:val="0"/>
                <w:color w:val="000000"/>
                <w:kern w:val="0"/>
                <w:sz w:val="24"/>
                <w:szCs w:val="24"/>
                <w:highlight w:val="none"/>
                <w:lang w:eastAsia="zh-CN"/>
              </w:rPr>
            </w:pPr>
          </w:p>
        </w:tc>
        <w:tc>
          <w:tcPr>
            <w:tcW w:w="1480" w:type="dxa"/>
            <w:vMerge w:val="continue"/>
            <w:tcBorders>
              <w:bottom w:val="nil"/>
            </w:tcBorders>
            <w:vAlign w:val="center"/>
          </w:tcPr>
          <w:p>
            <w:pPr>
              <w:rPr>
                <w:rFonts w:hint="eastAsia"/>
                <w:snapToGrid w:val="0"/>
                <w:color w:val="000000"/>
                <w:kern w:val="0"/>
                <w:sz w:val="24"/>
                <w:szCs w:val="24"/>
                <w:highlight w:val="none"/>
                <w:lang w:eastAsia="zh-CN"/>
              </w:rPr>
            </w:pPr>
          </w:p>
        </w:tc>
        <w:tc>
          <w:tcPr>
            <w:tcW w:w="3810" w:type="dxa"/>
            <w:tcBorders>
              <w:bottom w:val="nil"/>
            </w:tcBorders>
            <w:vAlign w:val="center"/>
          </w:tcPr>
          <w:p>
            <w:pPr>
              <w:keepNext w:val="0"/>
              <w:keepLines w:val="0"/>
              <w:widowControl/>
              <w:suppressLineNumbers w:val="0"/>
              <w:jc w:val="both"/>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u w:val="none"/>
                <w:lang w:val="en-US" w:eastAsia="zh-CN" w:bidi="ar"/>
              </w:rPr>
              <w:t>对2024年12月31日竞标银行对富阳区制造业企业贷款增幅排名计算得分（2分）。第一名满分,每递减一名扣减的分值为“该项分值/竞标银行数量”。</w:t>
            </w:r>
          </w:p>
        </w:tc>
        <w:tc>
          <w:tcPr>
            <w:tcW w:w="699" w:type="dxa"/>
            <w:vMerge w:val="continue"/>
            <w:tcBorders>
              <w:bottom w:val="nil"/>
            </w:tcBorders>
            <w:vAlign w:val="center"/>
          </w:tcPr>
          <w:p>
            <w:pPr>
              <w:jc w:val="center"/>
              <w:rPr>
                <w:rFonts w:hint="eastAsia"/>
                <w:snapToGrid w:val="0"/>
                <w:color w:val="000000"/>
                <w:kern w:val="0"/>
                <w:sz w:val="24"/>
                <w:szCs w:val="24"/>
                <w:highlight w:val="none"/>
                <w:lang w:eastAsia="zh-CN"/>
              </w:rPr>
            </w:pPr>
          </w:p>
        </w:tc>
        <w:tc>
          <w:tcPr>
            <w:tcW w:w="1198" w:type="dxa"/>
            <w:vMerge w:val="continue"/>
            <w:tcBorders>
              <w:bottom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3"/>
                <w:sz w:val="24"/>
                <w:szCs w:val="24"/>
                <w:highlight w:val="none"/>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86" w:hRule="atLeast"/>
          <w:jc w:val="center"/>
        </w:trPr>
        <w:tc>
          <w:tcPr>
            <w:tcW w:w="701" w:type="dxa"/>
            <w:tcBorders>
              <w:top w:val="nil"/>
              <w:bottom w:val="nil"/>
            </w:tcBorders>
            <w:vAlign w:val="center"/>
          </w:tcPr>
          <w:p>
            <w:pPr>
              <w:rPr>
                <w:rFonts w:hint="eastAsia"/>
                <w:snapToGrid w:val="0"/>
                <w:color w:val="000000"/>
                <w:kern w:val="0"/>
                <w:sz w:val="24"/>
                <w:szCs w:val="24"/>
                <w:highlight w:val="none"/>
                <w:lang w:eastAsia="zh-CN"/>
              </w:rPr>
            </w:pPr>
          </w:p>
        </w:tc>
        <w:tc>
          <w:tcPr>
            <w:tcW w:w="1287" w:type="dxa"/>
            <w:vMerge w:val="restart"/>
            <w:vAlign w:val="center"/>
          </w:tcPr>
          <w:p>
            <w:pPr>
              <w:keepNext w:val="0"/>
              <w:keepLines w:val="0"/>
              <w:widowControl/>
              <w:suppressLineNumbers w:val="0"/>
              <w:jc w:val="left"/>
              <w:textAlignment w:val="center"/>
              <w:rPr>
                <w:rFonts w:hint="eastAsia"/>
                <w:snapToGrid w:val="0"/>
                <w:color w:val="000000"/>
                <w:kern w:val="0"/>
                <w:sz w:val="24"/>
                <w:szCs w:val="24"/>
                <w:highlight w:val="none"/>
                <w:lang w:eastAsia="zh-CN"/>
              </w:rPr>
            </w:pPr>
            <w:bookmarkStart w:id="8" w:name="OLE_LINK4"/>
            <w:r>
              <w:rPr>
                <w:rFonts w:hint="eastAsia" w:ascii="仿宋" w:hAnsi="仿宋" w:eastAsia="仿宋" w:cs="仿宋"/>
                <w:i w:val="0"/>
                <w:iCs w:val="0"/>
                <w:snapToGrid w:val="0"/>
                <w:color w:val="000000"/>
                <w:kern w:val="0"/>
                <w:sz w:val="24"/>
                <w:szCs w:val="24"/>
                <w:highlight w:val="none"/>
                <w:u w:val="none"/>
                <w:lang w:val="en-US" w:eastAsia="zh-CN" w:bidi="ar"/>
              </w:rPr>
              <w:t>金融支持地方基础设施建设情况</w:t>
            </w:r>
            <w:bookmarkEnd w:id="8"/>
          </w:p>
        </w:tc>
        <w:tc>
          <w:tcPr>
            <w:tcW w:w="1480" w:type="dxa"/>
            <w:vMerge w:val="restart"/>
            <w:vAlign w:val="center"/>
          </w:tcPr>
          <w:p>
            <w:pPr>
              <w:keepNext w:val="0"/>
              <w:keepLines w:val="0"/>
              <w:widowControl/>
              <w:suppressLineNumbers w:val="0"/>
              <w:jc w:val="both"/>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highlight w:val="none"/>
                <w:u w:val="none"/>
                <w:lang w:val="en-US" w:eastAsia="zh-CN" w:bidi="ar"/>
              </w:rPr>
              <w:t>该指标反映2024年末竞标银行对本区公共基础设施融资贡献情况。</w:t>
            </w:r>
          </w:p>
        </w:tc>
        <w:tc>
          <w:tcPr>
            <w:tcW w:w="3810" w:type="dxa"/>
            <w:tcBorders>
              <w:bottom w:val="nil"/>
            </w:tcBorders>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截止2024年12月31日，投标人对本区公共基础设施融资余额贡献值。余额贡献度在全区排名第1-2名的得5分，排名第3-4名的得4分，排名第5-6名的得3分，排名7-10名的得2分，排名第10名之外得1分，无融资贡献度的不得分。</w:t>
            </w:r>
          </w:p>
        </w:tc>
        <w:tc>
          <w:tcPr>
            <w:tcW w:w="699" w:type="dxa"/>
            <w:tcBorders>
              <w:bottom w:val="nil"/>
            </w:tcBorders>
            <w:vAlign w:val="center"/>
          </w:tcPr>
          <w:p>
            <w:pPr>
              <w:jc w:val="center"/>
              <w:rPr>
                <w:rFonts w:hint="default"/>
                <w:snapToGrid w:val="0"/>
                <w:color w:val="000000"/>
                <w:kern w:val="0"/>
                <w:sz w:val="24"/>
                <w:szCs w:val="24"/>
                <w:highlight w:val="none"/>
                <w:lang w:val="en-US" w:eastAsia="zh-CN"/>
              </w:rPr>
            </w:pPr>
            <w:r>
              <w:rPr>
                <w:rFonts w:hint="eastAsia"/>
                <w:snapToGrid w:val="0"/>
                <w:color w:val="000000"/>
                <w:kern w:val="0"/>
                <w:sz w:val="24"/>
                <w:szCs w:val="24"/>
                <w:highlight w:val="none"/>
                <w:lang w:val="en-US" w:eastAsia="zh-CN"/>
              </w:rPr>
              <w:t>5</w:t>
            </w:r>
          </w:p>
        </w:tc>
        <w:tc>
          <w:tcPr>
            <w:tcW w:w="1198" w:type="dxa"/>
            <w:tcBorders>
              <w:bottom w:val="nil"/>
            </w:tcBorders>
            <w:vAlign w:val="center"/>
          </w:tcPr>
          <w:p>
            <w:pPr>
              <w:keepNext w:val="0"/>
              <w:keepLines w:val="0"/>
              <w:widowControl/>
              <w:suppressLineNumbers w:val="0"/>
              <w:jc w:val="center"/>
              <w:textAlignment w:val="center"/>
              <w:rPr>
                <w:rFonts w:hint="eastAsia"/>
                <w:snapToGrid w:val="0"/>
                <w:color w:val="000000"/>
                <w:kern w:val="0"/>
                <w:sz w:val="24"/>
                <w:szCs w:val="24"/>
                <w:highlight w:val="none"/>
              </w:rPr>
            </w:pPr>
            <w:r>
              <w:rPr>
                <w:rFonts w:hint="eastAsia" w:ascii="仿宋" w:hAnsi="仿宋" w:eastAsia="仿宋" w:cs="仿宋"/>
                <w:i w:val="0"/>
                <w:iCs w:val="0"/>
                <w:snapToGrid w:val="0"/>
                <w:color w:val="000000"/>
                <w:kern w:val="0"/>
                <w:sz w:val="24"/>
                <w:szCs w:val="24"/>
                <w:highlight w:val="none"/>
                <w:u w:val="none"/>
                <w:lang w:val="en-US" w:eastAsia="zh-CN" w:bidi="ar"/>
              </w:rPr>
              <w:t>由区国有企业投融资协调小组提供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86" w:hRule="atLeast"/>
          <w:jc w:val="center"/>
        </w:trPr>
        <w:tc>
          <w:tcPr>
            <w:tcW w:w="701" w:type="dxa"/>
            <w:tcBorders>
              <w:top w:val="nil"/>
              <w:bottom w:val="nil"/>
            </w:tcBorders>
            <w:vAlign w:val="center"/>
          </w:tcPr>
          <w:p>
            <w:pPr>
              <w:rPr>
                <w:rFonts w:hint="eastAsia"/>
                <w:snapToGrid w:val="0"/>
                <w:color w:val="000000"/>
                <w:kern w:val="0"/>
                <w:sz w:val="24"/>
                <w:szCs w:val="24"/>
                <w:highlight w:val="none"/>
                <w:lang w:eastAsia="zh-CN"/>
              </w:rPr>
            </w:pPr>
          </w:p>
        </w:tc>
        <w:tc>
          <w:tcPr>
            <w:tcW w:w="1287" w:type="dxa"/>
            <w:vMerge w:val="continue"/>
            <w:tcBorders>
              <w:bottom w:val="nil"/>
            </w:tcBorders>
            <w:vAlign w:val="center"/>
          </w:tcPr>
          <w:p>
            <w:pPr>
              <w:rPr>
                <w:rFonts w:hint="eastAsia"/>
                <w:snapToGrid w:val="0"/>
                <w:color w:val="000000"/>
                <w:kern w:val="0"/>
                <w:sz w:val="24"/>
                <w:szCs w:val="24"/>
                <w:highlight w:val="none"/>
                <w:lang w:eastAsia="zh-CN"/>
              </w:rPr>
            </w:pPr>
          </w:p>
        </w:tc>
        <w:tc>
          <w:tcPr>
            <w:tcW w:w="1480" w:type="dxa"/>
            <w:vMerge w:val="continue"/>
            <w:tcBorders>
              <w:bottom w:val="nil"/>
            </w:tcBorders>
            <w:vAlign w:val="center"/>
          </w:tcPr>
          <w:p>
            <w:pPr>
              <w:rPr>
                <w:rFonts w:hint="eastAsia"/>
                <w:snapToGrid w:val="0"/>
                <w:color w:val="000000"/>
                <w:kern w:val="0"/>
                <w:sz w:val="24"/>
                <w:szCs w:val="24"/>
                <w:highlight w:val="none"/>
                <w:lang w:eastAsia="zh-CN"/>
              </w:rPr>
            </w:pPr>
          </w:p>
        </w:tc>
        <w:tc>
          <w:tcPr>
            <w:tcW w:w="3810" w:type="dxa"/>
            <w:tcBorders>
              <w:bottom w:val="nil"/>
            </w:tcBorders>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截止2024年12月31末，向本区公共基础设施融资净增贡献值。净增贡献度在全区排名第1-2名的得5分，排名第3-4名的得4分，排名第5-6名的得3分，排名7-10名的得2分，排名第10名之外得1分，无融资贡献度的不得分。</w:t>
            </w:r>
          </w:p>
        </w:tc>
        <w:tc>
          <w:tcPr>
            <w:tcW w:w="699" w:type="dxa"/>
            <w:tcBorders>
              <w:bottom w:val="nil"/>
            </w:tcBorders>
            <w:vAlign w:val="center"/>
          </w:tcPr>
          <w:p>
            <w:pPr>
              <w:jc w:val="center"/>
              <w:rPr>
                <w:rFonts w:hint="default"/>
                <w:snapToGrid w:val="0"/>
                <w:color w:val="000000"/>
                <w:kern w:val="0"/>
                <w:sz w:val="24"/>
                <w:szCs w:val="24"/>
                <w:highlight w:val="none"/>
                <w:lang w:val="en-US" w:eastAsia="zh-CN"/>
              </w:rPr>
            </w:pPr>
            <w:r>
              <w:rPr>
                <w:rFonts w:hint="eastAsia"/>
                <w:snapToGrid w:val="0"/>
                <w:color w:val="000000"/>
                <w:kern w:val="0"/>
                <w:sz w:val="24"/>
                <w:szCs w:val="24"/>
                <w:highlight w:val="none"/>
                <w:lang w:val="en-US" w:eastAsia="zh-CN"/>
              </w:rPr>
              <w:t>5</w:t>
            </w:r>
          </w:p>
        </w:tc>
        <w:tc>
          <w:tcPr>
            <w:tcW w:w="1198" w:type="dxa"/>
            <w:tcBorders>
              <w:bottom w:val="nil"/>
            </w:tcBorders>
            <w:vAlign w:val="center"/>
          </w:tcPr>
          <w:p>
            <w:pPr>
              <w:keepNext w:val="0"/>
              <w:keepLines w:val="0"/>
              <w:widowControl/>
              <w:suppressLineNumbers w:val="0"/>
              <w:jc w:val="center"/>
              <w:textAlignment w:val="center"/>
              <w:rPr>
                <w:rFonts w:hint="eastAsia"/>
                <w:snapToGrid w:val="0"/>
                <w:color w:val="000000"/>
                <w:kern w:val="0"/>
                <w:sz w:val="24"/>
                <w:szCs w:val="24"/>
                <w:highlight w:val="none"/>
              </w:rPr>
            </w:pPr>
            <w:r>
              <w:rPr>
                <w:rFonts w:hint="eastAsia" w:ascii="仿宋" w:hAnsi="仿宋" w:eastAsia="仿宋" w:cs="仿宋"/>
                <w:i w:val="0"/>
                <w:iCs w:val="0"/>
                <w:snapToGrid w:val="0"/>
                <w:color w:val="000000"/>
                <w:kern w:val="0"/>
                <w:sz w:val="24"/>
                <w:szCs w:val="24"/>
                <w:highlight w:val="none"/>
                <w:u w:val="none"/>
                <w:lang w:val="en-US" w:eastAsia="zh-CN" w:bidi="ar"/>
              </w:rPr>
              <w:t>由区国有企业投融资协调小组提供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4" w:hRule="atLeast"/>
          <w:jc w:val="center"/>
        </w:trPr>
        <w:tc>
          <w:tcPr>
            <w:tcW w:w="701" w:type="dxa"/>
            <w:vMerge w:val="restart"/>
            <w:vAlign w:val="center"/>
          </w:tcPr>
          <w:p>
            <w:pPr>
              <w:rPr>
                <w:rFonts w:hint="eastAsia"/>
                <w:snapToGrid w:val="0"/>
                <w:color w:val="000000"/>
                <w:kern w:val="0"/>
                <w:sz w:val="24"/>
                <w:szCs w:val="24"/>
                <w:highlight w:val="none"/>
              </w:rPr>
            </w:pPr>
            <w:r>
              <w:rPr>
                <w:rFonts w:hint="eastAsia"/>
                <w:snapToGrid w:val="0"/>
                <w:color w:val="000000"/>
                <w:kern w:val="0"/>
                <w:sz w:val="24"/>
                <w:szCs w:val="24"/>
                <w:highlight w:val="none"/>
              </w:rPr>
              <w:t>服务水平（15分）</w:t>
            </w:r>
          </w:p>
        </w:tc>
        <w:tc>
          <w:tcPr>
            <w:tcW w:w="1287" w:type="dxa"/>
            <w:vMerge w:val="restart"/>
            <w:vAlign w:val="center"/>
          </w:tcPr>
          <w:p>
            <w:pPr>
              <w:keepNext w:val="0"/>
              <w:keepLines w:val="0"/>
              <w:widowControl/>
              <w:suppressLineNumbers w:val="0"/>
              <w:jc w:val="left"/>
              <w:textAlignment w:val="center"/>
              <w:rPr>
                <w:rFonts w:hint="eastAsia"/>
                <w:snapToGrid w:val="0"/>
                <w:color w:val="000000"/>
                <w:kern w:val="0"/>
                <w:sz w:val="24"/>
                <w:szCs w:val="24"/>
                <w:highlight w:val="none"/>
              </w:rPr>
            </w:pPr>
            <w:r>
              <w:rPr>
                <w:rFonts w:hint="eastAsia" w:ascii="仿宋" w:hAnsi="仿宋" w:eastAsia="仿宋" w:cs="仿宋"/>
                <w:i w:val="0"/>
                <w:iCs w:val="0"/>
                <w:snapToGrid w:val="0"/>
                <w:color w:val="000000"/>
                <w:kern w:val="0"/>
                <w:sz w:val="24"/>
                <w:szCs w:val="24"/>
                <w:highlight w:val="none"/>
                <w:u w:val="none"/>
                <w:lang w:val="en-US" w:eastAsia="zh-CN" w:bidi="ar"/>
              </w:rPr>
              <w:t>信息系统建设</w:t>
            </w:r>
          </w:p>
        </w:tc>
        <w:tc>
          <w:tcPr>
            <w:tcW w:w="1480" w:type="dxa"/>
            <w:vMerge w:val="restart"/>
            <w:vAlign w:val="center"/>
          </w:tcPr>
          <w:p>
            <w:pPr>
              <w:keepNext w:val="0"/>
              <w:keepLines w:val="0"/>
              <w:widowControl/>
              <w:suppressLineNumbers w:val="0"/>
              <w:jc w:val="left"/>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highlight w:val="none"/>
                <w:u w:val="none"/>
                <w:lang w:val="en-US" w:eastAsia="zh-CN" w:bidi="ar"/>
              </w:rPr>
              <w:t>该指标反映竞标银行信息化建设情况。</w:t>
            </w:r>
          </w:p>
        </w:tc>
        <w:tc>
          <w:tcPr>
            <w:tcW w:w="3810" w:type="dxa"/>
            <w:vAlign w:val="center"/>
          </w:tcPr>
          <w:p>
            <w:pPr>
              <w:keepNext w:val="0"/>
              <w:keepLines w:val="0"/>
              <w:widowControl/>
              <w:suppressLineNumbers w:val="0"/>
              <w:jc w:val="left"/>
              <w:textAlignment w:val="center"/>
              <w:rPr>
                <w:rFonts w:hint="eastAsia"/>
                <w:snapToGrid w:val="0"/>
                <w:color w:val="000000"/>
                <w:kern w:val="0"/>
                <w:sz w:val="24"/>
                <w:szCs w:val="24"/>
                <w:highlight w:val="none"/>
                <w:lang w:eastAsia="zh-CN"/>
              </w:rPr>
            </w:pPr>
            <w:bookmarkStart w:id="9" w:name="bookmark10"/>
            <w:bookmarkEnd w:id="9"/>
            <w:r>
              <w:rPr>
                <w:rFonts w:hint="eastAsia" w:ascii="仿宋" w:hAnsi="仿宋" w:eastAsia="仿宋" w:cs="仿宋"/>
                <w:i w:val="0"/>
                <w:iCs w:val="0"/>
                <w:snapToGrid w:val="0"/>
                <w:color w:val="000000"/>
                <w:kern w:val="0"/>
                <w:sz w:val="24"/>
                <w:szCs w:val="24"/>
                <w:highlight w:val="none"/>
                <w:u w:val="none"/>
                <w:lang w:val="en-US" w:eastAsia="zh-CN" w:bidi="ar"/>
              </w:rPr>
              <w:t>根据本项目实际情况，投标银行对信息系统建设、对账服务、分账核算服务能力（包括但不限于：柜面、网上、电话等对账查询服务，分账核算服务功能，系统对接，便捷的数据导入模式等）进行介绍，由评标委员会根据各投标银行的实际情况进行综合打分。（0-2分）</w:t>
            </w:r>
          </w:p>
        </w:tc>
        <w:tc>
          <w:tcPr>
            <w:tcW w:w="699" w:type="dxa"/>
            <w:vMerge w:val="restart"/>
            <w:vAlign w:val="center"/>
          </w:tcPr>
          <w:p>
            <w:pPr>
              <w:jc w:val="center"/>
              <w:rPr>
                <w:rFonts w:hint="default"/>
                <w:snapToGrid w:val="0"/>
                <w:color w:val="000000"/>
                <w:kern w:val="0"/>
                <w:sz w:val="24"/>
                <w:szCs w:val="24"/>
                <w:highlight w:val="none"/>
                <w:lang w:val="en-US" w:eastAsia="zh-CN"/>
              </w:rPr>
            </w:pPr>
            <w:r>
              <w:rPr>
                <w:rFonts w:hint="eastAsia"/>
                <w:snapToGrid w:val="0"/>
                <w:color w:val="000000"/>
                <w:kern w:val="0"/>
                <w:sz w:val="24"/>
                <w:szCs w:val="24"/>
                <w:highlight w:val="none"/>
                <w:lang w:val="en-US" w:eastAsia="zh-CN"/>
              </w:rPr>
              <w:t>2</w:t>
            </w:r>
          </w:p>
        </w:tc>
        <w:tc>
          <w:tcPr>
            <w:tcW w:w="1198" w:type="dxa"/>
            <w:vMerge w:val="restart"/>
            <w:vAlign w:val="center"/>
          </w:tcPr>
          <w:p>
            <w:pPr>
              <w:rPr>
                <w:rFonts w:hint="eastAsia" w:eastAsia="仿宋"/>
                <w:snapToGrid w:val="0"/>
                <w:color w:val="000000"/>
                <w:kern w:val="0"/>
                <w:sz w:val="24"/>
                <w:szCs w:val="24"/>
                <w:highlight w:val="none"/>
                <w:lang w:eastAsia="zh-CN"/>
              </w:rPr>
            </w:pPr>
            <w:r>
              <w:rPr>
                <w:rFonts w:hint="eastAsia"/>
                <w:snapToGrid w:val="0"/>
                <w:color w:val="000000"/>
                <w:kern w:val="0"/>
                <w:sz w:val="24"/>
                <w:szCs w:val="24"/>
                <w:highlight w:val="none"/>
              </w:rPr>
              <w:t>由竞标银行提供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5" w:hRule="atLeast"/>
          <w:jc w:val="center"/>
        </w:trPr>
        <w:tc>
          <w:tcPr>
            <w:tcW w:w="701" w:type="dxa"/>
            <w:vMerge w:val="continue"/>
            <w:vAlign w:val="center"/>
          </w:tcPr>
          <w:p>
            <w:pPr>
              <w:rPr>
                <w:rFonts w:hint="eastAsia"/>
                <w:snapToGrid w:val="0"/>
                <w:color w:val="000000"/>
                <w:kern w:val="0"/>
                <w:sz w:val="24"/>
                <w:szCs w:val="24"/>
                <w:highlight w:val="none"/>
              </w:rPr>
            </w:pPr>
          </w:p>
        </w:tc>
        <w:tc>
          <w:tcPr>
            <w:tcW w:w="1287" w:type="dxa"/>
            <w:vMerge w:val="continue"/>
            <w:tcBorders>
              <w:bottom w:val="nil"/>
            </w:tcBorders>
            <w:vAlign w:val="center"/>
          </w:tcPr>
          <w:p>
            <w:pPr>
              <w:rPr>
                <w:rFonts w:hint="eastAsia"/>
                <w:snapToGrid w:val="0"/>
                <w:color w:val="000000"/>
                <w:kern w:val="0"/>
                <w:sz w:val="24"/>
                <w:szCs w:val="24"/>
                <w:highlight w:val="none"/>
              </w:rPr>
            </w:pPr>
          </w:p>
        </w:tc>
        <w:tc>
          <w:tcPr>
            <w:tcW w:w="1480" w:type="dxa"/>
            <w:vMerge w:val="continue"/>
            <w:tcBorders>
              <w:bottom w:val="nil"/>
            </w:tcBorders>
            <w:vAlign w:val="center"/>
          </w:tcPr>
          <w:p>
            <w:pPr>
              <w:rPr>
                <w:rFonts w:hint="eastAsia"/>
                <w:snapToGrid w:val="0"/>
                <w:color w:val="000000"/>
                <w:kern w:val="0"/>
                <w:sz w:val="24"/>
                <w:szCs w:val="24"/>
                <w:highlight w:val="none"/>
                <w:lang w:eastAsia="zh-CN"/>
              </w:rPr>
            </w:pPr>
          </w:p>
        </w:tc>
        <w:tc>
          <w:tcPr>
            <w:tcW w:w="3810" w:type="dxa"/>
            <w:vAlign w:val="center"/>
          </w:tcPr>
          <w:p>
            <w:pPr>
              <w:keepNext w:val="0"/>
              <w:keepLines w:val="0"/>
              <w:widowControl/>
              <w:suppressLineNumbers w:val="0"/>
              <w:jc w:val="both"/>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highlight w:val="none"/>
                <w:u w:val="none"/>
                <w:lang w:val="en-US" w:eastAsia="zh-CN" w:bidi="ar"/>
              </w:rPr>
              <w:t>注：投标人可根据自身的实际情况后附相应的情况说明或证明材料，描述不清楚或内容不清晰的，导致评标委员会无法判定的，有可能扣分或不得分。</w:t>
            </w:r>
          </w:p>
        </w:tc>
        <w:tc>
          <w:tcPr>
            <w:tcW w:w="699" w:type="dxa"/>
            <w:vMerge w:val="continue"/>
            <w:vAlign w:val="center"/>
          </w:tcPr>
          <w:p>
            <w:pPr>
              <w:jc w:val="center"/>
              <w:rPr>
                <w:rFonts w:hint="eastAsia"/>
                <w:snapToGrid w:val="0"/>
                <w:color w:val="000000"/>
                <w:kern w:val="0"/>
                <w:sz w:val="24"/>
                <w:szCs w:val="24"/>
                <w:highlight w:val="none"/>
                <w:lang w:eastAsia="zh-CN"/>
              </w:rPr>
            </w:pPr>
          </w:p>
        </w:tc>
        <w:tc>
          <w:tcPr>
            <w:tcW w:w="1198" w:type="dxa"/>
            <w:vMerge w:val="continue"/>
            <w:vAlign w:val="center"/>
          </w:tcPr>
          <w:p>
            <w:pPr>
              <w:rPr>
                <w:rFonts w:hint="eastAsia"/>
                <w:snapToGrid w:val="0"/>
                <w:color w:val="000000"/>
                <w:kern w:val="0"/>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 w:hRule="atLeast"/>
          <w:jc w:val="center"/>
        </w:trPr>
        <w:tc>
          <w:tcPr>
            <w:tcW w:w="701" w:type="dxa"/>
            <w:vMerge w:val="continue"/>
            <w:vAlign w:val="center"/>
          </w:tcPr>
          <w:p>
            <w:pPr>
              <w:rPr>
                <w:rFonts w:hint="eastAsia"/>
                <w:snapToGrid w:val="0"/>
                <w:color w:val="000000"/>
                <w:kern w:val="0"/>
                <w:sz w:val="24"/>
                <w:szCs w:val="24"/>
                <w:highlight w:val="none"/>
              </w:rPr>
            </w:pPr>
          </w:p>
        </w:tc>
        <w:tc>
          <w:tcPr>
            <w:tcW w:w="1287" w:type="dxa"/>
            <w:vMerge w:val="restart"/>
            <w:vAlign w:val="center"/>
          </w:tcPr>
          <w:p>
            <w:pPr>
              <w:keepNext w:val="0"/>
              <w:keepLines w:val="0"/>
              <w:widowControl/>
              <w:suppressLineNumbers w:val="0"/>
              <w:jc w:val="center"/>
              <w:textAlignment w:val="center"/>
              <w:rPr>
                <w:rFonts w:hint="eastAsia"/>
                <w:snapToGrid w:val="0"/>
                <w:color w:val="000000"/>
                <w:kern w:val="0"/>
                <w:sz w:val="24"/>
                <w:szCs w:val="24"/>
                <w:highlight w:val="none"/>
              </w:rPr>
            </w:pPr>
            <w:r>
              <w:rPr>
                <w:rFonts w:hint="eastAsia"/>
                <w:snapToGrid w:val="0"/>
                <w:color w:val="000000"/>
                <w:kern w:val="0"/>
                <w:sz w:val="24"/>
                <w:szCs w:val="24"/>
                <w:highlight w:val="none"/>
              </w:rPr>
              <w:t>服务专员</w:t>
            </w:r>
          </w:p>
        </w:tc>
        <w:tc>
          <w:tcPr>
            <w:tcW w:w="1480" w:type="dxa"/>
            <w:vMerge w:val="restart"/>
            <w:vAlign w:val="center"/>
          </w:tcPr>
          <w:p>
            <w:pPr>
              <w:rPr>
                <w:rFonts w:hint="eastAsia"/>
                <w:snapToGrid w:val="0"/>
                <w:color w:val="000000"/>
                <w:kern w:val="0"/>
                <w:sz w:val="24"/>
                <w:szCs w:val="24"/>
                <w:highlight w:val="none"/>
              </w:rPr>
            </w:pPr>
            <w:r>
              <w:rPr>
                <w:rFonts w:hint="eastAsia"/>
                <w:snapToGrid w:val="0"/>
                <w:color w:val="000000"/>
                <w:kern w:val="0"/>
                <w:sz w:val="24"/>
                <w:szCs w:val="24"/>
                <w:highlight w:val="none"/>
              </w:rPr>
              <w:t>该指标反映竞标银行提供服务专员情况、管理服务体系、跨行批量代发功能、上门服务情况、服务收费情况。</w:t>
            </w:r>
          </w:p>
        </w:tc>
        <w:tc>
          <w:tcPr>
            <w:tcW w:w="3810" w:type="dxa"/>
            <w:vAlign w:val="center"/>
          </w:tcPr>
          <w:p>
            <w:pPr>
              <w:keepNext w:val="0"/>
              <w:keepLines w:val="0"/>
              <w:widowControl/>
              <w:suppressLineNumbers w:val="0"/>
              <w:jc w:val="left"/>
              <w:textAlignment w:val="center"/>
              <w:rPr>
                <w:rFonts w:hint="eastAsia"/>
                <w:snapToGrid w:val="0"/>
                <w:color w:val="000000"/>
                <w:kern w:val="0"/>
                <w:sz w:val="24"/>
                <w:szCs w:val="24"/>
                <w:highlight w:val="none"/>
                <w:lang w:eastAsia="zh-CN"/>
              </w:rPr>
            </w:pPr>
            <w:bookmarkStart w:id="10" w:name="OLE_LINK5"/>
            <w:r>
              <w:rPr>
                <w:rFonts w:hint="eastAsia" w:ascii="仿宋" w:hAnsi="仿宋" w:eastAsia="仿宋" w:cs="仿宋"/>
                <w:i w:val="0"/>
                <w:iCs w:val="0"/>
                <w:snapToGrid w:val="0"/>
                <w:color w:val="000000"/>
                <w:kern w:val="0"/>
                <w:sz w:val="24"/>
                <w:szCs w:val="24"/>
                <w:highlight w:val="none"/>
                <w:u w:val="none"/>
                <w:lang w:val="en-US" w:eastAsia="zh-CN" w:bidi="ar"/>
              </w:rPr>
              <w:t>1.承诺配备至少一名银行服务专员负责本次招标账户的管理服务得1分，否则不得分。</w:t>
            </w:r>
            <w:bookmarkEnd w:id="10"/>
          </w:p>
        </w:tc>
        <w:tc>
          <w:tcPr>
            <w:tcW w:w="699" w:type="dxa"/>
            <w:vAlign w:val="center"/>
          </w:tcPr>
          <w:p>
            <w:pPr>
              <w:keepNext w:val="0"/>
              <w:keepLines w:val="0"/>
              <w:widowControl/>
              <w:suppressLineNumbers w:val="0"/>
              <w:jc w:val="center"/>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highlight w:val="none"/>
                <w:u w:val="none"/>
                <w:lang w:val="en-US" w:eastAsia="zh-CN" w:bidi="ar"/>
              </w:rPr>
              <w:t>1</w:t>
            </w:r>
          </w:p>
        </w:tc>
        <w:tc>
          <w:tcPr>
            <w:tcW w:w="1198" w:type="dxa"/>
            <w:vAlign w:val="center"/>
          </w:tcPr>
          <w:p>
            <w:pPr>
              <w:keepNext w:val="0"/>
              <w:keepLines w:val="0"/>
              <w:widowControl/>
              <w:suppressLineNumbers w:val="0"/>
              <w:jc w:val="center"/>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highlight w:val="none"/>
                <w:u w:val="none"/>
                <w:lang w:val="en-US" w:eastAsia="zh-CN" w:bidi="ar"/>
              </w:rPr>
              <w:t>由竞标银行提供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69" w:hRule="atLeast"/>
          <w:jc w:val="center"/>
        </w:trPr>
        <w:tc>
          <w:tcPr>
            <w:tcW w:w="701" w:type="dxa"/>
            <w:vMerge w:val="continue"/>
            <w:vAlign w:val="center"/>
          </w:tcPr>
          <w:p>
            <w:pPr>
              <w:rPr>
                <w:rFonts w:hint="eastAsia"/>
                <w:snapToGrid w:val="0"/>
                <w:color w:val="000000"/>
                <w:kern w:val="0"/>
                <w:sz w:val="24"/>
                <w:szCs w:val="24"/>
                <w:highlight w:val="none"/>
                <w:lang w:eastAsia="zh-CN"/>
              </w:rPr>
            </w:pPr>
          </w:p>
        </w:tc>
        <w:tc>
          <w:tcPr>
            <w:tcW w:w="1287" w:type="dxa"/>
            <w:vMerge w:val="continue"/>
            <w:vAlign w:val="center"/>
          </w:tcPr>
          <w:p>
            <w:pPr>
              <w:keepNext w:val="0"/>
              <w:keepLines w:val="0"/>
              <w:widowControl/>
              <w:suppressLineNumbers w:val="0"/>
              <w:jc w:val="left"/>
              <w:textAlignment w:val="center"/>
              <w:rPr>
                <w:rFonts w:hint="eastAsia"/>
                <w:snapToGrid w:val="0"/>
                <w:color w:val="000000"/>
                <w:kern w:val="0"/>
                <w:sz w:val="24"/>
                <w:szCs w:val="24"/>
                <w:highlight w:val="none"/>
                <w:lang w:eastAsia="zh-CN"/>
              </w:rPr>
            </w:pPr>
          </w:p>
        </w:tc>
        <w:tc>
          <w:tcPr>
            <w:tcW w:w="1480" w:type="dxa"/>
            <w:vMerge w:val="continue"/>
            <w:vAlign w:val="center"/>
          </w:tcPr>
          <w:p>
            <w:pPr>
              <w:rPr>
                <w:rFonts w:hint="eastAsia"/>
                <w:snapToGrid w:val="0"/>
                <w:color w:val="000000"/>
                <w:kern w:val="0"/>
                <w:sz w:val="24"/>
                <w:szCs w:val="24"/>
                <w:highlight w:val="none"/>
                <w:lang w:eastAsia="zh-CN"/>
              </w:rPr>
            </w:pPr>
          </w:p>
        </w:tc>
        <w:tc>
          <w:tcPr>
            <w:tcW w:w="3810" w:type="dxa"/>
            <w:vAlign w:val="center"/>
          </w:tcPr>
          <w:p>
            <w:pPr>
              <w:keepNext w:val="0"/>
              <w:keepLines w:val="0"/>
              <w:widowControl/>
              <w:suppressLineNumbers w:val="0"/>
              <w:jc w:val="both"/>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highlight w:val="none"/>
                <w:u w:val="none"/>
                <w:lang w:val="en-US" w:eastAsia="zh-CN" w:bidi="ar"/>
              </w:rPr>
              <w:t>2.银行服务专员是否具有丰富的工作经验：客户评价、资历和稳定性（需客户单位书面的形式反映，并加盖公章）等，由评标委员会根据投标银行提供的证明材料打分，服务专员相关服务工作经验2年以内的得0.5分，2-5年的得1分，5-10年的得2分。备注：1、中标后，负责本账户的管理服务专员基本信息必须由投标人书面通知招标人进行确认，如发现并确认本账户管理服务专员非实际负责本账户的管理服务专员，取消中标资格，并上报相关主管部门，由此造成的后果由投标银行自己承担。投标人需提供相关证明材料，因投标人提供的相关证明材料的清晰度、真实性等原因造成评标委员会无法判定的，此项可能不得分。</w:t>
            </w:r>
          </w:p>
        </w:tc>
        <w:tc>
          <w:tcPr>
            <w:tcW w:w="699" w:type="dxa"/>
            <w:vAlign w:val="center"/>
          </w:tcPr>
          <w:p>
            <w:pPr>
              <w:keepNext w:val="0"/>
              <w:keepLines w:val="0"/>
              <w:widowControl/>
              <w:suppressLineNumbers w:val="0"/>
              <w:jc w:val="center"/>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highlight w:val="none"/>
                <w:u w:val="none"/>
                <w:lang w:val="en-US" w:eastAsia="zh-CN" w:bidi="ar"/>
              </w:rPr>
              <w:t>2</w:t>
            </w:r>
          </w:p>
        </w:tc>
        <w:tc>
          <w:tcPr>
            <w:tcW w:w="1198" w:type="dxa"/>
            <w:vAlign w:val="center"/>
          </w:tcPr>
          <w:p>
            <w:pPr>
              <w:keepNext w:val="0"/>
              <w:keepLines w:val="0"/>
              <w:widowControl/>
              <w:suppressLineNumbers w:val="0"/>
              <w:jc w:val="center"/>
              <w:textAlignment w:val="center"/>
              <w:rPr>
                <w:rFonts w:hint="eastAsia"/>
                <w:snapToGrid w:val="0"/>
                <w:color w:val="000000"/>
                <w:kern w:val="0"/>
                <w:sz w:val="24"/>
                <w:szCs w:val="24"/>
                <w:highlight w:val="none"/>
              </w:rPr>
            </w:pPr>
            <w:r>
              <w:rPr>
                <w:rFonts w:hint="eastAsia" w:ascii="仿宋" w:hAnsi="仿宋" w:eastAsia="仿宋" w:cs="仿宋"/>
                <w:i w:val="0"/>
                <w:iCs w:val="0"/>
                <w:snapToGrid w:val="0"/>
                <w:color w:val="000000"/>
                <w:kern w:val="0"/>
                <w:sz w:val="24"/>
                <w:szCs w:val="24"/>
                <w:highlight w:val="none"/>
                <w:u w:val="none"/>
                <w:lang w:val="en-US" w:eastAsia="zh-CN" w:bidi="ar"/>
              </w:rPr>
              <w:t>由竞标银行提供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7" w:hRule="atLeast"/>
          <w:jc w:val="center"/>
        </w:trPr>
        <w:tc>
          <w:tcPr>
            <w:tcW w:w="701" w:type="dxa"/>
            <w:vMerge w:val="continue"/>
            <w:vAlign w:val="center"/>
          </w:tcPr>
          <w:p>
            <w:pPr>
              <w:rPr>
                <w:rFonts w:hint="eastAsia"/>
                <w:snapToGrid w:val="0"/>
                <w:color w:val="000000"/>
                <w:kern w:val="0"/>
                <w:sz w:val="24"/>
                <w:szCs w:val="24"/>
                <w:highlight w:val="none"/>
              </w:rPr>
            </w:pPr>
          </w:p>
        </w:tc>
        <w:tc>
          <w:tcPr>
            <w:tcW w:w="1287" w:type="dxa"/>
            <w:tcBorders>
              <w:top w:val="nil"/>
            </w:tcBorders>
            <w:vAlign w:val="center"/>
          </w:tcPr>
          <w:p>
            <w:pPr>
              <w:keepNext w:val="0"/>
              <w:keepLines w:val="0"/>
              <w:widowControl/>
              <w:suppressLineNumbers w:val="0"/>
              <w:jc w:val="left"/>
              <w:textAlignment w:val="center"/>
              <w:rPr>
                <w:rFonts w:hint="eastAsia"/>
                <w:snapToGrid w:val="0"/>
                <w:color w:val="000000"/>
                <w:kern w:val="0"/>
                <w:sz w:val="24"/>
                <w:szCs w:val="24"/>
                <w:highlight w:val="none"/>
              </w:rPr>
            </w:pPr>
            <w:r>
              <w:rPr>
                <w:rFonts w:hint="eastAsia" w:ascii="仿宋" w:hAnsi="仿宋" w:eastAsia="仿宋" w:cs="仿宋"/>
                <w:i w:val="0"/>
                <w:iCs w:val="0"/>
                <w:snapToGrid w:val="0"/>
                <w:color w:val="000000"/>
                <w:kern w:val="0"/>
                <w:sz w:val="24"/>
                <w:szCs w:val="24"/>
                <w:highlight w:val="none"/>
                <w:u w:val="none"/>
                <w:lang w:val="en-US" w:eastAsia="zh-CN" w:bidi="ar"/>
              </w:rPr>
              <w:t>银行管理服务体系情况</w:t>
            </w:r>
          </w:p>
        </w:tc>
        <w:tc>
          <w:tcPr>
            <w:tcW w:w="1480" w:type="dxa"/>
            <w:vMerge w:val="continue"/>
            <w:vAlign w:val="center"/>
          </w:tcPr>
          <w:p>
            <w:pPr>
              <w:rPr>
                <w:rFonts w:hint="eastAsia"/>
                <w:snapToGrid w:val="0"/>
                <w:color w:val="000000"/>
                <w:kern w:val="0"/>
                <w:sz w:val="24"/>
                <w:szCs w:val="24"/>
                <w:highlight w:val="none"/>
                <w:lang w:eastAsia="zh-CN"/>
              </w:rPr>
            </w:pPr>
          </w:p>
        </w:tc>
        <w:tc>
          <w:tcPr>
            <w:tcW w:w="3810" w:type="dxa"/>
            <w:tcBorders>
              <w:top w:val="nil"/>
            </w:tcBorders>
            <w:vAlign w:val="center"/>
          </w:tcPr>
          <w:p>
            <w:pPr>
              <w:keepNext w:val="0"/>
              <w:keepLines w:val="0"/>
              <w:widowControl/>
              <w:suppressLineNumbers w:val="0"/>
              <w:jc w:val="left"/>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highlight w:val="none"/>
                <w:u w:val="none"/>
                <w:lang w:val="en-US" w:eastAsia="zh-CN" w:bidi="ar"/>
              </w:rPr>
              <w:t>投标人提供的管理服务体系是否完善、服务的及时性和服务水平的监控评价制度是否完善，是否能提供便捷服务等（0-2分）。</w:t>
            </w:r>
          </w:p>
        </w:tc>
        <w:tc>
          <w:tcPr>
            <w:tcW w:w="699" w:type="dxa"/>
            <w:tcBorders>
              <w:top w:val="nil"/>
            </w:tcBorders>
            <w:vAlign w:val="center"/>
          </w:tcPr>
          <w:p>
            <w:pPr>
              <w:keepNext w:val="0"/>
              <w:keepLines w:val="0"/>
              <w:widowControl/>
              <w:suppressLineNumbers w:val="0"/>
              <w:jc w:val="center"/>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highlight w:val="none"/>
                <w:u w:val="none"/>
                <w:lang w:val="en-US" w:eastAsia="zh-CN" w:bidi="ar"/>
              </w:rPr>
              <w:t>2</w:t>
            </w:r>
          </w:p>
        </w:tc>
        <w:tc>
          <w:tcPr>
            <w:tcW w:w="1198" w:type="dxa"/>
            <w:tcBorders>
              <w:top w:val="nil"/>
            </w:tcBorders>
            <w:vAlign w:val="center"/>
          </w:tcPr>
          <w:p>
            <w:pPr>
              <w:keepNext w:val="0"/>
              <w:keepLines w:val="0"/>
              <w:widowControl/>
              <w:suppressLineNumbers w:val="0"/>
              <w:jc w:val="center"/>
              <w:textAlignment w:val="center"/>
              <w:rPr>
                <w:rFonts w:hint="eastAsia"/>
                <w:snapToGrid w:val="0"/>
                <w:color w:val="000000"/>
                <w:kern w:val="0"/>
                <w:sz w:val="24"/>
                <w:szCs w:val="24"/>
                <w:highlight w:val="none"/>
              </w:rPr>
            </w:pPr>
            <w:r>
              <w:rPr>
                <w:rFonts w:hint="eastAsia" w:ascii="仿宋" w:hAnsi="仿宋" w:eastAsia="仿宋" w:cs="仿宋"/>
                <w:i w:val="0"/>
                <w:iCs w:val="0"/>
                <w:snapToGrid w:val="0"/>
                <w:color w:val="000000"/>
                <w:kern w:val="0"/>
                <w:sz w:val="24"/>
                <w:szCs w:val="24"/>
                <w:highlight w:val="none"/>
                <w:u w:val="none"/>
                <w:lang w:val="en-US" w:eastAsia="zh-CN" w:bidi="ar"/>
              </w:rPr>
              <w:t>由竞标银行提供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9" w:hRule="atLeast"/>
          <w:jc w:val="center"/>
        </w:trPr>
        <w:tc>
          <w:tcPr>
            <w:tcW w:w="701" w:type="dxa"/>
            <w:vMerge w:val="continue"/>
            <w:tcBorders>
              <w:bottom w:val="single" w:color="auto" w:sz="4" w:space="0"/>
            </w:tcBorders>
            <w:vAlign w:val="center"/>
          </w:tcPr>
          <w:p>
            <w:pPr>
              <w:rPr>
                <w:rFonts w:hint="eastAsia"/>
                <w:snapToGrid w:val="0"/>
                <w:color w:val="000000"/>
                <w:kern w:val="0"/>
                <w:sz w:val="24"/>
                <w:szCs w:val="24"/>
                <w:highlight w:val="none"/>
              </w:rPr>
            </w:pPr>
          </w:p>
        </w:tc>
        <w:tc>
          <w:tcPr>
            <w:tcW w:w="1287" w:type="dxa"/>
            <w:tcBorders>
              <w:bottom w:val="single" w:color="auto" w:sz="4" w:space="0"/>
            </w:tcBorders>
            <w:vAlign w:val="center"/>
          </w:tcPr>
          <w:p>
            <w:pPr>
              <w:keepNext w:val="0"/>
              <w:keepLines w:val="0"/>
              <w:widowControl/>
              <w:suppressLineNumbers w:val="0"/>
              <w:jc w:val="left"/>
              <w:textAlignment w:val="center"/>
              <w:rPr>
                <w:rFonts w:hint="eastAsia"/>
                <w:snapToGrid w:val="0"/>
                <w:color w:val="000000"/>
                <w:kern w:val="0"/>
                <w:sz w:val="24"/>
                <w:szCs w:val="24"/>
                <w:highlight w:val="none"/>
              </w:rPr>
            </w:pPr>
            <w:r>
              <w:rPr>
                <w:rFonts w:hint="eastAsia" w:ascii="仿宋" w:hAnsi="仿宋" w:eastAsia="仿宋" w:cs="仿宋"/>
                <w:i w:val="0"/>
                <w:iCs w:val="0"/>
                <w:snapToGrid w:val="0"/>
                <w:color w:val="000000"/>
                <w:kern w:val="0"/>
                <w:sz w:val="24"/>
                <w:szCs w:val="24"/>
                <w:highlight w:val="none"/>
                <w:u w:val="none"/>
                <w:lang w:val="en-US" w:eastAsia="zh-CN" w:bidi="ar"/>
              </w:rPr>
              <w:t>跨行批量代发业务</w:t>
            </w:r>
          </w:p>
        </w:tc>
        <w:tc>
          <w:tcPr>
            <w:tcW w:w="1480" w:type="dxa"/>
            <w:vMerge w:val="continue"/>
            <w:vAlign w:val="center"/>
          </w:tcPr>
          <w:p>
            <w:pPr>
              <w:rPr>
                <w:rFonts w:hint="eastAsia"/>
                <w:snapToGrid w:val="0"/>
                <w:color w:val="000000"/>
                <w:kern w:val="0"/>
                <w:sz w:val="24"/>
                <w:szCs w:val="24"/>
                <w:highlight w:val="none"/>
                <w:lang w:eastAsia="zh-CN"/>
              </w:rPr>
            </w:pPr>
          </w:p>
        </w:tc>
        <w:tc>
          <w:tcPr>
            <w:tcW w:w="3810" w:type="dxa"/>
            <w:tcBorders>
              <w:bottom w:val="single" w:color="auto" w:sz="4" w:space="0"/>
            </w:tcBorders>
            <w:vAlign w:val="center"/>
          </w:tcPr>
          <w:p>
            <w:pPr>
              <w:keepNext w:val="0"/>
              <w:keepLines w:val="0"/>
              <w:widowControl/>
              <w:suppressLineNumbers w:val="0"/>
              <w:jc w:val="left"/>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highlight w:val="none"/>
                <w:u w:val="none"/>
                <w:lang w:val="en-US" w:eastAsia="zh-CN" w:bidi="ar"/>
              </w:rPr>
              <w:t>投标人银行是否有跨行批量代发的系统，并提供本区域的案例得2分，否则不得分。</w:t>
            </w:r>
          </w:p>
        </w:tc>
        <w:tc>
          <w:tcPr>
            <w:tcW w:w="699" w:type="dxa"/>
            <w:vAlign w:val="center"/>
          </w:tcPr>
          <w:p>
            <w:pPr>
              <w:keepNext w:val="0"/>
              <w:keepLines w:val="0"/>
              <w:widowControl/>
              <w:suppressLineNumbers w:val="0"/>
              <w:jc w:val="center"/>
              <w:textAlignment w:val="center"/>
              <w:rPr>
                <w:rFonts w:hint="eastAsia"/>
                <w:snapToGrid w:val="0"/>
                <w:color w:val="000000"/>
                <w:kern w:val="0"/>
                <w:sz w:val="24"/>
                <w:szCs w:val="24"/>
                <w:highlight w:val="none"/>
              </w:rPr>
            </w:pPr>
            <w:r>
              <w:rPr>
                <w:rFonts w:hint="eastAsia" w:ascii="仿宋" w:hAnsi="仿宋" w:eastAsia="仿宋" w:cs="仿宋"/>
                <w:i w:val="0"/>
                <w:iCs w:val="0"/>
                <w:snapToGrid w:val="0"/>
                <w:color w:val="000000"/>
                <w:kern w:val="0"/>
                <w:sz w:val="24"/>
                <w:szCs w:val="24"/>
                <w:highlight w:val="none"/>
                <w:u w:val="none"/>
                <w:lang w:val="en-US" w:eastAsia="zh-CN" w:bidi="ar"/>
              </w:rPr>
              <w:t>2</w:t>
            </w:r>
          </w:p>
        </w:tc>
        <w:tc>
          <w:tcPr>
            <w:tcW w:w="1198" w:type="dxa"/>
            <w:vAlign w:val="center"/>
          </w:tcPr>
          <w:p>
            <w:pPr>
              <w:keepNext w:val="0"/>
              <w:keepLines w:val="0"/>
              <w:widowControl/>
              <w:suppressLineNumbers w:val="0"/>
              <w:jc w:val="center"/>
              <w:textAlignment w:val="center"/>
              <w:rPr>
                <w:rFonts w:hint="eastAsia"/>
                <w:snapToGrid w:val="0"/>
                <w:color w:val="000000"/>
                <w:kern w:val="0"/>
                <w:sz w:val="24"/>
                <w:szCs w:val="24"/>
                <w:highlight w:val="none"/>
              </w:rPr>
            </w:pPr>
            <w:r>
              <w:rPr>
                <w:rFonts w:hint="eastAsia" w:ascii="仿宋" w:hAnsi="仿宋" w:eastAsia="仿宋" w:cs="仿宋"/>
                <w:i w:val="0"/>
                <w:iCs w:val="0"/>
                <w:snapToGrid w:val="0"/>
                <w:color w:val="000000"/>
                <w:kern w:val="0"/>
                <w:sz w:val="24"/>
                <w:szCs w:val="24"/>
                <w:highlight w:val="none"/>
                <w:u w:val="none"/>
                <w:lang w:val="en-US" w:eastAsia="zh-CN" w:bidi="ar"/>
              </w:rPr>
              <w:t>由竞标银行提供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9" w:hRule="atLeast"/>
          <w:jc w:val="center"/>
        </w:trPr>
        <w:tc>
          <w:tcPr>
            <w:tcW w:w="701" w:type="dxa"/>
            <w:tcBorders>
              <w:bottom w:val="single" w:color="auto" w:sz="4" w:space="0"/>
            </w:tcBorders>
            <w:vAlign w:val="center"/>
          </w:tcPr>
          <w:p>
            <w:pPr>
              <w:rPr>
                <w:rFonts w:hint="eastAsia"/>
                <w:snapToGrid w:val="0"/>
                <w:color w:val="000000"/>
                <w:kern w:val="0"/>
                <w:sz w:val="24"/>
                <w:szCs w:val="24"/>
                <w:highlight w:val="none"/>
              </w:rPr>
            </w:pPr>
          </w:p>
        </w:tc>
        <w:tc>
          <w:tcPr>
            <w:tcW w:w="1287" w:type="dxa"/>
            <w:tcBorders>
              <w:bottom w:val="single" w:color="auto" w:sz="4" w:space="0"/>
            </w:tcBorders>
            <w:vAlign w:val="center"/>
          </w:tcPr>
          <w:p>
            <w:pPr>
              <w:keepNext w:val="0"/>
              <w:keepLines w:val="0"/>
              <w:widowControl/>
              <w:suppressLineNumbers w:val="0"/>
              <w:jc w:val="left"/>
              <w:textAlignment w:val="center"/>
              <w:rPr>
                <w:rFonts w:hint="eastAsia"/>
                <w:snapToGrid w:val="0"/>
                <w:color w:val="000000"/>
                <w:kern w:val="0"/>
                <w:sz w:val="24"/>
                <w:szCs w:val="24"/>
                <w:highlight w:val="none"/>
              </w:rPr>
            </w:pPr>
            <w:r>
              <w:rPr>
                <w:rFonts w:hint="eastAsia" w:ascii="仿宋" w:hAnsi="仿宋" w:eastAsia="仿宋" w:cs="仿宋"/>
                <w:i w:val="0"/>
                <w:iCs w:val="0"/>
                <w:snapToGrid w:val="0"/>
                <w:color w:val="000000"/>
                <w:kern w:val="0"/>
                <w:sz w:val="24"/>
                <w:szCs w:val="24"/>
                <w:highlight w:val="none"/>
                <w:u w:val="none"/>
                <w:lang w:val="en-US" w:eastAsia="zh-CN" w:bidi="ar"/>
              </w:rPr>
              <w:t>对账服务承诺</w:t>
            </w:r>
          </w:p>
        </w:tc>
        <w:tc>
          <w:tcPr>
            <w:tcW w:w="1480" w:type="dxa"/>
            <w:vMerge w:val="continue"/>
            <w:vAlign w:val="center"/>
          </w:tcPr>
          <w:p>
            <w:pPr>
              <w:rPr>
                <w:rFonts w:hint="eastAsia"/>
                <w:snapToGrid w:val="0"/>
                <w:color w:val="000000"/>
                <w:kern w:val="0"/>
                <w:sz w:val="24"/>
                <w:szCs w:val="24"/>
                <w:highlight w:val="none"/>
                <w:lang w:eastAsia="zh-CN"/>
              </w:rPr>
            </w:pPr>
          </w:p>
        </w:tc>
        <w:tc>
          <w:tcPr>
            <w:tcW w:w="3810" w:type="dxa"/>
            <w:tcBorders>
              <w:bottom w:val="single" w:color="auto" w:sz="4" w:space="0"/>
            </w:tcBorders>
            <w:vAlign w:val="center"/>
          </w:tcPr>
          <w:p>
            <w:pPr>
              <w:keepNext w:val="0"/>
              <w:keepLines w:val="0"/>
              <w:widowControl/>
              <w:suppressLineNumbers w:val="0"/>
              <w:jc w:val="left"/>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highlight w:val="none"/>
                <w:u w:val="none"/>
                <w:lang w:val="en-US" w:eastAsia="zh-CN" w:bidi="ar"/>
              </w:rPr>
              <w:t>承诺能提供银行上门服务并有对账服务承诺，且承诺结息后5日内及时送达对账单的得2分，否则不得分。</w:t>
            </w:r>
          </w:p>
        </w:tc>
        <w:tc>
          <w:tcPr>
            <w:tcW w:w="699" w:type="dxa"/>
            <w:vAlign w:val="center"/>
          </w:tcPr>
          <w:p>
            <w:pPr>
              <w:keepNext w:val="0"/>
              <w:keepLines w:val="0"/>
              <w:widowControl/>
              <w:suppressLineNumbers w:val="0"/>
              <w:jc w:val="center"/>
              <w:textAlignment w:val="center"/>
              <w:rPr>
                <w:rFonts w:hint="eastAsia"/>
                <w:snapToGrid w:val="0"/>
                <w:color w:val="000000"/>
                <w:kern w:val="0"/>
                <w:sz w:val="24"/>
                <w:szCs w:val="24"/>
                <w:highlight w:val="none"/>
              </w:rPr>
            </w:pPr>
            <w:r>
              <w:rPr>
                <w:rFonts w:hint="eastAsia" w:ascii="仿宋" w:hAnsi="仿宋" w:eastAsia="仿宋" w:cs="仿宋"/>
                <w:i w:val="0"/>
                <w:iCs w:val="0"/>
                <w:snapToGrid w:val="0"/>
                <w:color w:val="000000"/>
                <w:kern w:val="0"/>
                <w:sz w:val="24"/>
                <w:szCs w:val="24"/>
                <w:highlight w:val="none"/>
                <w:u w:val="none"/>
                <w:lang w:val="en-US" w:eastAsia="zh-CN" w:bidi="ar"/>
              </w:rPr>
              <w:t>2</w:t>
            </w:r>
          </w:p>
        </w:tc>
        <w:tc>
          <w:tcPr>
            <w:tcW w:w="1198" w:type="dxa"/>
            <w:vAlign w:val="center"/>
          </w:tcPr>
          <w:p>
            <w:pPr>
              <w:keepNext w:val="0"/>
              <w:keepLines w:val="0"/>
              <w:widowControl/>
              <w:suppressLineNumbers w:val="0"/>
              <w:jc w:val="center"/>
              <w:textAlignment w:val="center"/>
              <w:rPr>
                <w:rFonts w:hint="eastAsia"/>
                <w:snapToGrid w:val="0"/>
                <w:color w:val="000000"/>
                <w:kern w:val="0"/>
                <w:sz w:val="24"/>
                <w:szCs w:val="24"/>
                <w:highlight w:val="none"/>
              </w:rPr>
            </w:pPr>
            <w:r>
              <w:rPr>
                <w:rFonts w:hint="eastAsia" w:ascii="仿宋" w:hAnsi="仿宋" w:eastAsia="仿宋" w:cs="仿宋"/>
                <w:i w:val="0"/>
                <w:iCs w:val="0"/>
                <w:snapToGrid w:val="0"/>
                <w:color w:val="000000"/>
                <w:kern w:val="0"/>
                <w:sz w:val="24"/>
                <w:szCs w:val="24"/>
                <w:highlight w:val="none"/>
                <w:u w:val="none"/>
                <w:lang w:val="en-US" w:eastAsia="zh-CN" w:bidi="ar"/>
              </w:rPr>
              <w:t>由竞标银行提供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9" w:hRule="atLeast"/>
          <w:jc w:val="center"/>
        </w:trPr>
        <w:tc>
          <w:tcPr>
            <w:tcW w:w="701" w:type="dxa"/>
            <w:tcBorders>
              <w:bottom w:val="single" w:color="auto" w:sz="4" w:space="0"/>
            </w:tcBorders>
            <w:vAlign w:val="center"/>
          </w:tcPr>
          <w:p>
            <w:pPr>
              <w:rPr>
                <w:rFonts w:hint="eastAsia"/>
                <w:snapToGrid w:val="0"/>
                <w:color w:val="000000"/>
                <w:kern w:val="0"/>
                <w:sz w:val="24"/>
                <w:szCs w:val="24"/>
                <w:highlight w:val="none"/>
              </w:rPr>
            </w:pPr>
          </w:p>
        </w:tc>
        <w:tc>
          <w:tcPr>
            <w:tcW w:w="1287" w:type="dxa"/>
            <w:tcBorders>
              <w:bottom w:val="single" w:color="auto" w:sz="4" w:space="0"/>
            </w:tcBorders>
            <w:vAlign w:val="center"/>
          </w:tcPr>
          <w:p>
            <w:pPr>
              <w:keepNext w:val="0"/>
              <w:keepLines w:val="0"/>
              <w:widowControl/>
              <w:suppressLineNumbers w:val="0"/>
              <w:jc w:val="left"/>
              <w:textAlignment w:val="center"/>
              <w:rPr>
                <w:rFonts w:hint="eastAsia"/>
                <w:snapToGrid w:val="0"/>
                <w:color w:val="000000"/>
                <w:kern w:val="0"/>
                <w:sz w:val="24"/>
                <w:szCs w:val="24"/>
                <w:highlight w:val="none"/>
              </w:rPr>
            </w:pPr>
            <w:r>
              <w:rPr>
                <w:rFonts w:hint="eastAsia" w:ascii="仿宋" w:hAnsi="仿宋" w:eastAsia="仿宋" w:cs="仿宋"/>
                <w:i w:val="0"/>
                <w:iCs w:val="0"/>
                <w:snapToGrid w:val="0"/>
                <w:color w:val="000000"/>
                <w:kern w:val="0"/>
                <w:sz w:val="24"/>
                <w:szCs w:val="24"/>
                <w:highlight w:val="none"/>
                <w:u w:val="none"/>
                <w:lang w:val="en-US" w:eastAsia="zh-CN" w:bidi="ar"/>
              </w:rPr>
              <w:t>收费服务承诺</w:t>
            </w:r>
          </w:p>
        </w:tc>
        <w:tc>
          <w:tcPr>
            <w:tcW w:w="1480" w:type="dxa"/>
            <w:vMerge w:val="continue"/>
            <w:tcBorders>
              <w:bottom w:val="single" w:color="auto" w:sz="4" w:space="0"/>
            </w:tcBorders>
            <w:vAlign w:val="center"/>
          </w:tcPr>
          <w:p>
            <w:pPr>
              <w:rPr>
                <w:rFonts w:hint="eastAsia"/>
                <w:snapToGrid w:val="0"/>
                <w:color w:val="000000"/>
                <w:kern w:val="0"/>
                <w:sz w:val="24"/>
                <w:szCs w:val="24"/>
                <w:highlight w:val="none"/>
                <w:lang w:eastAsia="zh-CN"/>
              </w:rPr>
            </w:pPr>
          </w:p>
        </w:tc>
        <w:tc>
          <w:tcPr>
            <w:tcW w:w="3810" w:type="dxa"/>
            <w:tcBorders>
              <w:bottom w:val="single" w:color="auto" w:sz="4" w:space="0"/>
            </w:tcBorders>
            <w:vAlign w:val="center"/>
          </w:tcPr>
          <w:p>
            <w:pPr>
              <w:keepNext w:val="0"/>
              <w:keepLines w:val="0"/>
              <w:widowControl/>
              <w:suppressLineNumbers w:val="0"/>
              <w:jc w:val="left"/>
              <w:textAlignment w:val="center"/>
              <w:rPr>
                <w:rFonts w:hint="eastAsia"/>
                <w:snapToGrid w:val="0"/>
                <w:color w:val="000000"/>
                <w:kern w:val="0"/>
                <w:sz w:val="24"/>
                <w:szCs w:val="24"/>
                <w:highlight w:val="none"/>
                <w:lang w:eastAsia="zh-CN"/>
              </w:rPr>
            </w:pPr>
            <w:r>
              <w:rPr>
                <w:rFonts w:hint="eastAsia" w:ascii="仿宋" w:hAnsi="仿宋" w:eastAsia="仿宋" w:cs="仿宋"/>
                <w:i w:val="0"/>
                <w:iCs w:val="0"/>
                <w:snapToGrid w:val="0"/>
                <w:color w:val="000000"/>
                <w:kern w:val="0"/>
                <w:sz w:val="24"/>
                <w:szCs w:val="24"/>
                <w:highlight w:val="none"/>
                <w:u w:val="none"/>
                <w:lang w:val="en-US" w:eastAsia="zh-CN" w:bidi="ar"/>
              </w:rPr>
              <w:t>其余各项服务收费承诺免费的得2分，每增加一样收费扣1分，扣完为止。</w:t>
            </w:r>
          </w:p>
        </w:tc>
        <w:tc>
          <w:tcPr>
            <w:tcW w:w="699" w:type="dxa"/>
            <w:vAlign w:val="center"/>
          </w:tcPr>
          <w:p>
            <w:pPr>
              <w:keepNext w:val="0"/>
              <w:keepLines w:val="0"/>
              <w:widowControl/>
              <w:suppressLineNumbers w:val="0"/>
              <w:jc w:val="center"/>
              <w:textAlignment w:val="center"/>
              <w:rPr>
                <w:rFonts w:hint="eastAsia"/>
                <w:snapToGrid w:val="0"/>
                <w:color w:val="000000"/>
                <w:kern w:val="0"/>
                <w:sz w:val="24"/>
                <w:szCs w:val="24"/>
                <w:highlight w:val="none"/>
              </w:rPr>
            </w:pPr>
            <w:r>
              <w:rPr>
                <w:rFonts w:hint="eastAsia" w:ascii="仿宋" w:hAnsi="仿宋" w:eastAsia="仿宋" w:cs="仿宋"/>
                <w:i w:val="0"/>
                <w:iCs w:val="0"/>
                <w:snapToGrid w:val="0"/>
                <w:color w:val="000000"/>
                <w:kern w:val="0"/>
                <w:sz w:val="24"/>
                <w:szCs w:val="24"/>
                <w:highlight w:val="none"/>
                <w:u w:val="none"/>
                <w:lang w:val="en-US" w:eastAsia="zh-CN" w:bidi="ar"/>
              </w:rPr>
              <w:t>2</w:t>
            </w:r>
          </w:p>
        </w:tc>
        <w:tc>
          <w:tcPr>
            <w:tcW w:w="1198" w:type="dxa"/>
            <w:vAlign w:val="center"/>
          </w:tcPr>
          <w:p>
            <w:pPr>
              <w:keepNext w:val="0"/>
              <w:keepLines w:val="0"/>
              <w:widowControl/>
              <w:suppressLineNumbers w:val="0"/>
              <w:jc w:val="center"/>
              <w:textAlignment w:val="center"/>
              <w:rPr>
                <w:rFonts w:hint="eastAsia"/>
                <w:snapToGrid w:val="0"/>
                <w:color w:val="000000"/>
                <w:kern w:val="0"/>
                <w:sz w:val="24"/>
                <w:szCs w:val="24"/>
                <w:highlight w:val="none"/>
              </w:rPr>
            </w:pPr>
            <w:r>
              <w:rPr>
                <w:rFonts w:hint="eastAsia" w:ascii="仿宋" w:hAnsi="仿宋" w:eastAsia="仿宋" w:cs="仿宋"/>
                <w:i w:val="0"/>
                <w:iCs w:val="0"/>
                <w:snapToGrid w:val="0"/>
                <w:color w:val="000000"/>
                <w:kern w:val="0"/>
                <w:sz w:val="24"/>
                <w:szCs w:val="24"/>
                <w:highlight w:val="none"/>
                <w:u w:val="none"/>
                <w:lang w:val="en-US" w:eastAsia="zh-CN" w:bidi="ar"/>
              </w:rPr>
              <w:t>由竞标银行提供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9" w:hRule="atLeast"/>
          <w:jc w:val="center"/>
        </w:trPr>
        <w:tc>
          <w:tcPr>
            <w:tcW w:w="701" w:type="dxa"/>
            <w:tcBorders>
              <w:bottom w:val="single" w:color="auto" w:sz="4" w:space="0"/>
            </w:tcBorders>
            <w:vAlign w:val="center"/>
          </w:tcPr>
          <w:p>
            <w:pPr>
              <w:rPr>
                <w:rFonts w:hint="eastAsia"/>
                <w:snapToGrid w:val="0"/>
                <w:color w:val="000000"/>
                <w:kern w:val="0"/>
                <w:sz w:val="24"/>
                <w:szCs w:val="24"/>
                <w:highlight w:val="none"/>
              </w:rPr>
            </w:pPr>
          </w:p>
        </w:tc>
        <w:tc>
          <w:tcPr>
            <w:tcW w:w="1287" w:type="dxa"/>
            <w:tcBorders>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highlight w:val="none"/>
                <w:u w:val="none"/>
                <w:lang w:val="en-US" w:eastAsia="zh-CN" w:bidi="ar"/>
              </w:rPr>
              <w:t>对招标人的其他金融服务</w:t>
            </w:r>
          </w:p>
        </w:tc>
        <w:tc>
          <w:tcPr>
            <w:tcW w:w="1480" w:type="dxa"/>
            <w:tcBorders>
              <w:bottom w:val="single" w:color="auto" w:sz="4" w:space="0"/>
            </w:tcBorders>
            <w:vAlign w:val="center"/>
          </w:tcPr>
          <w:p>
            <w:pPr>
              <w:rPr>
                <w:rFonts w:hint="eastAsia"/>
                <w:snapToGrid w:val="0"/>
                <w:color w:val="000000"/>
                <w:kern w:val="0"/>
                <w:sz w:val="24"/>
                <w:szCs w:val="24"/>
                <w:highlight w:val="none"/>
                <w:lang w:eastAsia="zh-CN"/>
              </w:rPr>
            </w:pPr>
            <w:r>
              <w:rPr>
                <w:rFonts w:hint="eastAsia"/>
                <w:snapToGrid w:val="0"/>
                <w:color w:val="000000"/>
                <w:kern w:val="0"/>
                <w:sz w:val="24"/>
                <w:szCs w:val="24"/>
                <w:highlight w:val="none"/>
                <w:lang w:eastAsia="zh-CN"/>
              </w:rPr>
              <w:t>该指标反映竞标银行对招标人能提供的金融服务情况。</w:t>
            </w:r>
          </w:p>
        </w:tc>
        <w:tc>
          <w:tcPr>
            <w:tcW w:w="3810" w:type="dxa"/>
            <w:tcBorders>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highlight w:val="none"/>
                <w:u w:val="none"/>
                <w:lang w:val="en-US" w:eastAsia="zh-CN" w:bidi="ar"/>
              </w:rPr>
            </w:pPr>
            <w:bookmarkStart w:id="11" w:name="OLE_LINK9"/>
            <w:r>
              <w:rPr>
                <w:rFonts w:hint="eastAsia" w:ascii="仿宋" w:hAnsi="仿宋" w:eastAsia="仿宋" w:cs="仿宋"/>
                <w:i w:val="0"/>
                <w:iCs w:val="0"/>
                <w:snapToGrid w:val="0"/>
                <w:color w:val="000000"/>
                <w:kern w:val="0"/>
                <w:sz w:val="24"/>
                <w:szCs w:val="24"/>
                <w:highlight w:val="none"/>
                <w:u w:val="none"/>
                <w:lang w:val="en-US" w:eastAsia="zh-CN" w:bidi="ar"/>
              </w:rPr>
              <w:t>由竞标银行提供金融服务综合方案，由评委根据招标人金融服务需求进行评分。（0-2分）</w:t>
            </w:r>
            <w:bookmarkEnd w:id="11"/>
          </w:p>
        </w:tc>
        <w:tc>
          <w:tcPr>
            <w:tcW w:w="699"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highlight w:val="none"/>
                <w:u w:val="none"/>
                <w:lang w:val="en-US" w:eastAsia="zh-CN" w:bidi="ar"/>
              </w:rPr>
              <w:t>2</w:t>
            </w:r>
          </w:p>
        </w:tc>
        <w:tc>
          <w:tcPr>
            <w:tcW w:w="1198"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highlight w:val="none"/>
                <w:u w:val="none"/>
                <w:lang w:val="en-US" w:eastAsia="zh-CN" w:bidi="ar"/>
              </w:rPr>
              <w:t>由竞标银行提供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hint="eastAsia"/>
                <w:snapToGrid w:val="0"/>
                <w:color w:val="000000"/>
                <w:kern w:val="0"/>
                <w:sz w:val="24"/>
                <w:szCs w:val="24"/>
                <w:highlight w:val="none"/>
              </w:rPr>
            </w:pPr>
            <w:r>
              <w:rPr>
                <w:rFonts w:hint="eastAsia"/>
                <w:snapToGrid w:val="0"/>
                <w:color w:val="000000"/>
                <w:kern w:val="0"/>
                <w:sz w:val="24"/>
                <w:szCs w:val="24"/>
                <w:highlight w:val="none"/>
                <w:lang w:eastAsia="zh-CN"/>
              </w:rPr>
              <w:t>合计</w:t>
            </w:r>
          </w:p>
        </w:tc>
        <w:tc>
          <w:tcPr>
            <w:tcW w:w="1287" w:type="dxa"/>
            <w:tcBorders>
              <w:top w:val="single" w:color="auto" w:sz="4" w:space="0"/>
              <w:left w:val="single" w:color="auto" w:sz="4" w:space="0"/>
              <w:bottom w:val="single" w:color="auto" w:sz="4" w:space="0"/>
              <w:right w:val="single" w:color="auto" w:sz="4" w:space="0"/>
            </w:tcBorders>
            <w:vAlign w:val="center"/>
          </w:tcPr>
          <w:p>
            <w:pPr>
              <w:jc w:val="center"/>
              <w:rPr>
                <w:rFonts w:hint="eastAsia"/>
                <w:snapToGrid w:val="0"/>
                <w:color w:val="000000"/>
                <w:kern w:val="0"/>
                <w:sz w:val="24"/>
                <w:szCs w:val="24"/>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pPr>
              <w:jc w:val="center"/>
              <w:rPr>
                <w:rFonts w:hint="eastAsia"/>
                <w:snapToGrid w:val="0"/>
                <w:color w:val="000000"/>
                <w:kern w:val="0"/>
                <w:sz w:val="24"/>
                <w:szCs w:val="24"/>
                <w:highlight w:val="none"/>
              </w:rPr>
            </w:pPr>
          </w:p>
        </w:tc>
        <w:tc>
          <w:tcPr>
            <w:tcW w:w="3810" w:type="dxa"/>
            <w:tcBorders>
              <w:top w:val="single" w:color="auto" w:sz="4" w:space="0"/>
              <w:left w:val="single" w:color="auto" w:sz="4" w:space="0"/>
              <w:bottom w:val="single" w:color="auto" w:sz="4" w:space="0"/>
              <w:right w:val="single" w:color="auto" w:sz="4" w:space="0"/>
            </w:tcBorders>
          </w:tcPr>
          <w:p>
            <w:pPr>
              <w:jc w:val="center"/>
              <w:rPr>
                <w:rFonts w:hint="eastAsia"/>
                <w:snapToGrid w:val="0"/>
                <w:color w:val="000000"/>
                <w:kern w:val="0"/>
                <w:sz w:val="24"/>
                <w:szCs w:val="24"/>
                <w:highlight w:val="none"/>
                <w:lang w:eastAsia="zh-CN"/>
              </w:rPr>
            </w:pPr>
          </w:p>
        </w:tc>
        <w:tc>
          <w:tcPr>
            <w:tcW w:w="699" w:type="dxa"/>
            <w:tcBorders>
              <w:left w:val="single" w:color="auto" w:sz="4" w:space="0"/>
            </w:tcBorders>
            <w:vAlign w:val="center"/>
          </w:tcPr>
          <w:p>
            <w:pPr>
              <w:jc w:val="center"/>
              <w:rPr>
                <w:rFonts w:hint="eastAsia"/>
                <w:snapToGrid w:val="0"/>
                <w:color w:val="000000"/>
                <w:kern w:val="0"/>
                <w:sz w:val="24"/>
                <w:szCs w:val="24"/>
                <w:highlight w:val="none"/>
                <w:lang w:eastAsia="zh-CN"/>
              </w:rPr>
            </w:pPr>
            <w:r>
              <w:rPr>
                <w:rFonts w:hint="eastAsia"/>
                <w:snapToGrid w:val="0"/>
                <w:color w:val="000000"/>
                <w:kern w:val="0"/>
                <w:sz w:val="24"/>
                <w:szCs w:val="24"/>
                <w:highlight w:val="none"/>
              </w:rPr>
              <w:t>100</w:t>
            </w:r>
          </w:p>
        </w:tc>
        <w:tc>
          <w:tcPr>
            <w:tcW w:w="1198" w:type="dxa"/>
            <w:vAlign w:val="center"/>
          </w:tcPr>
          <w:p>
            <w:pPr>
              <w:rPr>
                <w:rFonts w:hint="eastAsia"/>
                <w:snapToGrid w:val="0"/>
                <w:color w:val="000000"/>
                <w:kern w:val="0"/>
                <w:sz w:val="24"/>
                <w:szCs w:val="24"/>
                <w:highlight w:val="none"/>
              </w:rPr>
            </w:pPr>
          </w:p>
        </w:tc>
      </w:tr>
    </w:tbl>
    <w:p>
      <w:pPr>
        <w:rPr>
          <w:rFonts w:hint="eastAsia"/>
          <w:kern w:val="0"/>
          <w:sz w:val="24"/>
          <w:szCs w:val="24"/>
          <w:highlight w:val="none"/>
        </w:rPr>
      </w:pPr>
      <w:r>
        <w:rPr>
          <w:rFonts w:hint="eastAsia"/>
          <w:kern w:val="0"/>
          <w:sz w:val="24"/>
          <w:szCs w:val="24"/>
          <w:highlight w:val="none"/>
        </w:rPr>
        <w:t>注：1、评标委员会根据投标人提供的有效证明材料和招标人提供的相关数据进行打分。</w:t>
      </w:r>
      <w:r>
        <w:rPr>
          <w:rFonts w:hint="eastAsia" w:ascii="仿宋" w:hAnsi="仿宋" w:eastAsia="仿宋" w:cs="仿宋"/>
          <w:color w:val="auto"/>
          <w:kern w:val="3"/>
          <w:sz w:val="24"/>
          <w:szCs w:val="24"/>
          <w:highlight w:val="none"/>
          <w:lang w:eastAsia="zh-CN"/>
        </w:rPr>
        <w:t>以上数据相关部门如有最新数据，可按最新数据评分。</w:t>
      </w:r>
    </w:p>
    <w:p>
      <w:pPr>
        <w:rPr>
          <w:sz w:val="24"/>
          <w:szCs w:val="24"/>
          <w:highlight w:val="none"/>
        </w:rPr>
      </w:pPr>
      <w:r>
        <w:rPr>
          <w:rFonts w:hint="eastAsia"/>
          <w:kern w:val="0"/>
          <w:sz w:val="24"/>
          <w:szCs w:val="24"/>
          <w:highlight w:val="none"/>
        </w:rPr>
        <w:t>2、评标计算过程及结果采用四舍五入，分值保留小数点后二位。</w:t>
      </w:r>
    </w:p>
    <w:p>
      <w:pPr>
        <w:bidi w:val="0"/>
        <w:rPr>
          <w:rFonts w:hint="eastAsia"/>
          <w:color w:val="auto"/>
          <w:highlight w:val="none"/>
        </w:rPr>
      </w:pPr>
      <w:r>
        <w:rPr>
          <w:rFonts w:hint="eastAsia"/>
          <w:sz w:val="24"/>
          <w:szCs w:val="24"/>
          <w:highlight w:val="none"/>
          <w:lang w:val="en-US" w:eastAsia="zh-CN"/>
        </w:rPr>
        <w:t>3、如评分指标按排名计分，则采用跳跃排名方式计分。举例说明：排名第一有2家并列，均为第一名，之后的列为排名第三，依次类推。</w:t>
      </w: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5"/>
        <w:ind w:left="0" w:leftChars="0" w:firstLine="0" w:firstLineChars="0"/>
        <w:jc w:val="both"/>
        <w:rPr>
          <w:rFonts w:hint="eastAsia"/>
          <w:color w:val="auto"/>
          <w:highlight w:val="none"/>
        </w:rPr>
      </w:pPr>
    </w:p>
    <w:p>
      <w:pPr>
        <w:pStyle w:val="5"/>
        <w:ind w:left="0" w:leftChars="0" w:firstLine="1807" w:firstLineChars="500"/>
        <w:jc w:val="both"/>
        <w:rPr>
          <w:color w:val="auto"/>
          <w:highlight w:val="none"/>
        </w:rPr>
      </w:pPr>
      <w:r>
        <w:rPr>
          <w:rFonts w:hint="eastAsia"/>
          <w:color w:val="auto"/>
          <w:highlight w:val="none"/>
        </w:rPr>
        <w:t>第四章</w:t>
      </w:r>
      <w:bookmarkEnd w:id="6"/>
      <w:r>
        <w:rPr>
          <w:rFonts w:hint="eastAsia"/>
          <w:color w:val="auto"/>
          <w:highlight w:val="none"/>
        </w:rPr>
        <w:t xml:space="preserve"> 合同的一般和特殊条款</w:t>
      </w:r>
    </w:p>
    <w:p>
      <w:pPr>
        <w:spacing w:line="440" w:lineRule="exact"/>
        <w:jc w:val="center"/>
        <w:rPr>
          <w:rFonts w:cs="仿宋_GB2312"/>
          <w:color w:val="auto"/>
          <w:sz w:val="24"/>
          <w:szCs w:val="24"/>
          <w:highlight w:val="none"/>
        </w:rPr>
      </w:pPr>
      <w:bookmarkStart w:id="12" w:name="_Toc1399953345"/>
      <w:r>
        <w:rPr>
          <w:rFonts w:hint="eastAsia" w:cs="仿宋_GB2312"/>
          <w:b/>
          <w:bCs/>
          <w:color w:val="auto"/>
          <w:sz w:val="24"/>
          <w:szCs w:val="24"/>
          <w:highlight w:val="none"/>
          <w:lang w:eastAsia="zh-CN"/>
        </w:rPr>
        <w:t>杭州市富阳区第三人民医院基本账户、专用账户（工会）招标项目</w:t>
      </w:r>
      <w:r>
        <w:rPr>
          <w:rFonts w:hint="eastAsia" w:cs="仿宋_GB2312"/>
          <w:b/>
          <w:bCs/>
          <w:color w:val="auto"/>
          <w:sz w:val="24"/>
          <w:szCs w:val="24"/>
          <w:highlight w:val="none"/>
        </w:rPr>
        <w:t>委托合同</w:t>
      </w:r>
    </w:p>
    <w:p>
      <w:pPr>
        <w:spacing w:line="440" w:lineRule="exact"/>
        <w:jc w:val="center"/>
        <w:rPr>
          <w:rFonts w:cs="仿宋_GB2312"/>
          <w:b/>
          <w:bCs/>
          <w:color w:val="auto"/>
          <w:highlight w:val="none"/>
        </w:rPr>
      </w:pPr>
      <w:r>
        <w:rPr>
          <w:rFonts w:hint="eastAsia" w:cs="仿宋_GB2312"/>
          <w:b/>
          <w:color w:val="auto"/>
          <w:highlight w:val="none"/>
        </w:rPr>
        <w:t>（本合同为样稿，最终稿由双方协商后确定）</w:t>
      </w:r>
    </w:p>
    <w:p>
      <w:pPr>
        <w:spacing w:line="440" w:lineRule="exact"/>
        <w:rPr>
          <w:rFonts w:cs="仿宋_GB2312"/>
          <w:color w:val="auto"/>
          <w:kern w:val="0"/>
          <w:highlight w:val="none"/>
        </w:rPr>
      </w:pPr>
      <w:r>
        <w:rPr>
          <w:rFonts w:hint="eastAsia" w:cs="仿宋_GB2312"/>
          <w:color w:val="auto"/>
          <w:kern w:val="0"/>
          <w:highlight w:val="none"/>
        </w:rPr>
        <w:t>甲方：</w:t>
      </w:r>
      <w:r>
        <w:rPr>
          <w:rFonts w:hint="eastAsia" w:cs="仿宋_GB2312"/>
          <w:color w:val="auto"/>
          <w:kern w:val="0"/>
          <w:highlight w:val="none"/>
          <w:u w:val="single"/>
        </w:rPr>
        <w:t xml:space="preserve">                                                                      </w:t>
      </w:r>
      <w:r>
        <w:rPr>
          <w:rFonts w:hint="eastAsia" w:cs="仿宋_GB2312"/>
          <w:color w:val="auto"/>
          <w:kern w:val="0"/>
          <w:highlight w:val="none"/>
        </w:rPr>
        <w:t xml:space="preserve"> </w:t>
      </w:r>
      <w:r>
        <w:rPr>
          <w:rFonts w:hint="eastAsia" w:cs="仿宋_GB2312"/>
          <w:color w:val="auto"/>
          <w:szCs w:val="21"/>
          <w:highlight w:val="none"/>
        </w:rPr>
        <w:t xml:space="preserve">                         </w:t>
      </w:r>
    </w:p>
    <w:p>
      <w:pPr>
        <w:spacing w:line="440" w:lineRule="exact"/>
        <w:rPr>
          <w:rFonts w:cs="仿宋_GB2312"/>
          <w:color w:val="auto"/>
          <w:kern w:val="0"/>
          <w:highlight w:val="none"/>
        </w:rPr>
      </w:pPr>
      <w:r>
        <w:rPr>
          <w:rFonts w:hint="eastAsia" w:cs="仿宋_GB2312"/>
          <w:color w:val="auto"/>
          <w:kern w:val="0"/>
          <w:highlight w:val="none"/>
        </w:rPr>
        <w:t>乙方：</w:t>
      </w:r>
      <w:r>
        <w:rPr>
          <w:rFonts w:hint="eastAsia" w:cs="仿宋_GB2312"/>
          <w:color w:val="auto"/>
          <w:kern w:val="0"/>
          <w:highlight w:val="none"/>
          <w:u w:val="single"/>
        </w:rPr>
        <w:t xml:space="preserve">                                                                      </w:t>
      </w:r>
      <w:r>
        <w:rPr>
          <w:rFonts w:hint="eastAsia" w:cs="仿宋_GB2312"/>
          <w:color w:val="auto"/>
          <w:kern w:val="0"/>
          <w:highlight w:val="none"/>
        </w:rPr>
        <w:t xml:space="preserve"> </w:t>
      </w:r>
    </w:p>
    <w:p>
      <w:pPr>
        <w:wordWrap w:val="0"/>
        <w:topLinePunct/>
        <w:spacing w:line="440" w:lineRule="exact"/>
        <w:ind w:firstLine="480" w:firstLineChars="200"/>
        <w:rPr>
          <w:rFonts w:cs="仿宋_GB2312"/>
          <w:color w:val="auto"/>
          <w:kern w:val="0"/>
          <w:highlight w:val="none"/>
        </w:rPr>
      </w:pPr>
      <w:r>
        <w:rPr>
          <w:rFonts w:hint="eastAsia"/>
          <w:color w:val="auto"/>
          <w:highlight w:val="none"/>
          <w:lang w:eastAsia="zh-CN"/>
        </w:rPr>
        <w:t>杭州市富阳区第三人民医院基本账户、专用账户（工会）招标项目</w:t>
      </w:r>
      <w:r>
        <w:rPr>
          <w:rFonts w:hint="eastAsia" w:cs="仿宋_GB2312"/>
          <w:color w:val="auto"/>
          <w:kern w:val="0"/>
          <w:highlight w:val="none"/>
        </w:rPr>
        <w:t>招标文件（招标编号：</w:t>
      </w:r>
      <w:r>
        <w:rPr>
          <w:rFonts w:hint="eastAsia" w:cs="仿宋_GB2312"/>
          <w:color w:val="auto"/>
          <w:kern w:val="0"/>
          <w:highlight w:val="none"/>
          <w:u w:val="single"/>
        </w:rPr>
        <w:t xml:space="preserve">       </w:t>
      </w:r>
      <w:r>
        <w:rPr>
          <w:rFonts w:hint="eastAsia" w:cs="仿宋_GB2312"/>
          <w:color w:val="auto"/>
          <w:kern w:val="0"/>
          <w:highlight w:val="none"/>
        </w:rPr>
        <w:t>）、富阳区财政局关于进一步规范区级行政事业单位公款竞争性存放管理的通知</w:t>
      </w:r>
      <w:r>
        <w:rPr>
          <w:rFonts w:hint="eastAsia"/>
          <w:color w:val="auto"/>
          <w:highlight w:val="none"/>
        </w:rPr>
        <w:t>及有关法律法规规定</w:t>
      </w:r>
      <w:r>
        <w:rPr>
          <w:rFonts w:hint="eastAsia" w:cs="仿宋_GB2312"/>
          <w:color w:val="auto"/>
          <w:kern w:val="0"/>
          <w:highlight w:val="none"/>
        </w:rPr>
        <w:t xml:space="preserve">，双方经协商，达成以下条款：     </w:t>
      </w:r>
    </w:p>
    <w:p>
      <w:pPr>
        <w:spacing w:line="440" w:lineRule="exact"/>
        <w:ind w:firstLine="480" w:firstLineChars="200"/>
        <w:rPr>
          <w:rFonts w:cs="仿宋_GB2312"/>
          <w:color w:val="auto"/>
          <w:kern w:val="0"/>
          <w:highlight w:val="none"/>
        </w:rPr>
      </w:pPr>
      <w:r>
        <w:rPr>
          <w:rFonts w:hint="eastAsia" w:cs="仿宋_GB2312"/>
          <w:color w:val="auto"/>
          <w:kern w:val="0"/>
          <w:highlight w:val="none"/>
        </w:rPr>
        <w:t>一、账户管理协议有效期</w:t>
      </w:r>
      <w:r>
        <w:rPr>
          <w:rFonts w:hint="eastAsia" w:cs="仿宋_GB2312"/>
          <w:color w:val="auto"/>
          <w:kern w:val="0"/>
          <w:highlight w:val="none"/>
          <w:u w:val="single"/>
          <w:lang w:val="en-US" w:eastAsia="zh-CN"/>
        </w:rPr>
        <w:t xml:space="preserve"> </w:t>
      </w:r>
      <w:r>
        <w:rPr>
          <w:rFonts w:hint="eastAsia" w:cs="仿宋_GB2312"/>
          <w:color w:val="auto"/>
          <w:kern w:val="0"/>
          <w:highlight w:val="none"/>
          <w:u w:val="single"/>
        </w:rPr>
        <w:t>5</w:t>
      </w:r>
      <w:r>
        <w:rPr>
          <w:rFonts w:hint="eastAsia" w:cs="仿宋_GB2312"/>
          <w:color w:val="auto"/>
          <w:kern w:val="0"/>
          <w:highlight w:val="none"/>
          <w:u w:val="single"/>
          <w:lang w:val="en-US" w:eastAsia="zh-CN"/>
        </w:rPr>
        <w:t xml:space="preserve"> </w:t>
      </w:r>
      <w:r>
        <w:rPr>
          <w:rFonts w:hint="eastAsia" w:cs="仿宋_GB2312"/>
          <w:color w:val="auto"/>
          <w:kern w:val="0"/>
          <w:highlight w:val="none"/>
        </w:rPr>
        <w:t>年，自</w:t>
      </w:r>
      <w:r>
        <w:rPr>
          <w:rFonts w:hint="eastAsia" w:cs="仿宋_GB2312"/>
          <w:color w:val="auto"/>
          <w:kern w:val="0"/>
          <w:highlight w:val="none"/>
          <w:u w:val="single"/>
        </w:rPr>
        <w:t xml:space="preserve">      </w:t>
      </w:r>
      <w:r>
        <w:rPr>
          <w:rFonts w:hint="eastAsia" w:cs="仿宋_GB2312"/>
          <w:color w:val="auto"/>
          <w:kern w:val="0"/>
          <w:highlight w:val="none"/>
        </w:rPr>
        <w:t>年</w:t>
      </w:r>
      <w:r>
        <w:rPr>
          <w:rFonts w:hint="eastAsia" w:cs="仿宋_GB2312"/>
          <w:color w:val="auto"/>
          <w:kern w:val="0"/>
          <w:highlight w:val="none"/>
          <w:u w:val="single"/>
        </w:rPr>
        <w:t xml:space="preserve">   </w:t>
      </w:r>
      <w:r>
        <w:rPr>
          <w:rFonts w:hint="eastAsia" w:cs="仿宋_GB2312"/>
          <w:color w:val="auto"/>
          <w:kern w:val="0"/>
          <w:highlight w:val="none"/>
        </w:rPr>
        <w:t>月</w:t>
      </w:r>
      <w:r>
        <w:rPr>
          <w:rFonts w:hint="eastAsia" w:cs="仿宋_GB2312"/>
          <w:color w:val="auto"/>
          <w:kern w:val="0"/>
          <w:highlight w:val="none"/>
          <w:u w:val="single"/>
        </w:rPr>
        <w:t xml:space="preserve">   </w:t>
      </w:r>
      <w:r>
        <w:rPr>
          <w:rFonts w:hint="eastAsia" w:cs="仿宋_GB2312"/>
          <w:color w:val="auto"/>
          <w:kern w:val="0"/>
          <w:highlight w:val="none"/>
        </w:rPr>
        <w:t>日起至</w:t>
      </w:r>
      <w:r>
        <w:rPr>
          <w:rFonts w:hint="eastAsia" w:cs="仿宋_GB2312"/>
          <w:color w:val="auto"/>
          <w:kern w:val="0"/>
          <w:highlight w:val="none"/>
          <w:u w:val="single"/>
        </w:rPr>
        <w:t xml:space="preserve">     </w:t>
      </w:r>
      <w:r>
        <w:rPr>
          <w:rFonts w:hint="eastAsia" w:cs="仿宋_GB2312"/>
          <w:color w:val="auto"/>
          <w:kern w:val="0"/>
          <w:highlight w:val="none"/>
        </w:rPr>
        <w:t>年</w:t>
      </w:r>
      <w:r>
        <w:rPr>
          <w:rFonts w:hint="eastAsia" w:cs="仿宋_GB2312"/>
          <w:color w:val="auto"/>
          <w:kern w:val="0"/>
          <w:highlight w:val="none"/>
          <w:u w:val="single"/>
        </w:rPr>
        <w:t xml:space="preserve">   </w:t>
      </w:r>
      <w:r>
        <w:rPr>
          <w:rFonts w:hint="eastAsia" w:cs="仿宋_GB2312"/>
          <w:color w:val="auto"/>
          <w:kern w:val="0"/>
          <w:highlight w:val="none"/>
        </w:rPr>
        <w:t>月</w:t>
      </w:r>
      <w:r>
        <w:rPr>
          <w:rFonts w:hint="eastAsia" w:cs="仿宋_GB2312"/>
          <w:color w:val="auto"/>
          <w:kern w:val="0"/>
          <w:highlight w:val="none"/>
          <w:u w:val="single"/>
        </w:rPr>
        <w:t xml:space="preserve">   </w:t>
      </w:r>
      <w:r>
        <w:rPr>
          <w:rFonts w:hint="eastAsia" w:cs="仿宋_GB2312"/>
          <w:color w:val="auto"/>
          <w:kern w:val="0"/>
          <w:highlight w:val="none"/>
        </w:rPr>
        <w:t>日止。甲方将视政策调整、政府采购管理、银行服务执行情况酌情延长或提前结束合同的执行，最长服务年限不超过10年。</w:t>
      </w:r>
    </w:p>
    <w:p>
      <w:pPr>
        <w:spacing w:line="440" w:lineRule="exact"/>
        <w:ind w:firstLine="480" w:firstLineChars="200"/>
        <w:rPr>
          <w:rFonts w:cs="仿宋_GB2312"/>
          <w:color w:val="auto"/>
          <w:kern w:val="0"/>
          <w:highlight w:val="none"/>
        </w:rPr>
      </w:pPr>
      <w:r>
        <w:rPr>
          <w:rFonts w:hint="eastAsia" w:cs="仿宋_GB2312"/>
          <w:color w:val="auto"/>
          <w:kern w:val="0"/>
          <w:highlight w:val="none"/>
        </w:rPr>
        <w:t>二、乙方应根据招标文件的要求和投标文件的承诺，及时、无偿向招标人提供保密及解锁、对帐服务、分账核算、各类查询、原路退款、电话咨询、网上银行服务等，不得提出本协议书内容之外的任何附加条件。</w:t>
      </w:r>
    </w:p>
    <w:p>
      <w:pPr>
        <w:spacing w:line="440" w:lineRule="exact"/>
        <w:ind w:firstLine="480" w:firstLineChars="200"/>
        <w:rPr>
          <w:rFonts w:cs="仿宋_GB2312"/>
          <w:color w:val="auto"/>
          <w:kern w:val="0"/>
          <w:highlight w:val="none"/>
        </w:rPr>
      </w:pPr>
      <w:r>
        <w:rPr>
          <w:rFonts w:hint="eastAsia" w:cs="仿宋_GB2312"/>
          <w:color w:val="auto"/>
          <w:kern w:val="0"/>
          <w:highlight w:val="none"/>
        </w:rPr>
        <w:t>三、协议书签订后，乙方根据甲方管理的需求，结合财政监管、政府采购、银行管理的规定，向财政局申请新开账户，存放资金。</w:t>
      </w:r>
    </w:p>
    <w:p>
      <w:pPr>
        <w:spacing w:line="440" w:lineRule="exact"/>
        <w:ind w:firstLine="480" w:firstLineChars="200"/>
        <w:rPr>
          <w:rFonts w:cs="仿宋_GB2312"/>
          <w:color w:val="auto"/>
          <w:kern w:val="0"/>
          <w:highlight w:val="none"/>
        </w:rPr>
      </w:pPr>
      <w:r>
        <w:rPr>
          <w:rFonts w:hint="eastAsia" w:cs="仿宋_GB2312"/>
          <w:color w:val="auto"/>
          <w:kern w:val="0"/>
          <w:highlight w:val="none"/>
        </w:rPr>
        <w:t>四、在账户正式运行过程中，乙方除要向甲方提供银行账户基本功能外，还要提供日常维护、按需更新等无偿后续服务。</w:t>
      </w:r>
    </w:p>
    <w:p>
      <w:pPr>
        <w:spacing w:line="440" w:lineRule="exact"/>
        <w:ind w:firstLine="480" w:firstLineChars="200"/>
        <w:rPr>
          <w:rFonts w:hint="eastAsia" w:cs="仿宋_GB2312"/>
          <w:color w:val="auto"/>
          <w:kern w:val="0"/>
          <w:highlight w:val="none"/>
        </w:rPr>
      </w:pPr>
      <w:r>
        <w:rPr>
          <w:rFonts w:hint="eastAsia" w:cs="仿宋_GB2312"/>
          <w:color w:val="auto"/>
          <w:kern w:val="0"/>
          <w:highlight w:val="none"/>
        </w:rPr>
        <w:t>五、甲方在乙方开立</w:t>
      </w:r>
      <w:r>
        <w:rPr>
          <w:rFonts w:hint="eastAsia" w:cs="仿宋_GB2312"/>
          <w:color w:val="auto"/>
          <w:kern w:val="0"/>
          <w:highlight w:val="none"/>
          <w:u w:val="single"/>
        </w:rPr>
        <w:t xml:space="preserve">          </w:t>
      </w:r>
      <w:r>
        <w:rPr>
          <w:rFonts w:hint="eastAsia" w:cs="仿宋_GB2312"/>
          <w:color w:val="auto"/>
          <w:kern w:val="0"/>
          <w:highlight w:val="none"/>
        </w:rPr>
        <w:t>账户，乙方提供的</w:t>
      </w:r>
      <w:r>
        <w:rPr>
          <w:rFonts w:hint="eastAsia" w:cs="仿宋_GB2312"/>
          <w:color w:val="auto"/>
          <w:kern w:val="0"/>
          <w:highlight w:val="none"/>
          <w:u w:val="single"/>
        </w:rPr>
        <w:t xml:space="preserve">      </w:t>
      </w:r>
      <w:r>
        <w:rPr>
          <w:rFonts w:hint="eastAsia" w:cs="仿宋_GB2312"/>
          <w:color w:val="auto"/>
          <w:kern w:val="0"/>
          <w:highlight w:val="none"/>
          <w:u w:val="single"/>
          <w:lang w:val="en-US" w:eastAsia="zh-CN"/>
        </w:rPr>
        <w:t xml:space="preserve"> </w:t>
      </w:r>
      <w:r>
        <w:rPr>
          <w:rFonts w:hint="eastAsia" w:cs="仿宋_GB2312"/>
          <w:color w:val="auto"/>
          <w:kern w:val="0"/>
          <w:highlight w:val="none"/>
        </w:rPr>
        <w:t>存款年利率</w:t>
      </w:r>
      <w:r>
        <w:rPr>
          <w:rFonts w:hint="eastAsia" w:cs="仿宋_GB2312"/>
          <w:color w:val="auto"/>
          <w:kern w:val="0"/>
          <w:highlight w:val="none"/>
          <w:u w:val="single"/>
        </w:rPr>
        <w:t xml:space="preserve">     </w:t>
      </w:r>
      <w:r>
        <w:rPr>
          <w:rFonts w:hint="eastAsia" w:cs="仿宋_GB2312"/>
          <w:color w:val="auto"/>
          <w:kern w:val="0"/>
          <w:highlight w:val="none"/>
        </w:rPr>
        <w:t>%,协定存款（协定存款起存额度</w:t>
      </w:r>
      <w:r>
        <w:rPr>
          <w:rFonts w:hint="eastAsia" w:cs="仿宋_GB2312"/>
          <w:color w:val="auto"/>
          <w:kern w:val="0"/>
          <w:highlight w:val="none"/>
          <w:u w:val="single"/>
        </w:rPr>
        <w:t xml:space="preserve">    </w:t>
      </w:r>
      <w:r>
        <w:rPr>
          <w:rFonts w:hint="eastAsia" w:cs="仿宋_GB2312"/>
          <w:color w:val="auto"/>
          <w:kern w:val="0"/>
          <w:highlight w:val="none"/>
        </w:rPr>
        <w:t>万元）年利率</w:t>
      </w:r>
      <w:r>
        <w:rPr>
          <w:rFonts w:hint="eastAsia" w:cs="仿宋_GB2312"/>
          <w:color w:val="auto"/>
          <w:kern w:val="0"/>
          <w:highlight w:val="none"/>
          <w:u w:val="single"/>
        </w:rPr>
        <w:t xml:space="preserve">    </w:t>
      </w:r>
      <w:r>
        <w:rPr>
          <w:rFonts w:hint="eastAsia" w:cs="仿宋_GB2312"/>
          <w:color w:val="auto"/>
          <w:kern w:val="0"/>
          <w:highlight w:val="none"/>
        </w:rPr>
        <w:t>%（如遇央行调整存款利率，存款利率同比例调整）。乙方拟派客户经理</w:t>
      </w:r>
      <w:r>
        <w:rPr>
          <w:rFonts w:hint="eastAsia" w:cs="仿宋_GB2312"/>
          <w:color w:val="auto"/>
          <w:kern w:val="0"/>
          <w:highlight w:val="none"/>
          <w:u w:val="single"/>
        </w:rPr>
        <w:t xml:space="preserve">           </w:t>
      </w:r>
      <w:r>
        <w:rPr>
          <w:rFonts w:hint="eastAsia" w:cs="仿宋_GB2312"/>
          <w:color w:val="auto"/>
          <w:kern w:val="0"/>
          <w:highlight w:val="none"/>
        </w:rPr>
        <w:t>。服务收费详见投标文件内容（或全免）。</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highlight w:val="none"/>
        </w:rPr>
      </w:pPr>
      <w:r>
        <w:rPr>
          <w:rFonts w:hint="eastAsia" w:ascii="仿宋_GB2312" w:hAnsi="仿宋_GB2312" w:eastAsia="仿宋_GB2312" w:cs="仿宋_GB2312"/>
          <w:color w:val="auto"/>
          <w:sz w:val="24"/>
          <w:szCs w:val="24"/>
          <w:highlight w:val="none"/>
          <w:lang w:val="en-US" w:eastAsia="zh-CN"/>
        </w:rPr>
        <w:t>（如若后续相关法律、法规、规章、政策调整，或人民银行基准利率、自律机制上限调整，乙方应当及时通知甲方，并与甲方协商、以补充协议的形式确定利率调整日及后续执行利率，自利率调整日起依照调整后的利率计算，利率调整日前仍依照上述合同约定的利率计算。）</w:t>
      </w:r>
    </w:p>
    <w:p>
      <w:pPr>
        <w:spacing w:line="440" w:lineRule="exact"/>
        <w:ind w:firstLine="480" w:firstLineChars="200"/>
        <w:rPr>
          <w:rFonts w:cs="仿宋_GB2312"/>
          <w:color w:val="auto"/>
          <w:kern w:val="0"/>
          <w:highlight w:val="none"/>
        </w:rPr>
      </w:pPr>
      <w:r>
        <w:rPr>
          <w:rFonts w:hint="eastAsia" w:cs="仿宋_GB2312"/>
          <w:color w:val="auto"/>
          <w:kern w:val="0"/>
          <w:highlight w:val="none"/>
        </w:rPr>
        <w:t>六、在委托协议期间，如发现乙方出现下列情形之一的，招标人将按照协议约定的方式进行处理，直接追究乙方的违约责任。情节严重的，报经财政部门批准，将乙方列入不良名单。</w:t>
      </w:r>
    </w:p>
    <w:p>
      <w:pPr>
        <w:spacing w:line="440" w:lineRule="exact"/>
        <w:ind w:firstLine="480" w:firstLineChars="200"/>
        <w:rPr>
          <w:rFonts w:cs="仿宋_GB2312"/>
          <w:color w:val="auto"/>
          <w:kern w:val="0"/>
          <w:highlight w:val="none"/>
        </w:rPr>
      </w:pPr>
      <w:r>
        <w:rPr>
          <w:rFonts w:hint="eastAsia" w:cs="仿宋_GB2312"/>
          <w:color w:val="auto"/>
          <w:kern w:val="0"/>
          <w:highlight w:val="none"/>
        </w:rPr>
        <w:t>1、提供虚假资料谋取中标或成交的；</w:t>
      </w:r>
    </w:p>
    <w:p>
      <w:pPr>
        <w:spacing w:line="440" w:lineRule="exact"/>
        <w:ind w:firstLine="480" w:firstLineChars="200"/>
        <w:rPr>
          <w:rFonts w:cs="仿宋_GB2312"/>
          <w:color w:val="auto"/>
          <w:kern w:val="0"/>
          <w:highlight w:val="none"/>
        </w:rPr>
      </w:pPr>
      <w:r>
        <w:rPr>
          <w:rFonts w:hint="eastAsia" w:cs="仿宋_GB2312"/>
          <w:color w:val="auto"/>
          <w:kern w:val="0"/>
          <w:highlight w:val="none"/>
        </w:rPr>
        <w:t>2、采取不正当手段诋毁、排挤其他投标人的；</w:t>
      </w:r>
    </w:p>
    <w:p>
      <w:pPr>
        <w:spacing w:line="440" w:lineRule="exact"/>
        <w:ind w:firstLine="480" w:firstLineChars="200"/>
        <w:rPr>
          <w:rFonts w:cs="仿宋_GB2312"/>
          <w:color w:val="auto"/>
          <w:kern w:val="0"/>
          <w:highlight w:val="none"/>
        </w:rPr>
      </w:pPr>
      <w:r>
        <w:rPr>
          <w:rFonts w:hint="eastAsia" w:cs="仿宋_GB2312"/>
          <w:color w:val="auto"/>
          <w:kern w:val="0"/>
          <w:highlight w:val="none"/>
        </w:rPr>
        <w:t>3、与其他投标人或者甲方恶意串通的；</w:t>
      </w:r>
    </w:p>
    <w:p>
      <w:pPr>
        <w:spacing w:line="440" w:lineRule="exact"/>
        <w:ind w:firstLine="480" w:firstLineChars="200"/>
        <w:rPr>
          <w:rFonts w:cs="仿宋_GB2312"/>
          <w:color w:val="auto"/>
          <w:kern w:val="0"/>
          <w:highlight w:val="none"/>
        </w:rPr>
      </w:pPr>
      <w:r>
        <w:rPr>
          <w:rFonts w:hint="eastAsia" w:cs="仿宋_GB2312"/>
          <w:color w:val="auto"/>
          <w:kern w:val="0"/>
          <w:highlight w:val="none"/>
        </w:rPr>
        <w:t xml:space="preserve">4、向甲方行贿或者提供其他不正当利益的； </w:t>
      </w:r>
    </w:p>
    <w:p>
      <w:pPr>
        <w:spacing w:line="440" w:lineRule="exact"/>
        <w:ind w:firstLine="480" w:firstLineChars="200"/>
        <w:rPr>
          <w:rFonts w:cs="仿宋_GB2312"/>
          <w:color w:val="auto"/>
          <w:kern w:val="0"/>
          <w:highlight w:val="none"/>
        </w:rPr>
      </w:pPr>
      <w:r>
        <w:rPr>
          <w:rFonts w:hint="eastAsia" w:cs="仿宋_GB2312"/>
          <w:color w:val="auto"/>
          <w:kern w:val="0"/>
          <w:highlight w:val="none"/>
        </w:rPr>
        <w:t>5、拒绝有关部门监督检查或者提供虚假情况的。</w:t>
      </w:r>
    </w:p>
    <w:p>
      <w:pPr>
        <w:spacing w:line="440" w:lineRule="exact"/>
        <w:ind w:firstLine="480" w:firstLineChars="200"/>
        <w:rPr>
          <w:rFonts w:cs="仿宋_GB2312"/>
          <w:color w:val="auto"/>
          <w:kern w:val="0"/>
          <w:highlight w:val="none"/>
        </w:rPr>
      </w:pPr>
      <w:r>
        <w:rPr>
          <w:rFonts w:hint="eastAsia" w:cs="仿宋_GB2312"/>
          <w:color w:val="auto"/>
          <w:kern w:val="0"/>
          <w:highlight w:val="none"/>
        </w:rPr>
        <w:t>对有下列情况的乙方，视情节轻重予以具体处罚措施进行处理：</w:t>
      </w:r>
    </w:p>
    <w:p>
      <w:pPr>
        <w:spacing w:line="440" w:lineRule="exact"/>
        <w:ind w:firstLine="480" w:firstLineChars="200"/>
        <w:rPr>
          <w:rFonts w:cs="仿宋_GB2312"/>
          <w:color w:val="auto"/>
          <w:kern w:val="0"/>
          <w:highlight w:val="none"/>
        </w:rPr>
      </w:pPr>
      <w:r>
        <w:rPr>
          <w:rFonts w:hint="eastAsia" w:cs="仿宋_GB2312"/>
          <w:color w:val="auto"/>
          <w:kern w:val="0"/>
          <w:highlight w:val="none"/>
        </w:rPr>
        <w:t>1、无故拖延或拒绝签订协议的，或拒绝按照承诺优惠条款执行的；</w:t>
      </w:r>
    </w:p>
    <w:p>
      <w:pPr>
        <w:spacing w:line="440" w:lineRule="exact"/>
        <w:ind w:firstLine="480" w:firstLineChars="200"/>
        <w:rPr>
          <w:rFonts w:cs="仿宋_GB2312"/>
          <w:color w:val="auto"/>
          <w:kern w:val="0"/>
          <w:highlight w:val="none"/>
        </w:rPr>
      </w:pPr>
      <w:r>
        <w:rPr>
          <w:rFonts w:hint="eastAsia" w:cs="仿宋_GB2312"/>
          <w:color w:val="auto"/>
          <w:kern w:val="0"/>
          <w:highlight w:val="none"/>
        </w:rPr>
        <w:t>2、非法转包或未经同意将项目分包的；</w:t>
      </w:r>
    </w:p>
    <w:p>
      <w:pPr>
        <w:spacing w:line="440" w:lineRule="exact"/>
        <w:ind w:firstLine="480" w:firstLineChars="200"/>
        <w:rPr>
          <w:rFonts w:cs="仿宋_GB2312"/>
          <w:color w:val="auto"/>
          <w:kern w:val="0"/>
          <w:highlight w:val="none"/>
        </w:rPr>
      </w:pPr>
      <w:r>
        <w:rPr>
          <w:rFonts w:hint="eastAsia" w:cs="仿宋_GB2312"/>
          <w:color w:val="auto"/>
          <w:kern w:val="0"/>
          <w:highlight w:val="none"/>
        </w:rPr>
        <w:t>3、无正当理由拒绝按照协议约定提供服务的或未能在承诺期限内提供服务；</w:t>
      </w:r>
    </w:p>
    <w:p>
      <w:pPr>
        <w:spacing w:line="440" w:lineRule="exact"/>
        <w:ind w:firstLine="480" w:firstLineChars="200"/>
        <w:rPr>
          <w:rFonts w:cs="仿宋_GB2312"/>
          <w:color w:val="auto"/>
          <w:kern w:val="0"/>
          <w:highlight w:val="none"/>
        </w:rPr>
      </w:pPr>
      <w:r>
        <w:rPr>
          <w:rFonts w:hint="eastAsia" w:cs="仿宋_GB2312"/>
          <w:color w:val="auto"/>
          <w:kern w:val="0"/>
          <w:highlight w:val="none"/>
        </w:rPr>
        <w:t>4、被投诉质疑，经证实情况严重的；</w:t>
      </w:r>
    </w:p>
    <w:p>
      <w:pPr>
        <w:spacing w:line="440" w:lineRule="exact"/>
        <w:ind w:firstLine="480" w:firstLineChars="200"/>
        <w:rPr>
          <w:rFonts w:cs="仿宋_GB2312"/>
          <w:color w:val="auto"/>
          <w:kern w:val="0"/>
          <w:highlight w:val="none"/>
        </w:rPr>
      </w:pPr>
      <w:r>
        <w:rPr>
          <w:rFonts w:hint="eastAsia" w:cs="仿宋_GB2312"/>
          <w:color w:val="auto"/>
          <w:kern w:val="0"/>
          <w:highlight w:val="none"/>
        </w:rPr>
        <w:t>5、使用不正当竞争手段，影响甲方正常采购活动的；</w:t>
      </w:r>
    </w:p>
    <w:p>
      <w:pPr>
        <w:spacing w:line="440" w:lineRule="exact"/>
        <w:ind w:firstLine="480" w:firstLineChars="200"/>
        <w:rPr>
          <w:rFonts w:cs="仿宋_GB2312"/>
          <w:color w:val="auto"/>
          <w:kern w:val="0"/>
          <w:highlight w:val="none"/>
        </w:rPr>
      </w:pPr>
      <w:r>
        <w:rPr>
          <w:rFonts w:hint="eastAsia" w:cs="仿宋_GB2312"/>
          <w:color w:val="auto"/>
          <w:kern w:val="0"/>
          <w:highlight w:val="none"/>
        </w:rPr>
        <w:t>6、违反法律法规和协议约定的其他情形的。</w:t>
      </w:r>
    </w:p>
    <w:p>
      <w:pPr>
        <w:spacing w:line="440" w:lineRule="exact"/>
        <w:ind w:firstLine="480" w:firstLineChars="200"/>
        <w:rPr>
          <w:rFonts w:cs="仿宋_GB2312"/>
          <w:color w:val="auto"/>
          <w:kern w:val="0"/>
          <w:highlight w:val="none"/>
        </w:rPr>
      </w:pPr>
      <w:r>
        <w:rPr>
          <w:rFonts w:hint="eastAsia" w:cs="仿宋_GB2312"/>
          <w:color w:val="auto"/>
          <w:kern w:val="0"/>
          <w:highlight w:val="none"/>
        </w:rPr>
        <w:t>以上对乙方的所有处罚都将记入乙方诚信评价体系，作为考核评价的依据。</w:t>
      </w:r>
    </w:p>
    <w:p>
      <w:pPr>
        <w:spacing w:line="440" w:lineRule="exact"/>
        <w:ind w:firstLine="480" w:firstLineChars="200"/>
        <w:rPr>
          <w:rFonts w:cs="仿宋_GB2312"/>
          <w:color w:val="auto"/>
          <w:kern w:val="0"/>
          <w:highlight w:val="none"/>
        </w:rPr>
      </w:pPr>
      <w:r>
        <w:rPr>
          <w:rFonts w:hint="eastAsia" w:cs="仿宋_GB2312"/>
          <w:color w:val="auto"/>
          <w:kern w:val="0"/>
          <w:highlight w:val="none"/>
        </w:rPr>
        <w:t>七、乙方出现以下情形之一的，甲方有权提前收回存放公款，并取消乙方在以后的竞争性存放投标资格：</w:t>
      </w:r>
    </w:p>
    <w:p>
      <w:pPr>
        <w:spacing w:line="440" w:lineRule="exact"/>
        <w:ind w:firstLine="480" w:firstLineChars="200"/>
        <w:rPr>
          <w:rFonts w:cs="仿宋_GB2312"/>
          <w:color w:val="auto"/>
          <w:kern w:val="0"/>
          <w:highlight w:val="none"/>
        </w:rPr>
      </w:pPr>
      <w:r>
        <w:rPr>
          <w:rFonts w:hint="eastAsia" w:cs="仿宋_GB2312"/>
          <w:color w:val="auto"/>
          <w:kern w:val="0"/>
          <w:highlight w:val="none"/>
        </w:rPr>
        <w:t>1、出现资金安全事故、重大违法违规情况或财务恶化；</w:t>
      </w:r>
    </w:p>
    <w:p>
      <w:pPr>
        <w:spacing w:line="440" w:lineRule="exact"/>
        <w:ind w:firstLine="480" w:firstLineChars="200"/>
        <w:rPr>
          <w:rFonts w:cs="仿宋_GB2312"/>
          <w:color w:val="auto"/>
          <w:kern w:val="0"/>
          <w:highlight w:val="none"/>
        </w:rPr>
      </w:pPr>
      <w:r>
        <w:rPr>
          <w:rFonts w:hint="eastAsia" w:cs="仿宋_GB2312"/>
          <w:color w:val="auto"/>
          <w:kern w:val="0"/>
          <w:highlight w:val="none"/>
        </w:rPr>
        <w:t>2、监管评级降低，监管部门认为存在较大运营风险；</w:t>
      </w:r>
    </w:p>
    <w:p>
      <w:pPr>
        <w:spacing w:line="440" w:lineRule="exact"/>
        <w:ind w:firstLine="480" w:firstLineChars="200"/>
        <w:rPr>
          <w:rFonts w:cs="仿宋_GB2312"/>
          <w:color w:val="auto"/>
          <w:kern w:val="0"/>
          <w:highlight w:val="none"/>
        </w:rPr>
      </w:pPr>
      <w:r>
        <w:rPr>
          <w:rFonts w:hint="eastAsia" w:cs="仿宋_GB2312"/>
          <w:color w:val="auto"/>
          <w:kern w:val="0"/>
          <w:highlight w:val="none"/>
        </w:rPr>
        <w:t>3、进行严重不正当投标；</w:t>
      </w:r>
    </w:p>
    <w:p>
      <w:pPr>
        <w:spacing w:line="440" w:lineRule="exact"/>
        <w:ind w:firstLine="480" w:firstLineChars="200"/>
        <w:rPr>
          <w:rFonts w:cs="仿宋_GB2312"/>
          <w:color w:val="auto"/>
          <w:kern w:val="0"/>
          <w:highlight w:val="none"/>
        </w:rPr>
      </w:pPr>
      <w:r>
        <w:rPr>
          <w:rFonts w:hint="eastAsia" w:cs="仿宋_GB2312"/>
          <w:color w:val="auto"/>
          <w:kern w:val="0"/>
          <w:highlight w:val="none"/>
        </w:rPr>
        <w:t>4、未按照中标协议承诺履行相应的责任和义务；</w:t>
      </w:r>
    </w:p>
    <w:p>
      <w:pPr>
        <w:spacing w:line="440" w:lineRule="exact"/>
        <w:ind w:firstLine="480" w:firstLineChars="200"/>
        <w:rPr>
          <w:rFonts w:cs="仿宋_GB2312"/>
          <w:color w:val="auto"/>
          <w:kern w:val="0"/>
          <w:highlight w:val="none"/>
        </w:rPr>
      </w:pPr>
      <w:r>
        <w:rPr>
          <w:rFonts w:hint="eastAsia" w:cs="仿宋_GB2312"/>
          <w:color w:val="auto"/>
          <w:kern w:val="0"/>
          <w:highlight w:val="none"/>
        </w:rPr>
        <w:t>5、擅自降低服务条件和服务内容的；</w:t>
      </w:r>
    </w:p>
    <w:p>
      <w:pPr>
        <w:spacing w:line="440" w:lineRule="exact"/>
        <w:ind w:firstLine="480" w:firstLineChars="200"/>
        <w:rPr>
          <w:rFonts w:cs="仿宋_GB2312"/>
          <w:color w:val="auto"/>
          <w:kern w:val="0"/>
          <w:highlight w:val="none"/>
        </w:rPr>
      </w:pPr>
      <w:r>
        <w:rPr>
          <w:rFonts w:hint="eastAsia" w:cs="仿宋_GB2312"/>
          <w:color w:val="auto"/>
          <w:kern w:val="0"/>
          <w:highlight w:val="none"/>
        </w:rPr>
        <w:t>6、出现银行挤兑、存款被盗或其他可能妨害公款安全的情形。</w:t>
      </w:r>
    </w:p>
    <w:p>
      <w:pPr>
        <w:spacing w:line="440" w:lineRule="exact"/>
        <w:ind w:firstLine="480" w:firstLineChars="200"/>
        <w:rPr>
          <w:rFonts w:cs="仿宋_GB2312"/>
          <w:color w:val="auto"/>
          <w:kern w:val="0"/>
          <w:highlight w:val="none"/>
        </w:rPr>
      </w:pPr>
      <w:r>
        <w:rPr>
          <w:rFonts w:hint="eastAsia" w:cs="仿宋_GB2312"/>
          <w:color w:val="auto"/>
          <w:kern w:val="0"/>
          <w:highlight w:val="none"/>
        </w:rPr>
        <w:t>八、违约责任：</w:t>
      </w:r>
    </w:p>
    <w:p>
      <w:pPr>
        <w:spacing w:line="440" w:lineRule="exact"/>
        <w:ind w:firstLine="480" w:firstLineChars="200"/>
        <w:rPr>
          <w:rFonts w:cs="仿宋_GB2312"/>
          <w:color w:val="auto"/>
          <w:kern w:val="0"/>
          <w:highlight w:val="none"/>
        </w:rPr>
      </w:pPr>
      <w:r>
        <w:rPr>
          <w:rFonts w:hint="eastAsia" w:cs="仿宋_GB2312"/>
          <w:color w:val="auto"/>
          <w:kern w:val="0"/>
          <w:highlight w:val="none"/>
        </w:rPr>
        <w:t>除发生不可抗力外，违约责任按以下条款执行：</w:t>
      </w:r>
    </w:p>
    <w:p>
      <w:pPr>
        <w:spacing w:line="440" w:lineRule="exact"/>
        <w:ind w:firstLine="480" w:firstLineChars="200"/>
        <w:rPr>
          <w:rFonts w:cs="仿宋_GB2312"/>
          <w:color w:val="auto"/>
          <w:highlight w:val="none"/>
        </w:rPr>
      </w:pPr>
      <w:r>
        <w:rPr>
          <w:rFonts w:hint="eastAsia" w:cs="仿宋_GB2312"/>
          <w:color w:val="auto"/>
          <w:highlight w:val="none"/>
        </w:rPr>
        <w:t>1、如发现乙方违反招投标文件和协议的有关规定，甲方有权根据招标文件和相应的法律法规要求对乙方进行处罚，并有权提前终止协议书。</w:t>
      </w:r>
    </w:p>
    <w:p>
      <w:pPr>
        <w:spacing w:line="440" w:lineRule="exact"/>
        <w:ind w:firstLine="480" w:firstLineChars="200"/>
        <w:rPr>
          <w:rFonts w:cs="仿宋_GB2312"/>
          <w:color w:val="auto"/>
          <w:kern w:val="0"/>
          <w:highlight w:val="none"/>
        </w:rPr>
      </w:pPr>
      <w:r>
        <w:rPr>
          <w:rFonts w:hint="eastAsia" w:cs="仿宋_GB2312"/>
          <w:color w:val="auto"/>
          <w:kern w:val="0"/>
          <w:highlight w:val="none"/>
        </w:rPr>
        <w:t>九、附件。附件是本协议不可分割的组成部分，具有同等法律效力。本协议附件包括：甲乙双方签字授权书。</w:t>
      </w:r>
    </w:p>
    <w:p>
      <w:pPr>
        <w:spacing w:line="440" w:lineRule="exact"/>
        <w:ind w:firstLine="480" w:firstLineChars="200"/>
        <w:rPr>
          <w:rFonts w:cs="仿宋_GB2312"/>
          <w:color w:val="auto"/>
          <w:kern w:val="0"/>
          <w:highlight w:val="none"/>
        </w:rPr>
      </w:pPr>
      <w:r>
        <w:rPr>
          <w:rFonts w:hint="eastAsia" w:cs="仿宋_GB2312"/>
          <w:color w:val="auto"/>
          <w:kern w:val="0"/>
          <w:highlight w:val="none"/>
        </w:rPr>
        <w:t>十、本协议一式肆份，甲乙双方各执贰份，具有同等法律效力。执行中如对本协议产生争议，通过协商解决。</w:t>
      </w:r>
    </w:p>
    <w:p>
      <w:pPr>
        <w:keepNext w:val="0"/>
        <w:keepLines w:val="0"/>
        <w:pageBreakBefore w:val="0"/>
        <w:kinsoku/>
        <w:wordWrap/>
        <w:topLinePunct w:val="0"/>
        <w:bidi w:val="0"/>
        <w:spacing w:line="0" w:lineRule="atLeast"/>
        <w:rPr>
          <w:rFonts w:hint="eastAsia" w:cs="仿宋_GB2312"/>
          <w:color w:val="auto"/>
          <w:kern w:val="0"/>
          <w:highlight w:val="none"/>
        </w:rPr>
      </w:pPr>
    </w:p>
    <w:p>
      <w:pPr>
        <w:keepNext w:val="0"/>
        <w:keepLines w:val="0"/>
        <w:pageBreakBefore w:val="0"/>
        <w:kinsoku/>
        <w:wordWrap/>
        <w:topLinePunct w:val="0"/>
        <w:bidi w:val="0"/>
        <w:spacing w:line="0" w:lineRule="atLeast"/>
        <w:rPr>
          <w:rFonts w:cs="仿宋_GB2312"/>
          <w:color w:val="auto"/>
          <w:kern w:val="0"/>
          <w:highlight w:val="none"/>
        </w:rPr>
      </w:pPr>
      <w:r>
        <w:rPr>
          <w:rFonts w:hint="eastAsia" w:cs="仿宋_GB2312"/>
          <w:color w:val="auto"/>
          <w:kern w:val="0"/>
          <w:highlight w:val="none"/>
        </w:rPr>
        <w:t>甲方（盖章）：</w:t>
      </w:r>
      <w:r>
        <w:rPr>
          <w:rFonts w:hint="eastAsia" w:cs="仿宋_GB2312"/>
          <w:color w:val="auto"/>
          <w:kern w:val="0"/>
          <w:highlight w:val="none"/>
          <w:u w:val="single"/>
        </w:rPr>
        <w:t xml:space="preserve">                 </w:t>
      </w:r>
      <w:r>
        <w:rPr>
          <w:rFonts w:hint="eastAsia" w:cs="仿宋_GB2312"/>
          <w:color w:val="auto"/>
          <w:kern w:val="0"/>
          <w:highlight w:val="none"/>
        </w:rPr>
        <w:t xml:space="preserve">        乙方（盖章）：</w:t>
      </w:r>
      <w:r>
        <w:rPr>
          <w:rFonts w:hint="eastAsia" w:cs="仿宋_GB2312"/>
          <w:color w:val="auto"/>
          <w:kern w:val="0"/>
          <w:highlight w:val="none"/>
          <w:u w:val="single"/>
        </w:rPr>
        <w:t xml:space="preserve">                  </w:t>
      </w:r>
    </w:p>
    <w:p>
      <w:pPr>
        <w:keepNext w:val="0"/>
        <w:keepLines w:val="0"/>
        <w:pageBreakBefore w:val="0"/>
        <w:kinsoku/>
        <w:wordWrap/>
        <w:topLinePunct w:val="0"/>
        <w:bidi w:val="0"/>
        <w:spacing w:line="0" w:lineRule="atLeast"/>
        <w:rPr>
          <w:rFonts w:cs="仿宋_GB2312"/>
          <w:color w:val="auto"/>
          <w:kern w:val="0"/>
          <w:highlight w:val="none"/>
        </w:rPr>
      </w:pPr>
      <w:r>
        <w:rPr>
          <w:rFonts w:hint="eastAsia" w:cs="仿宋_GB2312"/>
          <w:color w:val="auto"/>
          <w:kern w:val="0"/>
          <w:highlight w:val="none"/>
        </w:rPr>
        <w:t>甲方代表（签字）：</w:t>
      </w:r>
      <w:r>
        <w:rPr>
          <w:rFonts w:hint="eastAsia" w:cs="仿宋_GB2312"/>
          <w:color w:val="auto"/>
          <w:kern w:val="0"/>
          <w:highlight w:val="none"/>
          <w:u w:val="single"/>
        </w:rPr>
        <w:t xml:space="preserve">             </w:t>
      </w:r>
      <w:r>
        <w:rPr>
          <w:rFonts w:hint="eastAsia" w:cs="仿宋_GB2312"/>
          <w:color w:val="auto"/>
          <w:kern w:val="0"/>
          <w:highlight w:val="none"/>
        </w:rPr>
        <w:t xml:space="preserve">        乙方代表（签字）：</w:t>
      </w:r>
      <w:r>
        <w:rPr>
          <w:rFonts w:hint="eastAsia" w:cs="仿宋_GB2312"/>
          <w:color w:val="auto"/>
          <w:kern w:val="0"/>
          <w:highlight w:val="none"/>
          <w:u w:val="single"/>
        </w:rPr>
        <w:t xml:space="preserve">              </w:t>
      </w:r>
    </w:p>
    <w:p>
      <w:pPr>
        <w:keepNext w:val="0"/>
        <w:keepLines w:val="0"/>
        <w:pageBreakBefore w:val="0"/>
        <w:kinsoku/>
        <w:wordWrap/>
        <w:topLinePunct w:val="0"/>
        <w:bidi w:val="0"/>
        <w:spacing w:line="0" w:lineRule="atLeast"/>
        <w:rPr>
          <w:rFonts w:cs="仿宋_GB2312"/>
          <w:color w:val="auto"/>
          <w:kern w:val="0"/>
          <w:highlight w:val="none"/>
        </w:rPr>
      </w:pPr>
      <w:r>
        <w:rPr>
          <w:rFonts w:hint="eastAsia" w:cs="仿宋_GB2312"/>
          <w:color w:val="auto"/>
          <w:kern w:val="0"/>
          <w:highlight w:val="none"/>
        </w:rPr>
        <w:t>联系电话：</w:t>
      </w:r>
      <w:r>
        <w:rPr>
          <w:rFonts w:hint="eastAsia" w:cs="仿宋_GB2312"/>
          <w:color w:val="auto"/>
          <w:kern w:val="0"/>
          <w:highlight w:val="none"/>
          <w:u w:val="single"/>
        </w:rPr>
        <w:t xml:space="preserve">                     </w:t>
      </w:r>
      <w:r>
        <w:rPr>
          <w:rFonts w:hint="eastAsia" w:cs="仿宋_GB2312"/>
          <w:color w:val="auto"/>
          <w:kern w:val="0"/>
          <w:highlight w:val="none"/>
        </w:rPr>
        <w:tab/>
      </w:r>
      <w:r>
        <w:rPr>
          <w:rFonts w:hint="eastAsia" w:cs="仿宋_GB2312"/>
          <w:color w:val="auto"/>
          <w:kern w:val="0"/>
          <w:highlight w:val="none"/>
        </w:rPr>
        <w:t xml:space="preserve">        联系电话：</w:t>
      </w:r>
      <w:r>
        <w:rPr>
          <w:rFonts w:hint="eastAsia" w:cs="仿宋_GB2312"/>
          <w:color w:val="auto"/>
          <w:kern w:val="0"/>
          <w:highlight w:val="none"/>
          <w:u w:val="single"/>
        </w:rPr>
        <w:t xml:space="preserve">                     </w:t>
      </w:r>
      <w:r>
        <w:rPr>
          <w:rFonts w:hint="eastAsia" w:cs="仿宋_GB2312"/>
          <w:color w:val="auto"/>
          <w:kern w:val="0"/>
          <w:highlight w:val="none"/>
        </w:rPr>
        <w:t xml:space="preserve">                          </w:t>
      </w:r>
    </w:p>
    <w:p>
      <w:pPr>
        <w:keepNext w:val="0"/>
        <w:keepLines w:val="0"/>
        <w:pageBreakBefore w:val="0"/>
        <w:widowControl/>
        <w:kinsoku/>
        <w:wordWrap/>
        <w:overflowPunct w:val="0"/>
        <w:topLinePunct w:val="0"/>
        <w:autoSpaceDE w:val="0"/>
        <w:autoSpaceDN w:val="0"/>
        <w:bidi w:val="0"/>
        <w:adjustRightInd w:val="0"/>
        <w:snapToGrid w:val="0"/>
        <w:spacing w:line="0" w:lineRule="atLeast"/>
        <w:jc w:val="left"/>
        <w:textAlignment w:val="baseline"/>
        <w:rPr>
          <w:b/>
          <w:color w:val="auto"/>
          <w:kern w:val="0"/>
          <w:highlight w:val="none"/>
        </w:rPr>
        <w:sectPr>
          <w:headerReference r:id="rId7" w:type="default"/>
          <w:footerReference r:id="rId8" w:type="default"/>
          <w:pgSz w:w="11906" w:h="16838"/>
          <w:pgMar w:top="1417" w:right="1418" w:bottom="1417" w:left="1588" w:header="851" w:footer="992" w:gutter="0"/>
          <w:cols w:space="0" w:num="1"/>
          <w:docGrid w:type="lines" w:linePitch="312" w:charSpace="0"/>
        </w:sectPr>
      </w:pPr>
      <w:r>
        <w:rPr>
          <w:rFonts w:hint="eastAsia" w:cs="仿宋_GB2312"/>
          <w:color w:val="auto"/>
          <w:kern w:val="0"/>
          <w:highlight w:val="none"/>
        </w:rPr>
        <w:t>签署日期：</w:t>
      </w:r>
      <w:r>
        <w:rPr>
          <w:rFonts w:hint="eastAsia" w:cs="仿宋_GB2312"/>
          <w:color w:val="auto"/>
          <w:highlight w:val="none"/>
        </w:rPr>
        <w:t xml:space="preserve">     年    月   日</w:t>
      </w:r>
    </w:p>
    <w:p>
      <w:pPr>
        <w:pStyle w:val="5"/>
        <w:rPr>
          <w:color w:val="auto"/>
          <w:highlight w:val="none"/>
        </w:rPr>
      </w:pPr>
      <w:r>
        <w:rPr>
          <w:rFonts w:hint="eastAsia"/>
          <w:color w:val="auto"/>
          <w:highlight w:val="none"/>
        </w:rPr>
        <w:t>第五章 投标文件格式附件</w:t>
      </w:r>
      <w:bookmarkEnd w:id="12"/>
    </w:p>
    <w:p>
      <w:pPr>
        <w:wordWrap w:val="0"/>
        <w:topLinePunct/>
        <w:ind w:firstLine="480" w:firstLineChars="200"/>
        <w:rPr>
          <w:color w:val="auto"/>
          <w:highlight w:val="none"/>
        </w:rPr>
      </w:pPr>
      <w:r>
        <w:rPr>
          <w:rFonts w:hint="eastAsia"/>
          <w:color w:val="auto"/>
          <w:highlight w:val="none"/>
        </w:rPr>
        <w:t>投标人提交投标文件须知：</w:t>
      </w:r>
    </w:p>
    <w:p>
      <w:pPr>
        <w:wordWrap w:val="0"/>
        <w:topLinePunct/>
        <w:ind w:firstLine="480" w:firstLineChars="200"/>
        <w:rPr>
          <w:color w:val="auto"/>
          <w:highlight w:val="none"/>
        </w:rPr>
      </w:pPr>
      <w:r>
        <w:rPr>
          <w:rFonts w:hint="eastAsia"/>
          <w:color w:val="auto"/>
          <w:highlight w:val="none"/>
        </w:rPr>
        <w:t>（一）投标人应严格按照以下要求填写和提交下述规定的全部格式文件以及其他有关资料，混乱的编排导致投标文件被误读或评标委员会查找不到有效文件是投标人的风险。</w:t>
      </w:r>
    </w:p>
    <w:p>
      <w:pPr>
        <w:wordWrap w:val="0"/>
        <w:topLinePunct/>
        <w:ind w:firstLine="480" w:firstLineChars="200"/>
        <w:rPr>
          <w:color w:val="auto"/>
          <w:highlight w:val="none"/>
        </w:rPr>
      </w:pPr>
      <w:r>
        <w:rPr>
          <w:rFonts w:hint="eastAsia"/>
          <w:color w:val="auto"/>
          <w:highlight w:val="none"/>
        </w:rPr>
        <w:t>（二）所附表格中要求回答的全部问题、信息都必须正面回答。</w:t>
      </w:r>
    </w:p>
    <w:p>
      <w:pPr>
        <w:wordWrap w:val="0"/>
        <w:topLinePunct/>
        <w:ind w:firstLine="480" w:firstLineChars="200"/>
        <w:rPr>
          <w:color w:val="auto"/>
          <w:highlight w:val="none"/>
        </w:rPr>
      </w:pPr>
      <w:r>
        <w:rPr>
          <w:rFonts w:hint="eastAsia"/>
          <w:color w:val="auto"/>
          <w:highlight w:val="none"/>
        </w:rPr>
        <w:t>（三）本声明书和投标响应函的签字人应保证全部声明和问题的回答是真实的和准确的。</w:t>
      </w:r>
    </w:p>
    <w:p>
      <w:pPr>
        <w:wordWrap w:val="0"/>
        <w:topLinePunct/>
        <w:ind w:firstLine="480" w:firstLineChars="200"/>
        <w:rPr>
          <w:color w:val="auto"/>
          <w:highlight w:val="none"/>
        </w:rPr>
      </w:pPr>
      <w:r>
        <w:rPr>
          <w:rFonts w:hint="eastAsia"/>
          <w:color w:val="auto"/>
          <w:highlight w:val="none"/>
        </w:rPr>
        <w:t>（四）评标委员会将应用投标人提交的资料根据自己的判断和考虑决定投标人履行协议的合格性及能力。</w:t>
      </w:r>
    </w:p>
    <w:p>
      <w:pPr>
        <w:wordWrap w:val="0"/>
        <w:topLinePunct/>
        <w:ind w:firstLine="480" w:firstLineChars="200"/>
        <w:rPr>
          <w:color w:val="auto"/>
          <w:highlight w:val="none"/>
        </w:rPr>
      </w:pPr>
      <w:r>
        <w:rPr>
          <w:rFonts w:hint="eastAsia"/>
          <w:color w:val="auto"/>
          <w:highlight w:val="none"/>
        </w:rPr>
        <w:t>（五）投标人提交的材料将在一定期限内被保密保存，但不退还。</w:t>
      </w:r>
    </w:p>
    <w:p>
      <w:pPr>
        <w:wordWrap w:val="0"/>
        <w:topLinePunct/>
        <w:ind w:firstLine="480" w:firstLineChars="200"/>
        <w:rPr>
          <w:color w:val="auto"/>
          <w:highlight w:val="none"/>
        </w:rPr>
      </w:pPr>
      <w:r>
        <w:rPr>
          <w:rFonts w:hint="eastAsia"/>
          <w:color w:val="auto"/>
          <w:highlight w:val="none"/>
        </w:rPr>
        <w:t>（六）电子投标文件，需按政采云平台-用户中心-公款竞争性存放电子招投标操作指南及本招标文件要求递交。全部文件应按投标人须知中规定的语言提交。投标文件组成漏项或未按规定的格式编制，内容不全或内容字迹模糊辨认不清的情况，将被评标委员会认定为投标无效。</w:t>
      </w:r>
    </w:p>
    <w:p>
      <w:pPr>
        <w:rPr>
          <w:b/>
          <w:color w:val="auto"/>
          <w:sz w:val="36"/>
          <w:szCs w:val="36"/>
          <w:highlight w:val="none"/>
        </w:rPr>
      </w:pPr>
      <w:r>
        <w:rPr>
          <w:rFonts w:hint="eastAsia"/>
          <w:b/>
          <w:color w:val="auto"/>
          <w:sz w:val="32"/>
          <w:highlight w:val="none"/>
        </w:rPr>
        <w:br w:type="page"/>
      </w:r>
    </w:p>
    <w:p>
      <w:pPr>
        <w:rPr>
          <w:rFonts w:cs="仿宋_GB2312"/>
          <w:b/>
          <w:color w:val="auto"/>
          <w:sz w:val="30"/>
          <w:highlight w:val="none"/>
        </w:rPr>
      </w:pPr>
    </w:p>
    <w:p>
      <w:pPr>
        <w:jc w:val="center"/>
        <w:rPr>
          <w:rFonts w:cs="仿宋_GB2312"/>
          <w:b/>
          <w:color w:val="auto"/>
          <w:sz w:val="48"/>
          <w:szCs w:val="48"/>
          <w:highlight w:val="none"/>
        </w:rPr>
      </w:pPr>
      <w:r>
        <w:rPr>
          <w:rFonts w:hint="eastAsia" w:cs="仿宋_GB2312"/>
          <w:b/>
          <w:color w:val="auto"/>
          <w:sz w:val="48"/>
          <w:szCs w:val="48"/>
          <w:highlight w:val="none"/>
        </w:rPr>
        <w:t>投标文件（封面）</w:t>
      </w:r>
    </w:p>
    <w:p>
      <w:pPr>
        <w:rPr>
          <w:color w:val="auto"/>
          <w:sz w:val="30"/>
          <w:szCs w:val="30"/>
          <w:highlight w:val="none"/>
        </w:rPr>
      </w:pPr>
      <w:r>
        <w:rPr>
          <w:rFonts w:hint="eastAsia"/>
          <w:color w:val="auto"/>
          <w:sz w:val="30"/>
          <w:szCs w:val="30"/>
          <w:highlight w:val="none"/>
        </w:rPr>
        <w:t xml:space="preserve">                                            </w:t>
      </w:r>
    </w:p>
    <w:p>
      <w:pPr>
        <w:rPr>
          <w:color w:val="auto"/>
          <w:sz w:val="30"/>
          <w:szCs w:val="30"/>
          <w:highlight w:val="none"/>
        </w:rPr>
      </w:pPr>
      <w:r>
        <w:rPr>
          <w:rFonts w:hint="eastAsia"/>
          <w:color w:val="auto"/>
          <w:sz w:val="30"/>
          <w:szCs w:val="30"/>
          <w:highlight w:val="none"/>
        </w:rPr>
        <w:t xml:space="preserve">                                   </w:t>
      </w:r>
    </w:p>
    <w:p>
      <w:pPr>
        <w:rPr>
          <w:rFonts w:cs="仿宋_GB2312"/>
          <w:color w:val="auto"/>
          <w:sz w:val="30"/>
          <w:szCs w:val="30"/>
          <w:highlight w:val="none"/>
          <w:u w:val="single"/>
        </w:rPr>
      </w:pPr>
      <w:r>
        <w:rPr>
          <w:rFonts w:hint="eastAsia" w:cs="仿宋_GB2312"/>
          <w:color w:val="auto"/>
          <w:sz w:val="30"/>
          <w:szCs w:val="30"/>
          <w:highlight w:val="none"/>
        </w:rPr>
        <w:t>项目名称：</w:t>
      </w:r>
      <w:r>
        <w:rPr>
          <w:rFonts w:hint="eastAsia" w:cs="仿宋_GB2312"/>
          <w:color w:val="auto"/>
          <w:sz w:val="30"/>
          <w:szCs w:val="30"/>
          <w:highlight w:val="none"/>
          <w:u w:val="single"/>
        </w:rPr>
        <w:t xml:space="preserve">                                               </w:t>
      </w:r>
    </w:p>
    <w:p>
      <w:pPr>
        <w:rPr>
          <w:rFonts w:cs="仿宋_GB2312"/>
          <w:color w:val="auto"/>
          <w:sz w:val="30"/>
          <w:szCs w:val="30"/>
          <w:highlight w:val="none"/>
          <w:u w:val="single"/>
        </w:rPr>
      </w:pPr>
    </w:p>
    <w:p>
      <w:pPr>
        <w:rPr>
          <w:rFonts w:cs="仿宋_GB2312"/>
          <w:color w:val="auto"/>
          <w:sz w:val="30"/>
          <w:szCs w:val="30"/>
          <w:highlight w:val="none"/>
        </w:rPr>
      </w:pPr>
      <w:r>
        <w:rPr>
          <w:rFonts w:hint="eastAsia" w:cs="仿宋_GB2312"/>
          <w:color w:val="auto"/>
          <w:sz w:val="30"/>
          <w:szCs w:val="30"/>
          <w:highlight w:val="none"/>
        </w:rPr>
        <w:t>项目编号：</w:t>
      </w:r>
      <w:r>
        <w:rPr>
          <w:rFonts w:hint="eastAsia" w:cs="仿宋_GB2312"/>
          <w:color w:val="auto"/>
          <w:sz w:val="30"/>
          <w:szCs w:val="30"/>
          <w:highlight w:val="none"/>
          <w:u w:val="single"/>
        </w:rPr>
        <w:t xml:space="preserve">                                              </w:t>
      </w:r>
      <w:r>
        <w:rPr>
          <w:rFonts w:hint="eastAsia" w:cs="仿宋_GB2312"/>
          <w:color w:val="auto"/>
          <w:sz w:val="30"/>
          <w:szCs w:val="30"/>
          <w:highlight w:val="none"/>
          <w:u w:val="single"/>
          <w:lang w:val="en-US" w:eastAsia="zh-CN"/>
        </w:rPr>
        <w:t xml:space="preserve"> </w:t>
      </w:r>
      <w:r>
        <w:rPr>
          <w:rFonts w:hint="eastAsia" w:cs="仿宋_GB2312"/>
          <w:color w:val="auto"/>
          <w:sz w:val="30"/>
          <w:szCs w:val="30"/>
          <w:highlight w:val="none"/>
        </w:rPr>
        <w:t xml:space="preserve"> </w:t>
      </w:r>
    </w:p>
    <w:p>
      <w:pPr>
        <w:wordWrap w:val="0"/>
        <w:topLinePunct/>
        <w:rPr>
          <w:rFonts w:cs="仿宋_GB2312"/>
          <w:color w:val="auto"/>
          <w:sz w:val="30"/>
          <w:szCs w:val="30"/>
          <w:highlight w:val="none"/>
        </w:rPr>
      </w:pPr>
    </w:p>
    <w:p>
      <w:pPr>
        <w:wordWrap w:val="0"/>
        <w:topLinePunct/>
        <w:rPr>
          <w:rFonts w:cs="仿宋_GB2312"/>
          <w:color w:val="auto"/>
          <w:sz w:val="30"/>
          <w:szCs w:val="30"/>
          <w:highlight w:val="none"/>
          <w:u w:val="single"/>
        </w:rPr>
      </w:pPr>
      <w:r>
        <w:rPr>
          <w:rFonts w:hint="eastAsia" w:cs="仿宋_GB2312"/>
          <w:color w:val="auto"/>
          <w:sz w:val="30"/>
          <w:szCs w:val="30"/>
          <w:highlight w:val="none"/>
        </w:rPr>
        <w:t>投标人：</w:t>
      </w:r>
      <w:r>
        <w:rPr>
          <w:rFonts w:hint="eastAsia" w:cs="仿宋_GB2312"/>
          <w:color w:val="auto"/>
          <w:sz w:val="30"/>
          <w:szCs w:val="30"/>
          <w:highlight w:val="none"/>
          <w:u w:val="single"/>
        </w:rPr>
        <w:t xml:space="preserve">                                          （盖章）</w:t>
      </w:r>
    </w:p>
    <w:p>
      <w:pPr>
        <w:wordWrap w:val="0"/>
        <w:topLinePunct/>
        <w:rPr>
          <w:rFonts w:cs="仿宋_GB2312"/>
          <w:color w:val="auto"/>
          <w:sz w:val="30"/>
          <w:szCs w:val="30"/>
          <w:highlight w:val="none"/>
          <w:u w:val="single"/>
        </w:rPr>
      </w:pPr>
    </w:p>
    <w:p>
      <w:pPr>
        <w:wordWrap w:val="0"/>
        <w:topLinePunct/>
        <w:rPr>
          <w:rFonts w:cs="仿宋_GB2312"/>
          <w:color w:val="auto"/>
          <w:sz w:val="30"/>
          <w:szCs w:val="30"/>
          <w:highlight w:val="none"/>
        </w:rPr>
      </w:pPr>
    </w:p>
    <w:p>
      <w:pPr>
        <w:wordWrap w:val="0"/>
        <w:topLinePunct/>
        <w:rPr>
          <w:rFonts w:cs="仿宋_GB2312"/>
          <w:color w:val="auto"/>
          <w:sz w:val="30"/>
          <w:szCs w:val="30"/>
          <w:highlight w:val="none"/>
        </w:rPr>
      </w:pPr>
    </w:p>
    <w:p>
      <w:pPr>
        <w:wordWrap w:val="0"/>
        <w:topLinePunct/>
        <w:rPr>
          <w:rFonts w:cs="仿宋_GB2312"/>
          <w:color w:val="auto"/>
          <w:sz w:val="30"/>
          <w:szCs w:val="30"/>
          <w:highlight w:val="none"/>
          <w:u w:val="single"/>
        </w:rPr>
      </w:pPr>
      <w:r>
        <w:rPr>
          <w:rFonts w:hint="eastAsia" w:cs="仿宋_GB2312"/>
          <w:color w:val="auto"/>
          <w:sz w:val="30"/>
          <w:szCs w:val="30"/>
          <w:highlight w:val="none"/>
        </w:rPr>
        <w:t>法定代表人（或主要负责人）或其委托代理人</w:t>
      </w:r>
      <w:r>
        <w:rPr>
          <w:rFonts w:hint="eastAsia" w:cs="仿宋_GB2312"/>
          <w:color w:val="auto"/>
          <w:sz w:val="30"/>
          <w:szCs w:val="30"/>
          <w:highlight w:val="none"/>
          <w:u w:val="single"/>
        </w:rPr>
        <w:t>：  （签字或盖章）</w:t>
      </w:r>
    </w:p>
    <w:p>
      <w:pPr>
        <w:wordWrap w:val="0"/>
        <w:topLinePunct/>
        <w:rPr>
          <w:rFonts w:cs="仿宋_GB2312"/>
          <w:color w:val="auto"/>
          <w:sz w:val="30"/>
          <w:szCs w:val="30"/>
          <w:highlight w:val="none"/>
          <w:u w:val="single"/>
        </w:rPr>
      </w:pPr>
    </w:p>
    <w:p>
      <w:pPr>
        <w:rPr>
          <w:rFonts w:cs="仿宋_GB2312"/>
          <w:color w:val="auto"/>
          <w:sz w:val="30"/>
          <w:szCs w:val="30"/>
          <w:highlight w:val="none"/>
          <w:u w:val="single"/>
        </w:rPr>
      </w:pPr>
    </w:p>
    <w:p>
      <w:pPr>
        <w:rPr>
          <w:rFonts w:cs="仿宋_GB2312"/>
          <w:color w:val="auto"/>
          <w:sz w:val="30"/>
          <w:szCs w:val="30"/>
          <w:highlight w:val="none"/>
          <w:u w:val="single"/>
        </w:rPr>
      </w:pPr>
    </w:p>
    <w:p>
      <w:pPr>
        <w:rPr>
          <w:rFonts w:cs="仿宋_GB2312"/>
          <w:color w:val="auto"/>
          <w:sz w:val="30"/>
          <w:szCs w:val="30"/>
          <w:highlight w:val="none"/>
          <w:u w:val="single"/>
        </w:rPr>
      </w:pPr>
    </w:p>
    <w:p>
      <w:pPr>
        <w:rPr>
          <w:rFonts w:cs="仿宋_GB2312"/>
          <w:color w:val="auto"/>
          <w:sz w:val="30"/>
          <w:szCs w:val="30"/>
          <w:highlight w:val="none"/>
          <w:u w:val="single"/>
        </w:rPr>
      </w:pPr>
      <w:r>
        <w:rPr>
          <w:rFonts w:hint="eastAsia" w:cs="仿宋_GB2312"/>
          <w:color w:val="auto"/>
          <w:sz w:val="30"/>
          <w:szCs w:val="30"/>
          <w:highlight w:val="none"/>
        </w:rPr>
        <w:t xml:space="preserve">                 投标日期</w:t>
      </w:r>
      <w:r>
        <w:rPr>
          <w:rFonts w:hint="eastAsia" w:cs="仿宋_GB2312"/>
          <w:color w:val="auto"/>
          <w:sz w:val="30"/>
          <w:szCs w:val="30"/>
          <w:highlight w:val="none"/>
          <w:u w:val="single"/>
        </w:rPr>
        <w:t xml:space="preserve">       </w:t>
      </w:r>
      <w:r>
        <w:rPr>
          <w:rFonts w:hint="eastAsia" w:cs="仿宋_GB2312"/>
          <w:color w:val="auto"/>
          <w:sz w:val="30"/>
          <w:szCs w:val="30"/>
          <w:highlight w:val="none"/>
        </w:rPr>
        <w:t>年</w:t>
      </w:r>
      <w:r>
        <w:rPr>
          <w:rFonts w:hint="eastAsia" w:cs="仿宋_GB2312"/>
          <w:color w:val="auto"/>
          <w:sz w:val="30"/>
          <w:szCs w:val="30"/>
          <w:highlight w:val="none"/>
          <w:u w:val="single"/>
        </w:rPr>
        <w:t xml:space="preserve">     </w:t>
      </w:r>
      <w:r>
        <w:rPr>
          <w:rFonts w:hint="eastAsia" w:cs="仿宋_GB2312"/>
          <w:color w:val="auto"/>
          <w:sz w:val="30"/>
          <w:szCs w:val="30"/>
          <w:highlight w:val="none"/>
        </w:rPr>
        <w:t>月</w:t>
      </w:r>
      <w:r>
        <w:rPr>
          <w:rFonts w:hint="eastAsia" w:cs="仿宋_GB2312"/>
          <w:color w:val="auto"/>
          <w:sz w:val="30"/>
          <w:szCs w:val="30"/>
          <w:highlight w:val="none"/>
          <w:u w:val="single"/>
        </w:rPr>
        <w:t xml:space="preserve">     </w:t>
      </w:r>
      <w:r>
        <w:rPr>
          <w:rFonts w:hint="eastAsia" w:cs="仿宋_GB2312"/>
          <w:color w:val="auto"/>
          <w:sz w:val="30"/>
          <w:szCs w:val="30"/>
          <w:highlight w:val="none"/>
        </w:rPr>
        <w:t>日</w:t>
      </w:r>
    </w:p>
    <w:p>
      <w:pPr>
        <w:rPr>
          <w:color w:val="auto"/>
          <w:highlight w:val="none"/>
        </w:rPr>
      </w:pPr>
    </w:p>
    <w:p>
      <w:pPr>
        <w:snapToGrid w:val="0"/>
        <w:spacing w:before="120" w:after="50" w:line="460" w:lineRule="exact"/>
        <w:ind w:firstLine="470" w:firstLineChars="196"/>
        <w:rPr>
          <w:color w:val="auto"/>
          <w:highlight w:val="none"/>
        </w:rPr>
      </w:pPr>
    </w:p>
    <w:p>
      <w:pPr>
        <w:snapToGrid w:val="0"/>
        <w:jc w:val="center"/>
        <w:rPr>
          <w:b/>
          <w:color w:val="auto"/>
          <w:sz w:val="32"/>
          <w:szCs w:val="32"/>
          <w:highlight w:val="none"/>
        </w:rPr>
      </w:pPr>
    </w:p>
    <w:p>
      <w:pPr>
        <w:pStyle w:val="105"/>
        <w:rPr>
          <w:rFonts w:ascii="仿宋" w:hAnsi="仿宋" w:eastAsia="仿宋"/>
          <w:color w:val="auto"/>
          <w:highlight w:val="none"/>
        </w:rPr>
      </w:pPr>
    </w:p>
    <w:p>
      <w:pPr>
        <w:pStyle w:val="105"/>
        <w:rPr>
          <w:rFonts w:ascii="仿宋" w:hAnsi="仿宋" w:eastAsia="仿宋"/>
          <w:color w:val="auto"/>
          <w:highlight w:val="none"/>
        </w:rPr>
      </w:pPr>
    </w:p>
    <w:p>
      <w:pPr>
        <w:pStyle w:val="105"/>
        <w:rPr>
          <w:rFonts w:ascii="仿宋" w:hAnsi="仿宋" w:eastAsia="仿宋"/>
          <w:color w:val="auto"/>
          <w:highlight w:val="none"/>
        </w:rPr>
      </w:pPr>
    </w:p>
    <w:p>
      <w:pPr>
        <w:rPr>
          <w:rFonts w:cs="宋体"/>
          <w:b/>
          <w:bCs/>
          <w:color w:val="auto"/>
          <w:kern w:val="0"/>
          <w:sz w:val="36"/>
          <w:szCs w:val="36"/>
          <w:highlight w:val="none"/>
        </w:rPr>
      </w:pPr>
    </w:p>
    <w:p>
      <w:pPr>
        <w:spacing w:beforeLines="50" w:afterLines="50"/>
        <w:jc w:val="center"/>
        <w:rPr>
          <w:b/>
          <w:color w:val="auto"/>
          <w:sz w:val="32"/>
          <w:szCs w:val="32"/>
          <w:highlight w:val="none"/>
        </w:rPr>
      </w:pPr>
      <w:r>
        <w:rPr>
          <w:rFonts w:hint="eastAsia"/>
          <w:b/>
          <w:color w:val="auto"/>
          <w:sz w:val="32"/>
          <w:szCs w:val="32"/>
          <w:highlight w:val="none"/>
        </w:rPr>
        <w:t>目  录</w:t>
      </w:r>
    </w:p>
    <w:p>
      <w:pPr>
        <w:topLinePunct/>
        <w:ind w:firstLine="480" w:firstLineChars="200"/>
        <w:rPr>
          <w:rFonts w:hint="eastAsia"/>
          <w:bCs/>
          <w:color w:val="auto"/>
          <w:highlight w:val="none"/>
        </w:rPr>
      </w:pPr>
      <w:r>
        <w:rPr>
          <w:rFonts w:hint="eastAsia"/>
          <w:bCs/>
          <w:color w:val="auto"/>
          <w:highlight w:val="none"/>
        </w:rPr>
        <w:t>（1）营业执照…………………………………………………………………页码</w:t>
      </w:r>
    </w:p>
    <w:p>
      <w:pPr>
        <w:topLinePunct/>
        <w:ind w:firstLine="480" w:firstLineChars="200"/>
        <w:rPr>
          <w:rFonts w:hint="eastAsia"/>
          <w:bCs/>
          <w:color w:val="auto"/>
          <w:highlight w:val="none"/>
        </w:rPr>
      </w:pPr>
      <w:r>
        <w:rPr>
          <w:rFonts w:hint="eastAsia"/>
          <w:bCs/>
          <w:color w:val="auto"/>
          <w:highlight w:val="none"/>
        </w:rPr>
        <w:t>（2）《金融许可证》…………………………………………………………页码</w:t>
      </w:r>
    </w:p>
    <w:p>
      <w:pPr>
        <w:topLinePunct/>
        <w:ind w:firstLine="480" w:firstLineChars="200"/>
        <w:rPr>
          <w:rFonts w:hint="eastAsia"/>
          <w:bCs/>
          <w:color w:val="auto"/>
          <w:highlight w:val="none"/>
        </w:rPr>
      </w:pPr>
      <w:r>
        <w:rPr>
          <w:rFonts w:hint="eastAsia"/>
          <w:bCs/>
          <w:color w:val="auto"/>
          <w:highlight w:val="none"/>
        </w:rPr>
        <w:t>（3）法定代表人授权委托书…………………………………………………页码</w:t>
      </w:r>
    </w:p>
    <w:p>
      <w:pPr>
        <w:topLinePunct/>
        <w:ind w:firstLine="480" w:firstLineChars="200"/>
        <w:rPr>
          <w:rFonts w:hint="eastAsia"/>
          <w:bCs/>
          <w:color w:val="auto"/>
          <w:highlight w:val="none"/>
        </w:rPr>
      </w:pPr>
      <w:r>
        <w:rPr>
          <w:rFonts w:hint="eastAsia"/>
          <w:bCs/>
          <w:color w:val="auto"/>
          <w:highlight w:val="none"/>
        </w:rPr>
        <w:t>（4）人民银行富阳支行综合评价……………………………………………页码</w:t>
      </w:r>
    </w:p>
    <w:p>
      <w:pPr>
        <w:topLinePunct/>
        <w:ind w:firstLine="480" w:firstLineChars="200"/>
        <w:rPr>
          <w:rFonts w:hint="eastAsia"/>
          <w:bCs/>
          <w:color w:val="auto"/>
          <w:highlight w:val="none"/>
        </w:rPr>
      </w:pPr>
      <w:r>
        <w:rPr>
          <w:rFonts w:hint="eastAsia"/>
          <w:bCs/>
          <w:color w:val="auto"/>
          <w:highlight w:val="none"/>
        </w:rPr>
        <w:t>（5）近三年内无重大违法违规记录的承诺函………………………………页码</w:t>
      </w:r>
    </w:p>
    <w:p>
      <w:pPr>
        <w:topLinePunct/>
        <w:ind w:firstLine="480" w:firstLineChars="200"/>
        <w:rPr>
          <w:rFonts w:hint="eastAsia"/>
          <w:bCs/>
          <w:color w:val="auto"/>
          <w:highlight w:val="none"/>
        </w:rPr>
      </w:pPr>
      <w:r>
        <w:rPr>
          <w:rFonts w:hint="eastAsia"/>
          <w:bCs/>
          <w:color w:val="auto"/>
          <w:highlight w:val="none"/>
        </w:rPr>
        <w:t>（6）无失信记录的承诺函……………………………………………………页码</w:t>
      </w:r>
    </w:p>
    <w:p>
      <w:pPr>
        <w:topLinePunct/>
        <w:ind w:firstLine="480" w:firstLineChars="200"/>
        <w:rPr>
          <w:rFonts w:hint="eastAsia"/>
          <w:bCs/>
          <w:color w:val="auto"/>
          <w:highlight w:val="none"/>
        </w:rPr>
      </w:pPr>
      <w:r>
        <w:rPr>
          <w:rFonts w:hint="eastAsia"/>
          <w:bCs/>
          <w:color w:val="auto"/>
          <w:highlight w:val="none"/>
        </w:rPr>
        <w:t>（</w:t>
      </w:r>
      <w:r>
        <w:rPr>
          <w:rFonts w:hint="eastAsia"/>
          <w:bCs/>
          <w:color w:val="auto"/>
          <w:highlight w:val="none"/>
          <w:lang w:val="en-US" w:eastAsia="zh-CN"/>
        </w:rPr>
        <w:t>7</w:t>
      </w:r>
      <w:r>
        <w:rPr>
          <w:rFonts w:hint="eastAsia"/>
          <w:bCs/>
          <w:color w:val="auto"/>
          <w:highlight w:val="none"/>
        </w:rPr>
        <w:t>）</w:t>
      </w:r>
      <w:r>
        <w:rPr>
          <w:rFonts w:hint="eastAsia"/>
          <w:bCs/>
          <w:color w:val="auto"/>
          <w:highlight w:val="none"/>
          <w:lang w:eastAsia="zh-CN"/>
        </w:rPr>
        <w:t>服务水平</w:t>
      </w:r>
      <w:r>
        <w:rPr>
          <w:rFonts w:hint="eastAsia"/>
          <w:bCs/>
          <w:color w:val="auto"/>
          <w:highlight w:val="none"/>
        </w:rPr>
        <w:t>…………………………………………………………………页码</w:t>
      </w:r>
    </w:p>
    <w:p>
      <w:pPr>
        <w:topLinePunct/>
        <w:ind w:firstLine="480" w:firstLineChars="200"/>
        <w:rPr>
          <w:rFonts w:hint="eastAsia"/>
          <w:bCs/>
          <w:color w:val="auto"/>
          <w:highlight w:val="none"/>
        </w:rPr>
      </w:pPr>
      <w:r>
        <w:rPr>
          <w:rFonts w:hint="eastAsia"/>
          <w:bCs/>
          <w:color w:val="auto"/>
          <w:highlight w:val="none"/>
        </w:rPr>
        <w:t>（</w:t>
      </w:r>
      <w:r>
        <w:rPr>
          <w:rFonts w:hint="eastAsia"/>
          <w:bCs/>
          <w:color w:val="auto"/>
          <w:highlight w:val="none"/>
          <w:lang w:val="en-US" w:eastAsia="zh-CN"/>
        </w:rPr>
        <w:t>8</w:t>
      </w:r>
      <w:r>
        <w:rPr>
          <w:rFonts w:hint="eastAsia"/>
          <w:bCs/>
          <w:color w:val="auto"/>
          <w:highlight w:val="none"/>
        </w:rPr>
        <w:t>）廉政承诺书………………………………………………………………页码</w:t>
      </w:r>
    </w:p>
    <w:p>
      <w:pPr>
        <w:topLinePunct/>
        <w:ind w:firstLine="480" w:firstLineChars="200"/>
        <w:rPr>
          <w:rFonts w:hint="eastAsia"/>
          <w:bCs/>
          <w:color w:val="auto"/>
          <w:highlight w:val="none"/>
        </w:rPr>
      </w:pPr>
      <w:r>
        <w:rPr>
          <w:rFonts w:hint="eastAsia"/>
          <w:bCs/>
          <w:color w:val="auto"/>
          <w:highlight w:val="none"/>
        </w:rPr>
        <w:t>（</w:t>
      </w:r>
      <w:r>
        <w:rPr>
          <w:rFonts w:hint="eastAsia"/>
          <w:bCs/>
          <w:color w:val="auto"/>
          <w:highlight w:val="none"/>
          <w:lang w:val="en-US" w:eastAsia="zh-CN"/>
        </w:rPr>
        <w:t>9</w:t>
      </w:r>
      <w:r>
        <w:rPr>
          <w:rFonts w:hint="eastAsia"/>
          <w:bCs/>
          <w:color w:val="auto"/>
          <w:highlight w:val="none"/>
        </w:rPr>
        <w:t>）投标承诺函………………………………………………………………页码</w:t>
      </w:r>
    </w:p>
    <w:p>
      <w:pPr>
        <w:topLinePunct/>
        <w:ind w:firstLine="480" w:firstLineChars="200"/>
        <w:rPr>
          <w:rFonts w:hint="eastAsia"/>
          <w:bCs/>
          <w:color w:val="auto"/>
          <w:highlight w:val="none"/>
        </w:rPr>
      </w:pPr>
      <w:r>
        <w:rPr>
          <w:rFonts w:hint="eastAsia"/>
          <w:bCs/>
          <w:color w:val="auto"/>
          <w:highlight w:val="none"/>
        </w:rPr>
        <w:t>（1</w:t>
      </w:r>
      <w:r>
        <w:rPr>
          <w:rFonts w:hint="eastAsia"/>
          <w:bCs/>
          <w:color w:val="auto"/>
          <w:highlight w:val="none"/>
          <w:lang w:val="en-US" w:eastAsia="zh-CN"/>
        </w:rPr>
        <w:t>0</w:t>
      </w:r>
      <w:r>
        <w:rPr>
          <w:rFonts w:hint="eastAsia"/>
          <w:bCs/>
          <w:color w:val="auto"/>
          <w:highlight w:val="none"/>
        </w:rPr>
        <w:t>）报价一览表………………………………………………………………页码</w:t>
      </w:r>
    </w:p>
    <w:p>
      <w:pPr>
        <w:topLinePunct/>
        <w:ind w:firstLine="480" w:firstLineChars="200"/>
        <w:rPr>
          <w:rFonts w:hint="eastAsia"/>
          <w:bCs/>
          <w:color w:val="auto"/>
          <w:highlight w:val="none"/>
        </w:rPr>
      </w:pPr>
      <w:r>
        <w:rPr>
          <w:rFonts w:hint="eastAsia"/>
          <w:bCs/>
          <w:color w:val="auto"/>
          <w:highlight w:val="none"/>
        </w:rPr>
        <w:t>（1</w:t>
      </w:r>
      <w:r>
        <w:rPr>
          <w:rFonts w:hint="eastAsia"/>
          <w:bCs/>
          <w:color w:val="auto"/>
          <w:highlight w:val="none"/>
          <w:lang w:val="en-US" w:eastAsia="zh-CN"/>
        </w:rPr>
        <w:t>1</w:t>
      </w:r>
      <w:r>
        <w:rPr>
          <w:rFonts w:hint="eastAsia"/>
          <w:bCs/>
          <w:color w:val="auto"/>
          <w:highlight w:val="none"/>
        </w:rPr>
        <w:t>）投标人认为需要的其他文件或说明……………………………………页码</w:t>
      </w:r>
    </w:p>
    <w:p>
      <w:pPr>
        <w:jc w:val="center"/>
        <w:rPr>
          <w:rFonts w:cs="仿宋_GB2312"/>
          <w:bCs/>
          <w:color w:val="auto"/>
          <w:highlight w:val="none"/>
        </w:rPr>
      </w:pPr>
      <w:r>
        <w:rPr>
          <w:rFonts w:hint="eastAsia"/>
          <w:b/>
          <w:color w:val="auto"/>
          <w:sz w:val="32"/>
          <w:highlight w:val="none"/>
        </w:rPr>
        <w:br w:type="page"/>
      </w:r>
    </w:p>
    <w:p>
      <w:pPr>
        <w:snapToGrid w:val="0"/>
        <w:ind w:firstLine="630" w:firstLineChars="196"/>
        <w:rPr>
          <w:rFonts w:hint="eastAsia"/>
          <w:b/>
          <w:color w:val="auto"/>
          <w:sz w:val="32"/>
          <w:szCs w:val="32"/>
          <w:highlight w:val="none"/>
        </w:rPr>
      </w:pPr>
    </w:p>
    <w:p>
      <w:pPr>
        <w:snapToGrid w:val="0"/>
        <w:ind w:firstLine="630" w:firstLineChars="196"/>
        <w:rPr>
          <w:b/>
          <w:color w:val="auto"/>
          <w:sz w:val="32"/>
          <w:szCs w:val="32"/>
          <w:highlight w:val="none"/>
        </w:rPr>
      </w:pPr>
      <w:r>
        <w:rPr>
          <w:rFonts w:hint="eastAsia"/>
          <w:b/>
          <w:color w:val="auto"/>
          <w:sz w:val="32"/>
          <w:szCs w:val="32"/>
          <w:highlight w:val="none"/>
        </w:rPr>
        <w:t>营业执照、税务登记证（或其它缴纳证明材料）、社保登记证（或其它缴纳证明材料）；实施“五证合一、一照一码”登记制度改革的，只需提供改革后取得的营业执照；（复印件须加盖公章）</w:t>
      </w:r>
    </w:p>
    <w:p>
      <w:pPr>
        <w:snapToGrid w:val="0"/>
        <w:jc w:val="center"/>
        <w:rPr>
          <w:rFonts w:ascii="仿宋_GB2312" w:eastAsia="仿宋_GB2312"/>
          <w:color w:val="auto"/>
          <w:highlight w:val="none"/>
        </w:rPr>
      </w:pPr>
    </w:p>
    <w:p>
      <w:pPr>
        <w:pStyle w:val="8"/>
        <w:spacing w:before="0" w:after="0" w:line="360" w:lineRule="auto"/>
        <w:rPr>
          <w:rFonts w:ascii="仿宋_GB2312" w:eastAsia="仿宋_GB2312"/>
          <w:color w:val="auto"/>
          <w:highlight w:val="none"/>
        </w:rPr>
      </w:pPr>
    </w:p>
    <w:p>
      <w:pPr>
        <w:rPr>
          <w:color w:val="auto"/>
          <w:highlight w:val="none"/>
        </w:rPr>
      </w:pP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rPr>
          <w:color w:val="auto"/>
          <w:highlight w:val="none"/>
        </w:rPr>
      </w:pPr>
    </w:p>
    <w:p>
      <w:pPr>
        <w:pStyle w:val="837"/>
        <w:snapToGrid w:val="0"/>
        <w:jc w:val="right"/>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highlight w:val="none"/>
          <w:lang w:val="zh-CN"/>
        </w:rPr>
        <w:t>电子签章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pPr>
        <w:snapToGrid w:val="0"/>
        <w:jc w:val="right"/>
        <w:rPr>
          <w:color w:val="auto"/>
          <w:highlight w:val="none"/>
          <w:u w:val="single"/>
        </w:rPr>
      </w:pPr>
      <w:r>
        <w:rPr>
          <w:rFonts w:hint="eastAsia"/>
          <w:color w:val="auto"/>
          <w:highlight w:val="none"/>
        </w:rPr>
        <w:t>日期：</w:t>
      </w:r>
      <w:r>
        <w:rPr>
          <w:rFonts w:hint="eastAsia"/>
          <w:color w:val="auto"/>
          <w:highlight w:val="none"/>
          <w:u w:val="single"/>
        </w:rPr>
        <w:t xml:space="preserve">       年     月     日</w:t>
      </w:r>
    </w:p>
    <w:p>
      <w:pPr>
        <w:pStyle w:val="8"/>
        <w:spacing w:before="0" w:after="0" w:line="360" w:lineRule="auto"/>
        <w:rPr>
          <w:color w:val="auto"/>
          <w:highlight w:val="none"/>
          <w:u w:val="single"/>
        </w:rPr>
      </w:pPr>
    </w:p>
    <w:p>
      <w:pPr>
        <w:rPr>
          <w:color w:val="auto"/>
          <w:highlight w:val="none"/>
          <w:u w:val="single"/>
        </w:rPr>
      </w:pPr>
    </w:p>
    <w:p>
      <w:pPr>
        <w:pStyle w:val="8"/>
        <w:spacing w:before="0" w:after="0" w:line="360" w:lineRule="auto"/>
        <w:ind w:left="0" w:firstLine="0"/>
        <w:rPr>
          <w:color w:val="auto"/>
          <w:highlight w:val="none"/>
        </w:rPr>
      </w:pPr>
    </w:p>
    <w:p>
      <w:pPr>
        <w:rPr>
          <w:color w:val="auto"/>
          <w:highlight w:val="none"/>
        </w:rPr>
      </w:pPr>
    </w:p>
    <w:p>
      <w:pPr>
        <w:pStyle w:val="2"/>
        <w:spacing w:before="0" w:after="0" w:line="360" w:lineRule="auto"/>
        <w:rPr>
          <w:color w:val="auto"/>
          <w:highlight w:val="none"/>
        </w:rPr>
      </w:pPr>
    </w:p>
    <w:p>
      <w:pPr>
        <w:rPr>
          <w:color w:val="auto"/>
          <w:highlight w:val="none"/>
        </w:rPr>
      </w:pPr>
    </w:p>
    <w:p>
      <w:pPr>
        <w:rPr>
          <w:color w:val="auto"/>
          <w:highlight w:val="none"/>
        </w:rPr>
      </w:pPr>
    </w:p>
    <w:p>
      <w:pPr>
        <w:snapToGrid w:val="0"/>
        <w:jc w:val="center"/>
        <w:rPr>
          <w:b/>
          <w:color w:val="auto"/>
          <w:sz w:val="32"/>
          <w:szCs w:val="32"/>
          <w:highlight w:val="none"/>
        </w:rPr>
      </w:pPr>
    </w:p>
    <w:p>
      <w:pPr>
        <w:snapToGrid w:val="0"/>
        <w:jc w:val="center"/>
        <w:rPr>
          <w:b/>
          <w:color w:val="auto"/>
          <w:sz w:val="32"/>
          <w:szCs w:val="32"/>
          <w:highlight w:val="none"/>
        </w:rPr>
      </w:pPr>
    </w:p>
    <w:p>
      <w:pPr>
        <w:jc w:val="center"/>
        <w:rPr>
          <w:rFonts w:cs="仿宋_GB2312"/>
          <w:b/>
          <w:color w:val="auto"/>
          <w:sz w:val="30"/>
          <w:szCs w:val="30"/>
          <w:highlight w:val="none"/>
        </w:rPr>
      </w:pPr>
      <w:r>
        <w:rPr>
          <w:rFonts w:hint="eastAsia" w:cs="仿宋_GB2312"/>
          <w:b/>
          <w:color w:val="auto"/>
          <w:sz w:val="30"/>
          <w:szCs w:val="30"/>
          <w:highlight w:val="none"/>
        </w:rPr>
        <w:t>中国银行业监督管理部门颁发的《金融许可证》资质证书复印件</w:t>
      </w:r>
    </w:p>
    <w:p>
      <w:pPr>
        <w:snapToGrid w:val="0"/>
        <w:jc w:val="center"/>
        <w:rPr>
          <w:rFonts w:cs="仿宋_GB2312"/>
          <w:b/>
          <w:color w:val="auto"/>
          <w:sz w:val="30"/>
          <w:szCs w:val="30"/>
          <w:highlight w:val="none"/>
        </w:rPr>
      </w:pPr>
      <w:r>
        <w:rPr>
          <w:rFonts w:hint="eastAsia" w:cs="仿宋_GB2312"/>
          <w:b/>
          <w:color w:val="auto"/>
          <w:sz w:val="30"/>
          <w:szCs w:val="30"/>
          <w:highlight w:val="none"/>
        </w:rPr>
        <w:t>（加盖单位公章）</w:t>
      </w:r>
    </w:p>
    <w:p>
      <w:pPr>
        <w:snapToGrid w:val="0"/>
        <w:jc w:val="center"/>
        <w:rPr>
          <w:rFonts w:cs="仿宋_GB2312"/>
          <w:b/>
          <w:color w:val="auto"/>
          <w:sz w:val="30"/>
          <w:szCs w:val="30"/>
          <w:highlight w:val="none"/>
        </w:rPr>
      </w:pPr>
    </w:p>
    <w:p>
      <w:pPr>
        <w:snapToGrid w:val="0"/>
        <w:jc w:val="center"/>
        <w:rPr>
          <w:rFonts w:cs="仿宋_GB2312"/>
          <w:b/>
          <w:color w:val="auto"/>
          <w:sz w:val="30"/>
          <w:szCs w:val="30"/>
          <w:highlight w:val="none"/>
        </w:rPr>
      </w:pPr>
    </w:p>
    <w:p>
      <w:pPr>
        <w:snapToGrid w:val="0"/>
        <w:jc w:val="center"/>
        <w:rPr>
          <w:rFonts w:cs="仿宋_GB2312"/>
          <w:b/>
          <w:color w:val="auto"/>
          <w:sz w:val="30"/>
          <w:szCs w:val="30"/>
          <w:highlight w:val="none"/>
        </w:rPr>
      </w:pPr>
    </w:p>
    <w:p>
      <w:pPr>
        <w:snapToGrid w:val="0"/>
        <w:jc w:val="center"/>
        <w:rPr>
          <w:rFonts w:cs="仿宋_GB2312"/>
          <w:b/>
          <w:color w:val="auto"/>
          <w:sz w:val="30"/>
          <w:szCs w:val="30"/>
          <w:highlight w:val="none"/>
        </w:rPr>
      </w:pPr>
    </w:p>
    <w:p>
      <w:pPr>
        <w:snapToGrid w:val="0"/>
        <w:jc w:val="center"/>
        <w:rPr>
          <w:rFonts w:cs="仿宋_GB2312"/>
          <w:b/>
          <w:color w:val="auto"/>
          <w:sz w:val="30"/>
          <w:szCs w:val="30"/>
          <w:highlight w:val="none"/>
        </w:rPr>
      </w:pPr>
    </w:p>
    <w:p>
      <w:pPr>
        <w:snapToGrid w:val="0"/>
        <w:jc w:val="center"/>
        <w:rPr>
          <w:rFonts w:cs="仿宋_GB2312"/>
          <w:b/>
          <w:color w:val="auto"/>
          <w:sz w:val="30"/>
          <w:szCs w:val="30"/>
          <w:highlight w:val="none"/>
        </w:rPr>
      </w:pPr>
    </w:p>
    <w:p>
      <w:pPr>
        <w:snapToGrid w:val="0"/>
        <w:jc w:val="center"/>
        <w:rPr>
          <w:rFonts w:cs="仿宋_GB2312"/>
          <w:b/>
          <w:color w:val="auto"/>
          <w:sz w:val="30"/>
          <w:szCs w:val="30"/>
          <w:highlight w:val="none"/>
        </w:rPr>
      </w:pPr>
    </w:p>
    <w:p>
      <w:pPr>
        <w:snapToGrid w:val="0"/>
        <w:jc w:val="center"/>
        <w:rPr>
          <w:rFonts w:cs="仿宋_GB2312"/>
          <w:b/>
          <w:color w:val="auto"/>
          <w:sz w:val="30"/>
          <w:szCs w:val="30"/>
          <w:highlight w:val="none"/>
        </w:rPr>
      </w:pPr>
    </w:p>
    <w:p>
      <w:pPr>
        <w:snapToGrid w:val="0"/>
        <w:jc w:val="center"/>
        <w:rPr>
          <w:rFonts w:cs="仿宋_GB2312"/>
          <w:b/>
          <w:color w:val="auto"/>
          <w:sz w:val="30"/>
          <w:szCs w:val="30"/>
          <w:highlight w:val="none"/>
        </w:rPr>
      </w:pPr>
    </w:p>
    <w:p>
      <w:pPr>
        <w:snapToGrid w:val="0"/>
        <w:jc w:val="center"/>
        <w:rPr>
          <w:rFonts w:cs="仿宋_GB2312"/>
          <w:b/>
          <w:color w:val="auto"/>
          <w:sz w:val="30"/>
          <w:szCs w:val="30"/>
          <w:highlight w:val="none"/>
        </w:rPr>
      </w:pPr>
    </w:p>
    <w:p>
      <w:pPr>
        <w:snapToGrid w:val="0"/>
        <w:jc w:val="center"/>
        <w:rPr>
          <w:rFonts w:cs="仿宋_GB2312"/>
          <w:b/>
          <w:color w:val="auto"/>
          <w:sz w:val="30"/>
          <w:szCs w:val="30"/>
          <w:highlight w:val="none"/>
        </w:rPr>
      </w:pPr>
    </w:p>
    <w:p>
      <w:pPr>
        <w:snapToGrid w:val="0"/>
        <w:jc w:val="center"/>
        <w:rPr>
          <w:rFonts w:cs="仿宋_GB2312"/>
          <w:b/>
          <w:color w:val="auto"/>
          <w:sz w:val="30"/>
          <w:szCs w:val="30"/>
          <w:highlight w:val="none"/>
        </w:rPr>
      </w:pPr>
    </w:p>
    <w:p>
      <w:pPr>
        <w:snapToGrid w:val="0"/>
        <w:jc w:val="center"/>
        <w:rPr>
          <w:rFonts w:cs="仿宋_GB2312"/>
          <w:b/>
          <w:color w:val="auto"/>
          <w:sz w:val="30"/>
          <w:szCs w:val="30"/>
          <w:highlight w:val="none"/>
        </w:rPr>
      </w:pPr>
    </w:p>
    <w:p>
      <w:pPr>
        <w:snapToGrid w:val="0"/>
        <w:jc w:val="right"/>
        <w:rPr>
          <w:rFonts w:cs="仿宋_GB2312"/>
          <w:b/>
          <w:color w:val="auto"/>
          <w:sz w:val="30"/>
          <w:szCs w:val="30"/>
          <w:highlight w:val="none"/>
        </w:rPr>
      </w:pPr>
    </w:p>
    <w:p>
      <w:pPr>
        <w:pStyle w:val="837"/>
        <w:snapToGrid w:val="0"/>
        <w:jc w:val="right"/>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highlight w:val="none"/>
          <w:lang w:val="zh-CN"/>
        </w:rPr>
        <w:t>电子签章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pPr>
        <w:snapToGrid w:val="0"/>
        <w:jc w:val="right"/>
        <w:rPr>
          <w:rFonts w:cs="仿宋_GB2312"/>
          <w:b/>
          <w:color w:val="auto"/>
          <w:sz w:val="30"/>
          <w:szCs w:val="30"/>
          <w:highlight w:val="none"/>
        </w:rPr>
      </w:pPr>
      <w:r>
        <w:rPr>
          <w:rFonts w:hint="eastAsia"/>
          <w:color w:val="auto"/>
          <w:highlight w:val="none"/>
        </w:rPr>
        <w:t>日期：</w:t>
      </w:r>
      <w:r>
        <w:rPr>
          <w:rFonts w:hint="eastAsia"/>
          <w:color w:val="auto"/>
          <w:highlight w:val="none"/>
          <w:u w:val="single"/>
        </w:rPr>
        <w:t xml:space="preserve">       年     月     日</w:t>
      </w:r>
    </w:p>
    <w:p>
      <w:pPr>
        <w:snapToGrid w:val="0"/>
        <w:jc w:val="center"/>
        <w:rPr>
          <w:rFonts w:cs="仿宋_GB2312"/>
          <w:b/>
          <w:color w:val="auto"/>
          <w:sz w:val="30"/>
          <w:szCs w:val="30"/>
          <w:highlight w:val="none"/>
        </w:rPr>
      </w:pPr>
    </w:p>
    <w:p>
      <w:pPr>
        <w:snapToGrid w:val="0"/>
        <w:jc w:val="center"/>
        <w:rPr>
          <w:rFonts w:cs="仿宋_GB2312"/>
          <w:b/>
          <w:color w:val="auto"/>
          <w:sz w:val="30"/>
          <w:szCs w:val="30"/>
          <w:highlight w:val="none"/>
        </w:rPr>
      </w:pPr>
    </w:p>
    <w:p>
      <w:pPr>
        <w:snapToGrid w:val="0"/>
        <w:jc w:val="center"/>
        <w:rPr>
          <w:rFonts w:cs="仿宋_GB2312"/>
          <w:b/>
          <w:color w:val="auto"/>
          <w:sz w:val="30"/>
          <w:szCs w:val="30"/>
          <w:highlight w:val="none"/>
        </w:rPr>
      </w:pPr>
    </w:p>
    <w:p>
      <w:pPr>
        <w:snapToGrid w:val="0"/>
        <w:jc w:val="center"/>
        <w:rPr>
          <w:rFonts w:cs="仿宋_GB2312"/>
          <w:b/>
          <w:color w:val="auto"/>
          <w:sz w:val="30"/>
          <w:szCs w:val="30"/>
          <w:highlight w:val="none"/>
        </w:rPr>
      </w:pPr>
    </w:p>
    <w:p>
      <w:pPr>
        <w:snapToGrid w:val="0"/>
        <w:jc w:val="center"/>
        <w:rPr>
          <w:rFonts w:cs="仿宋_GB2312"/>
          <w:b/>
          <w:color w:val="auto"/>
          <w:sz w:val="30"/>
          <w:szCs w:val="30"/>
          <w:highlight w:val="none"/>
        </w:rPr>
      </w:pPr>
    </w:p>
    <w:p>
      <w:pPr>
        <w:snapToGrid w:val="0"/>
        <w:rPr>
          <w:rFonts w:cs="仿宋_GB2312"/>
          <w:b/>
          <w:color w:val="auto"/>
          <w:sz w:val="30"/>
          <w:szCs w:val="30"/>
          <w:highlight w:val="none"/>
        </w:rPr>
      </w:pPr>
    </w:p>
    <w:p>
      <w:pPr>
        <w:snapToGrid w:val="0"/>
        <w:jc w:val="center"/>
        <w:rPr>
          <w:b/>
          <w:color w:val="auto"/>
          <w:sz w:val="32"/>
          <w:szCs w:val="32"/>
          <w:highlight w:val="none"/>
        </w:rPr>
      </w:pPr>
      <w:r>
        <w:rPr>
          <w:rFonts w:hint="eastAsia"/>
          <w:b/>
          <w:color w:val="auto"/>
          <w:sz w:val="32"/>
          <w:szCs w:val="32"/>
          <w:highlight w:val="none"/>
        </w:rPr>
        <w:t>法定代表人授权委托书</w:t>
      </w:r>
    </w:p>
    <w:p>
      <w:pPr>
        <w:pStyle w:val="48"/>
        <w:spacing w:beforeLines="0" w:afterLines="0" w:line="360" w:lineRule="auto"/>
        <w:rPr>
          <w:rFonts w:ascii="仿宋" w:hAnsi="仿宋"/>
          <w:color w:val="auto"/>
          <w:highlight w:val="none"/>
        </w:rPr>
      </w:pPr>
      <w:r>
        <w:rPr>
          <w:rFonts w:hint="eastAsia"/>
          <w:highlight w:val="none"/>
          <w:lang w:eastAsia="zh-CN"/>
        </w:rPr>
        <w:t> 杭州市富阳区第三人民医院、</w:t>
      </w:r>
      <w:r>
        <w:rPr>
          <w:rFonts w:hint="eastAsia" w:ascii="仿宋" w:hAnsi="仿宋"/>
          <w:color w:val="auto"/>
          <w:highlight w:val="none"/>
          <w:lang w:eastAsia="zh-CN"/>
        </w:rPr>
        <w:t>浙江中诚工程管理科技有限公司</w:t>
      </w:r>
      <w:r>
        <w:rPr>
          <w:rFonts w:hint="eastAsia" w:ascii="仿宋" w:hAnsi="仿宋"/>
          <w:color w:val="auto"/>
          <w:highlight w:val="none"/>
        </w:rPr>
        <w:t>：</w:t>
      </w:r>
    </w:p>
    <w:p>
      <w:pPr>
        <w:ind w:firstLine="480" w:firstLineChars="200"/>
        <w:rPr>
          <w:rFonts w:cs="仿宋_GB2312"/>
          <w:b/>
          <w:bCs/>
          <w:color w:val="auto"/>
          <w:kern w:val="44"/>
          <w:sz w:val="32"/>
          <w:szCs w:val="32"/>
          <w:highlight w:val="none"/>
        </w:rPr>
      </w:pPr>
      <w:r>
        <w:rPr>
          <w:rFonts w:hint="eastAsia" w:cs="仿宋_GB2312"/>
          <w:color w:val="auto"/>
          <w:highlight w:val="none"/>
        </w:rPr>
        <w:t>本授权书声明：我</w:t>
      </w:r>
      <w:r>
        <w:rPr>
          <w:rFonts w:hint="eastAsia" w:cs="仿宋_GB2312"/>
          <w:color w:val="auto"/>
          <w:highlight w:val="none"/>
          <w:u w:val="single"/>
        </w:rPr>
        <w:t>（姓名）</w:t>
      </w:r>
      <w:r>
        <w:rPr>
          <w:rFonts w:hint="eastAsia" w:cs="仿宋_GB2312"/>
          <w:color w:val="auto"/>
          <w:highlight w:val="none"/>
        </w:rPr>
        <w:t>系</w:t>
      </w:r>
      <w:r>
        <w:rPr>
          <w:rFonts w:hint="eastAsia" w:cs="仿宋_GB2312"/>
          <w:color w:val="auto"/>
          <w:highlight w:val="none"/>
          <w:u w:val="single"/>
        </w:rPr>
        <w:t>（投标人名称）</w:t>
      </w:r>
      <w:r>
        <w:rPr>
          <w:rFonts w:hint="eastAsia" w:cs="仿宋_GB2312"/>
          <w:color w:val="auto"/>
          <w:highlight w:val="none"/>
        </w:rPr>
        <w:t>的法定代表人（或主要负责人），现授权委托</w:t>
      </w:r>
      <w:r>
        <w:rPr>
          <w:rFonts w:hint="eastAsia" w:cs="仿宋_GB2312"/>
          <w:color w:val="auto"/>
          <w:highlight w:val="none"/>
          <w:u w:val="single"/>
        </w:rPr>
        <w:t>（被授权人姓名、职务）</w:t>
      </w:r>
      <w:r>
        <w:rPr>
          <w:rFonts w:hint="eastAsia" w:cs="仿宋_GB2312"/>
          <w:color w:val="auto"/>
          <w:highlight w:val="none"/>
        </w:rPr>
        <w:t>为我行代理人，以本行的名义参加</w:t>
      </w:r>
      <w:r>
        <w:rPr>
          <w:rFonts w:hint="eastAsia"/>
          <w:color w:val="auto"/>
          <w:highlight w:val="none"/>
          <w:u w:val="single"/>
          <w:lang w:eastAsia="zh-CN"/>
        </w:rPr>
        <w:t>杭州市富阳区第三人民医院基本账户、专用账户（工会）招标项目</w:t>
      </w:r>
      <w:r>
        <w:rPr>
          <w:rFonts w:hint="eastAsia" w:cs="仿宋_GB2312"/>
          <w:color w:val="auto"/>
          <w:highlight w:val="none"/>
        </w:rPr>
        <w:t>的投标活动。代理人在参与投标过程中所签署的一切文件和处理与之有关的一切事务，我行均予以承认。</w:t>
      </w:r>
    </w:p>
    <w:p>
      <w:pPr>
        <w:rPr>
          <w:rFonts w:cs="仿宋_GB2312"/>
          <w:color w:val="auto"/>
          <w:highlight w:val="none"/>
        </w:rPr>
      </w:pPr>
    </w:p>
    <w:p>
      <w:pPr>
        <w:ind w:firstLine="480" w:firstLineChars="200"/>
        <w:rPr>
          <w:rFonts w:cs="仿宋_GB2312"/>
          <w:color w:val="auto"/>
          <w:highlight w:val="none"/>
        </w:rPr>
      </w:pPr>
      <w:r>
        <w:rPr>
          <w:rFonts w:hint="eastAsia" w:cs="仿宋_GB2312"/>
          <w:color w:val="auto"/>
          <w:highlight w:val="none"/>
        </w:rPr>
        <w:t>本授权书于       年    月    日签字生效。特此声明。</w:t>
      </w:r>
    </w:p>
    <w:p>
      <w:pPr>
        <w:rPr>
          <w:rFonts w:cs="仿宋_GB2312"/>
          <w:color w:val="auto"/>
          <w:highlight w:val="none"/>
        </w:rPr>
      </w:pPr>
      <w:r>
        <w:rPr>
          <w:rFonts w:hint="eastAsia" w:cs="仿宋_GB2312"/>
          <w:color w:val="auto"/>
          <w:highlight w:val="none"/>
        </w:rPr>
        <w:t xml:space="preserve">   </w:t>
      </w:r>
    </w:p>
    <w:p>
      <w:pPr>
        <w:ind w:firstLine="480" w:firstLineChars="200"/>
        <w:rPr>
          <w:rFonts w:cs="仿宋_GB2312"/>
          <w:color w:val="auto"/>
          <w:highlight w:val="none"/>
        </w:rPr>
      </w:pPr>
      <w:r>
        <w:rPr>
          <w:rFonts w:hint="eastAsia"/>
          <w:color w:val="auto"/>
          <w:highlight w:val="none"/>
        </w:rPr>
        <w:t>投标人全称（</w:t>
      </w:r>
      <w:r>
        <w:rPr>
          <w:rFonts w:hint="eastAsia"/>
          <w:color w:val="auto"/>
          <w:kern w:val="0"/>
          <w:highlight w:val="none"/>
          <w:lang w:val="zh-CN"/>
        </w:rPr>
        <w:t>电子签章</w:t>
      </w:r>
      <w:r>
        <w:rPr>
          <w:rFonts w:hint="eastAsia"/>
          <w:color w:val="auto"/>
          <w:highlight w:val="none"/>
        </w:rPr>
        <w:t>）</w:t>
      </w:r>
      <w:r>
        <w:rPr>
          <w:rFonts w:hint="eastAsia" w:cs="仿宋_GB2312"/>
          <w:color w:val="auto"/>
          <w:highlight w:val="none"/>
        </w:rPr>
        <w:t>：</w:t>
      </w:r>
      <w:r>
        <w:rPr>
          <w:rFonts w:hint="eastAsia" w:cs="仿宋_GB2312"/>
          <w:color w:val="auto"/>
          <w:highlight w:val="none"/>
          <w:u w:val="single"/>
        </w:rPr>
        <w:t xml:space="preserve">                                         </w:t>
      </w:r>
    </w:p>
    <w:p>
      <w:pPr>
        <w:ind w:firstLine="480" w:firstLineChars="200"/>
        <w:rPr>
          <w:rFonts w:cs="仿宋_GB2312"/>
          <w:color w:val="auto"/>
          <w:highlight w:val="none"/>
        </w:rPr>
      </w:pPr>
      <w:r>
        <w:rPr>
          <w:rFonts w:hint="eastAsia" w:cs="仿宋_GB2312"/>
          <w:color w:val="auto"/>
          <w:highlight w:val="none"/>
        </w:rPr>
        <w:t>法定代表人（或主要负责人）签字或盖章：</w:t>
      </w:r>
      <w:r>
        <w:rPr>
          <w:rFonts w:hint="eastAsia" w:cs="仿宋_GB2312"/>
          <w:color w:val="auto"/>
          <w:highlight w:val="none"/>
          <w:u w:val="single"/>
        </w:rPr>
        <w:t xml:space="preserve">                          </w:t>
      </w:r>
    </w:p>
    <w:p>
      <w:pPr>
        <w:pStyle w:val="1024"/>
        <w:ind w:firstLine="480" w:firstLineChars="200"/>
        <w:rPr>
          <w:rFonts w:ascii="仿宋" w:hAnsi="仿宋" w:cs="仿宋_GB2312"/>
          <w:color w:val="auto"/>
          <w:highlight w:val="none"/>
          <w:u w:val="single"/>
        </w:rPr>
      </w:pPr>
      <w:r>
        <w:rPr>
          <w:rFonts w:hint="eastAsia" w:ascii="仿宋" w:hAnsi="仿宋" w:cs="仿宋_GB2312"/>
          <w:color w:val="auto"/>
          <w:highlight w:val="none"/>
        </w:rPr>
        <w:t>授权代表签字或盖章：</w:t>
      </w:r>
      <w:r>
        <w:rPr>
          <w:rFonts w:hint="eastAsia" w:ascii="仿宋" w:hAnsi="仿宋" w:cs="仿宋_GB2312"/>
          <w:color w:val="auto"/>
          <w:highlight w:val="none"/>
          <w:u w:val="single"/>
        </w:rPr>
        <w:t xml:space="preserve">                                              </w:t>
      </w:r>
    </w:p>
    <w:p>
      <w:pPr>
        <w:pStyle w:val="1024"/>
        <w:rPr>
          <w:rFonts w:ascii="仿宋" w:hAnsi="仿宋"/>
          <w:b/>
          <w:color w:val="auto"/>
          <w:highlight w:val="none"/>
        </w:rPr>
      </w:pPr>
    </w:p>
    <w:p>
      <w:pPr>
        <w:pStyle w:val="1024"/>
        <w:rPr>
          <w:rFonts w:ascii="仿宋" w:hAnsi="仿宋"/>
          <w:bCs/>
          <w:color w:val="auto"/>
          <w:highlight w:val="none"/>
        </w:rPr>
      </w:pPr>
      <w:r>
        <w:rPr>
          <w:rFonts w:hint="eastAsia" w:ascii="仿宋" w:hAnsi="仿宋"/>
          <w:b/>
          <w:color w:val="auto"/>
          <w:highlight w:val="none"/>
        </w:rPr>
        <w:t>附授权代表的身份证件正反复印件：</w:t>
      </w:r>
    </w:p>
    <w:tbl>
      <w:tblPr>
        <w:tblStyle w:val="89"/>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tcPr>
          <w:p>
            <w:pPr>
              <w:pStyle w:val="1024"/>
              <w:keepNext w:val="0"/>
              <w:keepLines w:val="0"/>
              <w:suppressLineNumbers w:val="0"/>
              <w:spacing w:before="0" w:beforeAutospacing="0" w:after="0" w:afterAutospacing="0"/>
              <w:ind w:left="0" w:right="0"/>
              <w:rPr>
                <w:rFonts w:hint="default" w:ascii="仿宋" w:hAnsi="仿宋"/>
                <w:bCs/>
                <w:color w:val="auto"/>
                <w:highlight w:val="none"/>
              </w:rPr>
            </w:pPr>
            <w:r>
              <w:rPr>
                <w:rFonts w:hint="eastAsia" w:ascii="仿宋" w:hAnsi="仿宋"/>
                <w:bCs/>
                <w:color w:val="auto"/>
                <w:highlight w:val="none"/>
              </w:rPr>
              <w:t>正面：                                 反面：</w:t>
            </w:r>
          </w:p>
          <w:p>
            <w:pPr>
              <w:pStyle w:val="1024"/>
              <w:keepNext w:val="0"/>
              <w:keepLines w:val="0"/>
              <w:suppressLineNumbers w:val="0"/>
              <w:spacing w:before="0" w:beforeAutospacing="0" w:after="0" w:afterAutospacing="0"/>
              <w:ind w:left="0" w:right="0"/>
              <w:rPr>
                <w:rFonts w:hint="default" w:ascii="仿宋" w:hAnsi="仿宋"/>
                <w:bCs/>
                <w:color w:val="auto"/>
                <w:highlight w:val="none"/>
              </w:rPr>
            </w:pPr>
          </w:p>
        </w:tc>
      </w:tr>
    </w:tbl>
    <w:p>
      <w:pPr>
        <w:pStyle w:val="837"/>
        <w:snapToGrid w:val="0"/>
        <w:jc w:val="left"/>
        <w:rPr>
          <w:rFonts w:ascii="仿宋" w:hAnsi="仿宋" w:cs="Times New Roman"/>
          <w:b/>
          <w:bCs/>
          <w:color w:val="auto"/>
          <w:highlight w:val="none"/>
        </w:rPr>
      </w:pPr>
      <w:r>
        <w:rPr>
          <w:rFonts w:hint="eastAsia" w:ascii="仿宋" w:hAnsi="仿宋"/>
          <w:b/>
          <w:color w:val="auto"/>
          <w:kern w:val="2"/>
          <w:szCs w:val="21"/>
          <w:highlight w:val="none"/>
          <w:lang w:val="zh-CN"/>
        </w:rPr>
        <w:t>（</w:t>
      </w:r>
      <w:r>
        <w:rPr>
          <w:rFonts w:hint="eastAsia" w:ascii="仿宋" w:hAnsi="仿宋"/>
          <w:b/>
          <w:color w:val="auto"/>
          <w:kern w:val="2"/>
          <w:szCs w:val="21"/>
          <w:highlight w:val="none"/>
        </w:rPr>
        <w:t>注：如法定代表人直接参加投标并对相应文件签字的，只需提供其身份证复印件正反面。</w:t>
      </w:r>
      <w:r>
        <w:rPr>
          <w:rFonts w:hint="eastAsia" w:ascii="仿宋" w:hAnsi="仿宋"/>
          <w:b/>
          <w:color w:val="auto"/>
          <w:kern w:val="2"/>
          <w:szCs w:val="21"/>
          <w:highlight w:val="none"/>
          <w:lang w:val="zh-CN"/>
        </w:rPr>
        <w:t>）</w:t>
      </w:r>
      <w:r>
        <w:rPr>
          <w:rFonts w:hint="eastAsia" w:ascii="仿宋" w:hAnsi="仿宋" w:cs="Times New Roman"/>
          <w:b/>
          <w:bCs/>
          <w:color w:val="auto"/>
          <w:highlight w:val="none"/>
        </w:rPr>
        <w:t>▲投标文件中法定代表人授权委托书所载内容与本项目内容有异的，投标无效。</w:t>
      </w:r>
    </w:p>
    <w:p>
      <w:pPr>
        <w:pStyle w:val="837"/>
        <w:snapToGrid w:val="0"/>
        <w:jc w:val="left"/>
        <w:rPr>
          <w:rFonts w:ascii="仿宋" w:hAnsi="仿宋"/>
          <w:b/>
          <w:color w:val="auto"/>
          <w:kern w:val="2"/>
          <w:szCs w:val="21"/>
          <w:highlight w:val="none"/>
          <w:lang w:val="zh-CN"/>
        </w:rPr>
        <w:sectPr>
          <w:headerReference r:id="rId9" w:type="default"/>
          <w:footerReference r:id="rId10" w:type="default"/>
          <w:pgSz w:w="11906" w:h="16838"/>
          <w:pgMar w:top="1247" w:right="1418" w:bottom="1247" w:left="1588" w:header="851" w:footer="992" w:gutter="0"/>
          <w:cols w:space="720" w:num="1"/>
          <w:docGrid w:type="lines" w:linePitch="312" w:charSpace="0"/>
        </w:sectPr>
      </w:pPr>
    </w:p>
    <w:p>
      <w:pPr>
        <w:spacing w:line="440" w:lineRule="exact"/>
        <w:jc w:val="center"/>
        <w:rPr>
          <w:rFonts w:hint="eastAsia" w:eastAsia="仿宋" w:cs="仿宋_GB2312"/>
          <w:b/>
          <w:color w:val="auto"/>
          <w:sz w:val="30"/>
          <w:szCs w:val="30"/>
          <w:highlight w:val="none"/>
          <w:lang w:eastAsia="zh-CN"/>
        </w:rPr>
      </w:pPr>
      <w:r>
        <w:rPr>
          <w:rFonts w:hint="eastAsia" w:cs="仿宋_GB2312"/>
          <w:b/>
          <w:color w:val="auto"/>
          <w:sz w:val="30"/>
          <w:szCs w:val="30"/>
          <w:highlight w:val="none"/>
          <w:lang w:eastAsia="zh-CN"/>
        </w:rPr>
        <w:t>纳入人民银行综合评价的银行，上</w:t>
      </w:r>
      <w:r>
        <w:rPr>
          <w:rFonts w:cs="仿宋_GB2312"/>
          <w:b/>
          <w:color w:val="auto"/>
          <w:sz w:val="30"/>
          <w:szCs w:val="30"/>
          <w:highlight w:val="none"/>
        </w:rPr>
        <w:t>年度中国人民银行富阳支行综合评价B级（含）以上证明文件</w:t>
      </w:r>
    </w:p>
    <w:p>
      <w:pPr>
        <w:spacing w:line="440" w:lineRule="exact"/>
        <w:jc w:val="center"/>
        <w:rPr>
          <w:rFonts w:cs="仿宋_GB2312"/>
          <w:b/>
          <w:color w:val="auto"/>
          <w:sz w:val="30"/>
          <w:szCs w:val="30"/>
          <w:highlight w:val="none"/>
        </w:rPr>
      </w:pPr>
    </w:p>
    <w:p>
      <w:pPr>
        <w:spacing w:line="440" w:lineRule="exact"/>
        <w:jc w:val="center"/>
        <w:rPr>
          <w:rFonts w:cs="仿宋_GB2312"/>
          <w:b/>
          <w:color w:val="auto"/>
          <w:sz w:val="30"/>
          <w:szCs w:val="30"/>
          <w:highlight w:val="none"/>
        </w:rPr>
      </w:pPr>
    </w:p>
    <w:p>
      <w:pPr>
        <w:spacing w:line="440" w:lineRule="exact"/>
        <w:jc w:val="center"/>
        <w:rPr>
          <w:rFonts w:cs="仿宋_GB2312"/>
          <w:b/>
          <w:color w:val="auto"/>
          <w:sz w:val="30"/>
          <w:szCs w:val="30"/>
          <w:highlight w:val="none"/>
        </w:rPr>
      </w:pPr>
    </w:p>
    <w:p>
      <w:pPr>
        <w:spacing w:line="440" w:lineRule="exact"/>
        <w:jc w:val="center"/>
        <w:rPr>
          <w:rFonts w:cs="仿宋_GB2312"/>
          <w:b/>
          <w:color w:val="auto"/>
          <w:sz w:val="30"/>
          <w:szCs w:val="30"/>
          <w:highlight w:val="none"/>
        </w:rPr>
      </w:pPr>
    </w:p>
    <w:p>
      <w:pPr>
        <w:spacing w:line="440" w:lineRule="exact"/>
        <w:jc w:val="center"/>
        <w:rPr>
          <w:rFonts w:cs="仿宋_GB2312"/>
          <w:b/>
          <w:color w:val="auto"/>
          <w:sz w:val="30"/>
          <w:szCs w:val="30"/>
          <w:highlight w:val="none"/>
        </w:rPr>
      </w:pPr>
    </w:p>
    <w:p>
      <w:pPr>
        <w:spacing w:line="440" w:lineRule="exact"/>
        <w:jc w:val="center"/>
        <w:rPr>
          <w:rFonts w:cs="仿宋_GB2312"/>
          <w:b/>
          <w:color w:val="auto"/>
          <w:sz w:val="30"/>
          <w:szCs w:val="30"/>
          <w:highlight w:val="none"/>
        </w:rPr>
      </w:pPr>
    </w:p>
    <w:p>
      <w:pPr>
        <w:spacing w:line="440" w:lineRule="exact"/>
        <w:jc w:val="center"/>
        <w:rPr>
          <w:rFonts w:cs="仿宋_GB2312"/>
          <w:b/>
          <w:color w:val="auto"/>
          <w:sz w:val="30"/>
          <w:szCs w:val="30"/>
          <w:highlight w:val="none"/>
        </w:rPr>
      </w:pPr>
    </w:p>
    <w:p>
      <w:pPr>
        <w:spacing w:line="440" w:lineRule="exact"/>
        <w:jc w:val="center"/>
        <w:rPr>
          <w:rFonts w:cs="仿宋_GB2312"/>
          <w:b/>
          <w:color w:val="auto"/>
          <w:sz w:val="30"/>
          <w:szCs w:val="30"/>
          <w:highlight w:val="none"/>
        </w:rPr>
      </w:pPr>
    </w:p>
    <w:p>
      <w:pPr>
        <w:spacing w:line="440" w:lineRule="exact"/>
        <w:jc w:val="center"/>
        <w:rPr>
          <w:rFonts w:cs="仿宋_GB2312"/>
          <w:b/>
          <w:color w:val="auto"/>
          <w:sz w:val="30"/>
          <w:szCs w:val="30"/>
          <w:highlight w:val="none"/>
        </w:rPr>
      </w:pPr>
    </w:p>
    <w:p>
      <w:pPr>
        <w:spacing w:line="440" w:lineRule="exact"/>
        <w:jc w:val="center"/>
        <w:rPr>
          <w:rFonts w:cs="仿宋_GB2312"/>
          <w:b/>
          <w:color w:val="auto"/>
          <w:sz w:val="30"/>
          <w:szCs w:val="30"/>
          <w:highlight w:val="none"/>
        </w:rPr>
      </w:pPr>
    </w:p>
    <w:p>
      <w:pPr>
        <w:spacing w:line="440" w:lineRule="exact"/>
        <w:jc w:val="center"/>
        <w:rPr>
          <w:rFonts w:cs="仿宋_GB2312"/>
          <w:b/>
          <w:color w:val="auto"/>
          <w:sz w:val="30"/>
          <w:szCs w:val="30"/>
          <w:highlight w:val="none"/>
        </w:rPr>
      </w:pPr>
    </w:p>
    <w:p>
      <w:pPr>
        <w:spacing w:line="440" w:lineRule="exact"/>
        <w:jc w:val="center"/>
        <w:rPr>
          <w:rFonts w:cs="仿宋_GB2312"/>
          <w:b/>
          <w:color w:val="auto"/>
          <w:sz w:val="30"/>
          <w:szCs w:val="30"/>
          <w:highlight w:val="none"/>
        </w:rPr>
      </w:pPr>
    </w:p>
    <w:p>
      <w:pPr>
        <w:spacing w:line="440" w:lineRule="exact"/>
        <w:jc w:val="center"/>
        <w:rPr>
          <w:rFonts w:cs="仿宋_GB2312"/>
          <w:b/>
          <w:color w:val="auto"/>
          <w:sz w:val="30"/>
          <w:szCs w:val="30"/>
          <w:highlight w:val="none"/>
        </w:rPr>
      </w:pPr>
    </w:p>
    <w:p>
      <w:pPr>
        <w:spacing w:line="440" w:lineRule="exact"/>
        <w:jc w:val="center"/>
        <w:rPr>
          <w:rFonts w:cs="仿宋_GB2312"/>
          <w:b/>
          <w:color w:val="auto"/>
          <w:sz w:val="30"/>
          <w:szCs w:val="30"/>
          <w:highlight w:val="none"/>
        </w:rPr>
      </w:pPr>
    </w:p>
    <w:p>
      <w:pPr>
        <w:rPr>
          <w:rFonts w:cs="仿宋_GB2312"/>
          <w:color w:val="auto"/>
          <w:highlight w:val="none"/>
        </w:rPr>
      </w:pPr>
      <w:r>
        <w:rPr>
          <w:rFonts w:hint="eastAsia" w:cs="仿宋_GB2312"/>
          <w:color w:val="auto"/>
          <w:highlight w:val="none"/>
        </w:rPr>
        <w:t>注：1、投标人表达的内容应是客观、真实的，思路清晰，不得涂改。</w:t>
      </w:r>
    </w:p>
    <w:p>
      <w:pPr>
        <w:rPr>
          <w:rFonts w:cs="仿宋_GB2312"/>
          <w:color w:val="auto"/>
          <w:highlight w:val="none"/>
        </w:rPr>
      </w:pPr>
      <w:r>
        <w:rPr>
          <w:rFonts w:hint="eastAsia" w:cs="仿宋_GB2312"/>
          <w:color w:val="auto"/>
          <w:highlight w:val="none"/>
        </w:rPr>
        <w:t xml:space="preserve">    2、投标人可根据自身的实际情况后附相应的情况说明或证明材料，并加盖公章。</w:t>
      </w:r>
    </w:p>
    <w:p>
      <w:pPr>
        <w:snapToGrid w:val="0"/>
        <w:ind w:firstLine="480"/>
        <w:rPr>
          <w:color w:val="auto"/>
          <w:sz w:val="28"/>
          <w:szCs w:val="28"/>
          <w:highlight w:val="none"/>
          <w:lang w:val="zh-CN"/>
        </w:rPr>
      </w:pPr>
      <w:r>
        <w:rPr>
          <w:rFonts w:hint="eastAsia" w:cs="仿宋_GB2312"/>
          <w:color w:val="auto"/>
          <w:highlight w:val="none"/>
        </w:rPr>
        <w:t>此表在不改变表式的情况下，可自行制作。</w:t>
      </w:r>
    </w:p>
    <w:p>
      <w:pPr>
        <w:pStyle w:val="837"/>
        <w:snapToGrid w:val="0"/>
        <w:rPr>
          <w:rFonts w:ascii="仿宋" w:hAnsi="仿宋"/>
          <w:color w:val="auto"/>
          <w:sz w:val="28"/>
          <w:szCs w:val="28"/>
          <w:highlight w:val="none"/>
        </w:rPr>
      </w:pPr>
    </w:p>
    <w:p>
      <w:pPr>
        <w:pStyle w:val="837"/>
        <w:snapToGrid w:val="0"/>
        <w:rPr>
          <w:rFonts w:ascii="仿宋" w:hAnsi="仿宋"/>
          <w:color w:val="auto"/>
          <w:sz w:val="28"/>
          <w:szCs w:val="28"/>
          <w:highlight w:val="none"/>
        </w:rPr>
      </w:pPr>
    </w:p>
    <w:p>
      <w:pPr>
        <w:pStyle w:val="837"/>
        <w:snapToGrid w:val="0"/>
        <w:rPr>
          <w:rFonts w:ascii="仿宋" w:hAnsi="仿宋"/>
          <w:color w:val="auto"/>
          <w:sz w:val="28"/>
          <w:szCs w:val="28"/>
          <w:highlight w:val="none"/>
        </w:rPr>
      </w:pPr>
    </w:p>
    <w:p>
      <w:pPr>
        <w:pStyle w:val="837"/>
        <w:snapToGrid w:val="0"/>
        <w:jc w:val="right"/>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szCs w:val="24"/>
          <w:highlight w:val="none"/>
          <w:lang w:val="zh-CN"/>
        </w:rPr>
        <w:t>电子签章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pPr>
        <w:spacing w:line="440" w:lineRule="exact"/>
        <w:jc w:val="right"/>
        <w:rPr>
          <w:rFonts w:cs="仿宋_GB2312"/>
          <w:b/>
          <w:color w:val="auto"/>
          <w:sz w:val="30"/>
          <w:szCs w:val="30"/>
          <w:highlight w:val="none"/>
        </w:rPr>
      </w:pPr>
      <w:r>
        <w:rPr>
          <w:rFonts w:hint="eastAsia"/>
          <w:color w:val="auto"/>
          <w:highlight w:val="none"/>
        </w:rPr>
        <w:t>日期：</w:t>
      </w:r>
      <w:r>
        <w:rPr>
          <w:rFonts w:hint="eastAsia"/>
          <w:color w:val="auto"/>
          <w:highlight w:val="none"/>
          <w:u w:val="single"/>
        </w:rPr>
        <w:t xml:space="preserve">       年     月     日</w:t>
      </w:r>
    </w:p>
    <w:p>
      <w:pPr>
        <w:spacing w:line="440" w:lineRule="exact"/>
        <w:jc w:val="center"/>
        <w:rPr>
          <w:rFonts w:cs="仿宋_GB2312"/>
          <w:b/>
          <w:color w:val="auto"/>
          <w:sz w:val="30"/>
          <w:szCs w:val="30"/>
          <w:highlight w:val="none"/>
        </w:rPr>
      </w:pPr>
    </w:p>
    <w:p>
      <w:pPr>
        <w:spacing w:line="440" w:lineRule="exact"/>
        <w:jc w:val="center"/>
        <w:rPr>
          <w:rFonts w:cs="仿宋_GB2312"/>
          <w:b/>
          <w:color w:val="auto"/>
          <w:sz w:val="30"/>
          <w:szCs w:val="30"/>
          <w:highlight w:val="none"/>
        </w:rPr>
      </w:pPr>
    </w:p>
    <w:p>
      <w:pPr>
        <w:spacing w:line="440" w:lineRule="exact"/>
        <w:jc w:val="center"/>
        <w:rPr>
          <w:rFonts w:cs="仿宋_GB2312"/>
          <w:b/>
          <w:color w:val="auto"/>
          <w:sz w:val="30"/>
          <w:szCs w:val="30"/>
          <w:highlight w:val="none"/>
        </w:rPr>
      </w:pPr>
    </w:p>
    <w:p>
      <w:pPr>
        <w:spacing w:line="440" w:lineRule="exact"/>
        <w:jc w:val="center"/>
        <w:rPr>
          <w:rFonts w:cs="仿宋_GB2312"/>
          <w:b/>
          <w:color w:val="auto"/>
          <w:sz w:val="30"/>
          <w:szCs w:val="30"/>
          <w:highlight w:val="none"/>
        </w:rPr>
      </w:pPr>
    </w:p>
    <w:p>
      <w:pPr>
        <w:spacing w:before="156"/>
        <w:jc w:val="both"/>
        <w:rPr>
          <w:rFonts w:hint="eastAsia"/>
          <w:b/>
          <w:color w:val="auto"/>
          <w:sz w:val="32"/>
          <w:szCs w:val="32"/>
          <w:highlight w:val="none"/>
        </w:rPr>
      </w:pPr>
    </w:p>
    <w:p>
      <w:pPr>
        <w:spacing w:before="156"/>
        <w:jc w:val="center"/>
        <w:rPr>
          <w:b/>
          <w:color w:val="auto"/>
          <w:sz w:val="32"/>
          <w:szCs w:val="32"/>
          <w:highlight w:val="none"/>
        </w:rPr>
      </w:pPr>
      <w:r>
        <w:rPr>
          <w:rFonts w:hint="eastAsia"/>
          <w:b/>
          <w:color w:val="auto"/>
          <w:sz w:val="32"/>
          <w:szCs w:val="32"/>
          <w:highlight w:val="none"/>
        </w:rPr>
        <w:t>参加采购活动前三年内，在经营活动中没有重大违法记录的声明</w:t>
      </w:r>
    </w:p>
    <w:p>
      <w:pPr>
        <w:pStyle w:val="48"/>
        <w:spacing w:beforeLines="0" w:afterLines="0" w:line="480" w:lineRule="auto"/>
        <w:rPr>
          <w:rFonts w:ascii="仿宋" w:hAnsi="仿宋"/>
          <w:color w:val="auto"/>
          <w:sz w:val="28"/>
          <w:szCs w:val="28"/>
          <w:highlight w:val="none"/>
        </w:rPr>
      </w:pPr>
    </w:p>
    <w:p>
      <w:pPr>
        <w:pStyle w:val="48"/>
        <w:spacing w:beforeLines="0" w:afterLines="0" w:line="480" w:lineRule="auto"/>
        <w:rPr>
          <w:rFonts w:ascii="仿宋" w:hAnsi="仿宋"/>
          <w:color w:val="auto"/>
          <w:sz w:val="28"/>
          <w:szCs w:val="28"/>
          <w:highlight w:val="none"/>
        </w:rPr>
      </w:pPr>
      <w:r>
        <w:rPr>
          <w:rFonts w:hint="eastAsia" w:ascii="仿宋" w:hAnsi="仿宋"/>
          <w:color w:val="auto"/>
          <w:sz w:val="28"/>
          <w:szCs w:val="28"/>
          <w:highlight w:val="none"/>
          <w:lang w:eastAsia="zh-CN"/>
        </w:rPr>
        <w:t> 杭州市富阳区第三人民医院、浙江中诚工程管理科技有限公司</w:t>
      </w:r>
      <w:r>
        <w:rPr>
          <w:rFonts w:hint="eastAsia" w:ascii="仿宋" w:hAnsi="仿宋"/>
          <w:color w:val="auto"/>
          <w:sz w:val="28"/>
          <w:szCs w:val="28"/>
          <w:highlight w:val="none"/>
        </w:rPr>
        <w:t>：</w:t>
      </w:r>
    </w:p>
    <w:p>
      <w:pPr>
        <w:spacing w:line="480" w:lineRule="auto"/>
        <w:ind w:firstLine="560" w:firstLineChars="200"/>
        <w:rPr>
          <w:rFonts w:cs="仿宋_GB2312"/>
          <w:color w:val="auto"/>
          <w:sz w:val="28"/>
          <w:szCs w:val="28"/>
          <w:highlight w:val="none"/>
        </w:rPr>
      </w:pPr>
      <w:r>
        <w:rPr>
          <w:rFonts w:hint="eastAsia" w:cs="仿宋_GB2312"/>
          <w:color w:val="auto"/>
          <w:kern w:val="0"/>
          <w:sz w:val="28"/>
          <w:szCs w:val="28"/>
          <w:highlight w:val="none"/>
          <w:lang w:val="zh-CN"/>
        </w:rPr>
        <w:t>我公司</w:t>
      </w:r>
      <w:r>
        <w:rPr>
          <w:rFonts w:hint="eastAsia" w:cs="仿宋_GB2312"/>
          <w:color w:val="auto"/>
          <w:sz w:val="28"/>
          <w:szCs w:val="28"/>
          <w:highlight w:val="none"/>
        </w:rPr>
        <w:t>声明截止投标时间近三年以来，在</w:t>
      </w:r>
      <w:r>
        <w:rPr>
          <w:rFonts w:hint="eastAsia" w:cs="仿宋_GB2312"/>
          <w:color w:val="auto"/>
          <w:kern w:val="0"/>
          <w:sz w:val="28"/>
          <w:szCs w:val="28"/>
          <w:highlight w:val="none"/>
        </w:rPr>
        <w:t>经营活动中</w:t>
      </w:r>
      <w:r>
        <w:rPr>
          <w:rFonts w:hint="eastAsia" w:cs="仿宋_GB2312"/>
          <w:color w:val="auto"/>
          <w:sz w:val="28"/>
          <w:szCs w:val="28"/>
          <w:highlight w:val="none"/>
        </w:rPr>
        <w:t>没有重大违法记录；也没有列入采购严重违法失信行为记录名单。</w:t>
      </w:r>
    </w:p>
    <w:p>
      <w:pPr>
        <w:spacing w:line="480" w:lineRule="auto"/>
        <w:ind w:firstLine="560" w:firstLineChars="200"/>
        <w:rPr>
          <w:rFonts w:cs="仿宋_GB2312"/>
          <w:color w:val="auto"/>
          <w:sz w:val="28"/>
          <w:szCs w:val="28"/>
          <w:highlight w:val="none"/>
        </w:rPr>
      </w:pPr>
      <w:r>
        <w:rPr>
          <w:rFonts w:hint="eastAsia" w:cs="仿宋_GB2312"/>
          <w:color w:val="auto"/>
          <w:sz w:val="28"/>
          <w:szCs w:val="28"/>
          <w:highlight w:val="none"/>
        </w:rPr>
        <w:t xml:space="preserve">以上事项如有虚假或隐瞒，我方愿意承担一切后果，并不再寻求任何旨在减轻或免除法律责任的辩解。 </w:t>
      </w:r>
    </w:p>
    <w:p>
      <w:pPr>
        <w:pStyle w:val="837"/>
        <w:snapToGrid w:val="0"/>
        <w:spacing w:line="480" w:lineRule="auto"/>
        <w:rPr>
          <w:rFonts w:ascii="仿宋" w:hAnsi="仿宋" w:cs="仿宋_GB2312"/>
          <w:color w:val="auto"/>
          <w:kern w:val="0"/>
          <w:sz w:val="28"/>
          <w:szCs w:val="28"/>
          <w:highlight w:val="none"/>
          <w:lang w:val="zh-CN"/>
        </w:rPr>
      </w:pPr>
    </w:p>
    <w:p>
      <w:pPr>
        <w:pStyle w:val="837"/>
        <w:snapToGrid w:val="0"/>
        <w:spacing w:line="480" w:lineRule="auto"/>
        <w:rPr>
          <w:rFonts w:ascii="仿宋" w:hAnsi="仿宋" w:cs="仿宋_GB2312"/>
          <w:color w:val="auto"/>
          <w:kern w:val="0"/>
          <w:sz w:val="28"/>
          <w:szCs w:val="28"/>
          <w:highlight w:val="none"/>
          <w:lang w:val="zh-CN"/>
        </w:rPr>
      </w:pPr>
    </w:p>
    <w:p>
      <w:pPr>
        <w:pStyle w:val="837"/>
        <w:snapToGrid w:val="0"/>
        <w:spacing w:line="480" w:lineRule="auto"/>
        <w:jc w:val="right"/>
        <w:rPr>
          <w:rFonts w:ascii="仿宋" w:hAnsi="仿宋"/>
          <w:color w:val="auto"/>
          <w:sz w:val="28"/>
          <w:szCs w:val="28"/>
          <w:highlight w:val="none"/>
        </w:rPr>
      </w:pPr>
      <w:r>
        <w:rPr>
          <w:rFonts w:hint="eastAsia" w:ascii="仿宋" w:hAnsi="仿宋"/>
          <w:color w:val="auto"/>
          <w:sz w:val="28"/>
          <w:szCs w:val="28"/>
          <w:highlight w:val="none"/>
        </w:rPr>
        <w:t>投标人全称（电子签章）：</w:t>
      </w:r>
      <w:r>
        <w:rPr>
          <w:rFonts w:hint="eastAsia" w:ascii="仿宋" w:hAnsi="仿宋"/>
          <w:color w:val="auto"/>
          <w:sz w:val="28"/>
          <w:szCs w:val="28"/>
          <w:highlight w:val="none"/>
          <w:u w:val="single"/>
        </w:rPr>
        <w:t xml:space="preserve">                      </w:t>
      </w:r>
    </w:p>
    <w:p>
      <w:pPr>
        <w:spacing w:line="440" w:lineRule="exact"/>
        <w:jc w:val="right"/>
        <w:rPr>
          <w:rFonts w:cs="仿宋_GB2312"/>
          <w:b/>
          <w:color w:val="auto"/>
          <w:sz w:val="30"/>
          <w:szCs w:val="30"/>
          <w:highlight w:val="none"/>
        </w:rPr>
      </w:pPr>
      <w:r>
        <w:rPr>
          <w:rFonts w:hint="eastAsia"/>
          <w:color w:val="auto"/>
          <w:sz w:val="28"/>
          <w:szCs w:val="28"/>
          <w:highlight w:val="none"/>
        </w:rPr>
        <w:t>投标日期：</w:t>
      </w:r>
      <w:r>
        <w:rPr>
          <w:rFonts w:hint="eastAsia"/>
          <w:color w:val="auto"/>
          <w:sz w:val="28"/>
          <w:szCs w:val="28"/>
          <w:highlight w:val="none"/>
          <w:u w:val="single"/>
        </w:rPr>
        <w:t xml:space="preserve">     </w:t>
      </w:r>
      <w:r>
        <w:rPr>
          <w:rFonts w:hint="eastAsia"/>
          <w:color w:val="auto"/>
          <w:sz w:val="28"/>
          <w:szCs w:val="28"/>
          <w:highlight w:val="none"/>
        </w:rPr>
        <w:t>年</w:t>
      </w:r>
      <w:r>
        <w:rPr>
          <w:rFonts w:hint="eastAsia"/>
          <w:color w:val="auto"/>
          <w:sz w:val="28"/>
          <w:szCs w:val="28"/>
          <w:highlight w:val="none"/>
          <w:u w:val="single"/>
        </w:rPr>
        <w:t xml:space="preserve">    </w:t>
      </w:r>
      <w:r>
        <w:rPr>
          <w:rFonts w:hint="eastAsia"/>
          <w:color w:val="auto"/>
          <w:sz w:val="28"/>
          <w:szCs w:val="28"/>
          <w:highlight w:val="none"/>
        </w:rPr>
        <w:t>月</w:t>
      </w:r>
      <w:r>
        <w:rPr>
          <w:rFonts w:hint="eastAsia"/>
          <w:color w:val="auto"/>
          <w:sz w:val="28"/>
          <w:szCs w:val="28"/>
          <w:highlight w:val="none"/>
          <w:u w:val="single"/>
        </w:rPr>
        <w:t xml:space="preserve">    </w:t>
      </w:r>
      <w:r>
        <w:rPr>
          <w:rFonts w:hint="eastAsia"/>
          <w:color w:val="auto"/>
          <w:sz w:val="28"/>
          <w:szCs w:val="28"/>
          <w:highlight w:val="none"/>
        </w:rPr>
        <w:t>日</w:t>
      </w:r>
    </w:p>
    <w:p>
      <w:pPr>
        <w:jc w:val="center"/>
        <w:rPr>
          <w:b/>
          <w:color w:val="auto"/>
          <w:sz w:val="30"/>
          <w:szCs w:val="30"/>
          <w:highlight w:val="none"/>
        </w:rPr>
      </w:pPr>
    </w:p>
    <w:p>
      <w:pPr>
        <w:jc w:val="center"/>
        <w:rPr>
          <w:b/>
          <w:color w:val="auto"/>
          <w:sz w:val="30"/>
          <w:szCs w:val="30"/>
          <w:highlight w:val="none"/>
        </w:rPr>
      </w:pPr>
    </w:p>
    <w:p>
      <w:pPr>
        <w:jc w:val="center"/>
        <w:rPr>
          <w:b/>
          <w:color w:val="auto"/>
          <w:sz w:val="30"/>
          <w:szCs w:val="30"/>
          <w:highlight w:val="none"/>
        </w:rPr>
      </w:pPr>
    </w:p>
    <w:p>
      <w:pPr>
        <w:jc w:val="center"/>
        <w:rPr>
          <w:b/>
          <w:color w:val="auto"/>
          <w:sz w:val="30"/>
          <w:szCs w:val="30"/>
          <w:highlight w:val="none"/>
        </w:rPr>
      </w:pPr>
    </w:p>
    <w:p>
      <w:pPr>
        <w:jc w:val="center"/>
        <w:rPr>
          <w:b/>
          <w:color w:val="auto"/>
          <w:sz w:val="30"/>
          <w:szCs w:val="30"/>
          <w:highlight w:val="none"/>
        </w:rPr>
      </w:pPr>
    </w:p>
    <w:p>
      <w:pPr>
        <w:jc w:val="center"/>
        <w:rPr>
          <w:b/>
          <w:color w:val="auto"/>
          <w:sz w:val="30"/>
          <w:szCs w:val="30"/>
          <w:highlight w:val="none"/>
        </w:rPr>
      </w:pPr>
    </w:p>
    <w:p>
      <w:pPr>
        <w:jc w:val="center"/>
        <w:rPr>
          <w:b/>
          <w:color w:val="auto"/>
          <w:sz w:val="30"/>
          <w:szCs w:val="30"/>
          <w:highlight w:val="none"/>
        </w:rPr>
      </w:pPr>
    </w:p>
    <w:p>
      <w:pPr>
        <w:jc w:val="center"/>
        <w:rPr>
          <w:b/>
          <w:color w:val="auto"/>
          <w:sz w:val="30"/>
          <w:szCs w:val="30"/>
          <w:highlight w:val="none"/>
        </w:rPr>
      </w:pPr>
    </w:p>
    <w:p>
      <w:pPr>
        <w:snapToGrid w:val="0"/>
        <w:spacing w:before="156" w:after="50" w:line="460" w:lineRule="exact"/>
        <w:jc w:val="both"/>
        <w:rPr>
          <w:rFonts w:cs="Times New Roman"/>
          <w:b/>
          <w:color w:val="auto"/>
          <w:kern w:val="2"/>
          <w:sz w:val="32"/>
          <w:szCs w:val="32"/>
          <w:highlight w:val="none"/>
        </w:rPr>
      </w:pPr>
    </w:p>
    <w:p>
      <w:pPr>
        <w:snapToGrid w:val="0"/>
        <w:spacing w:before="156" w:after="50" w:line="460" w:lineRule="exact"/>
        <w:jc w:val="center"/>
        <w:rPr>
          <w:rFonts w:hint="eastAsia" w:cs="Times New Roman"/>
          <w:b/>
          <w:color w:val="auto"/>
          <w:kern w:val="2"/>
          <w:sz w:val="32"/>
          <w:szCs w:val="32"/>
          <w:highlight w:val="none"/>
        </w:rPr>
      </w:pPr>
    </w:p>
    <w:p>
      <w:pPr>
        <w:snapToGrid w:val="0"/>
        <w:spacing w:before="156" w:after="50" w:line="460" w:lineRule="exact"/>
        <w:jc w:val="center"/>
        <w:rPr>
          <w:rFonts w:cs="Times New Roman"/>
          <w:b/>
          <w:color w:val="auto"/>
          <w:kern w:val="2"/>
          <w:sz w:val="32"/>
          <w:szCs w:val="32"/>
          <w:highlight w:val="none"/>
        </w:rPr>
      </w:pPr>
      <w:r>
        <w:rPr>
          <w:rFonts w:hint="eastAsia" w:cs="Times New Roman"/>
          <w:b/>
          <w:color w:val="auto"/>
          <w:kern w:val="2"/>
          <w:sz w:val="32"/>
          <w:szCs w:val="32"/>
          <w:highlight w:val="none"/>
        </w:rPr>
        <w:t>符合参与采购活动的资格条件并且没有税收缴纳、社会保障等方面的失信记录的承诺函</w:t>
      </w:r>
    </w:p>
    <w:p>
      <w:pPr>
        <w:snapToGrid w:val="0"/>
        <w:spacing w:before="156"/>
        <w:rPr>
          <w:color w:val="auto"/>
          <w:highlight w:val="none"/>
        </w:rPr>
      </w:pPr>
    </w:p>
    <w:p>
      <w:pPr>
        <w:snapToGrid w:val="0"/>
        <w:spacing w:before="156" w:after="50" w:line="460" w:lineRule="exact"/>
        <w:rPr>
          <w:color w:val="auto"/>
          <w:sz w:val="28"/>
          <w:szCs w:val="28"/>
          <w:highlight w:val="none"/>
        </w:rPr>
      </w:pPr>
    </w:p>
    <w:p>
      <w:pPr>
        <w:snapToGrid w:val="0"/>
        <w:spacing w:before="156" w:after="50" w:line="460" w:lineRule="exact"/>
        <w:rPr>
          <w:color w:val="auto"/>
          <w:sz w:val="28"/>
          <w:szCs w:val="28"/>
          <w:highlight w:val="none"/>
        </w:rPr>
      </w:pPr>
      <w:r>
        <w:rPr>
          <w:rFonts w:hint="eastAsia"/>
          <w:color w:val="auto"/>
          <w:sz w:val="28"/>
          <w:szCs w:val="28"/>
          <w:highlight w:val="none"/>
          <w:lang w:eastAsia="zh-CN"/>
        </w:rPr>
        <w:t> 杭州市富阳区第三人民医院、浙江中诚工程管理科技有限公司</w:t>
      </w:r>
      <w:r>
        <w:rPr>
          <w:rFonts w:hint="eastAsia"/>
          <w:color w:val="auto"/>
          <w:sz w:val="28"/>
          <w:szCs w:val="28"/>
          <w:highlight w:val="none"/>
        </w:rPr>
        <w:t>：</w:t>
      </w:r>
    </w:p>
    <w:p>
      <w:pPr>
        <w:snapToGrid w:val="0"/>
        <w:spacing w:before="156"/>
        <w:ind w:firstLine="480"/>
        <w:rPr>
          <w:color w:val="auto"/>
          <w:sz w:val="28"/>
          <w:szCs w:val="28"/>
          <w:highlight w:val="none"/>
        </w:rPr>
      </w:pPr>
      <w:r>
        <w:rPr>
          <w:rFonts w:hint="eastAsia"/>
          <w:color w:val="auto"/>
          <w:sz w:val="28"/>
          <w:szCs w:val="28"/>
          <w:highlight w:val="none"/>
        </w:rPr>
        <w:t>我方郑重承诺，我方符合参与</w:t>
      </w:r>
      <w:r>
        <w:rPr>
          <w:rFonts w:hint="eastAsia"/>
          <w:color w:val="auto"/>
          <w:sz w:val="28"/>
          <w:szCs w:val="28"/>
          <w:highlight w:val="none"/>
          <w:u w:val="single"/>
        </w:rPr>
        <w:t xml:space="preserve">                           </w:t>
      </w:r>
      <w:r>
        <w:rPr>
          <w:rFonts w:hint="eastAsia"/>
          <w:color w:val="auto"/>
          <w:sz w:val="28"/>
          <w:szCs w:val="28"/>
          <w:highlight w:val="none"/>
        </w:rPr>
        <w:t>项目</w:t>
      </w:r>
      <w:r>
        <w:rPr>
          <w:rFonts w:hint="eastAsia"/>
          <w:color w:val="auto"/>
          <w:sz w:val="28"/>
          <w:szCs w:val="28"/>
          <w:highlight w:val="none"/>
          <w:lang w:val="zh-CN"/>
        </w:rPr>
        <w:t>【项目编号：</w:t>
      </w:r>
      <w:r>
        <w:rPr>
          <w:rFonts w:hint="eastAsia"/>
          <w:color w:val="auto"/>
          <w:sz w:val="28"/>
          <w:szCs w:val="28"/>
          <w:highlight w:val="none"/>
          <w:u w:val="single"/>
        </w:rPr>
        <w:t xml:space="preserve">             </w:t>
      </w:r>
      <w:r>
        <w:rPr>
          <w:rFonts w:hint="eastAsia"/>
          <w:color w:val="auto"/>
          <w:sz w:val="28"/>
          <w:szCs w:val="28"/>
          <w:highlight w:val="none"/>
          <w:lang w:val="zh-CN"/>
        </w:rPr>
        <w:t>】</w:t>
      </w:r>
      <w:r>
        <w:rPr>
          <w:rFonts w:hint="eastAsia"/>
          <w:color w:val="auto"/>
          <w:sz w:val="28"/>
          <w:szCs w:val="28"/>
          <w:highlight w:val="none"/>
        </w:rPr>
        <w:t>采购活动的资格条件并且没有税收缴纳、社会保障等方面的失信记录。</w:t>
      </w:r>
    </w:p>
    <w:p>
      <w:pPr>
        <w:snapToGrid w:val="0"/>
        <w:spacing w:before="156"/>
        <w:ind w:firstLine="480"/>
        <w:rPr>
          <w:color w:val="auto"/>
          <w:sz w:val="28"/>
          <w:szCs w:val="28"/>
          <w:highlight w:val="none"/>
          <w:lang w:val="zh-CN"/>
        </w:rPr>
      </w:pPr>
      <w:r>
        <w:rPr>
          <w:rFonts w:hint="eastAsia"/>
          <w:color w:val="auto"/>
          <w:sz w:val="28"/>
          <w:szCs w:val="28"/>
          <w:highlight w:val="none"/>
          <w:lang w:val="zh-CN"/>
        </w:rPr>
        <w:t xml:space="preserve">                                          </w:t>
      </w:r>
    </w:p>
    <w:p>
      <w:pPr>
        <w:pStyle w:val="837"/>
        <w:snapToGrid w:val="0"/>
        <w:spacing w:before="156"/>
        <w:rPr>
          <w:rFonts w:ascii="仿宋" w:hAnsi="仿宋"/>
          <w:color w:val="auto"/>
          <w:sz w:val="28"/>
          <w:szCs w:val="28"/>
          <w:highlight w:val="none"/>
        </w:rPr>
      </w:pPr>
    </w:p>
    <w:p>
      <w:pPr>
        <w:pStyle w:val="837"/>
        <w:snapToGrid w:val="0"/>
        <w:spacing w:before="156"/>
        <w:rPr>
          <w:rFonts w:ascii="仿宋" w:hAnsi="仿宋"/>
          <w:color w:val="auto"/>
          <w:sz w:val="28"/>
          <w:szCs w:val="28"/>
          <w:highlight w:val="none"/>
        </w:rPr>
      </w:pPr>
    </w:p>
    <w:p>
      <w:pPr>
        <w:pStyle w:val="837"/>
        <w:snapToGrid w:val="0"/>
        <w:spacing w:before="156"/>
        <w:rPr>
          <w:rFonts w:ascii="仿宋" w:hAnsi="仿宋"/>
          <w:color w:val="auto"/>
          <w:sz w:val="28"/>
          <w:szCs w:val="28"/>
          <w:highlight w:val="none"/>
        </w:rPr>
      </w:pPr>
    </w:p>
    <w:p>
      <w:pPr>
        <w:pStyle w:val="837"/>
        <w:snapToGrid w:val="0"/>
        <w:spacing w:before="156"/>
        <w:rPr>
          <w:rFonts w:ascii="仿宋" w:hAnsi="仿宋"/>
          <w:color w:val="auto"/>
          <w:sz w:val="28"/>
          <w:szCs w:val="28"/>
          <w:highlight w:val="none"/>
        </w:rPr>
      </w:pPr>
      <w:r>
        <w:rPr>
          <w:rFonts w:hint="eastAsia" w:ascii="仿宋" w:hAnsi="仿宋"/>
          <w:color w:val="auto"/>
          <w:sz w:val="28"/>
          <w:szCs w:val="28"/>
          <w:highlight w:val="none"/>
        </w:rPr>
        <w:t>投标人全称（</w:t>
      </w:r>
      <w:r>
        <w:rPr>
          <w:rFonts w:hint="eastAsia" w:ascii="仿宋" w:hAnsi="仿宋"/>
          <w:color w:val="auto"/>
          <w:kern w:val="0"/>
          <w:sz w:val="28"/>
          <w:szCs w:val="28"/>
          <w:highlight w:val="none"/>
          <w:lang w:val="zh-CN"/>
        </w:rPr>
        <w:t>电子签章</w:t>
      </w:r>
      <w:r>
        <w:rPr>
          <w:rFonts w:hint="eastAsia" w:ascii="仿宋" w:hAnsi="仿宋"/>
          <w:color w:val="auto"/>
          <w:sz w:val="28"/>
          <w:szCs w:val="28"/>
          <w:highlight w:val="none"/>
        </w:rPr>
        <w:t>）：</w:t>
      </w:r>
      <w:r>
        <w:rPr>
          <w:rFonts w:hint="eastAsia" w:ascii="仿宋" w:hAnsi="仿宋"/>
          <w:color w:val="auto"/>
          <w:sz w:val="28"/>
          <w:szCs w:val="28"/>
          <w:highlight w:val="none"/>
          <w:u w:val="single"/>
        </w:rPr>
        <w:t xml:space="preserve">                      </w:t>
      </w:r>
    </w:p>
    <w:p>
      <w:pPr>
        <w:snapToGrid w:val="0"/>
        <w:spacing w:before="156" w:after="50" w:line="460" w:lineRule="exact"/>
        <w:rPr>
          <w:b/>
          <w:color w:val="auto"/>
          <w:sz w:val="28"/>
          <w:szCs w:val="28"/>
          <w:highlight w:val="none"/>
        </w:rPr>
      </w:pPr>
      <w:r>
        <w:rPr>
          <w:rFonts w:hint="eastAsia"/>
          <w:color w:val="auto"/>
          <w:sz w:val="28"/>
          <w:szCs w:val="28"/>
          <w:highlight w:val="none"/>
        </w:rPr>
        <w:t>日期：</w:t>
      </w:r>
      <w:r>
        <w:rPr>
          <w:rFonts w:hint="eastAsia"/>
          <w:color w:val="auto"/>
          <w:sz w:val="28"/>
          <w:szCs w:val="28"/>
          <w:highlight w:val="none"/>
          <w:u w:val="single"/>
        </w:rPr>
        <w:t xml:space="preserve">       年     月     日</w:t>
      </w:r>
    </w:p>
    <w:p>
      <w:pPr>
        <w:jc w:val="center"/>
        <w:rPr>
          <w:b/>
          <w:color w:val="auto"/>
          <w:sz w:val="30"/>
          <w:szCs w:val="30"/>
          <w:highlight w:val="none"/>
        </w:rPr>
      </w:pPr>
    </w:p>
    <w:p>
      <w:pPr>
        <w:jc w:val="center"/>
        <w:rPr>
          <w:b/>
          <w:color w:val="auto"/>
          <w:sz w:val="30"/>
          <w:szCs w:val="30"/>
          <w:highlight w:val="none"/>
        </w:rPr>
      </w:pPr>
    </w:p>
    <w:p>
      <w:pPr>
        <w:rPr>
          <w:b/>
          <w:color w:val="auto"/>
          <w:sz w:val="30"/>
          <w:szCs w:val="30"/>
          <w:highlight w:val="none"/>
        </w:rPr>
      </w:pPr>
      <w:r>
        <w:rPr>
          <w:rFonts w:hint="eastAsia"/>
          <w:b/>
          <w:bCs/>
          <w:color w:val="auto"/>
          <w:highlight w:val="none"/>
        </w:rPr>
        <w:t>▲</w:t>
      </w:r>
      <w:r>
        <w:rPr>
          <w:rFonts w:hint="eastAsia"/>
          <w:b/>
          <w:bCs/>
          <w:color w:val="auto"/>
          <w:highlight w:val="none"/>
          <w:lang w:val="zh-CN"/>
        </w:rPr>
        <w:t>投标人若有</w:t>
      </w:r>
      <w:r>
        <w:rPr>
          <w:rFonts w:hint="eastAsia"/>
          <w:b/>
          <w:bCs/>
          <w:color w:val="auto"/>
          <w:highlight w:val="none"/>
        </w:rPr>
        <w:t>税收缴纳、社会保障等方面的失信记录等情况，且不属于截止投标时间近三年以来，在经营活动中有重大违法记录及被列入政府采购严重违法失信行为记录名单的，可不出具该承诺函，但须详细说明失信记录的情况，否则按无效标处理。</w:t>
      </w:r>
    </w:p>
    <w:p>
      <w:pPr>
        <w:spacing w:line="440" w:lineRule="exact"/>
        <w:jc w:val="center"/>
        <w:rPr>
          <w:rFonts w:cs="仿宋_GB2312"/>
          <w:b/>
          <w:color w:val="auto"/>
          <w:sz w:val="30"/>
          <w:szCs w:val="30"/>
          <w:highlight w:val="none"/>
        </w:rPr>
      </w:pPr>
    </w:p>
    <w:p>
      <w:pPr>
        <w:pStyle w:val="8"/>
        <w:ind w:left="0" w:leftChars="0" w:firstLine="0" w:firstLineChars="0"/>
        <w:rPr>
          <w:rFonts w:hint="eastAsia"/>
          <w:highlight w:val="none"/>
          <w:lang w:eastAsia="zh-CN"/>
        </w:rPr>
      </w:pPr>
    </w:p>
    <w:p>
      <w:pPr>
        <w:spacing w:line="440" w:lineRule="exact"/>
        <w:jc w:val="center"/>
        <w:rPr>
          <w:rFonts w:hint="eastAsia" w:cs="仿宋_GB2312"/>
          <w:b/>
          <w:color w:val="auto"/>
          <w:sz w:val="30"/>
          <w:szCs w:val="30"/>
          <w:highlight w:val="none"/>
          <w:lang w:eastAsia="zh-CN"/>
        </w:rPr>
      </w:pPr>
    </w:p>
    <w:p>
      <w:pPr>
        <w:spacing w:line="440" w:lineRule="exact"/>
        <w:jc w:val="center"/>
        <w:rPr>
          <w:rFonts w:hint="eastAsia" w:eastAsia="仿宋" w:cs="仿宋_GB2312"/>
          <w:b/>
          <w:color w:val="auto"/>
          <w:sz w:val="30"/>
          <w:szCs w:val="30"/>
          <w:highlight w:val="none"/>
          <w:lang w:eastAsia="zh-CN"/>
        </w:rPr>
      </w:pPr>
      <w:r>
        <w:rPr>
          <w:rFonts w:hint="eastAsia" w:cs="仿宋_GB2312"/>
          <w:b/>
          <w:color w:val="auto"/>
          <w:sz w:val="30"/>
          <w:szCs w:val="30"/>
          <w:highlight w:val="none"/>
          <w:lang w:eastAsia="zh-CN"/>
        </w:rPr>
        <w:t>各项</w:t>
      </w:r>
      <w:r>
        <w:rPr>
          <w:rFonts w:hint="eastAsia" w:cs="仿宋_GB2312"/>
          <w:b/>
          <w:color w:val="auto"/>
          <w:sz w:val="30"/>
          <w:szCs w:val="30"/>
          <w:highlight w:val="none"/>
        </w:rPr>
        <w:t>服务</w:t>
      </w:r>
      <w:r>
        <w:rPr>
          <w:rFonts w:hint="eastAsia" w:cs="仿宋_GB2312"/>
          <w:b/>
          <w:color w:val="auto"/>
          <w:sz w:val="30"/>
          <w:szCs w:val="30"/>
          <w:highlight w:val="none"/>
          <w:lang w:eastAsia="zh-CN"/>
        </w:rPr>
        <w:t>减免情况说明</w:t>
      </w:r>
    </w:p>
    <w:p>
      <w:pPr>
        <w:spacing w:line="440" w:lineRule="exact"/>
        <w:jc w:val="center"/>
        <w:rPr>
          <w:rFonts w:cs="仿宋_GB2312"/>
          <w:b/>
          <w:color w:val="auto"/>
          <w:sz w:val="36"/>
          <w:szCs w:val="36"/>
          <w:highlight w:val="none"/>
        </w:rPr>
      </w:pPr>
    </w:p>
    <w:p>
      <w:pPr>
        <w:spacing w:line="440" w:lineRule="exact"/>
        <w:jc w:val="left"/>
        <w:rPr>
          <w:rFonts w:cs="仿宋_GB2312"/>
          <w:b/>
          <w:color w:val="auto"/>
          <w:highlight w:val="none"/>
        </w:rPr>
      </w:pPr>
      <w:r>
        <w:rPr>
          <w:rFonts w:hint="eastAsia" w:cs="仿宋_GB2312"/>
          <w:color w:val="auto"/>
          <w:spacing w:val="-6"/>
          <w:highlight w:val="none"/>
        </w:rPr>
        <w:t xml:space="preserve">    是否承诺其他各项服务收费（包括但不限于网银</w:t>
      </w:r>
      <w:r>
        <w:rPr>
          <w:rFonts w:hint="eastAsia" w:cs="仿宋_GB2312"/>
          <w:color w:val="auto"/>
          <w:spacing w:val="-6"/>
          <w:highlight w:val="none"/>
          <w:lang w:eastAsia="zh-CN"/>
        </w:rPr>
        <w:t>产品费、</w:t>
      </w:r>
      <w:r>
        <w:rPr>
          <w:rFonts w:hint="eastAsia" w:cs="仿宋_GB2312"/>
          <w:color w:val="auto"/>
          <w:spacing w:val="-6"/>
          <w:highlight w:val="none"/>
        </w:rPr>
        <w:t>年费、</w:t>
      </w:r>
      <w:r>
        <w:rPr>
          <w:rFonts w:hint="eastAsia" w:cs="仿宋_GB2312"/>
          <w:color w:val="auto"/>
          <w:spacing w:val="-6"/>
          <w:highlight w:val="none"/>
          <w:lang w:eastAsia="zh-CN"/>
        </w:rPr>
        <w:t>账户管理费、跨行划转手续费等</w:t>
      </w:r>
      <w:r>
        <w:rPr>
          <w:rFonts w:hint="eastAsia" w:cs="仿宋_GB2312"/>
          <w:color w:val="auto"/>
          <w:spacing w:val="-6"/>
          <w:highlight w:val="none"/>
        </w:rPr>
        <w:t>）免费。如承诺各项服务免费的，回答“是”，如不承诺各项服务免费，须列出有偿服务项目明细，对未列入明细的均视为已承诺服务收费免费。</w:t>
      </w:r>
    </w:p>
    <w:p>
      <w:pPr>
        <w:spacing w:line="440" w:lineRule="exact"/>
        <w:jc w:val="center"/>
        <w:rPr>
          <w:rFonts w:cs="仿宋_GB2312"/>
          <w:b/>
          <w:color w:val="auto"/>
          <w:sz w:val="36"/>
          <w:szCs w:val="36"/>
          <w:highlight w:val="none"/>
        </w:rPr>
      </w:pPr>
    </w:p>
    <w:p>
      <w:pPr>
        <w:spacing w:line="440" w:lineRule="exact"/>
        <w:jc w:val="center"/>
        <w:rPr>
          <w:rFonts w:cs="仿宋_GB2312"/>
          <w:b/>
          <w:color w:val="auto"/>
          <w:sz w:val="36"/>
          <w:szCs w:val="36"/>
          <w:highlight w:val="none"/>
        </w:rPr>
      </w:pPr>
    </w:p>
    <w:p>
      <w:pPr>
        <w:spacing w:line="440" w:lineRule="exact"/>
        <w:jc w:val="center"/>
        <w:rPr>
          <w:rFonts w:cs="仿宋_GB2312"/>
          <w:b/>
          <w:color w:val="auto"/>
          <w:sz w:val="36"/>
          <w:szCs w:val="36"/>
          <w:highlight w:val="none"/>
        </w:rPr>
      </w:pPr>
    </w:p>
    <w:p>
      <w:pPr>
        <w:spacing w:line="440" w:lineRule="exact"/>
        <w:jc w:val="center"/>
        <w:rPr>
          <w:rFonts w:cs="仿宋_GB2312"/>
          <w:b/>
          <w:color w:val="auto"/>
          <w:sz w:val="36"/>
          <w:szCs w:val="36"/>
          <w:highlight w:val="none"/>
        </w:rPr>
      </w:pPr>
    </w:p>
    <w:p>
      <w:pPr>
        <w:spacing w:line="440" w:lineRule="exact"/>
        <w:jc w:val="center"/>
        <w:rPr>
          <w:rFonts w:cs="仿宋_GB2312"/>
          <w:b/>
          <w:color w:val="auto"/>
          <w:sz w:val="36"/>
          <w:szCs w:val="36"/>
          <w:highlight w:val="none"/>
        </w:rPr>
      </w:pPr>
    </w:p>
    <w:p>
      <w:pPr>
        <w:spacing w:line="440" w:lineRule="exact"/>
        <w:jc w:val="center"/>
        <w:rPr>
          <w:rFonts w:cs="仿宋_GB2312"/>
          <w:b/>
          <w:color w:val="auto"/>
          <w:sz w:val="36"/>
          <w:szCs w:val="36"/>
          <w:highlight w:val="none"/>
        </w:rPr>
      </w:pPr>
    </w:p>
    <w:p>
      <w:pPr>
        <w:spacing w:line="440" w:lineRule="exact"/>
        <w:rPr>
          <w:rFonts w:cs="仿宋_GB2312"/>
          <w:color w:val="auto"/>
          <w:highlight w:val="none"/>
        </w:rPr>
      </w:pPr>
      <w:r>
        <w:rPr>
          <w:rFonts w:hint="eastAsia" w:cs="仿宋_GB2312"/>
          <w:color w:val="auto"/>
          <w:highlight w:val="none"/>
        </w:rPr>
        <w:t>注：1、投标人表达的内容应是客观、真实的，思路清晰，不得涂改。</w:t>
      </w:r>
    </w:p>
    <w:p>
      <w:pPr>
        <w:spacing w:line="440" w:lineRule="exact"/>
        <w:rPr>
          <w:rFonts w:cs="仿宋_GB2312"/>
          <w:color w:val="auto"/>
          <w:highlight w:val="none"/>
        </w:rPr>
      </w:pPr>
      <w:r>
        <w:rPr>
          <w:rFonts w:hint="eastAsia" w:cs="仿宋_GB2312"/>
          <w:color w:val="auto"/>
          <w:highlight w:val="none"/>
        </w:rPr>
        <w:t xml:space="preserve">    2、投标人可根据自身的实际情况后附相应的情况说明或证明材料，并加盖公章。</w:t>
      </w:r>
    </w:p>
    <w:p>
      <w:pPr>
        <w:rPr>
          <w:rFonts w:cs="仿宋_GB2312"/>
          <w:color w:val="auto"/>
          <w:highlight w:val="none"/>
        </w:rPr>
      </w:pPr>
      <w:r>
        <w:rPr>
          <w:rFonts w:hint="eastAsia" w:cs="仿宋_GB2312"/>
          <w:color w:val="auto"/>
          <w:highlight w:val="none"/>
        </w:rPr>
        <w:t>此表在不改变表式的情况下，可自行制作。</w:t>
      </w:r>
    </w:p>
    <w:p>
      <w:pPr>
        <w:pStyle w:val="8"/>
        <w:rPr>
          <w:color w:val="auto"/>
          <w:highlight w:val="none"/>
        </w:rPr>
      </w:pPr>
    </w:p>
    <w:p>
      <w:pPr>
        <w:rPr>
          <w:color w:val="auto"/>
          <w:highlight w:val="none"/>
        </w:rPr>
      </w:pPr>
    </w:p>
    <w:p>
      <w:pPr>
        <w:snapToGrid w:val="0"/>
        <w:jc w:val="right"/>
        <w:rPr>
          <w:b/>
          <w:color w:val="auto"/>
          <w:highlight w:val="none"/>
        </w:rPr>
      </w:pPr>
    </w:p>
    <w:p>
      <w:pPr>
        <w:pStyle w:val="837"/>
        <w:snapToGrid w:val="0"/>
        <w:jc w:val="right"/>
        <w:rPr>
          <w:rFonts w:ascii="仿宋" w:hAnsi="仿宋"/>
          <w:color w:val="auto"/>
          <w:szCs w:val="24"/>
          <w:highlight w:val="none"/>
        </w:rPr>
      </w:pPr>
      <w:r>
        <w:rPr>
          <w:rFonts w:hint="eastAsia" w:ascii="仿宋" w:hAnsi="仿宋"/>
          <w:color w:val="auto"/>
          <w:szCs w:val="24"/>
          <w:highlight w:val="none"/>
        </w:rPr>
        <w:t xml:space="preserve">投标人全称（电子签章）：                      </w:t>
      </w:r>
    </w:p>
    <w:p>
      <w:pPr>
        <w:pStyle w:val="837"/>
        <w:snapToGrid w:val="0"/>
        <w:jc w:val="right"/>
        <w:rPr>
          <w:rFonts w:ascii="仿宋" w:hAnsi="仿宋"/>
          <w:color w:val="auto"/>
          <w:szCs w:val="24"/>
          <w:highlight w:val="none"/>
        </w:rPr>
      </w:pPr>
      <w:r>
        <w:rPr>
          <w:rFonts w:hint="eastAsia" w:ascii="仿宋" w:hAnsi="仿宋"/>
          <w:color w:val="auto"/>
          <w:szCs w:val="24"/>
          <w:highlight w:val="none"/>
        </w:rPr>
        <w:t xml:space="preserve">法定代表人（或主要负责人）或其委托代理人（签字或盖章）: </w:t>
      </w:r>
    </w:p>
    <w:p>
      <w:pPr>
        <w:pStyle w:val="837"/>
        <w:snapToGrid w:val="0"/>
        <w:jc w:val="right"/>
        <w:rPr>
          <w:rFonts w:ascii="仿宋" w:hAnsi="仿宋"/>
          <w:color w:val="auto"/>
          <w:szCs w:val="24"/>
          <w:highlight w:val="none"/>
        </w:rPr>
      </w:pPr>
      <w:r>
        <w:rPr>
          <w:rFonts w:hint="eastAsia" w:ascii="仿宋" w:hAnsi="仿宋"/>
          <w:color w:val="auto"/>
          <w:szCs w:val="24"/>
          <w:highlight w:val="none"/>
        </w:rPr>
        <w:t xml:space="preserve">                 日期:</w:t>
      </w:r>
      <w:r>
        <w:rPr>
          <w:rFonts w:hint="eastAsia" w:ascii="仿宋" w:hAnsi="仿宋"/>
          <w:color w:val="auto"/>
          <w:szCs w:val="24"/>
          <w:highlight w:val="none"/>
          <w:lang w:val="en-US" w:eastAsia="zh-CN"/>
        </w:rPr>
        <w:t>2025</w:t>
      </w:r>
      <w:r>
        <w:rPr>
          <w:rFonts w:hint="eastAsia" w:ascii="仿宋" w:hAnsi="仿宋"/>
          <w:color w:val="auto"/>
          <w:szCs w:val="24"/>
          <w:highlight w:val="none"/>
        </w:rPr>
        <w:t>年   月    日</w:t>
      </w:r>
    </w:p>
    <w:p>
      <w:pPr>
        <w:spacing w:line="440" w:lineRule="exact"/>
        <w:jc w:val="center"/>
        <w:rPr>
          <w:rFonts w:hint="eastAsia" w:cs="仿宋_GB2312"/>
          <w:b/>
          <w:color w:val="auto"/>
          <w:sz w:val="30"/>
          <w:szCs w:val="30"/>
          <w:highlight w:val="none"/>
        </w:rPr>
      </w:pPr>
    </w:p>
    <w:p>
      <w:pPr>
        <w:spacing w:line="440" w:lineRule="exact"/>
        <w:jc w:val="center"/>
        <w:rPr>
          <w:rFonts w:hint="eastAsia" w:cs="仿宋_GB2312"/>
          <w:b/>
          <w:color w:val="auto"/>
          <w:sz w:val="30"/>
          <w:szCs w:val="30"/>
          <w:highlight w:val="none"/>
        </w:rPr>
      </w:pPr>
    </w:p>
    <w:p>
      <w:pPr>
        <w:spacing w:line="440" w:lineRule="exact"/>
        <w:jc w:val="center"/>
        <w:rPr>
          <w:rFonts w:hint="eastAsia" w:cs="仿宋_GB2312"/>
          <w:b/>
          <w:color w:val="auto"/>
          <w:sz w:val="30"/>
          <w:szCs w:val="30"/>
          <w:highlight w:val="none"/>
        </w:rPr>
      </w:pPr>
    </w:p>
    <w:p>
      <w:pPr>
        <w:spacing w:line="440" w:lineRule="exact"/>
        <w:jc w:val="center"/>
        <w:rPr>
          <w:rFonts w:hint="eastAsia" w:cs="仿宋_GB2312"/>
          <w:b/>
          <w:color w:val="auto"/>
          <w:sz w:val="30"/>
          <w:szCs w:val="30"/>
          <w:highlight w:val="none"/>
        </w:rPr>
      </w:pPr>
    </w:p>
    <w:p>
      <w:pPr>
        <w:spacing w:line="440" w:lineRule="exact"/>
        <w:jc w:val="center"/>
        <w:rPr>
          <w:rFonts w:hint="eastAsia" w:cs="仿宋_GB2312"/>
          <w:b/>
          <w:color w:val="auto"/>
          <w:sz w:val="30"/>
          <w:szCs w:val="30"/>
          <w:highlight w:val="none"/>
        </w:rPr>
      </w:pPr>
    </w:p>
    <w:p>
      <w:pPr>
        <w:spacing w:line="440" w:lineRule="exact"/>
        <w:jc w:val="center"/>
        <w:rPr>
          <w:rFonts w:hint="eastAsia" w:cs="仿宋_GB2312"/>
          <w:b/>
          <w:color w:val="auto"/>
          <w:sz w:val="30"/>
          <w:szCs w:val="30"/>
          <w:highlight w:val="none"/>
        </w:rPr>
      </w:pPr>
    </w:p>
    <w:p>
      <w:pPr>
        <w:spacing w:line="440" w:lineRule="exact"/>
        <w:jc w:val="center"/>
        <w:rPr>
          <w:rFonts w:hint="eastAsia" w:cs="仿宋_GB2312"/>
          <w:b/>
          <w:color w:val="auto"/>
          <w:sz w:val="30"/>
          <w:szCs w:val="30"/>
          <w:highlight w:val="none"/>
        </w:rPr>
      </w:pPr>
    </w:p>
    <w:p>
      <w:pPr>
        <w:spacing w:line="440" w:lineRule="exact"/>
        <w:jc w:val="center"/>
        <w:rPr>
          <w:rFonts w:hint="eastAsia" w:cs="仿宋_GB2312"/>
          <w:b/>
          <w:color w:val="auto"/>
          <w:sz w:val="30"/>
          <w:szCs w:val="30"/>
          <w:highlight w:val="none"/>
        </w:rPr>
      </w:pPr>
    </w:p>
    <w:p>
      <w:pPr>
        <w:spacing w:afterLines="100" w:line="500" w:lineRule="exact"/>
        <w:jc w:val="center"/>
        <w:rPr>
          <w:rFonts w:cs="仿宋_GB2312"/>
          <w:b/>
          <w:color w:val="auto"/>
          <w:sz w:val="36"/>
          <w:szCs w:val="36"/>
          <w:highlight w:val="none"/>
        </w:rPr>
      </w:pPr>
      <w:r>
        <w:rPr>
          <w:rFonts w:hint="eastAsia" w:cs="仿宋_GB2312"/>
          <w:b/>
          <w:color w:val="auto"/>
          <w:sz w:val="36"/>
          <w:szCs w:val="36"/>
          <w:highlight w:val="none"/>
        </w:rPr>
        <w:t>银行管理服务体系情况</w:t>
      </w:r>
    </w:p>
    <w:p>
      <w:pPr>
        <w:spacing w:line="440" w:lineRule="exact"/>
        <w:jc w:val="center"/>
        <w:rPr>
          <w:rFonts w:cs="仿宋_GB2312"/>
          <w:b/>
          <w:color w:val="auto"/>
          <w:sz w:val="30"/>
          <w:szCs w:val="30"/>
          <w:highlight w:val="none"/>
        </w:rPr>
      </w:pPr>
      <w:r>
        <w:rPr>
          <w:rFonts w:hint="eastAsia" w:cs="宋体"/>
          <w:b/>
          <w:bCs/>
          <w:color w:val="auto"/>
          <w:sz w:val="28"/>
          <w:szCs w:val="28"/>
          <w:highlight w:val="none"/>
        </w:rPr>
        <w:t>（</w:t>
      </w:r>
      <w:r>
        <w:rPr>
          <w:rFonts w:hint="eastAsia" w:cs="仿宋_GB2312"/>
          <w:b/>
          <w:bCs/>
          <w:color w:val="auto"/>
          <w:spacing w:val="-11"/>
          <w:sz w:val="32"/>
          <w:szCs w:val="32"/>
          <w:highlight w:val="none"/>
        </w:rPr>
        <w:t>结合银行自身情况拟定银行管理服务体系方案，需符合国家相关法律法规及相关行业管理制度，格式自拟</w:t>
      </w:r>
      <w:r>
        <w:rPr>
          <w:rFonts w:hint="eastAsia" w:cs="宋体"/>
          <w:b/>
          <w:bCs/>
          <w:color w:val="auto"/>
          <w:sz w:val="28"/>
          <w:szCs w:val="28"/>
          <w:highlight w:val="none"/>
        </w:rPr>
        <w:t>）</w:t>
      </w:r>
    </w:p>
    <w:p>
      <w:pPr>
        <w:spacing w:line="440" w:lineRule="exact"/>
        <w:jc w:val="center"/>
        <w:rPr>
          <w:rFonts w:cs="仿宋_GB2312"/>
          <w:b/>
          <w:color w:val="auto"/>
          <w:sz w:val="36"/>
          <w:szCs w:val="36"/>
          <w:highlight w:val="none"/>
        </w:rPr>
      </w:pPr>
    </w:p>
    <w:p>
      <w:pPr>
        <w:spacing w:line="440" w:lineRule="exact"/>
        <w:rPr>
          <w:rFonts w:cs="仿宋_GB2312"/>
          <w:b/>
          <w:color w:val="auto"/>
          <w:sz w:val="36"/>
          <w:szCs w:val="36"/>
          <w:highlight w:val="none"/>
        </w:rPr>
      </w:pPr>
    </w:p>
    <w:p>
      <w:pPr>
        <w:spacing w:line="440" w:lineRule="exact"/>
        <w:jc w:val="center"/>
        <w:rPr>
          <w:rFonts w:cs="仿宋_GB2312"/>
          <w:b/>
          <w:color w:val="auto"/>
          <w:sz w:val="36"/>
          <w:szCs w:val="36"/>
          <w:highlight w:val="none"/>
        </w:rPr>
      </w:pPr>
    </w:p>
    <w:p>
      <w:pPr>
        <w:spacing w:line="440" w:lineRule="exact"/>
        <w:jc w:val="center"/>
        <w:rPr>
          <w:rFonts w:cs="仿宋_GB2312"/>
          <w:b/>
          <w:color w:val="auto"/>
          <w:sz w:val="36"/>
          <w:szCs w:val="36"/>
          <w:highlight w:val="none"/>
        </w:rPr>
      </w:pPr>
    </w:p>
    <w:p>
      <w:pPr>
        <w:spacing w:line="440" w:lineRule="exact"/>
        <w:jc w:val="center"/>
        <w:rPr>
          <w:rFonts w:cs="仿宋_GB2312"/>
          <w:b/>
          <w:color w:val="auto"/>
          <w:sz w:val="36"/>
          <w:szCs w:val="36"/>
          <w:highlight w:val="none"/>
        </w:rPr>
      </w:pPr>
    </w:p>
    <w:p>
      <w:pPr>
        <w:spacing w:line="440" w:lineRule="exact"/>
        <w:jc w:val="center"/>
        <w:rPr>
          <w:rFonts w:cs="仿宋_GB2312"/>
          <w:b/>
          <w:color w:val="auto"/>
          <w:sz w:val="36"/>
          <w:szCs w:val="36"/>
          <w:highlight w:val="none"/>
        </w:rPr>
      </w:pPr>
    </w:p>
    <w:p>
      <w:pPr>
        <w:spacing w:line="440" w:lineRule="exact"/>
        <w:jc w:val="center"/>
        <w:rPr>
          <w:rFonts w:cs="仿宋_GB2312"/>
          <w:b/>
          <w:color w:val="auto"/>
          <w:sz w:val="36"/>
          <w:szCs w:val="36"/>
          <w:highlight w:val="none"/>
        </w:rPr>
      </w:pPr>
    </w:p>
    <w:p>
      <w:pPr>
        <w:spacing w:line="440" w:lineRule="exact"/>
        <w:jc w:val="center"/>
        <w:rPr>
          <w:rFonts w:cs="仿宋_GB2312"/>
          <w:b/>
          <w:color w:val="auto"/>
          <w:sz w:val="36"/>
          <w:szCs w:val="36"/>
          <w:highlight w:val="none"/>
        </w:rPr>
      </w:pPr>
    </w:p>
    <w:p>
      <w:pPr>
        <w:spacing w:line="440" w:lineRule="exact"/>
        <w:jc w:val="center"/>
        <w:rPr>
          <w:rFonts w:cs="仿宋_GB2312"/>
          <w:b/>
          <w:color w:val="auto"/>
          <w:sz w:val="36"/>
          <w:szCs w:val="36"/>
          <w:highlight w:val="none"/>
        </w:rPr>
      </w:pPr>
    </w:p>
    <w:p>
      <w:pPr>
        <w:spacing w:line="440" w:lineRule="exact"/>
        <w:rPr>
          <w:rFonts w:cs="仿宋_GB2312"/>
          <w:color w:val="auto"/>
          <w:highlight w:val="none"/>
        </w:rPr>
      </w:pPr>
      <w:r>
        <w:rPr>
          <w:rFonts w:hint="eastAsia" w:cs="仿宋_GB2312"/>
          <w:color w:val="auto"/>
          <w:highlight w:val="none"/>
        </w:rPr>
        <w:t>注：1、投标人表达的内容应是客观、真实的，思路清晰，不得涂改。</w:t>
      </w:r>
    </w:p>
    <w:p>
      <w:pPr>
        <w:spacing w:line="440" w:lineRule="exact"/>
        <w:rPr>
          <w:rFonts w:cs="仿宋_GB2312"/>
          <w:color w:val="auto"/>
          <w:highlight w:val="none"/>
        </w:rPr>
      </w:pPr>
      <w:r>
        <w:rPr>
          <w:rFonts w:hint="eastAsia" w:cs="仿宋_GB2312"/>
          <w:color w:val="auto"/>
          <w:highlight w:val="none"/>
        </w:rPr>
        <w:t xml:space="preserve">    2、投标人可根据自身的实际情况后附相应的情况说明或证明材料，并加盖公章。</w:t>
      </w:r>
    </w:p>
    <w:p>
      <w:pPr>
        <w:spacing w:line="440" w:lineRule="exact"/>
        <w:rPr>
          <w:rFonts w:cs="仿宋_GB2312"/>
          <w:color w:val="auto"/>
          <w:highlight w:val="none"/>
        </w:rPr>
      </w:pPr>
      <w:r>
        <w:rPr>
          <w:rFonts w:hint="eastAsia" w:cs="仿宋_GB2312"/>
          <w:color w:val="auto"/>
          <w:highlight w:val="none"/>
        </w:rPr>
        <w:t>此表在不改变表式的情况下，可自行制作。</w:t>
      </w:r>
    </w:p>
    <w:p>
      <w:pPr>
        <w:spacing w:line="440" w:lineRule="exact"/>
        <w:rPr>
          <w:rFonts w:cs="仿宋_GB2312"/>
          <w:color w:val="auto"/>
          <w:highlight w:val="none"/>
        </w:rPr>
      </w:pPr>
    </w:p>
    <w:p>
      <w:pPr>
        <w:spacing w:line="440" w:lineRule="exact"/>
        <w:rPr>
          <w:rFonts w:cs="仿宋_GB2312"/>
          <w:color w:val="auto"/>
          <w:highlight w:val="none"/>
        </w:rPr>
      </w:pPr>
    </w:p>
    <w:p>
      <w:pPr>
        <w:spacing w:line="440" w:lineRule="exact"/>
        <w:rPr>
          <w:rFonts w:cs="仿宋_GB2312"/>
          <w:color w:val="auto"/>
          <w:highlight w:val="none"/>
        </w:rPr>
      </w:pPr>
    </w:p>
    <w:p>
      <w:pPr>
        <w:spacing w:line="440" w:lineRule="exact"/>
        <w:rPr>
          <w:rFonts w:cs="仿宋_GB2312"/>
          <w:color w:val="auto"/>
          <w:highlight w:val="none"/>
        </w:rPr>
      </w:pPr>
    </w:p>
    <w:p>
      <w:pPr>
        <w:spacing w:line="440" w:lineRule="exact"/>
        <w:rPr>
          <w:rFonts w:cs="仿宋_GB2312"/>
          <w:color w:val="auto"/>
          <w:highlight w:val="none"/>
        </w:rPr>
      </w:pPr>
    </w:p>
    <w:p>
      <w:pPr>
        <w:jc w:val="right"/>
        <w:rPr>
          <w:rFonts w:cs="仿宋_GB2312"/>
          <w:color w:val="auto"/>
          <w:kern w:val="0"/>
          <w:highlight w:val="none"/>
        </w:rPr>
      </w:pPr>
      <w:r>
        <w:rPr>
          <w:rFonts w:hint="eastAsia" w:cs="仿宋_GB2312"/>
          <w:color w:val="auto"/>
          <w:kern w:val="0"/>
          <w:highlight w:val="none"/>
        </w:rPr>
        <w:t xml:space="preserve">                                   </w:t>
      </w:r>
      <w:r>
        <w:rPr>
          <w:rFonts w:hint="eastAsia"/>
          <w:color w:val="auto"/>
          <w:highlight w:val="none"/>
        </w:rPr>
        <w:t>投标人全称（电子签章）</w:t>
      </w:r>
      <w:r>
        <w:rPr>
          <w:rFonts w:hint="eastAsia" w:cs="仿宋_GB2312"/>
          <w:color w:val="auto"/>
          <w:kern w:val="0"/>
          <w:highlight w:val="none"/>
        </w:rPr>
        <w:t>:</w:t>
      </w:r>
    </w:p>
    <w:p>
      <w:pPr>
        <w:jc w:val="right"/>
        <w:rPr>
          <w:rFonts w:cs="仿宋_GB2312"/>
          <w:color w:val="auto"/>
          <w:kern w:val="0"/>
          <w:highlight w:val="none"/>
        </w:rPr>
      </w:pPr>
      <w:r>
        <w:rPr>
          <w:rFonts w:hint="eastAsia" w:cs="仿宋_GB2312"/>
          <w:color w:val="auto"/>
          <w:kern w:val="0"/>
          <w:highlight w:val="none"/>
        </w:rPr>
        <w:t xml:space="preserve">                 </w:t>
      </w:r>
      <w:r>
        <w:rPr>
          <w:rFonts w:hint="eastAsia" w:cs="仿宋_GB2312"/>
          <w:color w:val="auto"/>
          <w:highlight w:val="none"/>
        </w:rPr>
        <w:t>法定代表人（或主要负责人）或其委托代理人（签字或盖章）</w:t>
      </w:r>
      <w:r>
        <w:rPr>
          <w:rFonts w:hint="eastAsia" w:cs="仿宋_GB2312"/>
          <w:color w:val="auto"/>
          <w:kern w:val="0"/>
          <w:highlight w:val="none"/>
        </w:rPr>
        <w:t xml:space="preserve">: </w:t>
      </w:r>
    </w:p>
    <w:p>
      <w:pPr>
        <w:jc w:val="right"/>
        <w:rPr>
          <w:rFonts w:hint="eastAsia" w:cs="仿宋_GB2312"/>
          <w:color w:val="auto"/>
          <w:kern w:val="0"/>
          <w:highlight w:val="none"/>
        </w:rPr>
      </w:pPr>
      <w:r>
        <w:rPr>
          <w:rFonts w:hint="eastAsia" w:cs="仿宋_GB2312"/>
          <w:color w:val="auto"/>
          <w:kern w:val="0"/>
          <w:highlight w:val="none"/>
        </w:rPr>
        <w:t xml:space="preserve">                 日期:</w:t>
      </w:r>
      <w:r>
        <w:rPr>
          <w:rFonts w:hint="eastAsia" w:cs="仿宋_GB2312"/>
          <w:color w:val="auto"/>
          <w:kern w:val="0"/>
          <w:highlight w:val="none"/>
          <w:lang w:val="en-US" w:eastAsia="zh-CN"/>
        </w:rPr>
        <w:t>2025</w:t>
      </w:r>
      <w:r>
        <w:rPr>
          <w:rFonts w:hint="eastAsia" w:cs="仿宋_GB2312"/>
          <w:color w:val="auto"/>
          <w:kern w:val="0"/>
          <w:highlight w:val="none"/>
        </w:rPr>
        <w:t>年   月    日</w:t>
      </w:r>
    </w:p>
    <w:p>
      <w:pPr>
        <w:rPr>
          <w:rFonts w:hint="eastAsia" w:cs="仿宋_GB2312"/>
          <w:color w:val="auto"/>
          <w:kern w:val="0"/>
          <w:highlight w:val="none"/>
        </w:rPr>
      </w:pPr>
      <w:r>
        <w:rPr>
          <w:rFonts w:hint="eastAsia" w:cs="仿宋_GB2312"/>
          <w:color w:val="auto"/>
          <w:kern w:val="0"/>
          <w:highlight w:val="none"/>
        </w:rPr>
        <w:br w:type="page"/>
      </w:r>
    </w:p>
    <w:p>
      <w:pPr>
        <w:spacing w:line="600" w:lineRule="exact"/>
        <w:jc w:val="center"/>
        <w:rPr>
          <w:rFonts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银行服务专员的配置</w:t>
      </w:r>
    </w:p>
    <w:p>
      <w:pPr>
        <w:spacing w:line="600" w:lineRule="exact"/>
        <w:ind w:firstLine="562"/>
        <w:rPr>
          <w:rFonts w:ascii="仿宋" w:hAnsi="仿宋" w:eastAsia="仿宋" w:cs="仿宋"/>
          <w:color w:val="auto"/>
          <w:kern w:val="3"/>
          <w:highlight w:val="none"/>
        </w:rPr>
      </w:pPr>
      <w:r>
        <w:rPr>
          <w:rFonts w:hint="eastAsia" w:ascii="仿宋" w:hAnsi="仿宋" w:eastAsia="仿宋" w:cs="仿宋"/>
          <w:color w:val="auto"/>
          <w:kern w:val="3"/>
          <w:highlight w:val="none"/>
        </w:rPr>
        <w:t>1、问：是否承诺配备至少一名银行服务专员负责本次招标账户的管理服务？（如承诺的回答“是”，不承诺的回答“否”。）</w:t>
      </w:r>
    </w:p>
    <w:p>
      <w:pPr>
        <w:spacing w:line="600" w:lineRule="exact"/>
        <w:ind w:firstLine="562"/>
        <w:rPr>
          <w:rFonts w:ascii="仿宋" w:hAnsi="仿宋" w:eastAsia="仿宋" w:cs="仿宋"/>
          <w:color w:val="auto"/>
          <w:kern w:val="3"/>
          <w:highlight w:val="none"/>
        </w:rPr>
      </w:pPr>
      <w:r>
        <w:rPr>
          <w:rFonts w:hint="eastAsia" w:ascii="仿宋" w:hAnsi="仿宋" w:eastAsia="仿宋" w:cs="仿宋"/>
          <w:color w:val="auto"/>
          <w:kern w:val="3"/>
          <w:highlight w:val="none"/>
        </w:rPr>
        <w:t>答：</w:t>
      </w:r>
    </w:p>
    <w:p>
      <w:pPr>
        <w:spacing w:line="600" w:lineRule="exact"/>
        <w:ind w:firstLine="562"/>
        <w:rPr>
          <w:rFonts w:ascii="仿宋" w:hAnsi="仿宋" w:eastAsia="仿宋" w:cs="仿宋"/>
          <w:color w:val="auto"/>
          <w:kern w:val="3"/>
          <w:highlight w:val="none"/>
        </w:rPr>
      </w:pPr>
    </w:p>
    <w:p>
      <w:pPr>
        <w:spacing w:line="600" w:lineRule="exact"/>
        <w:ind w:firstLine="562"/>
        <w:rPr>
          <w:rFonts w:ascii="仿宋" w:hAnsi="仿宋" w:eastAsia="仿宋" w:cs="仿宋"/>
          <w:color w:val="auto"/>
          <w:kern w:val="3"/>
          <w:highlight w:val="none"/>
        </w:rPr>
      </w:pPr>
      <w:r>
        <w:rPr>
          <w:rFonts w:hint="eastAsia" w:ascii="仿宋" w:hAnsi="仿宋" w:eastAsia="仿宋" w:cs="仿宋"/>
          <w:color w:val="auto"/>
          <w:kern w:val="3"/>
          <w:highlight w:val="none"/>
        </w:rPr>
        <w:t>2、银行服务专员情况简介</w:t>
      </w:r>
    </w:p>
    <w:tbl>
      <w:tblPr>
        <w:tblStyle w:val="89"/>
        <w:tblpPr w:leftFromText="180" w:rightFromText="180" w:vertAnchor="text" w:horzAnchor="page" w:tblpXSpec="center" w:tblpY="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1620"/>
        <w:gridCol w:w="1515"/>
        <w:gridCol w:w="2070"/>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725" w:type="dxa"/>
            <w:vAlign w:val="center"/>
          </w:tcPr>
          <w:p>
            <w:pPr>
              <w:keepNext w:val="0"/>
              <w:keepLines w:val="0"/>
              <w:suppressLineNumbers w:val="0"/>
              <w:spacing w:before="0" w:beforeAutospacing="0" w:after="0" w:afterAutospacing="0" w:line="600" w:lineRule="exact"/>
              <w:ind w:left="0" w:right="0"/>
              <w:jc w:val="center"/>
              <w:rPr>
                <w:rFonts w:hint="default" w:ascii="仿宋" w:hAnsi="仿宋" w:eastAsia="仿宋" w:cs="仿宋"/>
                <w:color w:val="auto"/>
                <w:kern w:val="3"/>
                <w:highlight w:val="none"/>
              </w:rPr>
            </w:pPr>
            <w:r>
              <w:rPr>
                <w:rFonts w:hint="eastAsia" w:ascii="仿宋" w:hAnsi="仿宋" w:eastAsia="仿宋" w:cs="仿宋"/>
                <w:color w:val="auto"/>
                <w:kern w:val="3"/>
                <w:highlight w:val="none"/>
              </w:rPr>
              <w:t>序号</w:t>
            </w:r>
          </w:p>
        </w:tc>
        <w:tc>
          <w:tcPr>
            <w:tcW w:w="1620" w:type="dxa"/>
            <w:vAlign w:val="center"/>
          </w:tcPr>
          <w:p>
            <w:pPr>
              <w:keepNext w:val="0"/>
              <w:keepLines w:val="0"/>
              <w:suppressLineNumbers w:val="0"/>
              <w:spacing w:before="0" w:beforeAutospacing="0" w:after="0" w:afterAutospacing="0" w:line="600" w:lineRule="exact"/>
              <w:ind w:left="0" w:right="0"/>
              <w:jc w:val="center"/>
              <w:rPr>
                <w:rFonts w:hint="default" w:ascii="仿宋" w:hAnsi="仿宋" w:eastAsia="仿宋" w:cs="仿宋"/>
                <w:color w:val="auto"/>
                <w:kern w:val="3"/>
                <w:highlight w:val="none"/>
              </w:rPr>
            </w:pPr>
            <w:r>
              <w:rPr>
                <w:rFonts w:hint="eastAsia" w:ascii="仿宋" w:hAnsi="仿宋" w:eastAsia="仿宋" w:cs="仿宋"/>
                <w:color w:val="auto"/>
                <w:kern w:val="3"/>
                <w:highlight w:val="none"/>
              </w:rPr>
              <w:t>姓名</w:t>
            </w:r>
          </w:p>
        </w:tc>
        <w:tc>
          <w:tcPr>
            <w:tcW w:w="1515" w:type="dxa"/>
            <w:vAlign w:val="center"/>
          </w:tcPr>
          <w:p>
            <w:pPr>
              <w:keepNext w:val="0"/>
              <w:keepLines w:val="0"/>
              <w:suppressLineNumbers w:val="0"/>
              <w:spacing w:before="0" w:beforeAutospacing="0" w:after="0" w:afterAutospacing="0" w:line="600" w:lineRule="exact"/>
              <w:ind w:left="0" w:right="0"/>
              <w:jc w:val="center"/>
              <w:rPr>
                <w:rFonts w:hint="default" w:ascii="仿宋" w:hAnsi="仿宋" w:eastAsia="仿宋" w:cs="仿宋"/>
                <w:color w:val="auto"/>
                <w:kern w:val="3"/>
                <w:highlight w:val="none"/>
              </w:rPr>
            </w:pPr>
            <w:r>
              <w:rPr>
                <w:rFonts w:hint="eastAsia" w:ascii="仿宋" w:hAnsi="仿宋" w:eastAsia="仿宋" w:cs="仿宋"/>
                <w:color w:val="auto"/>
                <w:kern w:val="3"/>
                <w:highlight w:val="none"/>
              </w:rPr>
              <w:t>性别</w:t>
            </w:r>
          </w:p>
        </w:tc>
        <w:tc>
          <w:tcPr>
            <w:tcW w:w="2070" w:type="dxa"/>
            <w:vAlign w:val="center"/>
          </w:tcPr>
          <w:p>
            <w:pPr>
              <w:keepNext w:val="0"/>
              <w:keepLines w:val="0"/>
              <w:suppressLineNumbers w:val="0"/>
              <w:spacing w:before="0" w:beforeAutospacing="0" w:after="0" w:afterAutospacing="0" w:line="600" w:lineRule="exact"/>
              <w:ind w:left="0" w:right="0"/>
              <w:jc w:val="center"/>
              <w:rPr>
                <w:rFonts w:hint="default" w:ascii="仿宋" w:hAnsi="仿宋" w:eastAsia="仿宋" w:cs="仿宋"/>
                <w:color w:val="auto"/>
                <w:kern w:val="3"/>
                <w:highlight w:val="none"/>
              </w:rPr>
            </w:pPr>
            <w:r>
              <w:rPr>
                <w:rFonts w:hint="eastAsia" w:ascii="仿宋" w:hAnsi="仿宋" w:eastAsia="仿宋" w:cs="仿宋"/>
                <w:color w:val="auto"/>
                <w:kern w:val="3"/>
                <w:highlight w:val="none"/>
              </w:rPr>
              <w:t>身份证号</w:t>
            </w:r>
          </w:p>
        </w:tc>
        <w:tc>
          <w:tcPr>
            <w:tcW w:w="2263" w:type="dxa"/>
            <w:vAlign w:val="center"/>
          </w:tcPr>
          <w:p>
            <w:pPr>
              <w:keepNext w:val="0"/>
              <w:keepLines w:val="0"/>
              <w:suppressLineNumbers w:val="0"/>
              <w:spacing w:before="0" w:beforeAutospacing="0" w:after="0" w:afterAutospacing="0" w:line="600" w:lineRule="exact"/>
              <w:ind w:left="0" w:right="0"/>
              <w:jc w:val="center"/>
              <w:rPr>
                <w:rFonts w:hint="default" w:ascii="仿宋" w:hAnsi="仿宋" w:eastAsia="仿宋" w:cs="仿宋"/>
                <w:color w:val="auto"/>
                <w:kern w:val="3"/>
                <w:highlight w:val="none"/>
              </w:rPr>
            </w:pPr>
            <w:r>
              <w:rPr>
                <w:rFonts w:hint="eastAsia" w:ascii="仿宋" w:hAnsi="仿宋" w:eastAsia="仿宋" w:cs="仿宋"/>
                <w:color w:val="auto"/>
                <w:kern w:val="3"/>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725" w:type="dxa"/>
          </w:tcPr>
          <w:p>
            <w:pPr>
              <w:keepNext w:val="0"/>
              <w:keepLines w:val="0"/>
              <w:suppressLineNumbers w:val="0"/>
              <w:spacing w:before="0" w:beforeAutospacing="0" w:after="0" w:afterAutospacing="0" w:line="600" w:lineRule="exact"/>
              <w:ind w:left="0" w:right="0"/>
              <w:jc w:val="center"/>
              <w:rPr>
                <w:rFonts w:hint="default" w:ascii="仿宋" w:hAnsi="仿宋" w:eastAsia="仿宋" w:cs="仿宋"/>
                <w:color w:val="auto"/>
                <w:kern w:val="3"/>
                <w:highlight w:val="none"/>
              </w:rPr>
            </w:pPr>
            <w:r>
              <w:rPr>
                <w:rFonts w:hint="eastAsia" w:ascii="仿宋" w:hAnsi="仿宋" w:eastAsia="仿宋" w:cs="仿宋"/>
                <w:color w:val="auto"/>
                <w:kern w:val="3"/>
                <w:highlight w:val="none"/>
              </w:rPr>
              <w:t>1</w:t>
            </w:r>
          </w:p>
        </w:tc>
        <w:tc>
          <w:tcPr>
            <w:tcW w:w="1620" w:type="dxa"/>
          </w:tcPr>
          <w:p>
            <w:pPr>
              <w:keepNext w:val="0"/>
              <w:keepLines w:val="0"/>
              <w:suppressLineNumbers w:val="0"/>
              <w:spacing w:before="0" w:beforeAutospacing="0" w:after="0" w:afterAutospacing="0" w:line="600" w:lineRule="exact"/>
              <w:ind w:left="0" w:right="0"/>
              <w:rPr>
                <w:rFonts w:hint="default" w:ascii="仿宋" w:hAnsi="仿宋" w:eastAsia="仿宋" w:cs="仿宋"/>
                <w:color w:val="auto"/>
                <w:kern w:val="3"/>
                <w:highlight w:val="none"/>
              </w:rPr>
            </w:pPr>
          </w:p>
        </w:tc>
        <w:tc>
          <w:tcPr>
            <w:tcW w:w="1515" w:type="dxa"/>
          </w:tcPr>
          <w:p>
            <w:pPr>
              <w:keepNext w:val="0"/>
              <w:keepLines w:val="0"/>
              <w:suppressLineNumbers w:val="0"/>
              <w:spacing w:before="0" w:beforeAutospacing="0" w:after="0" w:afterAutospacing="0" w:line="600" w:lineRule="exact"/>
              <w:ind w:left="0" w:right="0"/>
              <w:rPr>
                <w:rFonts w:hint="default" w:ascii="仿宋" w:hAnsi="仿宋" w:eastAsia="仿宋" w:cs="仿宋"/>
                <w:color w:val="auto"/>
                <w:kern w:val="3"/>
                <w:highlight w:val="none"/>
              </w:rPr>
            </w:pPr>
          </w:p>
        </w:tc>
        <w:tc>
          <w:tcPr>
            <w:tcW w:w="2070" w:type="dxa"/>
          </w:tcPr>
          <w:p>
            <w:pPr>
              <w:keepNext w:val="0"/>
              <w:keepLines w:val="0"/>
              <w:suppressLineNumbers w:val="0"/>
              <w:spacing w:before="0" w:beforeAutospacing="0" w:after="0" w:afterAutospacing="0" w:line="600" w:lineRule="exact"/>
              <w:ind w:left="0" w:right="0"/>
              <w:rPr>
                <w:rFonts w:hint="default" w:ascii="仿宋" w:hAnsi="仿宋" w:eastAsia="仿宋" w:cs="仿宋"/>
                <w:color w:val="auto"/>
                <w:kern w:val="3"/>
                <w:highlight w:val="none"/>
              </w:rPr>
            </w:pPr>
          </w:p>
        </w:tc>
        <w:tc>
          <w:tcPr>
            <w:tcW w:w="2263" w:type="dxa"/>
          </w:tcPr>
          <w:p>
            <w:pPr>
              <w:keepNext w:val="0"/>
              <w:keepLines w:val="0"/>
              <w:suppressLineNumbers w:val="0"/>
              <w:spacing w:before="0" w:beforeAutospacing="0" w:after="0" w:afterAutospacing="0" w:line="600" w:lineRule="exact"/>
              <w:ind w:left="0" w:right="0"/>
              <w:rPr>
                <w:rFonts w:hint="default" w:ascii="仿宋" w:hAnsi="仿宋" w:eastAsia="仿宋" w:cs="仿宋"/>
                <w:color w:val="auto"/>
                <w:kern w:val="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725" w:type="dxa"/>
          </w:tcPr>
          <w:p>
            <w:pPr>
              <w:keepNext w:val="0"/>
              <w:keepLines w:val="0"/>
              <w:suppressLineNumbers w:val="0"/>
              <w:spacing w:before="0" w:beforeAutospacing="0" w:after="0" w:afterAutospacing="0" w:line="600" w:lineRule="exact"/>
              <w:ind w:left="0" w:right="0"/>
              <w:jc w:val="center"/>
              <w:rPr>
                <w:rFonts w:hint="default" w:ascii="仿宋" w:hAnsi="仿宋" w:eastAsia="仿宋" w:cs="仿宋"/>
                <w:color w:val="auto"/>
                <w:kern w:val="3"/>
                <w:highlight w:val="none"/>
              </w:rPr>
            </w:pPr>
            <w:r>
              <w:rPr>
                <w:rFonts w:hint="eastAsia" w:ascii="仿宋" w:hAnsi="仿宋" w:eastAsia="仿宋" w:cs="仿宋"/>
                <w:color w:val="auto"/>
                <w:kern w:val="3"/>
                <w:highlight w:val="none"/>
              </w:rPr>
              <w:t>2</w:t>
            </w:r>
          </w:p>
        </w:tc>
        <w:tc>
          <w:tcPr>
            <w:tcW w:w="1620" w:type="dxa"/>
            <w:vAlign w:val="center"/>
          </w:tcPr>
          <w:p>
            <w:pPr>
              <w:keepNext w:val="0"/>
              <w:keepLines w:val="0"/>
              <w:suppressLineNumbers w:val="0"/>
              <w:spacing w:before="0" w:beforeAutospacing="0" w:after="0" w:afterAutospacing="0" w:line="600" w:lineRule="exact"/>
              <w:ind w:left="0" w:right="0"/>
              <w:jc w:val="center"/>
              <w:rPr>
                <w:rFonts w:hint="default" w:ascii="仿宋" w:hAnsi="仿宋" w:eastAsia="仿宋" w:cs="仿宋"/>
                <w:color w:val="auto"/>
                <w:kern w:val="3"/>
                <w:highlight w:val="none"/>
              </w:rPr>
            </w:pPr>
            <w:r>
              <w:rPr>
                <w:rFonts w:hint="eastAsia" w:ascii="仿宋" w:hAnsi="仿宋" w:eastAsia="仿宋" w:cs="仿宋"/>
                <w:color w:val="auto"/>
                <w:kern w:val="3"/>
                <w:highlight w:val="none"/>
              </w:rPr>
              <w:t>......</w:t>
            </w:r>
          </w:p>
        </w:tc>
        <w:tc>
          <w:tcPr>
            <w:tcW w:w="1515" w:type="dxa"/>
            <w:vAlign w:val="center"/>
          </w:tcPr>
          <w:p>
            <w:pPr>
              <w:keepNext w:val="0"/>
              <w:keepLines w:val="0"/>
              <w:suppressLineNumbers w:val="0"/>
              <w:spacing w:before="0" w:beforeAutospacing="0" w:after="0" w:afterAutospacing="0" w:line="600" w:lineRule="exact"/>
              <w:ind w:left="0" w:right="0"/>
              <w:jc w:val="center"/>
              <w:rPr>
                <w:rFonts w:hint="default" w:ascii="仿宋" w:hAnsi="仿宋" w:eastAsia="仿宋" w:cs="仿宋"/>
                <w:color w:val="auto"/>
                <w:kern w:val="3"/>
                <w:highlight w:val="none"/>
              </w:rPr>
            </w:pPr>
            <w:r>
              <w:rPr>
                <w:rFonts w:hint="eastAsia" w:ascii="仿宋" w:hAnsi="仿宋" w:eastAsia="仿宋" w:cs="仿宋"/>
                <w:color w:val="auto"/>
                <w:kern w:val="3"/>
                <w:highlight w:val="none"/>
              </w:rPr>
              <w:t>......</w:t>
            </w:r>
          </w:p>
        </w:tc>
        <w:tc>
          <w:tcPr>
            <w:tcW w:w="2070" w:type="dxa"/>
            <w:vAlign w:val="center"/>
          </w:tcPr>
          <w:p>
            <w:pPr>
              <w:keepNext w:val="0"/>
              <w:keepLines w:val="0"/>
              <w:suppressLineNumbers w:val="0"/>
              <w:spacing w:before="0" w:beforeAutospacing="0" w:after="0" w:afterAutospacing="0" w:line="600" w:lineRule="exact"/>
              <w:ind w:left="0" w:right="0"/>
              <w:jc w:val="center"/>
              <w:rPr>
                <w:rFonts w:hint="default" w:ascii="仿宋" w:hAnsi="仿宋" w:eastAsia="仿宋" w:cs="仿宋"/>
                <w:color w:val="auto"/>
                <w:kern w:val="3"/>
                <w:highlight w:val="none"/>
              </w:rPr>
            </w:pPr>
            <w:r>
              <w:rPr>
                <w:rFonts w:hint="eastAsia" w:ascii="仿宋" w:hAnsi="仿宋" w:eastAsia="仿宋" w:cs="仿宋"/>
                <w:color w:val="auto"/>
                <w:kern w:val="3"/>
                <w:highlight w:val="none"/>
              </w:rPr>
              <w:t>......</w:t>
            </w:r>
          </w:p>
        </w:tc>
        <w:tc>
          <w:tcPr>
            <w:tcW w:w="2263" w:type="dxa"/>
            <w:vAlign w:val="center"/>
          </w:tcPr>
          <w:p>
            <w:pPr>
              <w:keepNext w:val="0"/>
              <w:keepLines w:val="0"/>
              <w:suppressLineNumbers w:val="0"/>
              <w:spacing w:before="0" w:beforeAutospacing="0" w:after="0" w:afterAutospacing="0" w:line="600" w:lineRule="exact"/>
              <w:ind w:left="0" w:right="0"/>
              <w:jc w:val="center"/>
              <w:rPr>
                <w:rFonts w:hint="default" w:ascii="仿宋" w:hAnsi="仿宋" w:eastAsia="仿宋" w:cs="仿宋"/>
                <w:color w:val="auto"/>
                <w:kern w:val="3"/>
                <w:highlight w:val="none"/>
              </w:rPr>
            </w:pPr>
            <w:r>
              <w:rPr>
                <w:rFonts w:hint="eastAsia" w:ascii="仿宋" w:hAnsi="仿宋" w:eastAsia="仿宋" w:cs="仿宋"/>
                <w:color w:val="auto"/>
                <w:kern w:val="3"/>
                <w:highlight w:val="none"/>
              </w:rPr>
              <w:t>......</w:t>
            </w:r>
          </w:p>
        </w:tc>
      </w:tr>
    </w:tbl>
    <w:p>
      <w:pPr>
        <w:spacing w:line="360" w:lineRule="auto"/>
        <w:ind w:firstLine="480" w:firstLineChars="200"/>
        <w:jc w:val="both"/>
        <w:rPr>
          <w:rFonts w:ascii="仿宋" w:hAnsi="仿宋" w:eastAsia="仿宋" w:cs="仿宋"/>
          <w:color w:val="auto"/>
          <w:kern w:val="3"/>
          <w:highlight w:val="none"/>
        </w:rPr>
      </w:pPr>
      <w:r>
        <w:rPr>
          <w:rFonts w:hint="eastAsia" w:ascii="仿宋" w:hAnsi="仿宋" w:eastAsia="仿宋" w:cs="仿宋"/>
          <w:color w:val="auto"/>
          <w:kern w:val="3"/>
          <w:highlight w:val="none"/>
        </w:rPr>
        <w:t>注：1.投标银行根据本银行填报的银行服务专员信息，后附（包括但不仅限于）个人的荣誉、奖项、资历、客户评价（需客户单位书面的形式反映，并加盖客户单位公章）、职称等相应证明材料，并加盖公章。此表在不改变表式的情况下，可自行制作。供评标委员会参考。</w:t>
      </w:r>
    </w:p>
    <w:p>
      <w:pPr>
        <w:spacing w:line="360" w:lineRule="auto"/>
        <w:ind w:firstLine="480" w:firstLineChars="200"/>
        <w:jc w:val="both"/>
        <w:rPr>
          <w:rFonts w:ascii="仿宋" w:hAnsi="仿宋" w:eastAsia="仿宋" w:cs="仿宋"/>
          <w:color w:val="auto"/>
          <w:kern w:val="3"/>
          <w:highlight w:val="none"/>
        </w:rPr>
      </w:pPr>
      <w:r>
        <w:rPr>
          <w:rFonts w:hint="eastAsia" w:ascii="仿宋" w:hAnsi="仿宋" w:eastAsia="仿宋" w:cs="仿宋"/>
          <w:color w:val="auto"/>
          <w:kern w:val="3"/>
          <w:highlight w:val="none"/>
        </w:rPr>
        <w:t>2.中标后，负责本项目的管理服务专员基本信息必须由投标人书面通知招标人进行确认，如发现并确认本项目管理服务专员非实际负责本项目的管理服务专员，招标人有权取消中标资格，并上报相关主管部门，由此造成的后果由投标银行自己承担。</w:t>
      </w:r>
    </w:p>
    <w:p>
      <w:pPr>
        <w:spacing w:line="360" w:lineRule="auto"/>
        <w:ind w:firstLine="480" w:firstLineChars="200"/>
        <w:jc w:val="both"/>
        <w:rPr>
          <w:rFonts w:ascii="仿宋" w:hAnsi="仿宋" w:eastAsia="仿宋" w:cs="仿宋"/>
          <w:color w:val="auto"/>
          <w:kern w:val="3"/>
          <w:highlight w:val="none"/>
        </w:rPr>
      </w:pPr>
      <w:r>
        <w:rPr>
          <w:rFonts w:ascii="仿宋" w:hAnsi="仿宋" w:eastAsia="仿宋" w:cs="仿宋"/>
          <w:color w:val="auto"/>
          <w:kern w:val="3"/>
          <w:highlight w:val="none"/>
        </w:rPr>
        <w:t>3</w:t>
      </w:r>
      <w:r>
        <w:rPr>
          <w:rFonts w:hint="eastAsia" w:ascii="仿宋" w:hAnsi="仿宋" w:eastAsia="仿宋" w:cs="仿宋"/>
          <w:color w:val="auto"/>
          <w:kern w:val="3"/>
          <w:highlight w:val="none"/>
        </w:rPr>
        <w:t>.投标人需提供相关证明材料，因投标人提供的相关证明材料的清晰度、真实性等原因造成评标委员会无法判定的，此项可能不得分。</w:t>
      </w:r>
    </w:p>
    <w:p>
      <w:pPr>
        <w:spacing w:line="440" w:lineRule="exact"/>
        <w:rPr>
          <w:rFonts w:cs="仿宋_GB2312"/>
          <w:b/>
          <w:color w:val="auto"/>
          <w:sz w:val="30"/>
          <w:szCs w:val="30"/>
          <w:highlight w:val="none"/>
        </w:rPr>
      </w:pPr>
    </w:p>
    <w:p>
      <w:pPr>
        <w:spacing w:line="440" w:lineRule="exact"/>
        <w:jc w:val="center"/>
        <w:rPr>
          <w:rFonts w:cs="仿宋_GB2312"/>
          <w:b/>
          <w:color w:val="auto"/>
          <w:sz w:val="30"/>
          <w:szCs w:val="30"/>
          <w:highlight w:val="none"/>
        </w:rPr>
      </w:pPr>
    </w:p>
    <w:p>
      <w:pPr>
        <w:spacing w:line="360" w:lineRule="auto"/>
        <w:jc w:val="center"/>
        <w:rPr>
          <w:rFonts w:ascii="仿宋" w:hAnsi="仿宋" w:eastAsia="仿宋" w:cs="仿宋"/>
          <w:color w:val="auto"/>
          <w:kern w:val="3"/>
          <w:highlight w:val="none"/>
        </w:rPr>
      </w:pPr>
    </w:p>
    <w:p>
      <w:pPr>
        <w:pStyle w:val="837"/>
        <w:snapToGrid w:val="0"/>
        <w:spacing w:line="360" w:lineRule="auto"/>
        <w:jc w:val="right"/>
        <w:rPr>
          <w:rFonts w:ascii="仿宋" w:hAnsi="仿宋" w:eastAsia="仿宋" w:cs="仿宋"/>
          <w:color w:val="auto"/>
          <w:kern w:val="3"/>
          <w:szCs w:val="24"/>
          <w:highlight w:val="none"/>
        </w:rPr>
      </w:pPr>
      <w:r>
        <w:rPr>
          <w:rFonts w:hint="eastAsia" w:ascii="仿宋" w:hAnsi="仿宋" w:eastAsia="仿宋" w:cs="仿宋"/>
          <w:color w:val="auto"/>
          <w:kern w:val="3"/>
          <w:szCs w:val="24"/>
          <w:highlight w:val="none"/>
        </w:rPr>
        <w:t xml:space="preserve">投标人全称（电子签章）：                                           </w:t>
      </w:r>
    </w:p>
    <w:p>
      <w:pPr>
        <w:pStyle w:val="837"/>
        <w:snapToGrid w:val="0"/>
        <w:spacing w:line="360" w:lineRule="auto"/>
        <w:jc w:val="right"/>
        <w:rPr>
          <w:rFonts w:ascii="仿宋" w:hAnsi="仿宋" w:eastAsia="仿宋" w:cs="仿宋"/>
          <w:color w:val="auto"/>
          <w:kern w:val="3"/>
          <w:szCs w:val="24"/>
          <w:highlight w:val="none"/>
        </w:rPr>
      </w:pPr>
      <w:r>
        <w:rPr>
          <w:rFonts w:hint="eastAsia" w:ascii="仿宋" w:hAnsi="仿宋" w:eastAsia="仿宋" w:cs="仿宋"/>
          <w:color w:val="auto"/>
          <w:kern w:val="3"/>
          <w:szCs w:val="24"/>
          <w:highlight w:val="none"/>
        </w:rPr>
        <w:t xml:space="preserve">法定代表人（或主要负责人）或其委托代理人（签字或盖章）: </w:t>
      </w:r>
    </w:p>
    <w:p>
      <w:pPr>
        <w:spacing w:line="360" w:lineRule="auto"/>
        <w:jc w:val="right"/>
        <w:rPr>
          <w:rFonts w:ascii="仿宋" w:hAnsi="仿宋" w:eastAsia="仿宋" w:cs="仿宋"/>
          <w:color w:val="auto"/>
          <w:kern w:val="3"/>
          <w:highlight w:val="none"/>
        </w:rPr>
      </w:pPr>
      <w:r>
        <w:rPr>
          <w:rFonts w:hint="eastAsia" w:ascii="仿宋" w:hAnsi="仿宋" w:eastAsia="仿宋" w:cs="仿宋"/>
          <w:color w:val="auto"/>
          <w:kern w:val="3"/>
          <w:highlight w:val="none"/>
        </w:rPr>
        <w:t xml:space="preserve">                 日期:</w:t>
      </w:r>
      <w:r>
        <w:rPr>
          <w:rFonts w:ascii="仿宋" w:hAnsi="仿宋" w:eastAsia="仿宋" w:cs="仿宋"/>
          <w:color w:val="auto"/>
          <w:kern w:val="3"/>
          <w:highlight w:val="none"/>
        </w:rPr>
        <w:t xml:space="preserve">    </w:t>
      </w:r>
      <w:r>
        <w:rPr>
          <w:rFonts w:hint="eastAsia" w:ascii="仿宋" w:hAnsi="仿宋" w:eastAsia="仿宋" w:cs="仿宋"/>
          <w:color w:val="auto"/>
          <w:kern w:val="3"/>
          <w:highlight w:val="none"/>
        </w:rPr>
        <w:t>年   月    日</w:t>
      </w:r>
    </w:p>
    <w:p>
      <w:pPr>
        <w:spacing w:line="440" w:lineRule="exact"/>
        <w:jc w:val="both"/>
        <w:rPr>
          <w:rFonts w:hint="eastAsia" w:cs="方正小标宋简体"/>
          <w:b/>
          <w:color w:val="auto"/>
          <w:sz w:val="30"/>
          <w:szCs w:val="30"/>
          <w:highlight w:val="none"/>
        </w:rPr>
      </w:pPr>
    </w:p>
    <w:p>
      <w:pPr>
        <w:spacing w:line="440" w:lineRule="exact"/>
        <w:jc w:val="center"/>
        <w:rPr>
          <w:rFonts w:hint="eastAsia" w:cs="方正小标宋简体"/>
          <w:b/>
          <w:color w:val="auto"/>
          <w:sz w:val="30"/>
          <w:szCs w:val="30"/>
          <w:highlight w:val="none"/>
        </w:rPr>
      </w:pPr>
    </w:p>
    <w:p>
      <w:pPr>
        <w:spacing w:line="440" w:lineRule="exact"/>
        <w:jc w:val="center"/>
        <w:rPr>
          <w:rFonts w:cs="方正小标宋简体"/>
          <w:b/>
          <w:color w:val="auto"/>
          <w:sz w:val="30"/>
          <w:szCs w:val="30"/>
          <w:highlight w:val="none"/>
        </w:rPr>
      </w:pPr>
      <w:r>
        <w:rPr>
          <w:rFonts w:hint="eastAsia" w:cs="方正小标宋简体"/>
          <w:b/>
          <w:color w:val="auto"/>
          <w:sz w:val="30"/>
          <w:szCs w:val="30"/>
          <w:highlight w:val="none"/>
        </w:rPr>
        <w:t>廉政承诺书</w:t>
      </w:r>
    </w:p>
    <w:p>
      <w:pPr>
        <w:spacing w:line="440" w:lineRule="exact"/>
        <w:jc w:val="center"/>
        <w:rPr>
          <w:rFonts w:cs="仿宋_GB2312"/>
          <w:color w:val="auto"/>
          <w:sz w:val="32"/>
          <w:szCs w:val="32"/>
          <w:highlight w:val="none"/>
        </w:rPr>
      </w:pPr>
    </w:p>
    <w:p>
      <w:pPr>
        <w:spacing w:afterLines="50" w:line="440" w:lineRule="exact"/>
        <w:jc w:val="left"/>
        <w:rPr>
          <w:rFonts w:cs="仿宋_GB2312"/>
          <w:color w:val="auto"/>
          <w:highlight w:val="none"/>
        </w:rPr>
      </w:pPr>
      <w:r>
        <w:rPr>
          <w:rFonts w:hint="eastAsia"/>
          <w:color w:val="auto"/>
          <w:highlight w:val="none"/>
          <w:u w:val="single"/>
          <w:lang w:eastAsia="zh-CN"/>
        </w:rPr>
        <w:t> 杭州市富阳区第三人民医院</w:t>
      </w:r>
      <w:r>
        <w:rPr>
          <w:rFonts w:hint="eastAsia" w:cs="仿宋_GB2312"/>
          <w:color w:val="auto"/>
          <w:highlight w:val="none"/>
        </w:rPr>
        <w:t>：</w:t>
      </w:r>
    </w:p>
    <w:p>
      <w:pPr>
        <w:spacing w:line="360" w:lineRule="auto"/>
        <w:ind w:firstLine="480" w:firstLineChars="200"/>
        <w:jc w:val="both"/>
        <w:rPr>
          <w:rFonts w:ascii="仿宋" w:hAnsi="仿宋" w:eastAsia="仿宋" w:cs="仿宋_GB2312"/>
          <w:color w:val="auto"/>
          <w:highlight w:val="none"/>
        </w:rPr>
      </w:pPr>
      <w:r>
        <w:rPr>
          <w:rFonts w:cs="仿宋_GB2312"/>
          <w:color w:val="auto"/>
          <w:highlight w:val="none"/>
        </w:rPr>
        <w:t xml:space="preserve">   </w:t>
      </w:r>
      <w:r>
        <w:rPr>
          <w:rFonts w:hint="eastAsia" w:ascii="仿宋" w:hAnsi="仿宋" w:eastAsia="仿宋" w:cs="仿宋_GB2312"/>
          <w:color w:val="auto"/>
          <w:highlight w:val="none"/>
        </w:rPr>
        <w:t>根据</w:t>
      </w:r>
      <w:r>
        <w:rPr>
          <w:rFonts w:hint="eastAsia" w:ascii="仿宋" w:hAnsi="仿宋" w:eastAsia="仿宋"/>
          <w:color w:val="auto"/>
          <w:highlight w:val="none"/>
        </w:rPr>
        <w:t>《财政部关于进一步加强财政部门和预算单位资金存放管理的指导意见》（财库〔2017〕76号）、《杭州市富阳区区级行政事业单位公款竞争性存放管理办法》(富财预执〔20</w:t>
      </w:r>
      <w:r>
        <w:rPr>
          <w:rFonts w:ascii="仿宋" w:hAnsi="仿宋" w:eastAsia="仿宋"/>
          <w:color w:val="auto"/>
          <w:highlight w:val="none"/>
        </w:rPr>
        <w:t>23</w:t>
      </w:r>
      <w:r>
        <w:rPr>
          <w:rFonts w:hint="eastAsia" w:ascii="仿宋" w:hAnsi="仿宋" w:eastAsia="仿宋"/>
          <w:color w:val="auto"/>
          <w:highlight w:val="none"/>
        </w:rPr>
        <w:t>〕1</w:t>
      </w:r>
      <w:r>
        <w:rPr>
          <w:rFonts w:ascii="仿宋" w:hAnsi="仿宋" w:eastAsia="仿宋"/>
          <w:color w:val="auto"/>
          <w:highlight w:val="none"/>
        </w:rPr>
        <w:t>7</w:t>
      </w:r>
      <w:r>
        <w:rPr>
          <w:rFonts w:hint="eastAsia" w:ascii="仿宋" w:hAnsi="仿宋" w:eastAsia="仿宋"/>
          <w:color w:val="auto"/>
          <w:highlight w:val="none"/>
        </w:rPr>
        <w:t>号)</w:t>
      </w:r>
      <w:r>
        <w:rPr>
          <w:rFonts w:hint="eastAsia" w:ascii="仿宋" w:hAnsi="仿宋" w:eastAsia="仿宋" w:cs="仿宋_GB2312"/>
          <w:color w:val="auto"/>
          <w:highlight w:val="none"/>
        </w:rPr>
        <w:t>相关规定，现就本行参加贵单位</w:t>
      </w:r>
      <w:r>
        <w:rPr>
          <w:rFonts w:ascii="仿宋" w:hAnsi="仿宋" w:eastAsia="仿宋" w:cs="仿宋_GB2312"/>
          <w:color w:val="auto"/>
          <w:highlight w:val="none"/>
        </w:rPr>
        <w:t>____</w:t>
      </w:r>
      <w:r>
        <w:rPr>
          <w:rFonts w:hint="eastAsia" w:ascii="仿宋" w:hAnsi="仿宋" w:eastAsia="仿宋" w:cs="仿宋_GB2312"/>
          <w:color w:val="auto"/>
          <w:highlight w:val="none"/>
        </w:rPr>
        <w:t>年第</w:t>
      </w:r>
      <w:r>
        <w:rPr>
          <w:rFonts w:ascii="仿宋" w:hAnsi="仿宋" w:eastAsia="仿宋" w:cs="仿宋_GB2312"/>
          <w:color w:val="auto"/>
          <w:highlight w:val="none"/>
        </w:rPr>
        <w:t>____</w:t>
      </w:r>
      <w:r>
        <w:rPr>
          <w:rFonts w:hint="eastAsia" w:ascii="仿宋" w:hAnsi="仿宋" w:eastAsia="仿宋" w:cs="仿宋_GB2312"/>
          <w:color w:val="auto"/>
          <w:highlight w:val="none"/>
        </w:rPr>
        <w:t>期公款竞争性存放作出如下承诺：</w:t>
      </w:r>
    </w:p>
    <w:p>
      <w:pPr>
        <w:spacing w:line="360" w:lineRule="auto"/>
        <w:ind w:firstLine="480" w:firstLineChars="200"/>
        <w:jc w:val="both"/>
        <w:rPr>
          <w:rFonts w:ascii="仿宋" w:hAnsi="仿宋" w:eastAsia="仿宋" w:cs="仿宋_GB2312"/>
          <w:color w:val="auto"/>
          <w:highlight w:val="none"/>
        </w:rPr>
      </w:pPr>
      <w:r>
        <w:rPr>
          <w:rFonts w:hint="eastAsia" w:ascii="仿宋" w:hAnsi="仿宋" w:eastAsia="仿宋" w:cs="仿宋_GB2312"/>
          <w:color w:val="auto"/>
          <w:highlight w:val="none"/>
        </w:rPr>
        <w:t>１</w:t>
      </w:r>
      <w:r>
        <w:rPr>
          <w:rFonts w:ascii="仿宋" w:hAnsi="仿宋" w:eastAsia="仿宋" w:cs="仿宋_GB2312"/>
          <w:color w:val="auto"/>
          <w:highlight w:val="none"/>
        </w:rPr>
        <w:t>.</w:t>
      </w:r>
      <w:r>
        <w:rPr>
          <w:rFonts w:hint="eastAsia" w:ascii="仿宋" w:hAnsi="仿宋" w:eastAsia="仿宋" w:cs="仿宋_GB2312"/>
          <w:color w:val="auto"/>
          <w:highlight w:val="none"/>
        </w:rPr>
        <w:t>不向贵单位负责公款存放管理的领导及相关人员进行利益输送；</w:t>
      </w:r>
    </w:p>
    <w:p>
      <w:pPr>
        <w:spacing w:line="360" w:lineRule="auto"/>
        <w:ind w:firstLine="480" w:firstLineChars="200"/>
        <w:jc w:val="both"/>
        <w:rPr>
          <w:rFonts w:ascii="仿宋" w:hAnsi="仿宋" w:eastAsia="仿宋" w:cs="仿宋_GB2312"/>
          <w:color w:val="auto"/>
          <w:highlight w:val="none"/>
        </w:rPr>
      </w:pPr>
      <w:r>
        <w:rPr>
          <w:rFonts w:hint="eastAsia" w:ascii="仿宋" w:hAnsi="仿宋" w:eastAsia="仿宋" w:cs="仿宋_GB2312"/>
          <w:color w:val="auto"/>
          <w:highlight w:val="none"/>
        </w:rPr>
        <w:t>２.不将公款存放与贵单位负责公款存放管理的领导及相关人员在本行</w:t>
      </w:r>
      <w:r>
        <w:rPr>
          <w:rFonts w:hint="eastAsia" w:ascii="仿宋" w:hAnsi="仿宋" w:eastAsia="仿宋"/>
          <w:color w:val="auto"/>
          <w:highlight w:val="none"/>
        </w:rPr>
        <w:t>的配偶、子女及其配偶和其他直接利益相关人员</w:t>
      </w:r>
      <w:r>
        <w:rPr>
          <w:rFonts w:hint="eastAsia" w:ascii="仿宋" w:hAnsi="仿宋" w:eastAsia="仿宋" w:cs="仿宋_GB2312"/>
          <w:color w:val="auto"/>
          <w:highlight w:val="none"/>
        </w:rPr>
        <w:t>的业绩、收入、晋升等利益挂钩；</w:t>
      </w:r>
    </w:p>
    <w:p>
      <w:pPr>
        <w:spacing w:line="360" w:lineRule="auto"/>
        <w:ind w:firstLine="480" w:firstLineChars="200"/>
        <w:jc w:val="both"/>
        <w:rPr>
          <w:rFonts w:ascii="仿宋" w:hAnsi="仿宋" w:eastAsia="仿宋"/>
          <w:color w:val="auto"/>
          <w:highlight w:val="none"/>
        </w:rPr>
      </w:pPr>
      <w:r>
        <w:rPr>
          <w:rFonts w:hint="eastAsia" w:ascii="仿宋" w:hAnsi="仿宋" w:eastAsia="仿宋" w:cs="仿宋_GB2312"/>
          <w:color w:val="auto"/>
          <w:highlight w:val="none"/>
        </w:rPr>
        <w:t>３.</w:t>
      </w:r>
      <w:r>
        <w:rPr>
          <w:rFonts w:hint="eastAsia" w:ascii="仿宋" w:hAnsi="仿宋" w:eastAsia="仿宋"/>
          <w:color w:val="auto"/>
          <w:highlight w:val="none"/>
        </w:rPr>
        <w:t>严格执行利益回避制度，贵单位负责公款竞争性存放相关人员的配偶、子女及其配偶和其他直接利益相关人员为本行工作人员的，不参与公款竞争性存放工作；</w:t>
      </w:r>
    </w:p>
    <w:p>
      <w:pPr>
        <w:spacing w:line="360" w:lineRule="auto"/>
        <w:ind w:firstLine="480" w:firstLineChars="200"/>
        <w:jc w:val="both"/>
        <w:rPr>
          <w:rFonts w:ascii="仿宋" w:hAnsi="仿宋" w:eastAsia="仿宋" w:cs="仿宋_GB2312"/>
          <w:color w:val="auto"/>
          <w:highlight w:val="none"/>
        </w:rPr>
      </w:pPr>
      <w:r>
        <w:rPr>
          <w:rFonts w:hint="eastAsia" w:ascii="仿宋" w:hAnsi="仿宋" w:eastAsia="仿宋" w:cs="仿宋_GB2312"/>
          <w:color w:val="auto"/>
          <w:highlight w:val="none"/>
        </w:rPr>
        <w:t>４.不发生除上述行为之外的其他任何利益输送行为。</w:t>
      </w:r>
    </w:p>
    <w:p>
      <w:pPr>
        <w:spacing w:line="360" w:lineRule="auto"/>
        <w:ind w:firstLine="480" w:firstLineChars="200"/>
        <w:jc w:val="both"/>
        <w:rPr>
          <w:rFonts w:ascii="仿宋" w:hAnsi="仿宋" w:eastAsia="仿宋" w:cs="仿宋_GB2312"/>
          <w:color w:val="auto"/>
          <w:highlight w:val="none"/>
        </w:rPr>
      </w:pPr>
      <w:r>
        <w:rPr>
          <w:rFonts w:hint="eastAsia" w:ascii="仿宋" w:hAnsi="仿宋" w:eastAsia="仿宋" w:cs="仿宋_GB2312"/>
          <w:color w:val="auto"/>
          <w:highlight w:val="none"/>
        </w:rPr>
        <w:t>未遵守以上承诺的，本行自愿接受财政部门处理，承担相应的一切后果。</w:t>
      </w:r>
    </w:p>
    <w:p>
      <w:pPr>
        <w:ind w:firstLine="660"/>
        <w:rPr>
          <w:rFonts w:ascii="仿宋" w:hAnsi="仿宋" w:eastAsia="仿宋" w:cs="仿宋_GB2312"/>
          <w:color w:val="auto"/>
          <w:highlight w:val="none"/>
        </w:rPr>
      </w:pPr>
    </w:p>
    <w:p>
      <w:pPr>
        <w:ind w:firstLine="660"/>
        <w:rPr>
          <w:rFonts w:cs="仿宋_GB2312"/>
          <w:color w:val="auto"/>
          <w:highlight w:val="none"/>
        </w:rPr>
      </w:pPr>
    </w:p>
    <w:p>
      <w:pPr>
        <w:ind w:firstLine="660"/>
        <w:rPr>
          <w:rFonts w:cs="仿宋_GB2312"/>
          <w:color w:val="auto"/>
          <w:highlight w:val="none"/>
        </w:rPr>
      </w:pPr>
    </w:p>
    <w:p>
      <w:pPr>
        <w:ind w:firstLine="660"/>
        <w:rPr>
          <w:rFonts w:cs="仿宋_GB2312"/>
          <w:color w:val="auto"/>
          <w:highlight w:val="none"/>
        </w:rPr>
      </w:pPr>
    </w:p>
    <w:p>
      <w:pPr>
        <w:ind w:firstLine="660"/>
        <w:rPr>
          <w:rFonts w:cs="仿宋_GB2312"/>
          <w:color w:val="auto"/>
          <w:highlight w:val="none"/>
        </w:rPr>
      </w:pPr>
    </w:p>
    <w:p>
      <w:pPr>
        <w:ind w:firstLine="660"/>
        <w:rPr>
          <w:rFonts w:cs="仿宋_GB2312"/>
          <w:color w:val="auto"/>
          <w:highlight w:val="none"/>
        </w:rPr>
      </w:pPr>
    </w:p>
    <w:p>
      <w:pPr>
        <w:ind w:firstLine="4080" w:firstLineChars="1700"/>
        <w:jc w:val="right"/>
        <w:rPr>
          <w:rFonts w:cs="仿宋_GB2312"/>
          <w:color w:val="auto"/>
          <w:highlight w:val="none"/>
        </w:rPr>
      </w:pPr>
      <w:r>
        <w:rPr>
          <w:rFonts w:hint="eastAsia"/>
          <w:color w:val="auto"/>
          <w:highlight w:val="none"/>
        </w:rPr>
        <w:t>投标人全称（电子签章）</w:t>
      </w:r>
      <w:r>
        <w:rPr>
          <w:rFonts w:hint="eastAsia" w:cs="仿宋_GB2312"/>
          <w:color w:val="auto"/>
          <w:highlight w:val="none"/>
        </w:rPr>
        <w:t>：</w:t>
      </w:r>
    </w:p>
    <w:p>
      <w:pPr>
        <w:jc w:val="right"/>
        <w:rPr>
          <w:rFonts w:cs="仿宋_GB2312"/>
          <w:color w:val="auto"/>
          <w:kern w:val="0"/>
          <w:highlight w:val="none"/>
        </w:rPr>
      </w:pPr>
      <w:r>
        <w:rPr>
          <w:rFonts w:hint="eastAsia" w:cs="仿宋_GB2312"/>
          <w:color w:val="auto"/>
          <w:highlight w:val="none"/>
        </w:rPr>
        <w:t xml:space="preserve">年 </w:t>
      </w:r>
      <w:r>
        <w:rPr>
          <w:rFonts w:cs="仿宋_GB2312"/>
          <w:color w:val="auto"/>
          <w:highlight w:val="none"/>
        </w:rPr>
        <w:t xml:space="preserve"> </w:t>
      </w:r>
      <w:r>
        <w:rPr>
          <w:rFonts w:hint="eastAsia" w:cs="仿宋_GB2312"/>
          <w:color w:val="auto"/>
          <w:highlight w:val="none"/>
        </w:rPr>
        <w:t xml:space="preserve">月 </w:t>
      </w:r>
      <w:r>
        <w:rPr>
          <w:rFonts w:cs="仿宋_GB2312"/>
          <w:color w:val="auto"/>
          <w:highlight w:val="none"/>
        </w:rPr>
        <w:t xml:space="preserve"> </w:t>
      </w:r>
      <w:r>
        <w:rPr>
          <w:rFonts w:hint="eastAsia" w:cs="仿宋_GB2312"/>
          <w:color w:val="auto"/>
          <w:highlight w:val="none"/>
        </w:rPr>
        <w:t>日</w:t>
      </w:r>
    </w:p>
    <w:p>
      <w:pPr>
        <w:spacing w:line="500" w:lineRule="exact"/>
        <w:rPr>
          <w:rFonts w:cs="宋体"/>
          <w:color w:val="auto"/>
          <w:highlight w:val="none"/>
        </w:rPr>
      </w:pPr>
    </w:p>
    <w:p>
      <w:pPr>
        <w:spacing w:line="500" w:lineRule="exact"/>
        <w:rPr>
          <w:rFonts w:cs="宋体"/>
          <w:color w:val="auto"/>
          <w:highlight w:val="none"/>
        </w:rPr>
      </w:pPr>
    </w:p>
    <w:p>
      <w:pPr>
        <w:spacing w:line="500" w:lineRule="exact"/>
        <w:rPr>
          <w:rFonts w:cs="宋体"/>
          <w:color w:val="auto"/>
          <w:highlight w:val="none"/>
        </w:rPr>
      </w:pPr>
    </w:p>
    <w:p>
      <w:pPr>
        <w:spacing w:line="500" w:lineRule="exact"/>
        <w:rPr>
          <w:rFonts w:cs="宋体"/>
          <w:b/>
          <w:color w:val="auto"/>
          <w:kern w:val="0"/>
          <w:sz w:val="30"/>
          <w:szCs w:val="30"/>
          <w:highlight w:val="none"/>
        </w:rPr>
      </w:pPr>
    </w:p>
    <w:p>
      <w:pPr>
        <w:spacing w:line="500" w:lineRule="exact"/>
        <w:rPr>
          <w:rFonts w:cs="宋体"/>
          <w:b/>
          <w:color w:val="auto"/>
          <w:kern w:val="0"/>
          <w:sz w:val="30"/>
          <w:szCs w:val="30"/>
          <w:highlight w:val="none"/>
        </w:rPr>
      </w:pPr>
    </w:p>
    <w:p>
      <w:pPr>
        <w:spacing w:line="440" w:lineRule="exact"/>
        <w:jc w:val="center"/>
        <w:rPr>
          <w:rFonts w:hint="eastAsia" w:cs="方正小标宋简体"/>
          <w:b/>
          <w:color w:val="auto"/>
          <w:sz w:val="30"/>
          <w:szCs w:val="30"/>
          <w:highlight w:val="none"/>
        </w:rPr>
      </w:pPr>
    </w:p>
    <w:p>
      <w:pPr>
        <w:spacing w:line="440" w:lineRule="exact"/>
        <w:jc w:val="center"/>
        <w:rPr>
          <w:rFonts w:hint="eastAsia" w:cs="方正小标宋简体"/>
          <w:b/>
          <w:color w:val="auto"/>
          <w:sz w:val="30"/>
          <w:szCs w:val="30"/>
          <w:highlight w:val="none"/>
        </w:rPr>
      </w:pPr>
      <w:r>
        <w:rPr>
          <w:rFonts w:hint="eastAsia" w:cs="方正小标宋简体"/>
          <w:b/>
          <w:color w:val="auto"/>
          <w:sz w:val="30"/>
          <w:szCs w:val="30"/>
          <w:highlight w:val="none"/>
        </w:rPr>
        <w:t>投 标 承 诺 函</w:t>
      </w:r>
    </w:p>
    <w:p>
      <w:pPr>
        <w:spacing w:line="440" w:lineRule="exact"/>
        <w:jc w:val="left"/>
        <w:rPr>
          <w:rFonts w:hint="eastAsia" w:eastAsia="仿宋" w:cs="方正小标宋简体"/>
          <w:b/>
          <w:color w:val="auto"/>
          <w:sz w:val="30"/>
          <w:szCs w:val="30"/>
          <w:highlight w:val="none"/>
          <w:lang w:eastAsia="zh-CN"/>
        </w:rPr>
      </w:pPr>
      <w:r>
        <w:rPr>
          <w:rFonts w:hint="eastAsia" w:cs="方正小标宋简体"/>
          <w:b/>
          <w:color w:val="auto"/>
          <w:sz w:val="30"/>
          <w:szCs w:val="30"/>
          <w:highlight w:val="none"/>
        </w:rPr>
        <w:t>致：</w:t>
      </w:r>
      <w:r>
        <w:rPr>
          <w:rFonts w:hint="eastAsia"/>
          <w:color w:val="auto"/>
          <w:highlight w:val="none"/>
          <w:u w:val="single"/>
          <w:lang w:eastAsia="zh-CN"/>
        </w:rPr>
        <w:t> 杭州市富阳区第三人民医院、浙江中诚工程管理科技有限公司</w:t>
      </w:r>
    </w:p>
    <w:p>
      <w:pPr>
        <w:spacing w:line="500" w:lineRule="exact"/>
        <w:rPr>
          <w:rFonts w:cs="仿宋_GB2312"/>
          <w:color w:val="auto"/>
          <w:highlight w:val="none"/>
        </w:rPr>
      </w:pPr>
      <w:r>
        <w:rPr>
          <w:rFonts w:hint="eastAsia" w:cs="仿宋_GB2312"/>
          <w:color w:val="auto"/>
          <w:highlight w:val="none"/>
        </w:rPr>
        <w:t xml:space="preserve">     </w:t>
      </w:r>
      <w:r>
        <w:rPr>
          <w:rFonts w:hint="eastAsia" w:cs="仿宋_GB2312"/>
          <w:color w:val="auto"/>
          <w:highlight w:val="none"/>
          <w:u w:val="single"/>
        </w:rPr>
        <w:t xml:space="preserve">                                 </w:t>
      </w:r>
      <w:r>
        <w:rPr>
          <w:rFonts w:hint="eastAsia" w:cs="仿宋_GB2312"/>
          <w:color w:val="auto"/>
          <w:highlight w:val="none"/>
        </w:rPr>
        <w:t>（投标人全称）授权</w:t>
      </w:r>
      <w:r>
        <w:rPr>
          <w:rFonts w:hint="eastAsia" w:cs="仿宋_GB2312"/>
          <w:color w:val="auto"/>
          <w:highlight w:val="none"/>
          <w:u w:val="single"/>
        </w:rPr>
        <w:t xml:space="preserve">                    </w:t>
      </w:r>
      <w:r>
        <w:rPr>
          <w:rFonts w:hint="eastAsia" w:cs="仿宋_GB2312"/>
          <w:color w:val="auto"/>
          <w:highlight w:val="none"/>
        </w:rPr>
        <w:t xml:space="preserve"> </w:t>
      </w:r>
    </w:p>
    <w:p>
      <w:pPr>
        <w:spacing w:line="500" w:lineRule="exact"/>
        <w:rPr>
          <w:rFonts w:cs="仿宋_GB2312"/>
          <w:b/>
          <w:bCs/>
          <w:color w:val="auto"/>
          <w:kern w:val="44"/>
          <w:highlight w:val="none"/>
        </w:rPr>
      </w:pPr>
      <w:r>
        <w:rPr>
          <w:rFonts w:hint="eastAsia" w:cs="仿宋_GB2312"/>
          <w:color w:val="auto"/>
          <w:highlight w:val="none"/>
        </w:rPr>
        <w:t>（全权代表姓名）</w:t>
      </w:r>
      <w:r>
        <w:rPr>
          <w:rFonts w:hint="eastAsia" w:cs="仿宋_GB2312"/>
          <w:color w:val="auto"/>
          <w:highlight w:val="none"/>
          <w:u w:val="single"/>
        </w:rPr>
        <w:t xml:space="preserve">             </w:t>
      </w:r>
      <w:r>
        <w:rPr>
          <w:rFonts w:hint="eastAsia" w:cs="仿宋_GB2312"/>
          <w:color w:val="auto"/>
          <w:highlight w:val="none"/>
        </w:rPr>
        <w:t xml:space="preserve"> （职务、职称）为全权代表，参加贵方组织的</w:t>
      </w:r>
      <w:r>
        <w:rPr>
          <w:rFonts w:hint="eastAsia"/>
          <w:color w:val="auto"/>
          <w:highlight w:val="none"/>
          <w:u w:val="single"/>
          <w:lang w:eastAsia="zh-CN"/>
        </w:rPr>
        <w:t>杭州市富阳区第三人民医院基本账户、专用账户（工会）招标项目</w:t>
      </w:r>
      <w:r>
        <w:rPr>
          <w:rFonts w:hint="eastAsia" w:cs="仿宋_GB2312"/>
          <w:color w:val="auto"/>
          <w:highlight w:val="none"/>
        </w:rPr>
        <w:t>招标的有关活动，并对此项目进行投标。为此我行承诺：</w:t>
      </w:r>
    </w:p>
    <w:p>
      <w:pPr>
        <w:spacing w:line="500" w:lineRule="exact"/>
        <w:ind w:firstLine="480" w:firstLineChars="200"/>
        <w:rPr>
          <w:rFonts w:cs="仿宋_GB2312"/>
          <w:color w:val="auto"/>
          <w:highlight w:val="none"/>
        </w:rPr>
      </w:pPr>
      <w:r>
        <w:rPr>
          <w:rFonts w:hint="eastAsia" w:cs="仿宋_GB2312"/>
          <w:color w:val="auto"/>
          <w:highlight w:val="none"/>
        </w:rPr>
        <w:t>1、根据贵单位的招标文件，我行认真阅读、研究招标文件后，参与本项目的投标,我行将按招标文件的规定履行协议责任和义务。</w:t>
      </w:r>
    </w:p>
    <w:p>
      <w:pPr>
        <w:spacing w:line="500" w:lineRule="exact"/>
        <w:ind w:firstLine="480" w:firstLineChars="200"/>
        <w:rPr>
          <w:rFonts w:cs="仿宋_GB2312"/>
          <w:color w:val="auto"/>
          <w:highlight w:val="none"/>
        </w:rPr>
      </w:pPr>
      <w:r>
        <w:rPr>
          <w:rFonts w:hint="eastAsia" w:cs="仿宋_GB2312"/>
          <w:color w:val="auto"/>
          <w:highlight w:val="none"/>
        </w:rPr>
        <w:t>2、我行已详细审核全部招标文件及有关附件和补充文件内容，均无疑义。</w:t>
      </w:r>
    </w:p>
    <w:p>
      <w:pPr>
        <w:spacing w:line="500" w:lineRule="exact"/>
        <w:ind w:firstLine="480" w:firstLineChars="200"/>
        <w:rPr>
          <w:rFonts w:cs="仿宋_GB2312"/>
          <w:color w:val="auto"/>
          <w:highlight w:val="none"/>
        </w:rPr>
      </w:pPr>
      <w:r>
        <w:rPr>
          <w:rFonts w:hint="eastAsia" w:cs="仿宋_GB2312"/>
          <w:color w:val="auto"/>
          <w:highlight w:val="none"/>
        </w:rPr>
        <w:t>3、提供编制和提交投标文件须知规定的全部投标文件。</w:t>
      </w:r>
    </w:p>
    <w:p>
      <w:pPr>
        <w:spacing w:line="500" w:lineRule="exact"/>
        <w:ind w:firstLine="480" w:firstLineChars="200"/>
        <w:rPr>
          <w:rFonts w:cs="仿宋_GB2312"/>
          <w:color w:val="auto"/>
          <w:highlight w:val="none"/>
          <w:u w:val="single"/>
        </w:rPr>
      </w:pPr>
      <w:r>
        <w:rPr>
          <w:rFonts w:hint="eastAsia" w:cs="仿宋_GB2312"/>
          <w:color w:val="auto"/>
          <w:highlight w:val="none"/>
        </w:rPr>
        <w:t>4、保证遵守招标文件中的其他有关规定。</w:t>
      </w:r>
    </w:p>
    <w:p>
      <w:pPr>
        <w:spacing w:line="500" w:lineRule="exact"/>
        <w:ind w:firstLine="480" w:firstLineChars="200"/>
        <w:rPr>
          <w:rFonts w:cs="仿宋_GB2312"/>
          <w:color w:val="auto"/>
          <w:highlight w:val="none"/>
        </w:rPr>
      </w:pPr>
      <w:r>
        <w:rPr>
          <w:rFonts w:hint="eastAsia" w:cs="仿宋_GB2312"/>
          <w:color w:val="auto"/>
          <w:highlight w:val="none"/>
        </w:rPr>
        <w:t>5、如果我行中标，我行无条件同意按照招标文件所附的合同协议签订。</w:t>
      </w:r>
    </w:p>
    <w:p>
      <w:pPr>
        <w:spacing w:line="500" w:lineRule="exact"/>
        <w:ind w:firstLine="480" w:firstLineChars="200"/>
        <w:rPr>
          <w:rFonts w:cs="仿宋_GB2312"/>
          <w:color w:val="auto"/>
          <w:highlight w:val="none"/>
        </w:rPr>
      </w:pPr>
      <w:r>
        <w:rPr>
          <w:rFonts w:hint="eastAsia" w:cs="仿宋_GB2312"/>
          <w:color w:val="auto"/>
          <w:highlight w:val="none"/>
        </w:rPr>
        <w:t>6、本投标有效期为自开标日起</w:t>
      </w:r>
      <w:r>
        <w:rPr>
          <w:rFonts w:hint="eastAsia" w:cs="仿宋_GB2312"/>
          <w:color w:val="auto"/>
          <w:highlight w:val="none"/>
          <w:u w:val="single"/>
        </w:rPr>
        <w:t>60</w:t>
      </w:r>
      <w:r>
        <w:rPr>
          <w:rFonts w:hint="eastAsia" w:cs="仿宋_GB2312"/>
          <w:color w:val="auto"/>
          <w:highlight w:val="none"/>
        </w:rPr>
        <w:t>个日历天，本投标文件及相应承诺在投标有效期满之前均对我行具有约束力。</w:t>
      </w:r>
    </w:p>
    <w:p>
      <w:pPr>
        <w:spacing w:line="500" w:lineRule="exact"/>
        <w:ind w:firstLine="480" w:firstLineChars="200"/>
        <w:rPr>
          <w:rFonts w:cs="仿宋_GB2312"/>
          <w:color w:val="auto"/>
          <w:highlight w:val="none"/>
        </w:rPr>
      </w:pPr>
      <w:r>
        <w:rPr>
          <w:rFonts w:hint="eastAsia" w:cs="仿宋_GB2312"/>
          <w:color w:val="auto"/>
          <w:highlight w:val="none"/>
        </w:rPr>
        <w:t>7、我行承诺所提供的所有证明文件真实可靠，如有弄虚作假的，我行愿意承担一切后果，并赔偿由此给招标人造成的损失。</w:t>
      </w:r>
    </w:p>
    <w:p>
      <w:pPr>
        <w:spacing w:line="500" w:lineRule="exact"/>
        <w:rPr>
          <w:rFonts w:cs="仿宋_GB2312"/>
          <w:color w:val="auto"/>
          <w:highlight w:val="none"/>
        </w:rPr>
      </w:pPr>
    </w:p>
    <w:p>
      <w:pPr>
        <w:spacing w:line="500" w:lineRule="exact"/>
        <w:rPr>
          <w:rFonts w:cs="仿宋_GB2312"/>
          <w:color w:val="auto"/>
          <w:highlight w:val="none"/>
          <w:u w:val="single"/>
        </w:rPr>
      </w:pPr>
      <w:r>
        <w:rPr>
          <w:rFonts w:hint="eastAsia" w:cs="仿宋_GB2312"/>
          <w:color w:val="auto"/>
          <w:highlight w:val="none"/>
        </w:rPr>
        <w:t>法定代表人（或主要负责人）或授权委托人签字或盖章：</w:t>
      </w:r>
      <w:r>
        <w:rPr>
          <w:rFonts w:hint="eastAsia" w:cs="仿宋_GB2312"/>
          <w:color w:val="auto"/>
          <w:highlight w:val="none"/>
          <w:u w:val="single"/>
        </w:rPr>
        <w:t xml:space="preserve">                           </w:t>
      </w:r>
    </w:p>
    <w:p>
      <w:pPr>
        <w:spacing w:line="500" w:lineRule="exact"/>
        <w:rPr>
          <w:rFonts w:cs="仿宋_GB2312"/>
          <w:color w:val="auto"/>
          <w:highlight w:val="none"/>
          <w:u w:val="single"/>
        </w:rPr>
      </w:pPr>
      <w:r>
        <w:rPr>
          <w:rFonts w:hint="eastAsia" w:cs="仿宋_GB2312"/>
          <w:color w:val="auto"/>
          <w:highlight w:val="none"/>
        </w:rPr>
        <w:t>单位公章：</w:t>
      </w:r>
      <w:r>
        <w:rPr>
          <w:rFonts w:hint="eastAsia" w:cs="仿宋_GB2312"/>
          <w:color w:val="auto"/>
          <w:highlight w:val="none"/>
          <w:u w:val="single"/>
        </w:rPr>
        <w:t xml:space="preserve">                                                                    </w:t>
      </w:r>
    </w:p>
    <w:p>
      <w:pPr>
        <w:spacing w:line="500" w:lineRule="exact"/>
        <w:rPr>
          <w:rFonts w:cs="仿宋_GB2312"/>
          <w:color w:val="auto"/>
          <w:highlight w:val="none"/>
          <w:u w:val="single"/>
        </w:rPr>
      </w:pPr>
      <w:r>
        <w:rPr>
          <w:rFonts w:hint="eastAsia" w:cs="仿宋_GB2312"/>
          <w:color w:val="auto"/>
          <w:highlight w:val="none"/>
        </w:rPr>
        <w:t>联 系 人：</w:t>
      </w:r>
      <w:r>
        <w:rPr>
          <w:rFonts w:hint="eastAsia" w:cs="仿宋_GB2312"/>
          <w:color w:val="auto"/>
          <w:highlight w:val="none"/>
          <w:u w:val="single"/>
        </w:rPr>
        <w:t xml:space="preserve">                          </w:t>
      </w:r>
      <w:r>
        <w:rPr>
          <w:rFonts w:hint="eastAsia" w:cs="仿宋_GB2312"/>
          <w:color w:val="auto"/>
          <w:highlight w:val="none"/>
        </w:rPr>
        <w:t xml:space="preserve"> 联系电话：</w:t>
      </w:r>
      <w:r>
        <w:rPr>
          <w:rFonts w:hint="eastAsia" w:cs="仿宋_GB2312"/>
          <w:color w:val="auto"/>
          <w:highlight w:val="none"/>
          <w:u w:val="single"/>
        </w:rPr>
        <w:t xml:space="preserve">                              </w:t>
      </w:r>
      <w:r>
        <w:rPr>
          <w:rFonts w:hint="eastAsia" w:cs="仿宋_GB2312"/>
          <w:color w:val="auto"/>
          <w:highlight w:val="none"/>
        </w:rPr>
        <w:t xml:space="preserve">                                                                                                           </w:t>
      </w:r>
    </w:p>
    <w:p>
      <w:pPr>
        <w:spacing w:line="500" w:lineRule="exact"/>
        <w:rPr>
          <w:rFonts w:cs="仿宋_GB2312"/>
          <w:color w:val="auto"/>
          <w:highlight w:val="none"/>
        </w:rPr>
      </w:pPr>
      <w:r>
        <w:rPr>
          <w:rFonts w:hint="eastAsia" w:cs="仿宋_GB2312"/>
          <w:color w:val="auto"/>
          <w:highlight w:val="none"/>
        </w:rPr>
        <w:t>联系地址：</w:t>
      </w:r>
      <w:r>
        <w:rPr>
          <w:rFonts w:hint="eastAsia" w:cs="仿宋_GB2312"/>
          <w:color w:val="auto"/>
          <w:highlight w:val="none"/>
          <w:u w:val="single"/>
        </w:rPr>
        <w:t xml:space="preserve">                                                                     </w:t>
      </w:r>
      <w:r>
        <w:rPr>
          <w:rFonts w:hint="eastAsia" w:cs="仿宋_GB2312"/>
          <w:color w:val="auto"/>
          <w:highlight w:val="none"/>
        </w:rPr>
        <w:t xml:space="preserve">            </w:t>
      </w:r>
    </w:p>
    <w:p>
      <w:pPr>
        <w:spacing w:line="500" w:lineRule="exact"/>
        <w:rPr>
          <w:rFonts w:cs="仿宋_GB2312"/>
          <w:color w:val="auto"/>
          <w:highlight w:val="none"/>
        </w:rPr>
      </w:pPr>
      <w:r>
        <w:rPr>
          <w:rFonts w:hint="eastAsia" w:cs="仿宋_GB2312"/>
          <w:color w:val="auto"/>
          <w:highlight w:val="none"/>
        </w:rPr>
        <w:t>邮政编码：</w:t>
      </w:r>
      <w:r>
        <w:rPr>
          <w:rFonts w:hint="eastAsia" w:cs="仿宋_GB2312"/>
          <w:color w:val="auto"/>
          <w:highlight w:val="none"/>
          <w:u w:val="single"/>
        </w:rPr>
        <w:t xml:space="preserve">                          </w:t>
      </w:r>
      <w:r>
        <w:rPr>
          <w:rFonts w:hint="eastAsia" w:cs="仿宋_GB2312"/>
          <w:color w:val="auto"/>
          <w:highlight w:val="none"/>
        </w:rPr>
        <w:t xml:space="preserve"> 传真号码：</w:t>
      </w:r>
      <w:r>
        <w:rPr>
          <w:rFonts w:hint="eastAsia" w:cs="仿宋_GB2312"/>
          <w:color w:val="auto"/>
          <w:highlight w:val="none"/>
          <w:u w:val="single"/>
        </w:rPr>
        <w:t xml:space="preserve">                              </w:t>
      </w:r>
      <w:r>
        <w:rPr>
          <w:rFonts w:hint="eastAsia" w:cs="仿宋_GB2312"/>
          <w:color w:val="auto"/>
          <w:highlight w:val="none"/>
        </w:rPr>
        <w:t xml:space="preserve">   </w:t>
      </w:r>
    </w:p>
    <w:p>
      <w:pPr>
        <w:spacing w:line="500" w:lineRule="exact"/>
        <w:rPr>
          <w:rFonts w:cs="仿宋_GB2312"/>
          <w:color w:val="auto"/>
          <w:highlight w:val="none"/>
          <w:u w:val="single"/>
        </w:rPr>
      </w:pPr>
      <w:r>
        <w:rPr>
          <w:rFonts w:hint="eastAsia" w:cs="仿宋_GB2312"/>
          <w:color w:val="auto"/>
          <w:highlight w:val="none"/>
        </w:rPr>
        <w:t>日    期：</w:t>
      </w:r>
      <w:r>
        <w:rPr>
          <w:rFonts w:hint="eastAsia" w:cs="仿宋_GB2312"/>
          <w:color w:val="auto"/>
          <w:highlight w:val="none"/>
          <w:u w:val="single"/>
        </w:rPr>
        <w:t xml:space="preserve">               </w:t>
      </w:r>
      <w:r>
        <w:rPr>
          <w:rFonts w:hint="eastAsia" w:cs="仿宋_GB2312"/>
          <w:color w:val="auto"/>
          <w:highlight w:val="none"/>
        </w:rPr>
        <w:t xml:space="preserve">年 </w:t>
      </w:r>
      <w:r>
        <w:rPr>
          <w:rFonts w:hint="eastAsia" w:cs="仿宋_GB2312"/>
          <w:color w:val="auto"/>
          <w:highlight w:val="none"/>
          <w:u w:val="single"/>
        </w:rPr>
        <w:t xml:space="preserve">       </w:t>
      </w:r>
      <w:r>
        <w:rPr>
          <w:rFonts w:hint="eastAsia" w:cs="仿宋_GB2312"/>
          <w:color w:val="auto"/>
          <w:highlight w:val="none"/>
        </w:rPr>
        <w:t xml:space="preserve"> 月 </w:t>
      </w:r>
      <w:r>
        <w:rPr>
          <w:rFonts w:hint="eastAsia" w:cs="仿宋_GB2312"/>
          <w:color w:val="auto"/>
          <w:highlight w:val="none"/>
          <w:u w:val="single"/>
        </w:rPr>
        <w:t xml:space="preserve">       </w:t>
      </w:r>
      <w:r>
        <w:rPr>
          <w:rFonts w:hint="eastAsia" w:cs="仿宋_GB2312"/>
          <w:color w:val="auto"/>
          <w:highlight w:val="none"/>
        </w:rPr>
        <w:t>日</w:t>
      </w:r>
      <w:r>
        <w:rPr>
          <w:rFonts w:hint="eastAsia" w:cs="仿宋_GB2312"/>
          <w:color w:val="auto"/>
          <w:highlight w:val="none"/>
          <w:u w:val="single"/>
        </w:rPr>
        <w:t xml:space="preserve">                            </w:t>
      </w:r>
    </w:p>
    <w:p>
      <w:pPr>
        <w:spacing w:before="156"/>
        <w:rPr>
          <w:rFonts w:hint="eastAsia" w:cs="宋体"/>
          <w:b/>
          <w:bCs/>
          <w:color w:val="auto"/>
          <w:kern w:val="0"/>
          <w:sz w:val="36"/>
          <w:szCs w:val="36"/>
          <w:highlight w:val="none"/>
        </w:rPr>
      </w:pPr>
      <w:r>
        <w:rPr>
          <w:rFonts w:hint="eastAsia" w:cs="仿宋_GB2312"/>
          <w:b/>
          <w:color w:val="auto"/>
          <w:highlight w:val="none"/>
        </w:rPr>
        <w:t>注：未按照本投标承诺函要求填报的将被视为非实质性响应投标，从而可能导致该投标被拒绝。</w:t>
      </w:r>
    </w:p>
    <w:p>
      <w:pPr>
        <w:spacing w:afterLines="100"/>
        <w:jc w:val="center"/>
        <w:rPr>
          <w:rFonts w:hint="eastAsia" w:cs="宋体"/>
          <w:b/>
          <w:bCs/>
          <w:color w:val="auto"/>
          <w:kern w:val="0"/>
          <w:sz w:val="36"/>
          <w:szCs w:val="36"/>
          <w:highlight w:val="none"/>
        </w:rPr>
      </w:pPr>
    </w:p>
    <w:p>
      <w:pPr>
        <w:spacing w:afterLines="100"/>
        <w:jc w:val="center"/>
        <w:rPr>
          <w:rFonts w:hint="eastAsia" w:cs="宋体"/>
          <w:b/>
          <w:bCs/>
          <w:color w:val="auto"/>
          <w:kern w:val="0"/>
          <w:sz w:val="36"/>
          <w:szCs w:val="36"/>
          <w:highlight w:val="none"/>
        </w:rPr>
      </w:pPr>
    </w:p>
    <w:p>
      <w:pPr>
        <w:spacing w:afterLines="100"/>
        <w:jc w:val="center"/>
        <w:rPr>
          <w:rFonts w:cs="宋体"/>
          <w:b/>
          <w:bCs/>
          <w:color w:val="auto"/>
          <w:kern w:val="0"/>
          <w:sz w:val="36"/>
          <w:szCs w:val="36"/>
          <w:highlight w:val="none"/>
        </w:rPr>
      </w:pPr>
      <w:r>
        <w:rPr>
          <w:rFonts w:hint="eastAsia" w:cs="宋体"/>
          <w:b/>
          <w:bCs/>
          <w:color w:val="auto"/>
          <w:kern w:val="0"/>
          <w:sz w:val="36"/>
          <w:szCs w:val="36"/>
          <w:highlight w:val="none"/>
        </w:rPr>
        <w:t>投标报价一览表</w:t>
      </w:r>
    </w:p>
    <w:p>
      <w:pPr>
        <w:spacing w:afterLines="50" w:line="500" w:lineRule="exact"/>
        <w:rPr>
          <w:rFonts w:cs="仿宋_GB2312"/>
          <w:b/>
          <w:color w:val="auto"/>
          <w:sz w:val="28"/>
          <w:szCs w:val="28"/>
          <w:highlight w:val="none"/>
          <w:lang w:val="zh-CN"/>
        </w:rPr>
      </w:pPr>
      <w:r>
        <w:rPr>
          <w:rFonts w:hint="eastAsia" w:cs="仿宋_GB2312"/>
          <w:b/>
          <w:color w:val="auto"/>
          <w:sz w:val="28"/>
          <w:szCs w:val="28"/>
          <w:highlight w:val="none"/>
          <w:lang w:eastAsia="zh-CN"/>
        </w:rPr>
        <w:t> 杭州市富阳区第三人民医院、浙江中诚工程管理科技有限公司</w:t>
      </w:r>
      <w:r>
        <w:rPr>
          <w:rFonts w:hint="eastAsia" w:cs="仿宋_GB2312"/>
          <w:b/>
          <w:color w:val="auto"/>
          <w:sz w:val="28"/>
          <w:szCs w:val="28"/>
          <w:highlight w:val="none"/>
          <w:lang w:val="zh-CN"/>
        </w:rPr>
        <w:t>:</w:t>
      </w:r>
    </w:p>
    <w:p>
      <w:pPr>
        <w:spacing w:line="500" w:lineRule="exact"/>
        <w:ind w:firstLine="480" w:firstLineChars="200"/>
        <w:rPr>
          <w:rFonts w:cs="仿宋_GB2312"/>
          <w:color w:val="auto"/>
          <w:highlight w:val="none"/>
        </w:rPr>
      </w:pPr>
      <w:r>
        <w:rPr>
          <w:rFonts w:hint="eastAsia" w:cs="仿宋_GB2312"/>
          <w:color w:val="auto"/>
          <w:kern w:val="0"/>
          <w:highlight w:val="none"/>
          <w:lang w:val="zh-CN"/>
        </w:rPr>
        <w:t>按你方招标文件要求，谨此向你方发出要约如下:如你方接受本投标，我方承诺按照如下投标报价一览表完成</w:t>
      </w:r>
      <w:r>
        <w:rPr>
          <w:rFonts w:hint="eastAsia"/>
          <w:color w:val="auto"/>
          <w:highlight w:val="none"/>
          <w:u w:val="single"/>
          <w:lang w:eastAsia="zh-CN"/>
        </w:rPr>
        <w:t>杭州市富阳区第三人民医院基本账户、专用账户（工会）招标项目</w:t>
      </w:r>
      <w:r>
        <w:rPr>
          <w:rFonts w:hint="eastAsia" w:cs="仿宋_GB2312"/>
          <w:color w:val="auto"/>
          <w:kern w:val="0"/>
          <w:highlight w:val="none"/>
          <w:lang w:val="zh-CN"/>
        </w:rPr>
        <w:t>招标的实施。</w:t>
      </w:r>
    </w:p>
    <w:p>
      <w:pPr>
        <w:rPr>
          <w:rFonts w:cs="仿宋_GB2312"/>
          <w:color w:val="auto"/>
          <w:highlight w:val="none"/>
        </w:rPr>
      </w:pPr>
      <w:r>
        <w:rPr>
          <w:rFonts w:hint="eastAsia" w:cs="仿宋_GB2312"/>
          <w:color w:val="auto"/>
          <w:highlight w:val="none"/>
        </w:rPr>
        <w:t xml:space="preserve">                                   </w:t>
      </w:r>
    </w:p>
    <w:tbl>
      <w:tblPr>
        <w:tblStyle w:val="89"/>
        <w:tblW w:w="10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93"/>
        <w:gridCol w:w="4249"/>
        <w:gridCol w:w="3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25" w:type="dxa"/>
            <w:tcBorders>
              <w:top w:val="single" w:color="auto" w:sz="12"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s="仿宋_GB2312"/>
                <w:b/>
                <w:color w:val="auto"/>
                <w:highlight w:val="none"/>
              </w:rPr>
            </w:pPr>
            <w:r>
              <w:rPr>
                <w:rFonts w:hint="eastAsia" w:cs="仿宋_GB2312"/>
                <w:b/>
                <w:color w:val="auto"/>
                <w:highlight w:val="none"/>
              </w:rPr>
              <w:t>标的</w:t>
            </w:r>
          </w:p>
        </w:tc>
        <w:tc>
          <w:tcPr>
            <w:tcW w:w="1493"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s="仿宋_GB2312"/>
                <w:b/>
                <w:color w:val="auto"/>
                <w:highlight w:val="none"/>
              </w:rPr>
            </w:pPr>
            <w:r>
              <w:rPr>
                <w:rFonts w:hint="eastAsia" w:cs="仿宋_GB2312"/>
                <w:b/>
                <w:color w:val="auto"/>
                <w:highlight w:val="none"/>
              </w:rPr>
              <w:t>承诺项目</w:t>
            </w:r>
          </w:p>
        </w:tc>
        <w:tc>
          <w:tcPr>
            <w:tcW w:w="7864" w:type="dxa"/>
            <w:gridSpan w:val="2"/>
            <w:tcBorders>
              <w:top w:val="single" w:color="auto" w:sz="12"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ind w:left="0" w:right="0"/>
              <w:jc w:val="center"/>
              <w:rPr>
                <w:rFonts w:hint="eastAsia" w:cs="仿宋_GB2312"/>
                <w:b/>
                <w:color w:val="auto"/>
                <w:highlight w:val="none"/>
              </w:rPr>
            </w:pPr>
            <w:r>
              <w:rPr>
                <w:rFonts w:hint="eastAsia" w:cs="仿宋_GB2312"/>
                <w:b/>
                <w:color w:val="auto"/>
                <w:highlight w:val="none"/>
              </w:rPr>
              <w:t>优惠率或服务承诺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25" w:type="dxa"/>
            <w:vMerge w:val="restart"/>
            <w:tcBorders>
              <w:top w:val="single" w:color="auto" w:sz="4" w:space="0"/>
              <w:left w:val="single" w:color="auto" w:sz="12" w:space="0"/>
              <w:right w:val="single" w:color="auto" w:sz="4" w:space="0"/>
            </w:tcBorders>
            <w:vAlign w:val="center"/>
          </w:tcPr>
          <w:p>
            <w:pPr>
              <w:keepNext w:val="0"/>
              <w:keepLines w:val="0"/>
              <w:suppressLineNumbers w:val="0"/>
              <w:spacing w:before="0" w:beforeAutospacing="0" w:after="0" w:afterAutospacing="0"/>
              <w:ind w:left="0" w:right="0"/>
              <w:rPr>
                <w:rFonts w:hint="default" w:cs="仿宋_GB2312"/>
                <w:color w:val="auto"/>
                <w:highlight w:val="none"/>
              </w:rPr>
            </w:pPr>
            <w:r>
              <w:rPr>
                <w:rFonts w:hint="eastAsia" w:cs="仿宋_GB2312"/>
                <w:color w:val="auto"/>
                <w:highlight w:val="none"/>
              </w:rPr>
              <w:t>账户开立</w:t>
            </w:r>
          </w:p>
        </w:tc>
        <w:tc>
          <w:tcPr>
            <w:tcW w:w="14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s="仿宋_GB2312"/>
                <w:color w:val="auto"/>
                <w:highlight w:val="none"/>
              </w:rPr>
            </w:pPr>
            <w:r>
              <w:rPr>
                <w:rFonts w:hint="eastAsia" w:cs="仿宋_GB2312"/>
                <w:color w:val="auto"/>
                <w:highlight w:val="none"/>
              </w:rPr>
              <w:t>基准利率</w:t>
            </w:r>
          </w:p>
        </w:tc>
        <w:tc>
          <w:tcPr>
            <w:tcW w:w="7864" w:type="dxa"/>
            <w:gridSpan w:val="2"/>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ind w:left="0" w:right="0"/>
              <w:rPr>
                <w:rFonts w:hint="eastAsia" w:cs="仿宋_GB2312"/>
                <w:color w:val="auto"/>
                <w:highlight w:val="none"/>
              </w:rPr>
            </w:pPr>
            <w:r>
              <w:rPr>
                <w:rFonts w:hint="eastAsia" w:cs="仿宋_GB2312"/>
                <w:color w:val="auto"/>
                <w:highlight w:val="none"/>
              </w:rPr>
              <w:t>以中国人民银行公告的基准利率为准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825" w:type="dxa"/>
            <w:vMerge w:val="continue"/>
            <w:tcBorders>
              <w:left w:val="single" w:color="auto" w:sz="12" w:space="0"/>
              <w:right w:val="single" w:color="auto" w:sz="4" w:space="0"/>
            </w:tcBorders>
            <w:vAlign w:val="center"/>
          </w:tcPr>
          <w:p>
            <w:pPr>
              <w:keepNext w:val="0"/>
              <w:keepLines w:val="0"/>
              <w:suppressLineNumbers w:val="0"/>
              <w:spacing w:before="0" w:beforeAutospacing="0" w:after="0" w:afterAutospacing="0"/>
              <w:ind w:left="0" w:right="0"/>
              <w:rPr>
                <w:rFonts w:hint="default" w:cs="仿宋_GB2312"/>
                <w:color w:val="auto"/>
                <w:highlight w:val="none"/>
              </w:rPr>
            </w:pPr>
          </w:p>
        </w:tc>
        <w:tc>
          <w:tcPr>
            <w:tcW w:w="1493"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cs="仿宋_GB2312"/>
                <w:color w:val="auto"/>
                <w:highlight w:val="none"/>
              </w:rPr>
            </w:pPr>
            <w:r>
              <w:rPr>
                <w:rFonts w:hint="eastAsia" w:cs="仿宋_GB2312"/>
                <w:color w:val="auto"/>
                <w:highlight w:val="none"/>
              </w:rPr>
              <w:t>账户资金收益</w:t>
            </w:r>
          </w:p>
        </w:tc>
        <w:tc>
          <w:tcPr>
            <w:tcW w:w="4249"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ind w:left="0" w:right="0"/>
              <w:rPr>
                <w:rFonts w:hint="default" w:cs="仿宋_GB2312"/>
                <w:color w:val="auto"/>
                <w:highlight w:val="none"/>
              </w:rPr>
            </w:pPr>
            <w:r>
              <w:rPr>
                <w:rFonts w:hint="eastAsia" w:cs="宋体"/>
                <w:color w:val="auto"/>
                <w:kern w:val="0"/>
                <w:highlight w:val="none"/>
              </w:rPr>
              <w:t>活期存款较</w:t>
            </w:r>
            <w:r>
              <w:rPr>
                <w:rFonts w:hint="eastAsia" w:cs="仿宋_GB2312"/>
                <w:color w:val="auto"/>
                <w:highlight w:val="none"/>
              </w:rPr>
              <w:t>基准利率上调</w:t>
            </w:r>
            <w:r>
              <w:rPr>
                <w:rFonts w:hint="eastAsia" w:cs="仿宋_GB2312"/>
                <w:color w:val="auto"/>
                <w:highlight w:val="none"/>
                <w:u w:val="single"/>
              </w:rPr>
              <w:t xml:space="preserve">    </w:t>
            </w:r>
            <w:r>
              <w:rPr>
                <w:rFonts w:hint="eastAsia" w:cs="仿宋_GB2312"/>
                <w:color w:val="auto"/>
                <w:highlight w:val="none"/>
              </w:rPr>
              <w:t>BP（如无上调则填写0）</w:t>
            </w:r>
          </w:p>
        </w:tc>
        <w:tc>
          <w:tcPr>
            <w:tcW w:w="3615" w:type="dxa"/>
            <w:tcBorders>
              <w:top w:val="single" w:color="auto" w:sz="4" w:space="0"/>
              <w:left w:val="single" w:color="auto" w:sz="4" w:space="0"/>
              <w:bottom w:val="single" w:color="auto" w:sz="4" w:space="0"/>
              <w:right w:val="single" w:color="auto" w:sz="12" w:space="0"/>
            </w:tcBorders>
          </w:tcPr>
          <w:p>
            <w:pPr>
              <w:keepNext w:val="0"/>
              <w:keepLines w:val="0"/>
              <w:suppressLineNumbers w:val="0"/>
              <w:spacing w:before="0" w:beforeAutospacing="0" w:after="0" w:afterAutospacing="0"/>
              <w:ind w:left="0" w:right="0"/>
              <w:rPr>
                <w:rFonts w:hint="default" w:eastAsia="仿宋" w:cs="宋体"/>
                <w:color w:val="auto"/>
                <w:kern w:val="0"/>
                <w:highlight w:val="none"/>
                <w:lang w:val="en-US" w:eastAsia="zh-CN"/>
              </w:rPr>
            </w:pPr>
            <w:r>
              <w:rPr>
                <w:rFonts w:hint="default" w:cs="宋体"/>
                <w:color w:val="auto"/>
                <w:kern w:val="0"/>
                <w:highlight w:val="none"/>
              </w:rPr>
              <w:t>较人民银行基准利率加点后的实际执行利率</w:t>
            </w:r>
            <w:r>
              <w:rPr>
                <w:rFonts w:hint="eastAsia" w:cs="宋体"/>
                <w:color w:val="auto"/>
                <w:kern w:val="0"/>
                <w:highlight w:val="none"/>
              </w:rPr>
              <w:t>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25" w:type="dxa"/>
            <w:vMerge w:val="continue"/>
            <w:tcBorders>
              <w:left w:val="single" w:color="auto" w:sz="12" w:space="0"/>
              <w:right w:val="single" w:color="auto" w:sz="4" w:space="0"/>
            </w:tcBorders>
            <w:vAlign w:val="center"/>
          </w:tcPr>
          <w:p>
            <w:pPr>
              <w:keepNext w:val="0"/>
              <w:keepLines w:val="0"/>
              <w:suppressLineNumbers w:val="0"/>
              <w:spacing w:before="0" w:beforeAutospacing="0" w:after="0" w:afterAutospacing="0"/>
              <w:ind w:left="0" w:right="0"/>
              <w:rPr>
                <w:rFonts w:hint="default" w:cs="仿宋_GB2312"/>
                <w:color w:val="auto"/>
                <w:highlight w:val="none"/>
              </w:rPr>
            </w:pPr>
          </w:p>
        </w:tc>
        <w:tc>
          <w:tcPr>
            <w:tcW w:w="1493"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s="仿宋_GB2312"/>
                <w:color w:val="auto"/>
                <w:highlight w:val="none"/>
              </w:rPr>
            </w:pPr>
          </w:p>
        </w:tc>
        <w:tc>
          <w:tcPr>
            <w:tcW w:w="4249"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ind w:left="0" w:right="0"/>
              <w:rPr>
                <w:rFonts w:hint="default" w:cs="仿宋_GB2312"/>
                <w:color w:val="auto"/>
                <w:highlight w:val="none"/>
              </w:rPr>
            </w:pPr>
            <w:r>
              <w:rPr>
                <w:rFonts w:hint="eastAsia" w:cs="仿宋_GB2312"/>
                <w:color w:val="auto"/>
                <w:highlight w:val="none"/>
              </w:rPr>
              <w:t>协定存款较基准利率上调</w:t>
            </w:r>
            <w:r>
              <w:rPr>
                <w:rFonts w:hint="eastAsia" w:cs="仿宋_GB2312"/>
                <w:color w:val="auto"/>
                <w:highlight w:val="none"/>
                <w:u w:val="single"/>
              </w:rPr>
              <w:t xml:space="preserve">    </w:t>
            </w:r>
            <w:r>
              <w:rPr>
                <w:rFonts w:hint="eastAsia" w:cs="仿宋_GB2312"/>
                <w:color w:val="auto"/>
                <w:highlight w:val="none"/>
              </w:rPr>
              <w:t>BP（如无上调则填写0）</w:t>
            </w:r>
          </w:p>
        </w:tc>
        <w:tc>
          <w:tcPr>
            <w:tcW w:w="3615" w:type="dxa"/>
            <w:tcBorders>
              <w:top w:val="single" w:color="auto" w:sz="4" w:space="0"/>
              <w:left w:val="single" w:color="auto" w:sz="4" w:space="0"/>
              <w:bottom w:val="single" w:color="auto" w:sz="4" w:space="0"/>
              <w:right w:val="single" w:color="auto" w:sz="12" w:space="0"/>
            </w:tcBorders>
          </w:tcPr>
          <w:p>
            <w:pPr>
              <w:keepNext w:val="0"/>
              <w:keepLines w:val="0"/>
              <w:suppressLineNumbers w:val="0"/>
              <w:spacing w:before="0" w:beforeAutospacing="0" w:after="0" w:afterAutospacing="0"/>
              <w:ind w:left="0" w:right="0"/>
              <w:rPr>
                <w:rFonts w:hint="eastAsia" w:eastAsia="仿宋" w:cs="仿宋_GB2312"/>
                <w:color w:val="auto"/>
                <w:highlight w:val="none"/>
                <w:lang w:eastAsia="zh-CN"/>
              </w:rPr>
            </w:pPr>
            <w:r>
              <w:rPr>
                <w:rFonts w:hint="default" w:cs="宋体"/>
                <w:color w:val="auto"/>
                <w:kern w:val="0"/>
                <w:highlight w:val="none"/>
              </w:rPr>
              <w:t>较人民银行基准利率加点后的实际执行利率</w:t>
            </w:r>
            <w:r>
              <w:rPr>
                <w:rFonts w:hint="eastAsia" w:cs="宋体"/>
                <w:color w:val="auto"/>
                <w:kern w:val="0"/>
                <w:highlight w:val="none"/>
              </w:rPr>
              <w:t>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25" w:type="dxa"/>
            <w:vMerge w:val="continue"/>
            <w:tcBorders>
              <w:left w:val="single" w:color="auto" w:sz="12" w:space="0"/>
              <w:right w:val="single" w:color="auto" w:sz="4" w:space="0"/>
            </w:tcBorders>
            <w:vAlign w:val="center"/>
          </w:tcPr>
          <w:p>
            <w:pPr>
              <w:keepNext w:val="0"/>
              <w:keepLines w:val="0"/>
              <w:suppressLineNumbers w:val="0"/>
              <w:spacing w:before="0" w:beforeAutospacing="0" w:after="0" w:afterAutospacing="0"/>
              <w:ind w:left="0" w:right="0"/>
              <w:rPr>
                <w:rFonts w:hint="default" w:cs="仿宋_GB2312"/>
                <w:color w:val="auto"/>
                <w:highlight w:val="none"/>
              </w:rPr>
            </w:pPr>
          </w:p>
        </w:tc>
        <w:tc>
          <w:tcPr>
            <w:tcW w:w="1493"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s="仿宋_GB2312"/>
                <w:color w:val="auto"/>
                <w:highlight w:val="none"/>
              </w:rPr>
            </w:pPr>
            <w:r>
              <w:rPr>
                <w:rFonts w:hint="eastAsia" w:cs="仿宋_GB2312"/>
                <w:color w:val="auto"/>
                <w:highlight w:val="none"/>
              </w:rPr>
              <w:t>协定存款起存点</w:t>
            </w:r>
          </w:p>
        </w:tc>
        <w:tc>
          <w:tcPr>
            <w:tcW w:w="7864" w:type="dxa"/>
            <w:gridSpan w:val="2"/>
            <w:tcBorders>
              <w:top w:val="single" w:color="auto" w:sz="4" w:space="0"/>
              <w:left w:val="single" w:color="auto" w:sz="4" w:space="0"/>
              <w:bottom w:val="single" w:color="auto" w:sz="4" w:space="0"/>
              <w:right w:val="single" w:color="auto" w:sz="12" w:space="0"/>
            </w:tcBorders>
            <w:vAlign w:val="center"/>
          </w:tcPr>
          <w:p>
            <w:pPr>
              <w:keepNext w:val="0"/>
              <w:keepLines w:val="0"/>
              <w:widowControl w:val="0"/>
              <w:suppressLineNumbers w:val="0"/>
              <w:spacing w:before="0" w:beforeAutospacing="0" w:after="0" w:afterAutospacing="0" w:line="360" w:lineRule="auto"/>
              <w:ind w:left="0" w:right="0"/>
              <w:jc w:val="both"/>
              <w:rPr>
                <w:rFonts w:hint="eastAsia" w:cs="仿宋_GB2312"/>
                <w:color w:val="auto"/>
                <w:highlight w:val="none"/>
              </w:rPr>
            </w:pPr>
            <w:r>
              <w:rPr>
                <w:rFonts w:hint="eastAsia" w:ascii="仿宋" w:hAnsi="仿宋" w:eastAsia="仿宋" w:cs="仿宋"/>
                <w:kern w:val="0"/>
                <w:sz w:val="24"/>
                <w:szCs w:val="24"/>
                <w:highlight w:val="none"/>
                <w:lang w:val="en-US" w:eastAsia="zh-CN" w:bidi="ar"/>
              </w:rPr>
              <w:t>协定存款资金起存额度：</w:t>
            </w:r>
            <w:r>
              <w:rPr>
                <w:rFonts w:hint="eastAsia" w:ascii="仿宋" w:hAnsi="仿宋" w:eastAsia="仿宋" w:cs="宋体"/>
                <w:kern w:val="0"/>
                <w:sz w:val="24"/>
                <w:szCs w:val="24"/>
                <w:highlight w:val="none"/>
                <w:u w:val="single"/>
                <w:lang w:val="en-US" w:eastAsia="zh-CN" w:bidi="ar"/>
              </w:rPr>
              <w:t xml:space="preserve">      </w:t>
            </w:r>
            <w:r>
              <w:rPr>
                <w:rFonts w:hint="eastAsia" w:ascii="仿宋" w:hAnsi="仿宋" w:eastAsia="仿宋" w:cs="仿宋"/>
                <w:kern w:val="0"/>
                <w:sz w:val="24"/>
                <w:szCs w:val="24"/>
                <w:highlight w:val="none"/>
                <w:lang w:val="en-US" w:eastAsia="zh-CN" w:bidi="ar"/>
              </w:rPr>
              <w:t>万元（</w:t>
            </w:r>
            <w:r>
              <w:rPr>
                <w:rFonts w:hint="default" w:cs="宋体"/>
                <w:color w:val="auto"/>
                <w:kern w:val="0"/>
                <w:highlight w:val="none"/>
              </w:rPr>
              <w:t>以“万元”为单位，以“1万元”的整数倍为单位</w:t>
            </w:r>
            <w:r>
              <w:rPr>
                <w:rFonts w:hint="eastAsia" w:cs="宋体"/>
                <w:color w:val="auto"/>
                <w:kern w:val="0"/>
                <w:highlight w:val="none"/>
                <w:lang w:eastAsia="zh-CN"/>
              </w:rPr>
              <w:t>，</w:t>
            </w:r>
            <w:r>
              <w:rPr>
                <w:rFonts w:hint="eastAsia" w:cs="宋体"/>
                <w:color w:val="auto"/>
                <w:kern w:val="0"/>
                <w:highlight w:val="none"/>
                <w:lang w:val="en-US" w:eastAsia="zh-CN"/>
              </w:rPr>
              <w:t>如出现0.8万元或0.5万元等不以整数倍的起存额度，本项指标不得分。</w:t>
            </w:r>
            <w:r>
              <w:rPr>
                <w:rFonts w:hint="eastAsia" w:ascii="仿宋" w:hAnsi="仿宋" w:eastAsia="仿宋" w:cs="仿宋"/>
                <w:kern w:val="0"/>
                <w:sz w:val="24"/>
                <w:szCs w:val="24"/>
                <w:highlight w:val="none"/>
                <w:lang w:val="en-US" w:eastAsia="zh-CN" w:bidi="ar"/>
              </w:rPr>
              <w:t>）。</w:t>
            </w:r>
          </w:p>
          <w:p>
            <w:pPr>
              <w:keepNext w:val="0"/>
              <w:keepLines w:val="0"/>
              <w:suppressLineNumbers w:val="0"/>
              <w:spacing w:before="0" w:beforeAutospacing="0" w:after="0" w:afterAutospacing="0"/>
              <w:ind w:left="0" w:right="0"/>
              <w:rPr>
                <w:rFonts w:hint="default" w:eastAsia="仿宋" w:cs="宋体"/>
                <w:color w:val="auto"/>
                <w:kern w:val="0"/>
                <w:highlight w:val="none"/>
                <w:lang w:val="en-US" w:eastAsia="zh-CN"/>
              </w:rPr>
            </w:pPr>
          </w:p>
        </w:tc>
      </w:tr>
    </w:tbl>
    <w:p>
      <w:pPr>
        <w:rPr>
          <w:rFonts w:cs="仿宋_GB2312"/>
          <w:color w:val="auto"/>
          <w:highlight w:val="none"/>
        </w:rPr>
      </w:pPr>
      <w:r>
        <w:rPr>
          <w:rFonts w:hint="eastAsia" w:cs="仿宋_GB2312"/>
          <w:color w:val="auto"/>
          <w:highlight w:val="none"/>
        </w:rPr>
        <w:t xml:space="preserve">            </w:t>
      </w:r>
    </w:p>
    <w:p>
      <w:pPr>
        <w:spacing w:line="440" w:lineRule="exact"/>
        <w:rPr>
          <w:rFonts w:cs="仿宋_GB2312"/>
          <w:snapToGrid w:val="0"/>
          <w:color w:val="auto"/>
          <w:kern w:val="0"/>
          <w:highlight w:val="none"/>
        </w:rPr>
      </w:pPr>
      <w:r>
        <w:rPr>
          <w:rFonts w:hint="eastAsia" w:cs="仿宋_GB2312"/>
          <w:bCs/>
          <w:color w:val="auto"/>
          <w:szCs w:val="21"/>
          <w:highlight w:val="none"/>
        </w:rPr>
        <w:t>注： 1</w:t>
      </w:r>
      <w:r>
        <w:rPr>
          <w:rFonts w:hint="eastAsia" w:cs="仿宋_GB2312"/>
          <w:snapToGrid w:val="0"/>
          <w:color w:val="auto"/>
          <w:kern w:val="0"/>
          <w:highlight w:val="none"/>
        </w:rPr>
        <w:t>.基准利率以</w:t>
      </w:r>
      <w:r>
        <w:rPr>
          <w:rFonts w:hint="eastAsia" w:cs="仿宋_GB2312"/>
          <w:color w:val="auto"/>
          <w:highlight w:val="none"/>
        </w:rPr>
        <w:t>中国人民银行公告的基准利率为准</w:t>
      </w:r>
      <w:r>
        <w:rPr>
          <w:rFonts w:hint="eastAsia" w:cs="仿宋_GB2312"/>
          <w:snapToGrid w:val="0"/>
          <w:color w:val="auto"/>
          <w:kern w:val="0"/>
          <w:highlight w:val="none"/>
        </w:rPr>
        <w:t>；</w:t>
      </w:r>
    </w:p>
    <w:p>
      <w:pPr>
        <w:spacing w:line="440" w:lineRule="exact"/>
        <w:rPr>
          <w:rFonts w:cs="仿宋_GB2312"/>
          <w:snapToGrid w:val="0"/>
          <w:color w:val="auto"/>
          <w:kern w:val="0"/>
          <w:highlight w:val="none"/>
        </w:rPr>
      </w:pPr>
      <w:r>
        <w:rPr>
          <w:rFonts w:hint="eastAsia" w:cs="仿宋_GB2312"/>
          <w:snapToGrid w:val="0"/>
          <w:color w:val="auto"/>
          <w:kern w:val="0"/>
          <w:highlight w:val="none"/>
        </w:rPr>
        <w:t xml:space="preserve">    2.</w:t>
      </w:r>
      <w:r>
        <w:rPr>
          <w:rFonts w:hint="eastAsia" w:cs="仿宋_GB2312"/>
          <w:color w:val="auto"/>
          <w:highlight w:val="none"/>
        </w:rPr>
        <w:t>活期存款</w:t>
      </w:r>
      <w:r>
        <w:rPr>
          <w:rFonts w:hint="eastAsia" w:cs="仿宋_GB2312"/>
          <w:snapToGrid w:val="0"/>
          <w:color w:val="auto"/>
          <w:kern w:val="0"/>
          <w:highlight w:val="none"/>
        </w:rPr>
        <w:t>的上调BP及</w:t>
      </w:r>
      <w:r>
        <w:rPr>
          <w:rFonts w:hint="eastAsia" w:cs="仿宋_GB2312"/>
          <w:color w:val="auto"/>
          <w:highlight w:val="none"/>
        </w:rPr>
        <w:t>协定存款的</w:t>
      </w:r>
      <w:r>
        <w:rPr>
          <w:rFonts w:hint="eastAsia" w:cs="仿宋_GB2312"/>
          <w:snapToGrid w:val="0"/>
          <w:color w:val="auto"/>
          <w:kern w:val="0"/>
          <w:highlight w:val="none"/>
        </w:rPr>
        <w:t>上调BP填报</w:t>
      </w:r>
      <w:r>
        <w:rPr>
          <w:rFonts w:hint="eastAsia" w:cs="仿宋_GB2312"/>
          <w:color w:val="auto"/>
          <w:highlight w:val="none"/>
        </w:rPr>
        <w:t>不得违反国家</w:t>
      </w:r>
      <w:r>
        <w:rPr>
          <w:rFonts w:hint="eastAsia" w:cs="仿宋_GB2312"/>
          <w:color w:val="auto"/>
          <w:highlight w:val="none"/>
          <w:lang w:val="en-US" w:eastAsia="zh-CN"/>
        </w:rPr>
        <w:t>/自律公约</w:t>
      </w:r>
      <w:r>
        <w:rPr>
          <w:rFonts w:hint="eastAsia" w:cs="仿宋_GB2312"/>
          <w:color w:val="auto"/>
          <w:highlight w:val="none"/>
        </w:rPr>
        <w:t>利率政策；</w:t>
      </w:r>
    </w:p>
    <w:p>
      <w:pPr>
        <w:spacing w:line="440" w:lineRule="exact"/>
        <w:rPr>
          <w:rFonts w:cs="仿宋_GB2312"/>
          <w:color w:val="auto"/>
          <w:spacing w:val="20"/>
          <w:szCs w:val="21"/>
          <w:highlight w:val="none"/>
        </w:rPr>
      </w:pPr>
      <w:r>
        <w:rPr>
          <w:rFonts w:hint="eastAsia" w:cs="仿宋_GB2312"/>
          <w:snapToGrid w:val="0"/>
          <w:color w:val="auto"/>
          <w:kern w:val="0"/>
          <w:highlight w:val="none"/>
        </w:rPr>
        <w:t xml:space="preserve">    3.填写须清晰、不得涂改。</w:t>
      </w:r>
    </w:p>
    <w:p>
      <w:pPr>
        <w:spacing w:line="500" w:lineRule="exact"/>
        <w:jc w:val="right"/>
        <w:rPr>
          <w:rFonts w:cs="仿宋_GB2312"/>
          <w:color w:val="auto"/>
          <w:highlight w:val="none"/>
          <w:u w:val="single"/>
        </w:rPr>
      </w:pPr>
      <w:r>
        <w:rPr>
          <w:rFonts w:hint="eastAsia" w:cs="仿宋_GB2312"/>
          <w:color w:val="auto"/>
          <w:highlight w:val="none"/>
        </w:rPr>
        <w:t xml:space="preserve">                                   投标人名称（</w:t>
      </w:r>
      <w:r>
        <w:rPr>
          <w:rFonts w:hint="eastAsia" w:cs="仿宋_GB2312"/>
          <w:color w:val="auto"/>
          <w:kern w:val="0"/>
          <w:highlight w:val="none"/>
        </w:rPr>
        <w:t>公章</w:t>
      </w:r>
      <w:r>
        <w:rPr>
          <w:rFonts w:hint="eastAsia" w:cs="仿宋_GB2312"/>
          <w:color w:val="auto"/>
          <w:highlight w:val="none"/>
        </w:rPr>
        <w:t>）：</w:t>
      </w:r>
    </w:p>
    <w:p>
      <w:pPr>
        <w:spacing w:line="500" w:lineRule="exact"/>
        <w:jc w:val="right"/>
        <w:rPr>
          <w:rFonts w:cs="仿宋_GB2312"/>
          <w:color w:val="auto"/>
          <w:highlight w:val="none"/>
        </w:rPr>
      </w:pPr>
      <w:r>
        <w:rPr>
          <w:rFonts w:hint="eastAsia" w:cs="仿宋_GB2312"/>
          <w:color w:val="auto"/>
          <w:highlight w:val="none"/>
        </w:rPr>
        <w:t xml:space="preserve">                  法定代表人（或主要负责人）或其委托代理人</w:t>
      </w:r>
      <w:r>
        <w:rPr>
          <w:rFonts w:hint="eastAsia" w:cs="仿宋_GB2312"/>
          <w:color w:val="auto"/>
          <w:highlight w:val="none"/>
          <w:lang w:eastAsia="zh-CN"/>
        </w:rPr>
        <w:t>（</w:t>
      </w:r>
      <w:r>
        <w:rPr>
          <w:rFonts w:hint="eastAsia" w:cs="仿宋_GB2312"/>
          <w:color w:val="auto"/>
          <w:highlight w:val="none"/>
        </w:rPr>
        <w:t>签字或盖章</w:t>
      </w:r>
      <w:r>
        <w:rPr>
          <w:rFonts w:hint="eastAsia" w:cs="仿宋_GB2312"/>
          <w:color w:val="auto"/>
          <w:highlight w:val="none"/>
          <w:lang w:eastAsia="zh-CN"/>
        </w:rPr>
        <w:t>）</w:t>
      </w:r>
      <w:r>
        <w:rPr>
          <w:rFonts w:hint="eastAsia" w:cs="仿宋_GB2312"/>
          <w:color w:val="auto"/>
          <w:highlight w:val="none"/>
        </w:rPr>
        <w:t>：</w:t>
      </w:r>
    </w:p>
    <w:p>
      <w:pPr>
        <w:spacing w:line="500" w:lineRule="exact"/>
        <w:jc w:val="right"/>
        <w:rPr>
          <w:rFonts w:cs="仿宋_GB2312"/>
          <w:bCs/>
          <w:color w:val="auto"/>
          <w:highlight w:val="none"/>
        </w:rPr>
      </w:pPr>
      <w:r>
        <w:rPr>
          <w:rFonts w:hint="eastAsia" w:cs="仿宋_GB2312"/>
          <w:color w:val="auto"/>
          <w:highlight w:val="none"/>
        </w:rPr>
        <w:t xml:space="preserve">                                        日      期：</w:t>
      </w:r>
    </w:p>
    <w:p>
      <w:pPr>
        <w:spacing w:afterLines="100" w:line="500" w:lineRule="exact"/>
        <w:jc w:val="center"/>
        <w:rPr>
          <w:rFonts w:cs="仿宋_GB2312"/>
          <w:b/>
          <w:color w:val="auto"/>
          <w:sz w:val="36"/>
          <w:szCs w:val="36"/>
          <w:highlight w:val="none"/>
        </w:rPr>
      </w:pPr>
    </w:p>
    <w:p>
      <w:pPr>
        <w:spacing w:afterLines="100" w:line="500" w:lineRule="exact"/>
        <w:jc w:val="both"/>
        <w:rPr>
          <w:rFonts w:hint="eastAsia" w:cs="仿宋_GB2312"/>
          <w:b/>
          <w:color w:val="auto"/>
          <w:sz w:val="36"/>
          <w:szCs w:val="36"/>
          <w:highlight w:val="none"/>
        </w:rPr>
      </w:pPr>
    </w:p>
    <w:p>
      <w:pPr>
        <w:spacing w:afterLines="100" w:line="500" w:lineRule="exact"/>
        <w:jc w:val="center"/>
        <w:rPr>
          <w:rFonts w:cs="仿宋_GB2312"/>
          <w:b/>
          <w:color w:val="auto"/>
          <w:sz w:val="36"/>
          <w:szCs w:val="36"/>
          <w:highlight w:val="none"/>
        </w:rPr>
      </w:pPr>
      <w:r>
        <w:rPr>
          <w:rFonts w:hint="eastAsia" w:cs="仿宋_GB2312"/>
          <w:b/>
          <w:color w:val="auto"/>
          <w:sz w:val="36"/>
          <w:szCs w:val="36"/>
          <w:highlight w:val="none"/>
        </w:rPr>
        <w:t>投标人认为需要的其他文件或说明</w:t>
      </w:r>
    </w:p>
    <w:tbl>
      <w:tblPr>
        <w:tblStyle w:val="89"/>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8" w:hRule="atLeast"/>
          <w:jc w:val="center"/>
        </w:trPr>
        <w:tc>
          <w:tcPr>
            <w:tcW w:w="9199" w:type="dxa"/>
            <w:tcBorders>
              <w:top w:val="single" w:color="auto" w:sz="12" w:space="0"/>
              <w:left w:val="single" w:color="auto" w:sz="12" w:space="0"/>
              <w:bottom w:val="single" w:color="auto" w:sz="12" w:space="0"/>
              <w:right w:val="single" w:color="auto" w:sz="12" w:space="0"/>
            </w:tcBorders>
          </w:tcPr>
          <w:p>
            <w:pPr>
              <w:keepNext w:val="0"/>
              <w:keepLines w:val="0"/>
              <w:suppressLineNumbers w:val="0"/>
              <w:spacing w:before="0" w:beforeAutospacing="0" w:after="0" w:afterAutospacing="0"/>
              <w:ind w:left="0" w:right="0"/>
              <w:rPr>
                <w:rFonts w:hint="default" w:cs="仿宋_GB2312"/>
                <w:color w:val="auto"/>
                <w:highlight w:val="none"/>
              </w:rPr>
            </w:pPr>
          </w:p>
        </w:tc>
      </w:tr>
    </w:tbl>
    <w:p>
      <w:pPr>
        <w:rPr>
          <w:rFonts w:cs="仿宋_GB2312"/>
          <w:color w:val="auto"/>
          <w:highlight w:val="none"/>
        </w:rPr>
      </w:pPr>
      <w:r>
        <w:rPr>
          <w:rFonts w:hint="eastAsia" w:cs="仿宋_GB2312"/>
          <w:color w:val="auto"/>
          <w:highlight w:val="none"/>
        </w:rPr>
        <w:t xml:space="preserve">                   </w:t>
      </w:r>
    </w:p>
    <w:p>
      <w:pPr>
        <w:rPr>
          <w:rFonts w:cs="仿宋_GB2312"/>
          <w:color w:val="auto"/>
          <w:highlight w:val="none"/>
        </w:rPr>
      </w:pPr>
      <w:r>
        <w:rPr>
          <w:rFonts w:hint="eastAsia" w:cs="仿宋_GB2312"/>
          <w:color w:val="auto"/>
          <w:highlight w:val="none"/>
        </w:rPr>
        <w:t>注：1、投标人表达的内容应是客观、真实的，思路清晰，不得涂改。</w:t>
      </w:r>
    </w:p>
    <w:p>
      <w:pPr>
        <w:rPr>
          <w:rFonts w:cs="仿宋_GB2312"/>
          <w:color w:val="auto"/>
          <w:highlight w:val="none"/>
        </w:rPr>
      </w:pPr>
      <w:r>
        <w:rPr>
          <w:rFonts w:hint="eastAsia" w:cs="仿宋_GB2312"/>
          <w:color w:val="auto"/>
          <w:highlight w:val="none"/>
        </w:rPr>
        <w:t xml:space="preserve">    2、投标人可根据自身的实际情况后附相应的情况说明或证明材料，并加盖公章。</w:t>
      </w:r>
    </w:p>
    <w:p>
      <w:pPr>
        <w:rPr>
          <w:rFonts w:cs="仿宋_GB2312"/>
          <w:color w:val="auto"/>
          <w:highlight w:val="none"/>
        </w:rPr>
      </w:pPr>
      <w:r>
        <w:rPr>
          <w:rFonts w:hint="eastAsia" w:cs="仿宋_GB2312"/>
          <w:color w:val="auto"/>
          <w:highlight w:val="none"/>
        </w:rPr>
        <w:t>此表在不改变表式的情况下，可自行制作。</w:t>
      </w:r>
    </w:p>
    <w:p>
      <w:pPr>
        <w:rPr>
          <w:rFonts w:cs="仿宋_GB2312"/>
          <w:color w:val="auto"/>
          <w:highlight w:val="none"/>
        </w:rPr>
      </w:pPr>
    </w:p>
    <w:p>
      <w:pPr>
        <w:jc w:val="right"/>
        <w:rPr>
          <w:rFonts w:cs="仿宋_GB2312"/>
          <w:color w:val="auto"/>
          <w:kern w:val="0"/>
          <w:highlight w:val="none"/>
        </w:rPr>
      </w:pPr>
      <w:r>
        <w:rPr>
          <w:rFonts w:hint="eastAsia" w:cs="仿宋_GB2312"/>
          <w:color w:val="auto"/>
          <w:kern w:val="0"/>
          <w:highlight w:val="none"/>
        </w:rPr>
        <w:t xml:space="preserve">                                   投标人名称（公章）:</w:t>
      </w:r>
    </w:p>
    <w:p>
      <w:pPr>
        <w:jc w:val="right"/>
        <w:rPr>
          <w:rFonts w:cs="仿宋_GB2312"/>
          <w:color w:val="auto"/>
          <w:kern w:val="0"/>
          <w:highlight w:val="none"/>
        </w:rPr>
      </w:pPr>
      <w:r>
        <w:rPr>
          <w:rFonts w:hint="eastAsia" w:cs="仿宋_GB2312"/>
          <w:color w:val="auto"/>
          <w:kern w:val="0"/>
          <w:highlight w:val="none"/>
        </w:rPr>
        <w:t xml:space="preserve">                  </w:t>
      </w:r>
      <w:r>
        <w:rPr>
          <w:rFonts w:hint="eastAsia" w:cs="仿宋_GB2312"/>
          <w:color w:val="auto"/>
          <w:highlight w:val="none"/>
        </w:rPr>
        <w:t>法定代表人（或主要负责人）或其委托代理人（签字或盖章）</w:t>
      </w:r>
      <w:r>
        <w:rPr>
          <w:rFonts w:hint="eastAsia" w:cs="仿宋_GB2312"/>
          <w:color w:val="auto"/>
          <w:kern w:val="0"/>
          <w:highlight w:val="none"/>
        </w:rPr>
        <w:t xml:space="preserve">: </w:t>
      </w:r>
    </w:p>
    <w:p>
      <w:pPr>
        <w:pStyle w:val="105"/>
        <w:spacing w:line="360" w:lineRule="auto"/>
        <w:jc w:val="right"/>
        <w:rPr>
          <w:rFonts w:ascii="仿宋" w:hAnsi="仿宋" w:eastAsia="仿宋"/>
          <w:color w:val="auto"/>
          <w:highlight w:val="none"/>
        </w:rPr>
      </w:pPr>
      <w:r>
        <w:rPr>
          <w:rFonts w:hint="eastAsia" w:ascii="仿宋" w:hAnsi="仿宋" w:eastAsia="仿宋" w:cs="仿宋_GB2312"/>
          <w:color w:val="auto"/>
          <w:kern w:val="0"/>
          <w:sz w:val="24"/>
          <w:highlight w:val="none"/>
        </w:rPr>
        <w:t xml:space="preserve">                                   日期:</w:t>
      </w:r>
      <w:r>
        <w:rPr>
          <w:rFonts w:hint="eastAsia" w:ascii="仿宋" w:hAnsi="仿宋" w:eastAsia="仿宋" w:cs="仿宋_GB2312"/>
          <w:color w:val="auto"/>
          <w:kern w:val="0"/>
          <w:sz w:val="24"/>
          <w:highlight w:val="none"/>
          <w:lang w:val="en-US" w:eastAsia="zh-CN"/>
        </w:rPr>
        <w:t>2025</w:t>
      </w:r>
      <w:r>
        <w:rPr>
          <w:rFonts w:hint="eastAsia" w:ascii="仿宋" w:hAnsi="仿宋" w:eastAsia="仿宋" w:cs="仿宋_GB2312"/>
          <w:color w:val="auto"/>
          <w:kern w:val="0"/>
          <w:sz w:val="24"/>
          <w:highlight w:val="none"/>
        </w:rPr>
        <w:t>年    月    日</w:t>
      </w:r>
    </w:p>
    <w:sectPr>
      <w:footerReference r:id="rId14" w:type="first"/>
      <w:headerReference r:id="rId11" w:type="default"/>
      <w:footerReference r:id="rId12" w:type="default"/>
      <w:footerReference r:id="rId13" w:type="even"/>
      <w:pgSz w:w="11906" w:h="16838"/>
      <w:pgMar w:top="1474" w:right="1797" w:bottom="1247"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FuturaA Bk BT">
    <w:altName w:val="Arial"/>
    <w:panose1 w:val="00000000000000000000"/>
    <w:charset w:val="00"/>
    <w:family w:val="swiss"/>
    <w:pitch w:val="default"/>
    <w:sig w:usb0="00000000" w:usb1="00000000" w:usb2="00000000" w:usb3="00000000" w:csb0="0000001B" w:csb1="00000000"/>
  </w:font>
  <w:font w:name="Arial Narrow">
    <w:panose1 w:val="020B0606020202030204"/>
    <w:charset w:val="00"/>
    <w:family w:val="swiss"/>
    <w:pitch w:val="default"/>
    <w:sig w:usb0="00000287" w:usb1="00000800" w:usb2="00000000" w:usb3="00000000" w:csb0="2000009F" w:csb1="DFD70000"/>
  </w:font>
  <w:font w:name="文鼎CS仿宋体">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Angsana New">
    <w:panose1 w:val="02020603050405020304"/>
    <w:charset w:val="00"/>
    <w:family w:val="roman"/>
    <w:pitch w:val="default"/>
    <w:sig w:usb0="81000003" w:usb1="00000000" w:usb2="00000000" w:usb3="00000000" w:csb0="00010001" w:csb1="00000000"/>
  </w:font>
  <w:font w:name="新宋体">
    <w:panose1 w:val="02010609030101010101"/>
    <w:charset w:val="86"/>
    <w:family w:val="modern"/>
    <w:pitch w:val="default"/>
    <w:sig w:usb0="0000000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PMingLiU">
    <w:altName w:val="Microsoft JhengHei"/>
    <w:panose1 w:val="02020500000000000000"/>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087" w:usb1="28AF4000" w:usb2="00000016" w:usb3="00000000" w:csb0="00100009" w:csb1="00000000"/>
  </w:font>
  <w:font w:name="华文新魏">
    <w:panose1 w:val="02010800040101010101"/>
    <w:charset w:val="86"/>
    <w:family w:val="auto"/>
    <w:pitch w:val="default"/>
    <w:sig w:usb0="00000001" w:usb1="080F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Latha">
    <w:panose1 w:val="020B0604020202020204"/>
    <w:charset w:val="00"/>
    <w:family w:val="swiss"/>
    <w:pitch w:val="default"/>
    <w:sig w:usb0="00100003"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entury Schoolbook">
    <w:panose1 w:val="02040604050505020304"/>
    <w:charset w:val="00"/>
    <w:family w:val="roman"/>
    <w:pitch w:val="default"/>
    <w:sig w:usb0="00000287" w:usb1="00000000" w:usb2="00000000" w:usb3="00000000" w:csb0="2000009F" w:csb1="DFD70000"/>
  </w:font>
  <w:font w:name="MingLiU">
    <w:altName w:val="Microsoft JhengHei"/>
    <w:panose1 w:val="02020509000000000000"/>
    <w:charset w:val="88"/>
    <w:family w:val="modern"/>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MS PMincho">
    <w:altName w:val="Meiryo UI"/>
    <w:panose1 w:val="02020600040205080304"/>
    <w:charset w:val="80"/>
    <w:family w:val="roman"/>
    <w:pitch w:val="default"/>
    <w:sig w:usb0="00000000" w:usb1="00000000" w:usb2="00000012" w:usb3="00000000" w:csb0="4002009F" w:csb1="DFD70000"/>
  </w:font>
  <w:font w:name="Meiryo UI">
    <w:panose1 w:val="020B0604030504040204"/>
    <w:charset w:val="80"/>
    <w:family w:val="auto"/>
    <w:pitch w:val="default"/>
    <w:sig w:usb0="E10102FF" w:usb1="EAC7FFFF" w:usb2="00010012" w:usb3="00000000" w:csb0="6002009F" w:csb1="DFD70000"/>
  </w:font>
  <w:font w:name="方正小标宋简体">
    <w:altName w:val="Arial Unicode MS"/>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19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46</w:t>
    </w:r>
    <w:r>
      <w:rPr>
        <w:szCs w:val="21"/>
      </w:rPr>
      <w:fldChar w:fldCharType="end"/>
    </w:r>
    <w:r>
      <w:rPr>
        <w:rFonts w:hint="eastAsia"/>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26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46</w:t>
    </w:r>
    <w:r>
      <w:rPr>
        <w:szCs w:val="21"/>
      </w:rPr>
      <w:fldChar w:fldCharType="end"/>
    </w:r>
    <w:r>
      <w:rPr>
        <w:rFonts w:hint="eastAsia"/>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46</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46</w:t>
                    </w:r>
                    <w:r>
                      <w:rPr>
                        <w:szCs w:val="21"/>
                      </w:rPr>
                      <w:fldChar w:fldCharType="end"/>
                    </w:r>
                    <w:r>
                      <w:rPr>
                        <w:rFonts w:hint="eastAsia"/>
                        <w:szCs w:val="21"/>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framePr w:wrap="around" w:vAnchor="text" w:hAnchor="margin" w:xAlign="outside" w:y="1"/>
      <w:rPr>
        <w:rStyle w:val="97"/>
      </w:rPr>
    </w:pPr>
    <w:r>
      <w:fldChar w:fldCharType="begin"/>
    </w:r>
    <w:r>
      <w:rPr>
        <w:rStyle w:val="97"/>
      </w:rPr>
      <w:instrText xml:space="preserve">PAGE  </w:instrText>
    </w:r>
    <w:r>
      <w:fldChar w:fldCharType="end"/>
    </w:r>
  </w:p>
  <w:p>
    <w:pPr>
      <w:pStyle w:val="58"/>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auto" w:sz="0" w:space="0"/>
      </w:pBdr>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auto" w:sz="0" w:space="0"/>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auto" w:sz="0" w:space="0"/>
      </w:pBdr>
      <w:spacing w:before="12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6"/>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iMDI3YzNhN2Q3NTcxZWNlNGYwOGQwZWYwMjk3NWUifQ=="/>
    <w:docVar w:name="KSO_WPS_MARK_KEY" w:val="017035ae-7554-4e75-a541-5be032f0353b"/>
  </w:docVars>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A3E"/>
    <w:rsid w:val="00016B43"/>
    <w:rsid w:val="0001727C"/>
    <w:rsid w:val="00017651"/>
    <w:rsid w:val="000176CB"/>
    <w:rsid w:val="00017AD3"/>
    <w:rsid w:val="00020587"/>
    <w:rsid w:val="000205AA"/>
    <w:rsid w:val="00020ABB"/>
    <w:rsid w:val="00021207"/>
    <w:rsid w:val="000215D0"/>
    <w:rsid w:val="00021759"/>
    <w:rsid w:val="00021867"/>
    <w:rsid w:val="00022669"/>
    <w:rsid w:val="0002282A"/>
    <w:rsid w:val="0002291C"/>
    <w:rsid w:val="00022998"/>
    <w:rsid w:val="00022B1F"/>
    <w:rsid w:val="00022B25"/>
    <w:rsid w:val="0002322F"/>
    <w:rsid w:val="00023505"/>
    <w:rsid w:val="000239E8"/>
    <w:rsid w:val="00023BA1"/>
    <w:rsid w:val="00024260"/>
    <w:rsid w:val="0002432F"/>
    <w:rsid w:val="0002531C"/>
    <w:rsid w:val="00025DF6"/>
    <w:rsid w:val="0002692C"/>
    <w:rsid w:val="00026BB8"/>
    <w:rsid w:val="000272AB"/>
    <w:rsid w:val="00027712"/>
    <w:rsid w:val="00027DD7"/>
    <w:rsid w:val="00030878"/>
    <w:rsid w:val="00030ACE"/>
    <w:rsid w:val="000327A0"/>
    <w:rsid w:val="00032A7B"/>
    <w:rsid w:val="00032C15"/>
    <w:rsid w:val="000331F1"/>
    <w:rsid w:val="00033884"/>
    <w:rsid w:val="00033CF3"/>
    <w:rsid w:val="00034330"/>
    <w:rsid w:val="00034E42"/>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5789B"/>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4790"/>
    <w:rsid w:val="000A51F9"/>
    <w:rsid w:val="000A55A5"/>
    <w:rsid w:val="000A562D"/>
    <w:rsid w:val="000A57B4"/>
    <w:rsid w:val="000A5E53"/>
    <w:rsid w:val="000A64BB"/>
    <w:rsid w:val="000A698E"/>
    <w:rsid w:val="000A6A42"/>
    <w:rsid w:val="000A72ED"/>
    <w:rsid w:val="000A735E"/>
    <w:rsid w:val="000B09FF"/>
    <w:rsid w:val="000B1A6D"/>
    <w:rsid w:val="000B1F1E"/>
    <w:rsid w:val="000B20E5"/>
    <w:rsid w:val="000B2B7B"/>
    <w:rsid w:val="000B2ED4"/>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82D"/>
    <w:rsid w:val="000E6A7C"/>
    <w:rsid w:val="000E6FE9"/>
    <w:rsid w:val="000E79FE"/>
    <w:rsid w:val="000F033C"/>
    <w:rsid w:val="000F0713"/>
    <w:rsid w:val="000F0D0E"/>
    <w:rsid w:val="000F0E9F"/>
    <w:rsid w:val="000F1AAE"/>
    <w:rsid w:val="000F1FEE"/>
    <w:rsid w:val="000F2B40"/>
    <w:rsid w:val="000F2B70"/>
    <w:rsid w:val="000F2B89"/>
    <w:rsid w:val="000F2E49"/>
    <w:rsid w:val="000F2E94"/>
    <w:rsid w:val="000F2F3C"/>
    <w:rsid w:val="000F3979"/>
    <w:rsid w:val="000F45C9"/>
    <w:rsid w:val="000F468F"/>
    <w:rsid w:val="000F4D24"/>
    <w:rsid w:val="000F5580"/>
    <w:rsid w:val="000F588D"/>
    <w:rsid w:val="000F5C9F"/>
    <w:rsid w:val="000F67A5"/>
    <w:rsid w:val="000F6874"/>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079DC"/>
    <w:rsid w:val="00111786"/>
    <w:rsid w:val="0011196E"/>
    <w:rsid w:val="00111D57"/>
    <w:rsid w:val="001138BE"/>
    <w:rsid w:val="00113CD4"/>
    <w:rsid w:val="00113DCD"/>
    <w:rsid w:val="001141B6"/>
    <w:rsid w:val="001142C2"/>
    <w:rsid w:val="001146D9"/>
    <w:rsid w:val="00114D79"/>
    <w:rsid w:val="00115831"/>
    <w:rsid w:val="00116290"/>
    <w:rsid w:val="0011638E"/>
    <w:rsid w:val="00116DD3"/>
    <w:rsid w:val="001173F5"/>
    <w:rsid w:val="001201B2"/>
    <w:rsid w:val="0012057D"/>
    <w:rsid w:val="001223D1"/>
    <w:rsid w:val="0012247E"/>
    <w:rsid w:val="00122537"/>
    <w:rsid w:val="00122EEB"/>
    <w:rsid w:val="00123C42"/>
    <w:rsid w:val="00123DE5"/>
    <w:rsid w:val="00125CFA"/>
    <w:rsid w:val="00126DDB"/>
    <w:rsid w:val="00127BD0"/>
    <w:rsid w:val="00130929"/>
    <w:rsid w:val="0013193D"/>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32AB"/>
    <w:rsid w:val="00173CE2"/>
    <w:rsid w:val="00174541"/>
    <w:rsid w:val="00175078"/>
    <w:rsid w:val="001752DB"/>
    <w:rsid w:val="00175A59"/>
    <w:rsid w:val="001763F7"/>
    <w:rsid w:val="001771EB"/>
    <w:rsid w:val="00177522"/>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CB"/>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D97"/>
    <w:rsid w:val="001F12A5"/>
    <w:rsid w:val="001F1F2E"/>
    <w:rsid w:val="001F2AAC"/>
    <w:rsid w:val="001F2B14"/>
    <w:rsid w:val="001F398D"/>
    <w:rsid w:val="001F3CA9"/>
    <w:rsid w:val="001F3F09"/>
    <w:rsid w:val="001F4324"/>
    <w:rsid w:val="001F4BC6"/>
    <w:rsid w:val="001F5704"/>
    <w:rsid w:val="001F690E"/>
    <w:rsid w:val="001F697B"/>
    <w:rsid w:val="001F758F"/>
    <w:rsid w:val="002003DD"/>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54F"/>
    <w:rsid w:val="00214946"/>
    <w:rsid w:val="00214FC9"/>
    <w:rsid w:val="002168E5"/>
    <w:rsid w:val="00216DDF"/>
    <w:rsid w:val="00216F8E"/>
    <w:rsid w:val="002170BE"/>
    <w:rsid w:val="002173E3"/>
    <w:rsid w:val="00217E9B"/>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3B92"/>
    <w:rsid w:val="00233F82"/>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5FD1"/>
    <w:rsid w:val="0024672B"/>
    <w:rsid w:val="002469AF"/>
    <w:rsid w:val="0024795F"/>
    <w:rsid w:val="00247A71"/>
    <w:rsid w:val="0025021D"/>
    <w:rsid w:val="00250262"/>
    <w:rsid w:val="00250594"/>
    <w:rsid w:val="00250619"/>
    <w:rsid w:val="00250B08"/>
    <w:rsid w:val="00250D38"/>
    <w:rsid w:val="00251AB3"/>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6A"/>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2B4C"/>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28F"/>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E40"/>
    <w:rsid w:val="00300595"/>
    <w:rsid w:val="00300863"/>
    <w:rsid w:val="00300890"/>
    <w:rsid w:val="00300C99"/>
    <w:rsid w:val="0030129B"/>
    <w:rsid w:val="003019B4"/>
    <w:rsid w:val="0030213B"/>
    <w:rsid w:val="00302EC2"/>
    <w:rsid w:val="00303102"/>
    <w:rsid w:val="003031A1"/>
    <w:rsid w:val="003031FE"/>
    <w:rsid w:val="003034C8"/>
    <w:rsid w:val="003034F0"/>
    <w:rsid w:val="00303A5C"/>
    <w:rsid w:val="00303DD0"/>
    <w:rsid w:val="00303F66"/>
    <w:rsid w:val="00304128"/>
    <w:rsid w:val="003049CF"/>
    <w:rsid w:val="003051C2"/>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923"/>
    <w:rsid w:val="00311B77"/>
    <w:rsid w:val="00312D03"/>
    <w:rsid w:val="00314422"/>
    <w:rsid w:val="0031485B"/>
    <w:rsid w:val="003159A8"/>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0F83"/>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DF"/>
    <w:rsid w:val="00335AEA"/>
    <w:rsid w:val="00336CC0"/>
    <w:rsid w:val="003378C0"/>
    <w:rsid w:val="00340C4E"/>
    <w:rsid w:val="003412C0"/>
    <w:rsid w:val="003417C3"/>
    <w:rsid w:val="00341C80"/>
    <w:rsid w:val="0034284C"/>
    <w:rsid w:val="00342879"/>
    <w:rsid w:val="00342DD4"/>
    <w:rsid w:val="00342F4A"/>
    <w:rsid w:val="003437CA"/>
    <w:rsid w:val="00343A6B"/>
    <w:rsid w:val="00343DD6"/>
    <w:rsid w:val="00343E6E"/>
    <w:rsid w:val="0034441E"/>
    <w:rsid w:val="00344B62"/>
    <w:rsid w:val="0034529B"/>
    <w:rsid w:val="00346277"/>
    <w:rsid w:val="00346452"/>
    <w:rsid w:val="003469C7"/>
    <w:rsid w:val="00346B63"/>
    <w:rsid w:val="003515B2"/>
    <w:rsid w:val="00354180"/>
    <w:rsid w:val="003550CA"/>
    <w:rsid w:val="003557D5"/>
    <w:rsid w:val="00355BCF"/>
    <w:rsid w:val="00357534"/>
    <w:rsid w:val="00357685"/>
    <w:rsid w:val="003601EC"/>
    <w:rsid w:val="003601FF"/>
    <w:rsid w:val="00360258"/>
    <w:rsid w:val="0036037E"/>
    <w:rsid w:val="00360608"/>
    <w:rsid w:val="0036096A"/>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B40"/>
    <w:rsid w:val="00390CCB"/>
    <w:rsid w:val="003917F4"/>
    <w:rsid w:val="0039318A"/>
    <w:rsid w:val="003931AD"/>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5DA"/>
    <w:rsid w:val="003A3B3E"/>
    <w:rsid w:val="003A3E5E"/>
    <w:rsid w:val="003A58C2"/>
    <w:rsid w:val="003A5E70"/>
    <w:rsid w:val="003A618C"/>
    <w:rsid w:val="003A6961"/>
    <w:rsid w:val="003A7A75"/>
    <w:rsid w:val="003B02B3"/>
    <w:rsid w:val="003B1071"/>
    <w:rsid w:val="003B1377"/>
    <w:rsid w:val="003B1B75"/>
    <w:rsid w:val="003B1F50"/>
    <w:rsid w:val="003B2256"/>
    <w:rsid w:val="003B25E5"/>
    <w:rsid w:val="003B298B"/>
    <w:rsid w:val="003B2ABE"/>
    <w:rsid w:val="003B2D96"/>
    <w:rsid w:val="003B3136"/>
    <w:rsid w:val="003B3B0E"/>
    <w:rsid w:val="003B3BA4"/>
    <w:rsid w:val="003B3F99"/>
    <w:rsid w:val="003B512D"/>
    <w:rsid w:val="003B5687"/>
    <w:rsid w:val="003B57FC"/>
    <w:rsid w:val="003B5B53"/>
    <w:rsid w:val="003B5E45"/>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6042"/>
    <w:rsid w:val="003C634D"/>
    <w:rsid w:val="003C6389"/>
    <w:rsid w:val="003C6A10"/>
    <w:rsid w:val="003C6EEE"/>
    <w:rsid w:val="003C7384"/>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0A42"/>
    <w:rsid w:val="003E1042"/>
    <w:rsid w:val="003E1AF8"/>
    <w:rsid w:val="003E1ED7"/>
    <w:rsid w:val="003E1FCB"/>
    <w:rsid w:val="003E21A0"/>
    <w:rsid w:val="003E2ADD"/>
    <w:rsid w:val="003E36C4"/>
    <w:rsid w:val="003E4430"/>
    <w:rsid w:val="003E4586"/>
    <w:rsid w:val="003E4E87"/>
    <w:rsid w:val="003E5387"/>
    <w:rsid w:val="003E6775"/>
    <w:rsid w:val="003E6880"/>
    <w:rsid w:val="003E74A8"/>
    <w:rsid w:val="003E764F"/>
    <w:rsid w:val="003E76D5"/>
    <w:rsid w:val="003E79D7"/>
    <w:rsid w:val="003F04D6"/>
    <w:rsid w:val="003F0A4D"/>
    <w:rsid w:val="003F0D13"/>
    <w:rsid w:val="003F0D2C"/>
    <w:rsid w:val="003F0D84"/>
    <w:rsid w:val="003F1B4C"/>
    <w:rsid w:val="003F1BC3"/>
    <w:rsid w:val="003F1E84"/>
    <w:rsid w:val="003F20C7"/>
    <w:rsid w:val="003F27CA"/>
    <w:rsid w:val="003F355D"/>
    <w:rsid w:val="003F4A13"/>
    <w:rsid w:val="003F510C"/>
    <w:rsid w:val="003F5E2E"/>
    <w:rsid w:val="003F5F25"/>
    <w:rsid w:val="003F6C21"/>
    <w:rsid w:val="003F7669"/>
    <w:rsid w:val="00400ADB"/>
    <w:rsid w:val="00400B46"/>
    <w:rsid w:val="00401280"/>
    <w:rsid w:val="00401B29"/>
    <w:rsid w:val="004026D1"/>
    <w:rsid w:val="004026E4"/>
    <w:rsid w:val="00402729"/>
    <w:rsid w:val="00402B70"/>
    <w:rsid w:val="00403263"/>
    <w:rsid w:val="004034F2"/>
    <w:rsid w:val="00403BFB"/>
    <w:rsid w:val="00405995"/>
    <w:rsid w:val="00405B86"/>
    <w:rsid w:val="00406B92"/>
    <w:rsid w:val="00407483"/>
    <w:rsid w:val="00407A9B"/>
    <w:rsid w:val="0041026A"/>
    <w:rsid w:val="0041053D"/>
    <w:rsid w:val="00410FBE"/>
    <w:rsid w:val="0041130B"/>
    <w:rsid w:val="00411795"/>
    <w:rsid w:val="00411B6A"/>
    <w:rsid w:val="004126CC"/>
    <w:rsid w:val="004128CF"/>
    <w:rsid w:val="00413735"/>
    <w:rsid w:val="00414F57"/>
    <w:rsid w:val="004151BD"/>
    <w:rsid w:val="00415351"/>
    <w:rsid w:val="00416B4F"/>
    <w:rsid w:val="00416BC0"/>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0E59"/>
    <w:rsid w:val="004311F6"/>
    <w:rsid w:val="0043261A"/>
    <w:rsid w:val="004329DD"/>
    <w:rsid w:val="00433780"/>
    <w:rsid w:val="00434C2B"/>
    <w:rsid w:val="00435156"/>
    <w:rsid w:val="0043515B"/>
    <w:rsid w:val="00435656"/>
    <w:rsid w:val="00435B48"/>
    <w:rsid w:val="00435B88"/>
    <w:rsid w:val="004364BF"/>
    <w:rsid w:val="004369D2"/>
    <w:rsid w:val="0043772F"/>
    <w:rsid w:val="00437959"/>
    <w:rsid w:val="00440660"/>
    <w:rsid w:val="00440693"/>
    <w:rsid w:val="004408C3"/>
    <w:rsid w:val="00440B09"/>
    <w:rsid w:val="0044266E"/>
    <w:rsid w:val="00442B96"/>
    <w:rsid w:val="00442F53"/>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1F0B"/>
    <w:rsid w:val="004521C6"/>
    <w:rsid w:val="0045264C"/>
    <w:rsid w:val="0045283E"/>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384"/>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0B50"/>
    <w:rsid w:val="0048107B"/>
    <w:rsid w:val="004819DB"/>
    <w:rsid w:val="00481B8E"/>
    <w:rsid w:val="00481FC5"/>
    <w:rsid w:val="00482714"/>
    <w:rsid w:val="00482FDC"/>
    <w:rsid w:val="004833C6"/>
    <w:rsid w:val="00484546"/>
    <w:rsid w:val="004847FC"/>
    <w:rsid w:val="004849F7"/>
    <w:rsid w:val="004863C1"/>
    <w:rsid w:val="00486AD9"/>
    <w:rsid w:val="00487C2C"/>
    <w:rsid w:val="00490419"/>
    <w:rsid w:val="0049057C"/>
    <w:rsid w:val="0049234C"/>
    <w:rsid w:val="0049271C"/>
    <w:rsid w:val="00492A40"/>
    <w:rsid w:val="00493341"/>
    <w:rsid w:val="00493868"/>
    <w:rsid w:val="004942A4"/>
    <w:rsid w:val="00494443"/>
    <w:rsid w:val="0049456A"/>
    <w:rsid w:val="00494D0B"/>
    <w:rsid w:val="00495AD5"/>
    <w:rsid w:val="004962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B026C"/>
    <w:rsid w:val="004B0AA5"/>
    <w:rsid w:val="004B0D07"/>
    <w:rsid w:val="004B19A8"/>
    <w:rsid w:val="004B2525"/>
    <w:rsid w:val="004B273A"/>
    <w:rsid w:val="004B2F29"/>
    <w:rsid w:val="004B3E92"/>
    <w:rsid w:val="004B4B12"/>
    <w:rsid w:val="004B503F"/>
    <w:rsid w:val="004B64A6"/>
    <w:rsid w:val="004B65B0"/>
    <w:rsid w:val="004B6789"/>
    <w:rsid w:val="004B6936"/>
    <w:rsid w:val="004B755C"/>
    <w:rsid w:val="004B7DCA"/>
    <w:rsid w:val="004C016E"/>
    <w:rsid w:val="004C02BE"/>
    <w:rsid w:val="004C02FF"/>
    <w:rsid w:val="004C0799"/>
    <w:rsid w:val="004C0D15"/>
    <w:rsid w:val="004C1581"/>
    <w:rsid w:val="004C1622"/>
    <w:rsid w:val="004C20CD"/>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882"/>
    <w:rsid w:val="004C78F5"/>
    <w:rsid w:val="004C7C5D"/>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3AF"/>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5192"/>
    <w:rsid w:val="004F568B"/>
    <w:rsid w:val="004F58D5"/>
    <w:rsid w:val="004F58F6"/>
    <w:rsid w:val="004F6E45"/>
    <w:rsid w:val="004F7BE4"/>
    <w:rsid w:val="00500862"/>
    <w:rsid w:val="005009A0"/>
    <w:rsid w:val="00501772"/>
    <w:rsid w:val="00501CE3"/>
    <w:rsid w:val="00501D32"/>
    <w:rsid w:val="005020AE"/>
    <w:rsid w:val="005029ED"/>
    <w:rsid w:val="00502C88"/>
    <w:rsid w:val="00503CF3"/>
    <w:rsid w:val="00503D66"/>
    <w:rsid w:val="00504F7C"/>
    <w:rsid w:val="005052A3"/>
    <w:rsid w:val="005055DD"/>
    <w:rsid w:val="00505D49"/>
    <w:rsid w:val="00506432"/>
    <w:rsid w:val="00507316"/>
    <w:rsid w:val="005073CE"/>
    <w:rsid w:val="00507A28"/>
    <w:rsid w:val="0051038E"/>
    <w:rsid w:val="0051065E"/>
    <w:rsid w:val="0051095D"/>
    <w:rsid w:val="00510D76"/>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23BC"/>
    <w:rsid w:val="00522439"/>
    <w:rsid w:val="00522CBD"/>
    <w:rsid w:val="00522F0C"/>
    <w:rsid w:val="005238BA"/>
    <w:rsid w:val="00523A02"/>
    <w:rsid w:val="00523D69"/>
    <w:rsid w:val="0052425B"/>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9F9"/>
    <w:rsid w:val="00541CEA"/>
    <w:rsid w:val="00541E2E"/>
    <w:rsid w:val="00542A8C"/>
    <w:rsid w:val="0054380E"/>
    <w:rsid w:val="005438C9"/>
    <w:rsid w:val="00543F82"/>
    <w:rsid w:val="00544996"/>
    <w:rsid w:val="00544C9D"/>
    <w:rsid w:val="005450FD"/>
    <w:rsid w:val="00545961"/>
    <w:rsid w:val="005462B1"/>
    <w:rsid w:val="005465BA"/>
    <w:rsid w:val="00546954"/>
    <w:rsid w:val="00546DE3"/>
    <w:rsid w:val="00546E33"/>
    <w:rsid w:val="00546EC9"/>
    <w:rsid w:val="005478F0"/>
    <w:rsid w:val="0055042B"/>
    <w:rsid w:val="00550B6F"/>
    <w:rsid w:val="00550C1F"/>
    <w:rsid w:val="00550EAD"/>
    <w:rsid w:val="0055161D"/>
    <w:rsid w:val="00551C3F"/>
    <w:rsid w:val="005535B6"/>
    <w:rsid w:val="0055374E"/>
    <w:rsid w:val="00553E74"/>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1908"/>
    <w:rsid w:val="00572D32"/>
    <w:rsid w:val="00573D2F"/>
    <w:rsid w:val="0057410C"/>
    <w:rsid w:val="0057451A"/>
    <w:rsid w:val="0057510E"/>
    <w:rsid w:val="005752E7"/>
    <w:rsid w:val="00575350"/>
    <w:rsid w:val="00575C50"/>
    <w:rsid w:val="00575D2C"/>
    <w:rsid w:val="005761C9"/>
    <w:rsid w:val="00576AAB"/>
    <w:rsid w:val="00576D08"/>
    <w:rsid w:val="005771E7"/>
    <w:rsid w:val="005773A5"/>
    <w:rsid w:val="00577603"/>
    <w:rsid w:val="00577979"/>
    <w:rsid w:val="005779EF"/>
    <w:rsid w:val="00577C6B"/>
    <w:rsid w:val="00580398"/>
    <w:rsid w:val="00580631"/>
    <w:rsid w:val="005809B8"/>
    <w:rsid w:val="00580B92"/>
    <w:rsid w:val="00581779"/>
    <w:rsid w:val="00581799"/>
    <w:rsid w:val="0058185A"/>
    <w:rsid w:val="00583385"/>
    <w:rsid w:val="00583FA6"/>
    <w:rsid w:val="00584A6C"/>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460"/>
    <w:rsid w:val="00593608"/>
    <w:rsid w:val="005936AF"/>
    <w:rsid w:val="00593D44"/>
    <w:rsid w:val="00594897"/>
    <w:rsid w:val="00594BDF"/>
    <w:rsid w:val="00594EC6"/>
    <w:rsid w:val="00594F03"/>
    <w:rsid w:val="00595301"/>
    <w:rsid w:val="00595C3C"/>
    <w:rsid w:val="00596320"/>
    <w:rsid w:val="00597E9C"/>
    <w:rsid w:val="00597EA5"/>
    <w:rsid w:val="005A05B7"/>
    <w:rsid w:val="005A07F5"/>
    <w:rsid w:val="005A0AE9"/>
    <w:rsid w:val="005A20F3"/>
    <w:rsid w:val="005A214B"/>
    <w:rsid w:val="005A3CFD"/>
    <w:rsid w:val="005A423C"/>
    <w:rsid w:val="005A5167"/>
    <w:rsid w:val="005A52FB"/>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2FD"/>
    <w:rsid w:val="005D23BA"/>
    <w:rsid w:val="005D2A58"/>
    <w:rsid w:val="005D411F"/>
    <w:rsid w:val="005D41FA"/>
    <w:rsid w:val="005D4543"/>
    <w:rsid w:val="005D4BE0"/>
    <w:rsid w:val="005D57DD"/>
    <w:rsid w:val="005D638F"/>
    <w:rsid w:val="005D6451"/>
    <w:rsid w:val="005D645E"/>
    <w:rsid w:val="005D6A2E"/>
    <w:rsid w:val="005D6DE0"/>
    <w:rsid w:val="005D715B"/>
    <w:rsid w:val="005E050A"/>
    <w:rsid w:val="005E05BD"/>
    <w:rsid w:val="005E0FE1"/>
    <w:rsid w:val="005E102A"/>
    <w:rsid w:val="005E1226"/>
    <w:rsid w:val="005E1388"/>
    <w:rsid w:val="005E2644"/>
    <w:rsid w:val="005E2859"/>
    <w:rsid w:val="005E320D"/>
    <w:rsid w:val="005E3C0E"/>
    <w:rsid w:val="005E4865"/>
    <w:rsid w:val="005E5D85"/>
    <w:rsid w:val="005E60E5"/>
    <w:rsid w:val="005E6FBA"/>
    <w:rsid w:val="005E76A2"/>
    <w:rsid w:val="005E7A9C"/>
    <w:rsid w:val="005F037B"/>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C"/>
    <w:rsid w:val="005F66A9"/>
    <w:rsid w:val="005F69CE"/>
    <w:rsid w:val="005F69D4"/>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3721"/>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784"/>
    <w:rsid w:val="00634DAD"/>
    <w:rsid w:val="00635963"/>
    <w:rsid w:val="00635CA2"/>
    <w:rsid w:val="00635ED6"/>
    <w:rsid w:val="0063652E"/>
    <w:rsid w:val="0063762B"/>
    <w:rsid w:val="00637C52"/>
    <w:rsid w:val="006402BB"/>
    <w:rsid w:val="00640321"/>
    <w:rsid w:val="006405A1"/>
    <w:rsid w:val="0064096D"/>
    <w:rsid w:val="00640979"/>
    <w:rsid w:val="00640A51"/>
    <w:rsid w:val="00642584"/>
    <w:rsid w:val="00642945"/>
    <w:rsid w:val="00643178"/>
    <w:rsid w:val="0064335F"/>
    <w:rsid w:val="00643598"/>
    <w:rsid w:val="00644085"/>
    <w:rsid w:val="006445B8"/>
    <w:rsid w:val="00645DDC"/>
    <w:rsid w:val="0064610A"/>
    <w:rsid w:val="00647123"/>
    <w:rsid w:val="0064733B"/>
    <w:rsid w:val="0064749F"/>
    <w:rsid w:val="00650931"/>
    <w:rsid w:val="00650D8C"/>
    <w:rsid w:val="006515CE"/>
    <w:rsid w:val="006527A5"/>
    <w:rsid w:val="00652BEA"/>
    <w:rsid w:val="00652C2C"/>
    <w:rsid w:val="006533C4"/>
    <w:rsid w:val="00653450"/>
    <w:rsid w:val="00653BD9"/>
    <w:rsid w:val="006550E6"/>
    <w:rsid w:val="0065538C"/>
    <w:rsid w:val="00656BB0"/>
    <w:rsid w:val="006601E9"/>
    <w:rsid w:val="00660446"/>
    <w:rsid w:val="00660848"/>
    <w:rsid w:val="0066092B"/>
    <w:rsid w:val="00660D2D"/>
    <w:rsid w:val="0066149D"/>
    <w:rsid w:val="0066151C"/>
    <w:rsid w:val="00661859"/>
    <w:rsid w:val="00661AB4"/>
    <w:rsid w:val="00662C36"/>
    <w:rsid w:val="00662F05"/>
    <w:rsid w:val="006634ED"/>
    <w:rsid w:val="006635EC"/>
    <w:rsid w:val="006637ED"/>
    <w:rsid w:val="006638E7"/>
    <w:rsid w:val="0066403A"/>
    <w:rsid w:val="00664BB0"/>
    <w:rsid w:val="0066522A"/>
    <w:rsid w:val="00665564"/>
    <w:rsid w:val="0066593F"/>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1949"/>
    <w:rsid w:val="0069277D"/>
    <w:rsid w:val="00692992"/>
    <w:rsid w:val="00692C17"/>
    <w:rsid w:val="00693016"/>
    <w:rsid w:val="00693E80"/>
    <w:rsid w:val="006942DF"/>
    <w:rsid w:val="006944F1"/>
    <w:rsid w:val="0069462D"/>
    <w:rsid w:val="00694759"/>
    <w:rsid w:val="00694939"/>
    <w:rsid w:val="00694B8F"/>
    <w:rsid w:val="00696E27"/>
    <w:rsid w:val="00697401"/>
    <w:rsid w:val="0069774B"/>
    <w:rsid w:val="0069783E"/>
    <w:rsid w:val="006A007A"/>
    <w:rsid w:val="006A074B"/>
    <w:rsid w:val="006A1545"/>
    <w:rsid w:val="006A1A96"/>
    <w:rsid w:val="006A3FA5"/>
    <w:rsid w:val="006A421F"/>
    <w:rsid w:val="006A471C"/>
    <w:rsid w:val="006A56FA"/>
    <w:rsid w:val="006A5B6A"/>
    <w:rsid w:val="006A5F29"/>
    <w:rsid w:val="006A6327"/>
    <w:rsid w:val="006A67F0"/>
    <w:rsid w:val="006A69FB"/>
    <w:rsid w:val="006A6A9C"/>
    <w:rsid w:val="006A6D7D"/>
    <w:rsid w:val="006A7528"/>
    <w:rsid w:val="006A7D32"/>
    <w:rsid w:val="006B0261"/>
    <w:rsid w:val="006B156C"/>
    <w:rsid w:val="006B1AF2"/>
    <w:rsid w:val="006B2344"/>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D7F6F"/>
    <w:rsid w:val="006E03E1"/>
    <w:rsid w:val="006E040D"/>
    <w:rsid w:val="006E0EA6"/>
    <w:rsid w:val="006E150C"/>
    <w:rsid w:val="006E1CF2"/>
    <w:rsid w:val="006E20D5"/>
    <w:rsid w:val="006E214F"/>
    <w:rsid w:val="006E27B5"/>
    <w:rsid w:val="006E28C6"/>
    <w:rsid w:val="006E2F89"/>
    <w:rsid w:val="006E3124"/>
    <w:rsid w:val="006E3F19"/>
    <w:rsid w:val="006E45CE"/>
    <w:rsid w:val="006E484B"/>
    <w:rsid w:val="006E5D61"/>
    <w:rsid w:val="006E6834"/>
    <w:rsid w:val="006E6842"/>
    <w:rsid w:val="006E7AFC"/>
    <w:rsid w:val="006E7C8A"/>
    <w:rsid w:val="006F091F"/>
    <w:rsid w:val="006F167E"/>
    <w:rsid w:val="006F1965"/>
    <w:rsid w:val="006F1F9A"/>
    <w:rsid w:val="006F1FBA"/>
    <w:rsid w:val="006F255C"/>
    <w:rsid w:val="006F2DD8"/>
    <w:rsid w:val="006F32AC"/>
    <w:rsid w:val="006F3C82"/>
    <w:rsid w:val="006F4B12"/>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5540"/>
    <w:rsid w:val="007056AD"/>
    <w:rsid w:val="00705855"/>
    <w:rsid w:val="00705C52"/>
    <w:rsid w:val="00705F17"/>
    <w:rsid w:val="0070718E"/>
    <w:rsid w:val="00710228"/>
    <w:rsid w:val="00710817"/>
    <w:rsid w:val="0071082D"/>
    <w:rsid w:val="00711579"/>
    <w:rsid w:val="0071414C"/>
    <w:rsid w:val="0071466F"/>
    <w:rsid w:val="007149A6"/>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3ED"/>
    <w:rsid w:val="0072653C"/>
    <w:rsid w:val="007275EE"/>
    <w:rsid w:val="0073018E"/>
    <w:rsid w:val="00730A0C"/>
    <w:rsid w:val="00730A63"/>
    <w:rsid w:val="0073136A"/>
    <w:rsid w:val="00731381"/>
    <w:rsid w:val="007313C4"/>
    <w:rsid w:val="0073323B"/>
    <w:rsid w:val="00733276"/>
    <w:rsid w:val="007336E0"/>
    <w:rsid w:val="00734608"/>
    <w:rsid w:val="00735345"/>
    <w:rsid w:val="00735ABC"/>
    <w:rsid w:val="0073611B"/>
    <w:rsid w:val="0073621B"/>
    <w:rsid w:val="007365BA"/>
    <w:rsid w:val="00736B59"/>
    <w:rsid w:val="00736EAF"/>
    <w:rsid w:val="00737512"/>
    <w:rsid w:val="00737985"/>
    <w:rsid w:val="007379A4"/>
    <w:rsid w:val="00737FAA"/>
    <w:rsid w:val="00740EA1"/>
    <w:rsid w:val="007417AC"/>
    <w:rsid w:val="00741945"/>
    <w:rsid w:val="00741EE0"/>
    <w:rsid w:val="007429C2"/>
    <w:rsid w:val="00742CC2"/>
    <w:rsid w:val="00743738"/>
    <w:rsid w:val="007442A9"/>
    <w:rsid w:val="00744D7A"/>
    <w:rsid w:val="00745129"/>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E74"/>
    <w:rsid w:val="00761FA5"/>
    <w:rsid w:val="00762547"/>
    <w:rsid w:val="00762D7E"/>
    <w:rsid w:val="00762EFE"/>
    <w:rsid w:val="0076315D"/>
    <w:rsid w:val="00763A44"/>
    <w:rsid w:val="00763C42"/>
    <w:rsid w:val="00763EED"/>
    <w:rsid w:val="00764295"/>
    <w:rsid w:val="00764780"/>
    <w:rsid w:val="00764965"/>
    <w:rsid w:val="00764E83"/>
    <w:rsid w:val="0076663D"/>
    <w:rsid w:val="00767BB3"/>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8E8"/>
    <w:rsid w:val="007770BC"/>
    <w:rsid w:val="00777556"/>
    <w:rsid w:val="00777641"/>
    <w:rsid w:val="007776D4"/>
    <w:rsid w:val="0077777D"/>
    <w:rsid w:val="00780227"/>
    <w:rsid w:val="0078064D"/>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321"/>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6FEE"/>
    <w:rsid w:val="007972FD"/>
    <w:rsid w:val="00797415"/>
    <w:rsid w:val="007A07D3"/>
    <w:rsid w:val="007A19F2"/>
    <w:rsid w:val="007A274A"/>
    <w:rsid w:val="007A30E1"/>
    <w:rsid w:val="007A329A"/>
    <w:rsid w:val="007A37DF"/>
    <w:rsid w:val="007A45CA"/>
    <w:rsid w:val="007A4904"/>
    <w:rsid w:val="007A4B0D"/>
    <w:rsid w:val="007A5349"/>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1509"/>
    <w:rsid w:val="007E218B"/>
    <w:rsid w:val="007E24AC"/>
    <w:rsid w:val="007E297F"/>
    <w:rsid w:val="007E2AA0"/>
    <w:rsid w:val="007E2F15"/>
    <w:rsid w:val="007E3656"/>
    <w:rsid w:val="007E5365"/>
    <w:rsid w:val="007E6358"/>
    <w:rsid w:val="007E67E7"/>
    <w:rsid w:val="007E7B5C"/>
    <w:rsid w:val="007E7E3F"/>
    <w:rsid w:val="007E7E6B"/>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D36"/>
    <w:rsid w:val="007F6F7D"/>
    <w:rsid w:val="007F70CE"/>
    <w:rsid w:val="007F7C5B"/>
    <w:rsid w:val="00800A7F"/>
    <w:rsid w:val="00801A56"/>
    <w:rsid w:val="00801EF3"/>
    <w:rsid w:val="00802281"/>
    <w:rsid w:val="00802535"/>
    <w:rsid w:val="0080325E"/>
    <w:rsid w:val="00804003"/>
    <w:rsid w:val="00804ABB"/>
    <w:rsid w:val="00804BB3"/>
    <w:rsid w:val="0080579B"/>
    <w:rsid w:val="00805889"/>
    <w:rsid w:val="00805E37"/>
    <w:rsid w:val="008063BD"/>
    <w:rsid w:val="008065A1"/>
    <w:rsid w:val="00806DDC"/>
    <w:rsid w:val="008071AB"/>
    <w:rsid w:val="00807457"/>
    <w:rsid w:val="00807EAF"/>
    <w:rsid w:val="008104B2"/>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A4"/>
    <w:rsid w:val="00836DC0"/>
    <w:rsid w:val="00837138"/>
    <w:rsid w:val="00837E67"/>
    <w:rsid w:val="00840285"/>
    <w:rsid w:val="00840D4A"/>
    <w:rsid w:val="00841062"/>
    <w:rsid w:val="0084149C"/>
    <w:rsid w:val="00841FC1"/>
    <w:rsid w:val="008427D8"/>
    <w:rsid w:val="00842E94"/>
    <w:rsid w:val="00842EB0"/>
    <w:rsid w:val="008430C8"/>
    <w:rsid w:val="0084428F"/>
    <w:rsid w:val="00844438"/>
    <w:rsid w:val="008451E7"/>
    <w:rsid w:val="00845A02"/>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6AF"/>
    <w:rsid w:val="008557B0"/>
    <w:rsid w:val="00856993"/>
    <w:rsid w:val="00856B58"/>
    <w:rsid w:val="00856FB6"/>
    <w:rsid w:val="00860448"/>
    <w:rsid w:val="00860EC8"/>
    <w:rsid w:val="00861838"/>
    <w:rsid w:val="00861FF2"/>
    <w:rsid w:val="008620A3"/>
    <w:rsid w:val="00862D40"/>
    <w:rsid w:val="008630E8"/>
    <w:rsid w:val="00863844"/>
    <w:rsid w:val="008639F6"/>
    <w:rsid w:val="00863C54"/>
    <w:rsid w:val="008642B2"/>
    <w:rsid w:val="00864B09"/>
    <w:rsid w:val="00864EE3"/>
    <w:rsid w:val="00865C91"/>
    <w:rsid w:val="00867426"/>
    <w:rsid w:val="008701D5"/>
    <w:rsid w:val="00871BA6"/>
    <w:rsid w:val="008735B9"/>
    <w:rsid w:val="008735F8"/>
    <w:rsid w:val="00873972"/>
    <w:rsid w:val="00873A4F"/>
    <w:rsid w:val="00873F72"/>
    <w:rsid w:val="0087531A"/>
    <w:rsid w:val="00875522"/>
    <w:rsid w:val="008769BC"/>
    <w:rsid w:val="008772D6"/>
    <w:rsid w:val="00877A32"/>
    <w:rsid w:val="0088039E"/>
    <w:rsid w:val="008809E7"/>
    <w:rsid w:val="00880BE5"/>
    <w:rsid w:val="00881018"/>
    <w:rsid w:val="00881209"/>
    <w:rsid w:val="00881760"/>
    <w:rsid w:val="00882C8E"/>
    <w:rsid w:val="008830CC"/>
    <w:rsid w:val="00883921"/>
    <w:rsid w:val="00884F61"/>
    <w:rsid w:val="00885F80"/>
    <w:rsid w:val="0088628A"/>
    <w:rsid w:val="00886AED"/>
    <w:rsid w:val="00887AC8"/>
    <w:rsid w:val="008901D4"/>
    <w:rsid w:val="008903B2"/>
    <w:rsid w:val="0089285E"/>
    <w:rsid w:val="00892DC4"/>
    <w:rsid w:val="008933AE"/>
    <w:rsid w:val="00893C3D"/>
    <w:rsid w:val="00893CF1"/>
    <w:rsid w:val="00893F58"/>
    <w:rsid w:val="00894195"/>
    <w:rsid w:val="008949FF"/>
    <w:rsid w:val="00894B7A"/>
    <w:rsid w:val="008950BF"/>
    <w:rsid w:val="00895BF5"/>
    <w:rsid w:val="00895F3A"/>
    <w:rsid w:val="00896250"/>
    <w:rsid w:val="00896471"/>
    <w:rsid w:val="00896E2B"/>
    <w:rsid w:val="00897E8B"/>
    <w:rsid w:val="008A01E8"/>
    <w:rsid w:val="008A095C"/>
    <w:rsid w:val="008A0DD1"/>
    <w:rsid w:val="008A1269"/>
    <w:rsid w:val="008A127C"/>
    <w:rsid w:val="008A1A1E"/>
    <w:rsid w:val="008A23F5"/>
    <w:rsid w:val="008A2721"/>
    <w:rsid w:val="008A2A87"/>
    <w:rsid w:val="008A3629"/>
    <w:rsid w:val="008A3D23"/>
    <w:rsid w:val="008A3E97"/>
    <w:rsid w:val="008A40DD"/>
    <w:rsid w:val="008A46A9"/>
    <w:rsid w:val="008A52C0"/>
    <w:rsid w:val="008A7011"/>
    <w:rsid w:val="008A7128"/>
    <w:rsid w:val="008B03D0"/>
    <w:rsid w:val="008B0A06"/>
    <w:rsid w:val="008B17A7"/>
    <w:rsid w:val="008B1A15"/>
    <w:rsid w:val="008B2672"/>
    <w:rsid w:val="008B2AFB"/>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D0095"/>
    <w:rsid w:val="008D0619"/>
    <w:rsid w:val="008D0B51"/>
    <w:rsid w:val="008D0C89"/>
    <w:rsid w:val="008D0DDB"/>
    <w:rsid w:val="008D1540"/>
    <w:rsid w:val="008D154E"/>
    <w:rsid w:val="008D2AF0"/>
    <w:rsid w:val="008D2E4A"/>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0550"/>
    <w:rsid w:val="008E13C4"/>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D56"/>
    <w:rsid w:val="008E7E9E"/>
    <w:rsid w:val="008F01D3"/>
    <w:rsid w:val="008F08A9"/>
    <w:rsid w:val="008F2169"/>
    <w:rsid w:val="008F240A"/>
    <w:rsid w:val="008F26BB"/>
    <w:rsid w:val="008F3799"/>
    <w:rsid w:val="008F3961"/>
    <w:rsid w:val="008F4115"/>
    <w:rsid w:val="008F43F2"/>
    <w:rsid w:val="008F5062"/>
    <w:rsid w:val="008F532A"/>
    <w:rsid w:val="008F5644"/>
    <w:rsid w:val="008F5D90"/>
    <w:rsid w:val="008F64D1"/>
    <w:rsid w:val="008F67AC"/>
    <w:rsid w:val="008F716D"/>
    <w:rsid w:val="008F71C5"/>
    <w:rsid w:val="0090276F"/>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651"/>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7FB"/>
    <w:rsid w:val="00922AD4"/>
    <w:rsid w:val="0092359C"/>
    <w:rsid w:val="009239F1"/>
    <w:rsid w:val="00924BAC"/>
    <w:rsid w:val="00924F57"/>
    <w:rsid w:val="00925314"/>
    <w:rsid w:val="009257D8"/>
    <w:rsid w:val="00925E97"/>
    <w:rsid w:val="009260D2"/>
    <w:rsid w:val="0092658C"/>
    <w:rsid w:val="00926943"/>
    <w:rsid w:val="00926E75"/>
    <w:rsid w:val="009271C5"/>
    <w:rsid w:val="009276A4"/>
    <w:rsid w:val="00927883"/>
    <w:rsid w:val="009300A6"/>
    <w:rsid w:val="00930A64"/>
    <w:rsid w:val="00930BCC"/>
    <w:rsid w:val="0093136E"/>
    <w:rsid w:val="0093154F"/>
    <w:rsid w:val="00931EFD"/>
    <w:rsid w:val="0093224C"/>
    <w:rsid w:val="00932630"/>
    <w:rsid w:val="009329CA"/>
    <w:rsid w:val="00933172"/>
    <w:rsid w:val="00933709"/>
    <w:rsid w:val="00933BC8"/>
    <w:rsid w:val="009345FF"/>
    <w:rsid w:val="00934652"/>
    <w:rsid w:val="009352EF"/>
    <w:rsid w:val="00935E16"/>
    <w:rsid w:val="00936C75"/>
    <w:rsid w:val="009373B0"/>
    <w:rsid w:val="009414CC"/>
    <w:rsid w:val="009420DF"/>
    <w:rsid w:val="00942A80"/>
    <w:rsid w:val="009442A0"/>
    <w:rsid w:val="00944417"/>
    <w:rsid w:val="00946581"/>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78"/>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0E0"/>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DB9"/>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288"/>
    <w:rsid w:val="009B4508"/>
    <w:rsid w:val="009B47A8"/>
    <w:rsid w:val="009B4A21"/>
    <w:rsid w:val="009B560C"/>
    <w:rsid w:val="009B5F26"/>
    <w:rsid w:val="009B6281"/>
    <w:rsid w:val="009B6B91"/>
    <w:rsid w:val="009B72AE"/>
    <w:rsid w:val="009B74F3"/>
    <w:rsid w:val="009B7957"/>
    <w:rsid w:val="009C02E4"/>
    <w:rsid w:val="009C09DE"/>
    <w:rsid w:val="009C0C1A"/>
    <w:rsid w:val="009C1544"/>
    <w:rsid w:val="009C17A6"/>
    <w:rsid w:val="009C1FF8"/>
    <w:rsid w:val="009C25BD"/>
    <w:rsid w:val="009C3694"/>
    <w:rsid w:val="009C48B2"/>
    <w:rsid w:val="009C536C"/>
    <w:rsid w:val="009C53A3"/>
    <w:rsid w:val="009C608B"/>
    <w:rsid w:val="009C60FA"/>
    <w:rsid w:val="009C7CB3"/>
    <w:rsid w:val="009D04F3"/>
    <w:rsid w:val="009D2AB1"/>
    <w:rsid w:val="009D3C51"/>
    <w:rsid w:val="009D3FB4"/>
    <w:rsid w:val="009D484B"/>
    <w:rsid w:val="009D518C"/>
    <w:rsid w:val="009D591F"/>
    <w:rsid w:val="009D5A2E"/>
    <w:rsid w:val="009D6342"/>
    <w:rsid w:val="009D6906"/>
    <w:rsid w:val="009D6DB2"/>
    <w:rsid w:val="009D715D"/>
    <w:rsid w:val="009D745B"/>
    <w:rsid w:val="009D77F5"/>
    <w:rsid w:val="009E09FC"/>
    <w:rsid w:val="009E208A"/>
    <w:rsid w:val="009E26F9"/>
    <w:rsid w:val="009E28D1"/>
    <w:rsid w:val="009E3BFA"/>
    <w:rsid w:val="009E49E3"/>
    <w:rsid w:val="009E67D1"/>
    <w:rsid w:val="009E6D18"/>
    <w:rsid w:val="009E6F1A"/>
    <w:rsid w:val="009E7949"/>
    <w:rsid w:val="009E7B92"/>
    <w:rsid w:val="009F0368"/>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55D1"/>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95E"/>
    <w:rsid w:val="00A70C7A"/>
    <w:rsid w:val="00A70DC8"/>
    <w:rsid w:val="00A71401"/>
    <w:rsid w:val="00A71404"/>
    <w:rsid w:val="00A7142F"/>
    <w:rsid w:val="00A72484"/>
    <w:rsid w:val="00A72867"/>
    <w:rsid w:val="00A733FD"/>
    <w:rsid w:val="00A743C4"/>
    <w:rsid w:val="00A748ED"/>
    <w:rsid w:val="00A74F69"/>
    <w:rsid w:val="00A75686"/>
    <w:rsid w:val="00A766DD"/>
    <w:rsid w:val="00A77255"/>
    <w:rsid w:val="00A7757C"/>
    <w:rsid w:val="00A777F0"/>
    <w:rsid w:val="00A80593"/>
    <w:rsid w:val="00A80614"/>
    <w:rsid w:val="00A81038"/>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A6B52"/>
    <w:rsid w:val="00AB05C7"/>
    <w:rsid w:val="00AB078B"/>
    <w:rsid w:val="00AB0ACB"/>
    <w:rsid w:val="00AB1243"/>
    <w:rsid w:val="00AB1A38"/>
    <w:rsid w:val="00AB27A6"/>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1D31"/>
    <w:rsid w:val="00AD23F3"/>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5BE"/>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624"/>
    <w:rsid w:val="00B03892"/>
    <w:rsid w:val="00B03DF1"/>
    <w:rsid w:val="00B03F46"/>
    <w:rsid w:val="00B06308"/>
    <w:rsid w:val="00B06405"/>
    <w:rsid w:val="00B06488"/>
    <w:rsid w:val="00B069DE"/>
    <w:rsid w:val="00B06B6B"/>
    <w:rsid w:val="00B06FA9"/>
    <w:rsid w:val="00B071D2"/>
    <w:rsid w:val="00B071E7"/>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560A"/>
    <w:rsid w:val="00B16270"/>
    <w:rsid w:val="00B164F4"/>
    <w:rsid w:val="00B16C34"/>
    <w:rsid w:val="00B17F37"/>
    <w:rsid w:val="00B2071F"/>
    <w:rsid w:val="00B22124"/>
    <w:rsid w:val="00B2240E"/>
    <w:rsid w:val="00B2241B"/>
    <w:rsid w:val="00B22730"/>
    <w:rsid w:val="00B227E7"/>
    <w:rsid w:val="00B229DC"/>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328F"/>
    <w:rsid w:val="00B33897"/>
    <w:rsid w:val="00B3395D"/>
    <w:rsid w:val="00B341FB"/>
    <w:rsid w:val="00B34BDF"/>
    <w:rsid w:val="00B34ED8"/>
    <w:rsid w:val="00B350CB"/>
    <w:rsid w:val="00B35262"/>
    <w:rsid w:val="00B356A6"/>
    <w:rsid w:val="00B35C8E"/>
    <w:rsid w:val="00B360C9"/>
    <w:rsid w:val="00B36D1A"/>
    <w:rsid w:val="00B37CB6"/>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117"/>
    <w:rsid w:val="00B45A9D"/>
    <w:rsid w:val="00B45F7D"/>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B7C"/>
    <w:rsid w:val="00B56D5A"/>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5ECA"/>
    <w:rsid w:val="00B664B9"/>
    <w:rsid w:val="00B664C9"/>
    <w:rsid w:val="00B66F5B"/>
    <w:rsid w:val="00B705B2"/>
    <w:rsid w:val="00B70853"/>
    <w:rsid w:val="00B718C1"/>
    <w:rsid w:val="00B71920"/>
    <w:rsid w:val="00B725E3"/>
    <w:rsid w:val="00B72C72"/>
    <w:rsid w:val="00B72DFA"/>
    <w:rsid w:val="00B74022"/>
    <w:rsid w:val="00B747EB"/>
    <w:rsid w:val="00B74E49"/>
    <w:rsid w:val="00B75C48"/>
    <w:rsid w:val="00B75E1E"/>
    <w:rsid w:val="00B769D2"/>
    <w:rsid w:val="00B7715E"/>
    <w:rsid w:val="00B8001A"/>
    <w:rsid w:val="00B803B3"/>
    <w:rsid w:val="00B80514"/>
    <w:rsid w:val="00B81610"/>
    <w:rsid w:val="00B820C3"/>
    <w:rsid w:val="00B82BB8"/>
    <w:rsid w:val="00B830E6"/>
    <w:rsid w:val="00B83C3B"/>
    <w:rsid w:val="00B83F91"/>
    <w:rsid w:val="00B840C0"/>
    <w:rsid w:val="00B846A9"/>
    <w:rsid w:val="00B846B5"/>
    <w:rsid w:val="00B84F15"/>
    <w:rsid w:val="00B850EF"/>
    <w:rsid w:val="00B85DA4"/>
    <w:rsid w:val="00B861A6"/>
    <w:rsid w:val="00B867FF"/>
    <w:rsid w:val="00B872EF"/>
    <w:rsid w:val="00B876B1"/>
    <w:rsid w:val="00B877FE"/>
    <w:rsid w:val="00B87D45"/>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2BAC"/>
    <w:rsid w:val="00BA3CBA"/>
    <w:rsid w:val="00BA3DDD"/>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915"/>
    <w:rsid w:val="00BB4A25"/>
    <w:rsid w:val="00BB4F14"/>
    <w:rsid w:val="00BB50A5"/>
    <w:rsid w:val="00BB532C"/>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599A"/>
    <w:rsid w:val="00BD6011"/>
    <w:rsid w:val="00BD62F7"/>
    <w:rsid w:val="00BD6867"/>
    <w:rsid w:val="00BD6A26"/>
    <w:rsid w:val="00BD79F0"/>
    <w:rsid w:val="00BE06F9"/>
    <w:rsid w:val="00BE0CFF"/>
    <w:rsid w:val="00BE17FE"/>
    <w:rsid w:val="00BE1D67"/>
    <w:rsid w:val="00BE1E72"/>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BF7F6C"/>
    <w:rsid w:val="00C00C08"/>
    <w:rsid w:val="00C00C85"/>
    <w:rsid w:val="00C01713"/>
    <w:rsid w:val="00C0206B"/>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E8B"/>
    <w:rsid w:val="00C20778"/>
    <w:rsid w:val="00C20A52"/>
    <w:rsid w:val="00C2180B"/>
    <w:rsid w:val="00C21F12"/>
    <w:rsid w:val="00C222E2"/>
    <w:rsid w:val="00C2238C"/>
    <w:rsid w:val="00C233F6"/>
    <w:rsid w:val="00C2466D"/>
    <w:rsid w:val="00C24EF0"/>
    <w:rsid w:val="00C250B8"/>
    <w:rsid w:val="00C250E4"/>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37CBF"/>
    <w:rsid w:val="00C4002D"/>
    <w:rsid w:val="00C40380"/>
    <w:rsid w:val="00C4117E"/>
    <w:rsid w:val="00C41B93"/>
    <w:rsid w:val="00C420DE"/>
    <w:rsid w:val="00C43135"/>
    <w:rsid w:val="00C434A1"/>
    <w:rsid w:val="00C43D38"/>
    <w:rsid w:val="00C4489F"/>
    <w:rsid w:val="00C452B1"/>
    <w:rsid w:val="00C455C7"/>
    <w:rsid w:val="00C45969"/>
    <w:rsid w:val="00C46BC9"/>
    <w:rsid w:val="00C51016"/>
    <w:rsid w:val="00C51B4D"/>
    <w:rsid w:val="00C51D1C"/>
    <w:rsid w:val="00C52C76"/>
    <w:rsid w:val="00C5368C"/>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67FFB"/>
    <w:rsid w:val="00C71535"/>
    <w:rsid w:val="00C71F07"/>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17EC"/>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273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41C0"/>
    <w:rsid w:val="00CF44D5"/>
    <w:rsid w:val="00CF4DD9"/>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07BA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3725"/>
    <w:rsid w:val="00D2415B"/>
    <w:rsid w:val="00D24702"/>
    <w:rsid w:val="00D24935"/>
    <w:rsid w:val="00D24F85"/>
    <w:rsid w:val="00D2578E"/>
    <w:rsid w:val="00D260C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0AD6"/>
    <w:rsid w:val="00D8169E"/>
    <w:rsid w:val="00D8266A"/>
    <w:rsid w:val="00D82BBF"/>
    <w:rsid w:val="00D835C7"/>
    <w:rsid w:val="00D83C76"/>
    <w:rsid w:val="00D8424B"/>
    <w:rsid w:val="00D84DE8"/>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6813"/>
    <w:rsid w:val="00D9775D"/>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014D"/>
    <w:rsid w:val="00DB13F6"/>
    <w:rsid w:val="00DB1471"/>
    <w:rsid w:val="00DB2517"/>
    <w:rsid w:val="00DB389A"/>
    <w:rsid w:val="00DB43D3"/>
    <w:rsid w:val="00DB50C9"/>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3AE4"/>
    <w:rsid w:val="00DD4288"/>
    <w:rsid w:val="00DD42BF"/>
    <w:rsid w:val="00DD436B"/>
    <w:rsid w:val="00DD4A19"/>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2062"/>
    <w:rsid w:val="00E0293D"/>
    <w:rsid w:val="00E03B80"/>
    <w:rsid w:val="00E03C18"/>
    <w:rsid w:val="00E03F80"/>
    <w:rsid w:val="00E04612"/>
    <w:rsid w:val="00E05C35"/>
    <w:rsid w:val="00E05CDF"/>
    <w:rsid w:val="00E0624D"/>
    <w:rsid w:val="00E0629C"/>
    <w:rsid w:val="00E06CD7"/>
    <w:rsid w:val="00E06E43"/>
    <w:rsid w:val="00E07A88"/>
    <w:rsid w:val="00E07E0A"/>
    <w:rsid w:val="00E07F50"/>
    <w:rsid w:val="00E1012E"/>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4962"/>
    <w:rsid w:val="00E3535D"/>
    <w:rsid w:val="00E361C9"/>
    <w:rsid w:val="00E367DA"/>
    <w:rsid w:val="00E377FB"/>
    <w:rsid w:val="00E378B2"/>
    <w:rsid w:val="00E37997"/>
    <w:rsid w:val="00E379D5"/>
    <w:rsid w:val="00E40D34"/>
    <w:rsid w:val="00E418EA"/>
    <w:rsid w:val="00E41BD3"/>
    <w:rsid w:val="00E41F0A"/>
    <w:rsid w:val="00E42836"/>
    <w:rsid w:val="00E42B60"/>
    <w:rsid w:val="00E43268"/>
    <w:rsid w:val="00E435D2"/>
    <w:rsid w:val="00E4399C"/>
    <w:rsid w:val="00E447B8"/>
    <w:rsid w:val="00E44949"/>
    <w:rsid w:val="00E457D7"/>
    <w:rsid w:val="00E45CBB"/>
    <w:rsid w:val="00E46C71"/>
    <w:rsid w:val="00E46F16"/>
    <w:rsid w:val="00E47699"/>
    <w:rsid w:val="00E500DE"/>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22C"/>
    <w:rsid w:val="00E71377"/>
    <w:rsid w:val="00E73816"/>
    <w:rsid w:val="00E74623"/>
    <w:rsid w:val="00E74DE4"/>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59FF"/>
    <w:rsid w:val="00E87325"/>
    <w:rsid w:val="00E874D7"/>
    <w:rsid w:val="00E875BD"/>
    <w:rsid w:val="00E90FC2"/>
    <w:rsid w:val="00E91C4B"/>
    <w:rsid w:val="00E91CEE"/>
    <w:rsid w:val="00E92291"/>
    <w:rsid w:val="00E93265"/>
    <w:rsid w:val="00E93BFF"/>
    <w:rsid w:val="00E95599"/>
    <w:rsid w:val="00E958AE"/>
    <w:rsid w:val="00E9666C"/>
    <w:rsid w:val="00E96710"/>
    <w:rsid w:val="00E96B0D"/>
    <w:rsid w:val="00E97D14"/>
    <w:rsid w:val="00E97FE2"/>
    <w:rsid w:val="00EA01F9"/>
    <w:rsid w:val="00EA02CF"/>
    <w:rsid w:val="00EA10F7"/>
    <w:rsid w:val="00EA196C"/>
    <w:rsid w:val="00EA282D"/>
    <w:rsid w:val="00EA2C4E"/>
    <w:rsid w:val="00EA2F7C"/>
    <w:rsid w:val="00EA3C26"/>
    <w:rsid w:val="00EA3D5D"/>
    <w:rsid w:val="00EA3FEC"/>
    <w:rsid w:val="00EA406C"/>
    <w:rsid w:val="00EA4A72"/>
    <w:rsid w:val="00EA53C0"/>
    <w:rsid w:val="00EA5672"/>
    <w:rsid w:val="00EA6236"/>
    <w:rsid w:val="00EA6943"/>
    <w:rsid w:val="00EA76A6"/>
    <w:rsid w:val="00EA7773"/>
    <w:rsid w:val="00EB1A9C"/>
    <w:rsid w:val="00EB1F4D"/>
    <w:rsid w:val="00EB26C9"/>
    <w:rsid w:val="00EB3207"/>
    <w:rsid w:val="00EB32E3"/>
    <w:rsid w:val="00EB32EE"/>
    <w:rsid w:val="00EB35A9"/>
    <w:rsid w:val="00EB3699"/>
    <w:rsid w:val="00EB4288"/>
    <w:rsid w:val="00EB429B"/>
    <w:rsid w:val="00EB44CB"/>
    <w:rsid w:val="00EB4A72"/>
    <w:rsid w:val="00EB5254"/>
    <w:rsid w:val="00EB6066"/>
    <w:rsid w:val="00EB73C0"/>
    <w:rsid w:val="00EB74B3"/>
    <w:rsid w:val="00EB7D35"/>
    <w:rsid w:val="00EC0B08"/>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DA7"/>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629"/>
    <w:rsid w:val="00EF0743"/>
    <w:rsid w:val="00EF0C8E"/>
    <w:rsid w:val="00EF1B46"/>
    <w:rsid w:val="00EF3BDD"/>
    <w:rsid w:val="00EF3E62"/>
    <w:rsid w:val="00EF40EB"/>
    <w:rsid w:val="00EF4465"/>
    <w:rsid w:val="00EF46B6"/>
    <w:rsid w:val="00EF4E15"/>
    <w:rsid w:val="00EF6AE4"/>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1150"/>
    <w:rsid w:val="00F228E7"/>
    <w:rsid w:val="00F241C4"/>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0ABF"/>
    <w:rsid w:val="00F417E5"/>
    <w:rsid w:val="00F4191A"/>
    <w:rsid w:val="00F41AA7"/>
    <w:rsid w:val="00F41F78"/>
    <w:rsid w:val="00F4256F"/>
    <w:rsid w:val="00F42A5A"/>
    <w:rsid w:val="00F42EB7"/>
    <w:rsid w:val="00F4302C"/>
    <w:rsid w:val="00F4347A"/>
    <w:rsid w:val="00F43E32"/>
    <w:rsid w:val="00F44CFC"/>
    <w:rsid w:val="00F45C38"/>
    <w:rsid w:val="00F4601F"/>
    <w:rsid w:val="00F462B6"/>
    <w:rsid w:val="00F47374"/>
    <w:rsid w:val="00F47A81"/>
    <w:rsid w:val="00F504B2"/>
    <w:rsid w:val="00F508A7"/>
    <w:rsid w:val="00F51FE9"/>
    <w:rsid w:val="00F52084"/>
    <w:rsid w:val="00F5356A"/>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253"/>
    <w:rsid w:val="00F66AFE"/>
    <w:rsid w:val="00F679F8"/>
    <w:rsid w:val="00F70068"/>
    <w:rsid w:val="00F7053A"/>
    <w:rsid w:val="00F70ED9"/>
    <w:rsid w:val="00F71184"/>
    <w:rsid w:val="00F71671"/>
    <w:rsid w:val="00F71A8A"/>
    <w:rsid w:val="00F71C77"/>
    <w:rsid w:val="00F71F9A"/>
    <w:rsid w:val="00F72B22"/>
    <w:rsid w:val="00F732B2"/>
    <w:rsid w:val="00F75457"/>
    <w:rsid w:val="00F75D04"/>
    <w:rsid w:val="00F766B6"/>
    <w:rsid w:val="00F76EE9"/>
    <w:rsid w:val="00F77A3A"/>
    <w:rsid w:val="00F77BEE"/>
    <w:rsid w:val="00F77C7A"/>
    <w:rsid w:val="00F77E01"/>
    <w:rsid w:val="00F805D8"/>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6CC9"/>
    <w:rsid w:val="00F974EB"/>
    <w:rsid w:val="00F9785B"/>
    <w:rsid w:val="00F97996"/>
    <w:rsid w:val="00F97D21"/>
    <w:rsid w:val="00FA00F7"/>
    <w:rsid w:val="00FA0779"/>
    <w:rsid w:val="00FA0CA5"/>
    <w:rsid w:val="00FA0F81"/>
    <w:rsid w:val="00FA1E12"/>
    <w:rsid w:val="00FA1F82"/>
    <w:rsid w:val="00FA2321"/>
    <w:rsid w:val="00FA27E2"/>
    <w:rsid w:val="00FA2A86"/>
    <w:rsid w:val="00FA2F22"/>
    <w:rsid w:val="00FA2F38"/>
    <w:rsid w:val="00FA323D"/>
    <w:rsid w:val="00FA36F8"/>
    <w:rsid w:val="00FA38BF"/>
    <w:rsid w:val="00FA3E4A"/>
    <w:rsid w:val="00FA43ED"/>
    <w:rsid w:val="00FA45F1"/>
    <w:rsid w:val="00FA499E"/>
    <w:rsid w:val="00FA55A4"/>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DD1"/>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72DB"/>
    <w:rsid w:val="00FD7A6B"/>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852B3"/>
    <w:rsid w:val="014C3862"/>
    <w:rsid w:val="019333B7"/>
    <w:rsid w:val="01AC1E82"/>
    <w:rsid w:val="01AD122F"/>
    <w:rsid w:val="01B06C60"/>
    <w:rsid w:val="01B44C12"/>
    <w:rsid w:val="01CB1ADF"/>
    <w:rsid w:val="01E274B5"/>
    <w:rsid w:val="01F217C6"/>
    <w:rsid w:val="0206306B"/>
    <w:rsid w:val="022D1BC3"/>
    <w:rsid w:val="0236353C"/>
    <w:rsid w:val="0282299F"/>
    <w:rsid w:val="02BC38D2"/>
    <w:rsid w:val="02C37AC6"/>
    <w:rsid w:val="02C86BF7"/>
    <w:rsid w:val="02E77227"/>
    <w:rsid w:val="02EB08BF"/>
    <w:rsid w:val="02ED2E83"/>
    <w:rsid w:val="030303E3"/>
    <w:rsid w:val="03316FCB"/>
    <w:rsid w:val="03373980"/>
    <w:rsid w:val="036E19E4"/>
    <w:rsid w:val="038A6195"/>
    <w:rsid w:val="03923AF1"/>
    <w:rsid w:val="03925809"/>
    <w:rsid w:val="03E05C76"/>
    <w:rsid w:val="03ED5EE9"/>
    <w:rsid w:val="04075304"/>
    <w:rsid w:val="04212517"/>
    <w:rsid w:val="044A4D37"/>
    <w:rsid w:val="045955B0"/>
    <w:rsid w:val="04644DB3"/>
    <w:rsid w:val="0468245D"/>
    <w:rsid w:val="04925926"/>
    <w:rsid w:val="04EC4753"/>
    <w:rsid w:val="04F04544"/>
    <w:rsid w:val="050E0405"/>
    <w:rsid w:val="053A4FF9"/>
    <w:rsid w:val="054A5317"/>
    <w:rsid w:val="054C5424"/>
    <w:rsid w:val="05544226"/>
    <w:rsid w:val="05767156"/>
    <w:rsid w:val="0578283B"/>
    <w:rsid w:val="05867A5F"/>
    <w:rsid w:val="05AA75F9"/>
    <w:rsid w:val="05BF1195"/>
    <w:rsid w:val="0609156B"/>
    <w:rsid w:val="061F3F15"/>
    <w:rsid w:val="06256E72"/>
    <w:rsid w:val="063E7FBE"/>
    <w:rsid w:val="06454049"/>
    <w:rsid w:val="065065CB"/>
    <w:rsid w:val="066111B0"/>
    <w:rsid w:val="0668445E"/>
    <w:rsid w:val="067030A9"/>
    <w:rsid w:val="067F09B5"/>
    <w:rsid w:val="06927340"/>
    <w:rsid w:val="06994A84"/>
    <w:rsid w:val="069B2375"/>
    <w:rsid w:val="06AE7EC2"/>
    <w:rsid w:val="06E2439C"/>
    <w:rsid w:val="070729D4"/>
    <w:rsid w:val="07184CB5"/>
    <w:rsid w:val="07386C6B"/>
    <w:rsid w:val="074F6344"/>
    <w:rsid w:val="076C6F78"/>
    <w:rsid w:val="07707311"/>
    <w:rsid w:val="077C552F"/>
    <w:rsid w:val="077E37DC"/>
    <w:rsid w:val="078057A6"/>
    <w:rsid w:val="07A969DE"/>
    <w:rsid w:val="07B13073"/>
    <w:rsid w:val="07CC09EB"/>
    <w:rsid w:val="07DF3928"/>
    <w:rsid w:val="07F42210"/>
    <w:rsid w:val="086026F5"/>
    <w:rsid w:val="086F2092"/>
    <w:rsid w:val="087B41C0"/>
    <w:rsid w:val="08977063"/>
    <w:rsid w:val="08AB2FDA"/>
    <w:rsid w:val="08C51D33"/>
    <w:rsid w:val="08D4742C"/>
    <w:rsid w:val="08F540F1"/>
    <w:rsid w:val="09104908"/>
    <w:rsid w:val="091B4D3A"/>
    <w:rsid w:val="0920642C"/>
    <w:rsid w:val="09207FBB"/>
    <w:rsid w:val="092B4E76"/>
    <w:rsid w:val="09380C46"/>
    <w:rsid w:val="093A7BD7"/>
    <w:rsid w:val="09A20E16"/>
    <w:rsid w:val="09B23D32"/>
    <w:rsid w:val="09F07FF9"/>
    <w:rsid w:val="09F62A45"/>
    <w:rsid w:val="0A092218"/>
    <w:rsid w:val="0A0C1573"/>
    <w:rsid w:val="0A2F6677"/>
    <w:rsid w:val="0A301A70"/>
    <w:rsid w:val="0A434869"/>
    <w:rsid w:val="0A6A0048"/>
    <w:rsid w:val="0AB61297"/>
    <w:rsid w:val="0ABE2142"/>
    <w:rsid w:val="0AF72FE3"/>
    <w:rsid w:val="0B112D05"/>
    <w:rsid w:val="0B4D3B6E"/>
    <w:rsid w:val="0B650CF4"/>
    <w:rsid w:val="0B6940EA"/>
    <w:rsid w:val="0B6A477D"/>
    <w:rsid w:val="0B8E2C17"/>
    <w:rsid w:val="0BC67500"/>
    <w:rsid w:val="0BDB2868"/>
    <w:rsid w:val="0C1C205C"/>
    <w:rsid w:val="0C1E733C"/>
    <w:rsid w:val="0C4A0131"/>
    <w:rsid w:val="0C4B1A54"/>
    <w:rsid w:val="0C7E214D"/>
    <w:rsid w:val="0C817903"/>
    <w:rsid w:val="0C865E84"/>
    <w:rsid w:val="0C8C32F3"/>
    <w:rsid w:val="0C9807BE"/>
    <w:rsid w:val="0CAE3F07"/>
    <w:rsid w:val="0CB6050B"/>
    <w:rsid w:val="0CDC732C"/>
    <w:rsid w:val="0CEB1914"/>
    <w:rsid w:val="0CFB0B17"/>
    <w:rsid w:val="0D0A78C0"/>
    <w:rsid w:val="0D0C5A0C"/>
    <w:rsid w:val="0D240982"/>
    <w:rsid w:val="0D28411B"/>
    <w:rsid w:val="0D531FED"/>
    <w:rsid w:val="0D6D2BE9"/>
    <w:rsid w:val="0DB90915"/>
    <w:rsid w:val="0DB92613"/>
    <w:rsid w:val="0DC47BD4"/>
    <w:rsid w:val="0DD2058B"/>
    <w:rsid w:val="0DF63C8E"/>
    <w:rsid w:val="0E2A4EBB"/>
    <w:rsid w:val="0E2E4511"/>
    <w:rsid w:val="0E71212C"/>
    <w:rsid w:val="0E725829"/>
    <w:rsid w:val="0E786D01"/>
    <w:rsid w:val="0E792B8A"/>
    <w:rsid w:val="0EB45CE0"/>
    <w:rsid w:val="0ED76E2B"/>
    <w:rsid w:val="0EDC3095"/>
    <w:rsid w:val="0EF95FD9"/>
    <w:rsid w:val="0F113188"/>
    <w:rsid w:val="0F424644"/>
    <w:rsid w:val="0F5F63AE"/>
    <w:rsid w:val="0F6A1D5A"/>
    <w:rsid w:val="0F952D09"/>
    <w:rsid w:val="0FA936AF"/>
    <w:rsid w:val="0FBF1235"/>
    <w:rsid w:val="0FC47870"/>
    <w:rsid w:val="0FD032B4"/>
    <w:rsid w:val="0FDD3FB9"/>
    <w:rsid w:val="102A004C"/>
    <w:rsid w:val="10634AA9"/>
    <w:rsid w:val="10863CAA"/>
    <w:rsid w:val="10926863"/>
    <w:rsid w:val="10B15F38"/>
    <w:rsid w:val="10D606A6"/>
    <w:rsid w:val="10E02E12"/>
    <w:rsid w:val="10E431EE"/>
    <w:rsid w:val="10EF47F9"/>
    <w:rsid w:val="10F35875"/>
    <w:rsid w:val="111666F6"/>
    <w:rsid w:val="111C017B"/>
    <w:rsid w:val="114F2E95"/>
    <w:rsid w:val="11561F57"/>
    <w:rsid w:val="116B6703"/>
    <w:rsid w:val="117071F7"/>
    <w:rsid w:val="11867E5D"/>
    <w:rsid w:val="118714DF"/>
    <w:rsid w:val="118A59F2"/>
    <w:rsid w:val="11934328"/>
    <w:rsid w:val="11984A56"/>
    <w:rsid w:val="11B52B72"/>
    <w:rsid w:val="11CD69F4"/>
    <w:rsid w:val="12000975"/>
    <w:rsid w:val="122114BC"/>
    <w:rsid w:val="123B0F20"/>
    <w:rsid w:val="125E6BD9"/>
    <w:rsid w:val="12695089"/>
    <w:rsid w:val="12B86A79"/>
    <w:rsid w:val="12CC7D66"/>
    <w:rsid w:val="12D559C7"/>
    <w:rsid w:val="12D80A40"/>
    <w:rsid w:val="12DB66FD"/>
    <w:rsid w:val="12DE0A65"/>
    <w:rsid w:val="12E3504E"/>
    <w:rsid w:val="13023655"/>
    <w:rsid w:val="13213D92"/>
    <w:rsid w:val="132A0CBC"/>
    <w:rsid w:val="13313DF9"/>
    <w:rsid w:val="135703C9"/>
    <w:rsid w:val="13623FB2"/>
    <w:rsid w:val="13631A10"/>
    <w:rsid w:val="13652F65"/>
    <w:rsid w:val="139C2569"/>
    <w:rsid w:val="139D0602"/>
    <w:rsid w:val="13A30D27"/>
    <w:rsid w:val="13D608C4"/>
    <w:rsid w:val="13E37517"/>
    <w:rsid w:val="13ED7281"/>
    <w:rsid w:val="14067033"/>
    <w:rsid w:val="14123C2A"/>
    <w:rsid w:val="14301D37"/>
    <w:rsid w:val="14393AD1"/>
    <w:rsid w:val="144933C4"/>
    <w:rsid w:val="14531B4D"/>
    <w:rsid w:val="14723125"/>
    <w:rsid w:val="14813A64"/>
    <w:rsid w:val="149363ED"/>
    <w:rsid w:val="14972B7C"/>
    <w:rsid w:val="14B54B01"/>
    <w:rsid w:val="14B765A2"/>
    <w:rsid w:val="14C52FE6"/>
    <w:rsid w:val="14F21366"/>
    <w:rsid w:val="14F47F34"/>
    <w:rsid w:val="14F77BF1"/>
    <w:rsid w:val="14FF642C"/>
    <w:rsid w:val="151E215B"/>
    <w:rsid w:val="154A4D0A"/>
    <w:rsid w:val="15734D76"/>
    <w:rsid w:val="157601E9"/>
    <w:rsid w:val="15A505D9"/>
    <w:rsid w:val="15CF16A7"/>
    <w:rsid w:val="15D8055B"/>
    <w:rsid w:val="15FE54DC"/>
    <w:rsid w:val="160752E5"/>
    <w:rsid w:val="16207125"/>
    <w:rsid w:val="16281D9C"/>
    <w:rsid w:val="168144CE"/>
    <w:rsid w:val="16971E47"/>
    <w:rsid w:val="16997E0A"/>
    <w:rsid w:val="16A1400D"/>
    <w:rsid w:val="16AA5098"/>
    <w:rsid w:val="16B667DA"/>
    <w:rsid w:val="16BA0E4A"/>
    <w:rsid w:val="16C371C2"/>
    <w:rsid w:val="16FA6108"/>
    <w:rsid w:val="170D40E3"/>
    <w:rsid w:val="174B0728"/>
    <w:rsid w:val="175956CC"/>
    <w:rsid w:val="17740758"/>
    <w:rsid w:val="17801A73"/>
    <w:rsid w:val="17892502"/>
    <w:rsid w:val="17D55010"/>
    <w:rsid w:val="181152FA"/>
    <w:rsid w:val="18252518"/>
    <w:rsid w:val="18323011"/>
    <w:rsid w:val="18475E6C"/>
    <w:rsid w:val="1869193F"/>
    <w:rsid w:val="186D4557"/>
    <w:rsid w:val="18E17B6B"/>
    <w:rsid w:val="18F356AC"/>
    <w:rsid w:val="191E61EF"/>
    <w:rsid w:val="19267830"/>
    <w:rsid w:val="193C38E1"/>
    <w:rsid w:val="19492DFC"/>
    <w:rsid w:val="1957007D"/>
    <w:rsid w:val="195E269E"/>
    <w:rsid w:val="19680820"/>
    <w:rsid w:val="197919D7"/>
    <w:rsid w:val="197E141A"/>
    <w:rsid w:val="199B4DE8"/>
    <w:rsid w:val="19A21112"/>
    <w:rsid w:val="19AA0086"/>
    <w:rsid w:val="19AF5431"/>
    <w:rsid w:val="19B27651"/>
    <w:rsid w:val="19B50FD8"/>
    <w:rsid w:val="19C64138"/>
    <w:rsid w:val="19C7547D"/>
    <w:rsid w:val="1A0E305F"/>
    <w:rsid w:val="1A570432"/>
    <w:rsid w:val="1A82331E"/>
    <w:rsid w:val="1A9026A6"/>
    <w:rsid w:val="1A941212"/>
    <w:rsid w:val="1AA93666"/>
    <w:rsid w:val="1AAC1A2F"/>
    <w:rsid w:val="1AC32548"/>
    <w:rsid w:val="1ACC0364"/>
    <w:rsid w:val="1AE03B14"/>
    <w:rsid w:val="1AE46980"/>
    <w:rsid w:val="1AF5069A"/>
    <w:rsid w:val="1B125895"/>
    <w:rsid w:val="1B1453A9"/>
    <w:rsid w:val="1B17268B"/>
    <w:rsid w:val="1B367412"/>
    <w:rsid w:val="1B3E111B"/>
    <w:rsid w:val="1B4C1F6E"/>
    <w:rsid w:val="1B4D356B"/>
    <w:rsid w:val="1B643160"/>
    <w:rsid w:val="1B6733CE"/>
    <w:rsid w:val="1B760734"/>
    <w:rsid w:val="1B7B678F"/>
    <w:rsid w:val="1BC44F86"/>
    <w:rsid w:val="1BD80238"/>
    <w:rsid w:val="1BD97FC2"/>
    <w:rsid w:val="1BE51C24"/>
    <w:rsid w:val="1BEB47F2"/>
    <w:rsid w:val="1BF43C15"/>
    <w:rsid w:val="1BFE065D"/>
    <w:rsid w:val="1C0555D1"/>
    <w:rsid w:val="1C13053F"/>
    <w:rsid w:val="1C1C2E82"/>
    <w:rsid w:val="1C3D7633"/>
    <w:rsid w:val="1C49396E"/>
    <w:rsid w:val="1C5841A4"/>
    <w:rsid w:val="1C5C77AB"/>
    <w:rsid w:val="1C677676"/>
    <w:rsid w:val="1C7134B8"/>
    <w:rsid w:val="1C7443B6"/>
    <w:rsid w:val="1C7A0440"/>
    <w:rsid w:val="1C8C02F2"/>
    <w:rsid w:val="1CA72C33"/>
    <w:rsid w:val="1CB348D0"/>
    <w:rsid w:val="1CD07AAC"/>
    <w:rsid w:val="1CD4458E"/>
    <w:rsid w:val="1CDA08A4"/>
    <w:rsid w:val="1CF55E97"/>
    <w:rsid w:val="1D0571E1"/>
    <w:rsid w:val="1D083E1C"/>
    <w:rsid w:val="1D1F2F14"/>
    <w:rsid w:val="1D392781"/>
    <w:rsid w:val="1D540A79"/>
    <w:rsid w:val="1D5C2402"/>
    <w:rsid w:val="1D5C35AC"/>
    <w:rsid w:val="1D855C9C"/>
    <w:rsid w:val="1DA148E3"/>
    <w:rsid w:val="1DC75A85"/>
    <w:rsid w:val="1DD2442A"/>
    <w:rsid w:val="1DD65F2E"/>
    <w:rsid w:val="1DEF321D"/>
    <w:rsid w:val="1DF35654"/>
    <w:rsid w:val="1E0026D8"/>
    <w:rsid w:val="1E042BDD"/>
    <w:rsid w:val="1E284B2B"/>
    <w:rsid w:val="1E4F4537"/>
    <w:rsid w:val="1E6A3E74"/>
    <w:rsid w:val="1E780D78"/>
    <w:rsid w:val="1E780F3D"/>
    <w:rsid w:val="1EAA1138"/>
    <w:rsid w:val="1EB008AA"/>
    <w:rsid w:val="1EB07A6C"/>
    <w:rsid w:val="1EBC3110"/>
    <w:rsid w:val="1ECF4C15"/>
    <w:rsid w:val="1EDA3BD8"/>
    <w:rsid w:val="1EED583E"/>
    <w:rsid w:val="1EED6B26"/>
    <w:rsid w:val="1F430143"/>
    <w:rsid w:val="1F492724"/>
    <w:rsid w:val="1F7C63FB"/>
    <w:rsid w:val="1F95393D"/>
    <w:rsid w:val="202B3AD6"/>
    <w:rsid w:val="20467B64"/>
    <w:rsid w:val="204834A0"/>
    <w:rsid w:val="209A5AFF"/>
    <w:rsid w:val="20AB3475"/>
    <w:rsid w:val="20B120D5"/>
    <w:rsid w:val="20BB10DA"/>
    <w:rsid w:val="20E56222"/>
    <w:rsid w:val="210B1133"/>
    <w:rsid w:val="21203C37"/>
    <w:rsid w:val="21233350"/>
    <w:rsid w:val="21480C86"/>
    <w:rsid w:val="21677BAA"/>
    <w:rsid w:val="21723F5A"/>
    <w:rsid w:val="21732CAC"/>
    <w:rsid w:val="218912A4"/>
    <w:rsid w:val="219D2323"/>
    <w:rsid w:val="219F0AC7"/>
    <w:rsid w:val="21A91391"/>
    <w:rsid w:val="21C37930"/>
    <w:rsid w:val="220014EE"/>
    <w:rsid w:val="22025F2D"/>
    <w:rsid w:val="220A6852"/>
    <w:rsid w:val="22510134"/>
    <w:rsid w:val="228F7F35"/>
    <w:rsid w:val="229A4D72"/>
    <w:rsid w:val="22BA6D16"/>
    <w:rsid w:val="22C81958"/>
    <w:rsid w:val="22D731FA"/>
    <w:rsid w:val="22EF2871"/>
    <w:rsid w:val="22F34840"/>
    <w:rsid w:val="22F37347"/>
    <w:rsid w:val="22F62614"/>
    <w:rsid w:val="232708E7"/>
    <w:rsid w:val="233079A3"/>
    <w:rsid w:val="2378512C"/>
    <w:rsid w:val="23786F7A"/>
    <w:rsid w:val="23A3699F"/>
    <w:rsid w:val="23A61C99"/>
    <w:rsid w:val="23C52504"/>
    <w:rsid w:val="23C715A3"/>
    <w:rsid w:val="23E01126"/>
    <w:rsid w:val="23E01397"/>
    <w:rsid w:val="2406098A"/>
    <w:rsid w:val="24101808"/>
    <w:rsid w:val="24174945"/>
    <w:rsid w:val="241C4982"/>
    <w:rsid w:val="242B7C47"/>
    <w:rsid w:val="242C2446"/>
    <w:rsid w:val="243A5A22"/>
    <w:rsid w:val="24487BCC"/>
    <w:rsid w:val="24570100"/>
    <w:rsid w:val="246F3E35"/>
    <w:rsid w:val="248912CB"/>
    <w:rsid w:val="249661B1"/>
    <w:rsid w:val="24A42751"/>
    <w:rsid w:val="24B761A8"/>
    <w:rsid w:val="24D12E80"/>
    <w:rsid w:val="24D3778F"/>
    <w:rsid w:val="24DD7BD6"/>
    <w:rsid w:val="24EA3E07"/>
    <w:rsid w:val="24FA0C9D"/>
    <w:rsid w:val="25024973"/>
    <w:rsid w:val="25066ECE"/>
    <w:rsid w:val="250714C1"/>
    <w:rsid w:val="25162E4E"/>
    <w:rsid w:val="251B63F4"/>
    <w:rsid w:val="251E4616"/>
    <w:rsid w:val="25203CCD"/>
    <w:rsid w:val="252820CC"/>
    <w:rsid w:val="253315C3"/>
    <w:rsid w:val="25441769"/>
    <w:rsid w:val="2556466D"/>
    <w:rsid w:val="25713C7F"/>
    <w:rsid w:val="259B31B3"/>
    <w:rsid w:val="25A05850"/>
    <w:rsid w:val="25A466AC"/>
    <w:rsid w:val="25C873AC"/>
    <w:rsid w:val="25CD0E58"/>
    <w:rsid w:val="26056D25"/>
    <w:rsid w:val="26057CCD"/>
    <w:rsid w:val="26061115"/>
    <w:rsid w:val="26136A8F"/>
    <w:rsid w:val="264834DB"/>
    <w:rsid w:val="2649167A"/>
    <w:rsid w:val="265E166E"/>
    <w:rsid w:val="26866302"/>
    <w:rsid w:val="26B5185F"/>
    <w:rsid w:val="26BA68FB"/>
    <w:rsid w:val="26C027E4"/>
    <w:rsid w:val="26D17265"/>
    <w:rsid w:val="26D93C9C"/>
    <w:rsid w:val="26E05A50"/>
    <w:rsid w:val="26E72CF4"/>
    <w:rsid w:val="27151DCB"/>
    <w:rsid w:val="2716695B"/>
    <w:rsid w:val="271A5747"/>
    <w:rsid w:val="272B62E8"/>
    <w:rsid w:val="27362FD6"/>
    <w:rsid w:val="27385564"/>
    <w:rsid w:val="273A5FED"/>
    <w:rsid w:val="273C5AE9"/>
    <w:rsid w:val="274E0517"/>
    <w:rsid w:val="27617DF2"/>
    <w:rsid w:val="276E7FC0"/>
    <w:rsid w:val="279D482F"/>
    <w:rsid w:val="27A34676"/>
    <w:rsid w:val="27AC5366"/>
    <w:rsid w:val="27B77E75"/>
    <w:rsid w:val="27C34E9E"/>
    <w:rsid w:val="27E62FAC"/>
    <w:rsid w:val="283B31B5"/>
    <w:rsid w:val="28743B4B"/>
    <w:rsid w:val="28A76BA9"/>
    <w:rsid w:val="28A92821"/>
    <w:rsid w:val="28B23351"/>
    <w:rsid w:val="28CA7DEE"/>
    <w:rsid w:val="290C0606"/>
    <w:rsid w:val="293807E2"/>
    <w:rsid w:val="293935AF"/>
    <w:rsid w:val="2944442E"/>
    <w:rsid w:val="29984596"/>
    <w:rsid w:val="29A35BAA"/>
    <w:rsid w:val="29A471A3"/>
    <w:rsid w:val="29AB42A1"/>
    <w:rsid w:val="29D03F99"/>
    <w:rsid w:val="29EC35DB"/>
    <w:rsid w:val="29ED1DB9"/>
    <w:rsid w:val="2A003335"/>
    <w:rsid w:val="2A257F5A"/>
    <w:rsid w:val="2A28357D"/>
    <w:rsid w:val="2A2C5EF9"/>
    <w:rsid w:val="2A5A4869"/>
    <w:rsid w:val="2A764D6D"/>
    <w:rsid w:val="2A78362C"/>
    <w:rsid w:val="2A8225E0"/>
    <w:rsid w:val="2AA43158"/>
    <w:rsid w:val="2AB32EED"/>
    <w:rsid w:val="2ABA4F2F"/>
    <w:rsid w:val="2AFC7F9D"/>
    <w:rsid w:val="2B151618"/>
    <w:rsid w:val="2B240ED4"/>
    <w:rsid w:val="2B5740BA"/>
    <w:rsid w:val="2B74267D"/>
    <w:rsid w:val="2B7A2BBA"/>
    <w:rsid w:val="2B7E32B5"/>
    <w:rsid w:val="2BAB6817"/>
    <w:rsid w:val="2BFA679B"/>
    <w:rsid w:val="2C1E6A63"/>
    <w:rsid w:val="2C210716"/>
    <w:rsid w:val="2C4B5AD3"/>
    <w:rsid w:val="2C9104A3"/>
    <w:rsid w:val="2CAE6752"/>
    <w:rsid w:val="2CD91BE2"/>
    <w:rsid w:val="2CEE29A1"/>
    <w:rsid w:val="2D01620B"/>
    <w:rsid w:val="2D16195F"/>
    <w:rsid w:val="2D4E142C"/>
    <w:rsid w:val="2D636E9F"/>
    <w:rsid w:val="2D745324"/>
    <w:rsid w:val="2D8E0752"/>
    <w:rsid w:val="2DAA0AE4"/>
    <w:rsid w:val="2DC62F01"/>
    <w:rsid w:val="2DE846A1"/>
    <w:rsid w:val="2E097E07"/>
    <w:rsid w:val="2E421BC1"/>
    <w:rsid w:val="2E425A66"/>
    <w:rsid w:val="2E6A4272"/>
    <w:rsid w:val="2E7D6693"/>
    <w:rsid w:val="2E87783F"/>
    <w:rsid w:val="2E9A7AE7"/>
    <w:rsid w:val="2EB02FB3"/>
    <w:rsid w:val="2EBF49DB"/>
    <w:rsid w:val="2EC24775"/>
    <w:rsid w:val="2EE463B9"/>
    <w:rsid w:val="2EF04EC3"/>
    <w:rsid w:val="2F226C62"/>
    <w:rsid w:val="2F241835"/>
    <w:rsid w:val="2F2D4FF3"/>
    <w:rsid w:val="2F3152EB"/>
    <w:rsid w:val="2F384D18"/>
    <w:rsid w:val="2F3A6DCF"/>
    <w:rsid w:val="2F42703C"/>
    <w:rsid w:val="2F4C3F51"/>
    <w:rsid w:val="2F4E2935"/>
    <w:rsid w:val="2F776026"/>
    <w:rsid w:val="2F8F217B"/>
    <w:rsid w:val="2FE26F0E"/>
    <w:rsid w:val="2FEC6BC4"/>
    <w:rsid w:val="2FEE1054"/>
    <w:rsid w:val="2FFC27E2"/>
    <w:rsid w:val="30064604"/>
    <w:rsid w:val="30182EF1"/>
    <w:rsid w:val="302C1778"/>
    <w:rsid w:val="30607673"/>
    <w:rsid w:val="30693876"/>
    <w:rsid w:val="307C26FF"/>
    <w:rsid w:val="30973C6C"/>
    <w:rsid w:val="30981250"/>
    <w:rsid w:val="30B1468C"/>
    <w:rsid w:val="30C35828"/>
    <w:rsid w:val="30C47234"/>
    <w:rsid w:val="30EB350E"/>
    <w:rsid w:val="310F5409"/>
    <w:rsid w:val="310F5A46"/>
    <w:rsid w:val="311C7A3E"/>
    <w:rsid w:val="312017B7"/>
    <w:rsid w:val="31253BE4"/>
    <w:rsid w:val="31315319"/>
    <w:rsid w:val="31653F38"/>
    <w:rsid w:val="31897174"/>
    <w:rsid w:val="31A00580"/>
    <w:rsid w:val="31C4532A"/>
    <w:rsid w:val="31F42769"/>
    <w:rsid w:val="31F57831"/>
    <w:rsid w:val="31F6203D"/>
    <w:rsid w:val="32074121"/>
    <w:rsid w:val="321766AE"/>
    <w:rsid w:val="324B3775"/>
    <w:rsid w:val="325356E2"/>
    <w:rsid w:val="3257790D"/>
    <w:rsid w:val="32653D88"/>
    <w:rsid w:val="326E7E26"/>
    <w:rsid w:val="327F26A5"/>
    <w:rsid w:val="32850A3A"/>
    <w:rsid w:val="32935879"/>
    <w:rsid w:val="3295140A"/>
    <w:rsid w:val="32C215B3"/>
    <w:rsid w:val="331035D3"/>
    <w:rsid w:val="33184147"/>
    <w:rsid w:val="33395897"/>
    <w:rsid w:val="334979E2"/>
    <w:rsid w:val="335E7861"/>
    <w:rsid w:val="33614230"/>
    <w:rsid w:val="33A7521A"/>
    <w:rsid w:val="34023DD2"/>
    <w:rsid w:val="345C7BA2"/>
    <w:rsid w:val="345E0C5E"/>
    <w:rsid w:val="346408E5"/>
    <w:rsid w:val="3473401C"/>
    <w:rsid w:val="34B24A2F"/>
    <w:rsid w:val="34C24459"/>
    <w:rsid w:val="34CB5AE2"/>
    <w:rsid w:val="34CD0C0B"/>
    <w:rsid w:val="34E50629"/>
    <w:rsid w:val="34F138B2"/>
    <w:rsid w:val="350305CE"/>
    <w:rsid w:val="350B03D7"/>
    <w:rsid w:val="351F3A34"/>
    <w:rsid w:val="35366152"/>
    <w:rsid w:val="3566409A"/>
    <w:rsid w:val="35815059"/>
    <w:rsid w:val="35A60906"/>
    <w:rsid w:val="35BC0844"/>
    <w:rsid w:val="35C90051"/>
    <w:rsid w:val="35D457D9"/>
    <w:rsid w:val="35E533FD"/>
    <w:rsid w:val="36270A28"/>
    <w:rsid w:val="36387B7A"/>
    <w:rsid w:val="36584736"/>
    <w:rsid w:val="366559E4"/>
    <w:rsid w:val="36673764"/>
    <w:rsid w:val="36A60D74"/>
    <w:rsid w:val="36AF6640"/>
    <w:rsid w:val="36B60AB7"/>
    <w:rsid w:val="36D24873"/>
    <w:rsid w:val="36DE18DC"/>
    <w:rsid w:val="36EF1205"/>
    <w:rsid w:val="36F95F9A"/>
    <w:rsid w:val="370228E9"/>
    <w:rsid w:val="37415715"/>
    <w:rsid w:val="37425D25"/>
    <w:rsid w:val="37533C5A"/>
    <w:rsid w:val="3755686B"/>
    <w:rsid w:val="37557BBE"/>
    <w:rsid w:val="37860E6B"/>
    <w:rsid w:val="37983666"/>
    <w:rsid w:val="37B3316C"/>
    <w:rsid w:val="37D13BBF"/>
    <w:rsid w:val="38002855"/>
    <w:rsid w:val="380304F0"/>
    <w:rsid w:val="380D6A28"/>
    <w:rsid w:val="3814652D"/>
    <w:rsid w:val="38291A7F"/>
    <w:rsid w:val="38546316"/>
    <w:rsid w:val="3860038E"/>
    <w:rsid w:val="38634F5B"/>
    <w:rsid w:val="388C1B7E"/>
    <w:rsid w:val="38B80E59"/>
    <w:rsid w:val="38BC39AE"/>
    <w:rsid w:val="38FD2DCA"/>
    <w:rsid w:val="392B0449"/>
    <w:rsid w:val="39380D2F"/>
    <w:rsid w:val="393C7183"/>
    <w:rsid w:val="39406294"/>
    <w:rsid w:val="39521B20"/>
    <w:rsid w:val="39534219"/>
    <w:rsid w:val="3953748C"/>
    <w:rsid w:val="396A2E48"/>
    <w:rsid w:val="396C0E37"/>
    <w:rsid w:val="39964CA0"/>
    <w:rsid w:val="39A2115A"/>
    <w:rsid w:val="39CE2341"/>
    <w:rsid w:val="39DF73EC"/>
    <w:rsid w:val="3A026AFB"/>
    <w:rsid w:val="3A03179B"/>
    <w:rsid w:val="3A1408AF"/>
    <w:rsid w:val="3A140FF4"/>
    <w:rsid w:val="3A280B24"/>
    <w:rsid w:val="3A285E70"/>
    <w:rsid w:val="3A2D246A"/>
    <w:rsid w:val="3A376124"/>
    <w:rsid w:val="3A641E70"/>
    <w:rsid w:val="3A863661"/>
    <w:rsid w:val="3AA7481D"/>
    <w:rsid w:val="3AEB0F20"/>
    <w:rsid w:val="3B08311F"/>
    <w:rsid w:val="3B0E6055"/>
    <w:rsid w:val="3B542821"/>
    <w:rsid w:val="3B7E03CD"/>
    <w:rsid w:val="3B8E6CFB"/>
    <w:rsid w:val="3B9C7F8B"/>
    <w:rsid w:val="3B9E66EB"/>
    <w:rsid w:val="3BDB2700"/>
    <w:rsid w:val="3C2123AD"/>
    <w:rsid w:val="3C2A05B3"/>
    <w:rsid w:val="3C415BC1"/>
    <w:rsid w:val="3C4F1540"/>
    <w:rsid w:val="3C8A1D00"/>
    <w:rsid w:val="3C8E44DC"/>
    <w:rsid w:val="3C8F37BA"/>
    <w:rsid w:val="3C9E59C3"/>
    <w:rsid w:val="3CE94CFE"/>
    <w:rsid w:val="3CF70042"/>
    <w:rsid w:val="3CFE4428"/>
    <w:rsid w:val="3D0A283C"/>
    <w:rsid w:val="3D0F7A78"/>
    <w:rsid w:val="3D1A29C0"/>
    <w:rsid w:val="3D261297"/>
    <w:rsid w:val="3D3F6339"/>
    <w:rsid w:val="3D4F112B"/>
    <w:rsid w:val="3D563144"/>
    <w:rsid w:val="3D6700C8"/>
    <w:rsid w:val="3D6C3F8F"/>
    <w:rsid w:val="3D80381B"/>
    <w:rsid w:val="3D965592"/>
    <w:rsid w:val="3D9B69D7"/>
    <w:rsid w:val="3DA921CE"/>
    <w:rsid w:val="3DAA3846"/>
    <w:rsid w:val="3DB14E70"/>
    <w:rsid w:val="3DC6513E"/>
    <w:rsid w:val="3DCC1B3F"/>
    <w:rsid w:val="3DD11700"/>
    <w:rsid w:val="3E3654C6"/>
    <w:rsid w:val="3E425E9E"/>
    <w:rsid w:val="3E622B56"/>
    <w:rsid w:val="3E7D27A9"/>
    <w:rsid w:val="3E96149E"/>
    <w:rsid w:val="3EB4528A"/>
    <w:rsid w:val="3EC62D97"/>
    <w:rsid w:val="3EE55913"/>
    <w:rsid w:val="3F0A35CC"/>
    <w:rsid w:val="3F281C8B"/>
    <w:rsid w:val="3F362304"/>
    <w:rsid w:val="3F400D9C"/>
    <w:rsid w:val="3F490E2C"/>
    <w:rsid w:val="3F8A11C4"/>
    <w:rsid w:val="3FEC7045"/>
    <w:rsid w:val="40061FE5"/>
    <w:rsid w:val="40176E56"/>
    <w:rsid w:val="40583AA7"/>
    <w:rsid w:val="4063752F"/>
    <w:rsid w:val="40791B32"/>
    <w:rsid w:val="408A49C4"/>
    <w:rsid w:val="408E6128"/>
    <w:rsid w:val="40A8309D"/>
    <w:rsid w:val="40B7580A"/>
    <w:rsid w:val="40B83909"/>
    <w:rsid w:val="40BE01CA"/>
    <w:rsid w:val="40BE641C"/>
    <w:rsid w:val="40DE0EDB"/>
    <w:rsid w:val="40E8658C"/>
    <w:rsid w:val="40EA0A47"/>
    <w:rsid w:val="41120914"/>
    <w:rsid w:val="41122359"/>
    <w:rsid w:val="41175B2C"/>
    <w:rsid w:val="412546ED"/>
    <w:rsid w:val="41284BC4"/>
    <w:rsid w:val="41411F65"/>
    <w:rsid w:val="41476934"/>
    <w:rsid w:val="41583781"/>
    <w:rsid w:val="41590F18"/>
    <w:rsid w:val="415F495E"/>
    <w:rsid w:val="418238EE"/>
    <w:rsid w:val="41B26D47"/>
    <w:rsid w:val="41B75F56"/>
    <w:rsid w:val="41DD0677"/>
    <w:rsid w:val="41EA1107"/>
    <w:rsid w:val="42135081"/>
    <w:rsid w:val="42325536"/>
    <w:rsid w:val="4246491B"/>
    <w:rsid w:val="424C0DDC"/>
    <w:rsid w:val="425965CC"/>
    <w:rsid w:val="42745CCA"/>
    <w:rsid w:val="42A15B3B"/>
    <w:rsid w:val="42CF238D"/>
    <w:rsid w:val="432C29BC"/>
    <w:rsid w:val="435D0552"/>
    <w:rsid w:val="43CE758C"/>
    <w:rsid w:val="43ED2A01"/>
    <w:rsid w:val="43ED41F8"/>
    <w:rsid w:val="440319CD"/>
    <w:rsid w:val="4415186B"/>
    <w:rsid w:val="44205379"/>
    <w:rsid w:val="442B21C2"/>
    <w:rsid w:val="442C7B41"/>
    <w:rsid w:val="4463174D"/>
    <w:rsid w:val="4476700E"/>
    <w:rsid w:val="4487082B"/>
    <w:rsid w:val="44D644A6"/>
    <w:rsid w:val="44F6511C"/>
    <w:rsid w:val="450D2449"/>
    <w:rsid w:val="45251A0E"/>
    <w:rsid w:val="45544EED"/>
    <w:rsid w:val="456A5861"/>
    <w:rsid w:val="457D0EE3"/>
    <w:rsid w:val="458A2D71"/>
    <w:rsid w:val="45940C6E"/>
    <w:rsid w:val="45990D03"/>
    <w:rsid w:val="45B50FCD"/>
    <w:rsid w:val="45C46C52"/>
    <w:rsid w:val="45C85BFA"/>
    <w:rsid w:val="45DE7D14"/>
    <w:rsid w:val="45F44B62"/>
    <w:rsid w:val="460074D7"/>
    <w:rsid w:val="46112DA2"/>
    <w:rsid w:val="46165921"/>
    <w:rsid w:val="46201AB9"/>
    <w:rsid w:val="46205EC3"/>
    <w:rsid w:val="46270ACB"/>
    <w:rsid w:val="462D60CB"/>
    <w:rsid w:val="46426DF0"/>
    <w:rsid w:val="46545338"/>
    <w:rsid w:val="466E4D67"/>
    <w:rsid w:val="4678062E"/>
    <w:rsid w:val="467E051E"/>
    <w:rsid w:val="46870808"/>
    <w:rsid w:val="46875502"/>
    <w:rsid w:val="469A665C"/>
    <w:rsid w:val="46E21A9F"/>
    <w:rsid w:val="46EC357A"/>
    <w:rsid w:val="47152CBF"/>
    <w:rsid w:val="47213261"/>
    <w:rsid w:val="474C2536"/>
    <w:rsid w:val="47585533"/>
    <w:rsid w:val="47633B87"/>
    <w:rsid w:val="47794E4B"/>
    <w:rsid w:val="47810CC8"/>
    <w:rsid w:val="479A729D"/>
    <w:rsid w:val="47CC3A50"/>
    <w:rsid w:val="47D36D19"/>
    <w:rsid w:val="47E721BC"/>
    <w:rsid w:val="48040B2D"/>
    <w:rsid w:val="48147269"/>
    <w:rsid w:val="481D43A9"/>
    <w:rsid w:val="48341101"/>
    <w:rsid w:val="48345216"/>
    <w:rsid w:val="483D40CA"/>
    <w:rsid w:val="48450FFC"/>
    <w:rsid w:val="48482A6F"/>
    <w:rsid w:val="486B4979"/>
    <w:rsid w:val="48757D08"/>
    <w:rsid w:val="4880599F"/>
    <w:rsid w:val="48C0308B"/>
    <w:rsid w:val="48FC68D1"/>
    <w:rsid w:val="48FE2934"/>
    <w:rsid w:val="490F4A1B"/>
    <w:rsid w:val="49166B02"/>
    <w:rsid w:val="49234B7F"/>
    <w:rsid w:val="49297002"/>
    <w:rsid w:val="493A060A"/>
    <w:rsid w:val="495D613E"/>
    <w:rsid w:val="49813938"/>
    <w:rsid w:val="49877E1D"/>
    <w:rsid w:val="49BD1E5B"/>
    <w:rsid w:val="49C8427C"/>
    <w:rsid w:val="49CD3F23"/>
    <w:rsid w:val="49D2778F"/>
    <w:rsid w:val="49E31F95"/>
    <w:rsid w:val="4A166C8C"/>
    <w:rsid w:val="4A2B2B82"/>
    <w:rsid w:val="4A4A3B86"/>
    <w:rsid w:val="4A527BD5"/>
    <w:rsid w:val="4A687999"/>
    <w:rsid w:val="4A965D14"/>
    <w:rsid w:val="4A9C1E58"/>
    <w:rsid w:val="4ADE0BBB"/>
    <w:rsid w:val="4AE43967"/>
    <w:rsid w:val="4AE629AF"/>
    <w:rsid w:val="4AEA6060"/>
    <w:rsid w:val="4B0435C5"/>
    <w:rsid w:val="4B0F2A62"/>
    <w:rsid w:val="4B20778C"/>
    <w:rsid w:val="4B245A16"/>
    <w:rsid w:val="4B2D459D"/>
    <w:rsid w:val="4B6D1E25"/>
    <w:rsid w:val="4B7F5330"/>
    <w:rsid w:val="4BBA3F83"/>
    <w:rsid w:val="4BBE1D9B"/>
    <w:rsid w:val="4BD20495"/>
    <w:rsid w:val="4BDE56B2"/>
    <w:rsid w:val="4C3C164F"/>
    <w:rsid w:val="4C691265"/>
    <w:rsid w:val="4C6B6F86"/>
    <w:rsid w:val="4C71012D"/>
    <w:rsid w:val="4C82218F"/>
    <w:rsid w:val="4C8D3147"/>
    <w:rsid w:val="4CBD27F7"/>
    <w:rsid w:val="4CC8576A"/>
    <w:rsid w:val="4CE731CB"/>
    <w:rsid w:val="4D255A7B"/>
    <w:rsid w:val="4D4759EB"/>
    <w:rsid w:val="4D4F4080"/>
    <w:rsid w:val="4D8B4016"/>
    <w:rsid w:val="4D9F3131"/>
    <w:rsid w:val="4DA604FF"/>
    <w:rsid w:val="4DC95FEB"/>
    <w:rsid w:val="4DEA6AA2"/>
    <w:rsid w:val="4E2D4B0B"/>
    <w:rsid w:val="4E2F6BAB"/>
    <w:rsid w:val="4E5F48B6"/>
    <w:rsid w:val="4EA54FF4"/>
    <w:rsid w:val="4EAD70C9"/>
    <w:rsid w:val="4EF0521B"/>
    <w:rsid w:val="4F0C7728"/>
    <w:rsid w:val="4F1A33B7"/>
    <w:rsid w:val="4F32649A"/>
    <w:rsid w:val="4F3460FE"/>
    <w:rsid w:val="4F534DF8"/>
    <w:rsid w:val="4F59216A"/>
    <w:rsid w:val="4FDC68BF"/>
    <w:rsid w:val="4FFC5272"/>
    <w:rsid w:val="501E4A7F"/>
    <w:rsid w:val="50275690"/>
    <w:rsid w:val="506802DF"/>
    <w:rsid w:val="5080057E"/>
    <w:rsid w:val="508A78AA"/>
    <w:rsid w:val="509D67B6"/>
    <w:rsid w:val="50A73956"/>
    <w:rsid w:val="50C418BE"/>
    <w:rsid w:val="50DE6667"/>
    <w:rsid w:val="5127753F"/>
    <w:rsid w:val="51332C9A"/>
    <w:rsid w:val="515D42F8"/>
    <w:rsid w:val="51800E1F"/>
    <w:rsid w:val="518C4FEB"/>
    <w:rsid w:val="51A97CBF"/>
    <w:rsid w:val="51B7614C"/>
    <w:rsid w:val="51D94D95"/>
    <w:rsid w:val="51F07734"/>
    <w:rsid w:val="51F25B66"/>
    <w:rsid w:val="51F31543"/>
    <w:rsid w:val="52127A77"/>
    <w:rsid w:val="52186F93"/>
    <w:rsid w:val="52192AB0"/>
    <w:rsid w:val="521C0E43"/>
    <w:rsid w:val="522349CD"/>
    <w:rsid w:val="5265735D"/>
    <w:rsid w:val="5269105C"/>
    <w:rsid w:val="5276494B"/>
    <w:rsid w:val="52A83907"/>
    <w:rsid w:val="52C17847"/>
    <w:rsid w:val="52C67A35"/>
    <w:rsid w:val="52D61478"/>
    <w:rsid w:val="52D63A99"/>
    <w:rsid w:val="52DE1586"/>
    <w:rsid w:val="530E2DF9"/>
    <w:rsid w:val="53203FDF"/>
    <w:rsid w:val="53413510"/>
    <w:rsid w:val="534D7554"/>
    <w:rsid w:val="539F34C3"/>
    <w:rsid w:val="53B11E10"/>
    <w:rsid w:val="53B97671"/>
    <w:rsid w:val="53E25011"/>
    <w:rsid w:val="53F254B5"/>
    <w:rsid w:val="54033236"/>
    <w:rsid w:val="54164A93"/>
    <w:rsid w:val="542F18EE"/>
    <w:rsid w:val="544832CE"/>
    <w:rsid w:val="54516A3D"/>
    <w:rsid w:val="54531EE2"/>
    <w:rsid w:val="546834BD"/>
    <w:rsid w:val="5486504B"/>
    <w:rsid w:val="54A87CBF"/>
    <w:rsid w:val="54AA114B"/>
    <w:rsid w:val="54E13A1D"/>
    <w:rsid w:val="54ED5120"/>
    <w:rsid w:val="55002C50"/>
    <w:rsid w:val="553B3FF0"/>
    <w:rsid w:val="55460217"/>
    <w:rsid w:val="55541FE5"/>
    <w:rsid w:val="55633DB1"/>
    <w:rsid w:val="556E7AEA"/>
    <w:rsid w:val="5573623D"/>
    <w:rsid w:val="55970C61"/>
    <w:rsid w:val="55B76E8B"/>
    <w:rsid w:val="55ED041E"/>
    <w:rsid w:val="56040FDB"/>
    <w:rsid w:val="560F57AD"/>
    <w:rsid w:val="56B72191"/>
    <w:rsid w:val="573503FB"/>
    <w:rsid w:val="57760FF6"/>
    <w:rsid w:val="577A40F1"/>
    <w:rsid w:val="577B4E1E"/>
    <w:rsid w:val="57825340"/>
    <w:rsid w:val="578265ED"/>
    <w:rsid w:val="578831DF"/>
    <w:rsid w:val="57DA7B88"/>
    <w:rsid w:val="57DB745C"/>
    <w:rsid w:val="57F10A3B"/>
    <w:rsid w:val="57F873AA"/>
    <w:rsid w:val="5829466B"/>
    <w:rsid w:val="5842443E"/>
    <w:rsid w:val="585F1E3B"/>
    <w:rsid w:val="58705DF6"/>
    <w:rsid w:val="58721A2D"/>
    <w:rsid w:val="58742BA6"/>
    <w:rsid w:val="58786777"/>
    <w:rsid w:val="588D72AE"/>
    <w:rsid w:val="588E44CE"/>
    <w:rsid w:val="58983F2C"/>
    <w:rsid w:val="58997962"/>
    <w:rsid w:val="58C06E06"/>
    <w:rsid w:val="58E60161"/>
    <w:rsid w:val="59000F93"/>
    <w:rsid w:val="591A2257"/>
    <w:rsid w:val="591C5F7E"/>
    <w:rsid w:val="591E2E5A"/>
    <w:rsid w:val="592940E3"/>
    <w:rsid w:val="5939268C"/>
    <w:rsid w:val="593A010E"/>
    <w:rsid w:val="596F1D6D"/>
    <w:rsid w:val="5989006F"/>
    <w:rsid w:val="59C43A48"/>
    <w:rsid w:val="59F45DB1"/>
    <w:rsid w:val="59FA1B35"/>
    <w:rsid w:val="59FA6411"/>
    <w:rsid w:val="59FA6EB5"/>
    <w:rsid w:val="59FC4889"/>
    <w:rsid w:val="5A0D2F69"/>
    <w:rsid w:val="5A2A464D"/>
    <w:rsid w:val="5A3E78D4"/>
    <w:rsid w:val="5A4237C2"/>
    <w:rsid w:val="5A44201E"/>
    <w:rsid w:val="5A4B6512"/>
    <w:rsid w:val="5A6F4506"/>
    <w:rsid w:val="5A850088"/>
    <w:rsid w:val="5AA60A01"/>
    <w:rsid w:val="5AD6708D"/>
    <w:rsid w:val="5ADE798F"/>
    <w:rsid w:val="5B080EF4"/>
    <w:rsid w:val="5B156B57"/>
    <w:rsid w:val="5B2933A2"/>
    <w:rsid w:val="5B3A093D"/>
    <w:rsid w:val="5B423CA3"/>
    <w:rsid w:val="5B547C51"/>
    <w:rsid w:val="5B5F0309"/>
    <w:rsid w:val="5B664347"/>
    <w:rsid w:val="5B8147BE"/>
    <w:rsid w:val="5B915E2F"/>
    <w:rsid w:val="5B9F15AA"/>
    <w:rsid w:val="5BAC4388"/>
    <w:rsid w:val="5BBA4759"/>
    <w:rsid w:val="5BC26127"/>
    <w:rsid w:val="5BD00ECD"/>
    <w:rsid w:val="5BD26DC8"/>
    <w:rsid w:val="5BD53A84"/>
    <w:rsid w:val="5BDE15B3"/>
    <w:rsid w:val="5C1B3D9C"/>
    <w:rsid w:val="5C2C386A"/>
    <w:rsid w:val="5C8747C8"/>
    <w:rsid w:val="5CCB7A9F"/>
    <w:rsid w:val="5CD83CEF"/>
    <w:rsid w:val="5CE70495"/>
    <w:rsid w:val="5CE70651"/>
    <w:rsid w:val="5D064BB6"/>
    <w:rsid w:val="5D201D45"/>
    <w:rsid w:val="5D243F74"/>
    <w:rsid w:val="5D2C556F"/>
    <w:rsid w:val="5D6210FF"/>
    <w:rsid w:val="5D6736A1"/>
    <w:rsid w:val="5D6C57C7"/>
    <w:rsid w:val="5D746389"/>
    <w:rsid w:val="5DA4012C"/>
    <w:rsid w:val="5DBF61E0"/>
    <w:rsid w:val="5DC714A4"/>
    <w:rsid w:val="5DC866D4"/>
    <w:rsid w:val="5DCA60B0"/>
    <w:rsid w:val="5DDD2180"/>
    <w:rsid w:val="5DDD3161"/>
    <w:rsid w:val="5DEE7EF0"/>
    <w:rsid w:val="5DF5171A"/>
    <w:rsid w:val="5E2C4E00"/>
    <w:rsid w:val="5E375531"/>
    <w:rsid w:val="5E815343"/>
    <w:rsid w:val="5E8548E7"/>
    <w:rsid w:val="5E931C97"/>
    <w:rsid w:val="5EB43A7B"/>
    <w:rsid w:val="5ECC05A3"/>
    <w:rsid w:val="5ED35331"/>
    <w:rsid w:val="5ED456F4"/>
    <w:rsid w:val="5ED8453E"/>
    <w:rsid w:val="5EDB2012"/>
    <w:rsid w:val="5EDD73F4"/>
    <w:rsid w:val="5EEC7DCA"/>
    <w:rsid w:val="5EF774F9"/>
    <w:rsid w:val="5F0228C7"/>
    <w:rsid w:val="5F091345"/>
    <w:rsid w:val="5F097502"/>
    <w:rsid w:val="5F0C2975"/>
    <w:rsid w:val="5F170343"/>
    <w:rsid w:val="5F3F0B7E"/>
    <w:rsid w:val="5F3F1DD6"/>
    <w:rsid w:val="5F42773D"/>
    <w:rsid w:val="5F4650C3"/>
    <w:rsid w:val="5F4E5E14"/>
    <w:rsid w:val="5F4F0D4C"/>
    <w:rsid w:val="5F5A3F05"/>
    <w:rsid w:val="5F833A67"/>
    <w:rsid w:val="5F922AF6"/>
    <w:rsid w:val="5FA144ED"/>
    <w:rsid w:val="5FB062C1"/>
    <w:rsid w:val="5FC03B6F"/>
    <w:rsid w:val="5FE445EE"/>
    <w:rsid w:val="603806E6"/>
    <w:rsid w:val="60886DB9"/>
    <w:rsid w:val="608B44BF"/>
    <w:rsid w:val="608E3692"/>
    <w:rsid w:val="608F5FC8"/>
    <w:rsid w:val="60BA591C"/>
    <w:rsid w:val="60C25F34"/>
    <w:rsid w:val="60D513B9"/>
    <w:rsid w:val="60EE0200"/>
    <w:rsid w:val="60F35B17"/>
    <w:rsid w:val="60FA6A83"/>
    <w:rsid w:val="610E007A"/>
    <w:rsid w:val="6149320C"/>
    <w:rsid w:val="614F7CC5"/>
    <w:rsid w:val="615512C5"/>
    <w:rsid w:val="615677DD"/>
    <w:rsid w:val="61582975"/>
    <w:rsid w:val="618B3CA1"/>
    <w:rsid w:val="619A1895"/>
    <w:rsid w:val="61A33FF9"/>
    <w:rsid w:val="61C55F81"/>
    <w:rsid w:val="61CC6169"/>
    <w:rsid w:val="61CD238F"/>
    <w:rsid w:val="61FA3ECE"/>
    <w:rsid w:val="6207667E"/>
    <w:rsid w:val="622F0AD0"/>
    <w:rsid w:val="62387844"/>
    <w:rsid w:val="623A31A1"/>
    <w:rsid w:val="624B44C8"/>
    <w:rsid w:val="624D43A8"/>
    <w:rsid w:val="62996886"/>
    <w:rsid w:val="62B2525D"/>
    <w:rsid w:val="62B9686D"/>
    <w:rsid w:val="62DB0B1C"/>
    <w:rsid w:val="62EC6826"/>
    <w:rsid w:val="63052873"/>
    <w:rsid w:val="630930CF"/>
    <w:rsid w:val="63363C32"/>
    <w:rsid w:val="63365FD2"/>
    <w:rsid w:val="6353075B"/>
    <w:rsid w:val="638F4E1A"/>
    <w:rsid w:val="6392012A"/>
    <w:rsid w:val="639C3F43"/>
    <w:rsid w:val="63A90BE4"/>
    <w:rsid w:val="63AE5BC7"/>
    <w:rsid w:val="63C14E26"/>
    <w:rsid w:val="64026B3F"/>
    <w:rsid w:val="640E6D7E"/>
    <w:rsid w:val="64371836"/>
    <w:rsid w:val="643B745B"/>
    <w:rsid w:val="64455230"/>
    <w:rsid w:val="645403E9"/>
    <w:rsid w:val="6460157C"/>
    <w:rsid w:val="6471535D"/>
    <w:rsid w:val="64846585"/>
    <w:rsid w:val="648773C0"/>
    <w:rsid w:val="648C2213"/>
    <w:rsid w:val="6491568E"/>
    <w:rsid w:val="64A40329"/>
    <w:rsid w:val="64AC230D"/>
    <w:rsid w:val="64C01D89"/>
    <w:rsid w:val="64C8550C"/>
    <w:rsid w:val="64C86ACD"/>
    <w:rsid w:val="651D1DC2"/>
    <w:rsid w:val="65531F20"/>
    <w:rsid w:val="655B70F7"/>
    <w:rsid w:val="65C94588"/>
    <w:rsid w:val="65D56535"/>
    <w:rsid w:val="65E41BD1"/>
    <w:rsid w:val="65EC449B"/>
    <w:rsid w:val="65EE47FE"/>
    <w:rsid w:val="664B39FF"/>
    <w:rsid w:val="66855163"/>
    <w:rsid w:val="66892DBC"/>
    <w:rsid w:val="668F1B3D"/>
    <w:rsid w:val="66B37C22"/>
    <w:rsid w:val="66D07C4E"/>
    <w:rsid w:val="66D63366"/>
    <w:rsid w:val="66E3310E"/>
    <w:rsid w:val="66F2207F"/>
    <w:rsid w:val="670C7BD0"/>
    <w:rsid w:val="67241D2B"/>
    <w:rsid w:val="6729107E"/>
    <w:rsid w:val="67310C06"/>
    <w:rsid w:val="67982C74"/>
    <w:rsid w:val="67A80BB7"/>
    <w:rsid w:val="67BA095D"/>
    <w:rsid w:val="67F359BF"/>
    <w:rsid w:val="68127402"/>
    <w:rsid w:val="68190258"/>
    <w:rsid w:val="68320C29"/>
    <w:rsid w:val="683A70AE"/>
    <w:rsid w:val="683E06EB"/>
    <w:rsid w:val="68446385"/>
    <w:rsid w:val="684F4F95"/>
    <w:rsid w:val="685D060D"/>
    <w:rsid w:val="68630615"/>
    <w:rsid w:val="688027F8"/>
    <w:rsid w:val="68906041"/>
    <w:rsid w:val="68A14604"/>
    <w:rsid w:val="68A85138"/>
    <w:rsid w:val="68C117F4"/>
    <w:rsid w:val="68C469F7"/>
    <w:rsid w:val="68CB0888"/>
    <w:rsid w:val="68D05A8B"/>
    <w:rsid w:val="68DA686A"/>
    <w:rsid w:val="68DB5BCE"/>
    <w:rsid w:val="69163C3C"/>
    <w:rsid w:val="69256789"/>
    <w:rsid w:val="69AA597C"/>
    <w:rsid w:val="69D63F27"/>
    <w:rsid w:val="69D74A2D"/>
    <w:rsid w:val="69E57583"/>
    <w:rsid w:val="69EA3D78"/>
    <w:rsid w:val="6A1F58CE"/>
    <w:rsid w:val="6A2E5B11"/>
    <w:rsid w:val="6A31794F"/>
    <w:rsid w:val="6A412E9B"/>
    <w:rsid w:val="6A593A14"/>
    <w:rsid w:val="6A5F7488"/>
    <w:rsid w:val="6AB956BB"/>
    <w:rsid w:val="6AC56663"/>
    <w:rsid w:val="6AD06124"/>
    <w:rsid w:val="6AE9375D"/>
    <w:rsid w:val="6B2660F3"/>
    <w:rsid w:val="6B3D0830"/>
    <w:rsid w:val="6B4C6148"/>
    <w:rsid w:val="6B514C3E"/>
    <w:rsid w:val="6B600D2D"/>
    <w:rsid w:val="6B7D0E3F"/>
    <w:rsid w:val="6B820818"/>
    <w:rsid w:val="6B985938"/>
    <w:rsid w:val="6BA666A4"/>
    <w:rsid w:val="6BAD1029"/>
    <w:rsid w:val="6BCC00E7"/>
    <w:rsid w:val="6C2458E5"/>
    <w:rsid w:val="6C3A2120"/>
    <w:rsid w:val="6C555DF8"/>
    <w:rsid w:val="6C6527EF"/>
    <w:rsid w:val="6C786FF5"/>
    <w:rsid w:val="6C7D4B2E"/>
    <w:rsid w:val="6C85541D"/>
    <w:rsid w:val="6C8C14EE"/>
    <w:rsid w:val="6C8C3392"/>
    <w:rsid w:val="6CBA731E"/>
    <w:rsid w:val="6CBC5656"/>
    <w:rsid w:val="6CE401DB"/>
    <w:rsid w:val="6CEE18BF"/>
    <w:rsid w:val="6D1F5636"/>
    <w:rsid w:val="6D2706B7"/>
    <w:rsid w:val="6D2E2B6D"/>
    <w:rsid w:val="6D4056B0"/>
    <w:rsid w:val="6D536C7D"/>
    <w:rsid w:val="6D637FF9"/>
    <w:rsid w:val="6D6C43EA"/>
    <w:rsid w:val="6D735458"/>
    <w:rsid w:val="6D792DBA"/>
    <w:rsid w:val="6D7E1A57"/>
    <w:rsid w:val="6D8375E7"/>
    <w:rsid w:val="6D900B54"/>
    <w:rsid w:val="6DEE65B6"/>
    <w:rsid w:val="6E302EF0"/>
    <w:rsid w:val="6E334775"/>
    <w:rsid w:val="6E363B46"/>
    <w:rsid w:val="6E4539AB"/>
    <w:rsid w:val="6EAD62A3"/>
    <w:rsid w:val="6ECA14A5"/>
    <w:rsid w:val="6EF84EB7"/>
    <w:rsid w:val="6EFA159E"/>
    <w:rsid w:val="6F053BD8"/>
    <w:rsid w:val="6F17385C"/>
    <w:rsid w:val="6F48373C"/>
    <w:rsid w:val="6F68729A"/>
    <w:rsid w:val="6F6B7A12"/>
    <w:rsid w:val="6F9F715B"/>
    <w:rsid w:val="6FB67A04"/>
    <w:rsid w:val="6FBE0AF8"/>
    <w:rsid w:val="6FC2500E"/>
    <w:rsid w:val="6FC90825"/>
    <w:rsid w:val="6FCF03C8"/>
    <w:rsid w:val="6FE64CCD"/>
    <w:rsid w:val="6FEB00C8"/>
    <w:rsid w:val="6FF98DB1"/>
    <w:rsid w:val="700E26F1"/>
    <w:rsid w:val="70221706"/>
    <w:rsid w:val="70231548"/>
    <w:rsid w:val="704F5243"/>
    <w:rsid w:val="70675738"/>
    <w:rsid w:val="706D0578"/>
    <w:rsid w:val="706E499A"/>
    <w:rsid w:val="70725D14"/>
    <w:rsid w:val="708B2215"/>
    <w:rsid w:val="70B5586B"/>
    <w:rsid w:val="70C507BD"/>
    <w:rsid w:val="70CA47B5"/>
    <w:rsid w:val="70E82897"/>
    <w:rsid w:val="70F36FF5"/>
    <w:rsid w:val="711F7F62"/>
    <w:rsid w:val="71351762"/>
    <w:rsid w:val="714300F4"/>
    <w:rsid w:val="71552D10"/>
    <w:rsid w:val="716442E9"/>
    <w:rsid w:val="719042EF"/>
    <w:rsid w:val="71B318F8"/>
    <w:rsid w:val="71B74DFA"/>
    <w:rsid w:val="71BD2ACE"/>
    <w:rsid w:val="71C43ED7"/>
    <w:rsid w:val="71C9237C"/>
    <w:rsid w:val="71EB5169"/>
    <w:rsid w:val="71F56214"/>
    <w:rsid w:val="71FB41EE"/>
    <w:rsid w:val="72076A30"/>
    <w:rsid w:val="72115F01"/>
    <w:rsid w:val="723C0660"/>
    <w:rsid w:val="72543AEC"/>
    <w:rsid w:val="727D5888"/>
    <w:rsid w:val="72AF7142"/>
    <w:rsid w:val="72BA5960"/>
    <w:rsid w:val="72BE56E7"/>
    <w:rsid w:val="72D22FDD"/>
    <w:rsid w:val="72E0464A"/>
    <w:rsid w:val="73060B04"/>
    <w:rsid w:val="730944EC"/>
    <w:rsid w:val="73095DD8"/>
    <w:rsid w:val="730A35E7"/>
    <w:rsid w:val="731E7C07"/>
    <w:rsid w:val="731F2ADD"/>
    <w:rsid w:val="73371579"/>
    <w:rsid w:val="73384DDE"/>
    <w:rsid w:val="73397A01"/>
    <w:rsid w:val="735832CC"/>
    <w:rsid w:val="73A11102"/>
    <w:rsid w:val="73A826D3"/>
    <w:rsid w:val="73CB1EA3"/>
    <w:rsid w:val="73CF562F"/>
    <w:rsid w:val="73D911DC"/>
    <w:rsid w:val="73EE3133"/>
    <w:rsid w:val="73FC31D8"/>
    <w:rsid w:val="73FC5DA2"/>
    <w:rsid w:val="744F3437"/>
    <w:rsid w:val="74542522"/>
    <w:rsid w:val="74597D1C"/>
    <w:rsid w:val="7476258E"/>
    <w:rsid w:val="74AA107B"/>
    <w:rsid w:val="74BE21E6"/>
    <w:rsid w:val="74CD114F"/>
    <w:rsid w:val="75132CB2"/>
    <w:rsid w:val="751A116C"/>
    <w:rsid w:val="7544427F"/>
    <w:rsid w:val="756D0067"/>
    <w:rsid w:val="757B534A"/>
    <w:rsid w:val="758A423F"/>
    <w:rsid w:val="75C4089A"/>
    <w:rsid w:val="75D43E4C"/>
    <w:rsid w:val="75EE584D"/>
    <w:rsid w:val="75FC051E"/>
    <w:rsid w:val="760E4653"/>
    <w:rsid w:val="766C0F4A"/>
    <w:rsid w:val="76745657"/>
    <w:rsid w:val="769374F5"/>
    <w:rsid w:val="76A742FA"/>
    <w:rsid w:val="76B23F25"/>
    <w:rsid w:val="76CA437A"/>
    <w:rsid w:val="76D66A0B"/>
    <w:rsid w:val="76E17369"/>
    <w:rsid w:val="76F31C74"/>
    <w:rsid w:val="76F43195"/>
    <w:rsid w:val="770548E4"/>
    <w:rsid w:val="770D6993"/>
    <w:rsid w:val="773E493C"/>
    <w:rsid w:val="77432AB8"/>
    <w:rsid w:val="774F05B4"/>
    <w:rsid w:val="77795FC5"/>
    <w:rsid w:val="778C339B"/>
    <w:rsid w:val="77974CF6"/>
    <w:rsid w:val="77A411C1"/>
    <w:rsid w:val="77B0693E"/>
    <w:rsid w:val="77BB120F"/>
    <w:rsid w:val="77DB4976"/>
    <w:rsid w:val="77E01900"/>
    <w:rsid w:val="77EB042B"/>
    <w:rsid w:val="77F66378"/>
    <w:rsid w:val="77FC0FFD"/>
    <w:rsid w:val="781D1021"/>
    <w:rsid w:val="78296451"/>
    <w:rsid w:val="783B7BC0"/>
    <w:rsid w:val="786D4A0D"/>
    <w:rsid w:val="7895695A"/>
    <w:rsid w:val="78A27DF6"/>
    <w:rsid w:val="78C814F1"/>
    <w:rsid w:val="78DD3C0F"/>
    <w:rsid w:val="78F41CD4"/>
    <w:rsid w:val="78F61612"/>
    <w:rsid w:val="78F746CD"/>
    <w:rsid w:val="790B7602"/>
    <w:rsid w:val="79424F6E"/>
    <w:rsid w:val="79471384"/>
    <w:rsid w:val="79684030"/>
    <w:rsid w:val="79B5759B"/>
    <w:rsid w:val="79B77FBE"/>
    <w:rsid w:val="79BC0A44"/>
    <w:rsid w:val="79ED0FE1"/>
    <w:rsid w:val="7A006755"/>
    <w:rsid w:val="7A1C537A"/>
    <w:rsid w:val="7A395308"/>
    <w:rsid w:val="7A42642B"/>
    <w:rsid w:val="7A455228"/>
    <w:rsid w:val="7A9F23CB"/>
    <w:rsid w:val="7AAD58D6"/>
    <w:rsid w:val="7AC53928"/>
    <w:rsid w:val="7AC84CD7"/>
    <w:rsid w:val="7AEA5035"/>
    <w:rsid w:val="7AF20636"/>
    <w:rsid w:val="7B033E9B"/>
    <w:rsid w:val="7B0B7EA2"/>
    <w:rsid w:val="7B3D32B0"/>
    <w:rsid w:val="7B4D0CE7"/>
    <w:rsid w:val="7BC77B4C"/>
    <w:rsid w:val="7BF36259"/>
    <w:rsid w:val="7BF92AE3"/>
    <w:rsid w:val="7C022754"/>
    <w:rsid w:val="7C452FFC"/>
    <w:rsid w:val="7C79211D"/>
    <w:rsid w:val="7C7D7793"/>
    <w:rsid w:val="7C9F0755"/>
    <w:rsid w:val="7C9F79C8"/>
    <w:rsid w:val="7CA20363"/>
    <w:rsid w:val="7CA95B7D"/>
    <w:rsid w:val="7CB66269"/>
    <w:rsid w:val="7CBC13FC"/>
    <w:rsid w:val="7CBC3B1C"/>
    <w:rsid w:val="7CBF58F7"/>
    <w:rsid w:val="7CE427EA"/>
    <w:rsid w:val="7D1144BC"/>
    <w:rsid w:val="7D4A1795"/>
    <w:rsid w:val="7D636E1C"/>
    <w:rsid w:val="7D6A0D4C"/>
    <w:rsid w:val="7D7B6AC6"/>
    <w:rsid w:val="7D80192E"/>
    <w:rsid w:val="7DDA2E72"/>
    <w:rsid w:val="7DDE256E"/>
    <w:rsid w:val="7DE41CF5"/>
    <w:rsid w:val="7DE73D20"/>
    <w:rsid w:val="7DFD5DC0"/>
    <w:rsid w:val="7E0D4703"/>
    <w:rsid w:val="7E1D2446"/>
    <w:rsid w:val="7E1EF14A"/>
    <w:rsid w:val="7E3D61A6"/>
    <w:rsid w:val="7E4804DB"/>
    <w:rsid w:val="7E5E6CA7"/>
    <w:rsid w:val="7E705B4A"/>
    <w:rsid w:val="7E8C0B61"/>
    <w:rsid w:val="7E8E1840"/>
    <w:rsid w:val="7EA34E4A"/>
    <w:rsid w:val="7ED32079"/>
    <w:rsid w:val="7F082BC8"/>
    <w:rsid w:val="7F295DA0"/>
    <w:rsid w:val="7F47036D"/>
    <w:rsid w:val="7F7122D0"/>
    <w:rsid w:val="7F7431CA"/>
    <w:rsid w:val="7F930548"/>
    <w:rsid w:val="7FA06127"/>
    <w:rsid w:val="7FA906E9"/>
    <w:rsid w:val="7FAB79E7"/>
    <w:rsid w:val="7FC44AE2"/>
    <w:rsid w:val="7FD8246A"/>
    <w:rsid w:val="7FD840FD"/>
    <w:rsid w:val="7FE067CF"/>
    <w:rsid w:val="7FF25651"/>
    <w:rsid w:val="7FF8479F"/>
    <w:rsid w:val="B3C746E2"/>
    <w:rsid w:val="BF49459A"/>
    <w:rsid w:val="EEEFC3BA"/>
    <w:rsid w:val="F1EF00FB"/>
    <w:rsid w:val="FCF33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5">
    <w:name w:val="heading 1"/>
    <w:basedOn w:val="1"/>
    <w:next w:val="1"/>
    <w:link w:val="107"/>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2">
    <w:name w:val="heading 2"/>
    <w:basedOn w:val="1"/>
    <w:next w:val="1"/>
    <w:link w:val="248"/>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6">
    <w:name w:val="heading 3"/>
    <w:basedOn w:val="1"/>
    <w:next w:val="1"/>
    <w:link w:val="240"/>
    <w:qFormat/>
    <w:uiPriority w:val="0"/>
    <w:pPr>
      <w:keepNext/>
      <w:keepLines/>
      <w:tabs>
        <w:tab w:val="left" w:pos="720"/>
      </w:tabs>
      <w:snapToGrid w:val="0"/>
      <w:ind w:left="567" w:hanging="567"/>
      <w:outlineLvl w:val="2"/>
    </w:pPr>
    <w:rPr>
      <w:b/>
      <w:bCs/>
      <w:sz w:val="30"/>
      <w:szCs w:val="32"/>
    </w:rPr>
  </w:style>
  <w:style w:type="paragraph" w:styleId="7">
    <w:name w:val="heading 4"/>
    <w:basedOn w:val="1"/>
    <w:next w:val="1"/>
    <w:link w:val="272"/>
    <w:qFormat/>
    <w:uiPriority w:val="0"/>
    <w:pPr>
      <w:keepNext/>
      <w:keepLines/>
      <w:tabs>
        <w:tab w:val="left" w:pos="864"/>
      </w:tabs>
      <w:ind w:left="862" w:hanging="862"/>
      <w:outlineLvl w:val="3"/>
    </w:pPr>
    <w:rPr>
      <w:b/>
      <w:bCs/>
      <w:sz w:val="28"/>
      <w:szCs w:val="28"/>
    </w:rPr>
  </w:style>
  <w:style w:type="paragraph" w:styleId="8">
    <w:name w:val="heading 5"/>
    <w:basedOn w:val="1"/>
    <w:next w:val="1"/>
    <w:link w:val="1016"/>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354"/>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0">
    <w:name w:val="heading 7"/>
    <w:basedOn w:val="1"/>
    <w:next w:val="1"/>
    <w:link w:val="172"/>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1">
    <w:name w:val="heading 8"/>
    <w:basedOn w:val="1"/>
    <w:next w:val="1"/>
    <w:link w:val="110"/>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2">
    <w:name w:val="heading 9"/>
    <w:basedOn w:val="1"/>
    <w:next w:val="1"/>
    <w:link w:val="271"/>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unhideWhenUsed/>
    <w:qFormat/>
    <w:uiPriority w:val="1"/>
  </w:style>
  <w:style w:type="table" w:default="1" w:styleId="89">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macro"/>
    <w:basedOn w:val="4"/>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4">
    <w:name w:val="表格"/>
    <w:basedOn w:val="1"/>
    <w:link w:val="256"/>
    <w:qFormat/>
    <w:uiPriority w:val="0"/>
    <w:pPr>
      <w:spacing w:beforeLines="40" w:afterLines="40"/>
    </w:pPr>
    <w:rPr>
      <w:sz w:val="28"/>
    </w:rPr>
  </w:style>
  <w:style w:type="paragraph" w:styleId="13">
    <w:name w:val="List 3"/>
    <w:basedOn w:val="1"/>
    <w:qFormat/>
    <w:uiPriority w:val="0"/>
    <w:pPr>
      <w:spacing w:beforeLines="40" w:afterLines="40" w:line="300" w:lineRule="auto"/>
      <w:ind w:left="100" w:leftChars="400" w:hanging="200" w:hangingChars="200"/>
    </w:pPr>
  </w:style>
  <w:style w:type="paragraph" w:styleId="14">
    <w:name w:val="toc 7"/>
    <w:basedOn w:val="1"/>
    <w:next w:val="1"/>
    <w:qFormat/>
    <w:uiPriority w:val="0"/>
    <w:pPr>
      <w:ind w:left="1440"/>
      <w:jc w:val="left"/>
    </w:pPr>
    <w:rPr>
      <w:sz w:val="18"/>
      <w:szCs w:val="18"/>
    </w:rPr>
  </w:style>
  <w:style w:type="paragraph" w:styleId="15">
    <w:name w:val="List Number 2"/>
    <w:basedOn w:val="1"/>
    <w:qFormat/>
    <w:uiPriority w:val="0"/>
    <w:pPr>
      <w:tabs>
        <w:tab w:val="left" w:pos="780"/>
      </w:tabs>
      <w:ind w:left="780" w:leftChars="200" w:hanging="360" w:hangingChars="200"/>
    </w:pPr>
  </w:style>
  <w:style w:type="paragraph" w:styleId="16">
    <w:name w:val="table of authorities"/>
    <w:basedOn w:val="1"/>
    <w:next w:val="1"/>
    <w:semiHidden/>
    <w:qFormat/>
    <w:uiPriority w:val="0"/>
    <w:pPr>
      <w:ind w:left="420" w:leftChars="200"/>
    </w:pPr>
  </w:style>
  <w:style w:type="paragraph" w:styleId="17">
    <w:name w:val="Note Heading"/>
    <w:basedOn w:val="1"/>
    <w:next w:val="1"/>
    <w:qFormat/>
    <w:uiPriority w:val="0"/>
    <w:pPr>
      <w:spacing w:beforeLines="40" w:afterLines="40" w:line="300" w:lineRule="auto"/>
      <w:ind w:firstLine="420"/>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semiHidden/>
    <w:qFormat/>
    <w:uiPriority w:val="0"/>
    <w:pPr>
      <w:ind w:left="1400" w:leftChars="1400"/>
    </w:pPr>
  </w:style>
  <w:style w:type="paragraph" w:styleId="20">
    <w:name w:val="E-mail Signature"/>
    <w:basedOn w:val="1"/>
    <w:qFormat/>
    <w:uiPriority w:val="0"/>
  </w:style>
  <w:style w:type="paragraph" w:styleId="21">
    <w:name w:val="List Number"/>
    <w:basedOn w:val="1"/>
    <w:qFormat/>
    <w:uiPriority w:val="0"/>
    <w:pPr>
      <w:widowControl/>
      <w:tabs>
        <w:tab w:val="left" w:pos="454"/>
        <w:tab w:val="left" w:pos="720"/>
      </w:tabs>
      <w:spacing w:afterLines="50"/>
      <w:ind w:left="454" w:hanging="284"/>
      <w:jc w:val="left"/>
    </w:pPr>
    <w:rPr>
      <w:kern w:val="0"/>
      <w:szCs w:val="20"/>
    </w:rPr>
  </w:style>
  <w:style w:type="paragraph" w:styleId="22">
    <w:name w:val="Normal Indent"/>
    <w:basedOn w:val="1"/>
    <w:link w:val="196"/>
    <w:qFormat/>
    <w:uiPriority w:val="0"/>
    <w:pPr>
      <w:ind w:firstLine="420"/>
    </w:pPr>
    <w:rPr>
      <w:szCs w:val="20"/>
    </w:rPr>
  </w:style>
  <w:style w:type="paragraph" w:styleId="23">
    <w:name w:val="caption"/>
    <w:basedOn w:val="1"/>
    <w:next w:val="1"/>
    <w:link w:val="188"/>
    <w:qFormat/>
    <w:uiPriority w:val="0"/>
    <w:pPr>
      <w:spacing w:before="152" w:after="160"/>
    </w:pPr>
    <w:rPr>
      <w:rFonts w:ascii="Arial" w:hAnsi="Arial" w:eastAsia="黑体"/>
      <w:sz w:val="20"/>
      <w:szCs w:val="20"/>
    </w:rPr>
  </w:style>
  <w:style w:type="paragraph" w:styleId="24">
    <w:name w:val="index 5"/>
    <w:basedOn w:val="1"/>
    <w:next w:val="1"/>
    <w:semiHidden/>
    <w:qFormat/>
    <w:uiPriority w:val="0"/>
    <w:pPr>
      <w:ind w:left="800" w:leftChars="800"/>
    </w:pPr>
  </w:style>
  <w:style w:type="paragraph" w:styleId="25">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6">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27">
    <w:name w:val="Document Map"/>
    <w:basedOn w:val="1"/>
    <w:link w:val="155"/>
    <w:unhideWhenUsed/>
    <w:qFormat/>
    <w:uiPriority w:val="0"/>
    <w:rPr>
      <w:rFonts w:ascii="宋体" w:hAnsi="Courier New"/>
      <w:kern w:val="0"/>
      <w:szCs w:val="20"/>
    </w:rPr>
  </w:style>
  <w:style w:type="paragraph" w:styleId="28">
    <w:name w:val="toa heading"/>
    <w:basedOn w:val="1"/>
    <w:next w:val="1"/>
    <w:semiHidden/>
    <w:qFormat/>
    <w:uiPriority w:val="0"/>
    <w:pPr>
      <w:spacing w:before="120"/>
    </w:pPr>
    <w:rPr>
      <w:rFonts w:ascii="Arial" w:hAnsi="Arial" w:cs="Arial"/>
    </w:rPr>
  </w:style>
  <w:style w:type="paragraph" w:styleId="29">
    <w:name w:val="annotation text"/>
    <w:basedOn w:val="1"/>
    <w:link w:val="124"/>
    <w:qFormat/>
    <w:uiPriority w:val="0"/>
    <w:pPr>
      <w:jc w:val="left"/>
    </w:pPr>
    <w:rPr>
      <w:rFonts w:ascii="Calibri" w:hAnsi="Calibri"/>
    </w:rPr>
  </w:style>
  <w:style w:type="paragraph" w:styleId="30">
    <w:name w:val="index 6"/>
    <w:basedOn w:val="1"/>
    <w:next w:val="1"/>
    <w:semiHidden/>
    <w:qFormat/>
    <w:uiPriority w:val="0"/>
    <w:pPr>
      <w:ind w:left="1000" w:leftChars="1000"/>
    </w:pPr>
  </w:style>
  <w:style w:type="paragraph" w:styleId="31">
    <w:name w:val="Salutation"/>
    <w:basedOn w:val="1"/>
    <w:next w:val="1"/>
    <w:link w:val="1015"/>
    <w:qFormat/>
    <w:uiPriority w:val="0"/>
  </w:style>
  <w:style w:type="paragraph" w:styleId="32">
    <w:name w:val="Body Text 3"/>
    <w:basedOn w:val="1"/>
    <w:qFormat/>
    <w:uiPriority w:val="0"/>
    <w:pPr>
      <w:snapToGrid w:val="0"/>
      <w:spacing w:before="50" w:after="50"/>
    </w:pPr>
  </w:style>
  <w:style w:type="paragraph" w:styleId="33">
    <w:name w:val="Closing"/>
    <w:basedOn w:val="1"/>
    <w:qFormat/>
    <w:uiPriority w:val="0"/>
    <w:pPr>
      <w:spacing w:beforeLines="40" w:afterLines="40" w:line="300" w:lineRule="auto"/>
      <w:ind w:left="100" w:leftChars="2100" w:firstLine="420"/>
    </w:pPr>
  </w:style>
  <w:style w:type="paragraph" w:styleId="34">
    <w:name w:val="List Bullet 3"/>
    <w:basedOn w:val="1"/>
    <w:qFormat/>
    <w:uiPriority w:val="0"/>
    <w:pPr>
      <w:tabs>
        <w:tab w:val="left" w:pos="1200"/>
      </w:tabs>
      <w:ind w:left="1200" w:leftChars="400" w:hanging="360" w:hangingChars="200"/>
    </w:pPr>
  </w:style>
  <w:style w:type="paragraph" w:styleId="35">
    <w:name w:val="Body Text"/>
    <w:basedOn w:val="1"/>
    <w:next w:val="36"/>
    <w:link w:val="289"/>
    <w:qFormat/>
    <w:uiPriority w:val="0"/>
    <w:pPr>
      <w:spacing w:after="120"/>
    </w:pPr>
    <w:rPr>
      <w:sz w:val="28"/>
    </w:rPr>
  </w:style>
  <w:style w:type="paragraph" w:styleId="36">
    <w:name w:val="Body Text First Indent"/>
    <w:basedOn w:val="35"/>
    <w:next w:val="37"/>
    <w:link w:val="143"/>
    <w:qFormat/>
    <w:uiPriority w:val="0"/>
    <w:pPr>
      <w:ind w:firstLine="420" w:firstLineChars="100"/>
    </w:pPr>
    <w:rPr>
      <w:rFonts w:ascii="Calibri" w:hAnsi="Calibri"/>
      <w:sz w:val="21"/>
      <w:szCs w:val="22"/>
    </w:rPr>
  </w:style>
  <w:style w:type="paragraph" w:styleId="37">
    <w:name w:val="toc 6"/>
    <w:basedOn w:val="1"/>
    <w:next w:val="1"/>
    <w:qFormat/>
    <w:uiPriority w:val="0"/>
    <w:pPr>
      <w:ind w:left="1200"/>
      <w:jc w:val="left"/>
    </w:pPr>
    <w:rPr>
      <w:sz w:val="18"/>
      <w:szCs w:val="18"/>
    </w:rPr>
  </w:style>
  <w:style w:type="paragraph" w:styleId="38">
    <w:name w:val="Body Text Indent"/>
    <w:basedOn w:val="1"/>
    <w:link w:val="150"/>
    <w:qFormat/>
    <w:uiPriority w:val="0"/>
    <w:pPr>
      <w:spacing w:line="200" w:lineRule="exact"/>
      <w:ind w:firstLine="301"/>
    </w:pPr>
    <w:rPr>
      <w:rFonts w:ascii="宋体" w:hAnsi="Courier New"/>
      <w:spacing w:val="-4"/>
      <w:sz w:val="18"/>
      <w:szCs w:val="20"/>
    </w:rPr>
  </w:style>
  <w:style w:type="paragraph" w:styleId="39">
    <w:name w:val="List Number 3"/>
    <w:basedOn w:val="1"/>
    <w:qFormat/>
    <w:uiPriority w:val="0"/>
    <w:pPr>
      <w:tabs>
        <w:tab w:val="left" w:pos="1200"/>
      </w:tabs>
      <w:ind w:left="1200" w:hanging="360"/>
    </w:pPr>
  </w:style>
  <w:style w:type="paragraph" w:styleId="40">
    <w:name w:val="List 2"/>
    <w:basedOn w:val="1"/>
    <w:qFormat/>
    <w:uiPriority w:val="0"/>
    <w:pPr>
      <w:ind w:left="100" w:leftChars="200" w:hanging="200" w:hangingChars="200"/>
    </w:pPr>
    <w:rPr>
      <w:sz w:val="28"/>
    </w:rPr>
  </w:style>
  <w:style w:type="paragraph" w:styleId="41">
    <w:name w:val="List Continue"/>
    <w:basedOn w:val="1"/>
    <w:qFormat/>
    <w:uiPriority w:val="0"/>
    <w:pPr>
      <w:spacing w:after="120"/>
      <w:ind w:left="420" w:leftChars="200"/>
    </w:pPr>
  </w:style>
  <w:style w:type="paragraph" w:styleId="42">
    <w:name w:val="Block Text"/>
    <w:basedOn w:val="1"/>
    <w:qFormat/>
    <w:uiPriority w:val="0"/>
    <w:pPr>
      <w:spacing w:after="120"/>
      <w:ind w:left="1440" w:leftChars="700" w:right="1440" w:rightChars="700"/>
    </w:pPr>
    <w:rPr>
      <w:szCs w:val="20"/>
    </w:rPr>
  </w:style>
  <w:style w:type="paragraph" w:styleId="43">
    <w:name w:val="List Bullet 2"/>
    <w:basedOn w:val="1"/>
    <w:qFormat/>
    <w:uiPriority w:val="0"/>
    <w:pPr>
      <w:tabs>
        <w:tab w:val="left" w:pos="360"/>
        <w:tab w:val="left" w:pos="1191"/>
      </w:tabs>
      <w:snapToGrid w:val="0"/>
      <w:ind w:left="482" w:hanging="482" w:hangingChars="200"/>
      <w:jc w:val="left"/>
    </w:pPr>
    <w:rPr>
      <w:b/>
      <w:bCs/>
      <w:szCs w:val="32"/>
    </w:rPr>
  </w:style>
  <w:style w:type="paragraph" w:styleId="44">
    <w:name w:val="HTML Address"/>
    <w:basedOn w:val="1"/>
    <w:qFormat/>
    <w:uiPriority w:val="0"/>
    <w:pPr>
      <w:spacing w:beforeLines="40" w:afterLines="40" w:line="300" w:lineRule="auto"/>
      <w:ind w:firstLine="420"/>
    </w:pPr>
    <w:rPr>
      <w:i/>
      <w:iCs/>
    </w:rPr>
  </w:style>
  <w:style w:type="paragraph" w:styleId="45">
    <w:name w:val="index 4"/>
    <w:basedOn w:val="1"/>
    <w:next w:val="1"/>
    <w:semiHidden/>
    <w:qFormat/>
    <w:uiPriority w:val="0"/>
    <w:pPr>
      <w:ind w:left="600" w:leftChars="600"/>
    </w:pPr>
  </w:style>
  <w:style w:type="paragraph" w:styleId="46">
    <w:name w:val="toc 5"/>
    <w:basedOn w:val="1"/>
    <w:next w:val="1"/>
    <w:semiHidden/>
    <w:qFormat/>
    <w:uiPriority w:val="0"/>
    <w:pPr>
      <w:spacing w:afterLines="50"/>
      <w:ind w:left="840"/>
      <w:jc w:val="left"/>
    </w:pPr>
    <w:rPr>
      <w:snapToGrid w:val="0"/>
      <w:kern w:val="0"/>
      <w:sz w:val="18"/>
      <w:szCs w:val="18"/>
    </w:rPr>
  </w:style>
  <w:style w:type="paragraph" w:styleId="47">
    <w:name w:val="toc 3"/>
    <w:basedOn w:val="1"/>
    <w:next w:val="1"/>
    <w:qFormat/>
    <w:uiPriority w:val="0"/>
    <w:pPr>
      <w:tabs>
        <w:tab w:val="right" w:leader="dot" w:pos="8296"/>
      </w:tabs>
      <w:jc w:val="left"/>
    </w:pPr>
    <w:rPr>
      <w:b/>
      <w:bCs/>
      <w:iCs/>
    </w:rPr>
  </w:style>
  <w:style w:type="paragraph" w:styleId="48">
    <w:name w:val="Plain Text"/>
    <w:basedOn w:val="1"/>
    <w:link w:val="328"/>
    <w:qFormat/>
    <w:uiPriority w:val="0"/>
    <w:pPr>
      <w:spacing w:beforeLines="50" w:afterLines="50" w:line="400" w:lineRule="exact"/>
    </w:pPr>
    <w:rPr>
      <w:rFonts w:ascii="宋体" w:hAnsi="Courier New"/>
    </w:rPr>
  </w:style>
  <w:style w:type="paragraph" w:styleId="49">
    <w:name w:val="List Bullet 5"/>
    <w:basedOn w:val="1"/>
    <w:qFormat/>
    <w:uiPriority w:val="0"/>
    <w:pPr>
      <w:tabs>
        <w:tab w:val="left" w:pos="2182"/>
      </w:tabs>
      <w:ind w:left="2182" w:hanging="360"/>
    </w:pPr>
  </w:style>
  <w:style w:type="paragraph" w:styleId="50">
    <w:name w:val="List Number 4"/>
    <w:basedOn w:val="1"/>
    <w:qFormat/>
    <w:uiPriority w:val="0"/>
    <w:pPr>
      <w:tabs>
        <w:tab w:val="left" w:pos="1620"/>
      </w:tabs>
      <w:ind w:left="1620" w:leftChars="600" w:hanging="360" w:hangingChars="200"/>
    </w:pPr>
  </w:style>
  <w:style w:type="paragraph" w:styleId="51">
    <w:name w:val="toc 8"/>
    <w:basedOn w:val="1"/>
    <w:next w:val="1"/>
    <w:semiHidden/>
    <w:qFormat/>
    <w:uiPriority w:val="0"/>
    <w:pPr>
      <w:spacing w:afterLines="50"/>
      <w:ind w:left="1470"/>
      <w:jc w:val="left"/>
    </w:pPr>
    <w:rPr>
      <w:snapToGrid w:val="0"/>
      <w:kern w:val="0"/>
      <w:sz w:val="18"/>
      <w:szCs w:val="18"/>
    </w:rPr>
  </w:style>
  <w:style w:type="paragraph" w:styleId="52">
    <w:name w:val="index 3"/>
    <w:basedOn w:val="1"/>
    <w:next w:val="1"/>
    <w:semiHidden/>
    <w:qFormat/>
    <w:uiPriority w:val="0"/>
    <w:pPr>
      <w:ind w:left="400" w:leftChars="400"/>
    </w:pPr>
  </w:style>
  <w:style w:type="paragraph" w:styleId="53">
    <w:name w:val="Date"/>
    <w:basedOn w:val="1"/>
    <w:next w:val="1"/>
    <w:link w:val="227"/>
    <w:qFormat/>
    <w:uiPriority w:val="0"/>
    <w:pPr>
      <w:ind w:left="2500" w:leftChars="2500"/>
    </w:pPr>
    <w:rPr>
      <w:rFonts w:eastAsia="楷体_GB2312"/>
      <w:sz w:val="32"/>
      <w:szCs w:val="20"/>
    </w:rPr>
  </w:style>
  <w:style w:type="paragraph" w:styleId="54">
    <w:name w:val="Body Text Indent 2"/>
    <w:basedOn w:val="1"/>
    <w:qFormat/>
    <w:uiPriority w:val="0"/>
    <w:pPr>
      <w:snapToGrid w:val="0"/>
      <w:ind w:firstLine="542" w:firstLineChars="225"/>
    </w:pPr>
    <w:rPr>
      <w:rFonts w:ascii="仿宋_GB2312" w:hAnsi="宋体" w:cs="Arial"/>
      <w:b/>
      <w:bCs/>
      <w:color w:val="000000"/>
    </w:rPr>
  </w:style>
  <w:style w:type="paragraph" w:styleId="55">
    <w:name w:val="endnote text"/>
    <w:basedOn w:val="1"/>
    <w:semiHidden/>
    <w:qFormat/>
    <w:uiPriority w:val="0"/>
    <w:pPr>
      <w:snapToGrid w:val="0"/>
      <w:spacing w:afterLines="50"/>
      <w:jc w:val="left"/>
    </w:pPr>
    <w:rPr>
      <w:rFonts w:ascii="宋体"/>
      <w:snapToGrid w:val="0"/>
      <w:kern w:val="0"/>
      <w:szCs w:val="20"/>
    </w:rPr>
  </w:style>
  <w:style w:type="paragraph" w:styleId="56">
    <w:name w:val="List Continue 5"/>
    <w:basedOn w:val="1"/>
    <w:qFormat/>
    <w:uiPriority w:val="0"/>
    <w:pPr>
      <w:spacing w:after="120"/>
      <w:ind w:left="2100" w:leftChars="1000"/>
    </w:pPr>
  </w:style>
  <w:style w:type="paragraph" w:styleId="57">
    <w:name w:val="Balloon Text"/>
    <w:basedOn w:val="1"/>
    <w:link w:val="333"/>
    <w:qFormat/>
    <w:uiPriority w:val="0"/>
    <w:rPr>
      <w:rFonts w:ascii="Calibri" w:hAnsi="Calibri"/>
      <w:sz w:val="18"/>
      <w:szCs w:val="18"/>
    </w:rPr>
  </w:style>
  <w:style w:type="paragraph" w:styleId="58">
    <w:name w:val="footer"/>
    <w:basedOn w:val="1"/>
    <w:link w:val="356"/>
    <w:unhideWhenUsed/>
    <w:qFormat/>
    <w:uiPriority w:val="0"/>
    <w:pPr>
      <w:tabs>
        <w:tab w:val="center" w:pos="4153"/>
        <w:tab w:val="right" w:pos="8306"/>
      </w:tabs>
      <w:snapToGrid w:val="0"/>
      <w:jc w:val="left"/>
    </w:pPr>
    <w:rPr>
      <w:sz w:val="18"/>
      <w:szCs w:val="18"/>
    </w:rPr>
  </w:style>
  <w:style w:type="paragraph" w:styleId="59">
    <w:name w:val="envelope return"/>
    <w:basedOn w:val="1"/>
    <w:qFormat/>
    <w:uiPriority w:val="0"/>
    <w:pPr>
      <w:snapToGrid w:val="0"/>
      <w:spacing w:beforeLines="40" w:afterLines="40" w:line="300" w:lineRule="auto"/>
      <w:ind w:firstLine="420"/>
    </w:pPr>
    <w:rPr>
      <w:rFonts w:ascii="Arial" w:hAnsi="Arial" w:cs="Arial"/>
    </w:rPr>
  </w:style>
  <w:style w:type="paragraph" w:styleId="60">
    <w:name w:val="header"/>
    <w:basedOn w:val="1"/>
    <w:link w:val="222"/>
    <w:unhideWhenUsed/>
    <w:qFormat/>
    <w:uiPriority w:val="0"/>
    <w:pPr>
      <w:pBdr>
        <w:bottom w:val="single" w:color="auto" w:sz="6" w:space="1"/>
      </w:pBdr>
      <w:tabs>
        <w:tab w:val="center" w:pos="4153"/>
        <w:tab w:val="right" w:pos="8306"/>
      </w:tabs>
      <w:snapToGrid w:val="0"/>
      <w:jc w:val="center"/>
    </w:pPr>
    <w:rPr>
      <w:sz w:val="18"/>
      <w:szCs w:val="18"/>
    </w:rPr>
  </w:style>
  <w:style w:type="paragraph" w:styleId="61">
    <w:name w:val="Signature"/>
    <w:basedOn w:val="1"/>
    <w:qFormat/>
    <w:uiPriority w:val="0"/>
    <w:pPr>
      <w:ind w:left="100" w:leftChars="2100"/>
    </w:pPr>
  </w:style>
  <w:style w:type="paragraph" w:styleId="62">
    <w:name w:val="toc 1"/>
    <w:basedOn w:val="1"/>
    <w:next w:val="1"/>
    <w:qFormat/>
    <w:uiPriority w:val="0"/>
    <w:rPr>
      <w:sz w:val="30"/>
    </w:rPr>
  </w:style>
  <w:style w:type="paragraph" w:styleId="63">
    <w:name w:val="List Continue 4"/>
    <w:basedOn w:val="1"/>
    <w:qFormat/>
    <w:uiPriority w:val="0"/>
    <w:pPr>
      <w:spacing w:after="120"/>
      <w:ind w:left="1680" w:leftChars="800"/>
    </w:pPr>
  </w:style>
  <w:style w:type="paragraph" w:styleId="64">
    <w:name w:val="toc 4"/>
    <w:basedOn w:val="1"/>
    <w:next w:val="1"/>
    <w:semiHidden/>
    <w:qFormat/>
    <w:uiPriority w:val="0"/>
    <w:pPr>
      <w:ind w:left="629"/>
      <w:jc w:val="left"/>
    </w:pPr>
    <w:rPr>
      <w:snapToGrid w:val="0"/>
      <w:kern w:val="0"/>
      <w:szCs w:val="18"/>
    </w:rPr>
  </w:style>
  <w:style w:type="paragraph" w:styleId="65">
    <w:name w:val="index heading"/>
    <w:basedOn w:val="1"/>
    <w:next w:val="66"/>
    <w:semiHidden/>
    <w:qFormat/>
    <w:uiPriority w:val="0"/>
    <w:rPr>
      <w:rFonts w:ascii="Arial" w:hAnsi="Arial" w:cs="Arial"/>
      <w:b/>
      <w:bCs/>
    </w:rPr>
  </w:style>
  <w:style w:type="paragraph" w:styleId="66">
    <w:name w:val="index 1"/>
    <w:basedOn w:val="1"/>
    <w:next w:val="1"/>
    <w:qFormat/>
    <w:uiPriority w:val="0"/>
    <w:rPr>
      <w:szCs w:val="20"/>
    </w:rPr>
  </w:style>
  <w:style w:type="paragraph" w:styleId="67">
    <w:name w:val="Subtitle"/>
    <w:basedOn w:val="1"/>
    <w:qFormat/>
    <w:uiPriority w:val="0"/>
    <w:pPr>
      <w:spacing w:afterLines="50"/>
      <w:jc w:val="center"/>
    </w:pPr>
    <w:rPr>
      <w:rFonts w:eastAsia="Times New Roman"/>
      <w:sz w:val="18"/>
      <w:szCs w:val="18"/>
    </w:rPr>
  </w:style>
  <w:style w:type="paragraph" w:styleId="68">
    <w:name w:val="List Number 5"/>
    <w:basedOn w:val="1"/>
    <w:qFormat/>
    <w:uiPriority w:val="0"/>
    <w:pPr>
      <w:tabs>
        <w:tab w:val="left" w:pos="2040"/>
      </w:tabs>
      <w:ind w:left="2040" w:leftChars="800" w:hanging="360" w:hangingChars="200"/>
    </w:pPr>
  </w:style>
  <w:style w:type="paragraph" w:styleId="69">
    <w:name w:val="List"/>
    <w:basedOn w:val="1"/>
    <w:qFormat/>
    <w:uiPriority w:val="0"/>
    <w:pPr>
      <w:ind w:left="200" w:hanging="200" w:hangingChars="200"/>
    </w:pPr>
    <w:rPr>
      <w:sz w:val="28"/>
    </w:rPr>
  </w:style>
  <w:style w:type="paragraph" w:styleId="70">
    <w:name w:val="footnote text"/>
    <w:basedOn w:val="1"/>
    <w:semiHidden/>
    <w:qFormat/>
    <w:uiPriority w:val="0"/>
    <w:pPr>
      <w:snapToGrid w:val="0"/>
      <w:jc w:val="left"/>
    </w:pPr>
    <w:rPr>
      <w:sz w:val="18"/>
      <w:szCs w:val="18"/>
    </w:rPr>
  </w:style>
  <w:style w:type="paragraph" w:styleId="71">
    <w:name w:val="List 5"/>
    <w:basedOn w:val="1"/>
    <w:qFormat/>
    <w:uiPriority w:val="0"/>
    <w:pPr>
      <w:ind w:left="100" w:leftChars="800" w:hanging="200" w:hangingChars="200"/>
    </w:pPr>
  </w:style>
  <w:style w:type="paragraph" w:styleId="72">
    <w:name w:val="Body Text Indent 3"/>
    <w:basedOn w:val="1"/>
    <w:link w:val="280"/>
    <w:qFormat/>
    <w:uiPriority w:val="0"/>
    <w:pPr>
      <w:snapToGrid w:val="0"/>
      <w:ind w:firstLine="480" w:firstLineChars="200"/>
      <w:jc w:val="left"/>
    </w:pPr>
    <w:rPr>
      <w:rFonts w:ascii="仿宋_GB2312" w:hAnsi="宋体" w:eastAsia="仿宋_GB2312"/>
      <w:color w:val="000000"/>
    </w:rPr>
  </w:style>
  <w:style w:type="paragraph" w:styleId="73">
    <w:name w:val="index 7"/>
    <w:basedOn w:val="1"/>
    <w:next w:val="1"/>
    <w:semiHidden/>
    <w:qFormat/>
    <w:uiPriority w:val="0"/>
    <w:pPr>
      <w:ind w:left="1200" w:leftChars="1200"/>
    </w:pPr>
  </w:style>
  <w:style w:type="paragraph" w:styleId="74">
    <w:name w:val="index 9"/>
    <w:basedOn w:val="1"/>
    <w:next w:val="1"/>
    <w:semiHidden/>
    <w:qFormat/>
    <w:uiPriority w:val="0"/>
    <w:pPr>
      <w:ind w:left="1600" w:leftChars="1600"/>
    </w:pPr>
  </w:style>
  <w:style w:type="paragraph" w:styleId="75">
    <w:name w:val="table of figures"/>
    <w:basedOn w:val="1"/>
    <w:next w:val="1"/>
    <w:semiHidden/>
    <w:qFormat/>
    <w:uiPriority w:val="0"/>
    <w:pPr>
      <w:tabs>
        <w:tab w:val="left" w:pos="1270"/>
      </w:tabs>
      <w:ind w:left="1270" w:hanging="420"/>
      <w:jc w:val="left"/>
    </w:pPr>
    <w:rPr>
      <w:smallCaps/>
      <w:sz w:val="20"/>
      <w:szCs w:val="20"/>
    </w:rPr>
  </w:style>
  <w:style w:type="paragraph" w:styleId="76">
    <w:name w:val="toc 2"/>
    <w:basedOn w:val="1"/>
    <w:next w:val="1"/>
    <w:qFormat/>
    <w:uiPriority w:val="0"/>
    <w:pPr>
      <w:tabs>
        <w:tab w:val="right" w:leader="dot" w:pos="8296"/>
      </w:tabs>
      <w:ind w:left="210"/>
      <w:jc w:val="left"/>
    </w:pPr>
    <w:rPr>
      <w:b/>
      <w:smallCaps/>
    </w:rPr>
  </w:style>
  <w:style w:type="paragraph" w:styleId="77">
    <w:name w:val="toc 9"/>
    <w:basedOn w:val="1"/>
    <w:next w:val="1"/>
    <w:qFormat/>
    <w:uiPriority w:val="0"/>
    <w:pPr>
      <w:ind w:left="1920"/>
      <w:jc w:val="left"/>
    </w:pPr>
    <w:rPr>
      <w:sz w:val="18"/>
      <w:szCs w:val="18"/>
    </w:rPr>
  </w:style>
  <w:style w:type="paragraph" w:styleId="78">
    <w:name w:val="Body Text 2"/>
    <w:basedOn w:val="1"/>
    <w:qFormat/>
    <w:uiPriority w:val="0"/>
    <w:pPr>
      <w:widowControl/>
      <w:snapToGrid w:val="0"/>
      <w:spacing w:before="50" w:afterLines="50" w:line="400" w:lineRule="exact"/>
      <w:jc w:val="left"/>
    </w:pPr>
    <w:rPr>
      <w:rFonts w:ascii="宋体" w:hAnsi="宋体"/>
      <w:color w:val="000000"/>
    </w:rPr>
  </w:style>
  <w:style w:type="paragraph" w:styleId="79">
    <w:name w:val="List 4"/>
    <w:basedOn w:val="1"/>
    <w:qFormat/>
    <w:uiPriority w:val="0"/>
    <w:pPr>
      <w:ind w:left="100" w:leftChars="600" w:hanging="200" w:hangingChars="200"/>
    </w:pPr>
  </w:style>
  <w:style w:type="paragraph" w:styleId="80">
    <w:name w:val="List Continue 2"/>
    <w:basedOn w:val="1"/>
    <w:qFormat/>
    <w:uiPriority w:val="0"/>
    <w:pPr>
      <w:spacing w:after="120"/>
      <w:ind w:left="840" w:leftChars="400"/>
    </w:pPr>
  </w:style>
  <w:style w:type="paragraph" w:styleId="8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2">
    <w:name w:val="HTML Preformatted"/>
    <w:basedOn w:val="1"/>
    <w:qFormat/>
    <w:uiPriority w:val="0"/>
    <w:rPr>
      <w:rFonts w:ascii="Courier New" w:hAnsi="Courier New" w:cs="Courier New"/>
      <w:sz w:val="20"/>
      <w:szCs w:val="20"/>
    </w:rPr>
  </w:style>
  <w:style w:type="paragraph" w:styleId="83">
    <w:name w:val="Normal (Web)"/>
    <w:basedOn w:val="1"/>
    <w:link w:val="1017"/>
    <w:unhideWhenUsed/>
    <w:qFormat/>
    <w:uiPriority w:val="0"/>
    <w:pPr>
      <w:widowControl/>
      <w:spacing w:before="100" w:beforeAutospacing="1" w:after="100" w:afterAutospacing="1"/>
      <w:jc w:val="left"/>
    </w:pPr>
    <w:rPr>
      <w:rFonts w:ascii="宋体" w:hAnsi="宋体" w:cs="宋体"/>
      <w:kern w:val="0"/>
    </w:rPr>
  </w:style>
  <w:style w:type="paragraph" w:styleId="84">
    <w:name w:val="List Continue 3"/>
    <w:basedOn w:val="1"/>
    <w:qFormat/>
    <w:uiPriority w:val="0"/>
    <w:pPr>
      <w:spacing w:beforeLines="40" w:afterLines="40" w:line="300" w:lineRule="auto"/>
      <w:ind w:left="1260" w:leftChars="600" w:firstLine="420"/>
    </w:pPr>
  </w:style>
  <w:style w:type="paragraph" w:styleId="85">
    <w:name w:val="index 2"/>
    <w:basedOn w:val="1"/>
    <w:next w:val="1"/>
    <w:semiHidden/>
    <w:qFormat/>
    <w:uiPriority w:val="0"/>
    <w:pPr>
      <w:ind w:left="200" w:leftChars="200"/>
    </w:pPr>
  </w:style>
  <w:style w:type="paragraph" w:styleId="86">
    <w:name w:val="Title"/>
    <w:basedOn w:val="1"/>
    <w:link w:val="129"/>
    <w:qFormat/>
    <w:uiPriority w:val="0"/>
    <w:pPr>
      <w:widowControl/>
      <w:overflowPunct w:val="0"/>
      <w:autoSpaceDE w:val="0"/>
      <w:autoSpaceDN w:val="0"/>
      <w:adjustRightInd w:val="0"/>
      <w:jc w:val="center"/>
      <w:textAlignment w:val="baseline"/>
    </w:pPr>
    <w:rPr>
      <w:sz w:val="18"/>
      <w:szCs w:val="18"/>
    </w:rPr>
  </w:style>
  <w:style w:type="paragraph" w:styleId="87">
    <w:name w:val="annotation subject"/>
    <w:basedOn w:val="29"/>
    <w:next w:val="29"/>
    <w:semiHidden/>
    <w:qFormat/>
    <w:uiPriority w:val="0"/>
    <w:rPr>
      <w:b/>
      <w:bCs/>
    </w:rPr>
  </w:style>
  <w:style w:type="paragraph" w:styleId="88">
    <w:name w:val="Body Text First Indent 2"/>
    <w:basedOn w:val="38"/>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Theme"/>
    <w:basedOn w:val="89"/>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2">
    <w:name w:val="Table Grid 1"/>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qFormat/>
    <w:uiPriority w:val="0"/>
    <w:rPr>
      <w:b/>
      <w:bCs/>
    </w:rPr>
  </w:style>
  <w:style w:type="character" w:styleId="97">
    <w:name w:val="page number"/>
    <w:basedOn w:val="95"/>
    <w:qFormat/>
    <w:uiPriority w:val="99"/>
  </w:style>
  <w:style w:type="character" w:styleId="98">
    <w:name w:val="FollowedHyperlink"/>
    <w:qFormat/>
    <w:uiPriority w:val="99"/>
    <w:rPr>
      <w:color w:val="800080"/>
      <w:u w:val="single"/>
    </w:rPr>
  </w:style>
  <w:style w:type="character" w:styleId="99">
    <w:name w:val="Emphasis"/>
    <w:qFormat/>
    <w:uiPriority w:val="0"/>
    <w:rPr>
      <w:color w:val="CC0033"/>
    </w:rPr>
  </w:style>
  <w:style w:type="character" w:styleId="100">
    <w:name w:val="line number"/>
    <w:basedOn w:val="95"/>
    <w:qFormat/>
    <w:uiPriority w:val="0"/>
  </w:style>
  <w:style w:type="character" w:styleId="101">
    <w:name w:val="HTML Acronym"/>
    <w:basedOn w:val="95"/>
    <w:qFormat/>
    <w:uiPriority w:val="0"/>
  </w:style>
  <w:style w:type="character" w:styleId="102">
    <w:name w:val="Hyperlink"/>
    <w:qFormat/>
    <w:uiPriority w:val="99"/>
    <w:rPr>
      <w:color w:val="0000FF"/>
      <w:u w:val="single"/>
    </w:rPr>
  </w:style>
  <w:style w:type="character" w:styleId="103">
    <w:name w:val="annotation reference"/>
    <w:qFormat/>
    <w:uiPriority w:val="0"/>
    <w:rPr>
      <w:sz w:val="21"/>
      <w:szCs w:val="21"/>
    </w:rPr>
  </w:style>
  <w:style w:type="character" w:styleId="104">
    <w:name w:val="footnote reference"/>
    <w:semiHidden/>
    <w:qFormat/>
    <w:uiPriority w:val="0"/>
    <w:rPr>
      <w:rFonts w:hint="default" w:ascii="Tahoma" w:hAnsi="Tahoma" w:eastAsia="宋体" w:cs="Tahoma"/>
      <w:kern w:val="2"/>
      <w:sz w:val="36"/>
      <w:szCs w:val="36"/>
      <w:vertAlign w:val="superscript"/>
      <w:lang w:val="en-US" w:eastAsia="zh-CN" w:bidi="ar-SA"/>
    </w:rPr>
  </w:style>
  <w:style w:type="paragraph" w:customStyle="1" w:styleId="105">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06">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7">
    <w:name w:val="标题 1 Char"/>
    <w:link w:val="5"/>
    <w:qFormat/>
    <w:uiPriority w:val="0"/>
    <w:rPr>
      <w:rFonts w:eastAsia="仿宋"/>
      <w:b/>
      <w:bCs/>
      <w:sz w:val="36"/>
      <w:szCs w:val="36"/>
    </w:rPr>
  </w:style>
  <w:style w:type="character" w:customStyle="1" w:styleId="108">
    <w:name w:val="h105-2"/>
    <w:qFormat/>
    <w:uiPriority w:val="0"/>
    <w:rPr>
      <w:rFonts w:hint="default" w:ascii="Tahoma" w:hAnsi="Tahoma" w:eastAsia="宋体" w:cs="Tahoma"/>
      <w:kern w:val="2"/>
      <w:sz w:val="36"/>
      <w:szCs w:val="36"/>
      <w:lang w:val="en-US" w:eastAsia="zh-CN" w:bidi="ar-SA"/>
    </w:rPr>
  </w:style>
  <w:style w:type="character" w:customStyle="1" w:styleId="109">
    <w:name w:val="maywed421"/>
    <w:qFormat/>
    <w:uiPriority w:val="0"/>
    <w:rPr>
      <w:color w:val="366FB6"/>
      <w:u w:val="none"/>
    </w:rPr>
  </w:style>
  <w:style w:type="character" w:customStyle="1" w:styleId="110">
    <w:name w:val="标题 8 Char"/>
    <w:link w:val="11"/>
    <w:qFormat/>
    <w:uiPriority w:val="0"/>
    <w:rPr>
      <w:rFonts w:ascii="Arial" w:hAnsi="Arial" w:eastAsia="黑体"/>
      <w:sz w:val="24"/>
    </w:rPr>
  </w:style>
  <w:style w:type="character" w:customStyle="1" w:styleId="111">
    <w:name w:val="tw4winInternal"/>
    <w:qFormat/>
    <w:uiPriority w:val="0"/>
    <w:rPr>
      <w:rFonts w:ascii="Courier New" w:hAnsi="Courier New"/>
      <w:color w:val="FF0000"/>
    </w:rPr>
  </w:style>
  <w:style w:type="character" w:customStyle="1" w:styleId="112">
    <w:name w:val="H1 Char1"/>
    <w:qFormat/>
    <w:uiPriority w:val="0"/>
    <w:rPr>
      <w:rFonts w:eastAsia="隶书"/>
      <w:b/>
      <w:bCs/>
      <w:sz w:val="36"/>
      <w:szCs w:val="36"/>
      <w:lang w:val="en-US" w:eastAsia="zh-CN" w:bidi="ar-SA"/>
    </w:rPr>
  </w:style>
  <w:style w:type="character" w:customStyle="1" w:styleId="113">
    <w:name w:val="普通文字 Char1 Char"/>
    <w:qFormat/>
    <w:uiPriority w:val="0"/>
    <w:rPr>
      <w:rFonts w:ascii="宋体" w:hAnsi="Courier New" w:eastAsia="宋体"/>
      <w:kern w:val="2"/>
      <w:sz w:val="21"/>
      <w:szCs w:val="24"/>
      <w:lang w:val="en-US" w:eastAsia="zh-CN" w:bidi="ar-SA"/>
    </w:rPr>
  </w:style>
  <w:style w:type="character" w:customStyle="1" w:styleId="114">
    <w:name w:val="标题 2 Char"/>
    <w:semiHidden/>
    <w:qFormat/>
    <w:uiPriority w:val="0"/>
    <w:rPr>
      <w:rFonts w:ascii="Cambria" w:hAnsi="Cambria" w:eastAsia="宋体" w:cs="Times New Roman"/>
      <w:b/>
      <w:bCs/>
      <w:sz w:val="32"/>
      <w:szCs w:val="32"/>
    </w:rPr>
  </w:style>
  <w:style w:type="character" w:customStyle="1" w:styleId="115">
    <w:name w:val="Table Heading Char Char"/>
    <w:link w:val="116"/>
    <w:qFormat/>
    <w:uiPriority w:val="0"/>
    <w:rPr>
      <w:rFonts w:eastAsia="宋体"/>
      <w:b/>
      <w:kern w:val="2"/>
      <w:sz w:val="16"/>
      <w:szCs w:val="24"/>
      <w:lang w:val="en-US" w:eastAsia="zh-CN" w:bidi="ar-SA"/>
    </w:rPr>
  </w:style>
  <w:style w:type="paragraph" w:customStyle="1" w:styleId="116">
    <w:name w:val="Table Heading"/>
    <w:basedOn w:val="117"/>
    <w:link w:val="115"/>
    <w:qFormat/>
    <w:uiPriority w:val="0"/>
    <w:rPr>
      <w:b/>
    </w:rPr>
  </w:style>
  <w:style w:type="paragraph" w:customStyle="1" w:styleId="117">
    <w:name w:val="Table Text"/>
    <w:basedOn w:val="1"/>
    <w:link w:val="238"/>
    <w:qFormat/>
    <w:uiPriority w:val="0"/>
    <w:pPr>
      <w:keepLines/>
      <w:spacing w:beforeLines="40" w:afterLines="40"/>
    </w:pPr>
    <w:rPr>
      <w:sz w:val="16"/>
    </w:rPr>
  </w:style>
  <w:style w:type="character" w:customStyle="1" w:styleId="118">
    <w:name w:val="tw4winExternal"/>
    <w:qFormat/>
    <w:uiPriority w:val="0"/>
    <w:rPr>
      <w:rFonts w:ascii="Courier New" w:hAnsi="Courier New"/>
      <w:color w:val="808080"/>
    </w:rPr>
  </w:style>
  <w:style w:type="character" w:customStyle="1" w:styleId="119">
    <w:name w:val="style81"/>
    <w:qFormat/>
    <w:uiPriority w:val="0"/>
    <w:rPr>
      <w:color w:val="003366"/>
    </w:rPr>
  </w:style>
  <w:style w:type="character" w:customStyle="1" w:styleId="120">
    <w:name w:val="样式 小四"/>
    <w:qFormat/>
    <w:uiPriority w:val="0"/>
    <w:rPr>
      <w:sz w:val="21"/>
    </w:rPr>
  </w:style>
  <w:style w:type="character" w:customStyle="1" w:styleId="121">
    <w:name w:val="ziti1"/>
    <w:qFormat/>
    <w:uiPriority w:val="0"/>
    <w:rPr>
      <w:rFonts w:hint="default"/>
      <w:color w:val="282726"/>
      <w:spacing w:val="360"/>
      <w:sz w:val="21"/>
      <w:szCs w:val="21"/>
      <w:u w:val="none"/>
    </w:rPr>
  </w:style>
  <w:style w:type="character" w:customStyle="1" w:styleId="122">
    <w:name w:val="标准 Char Char Char Char"/>
    <w:link w:val="123"/>
    <w:qFormat/>
    <w:locked/>
    <w:uiPriority w:val="0"/>
    <w:rPr>
      <w:rFonts w:ascii="宋体" w:hAnsi="宋体" w:eastAsia="宋体"/>
      <w:color w:val="000000"/>
      <w:kern w:val="2"/>
      <w:sz w:val="24"/>
      <w:lang w:val="en-US" w:eastAsia="zh-CN" w:bidi="ar-SA"/>
    </w:rPr>
  </w:style>
  <w:style w:type="paragraph" w:customStyle="1" w:styleId="123">
    <w:name w:val="标准 Char Char Char"/>
    <w:basedOn w:val="1"/>
    <w:link w:val="122"/>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4">
    <w:name w:val="批注文字 Char"/>
    <w:link w:val="29"/>
    <w:qFormat/>
    <w:uiPriority w:val="0"/>
    <w:rPr>
      <w:rFonts w:ascii="Calibri" w:hAnsi="Calibri" w:eastAsia="宋体"/>
      <w:kern w:val="2"/>
      <w:sz w:val="21"/>
      <w:szCs w:val="22"/>
      <w:lang w:val="en-US" w:eastAsia="zh-CN" w:bidi="ar-SA"/>
    </w:rPr>
  </w:style>
  <w:style w:type="character" w:customStyle="1" w:styleId="125">
    <w:name w:val="tw4winTerm"/>
    <w:qFormat/>
    <w:uiPriority w:val="0"/>
    <w:rPr>
      <w:color w:val="0000FF"/>
    </w:rPr>
  </w:style>
  <w:style w:type="character" w:customStyle="1" w:styleId="126">
    <w:name w:val="图注 Char"/>
    <w:link w:val="127"/>
    <w:qFormat/>
    <w:uiPriority w:val="0"/>
    <w:rPr>
      <w:rFonts w:eastAsia="宋体"/>
      <w:sz w:val="18"/>
      <w:lang w:val="en-US" w:eastAsia="zh-CN" w:bidi="ar-SA"/>
    </w:rPr>
  </w:style>
  <w:style w:type="paragraph" w:customStyle="1" w:styleId="127">
    <w:name w:val="图注"/>
    <w:basedOn w:val="1"/>
    <w:next w:val="22"/>
    <w:link w:val="126"/>
    <w:qFormat/>
    <w:uiPriority w:val="0"/>
    <w:pPr>
      <w:spacing w:beforeLines="40" w:afterLines="40"/>
      <w:jc w:val="center"/>
    </w:pPr>
    <w:rPr>
      <w:kern w:val="0"/>
      <w:sz w:val="18"/>
      <w:szCs w:val="20"/>
    </w:rPr>
  </w:style>
  <w:style w:type="character" w:customStyle="1" w:styleId="128">
    <w:name w:val="个人撰写风格"/>
    <w:qFormat/>
    <w:uiPriority w:val="0"/>
    <w:rPr>
      <w:rFonts w:ascii="Arial" w:hAnsi="Arial" w:eastAsia="宋体" w:cs="Arial"/>
      <w:color w:val="auto"/>
      <w:sz w:val="20"/>
    </w:rPr>
  </w:style>
  <w:style w:type="character" w:customStyle="1" w:styleId="129">
    <w:name w:val="标题 Char"/>
    <w:link w:val="86"/>
    <w:qFormat/>
    <w:uiPriority w:val="0"/>
    <w:rPr>
      <w:kern w:val="2"/>
      <w:sz w:val="18"/>
      <w:szCs w:val="18"/>
    </w:rPr>
  </w:style>
  <w:style w:type="character" w:customStyle="1" w:styleId="130">
    <w:name w:val="浅色列表 - 强调文字颜色 5 Char"/>
    <w:link w:val="131"/>
    <w:qFormat/>
    <w:locked/>
    <w:uiPriority w:val="0"/>
    <w:rPr>
      <w:rFonts w:ascii="Calibri" w:hAnsi="Calibri" w:eastAsia="宋体"/>
      <w:lang w:bidi="ar-SA"/>
    </w:rPr>
  </w:style>
  <w:style w:type="paragraph" w:customStyle="1" w:styleId="131">
    <w:name w:val="浅色列表 - 强调文字颜色 52"/>
    <w:basedOn w:val="1"/>
    <w:link w:val="130"/>
    <w:qFormat/>
    <w:uiPriority w:val="0"/>
    <w:pPr>
      <w:ind w:firstLine="420" w:firstLineChars="200"/>
    </w:pPr>
    <w:rPr>
      <w:rFonts w:ascii="Calibri" w:hAnsi="Calibri"/>
      <w:kern w:val="0"/>
      <w:sz w:val="20"/>
      <w:szCs w:val="20"/>
    </w:rPr>
  </w:style>
  <w:style w:type="character" w:customStyle="1" w:styleId="132">
    <w:name w:val="标准文本 Char"/>
    <w:link w:val="133"/>
    <w:qFormat/>
    <w:locked/>
    <w:uiPriority w:val="0"/>
    <w:rPr>
      <w:rFonts w:eastAsia="宋体"/>
      <w:kern w:val="2"/>
      <w:sz w:val="24"/>
      <w:szCs w:val="24"/>
      <w:lang w:val="en-US" w:eastAsia="zh-CN" w:bidi="ar-SA"/>
    </w:rPr>
  </w:style>
  <w:style w:type="paragraph" w:customStyle="1" w:styleId="133">
    <w:name w:val="标准文本"/>
    <w:basedOn w:val="1"/>
    <w:link w:val="132"/>
    <w:qFormat/>
    <w:uiPriority w:val="0"/>
    <w:pPr>
      <w:ind w:firstLine="480" w:firstLineChars="200"/>
    </w:pPr>
  </w:style>
  <w:style w:type="character" w:customStyle="1" w:styleId="134">
    <w:name w:val="正 文 1 Char Char"/>
    <w:qFormat/>
    <w:uiPriority w:val="0"/>
    <w:rPr>
      <w:rFonts w:ascii="宋体" w:hAnsi="Courier New" w:eastAsia="宋体"/>
      <w:kern w:val="2"/>
      <w:sz w:val="21"/>
      <w:lang w:val="en-US" w:eastAsia="zh-CN" w:bidi="ar-SA"/>
    </w:rPr>
  </w:style>
  <w:style w:type="character" w:customStyle="1" w:styleId="135">
    <w:name w:val="插图说明 Char"/>
    <w:link w:val="136"/>
    <w:qFormat/>
    <w:uiPriority w:val="0"/>
    <w:rPr>
      <w:rFonts w:eastAsia="黑体"/>
      <w:sz w:val="24"/>
      <w:lang w:val="en-US" w:eastAsia="zh-CN" w:bidi="ar-SA"/>
    </w:rPr>
  </w:style>
  <w:style w:type="paragraph" w:customStyle="1" w:styleId="136">
    <w:name w:val="插图说明"/>
    <w:basedOn w:val="1"/>
    <w:link w:val="135"/>
    <w:qFormat/>
    <w:uiPriority w:val="0"/>
    <w:pPr>
      <w:adjustRightInd w:val="0"/>
      <w:spacing w:after="240"/>
      <w:ind w:firstLine="200" w:firstLineChars="200"/>
      <w:jc w:val="center"/>
      <w:textAlignment w:val="baseline"/>
    </w:pPr>
    <w:rPr>
      <w:rFonts w:eastAsia="黑体"/>
      <w:kern w:val="0"/>
      <w:szCs w:val="20"/>
    </w:rPr>
  </w:style>
  <w:style w:type="character" w:customStyle="1" w:styleId="137">
    <w:name w:val="标准正文格式 Char"/>
    <w:link w:val="138"/>
    <w:qFormat/>
    <w:uiPriority w:val="0"/>
    <w:rPr>
      <w:rFonts w:ascii="宋体" w:eastAsia="仿宋_GB2312"/>
      <w:color w:val="000000"/>
      <w:sz w:val="24"/>
      <w:lang w:bidi="ar-SA"/>
    </w:rPr>
  </w:style>
  <w:style w:type="paragraph" w:customStyle="1" w:styleId="138">
    <w:name w:val="标准正文格式"/>
    <w:basedOn w:val="1"/>
    <w:link w:val="137"/>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39">
    <w:name w:val="h4 Char"/>
    <w:qFormat/>
    <w:uiPriority w:val="0"/>
    <w:rPr>
      <w:rFonts w:ascii="Arial" w:hAnsi="Arial" w:eastAsia="黑体"/>
      <w:b/>
      <w:bCs/>
      <w:kern w:val="2"/>
      <w:sz w:val="28"/>
      <w:szCs w:val="28"/>
      <w:lang w:val="en-US" w:eastAsia="zh-CN" w:bidi="ar-SA"/>
    </w:rPr>
  </w:style>
  <w:style w:type="character" w:customStyle="1" w:styleId="140">
    <w:name w:val="font_e1"/>
    <w:qFormat/>
    <w:uiPriority w:val="0"/>
    <w:rPr>
      <w:rFonts w:hint="default" w:ascii="Arial" w:hAnsi="Arial" w:cs="Arial"/>
      <w:sz w:val="18"/>
      <w:szCs w:val="18"/>
      <w:u w:val="none"/>
    </w:rPr>
  </w:style>
  <w:style w:type="character" w:customStyle="1" w:styleId="141">
    <w:name w:val="H2 Char"/>
    <w:qFormat/>
    <w:uiPriority w:val="0"/>
    <w:rPr>
      <w:rFonts w:ascii="Arial" w:hAnsi="Arial" w:eastAsia="黑体" w:cs="Times New Roman"/>
      <w:b/>
      <w:bCs/>
      <w:sz w:val="32"/>
      <w:szCs w:val="32"/>
    </w:rPr>
  </w:style>
  <w:style w:type="character" w:customStyle="1" w:styleId="142">
    <w:name w:val="标题 2 Char Char"/>
    <w:qFormat/>
    <w:uiPriority w:val="0"/>
    <w:rPr>
      <w:rFonts w:eastAsia="黑体"/>
      <w:kern w:val="2"/>
      <w:sz w:val="30"/>
      <w:szCs w:val="30"/>
      <w:lang w:val="en-US" w:eastAsia="zh-CN" w:bidi="ar-SA"/>
    </w:rPr>
  </w:style>
  <w:style w:type="character" w:customStyle="1" w:styleId="143">
    <w:name w:val="正文首行缩进 Char1"/>
    <w:link w:val="36"/>
    <w:qFormat/>
    <w:uiPriority w:val="0"/>
    <w:rPr>
      <w:rFonts w:ascii="Calibri" w:hAnsi="Calibri" w:eastAsia="宋体"/>
      <w:kern w:val="2"/>
      <w:sz w:val="21"/>
      <w:szCs w:val="22"/>
      <w:lang w:val="en-US" w:eastAsia="zh-CN" w:bidi="ar-SA"/>
    </w:rPr>
  </w:style>
  <w:style w:type="character" w:customStyle="1" w:styleId="144">
    <w:name w:val="Item List Char"/>
    <w:link w:val="145"/>
    <w:qFormat/>
    <w:uiPriority w:val="0"/>
    <w:rPr>
      <w:rFonts w:ascii="Arial" w:hAnsi="Arial"/>
      <w:sz w:val="21"/>
      <w:lang w:val="en-US" w:eastAsia="en-US" w:bidi="ar-SA"/>
    </w:rPr>
  </w:style>
  <w:style w:type="paragraph" w:customStyle="1" w:styleId="145">
    <w:name w:val="Item List"/>
    <w:link w:val="144"/>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6">
    <w:name w:val="sony12"/>
    <w:qFormat/>
    <w:uiPriority w:val="0"/>
    <w:rPr>
      <w:rFonts w:hint="default" w:ascii="Tahoma" w:hAnsi="Tahoma" w:eastAsia="宋体" w:cs="Tahoma"/>
      <w:kern w:val="2"/>
      <w:sz w:val="36"/>
      <w:szCs w:val="36"/>
      <w:lang w:val="en-US" w:eastAsia="zh-CN" w:bidi="ar-SA"/>
    </w:rPr>
  </w:style>
  <w:style w:type="character" w:customStyle="1" w:styleId="147">
    <w:name w:val="md"/>
    <w:basedOn w:val="95"/>
    <w:qFormat/>
    <w:uiPriority w:val="0"/>
  </w:style>
  <w:style w:type="character" w:customStyle="1" w:styleId="148">
    <w:name w:val="large1"/>
    <w:qFormat/>
    <w:uiPriority w:val="0"/>
    <w:rPr>
      <w:rFonts w:hint="eastAsia" w:ascii="宋体" w:hAnsi="宋体" w:eastAsia="宋体"/>
      <w:sz w:val="21"/>
      <w:szCs w:val="21"/>
    </w:rPr>
  </w:style>
  <w:style w:type="character" w:customStyle="1" w:styleId="149">
    <w:name w:val="标题 51 Char"/>
    <w:qFormat/>
    <w:uiPriority w:val="0"/>
    <w:rPr>
      <w:rFonts w:eastAsia="宋体"/>
      <w:kern w:val="2"/>
      <w:sz w:val="24"/>
      <w:szCs w:val="24"/>
      <w:lang w:val="en-US" w:eastAsia="zh-CN" w:bidi="ar-SA"/>
    </w:rPr>
  </w:style>
  <w:style w:type="character" w:customStyle="1" w:styleId="150">
    <w:name w:val="正文文本缩进 Char"/>
    <w:link w:val="38"/>
    <w:qFormat/>
    <w:locked/>
    <w:uiPriority w:val="0"/>
    <w:rPr>
      <w:rFonts w:ascii="宋体" w:hAnsi="Courier New"/>
      <w:spacing w:val="-4"/>
      <w:kern w:val="2"/>
      <w:sz w:val="18"/>
    </w:rPr>
  </w:style>
  <w:style w:type="character" w:customStyle="1" w:styleId="151">
    <w:name w:val="段 Char Char Char"/>
    <w:qFormat/>
    <w:uiPriority w:val="0"/>
    <w:rPr>
      <w:rFonts w:hint="eastAsia" w:ascii="宋体" w:hAnsi="宋体" w:eastAsia="宋体"/>
      <w:sz w:val="21"/>
      <w:lang w:val="en-US" w:eastAsia="zh-CN" w:bidi="ar-SA"/>
    </w:rPr>
  </w:style>
  <w:style w:type="character" w:customStyle="1" w:styleId="152">
    <w:name w:val="个人答复风格"/>
    <w:qFormat/>
    <w:uiPriority w:val="0"/>
    <w:rPr>
      <w:rFonts w:ascii="Arial" w:hAnsi="Arial" w:eastAsia="宋体" w:cs="Arial"/>
      <w:color w:val="auto"/>
      <w:sz w:val="20"/>
    </w:rPr>
  </w:style>
  <w:style w:type="character" w:customStyle="1" w:styleId="153">
    <w:name w:val="hui"/>
    <w:basedOn w:val="95"/>
    <w:qFormat/>
    <w:uiPriority w:val="0"/>
  </w:style>
  <w:style w:type="character" w:customStyle="1" w:styleId="154">
    <w:name w:val="H1 Char3"/>
    <w:qFormat/>
    <w:uiPriority w:val="0"/>
    <w:rPr>
      <w:rFonts w:eastAsia="隶书"/>
      <w:b/>
      <w:bCs/>
      <w:sz w:val="36"/>
      <w:szCs w:val="36"/>
      <w:lang w:val="en-US" w:eastAsia="zh-CN" w:bidi="ar-SA"/>
    </w:rPr>
  </w:style>
  <w:style w:type="character" w:customStyle="1" w:styleId="155">
    <w:name w:val="文档结构图 Char"/>
    <w:link w:val="27"/>
    <w:qFormat/>
    <w:uiPriority w:val="0"/>
    <w:rPr>
      <w:rFonts w:ascii="宋体" w:hAnsi="Courier New" w:eastAsia="宋体"/>
      <w:sz w:val="21"/>
      <w:lang w:val="en-US" w:eastAsia="zh-CN" w:bidi="ar-SA"/>
    </w:rPr>
  </w:style>
  <w:style w:type="character" w:customStyle="1" w:styleId="156">
    <w:name w:val="技术指标项"/>
    <w:qFormat/>
    <w:uiPriority w:val="0"/>
    <w:rPr>
      <w:rFonts w:ascii="仿宋_GB2312" w:hAnsi="仿宋_GB2312" w:eastAsia="仿宋_GB2312"/>
      <w:sz w:val="24"/>
    </w:rPr>
  </w:style>
  <w:style w:type="character" w:customStyle="1" w:styleId="157">
    <w:name w:val="m1"/>
    <w:qFormat/>
    <w:uiPriority w:val="0"/>
    <w:rPr>
      <w:rFonts w:hint="default" w:ascii="Tahoma" w:hAnsi="Tahoma" w:eastAsia="宋体" w:cs="Tahoma"/>
      <w:color w:val="0000FF"/>
      <w:kern w:val="2"/>
      <w:sz w:val="36"/>
      <w:szCs w:val="36"/>
      <w:lang w:val="en-US" w:eastAsia="zh-CN" w:bidi="ar-SA"/>
    </w:rPr>
  </w:style>
  <w:style w:type="character" w:customStyle="1" w:styleId="158">
    <w:name w:val="正文 居中 Char"/>
    <w:link w:val="159"/>
    <w:qFormat/>
    <w:locked/>
    <w:uiPriority w:val="0"/>
    <w:rPr>
      <w:rFonts w:eastAsia="宋体" w:cs="宋体"/>
      <w:kern w:val="2"/>
      <w:sz w:val="24"/>
      <w:lang w:val="en-US" w:eastAsia="zh-CN" w:bidi="ar-SA"/>
    </w:rPr>
  </w:style>
  <w:style w:type="paragraph" w:customStyle="1" w:styleId="159">
    <w:name w:val="正文 居中"/>
    <w:basedOn w:val="1"/>
    <w:link w:val="158"/>
    <w:qFormat/>
    <w:uiPriority w:val="0"/>
    <w:pPr>
      <w:jc w:val="center"/>
    </w:pPr>
    <w:rPr>
      <w:rFonts w:cs="宋体"/>
      <w:szCs w:val="20"/>
    </w:rPr>
  </w:style>
  <w:style w:type="character" w:customStyle="1" w:styleId="160">
    <w:name w:val="样式 黑体 二号 加粗"/>
    <w:qFormat/>
    <w:uiPriority w:val="0"/>
    <w:rPr>
      <w:rFonts w:hint="eastAsia" w:ascii="黑体" w:hAnsi="黑体" w:eastAsia="黑体"/>
      <w:b/>
      <w:bCs/>
      <w:sz w:val="44"/>
    </w:rPr>
  </w:style>
  <w:style w:type="character" w:customStyle="1" w:styleId="161">
    <w:name w:val="tw4winPopup"/>
    <w:qFormat/>
    <w:uiPriority w:val="0"/>
    <w:rPr>
      <w:rFonts w:ascii="Courier New" w:hAnsi="Courier New"/>
      <w:color w:val="008000"/>
    </w:rPr>
  </w:style>
  <w:style w:type="character" w:customStyle="1" w:styleId="162">
    <w:name w:val="标题 7 Char2 Char"/>
    <w:qFormat/>
    <w:uiPriority w:val="0"/>
    <w:rPr>
      <w:rFonts w:hint="default" w:ascii="Tahoma" w:hAnsi="Tahoma" w:eastAsia="宋体" w:cs="Tahoma"/>
      <w:b/>
      <w:kern w:val="2"/>
      <w:sz w:val="24"/>
      <w:szCs w:val="36"/>
      <w:lang w:val="en-US" w:eastAsia="zh-CN" w:bidi="ar-SA"/>
    </w:rPr>
  </w:style>
  <w:style w:type="character" w:customStyle="1" w:styleId="163">
    <w:name w:val="p1"/>
    <w:qFormat/>
    <w:uiPriority w:val="0"/>
    <w:rPr>
      <w:color w:val="000000"/>
    </w:rPr>
  </w:style>
  <w:style w:type="character" w:customStyle="1" w:styleId="164">
    <w:name w:val="H1 Char4"/>
    <w:qFormat/>
    <w:uiPriority w:val="0"/>
    <w:rPr>
      <w:rFonts w:eastAsia="隶书"/>
      <w:b/>
      <w:bCs/>
      <w:sz w:val="36"/>
      <w:szCs w:val="36"/>
      <w:lang w:val="en-US" w:eastAsia="zh-CN" w:bidi="ar-SA"/>
    </w:rPr>
  </w:style>
  <w:style w:type="character" w:customStyle="1" w:styleId="165">
    <w:name w:val="样式 题注 + 黑体1 Char"/>
    <w:link w:val="166"/>
    <w:qFormat/>
    <w:locked/>
    <w:uiPriority w:val="0"/>
    <w:rPr>
      <w:rFonts w:ascii="黑体" w:hAnsi="黑体" w:eastAsia="黑体" w:cs="Arial"/>
      <w:kern w:val="2"/>
      <w:lang w:val="en-US" w:eastAsia="zh-CN" w:bidi="ar-SA"/>
    </w:rPr>
  </w:style>
  <w:style w:type="paragraph" w:customStyle="1" w:styleId="166">
    <w:name w:val="样式 题注 + 黑体1"/>
    <w:basedOn w:val="23"/>
    <w:link w:val="165"/>
    <w:qFormat/>
    <w:uiPriority w:val="0"/>
    <w:pPr>
      <w:spacing w:beforeLines="40" w:afterLines="40"/>
      <w:jc w:val="center"/>
    </w:pPr>
    <w:rPr>
      <w:rFonts w:ascii="黑体" w:hAnsi="黑体" w:cs="Arial"/>
    </w:rPr>
  </w:style>
  <w:style w:type="character" w:customStyle="1" w:styleId="167">
    <w:name w:val="List Paragraph Char"/>
    <w:link w:val="168"/>
    <w:qFormat/>
    <w:locked/>
    <w:uiPriority w:val="0"/>
    <w:rPr>
      <w:rFonts w:eastAsia="宋体"/>
      <w:kern w:val="2"/>
      <w:sz w:val="21"/>
      <w:szCs w:val="24"/>
      <w:lang w:val="en-US" w:eastAsia="zh-CN" w:bidi="ar-SA"/>
    </w:rPr>
  </w:style>
  <w:style w:type="paragraph" w:customStyle="1" w:styleId="168">
    <w:name w:val="列出段落1"/>
    <w:basedOn w:val="1"/>
    <w:link w:val="167"/>
    <w:qFormat/>
    <w:uiPriority w:val="0"/>
    <w:pPr>
      <w:ind w:firstLine="420" w:firstLineChars="200"/>
    </w:pPr>
  </w:style>
  <w:style w:type="character" w:customStyle="1" w:styleId="169">
    <w:name w:val="hui3"/>
    <w:qFormat/>
    <w:uiPriority w:val="0"/>
    <w:rPr>
      <w:color w:val="333333"/>
    </w:rPr>
  </w:style>
  <w:style w:type="character" w:customStyle="1" w:styleId="170">
    <w:name w:val="样式4 Char Char"/>
    <w:qFormat/>
    <w:uiPriority w:val="0"/>
    <w:rPr>
      <w:rFonts w:hint="eastAsia" w:ascii="宋体" w:hAnsi="宋体" w:eastAsia="宋体" w:cs="宋体"/>
      <w:color w:val="000000"/>
      <w:sz w:val="24"/>
      <w:szCs w:val="24"/>
      <w:lang w:val="en-US" w:eastAsia="zh-CN" w:bidi="ar-SA"/>
    </w:rPr>
  </w:style>
  <w:style w:type="character" w:customStyle="1" w:styleId="171">
    <w:name w:val="h4 Char3"/>
    <w:qFormat/>
    <w:uiPriority w:val="0"/>
    <w:rPr>
      <w:rFonts w:ascii="Arial" w:hAnsi="Arial" w:eastAsia="黑体"/>
      <w:b/>
      <w:bCs/>
      <w:kern w:val="2"/>
      <w:sz w:val="28"/>
      <w:szCs w:val="28"/>
      <w:lang w:val="en-US" w:eastAsia="zh-CN" w:bidi="ar-SA"/>
    </w:rPr>
  </w:style>
  <w:style w:type="character" w:customStyle="1" w:styleId="172">
    <w:name w:val="标题 7 Char"/>
    <w:link w:val="10"/>
    <w:qFormat/>
    <w:uiPriority w:val="0"/>
    <w:rPr>
      <w:rFonts w:ascii="宋体" w:eastAsia="仿宋_GB2312"/>
      <w:b/>
      <w:sz w:val="24"/>
    </w:rPr>
  </w:style>
  <w:style w:type="character" w:customStyle="1" w:styleId="173">
    <w:name w:val="样式  + 首行缩进:  2 字符 Char"/>
    <w:link w:val="174"/>
    <w:qFormat/>
    <w:uiPriority w:val="0"/>
    <w:rPr>
      <w:rFonts w:eastAsia="宋体" w:cs="宋体"/>
      <w:kern w:val="2"/>
      <w:sz w:val="24"/>
      <w:lang w:val="en-US" w:eastAsia="zh-CN" w:bidi="ar-SA"/>
    </w:rPr>
  </w:style>
  <w:style w:type="paragraph" w:customStyle="1" w:styleId="174">
    <w:name w:val="样式  + 首行缩进:  2 字符"/>
    <w:basedOn w:val="1"/>
    <w:link w:val="173"/>
    <w:qFormat/>
    <w:uiPriority w:val="0"/>
    <w:pPr>
      <w:spacing w:before="60" w:after="60"/>
      <w:ind w:firstLine="480" w:firstLineChars="200"/>
    </w:pPr>
    <w:rPr>
      <w:rFonts w:cs="宋体"/>
      <w:szCs w:val="20"/>
    </w:rPr>
  </w:style>
  <w:style w:type="character" w:customStyle="1" w:styleId="175">
    <w:name w:val="样式 标题 5H5PIM 5h5Level 3 - iTitre5Block Label1.1.1口Secon... Char"/>
    <w:link w:val="176"/>
    <w:qFormat/>
    <w:uiPriority w:val="0"/>
    <w:rPr>
      <w:rFonts w:eastAsia="黑体"/>
      <w:bCs/>
      <w:kern w:val="2"/>
      <w:sz w:val="24"/>
      <w:szCs w:val="24"/>
      <w:lang w:val="en-US" w:eastAsia="zh-CN" w:bidi="ar-SA"/>
    </w:rPr>
  </w:style>
  <w:style w:type="paragraph" w:customStyle="1" w:styleId="176">
    <w:name w:val="样式 标题 5H5PIM 5h5Level 3 - iTitre5Block Label1.1.1口Secon..."/>
    <w:basedOn w:val="8"/>
    <w:link w:val="175"/>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7">
    <w:name w:val="标题 6 Char"/>
    <w:qFormat/>
    <w:uiPriority w:val="0"/>
    <w:rPr>
      <w:rFonts w:hint="default" w:ascii="Arial" w:hAnsi="Arial" w:eastAsia="黑体" w:cs="Arial"/>
      <w:b/>
      <w:bCs/>
      <w:kern w:val="2"/>
      <w:sz w:val="24"/>
      <w:szCs w:val="24"/>
      <w:lang w:val="en-US" w:eastAsia="zh-CN" w:bidi="ar-SA"/>
    </w:rPr>
  </w:style>
  <w:style w:type="character" w:customStyle="1" w:styleId="178">
    <w:name w:val="gf正文1 Char"/>
    <w:link w:val="179"/>
    <w:qFormat/>
    <w:uiPriority w:val="0"/>
    <w:rPr>
      <w:rFonts w:ascii="宋体" w:hAnsi="宋体" w:eastAsia="宋体"/>
      <w:sz w:val="24"/>
      <w:szCs w:val="24"/>
      <w:lang w:bidi="ar-SA"/>
    </w:rPr>
  </w:style>
  <w:style w:type="paragraph" w:customStyle="1" w:styleId="179">
    <w:name w:val="gf正文1"/>
    <w:basedOn w:val="1"/>
    <w:link w:val="178"/>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0">
    <w:name w:val="列出段落 Char"/>
    <w:qFormat/>
    <w:uiPriority w:val="34"/>
    <w:rPr>
      <w:rFonts w:ascii="Calibri" w:hAnsi="Calibri" w:eastAsia="宋体" w:cs="Times New Roman"/>
    </w:rPr>
  </w:style>
  <w:style w:type="character" w:customStyle="1" w:styleId="181">
    <w:name w:val="Char Char5"/>
    <w:qFormat/>
    <w:uiPriority w:val="0"/>
    <w:rPr>
      <w:rFonts w:eastAsia="隶书"/>
      <w:b/>
      <w:bCs/>
      <w:sz w:val="36"/>
      <w:szCs w:val="36"/>
      <w:lang w:val="en-US" w:eastAsia="zh-CN" w:bidi="ar-SA"/>
    </w:rPr>
  </w:style>
  <w:style w:type="character" w:customStyle="1" w:styleId="182">
    <w:name w:val="书籍标题1"/>
    <w:qFormat/>
    <w:uiPriority w:val="0"/>
    <w:rPr>
      <w:b/>
      <w:bCs/>
      <w:smallCaps/>
      <w:spacing w:val="5"/>
    </w:rPr>
  </w:style>
  <w:style w:type="character" w:customStyle="1" w:styleId="183">
    <w:name w:val="样式 题注 + 黑体2 Char"/>
    <w:link w:val="184"/>
    <w:qFormat/>
    <w:locked/>
    <w:uiPriority w:val="0"/>
    <w:rPr>
      <w:rFonts w:ascii="黑体" w:hAnsi="黑体" w:eastAsia="黑体" w:cs="Arial"/>
      <w:kern w:val="2"/>
      <w:sz w:val="21"/>
      <w:lang w:val="en-US" w:eastAsia="zh-CN" w:bidi="ar-SA"/>
    </w:rPr>
  </w:style>
  <w:style w:type="paragraph" w:customStyle="1" w:styleId="184">
    <w:name w:val="样式 题注 + 黑体2"/>
    <w:basedOn w:val="23"/>
    <w:link w:val="183"/>
    <w:qFormat/>
    <w:uiPriority w:val="0"/>
    <w:pPr>
      <w:spacing w:beforeLines="40" w:afterLines="40"/>
      <w:jc w:val="center"/>
    </w:pPr>
    <w:rPr>
      <w:rFonts w:ascii="黑体" w:hAnsi="黑体" w:cs="Arial"/>
      <w:sz w:val="21"/>
    </w:rPr>
  </w:style>
  <w:style w:type="character" w:customStyle="1" w:styleId="185">
    <w:name w:val="title14"/>
    <w:basedOn w:val="95"/>
    <w:qFormat/>
    <w:uiPriority w:val="0"/>
  </w:style>
  <w:style w:type="character" w:customStyle="1" w:styleId="186">
    <w:name w:val="ptt1"/>
    <w:qFormat/>
    <w:uiPriority w:val="0"/>
    <w:rPr>
      <w:rFonts w:hint="eastAsia" w:ascii="宋体" w:hAnsi="宋体" w:eastAsia="宋体"/>
      <w:spacing w:val="375"/>
      <w:kern w:val="2"/>
      <w:sz w:val="18"/>
      <w:szCs w:val="18"/>
      <w:lang w:val="en-US" w:eastAsia="zh-CN" w:bidi="ar-SA"/>
    </w:rPr>
  </w:style>
  <w:style w:type="character" w:customStyle="1" w:styleId="187">
    <w:name w:val="H2 Char4"/>
    <w:qFormat/>
    <w:uiPriority w:val="0"/>
    <w:rPr>
      <w:rFonts w:ascii="Arial" w:hAnsi="Arial" w:eastAsia="黑体"/>
      <w:b/>
      <w:bCs/>
      <w:kern w:val="2"/>
      <w:sz w:val="32"/>
      <w:szCs w:val="32"/>
      <w:lang w:val="en-US" w:eastAsia="zh-CN" w:bidi="ar-SA"/>
    </w:rPr>
  </w:style>
  <w:style w:type="character" w:customStyle="1" w:styleId="188">
    <w:name w:val="题注 Char1"/>
    <w:link w:val="23"/>
    <w:qFormat/>
    <w:uiPriority w:val="0"/>
    <w:rPr>
      <w:rFonts w:ascii="Arial" w:hAnsi="Arial" w:eastAsia="黑体" w:cs="Arial"/>
      <w:kern w:val="2"/>
    </w:rPr>
  </w:style>
  <w:style w:type="character" w:customStyle="1" w:styleId="189">
    <w:name w:val="正文2 Char"/>
    <w:link w:val="190"/>
    <w:qFormat/>
    <w:uiPriority w:val="0"/>
    <w:rPr>
      <w:rFonts w:ascii="宋体" w:hAnsi="宋体" w:eastAsia="仿宋_GB2312" w:cs="Arial"/>
      <w:kern w:val="2"/>
      <w:sz w:val="24"/>
      <w:lang w:val="en-US" w:eastAsia="zh-CN" w:bidi="ar-SA"/>
    </w:rPr>
  </w:style>
  <w:style w:type="paragraph" w:customStyle="1" w:styleId="190">
    <w:name w:val="正文2"/>
    <w:basedOn w:val="1"/>
    <w:link w:val="189"/>
    <w:qFormat/>
    <w:uiPriority w:val="0"/>
    <w:pPr>
      <w:spacing w:before="156"/>
      <w:ind w:firstLine="510" w:firstLineChars="200"/>
      <w:jc w:val="left"/>
    </w:pPr>
    <w:rPr>
      <w:rFonts w:ascii="宋体" w:hAnsi="宋体" w:eastAsia="仿宋_GB2312" w:cs="Arial"/>
      <w:szCs w:val="20"/>
    </w:rPr>
  </w:style>
  <w:style w:type="character" w:customStyle="1" w:styleId="191">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2">
    <w:name w:val="正文空两格 Char"/>
    <w:link w:val="193"/>
    <w:qFormat/>
    <w:locked/>
    <w:uiPriority w:val="0"/>
    <w:rPr>
      <w:rFonts w:ascii="FuturaA Bk BT" w:hAnsi="FuturaA Bk BT" w:eastAsia="宋体" w:cs="FuturaA Bk BT"/>
      <w:kern w:val="2"/>
      <w:sz w:val="24"/>
      <w:szCs w:val="24"/>
      <w:lang w:val="en-US" w:eastAsia="zh-CN" w:bidi="ar-SA"/>
    </w:rPr>
  </w:style>
  <w:style w:type="paragraph" w:customStyle="1" w:styleId="193">
    <w:name w:val="正文空两格"/>
    <w:basedOn w:val="1"/>
    <w:link w:val="192"/>
    <w:qFormat/>
    <w:uiPriority w:val="0"/>
    <w:pPr>
      <w:spacing w:beforeLines="40" w:afterLines="40"/>
      <w:ind w:firstLine="480" w:firstLineChars="200"/>
    </w:pPr>
    <w:rPr>
      <w:rFonts w:ascii="FuturaA Bk BT" w:hAnsi="FuturaA Bk BT" w:cs="FuturaA Bk BT"/>
    </w:rPr>
  </w:style>
  <w:style w:type="character" w:customStyle="1" w:styleId="194">
    <w:name w:val="样式 题注 + (符号) 宋体 Char"/>
    <w:link w:val="195"/>
    <w:qFormat/>
    <w:locked/>
    <w:uiPriority w:val="0"/>
    <w:rPr>
      <w:rFonts w:ascii="Arial" w:hAnsi="Arial" w:eastAsia="黑体" w:cs="Arial"/>
      <w:kern w:val="2"/>
      <w:sz w:val="21"/>
      <w:lang w:val="en-US" w:eastAsia="zh-CN" w:bidi="ar-SA"/>
    </w:rPr>
  </w:style>
  <w:style w:type="paragraph" w:customStyle="1" w:styleId="195">
    <w:name w:val="样式 题注 + (符号) 宋体"/>
    <w:basedOn w:val="23"/>
    <w:link w:val="194"/>
    <w:qFormat/>
    <w:uiPriority w:val="0"/>
    <w:pPr>
      <w:spacing w:beforeLines="40" w:afterLines="40"/>
      <w:jc w:val="center"/>
    </w:pPr>
    <w:rPr>
      <w:rFonts w:cs="Arial"/>
      <w:sz w:val="21"/>
    </w:rPr>
  </w:style>
  <w:style w:type="character" w:customStyle="1" w:styleId="196">
    <w:name w:val="正文缩进 Char2"/>
    <w:link w:val="22"/>
    <w:qFormat/>
    <w:uiPriority w:val="0"/>
    <w:rPr>
      <w:rFonts w:eastAsia="宋体"/>
      <w:kern w:val="2"/>
      <w:sz w:val="21"/>
      <w:lang w:val="en-US" w:eastAsia="zh-CN" w:bidi="ar-SA"/>
    </w:rPr>
  </w:style>
  <w:style w:type="character" w:customStyle="1" w:styleId="197">
    <w:name w:val="Document Map Char"/>
    <w:semiHidden/>
    <w:qFormat/>
    <w:locked/>
    <w:uiPriority w:val="0"/>
    <w:rPr>
      <w:rFonts w:ascii="Arial" w:hAnsi="Arial" w:eastAsia="宋体" w:cs="Arial"/>
      <w:kern w:val="0"/>
      <w:sz w:val="21"/>
      <w:szCs w:val="21"/>
      <w:shd w:val="clear" w:color="auto" w:fill="000080"/>
    </w:rPr>
  </w:style>
  <w:style w:type="character" w:customStyle="1" w:styleId="198">
    <w:name w:val="font01"/>
    <w:qFormat/>
    <w:uiPriority w:val="0"/>
    <w:rPr>
      <w:rFonts w:hint="eastAsia" w:ascii="宋体" w:hAnsi="宋体" w:eastAsia="宋体" w:cs="宋体"/>
      <w:color w:val="000000"/>
      <w:sz w:val="20"/>
      <w:szCs w:val="20"/>
      <w:u w:val="none"/>
    </w:rPr>
  </w:style>
  <w:style w:type="character" w:customStyle="1" w:styleId="199">
    <w:name w:val="样式 标题 2 + Arial Char"/>
    <w:link w:val="200"/>
    <w:qFormat/>
    <w:uiPriority w:val="0"/>
    <w:rPr>
      <w:rFonts w:ascii="Arial" w:hAnsi="Arial" w:eastAsia="黑体"/>
      <w:kern w:val="2"/>
      <w:sz w:val="30"/>
      <w:szCs w:val="30"/>
      <w:lang w:val="en-US" w:eastAsia="zh-CN" w:bidi="ar-SA"/>
    </w:rPr>
  </w:style>
  <w:style w:type="paragraph" w:customStyle="1" w:styleId="200">
    <w:name w:val="样式 标题 2 + Arial"/>
    <w:basedOn w:val="2"/>
    <w:link w:val="199"/>
    <w:qFormat/>
    <w:uiPriority w:val="0"/>
    <w:pPr>
      <w:spacing w:before="0" w:after="0" w:line="360" w:lineRule="auto"/>
      <w:ind w:left="0" w:firstLine="0"/>
    </w:pPr>
    <w:rPr>
      <w:b w:val="0"/>
      <w:bCs w:val="0"/>
      <w:sz w:val="30"/>
      <w:szCs w:val="30"/>
    </w:rPr>
  </w:style>
  <w:style w:type="character" w:customStyle="1" w:styleId="201">
    <w:name w:val="pi1"/>
    <w:qFormat/>
    <w:uiPriority w:val="0"/>
    <w:rPr>
      <w:rFonts w:hint="default" w:ascii="Tahoma" w:hAnsi="Tahoma" w:eastAsia="宋体" w:cs="Tahoma"/>
      <w:color w:val="0000FF"/>
      <w:kern w:val="2"/>
      <w:sz w:val="36"/>
      <w:szCs w:val="36"/>
      <w:lang w:val="en-US" w:eastAsia="zh-CN" w:bidi="ar-SA"/>
    </w:rPr>
  </w:style>
  <w:style w:type="character" w:customStyle="1" w:styleId="202">
    <w:name w:val="样式 题注 + 仿宋_GB2312 Char"/>
    <w:link w:val="203"/>
    <w:qFormat/>
    <w:locked/>
    <w:uiPriority w:val="0"/>
    <w:rPr>
      <w:rFonts w:ascii="黑体" w:hAnsi="仿宋_GB2312" w:eastAsia="黑体" w:cs="Arial"/>
      <w:kern w:val="2"/>
      <w:szCs w:val="24"/>
      <w:lang w:val="en-US" w:eastAsia="zh-CN" w:bidi="ar-SA"/>
    </w:rPr>
  </w:style>
  <w:style w:type="paragraph" w:customStyle="1" w:styleId="203">
    <w:name w:val="样式 题注 + 仿宋_GB2312"/>
    <w:basedOn w:val="23"/>
    <w:link w:val="202"/>
    <w:qFormat/>
    <w:uiPriority w:val="0"/>
    <w:pPr>
      <w:spacing w:beforeLines="40" w:afterLines="40"/>
      <w:jc w:val="center"/>
    </w:pPr>
    <w:rPr>
      <w:rFonts w:ascii="黑体" w:hAnsi="仿宋_GB2312" w:cs="Arial"/>
      <w:szCs w:val="24"/>
    </w:rPr>
  </w:style>
  <w:style w:type="character" w:customStyle="1" w:styleId="204">
    <w:name w:val="paramname3"/>
    <w:qFormat/>
    <w:uiPriority w:val="0"/>
    <w:rPr>
      <w:color w:val="999999"/>
    </w:rPr>
  </w:style>
  <w:style w:type="character" w:customStyle="1" w:styleId="205">
    <w:name w:val="mark"/>
    <w:basedOn w:val="95"/>
    <w:qFormat/>
    <w:uiPriority w:val="0"/>
  </w:style>
  <w:style w:type="character" w:customStyle="1" w:styleId="206">
    <w:name w:val="无间隔 Char"/>
    <w:link w:val="207"/>
    <w:qFormat/>
    <w:locked/>
    <w:uiPriority w:val="0"/>
    <w:rPr>
      <w:kern w:val="2"/>
      <w:sz w:val="21"/>
      <w:szCs w:val="24"/>
      <w:lang w:val="en-US" w:eastAsia="zh-CN" w:bidi="ar-SA"/>
    </w:rPr>
  </w:style>
  <w:style w:type="paragraph" w:customStyle="1" w:styleId="207">
    <w:name w:val="无间隔1"/>
    <w:link w:val="20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8">
    <w:name w:val="Char Char8"/>
    <w:qFormat/>
    <w:uiPriority w:val="0"/>
    <w:rPr>
      <w:rFonts w:eastAsia="隶书"/>
      <w:b/>
      <w:bCs/>
      <w:sz w:val="36"/>
      <w:szCs w:val="36"/>
      <w:lang w:val="en-US" w:eastAsia="zh-CN" w:bidi="ar-SA"/>
    </w:rPr>
  </w:style>
  <w:style w:type="character" w:customStyle="1" w:styleId="209">
    <w:name w:val="Char Char9"/>
    <w:qFormat/>
    <w:uiPriority w:val="0"/>
    <w:rPr>
      <w:rFonts w:eastAsia="宋体"/>
      <w:kern w:val="2"/>
      <w:sz w:val="18"/>
      <w:szCs w:val="18"/>
      <w:lang w:val="en-US" w:eastAsia="zh-CN" w:bidi="ar-SA"/>
    </w:rPr>
  </w:style>
  <w:style w:type="character" w:customStyle="1" w:styleId="210">
    <w:name w:val="shadow11"/>
    <w:qFormat/>
    <w:uiPriority w:val="0"/>
    <w:rPr>
      <w:color w:val="000000"/>
      <w:sz w:val="21"/>
    </w:rPr>
  </w:style>
  <w:style w:type="character" w:customStyle="1" w:styleId="211">
    <w:name w:val="msonormal"/>
    <w:qFormat/>
    <w:uiPriority w:val="0"/>
    <w:rPr>
      <w:rFonts w:hint="default" w:ascii="Tahoma" w:hAnsi="Tahoma" w:eastAsia="宋体" w:cs="Tahoma"/>
      <w:kern w:val="2"/>
      <w:sz w:val="36"/>
      <w:szCs w:val="36"/>
      <w:lang w:val="en-US" w:eastAsia="zh-CN" w:bidi="ar-SA"/>
    </w:rPr>
  </w:style>
  <w:style w:type="character" w:customStyle="1" w:styleId="212">
    <w:name w:val="style101"/>
    <w:qFormat/>
    <w:uiPriority w:val="0"/>
    <w:rPr>
      <w:color w:val="000000"/>
    </w:rPr>
  </w:style>
  <w:style w:type="character" w:customStyle="1" w:styleId="213">
    <w:name w:val="sony121"/>
    <w:qFormat/>
    <w:uiPriority w:val="0"/>
    <w:rPr>
      <w:rFonts w:hint="eastAsia" w:ascii="宋体" w:hAnsi="宋体" w:eastAsia="宋体"/>
      <w:spacing w:val="31680"/>
      <w:kern w:val="2"/>
      <w:sz w:val="18"/>
      <w:szCs w:val="18"/>
      <w:lang w:val="en-US" w:eastAsia="zh-CN" w:bidi="ar-SA"/>
    </w:rPr>
  </w:style>
  <w:style w:type="character" w:customStyle="1" w:styleId="214">
    <w:name w:val="备注说明 Char Char Char Char"/>
    <w:qFormat/>
    <w:uiPriority w:val="0"/>
    <w:rPr>
      <w:rFonts w:hint="eastAsia" w:ascii="宋体" w:hAnsi="宋体" w:eastAsia="宋体"/>
      <w:kern w:val="2"/>
      <w:sz w:val="21"/>
      <w:lang w:val="en-US" w:eastAsia="zh-CN" w:bidi="ar-SA"/>
    </w:rPr>
  </w:style>
  <w:style w:type="character" w:customStyle="1" w:styleId="215">
    <w:name w:val="Footer Char"/>
    <w:qFormat/>
    <w:locked/>
    <w:uiPriority w:val="0"/>
    <w:rPr>
      <w:rFonts w:ascii="Calibri" w:hAnsi="Calibri" w:eastAsia="宋体" w:cs="Calibri"/>
      <w:sz w:val="18"/>
      <w:szCs w:val="18"/>
    </w:rPr>
  </w:style>
  <w:style w:type="character" w:customStyle="1" w:styleId="216">
    <w:name w:val="常规 Char"/>
    <w:link w:val="217"/>
    <w:qFormat/>
    <w:uiPriority w:val="0"/>
    <w:rPr>
      <w:rFonts w:eastAsia="宋体"/>
      <w:kern w:val="2"/>
      <w:sz w:val="21"/>
      <w:szCs w:val="21"/>
      <w:lang w:val="en-US" w:eastAsia="zh-CN" w:bidi="ar-SA"/>
    </w:rPr>
  </w:style>
  <w:style w:type="paragraph" w:customStyle="1" w:styleId="217">
    <w:name w:val="常规"/>
    <w:basedOn w:val="1"/>
    <w:link w:val="216"/>
    <w:qFormat/>
    <w:uiPriority w:val="0"/>
    <w:pPr>
      <w:spacing w:beforeLines="100" w:afterLines="100"/>
      <w:ind w:left="1134"/>
    </w:pPr>
    <w:rPr>
      <w:szCs w:val="21"/>
    </w:rPr>
  </w:style>
  <w:style w:type="character" w:customStyle="1" w:styleId="218">
    <w:name w:val="point_normal1"/>
    <w:qFormat/>
    <w:uiPriority w:val="0"/>
    <w:rPr>
      <w:rFonts w:hint="default" w:ascii="Arial" w:hAnsi="Arial" w:cs="Arial"/>
      <w:sz w:val="18"/>
      <w:szCs w:val="18"/>
    </w:rPr>
  </w:style>
  <w:style w:type="character" w:customStyle="1" w:styleId="219">
    <w:name w:val="text03"/>
    <w:qFormat/>
    <w:uiPriority w:val="0"/>
    <w:rPr>
      <w:rFonts w:hint="default" w:ascii="Tahoma" w:hAnsi="Tahoma" w:eastAsia="宋体" w:cs="Tahoma"/>
      <w:kern w:val="2"/>
      <w:sz w:val="36"/>
      <w:szCs w:val="36"/>
      <w:lang w:val="en-US" w:eastAsia="zh-CN" w:bidi="ar-SA"/>
    </w:rPr>
  </w:style>
  <w:style w:type="character" w:customStyle="1" w:styleId="220">
    <w:name w:val="正文（缩进） Char"/>
    <w:link w:val="221"/>
    <w:qFormat/>
    <w:uiPriority w:val="0"/>
    <w:rPr>
      <w:rFonts w:eastAsia="宋体"/>
      <w:kern w:val="2"/>
      <w:sz w:val="24"/>
      <w:szCs w:val="24"/>
      <w:lang w:bidi="ar-SA"/>
    </w:rPr>
  </w:style>
  <w:style w:type="paragraph" w:customStyle="1" w:styleId="221">
    <w:name w:val="正文（缩进）"/>
    <w:basedOn w:val="1"/>
    <w:link w:val="220"/>
    <w:qFormat/>
    <w:uiPriority w:val="0"/>
    <w:pPr>
      <w:spacing w:beforeLines="50" w:afterLines="50"/>
      <w:ind w:firstLine="480" w:firstLineChars="200"/>
    </w:pPr>
  </w:style>
  <w:style w:type="character" w:customStyle="1" w:styleId="222">
    <w:name w:val="页眉 Char"/>
    <w:link w:val="60"/>
    <w:qFormat/>
    <w:uiPriority w:val="99"/>
    <w:rPr>
      <w:kern w:val="2"/>
      <w:sz w:val="18"/>
      <w:szCs w:val="18"/>
    </w:rPr>
  </w:style>
  <w:style w:type="character" w:customStyle="1" w:styleId="223">
    <w:name w:val="text1"/>
    <w:basedOn w:val="95"/>
    <w:qFormat/>
    <w:uiPriority w:val="0"/>
  </w:style>
  <w:style w:type="character" w:customStyle="1" w:styleId="224">
    <w:name w:val="正文首行缩进 Char Char Char Char Char"/>
    <w:qFormat/>
    <w:uiPriority w:val="0"/>
    <w:rPr>
      <w:rFonts w:ascii="Calibri" w:hAnsi="Calibri" w:eastAsia="宋体"/>
      <w:kern w:val="2"/>
      <w:sz w:val="21"/>
      <w:szCs w:val="22"/>
      <w:lang w:val="en-US" w:eastAsia="zh-CN" w:bidi="ar-SA"/>
    </w:rPr>
  </w:style>
  <w:style w:type="character" w:customStyle="1" w:styleId="225">
    <w:name w:val="招标正文 Char"/>
    <w:link w:val="226"/>
    <w:qFormat/>
    <w:uiPriority w:val="0"/>
    <w:rPr>
      <w:rFonts w:ascii="仿宋_GB2312" w:eastAsia="仿宋_GB2312" w:cs="宋体"/>
      <w:kern w:val="1"/>
      <w:sz w:val="30"/>
      <w:lang w:eastAsia="ar-SA"/>
    </w:rPr>
  </w:style>
  <w:style w:type="paragraph" w:customStyle="1" w:styleId="226">
    <w:name w:val="招标正文"/>
    <w:basedOn w:val="1"/>
    <w:link w:val="225"/>
    <w:qFormat/>
    <w:uiPriority w:val="0"/>
    <w:pPr>
      <w:suppressAutoHyphens/>
      <w:ind w:firstLine="480"/>
    </w:pPr>
    <w:rPr>
      <w:rFonts w:ascii="仿宋_GB2312" w:eastAsia="仿宋_GB2312"/>
      <w:kern w:val="1"/>
      <w:sz w:val="30"/>
      <w:szCs w:val="20"/>
      <w:lang w:eastAsia="ar-SA"/>
    </w:rPr>
  </w:style>
  <w:style w:type="character" w:customStyle="1" w:styleId="227">
    <w:name w:val="日期 Char"/>
    <w:link w:val="53"/>
    <w:semiHidden/>
    <w:qFormat/>
    <w:uiPriority w:val="0"/>
    <w:rPr>
      <w:rFonts w:eastAsia="楷体_GB2312"/>
      <w:kern w:val="2"/>
      <w:sz w:val="32"/>
      <w:lang w:val="en-US" w:eastAsia="zh-CN" w:bidi="ar-SA"/>
    </w:rPr>
  </w:style>
  <w:style w:type="character" w:customStyle="1" w:styleId="228">
    <w:name w:val="标题 8 Char Char"/>
    <w:qFormat/>
    <w:uiPriority w:val="0"/>
    <w:rPr>
      <w:rFonts w:ascii="Cambria" w:hAnsi="Cambria" w:eastAsia="宋体" w:cs="Times New Roman"/>
      <w:sz w:val="24"/>
      <w:szCs w:val="24"/>
    </w:rPr>
  </w:style>
  <w:style w:type="character" w:customStyle="1" w:styleId="229">
    <w:name w:val="style91"/>
    <w:qFormat/>
    <w:uiPriority w:val="0"/>
    <w:rPr>
      <w:color w:val="666666"/>
    </w:rPr>
  </w:style>
  <w:style w:type="character" w:customStyle="1" w:styleId="230">
    <w:name w:val="标题 3 Char"/>
    <w:qFormat/>
    <w:uiPriority w:val="0"/>
    <w:rPr>
      <w:rFonts w:ascii="Times New Roman" w:hAnsi="Times New Roman" w:eastAsia="宋体" w:cs="Times New Roman"/>
      <w:b/>
      <w:bCs/>
      <w:sz w:val="32"/>
      <w:szCs w:val="32"/>
    </w:rPr>
  </w:style>
  <w:style w:type="character" w:customStyle="1" w:styleId="231">
    <w:name w:val="正文格式 Char1"/>
    <w:link w:val="232"/>
    <w:qFormat/>
    <w:uiPriority w:val="0"/>
    <w:rPr>
      <w:rFonts w:ascii="宋体" w:hAnsi="宋体" w:eastAsia="宋体"/>
      <w:bCs/>
      <w:color w:val="000000"/>
      <w:sz w:val="24"/>
      <w:szCs w:val="24"/>
      <w:lang w:val="en-US" w:eastAsia="zh-CN" w:bidi="ar-SA"/>
    </w:rPr>
  </w:style>
  <w:style w:type="paragraph" w:customStyle="1" w:styleId="232">
    <w:name w:val="正文格式"/>
    <w:basedOn w:val="1"/>
    <w:link w:val="231"/>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3">
    <w:name w:val="Char Char4"/>
    <w:qFormat/>
    <w:uiPriority w:val="0"/>
    <w:rPr>
      <w:rFonts w:ascii="Arial" w:hAnsi="Arial" w:eastAsia="黑体"/>
      <w:b/>
      <w:bCs/>
      <w:kern w:val="2"/>
      <w:sz w:val="32"/>
      <w:szCs w:val="32"/>
      <w:lang w:val="en-US" w:eastAsia="zh-CN" w:bidi="ar-SA"/>
    </w:rPr>
  </w:style>
  <w:style w:type="character" w:customStyle="1" w:styleId="234">
    <w:name w:val="页眉 Char1"/>
    <w:semiHidden/>
    <w:qFormat/>
    <w:uiPriority w:val="0"/>
    <w:rPr>
      <w:sz w:val="18"/>
      <w:szCs w:val="18"/>
    </w:rPr>
  </w:style>
  <w:style w:type="character" w:customStyle="1" w:styleId="235">
    <w:name w:val="Char Char34"/>
    <w:qFormat/>
    <w:uiPriority w:val="0"/>
    <w:rPr>
      <w:rFonts w:ascii="宋体" w:hAnsi="Courier New" w:eastAsia="宋体"/>
      <w:kern w:val="2"/>
      <w:sz w:val="24"/>
      <w:szCs w:val="24"/>
      <w:lang w:val="en-US" w:eastAsia="zh-CN" w:bidi="ar-SA"/>
    </w:rPr>
  </w:style>
  <w:style w:type="character" w:customStyle="1" w:styleId="236">
    <w:name w:val="表正文 Char1"/>
    <w:qFormat/>
    <w:uiPriority w:val="0"/>
    <w:rPr>
      <w:rFonts w:eastAsia="宋体"/>
      <w:kern w:val="2"/>
      <w:sz w:val="21"/>
      <w:lang w:val="en-US" w:eastAsia="zh-CN"/>
    </w:rPr>
  </w:style>
  <w:style w:type="character" w:customStyle="1" w:styleId="237">
    <w:name w:val="nr"/>
    <w:basedOn w:val="95"/>
    <w:qFormat/>
    <w:uiPriority w:val="0"/>
  </w:style>
  <w:style w:type="character" w:customStyle="1" w:styleId="238">
    <w:name w:val="Table Text Char1"/>
    <w:link w:val="117"/>
    <w:qFormat/>
    <w:uiPriority w:val="0"/>
    <w:rPr>
      <w:rFonts w:eastAsia="宋体"/>
      <w:kern w:val="2"/>
      <w:sz w:val="16"/>
      <w:szCs w:val="24"/>
      <w:lang w:val="en-US" w:eastAsia="zh-CN" w:bidi="ar-SA"/>
    </w:rPr>
  </w:style>
  <w:style w:type="character" w:customStyle="1" w:styleId="239">
    <w:name w:val="H1 Char5"/>
    <w:qFormat/>
    <w:uiPriority w:val="0"/>
    <w:rPr>
      <w:rFonts w:eastAsia="隶书"/>
      <w:b/>
      <w:bCs/>
      <w:sz w:val="36"/>
      <w:szCs w:val="36"/>
      <w:lang w:val="en-US" w:eastAsia="zh-CN" w:bidi="ar-SA"/>
    </w:rPr>
  </w:style>
  <w:style w:type="character" w:customStyle="1" w:styleId="240">
    <w:name w:val="标题 3 Char1"/>
    <w:link w:val="6"/>
    <w:qFormat/>
    <w:uiPriority w:val="0"/>
    <w:rPr>
      <w:rFonts w:eastAsia="仿宋"/>
      <w:b/>
      <w:bCs/>
      <w:kern w:val="2"/>
      <w:sz w:val="30"/>
      <w:szCs w:val="32"/>
    </w:rPr>
  </w:style>
  <w:style w:type="character" w:customStyle="1" w:styleId="241">
    <w:name w:val="dectext1"/>
    <w:qFormat/>
    <w:uiPriority w:val="0"/>
    <w:rPr>
      <w:rFonts w:ascii="宋体" w:hAnsi="宋体" w:eastAsia="宋体"/>
      <w:color w:val="333333"/>
      <w:sz w:val="21"/>
      <w:szCs w:val="21"/>
      <w:u w:val="none"/>
    </w:rPr>
  </w:style>
  <w:style w:type="character" w:customStyle="1" w:styleId="242">
    <w:name w:val="基础框架 Char Char"/>
    <w:link w:val="243"/>
    <w:qFormat/>
    <w:uiPriority w:val="0"/>
    <w:rPr>
      <w:rFonts w:ascii="宋体" w:hAnsi="宋体" w:eastAsia="宋体"/>
      <w:kern w:val="2"/>
      <w:sz w:val="18"/>
      <w:szCs w:val="21"/>
      <w:lang w:val="en-US" w:eastAsia="zh-CN" w:bidi="ar-SA"/>
    </w:rPr>
  </w:style>
  <w:style w:type="paragraph" w:customStyle="1" w:styleId="243">
    <w:name w:val="基础框架"/>
    <w:basedOn w:val="1"/>
    <w:link w:val="242"/>
    <w:qFormat/>
    <w:uiPriority w:val="0"/>
    <w:pPr>
      <w:ind w:firstLine="198" w:firstLineChars="198"/>
    </w:pPr>
    <w:rPr>
      <w:rFonts w:ascii="宋体" w:hAnsi="宋体"/>
      <w:sz w:val="18"/>
      <w:szCs w:val="21"/>
    </w:rPr>
  </w:style>
  <w:style w:type="character" w:customStyle="1" w:styleId="244">
    <w:name w:val="Normal Indent Char Char"/>
    <w:qFormat/>
    <w:uiPriority w:val="0"/>
    <w:rPr>
      <w:rFonts w:eastAsia="宋体"/>
      <w:kern w:val="2"/>
      <w:sz w:val="21"/>
      <w:lang w:val="en-US" w:eastAsia="zh-CN" w:bidi="ar-SA"/>
    </w:rPr>
  </w:style>
  <w:style w:type="character" w:customStyle="1" w:styleId="245">
    <w:name w:val="tw4winMark"/>
    <w:qFormat/>
    <w:uiPriority w:val="0"/>
    <w:rPr>
      <w:rFonts w:ascii="Courier New" w:hAnsi="Courier New"/>
      <w:vanish/>
      <w:color w:val="800080"/>
      <w:vertAlign w:val="subscript"/>
    </w:rPr>
  </w:style>
  <w:style w:type="character" w:customStyle="1" w:styleId="246">
    <w:name w:val="文档正文 Char"/>
    <w:link w:val="247"/>
    <w:qFormat/>
    <w:locked/>
    <w:uiPriority w:val="0"/>
    <w:rPr>
      <w:rFonts w:ascii="Arial Narrow" w:hAnsi="Arial Narrow" w:eastAsia="宋体"/>
      <w:sz w:val="24"/>
      <w:szCs w:val="24"/>
      <w:lang w:val="en-US" w:eastAsia="zh-CN" w:bidi="ar-SA"/>
    </w:rPr>
  </w:style>
  <w:style w:type="paragraph" w:customStyle="1" w:styleId="247">
    <w:name w:val="文档正文"/>
    <w:basedOn w:val="1"/>
    <w:link w:val="246"/>
    <w:qFormat/>
    <w:uiPriority w:val="0"/>
    <w:pPr>
      <w:adjustRightInd w:val="0"/>
      <w:spacing w:line="440" w:lineRule="exact"/>
      <w:ind w:firstLine="567"/>
      <w:textAlignment w:val="baseline"/>
    </w:pPr>
    <w:rPr>
      <w:rFonts w:ascii="Arial Narrow" w:hAnsi="Arial Narrow"/>
      <w:kern w:val="0"/>
    </w:rPr>
  </w:style>
  <w:style w:type="character" w:customStyle="1" w:styleId="248">
    <w:name w:val="标题 2 Char1"/>
    <w:link w:val="2"/>
    <w:qFormat/>
    <w:uiPriority w:val="0"/>
    <w:rPr>
      <w:rFonts w:ascii="仿宋" w:hAnsi="仿宋" w:eastAsia="仿宋"/>
      <w:b/>
      <w:bCs/>
      <w:kern w:val="2"/>
      <w:sz w:val="32"/>
      <w:szCs w:val="32"/>
    </w:rPr>
  </w:style>
  <w:style w:type="character" w:customStyle="1" w:styleId="249">
    <w:name w:val="样式9 Char"/>
    <w:link w:val="250"/>
    <w:qFormat/>
    <w:uiPriority w:val="0"/>
    <w:rPr>
      <w:b/>
      <w:kern w:val="2"/>
      <w:sz w:val="24"/>
      <w:szCs w:val="24"/>
    </w:rPr>
  </w:style>
  <w:style w:type="paragraph" w:customStyle="1" w:styleId="250">
    <w:name w:val="样式9"/>
    <w:basedOn w:val="1"/>
    <w:link w:val="249"/>
    <w:qFormat/>
    <w:uiPriority w:val="0"/>
    <w:pPr>
      <w:keepNext/>
      <w:ind w:left="1151" w:hanging="1009"/>
    </w:pPr>
    <w:rPr>
      <w:b/>
    </w:rPr>
  </w:style>
  <w:style w:type="character" w:customStyle="1" w:styleId="251">
    <w:name w:val="标准 Char Char Char Char Char"/>
    <w:qFormat/>
    <w:uiPriority w:val="0"/>
    <w:rPr>
      <w:rFonts w:hint="eastAsia" w:ascii="宋体" w:hAnsi="宋体" w:eastAsia="宋体"/>
      <w:color w:val="000000"/>
      <w:kern w:val="2"/>
      <w:sz w:val="24"/>
      <w:lang w:val="en-US" w:eastAsia="zh-CN" w:bidi="ar-SA"/>
    </w:rPr>
  </w:style>
  <w:style w:type="character" w:customStyle="1" w:styleId="252">
    <w:name w:val="fbt"/>
    <w:basedOn w:val="95"/>
    <w:qFormat/>
    <w:uiPriority w:val="0"/>
  </w:style>
  <w:style w:type="character" w:customStyle="1" w:styleId="253">
    <w:name w:val="tw4winError"/>
    <w:qFormat/>
    <w:uiPriority w:val="0"/>
    <w:rPr>
      <w:rFonts w:ascii="Courier New" w:hAnsi="Courier New"/>
      <w:color w:val="00FF00"/>
      <w:sz w:val="40"/>
    </w:rPr>
  </w:style>
  <w:style w:type="character" w:customStyle="1" w:styleId="254">
    <w:name w:val="pfont11"/>
    <w:qFormat/>
    <w:uiPriority w:val="0"/>
    <w:rPr>
      <w:rFonts w:hint="default" w:ascii="Tahoma" w:hAnsi="Tahoma" w:eastAsia="宋体" w:cs="Tahoma"/>
      <w:kern w:val="2"/>
      <w:sz w:val="18"/>
      <w:szCs w:val="18"/>
      <w:lang w:val="en-US" w:eastAsia="zh-CN" w:bidi="ar-SA"/>
    </w:rPr>
  </w:style>
  <w:style w:type="character" w:customStyle="1" w:styleId="255">
    <w:name w:val="p121"/>
    <w:qFormat/>
    <w:uiPriority w:val="0"/>
    <w:rPr>
      <w:color w:val="000000"/>
      <w:sz w:val="21"/>
      <w:szCs w:val="21"/>
      <w:u w:val="none"/>
    </w:rPr>
  </w:style>
  <w:style w:type="character" w:customStyle="1" w:styleId="256">
    <w:name w:val="表格 Char Char"/>
    <w:link w:val="4"/>
    <w:qFormat/>
    <w:uiPriority w:val="0"/>
    <w:rPr>
      <w:rFonts w:eastAsia="宋体"/>
      <w:kern w:val="2"/>
      <w:sz w:val="28"/>
      <w:szCs w:val="24"/>
      <w:lang w:val="en-US" w:eastAsia="zh-CN" w:bidi="ar-SA"/>
    </w:rPr>
  </w:style>
  <w:style w:type="character" w:customStyle="1" w:styleId="257">
    <w:name w:val="H1 Char2"/>
    <w:qFormat/>
    <w:uiPriority w:val="0"/>
    <w:rPr>
      <w:rFonts w:eastAsia="隶书"/>
      <w:b/>
      <w:bCs/>
      <w:sz w:val="36"/>
      <w:szCs w:val="36"/>
      <w:lang w:val="en-US" w:eastAsia="zh-CN" w:bidi="ar-SA"/>
    </w:rPr>
  </w:style>
  <w:style w:type="character" w:customStyle="1" w:styleId="258">
    <w:name w:val="样式 题注 + 黑体 Char"/>
    <w:link w:val="259"/>
    <w:qFormat/>
    <w:locked/>
    <w:uiPriority w:val="0"/>
    <w:rPr>
      <w:rFonts w:ascii="黑体" w:hAnsi="黑体" w:eastAsia="黑体" w:cs="Arial"/>
      <w:kern w:val="2"/>
      <w:sz w:val="21"/>
      <w:lang w:val="en-US" w:eastAsia="zh-CN" w:bidi="ar-SA"/>
    </w:rPr>
  </w:style>
  <w:style w:type="paragraph" w:customStyle="1" w:styleId="259">
    <w:name w:val="样式 题注 + 黑体"/>
    <w:basedOn w:val="23"/>
    <w:link w:val="258"/>
    <w:qFormat/>
    <w:uiPriority w:val="0"/>
    <w:pPr>
      <w:spacing w:beforeLines="40" w:afterLines="40"/>
      <w:jc w:val="center"/>
    </w:pPr>
    <w:rPr>
      <w:rFonts w:ascii="黑体" w:hAnsi="黑体" w:cs="Arial"/>
      <w:sz w:val="21"/>
    </w:rPr>
  </w:style>
  <w:style w:type="character" w:customStyle="1" w:styleId="260">
    <w:name w:val="Header Char"/>
    <w:qFormat/>
    <w:locked/>
    <w:uiPriority w:val="0"/>
    <w:rPr>
      <w:rFonts w:ascii="Calibri" w:hAnsi="Calibri" w:eastAsia="宋体" w:cs="Calibri"/>
      <w:sz w:val="18"/>
      <w:szCs w:val="18"/>
    </w:rPr>
  </w:style>
  <w:style w:type="character" w:customStyle="1" w:styleId="261">
    <w:name w:val="公司一级标题"/>
    <w:qFormat/>
    <w:uiPriority w:val="0"/>
    <w:rPr>
      <w:rFonts w:ascii="黑体" w:hAnsi="黑体" w:eastAsia="黑体"/>
      <w:color w:val="333300"/>
      <w:sz w:val="30"/>
    </w:rPr>
  </w:style>
  <w:style w:type="character" w:customStyle="1" w:styleId="262">
    <w:name w:val="ca-8"/>
    <w:basedOn w:val="95"/>
    <w:qFormat/>
    <w:uiPriority w:val="0"/>
  </w:style>
  <w:style w:type="character" w:customStyle="1" w:styleId="263">
    <w:name w:val="para"/>
    <w:basedOn w:val="95"/>
    <w:qFormat/>
    <w:uiPriority w:val="0"/>
  </w:style>
  <w:style w:type="character" w:customStyle="1" w:styleId="264">
    <w:name w:val="p3"/>
    <w:basedOn w:val="95"/>
    <w:qFormat/>
    <w:uiPriority w:val="0"/>
  </w:style>
  <w:style w:type="character" w:customStyle="1" w:styleId="265">
    <w:name w:val="unnamed1"/>
    <w:qFormat/>
    <w:uiPriority w:val="0"/>
    <w:rPr>
      <w:rFonts w:hint="default" w:ascii="Tahoma" w:hAnsi="Tahoma" w:eastAsia="宋体" w:cs="Tahoma"/>
      <w:kern w:val="2"/>
      <w:sz w:val="36"/>
      <w:szCs w:val="36"/>
      <w:lang w:val="en-US" w:eastAsia="zh-CN" w:bidi="ar-SA"/>
    </w:rPr>
  </w:style>
  <w:style w:type="character" w:customStyle="1" w:styleId="266">
    <w:name w:val="图文字 Char"/>
    <w:link w:val="267"/>
    <w:qFormat/>
    <w:uiPriority w:val="0"/>
    <w:rPr>
      <w:rFonts w:eastAsia="文鼎CS仿宋体"/>
      <w:kern w:val="2"/>
      <w:sz w:val="24"/>
      <w:szCs w:val="24"/>
      <w:lang w:val="en-US" w:eastAsia="zh-CN" w:bidi="ar-SA"/>
    </w:rPr>
  </w:style>
  <w:style w:type="paragraph" w:customStyle="1" w:styleId="267">
    <w:name w:val="图文字"/>
    <w:link w:val="266"/>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68">
    <w:name w:val="正文2 Char Char"/>
    <w:qFormat/>
    <w:uiPriority w:val="0"/>
    <w:rPr>
      <w:rFonts w:eastAsia="宋体"/>
      <w:kern w:val="2"/>
      <w:sz w:val="24"/>
      <w:lang w:val="en-US" w:eastAsia="zh-CN" w:bidi="ar-SA"/>
    </w:rPr>
  </w:style>
  <w:style w:type="character" w:customStyle="1" w:styleId="269">
    <w:name w:val="Legal Level 1.1.1. Char"/>
    <w:qFormat/>
    <w:uiPriority w:val="0"/>
    <w:rPr>
      <w:rFonts w:ascii="Arial" w:hAnsi="Arial" w:eastAsia="黑体"/>
      <w:sz w:val="24"/>
      <w:lang w:val="en-US" w:eastAsia="zh-CN" w:bidi="ar-SA"/>
    </w:rPr>
  </w:style>
  <w:style w:type="character" w:customStyle="1" w:styleId="270">
    <w:name w:val="flname7"/>
    <w:basedOn w:val="95"/>
    <w:qFormat/>
    <w:uiPriority w:val="0"/>
  </w:style>
  <w:style w:type="character" w:customStyle="1" w:styleId="271">
    <w:name w:val="标题 9 Char"/>
    <w:link w:val="12"/>
    <w:qFormat/>
    <w:uiPriority w:val="0"/>
    <w:rPr>
      <w:rFonts w:ascii="Arial" w:hAnsi="Arial" w:eastAsia="黑体"/>
      <w:sz w:val="28"/>
    </w:rPr>
  </w:style>
  <w:style w:type="character" w:customStyle="1" w:styleId="272">
    <w:name w:val="标题 4 Char"/>
    <w:link w:val="7"/>
    <w:qFormat/>
    <w:uiPriority w:val="0"/>
    <w:rPr>
      <w:rFonts w:ascii="仿宋" w:hAnsi="仿宋" w:eastAsia="仿宋"/>
      <w:b/>
      <w:bCs/>
      <w:kern w:val="2"/>
      <w:sz w:val="28"/>
      <w:szCs w:val="28"/>
    </w:rPr>
  </w:style>
  <w:style w:type="character" w:customStyle="1" w:styleId="273">
    <w:name w:val="标题 1 Char Char"/>
    <w:qFormat/>
    <w:uiPriority w:val="0"/>
    <w:rPr>
      <w:rFonts w:eastAsia="宋体"/>
      <w:b/>
      <w:spacing w:val="-2"/>
      <w:sz w:val="24"/>
      <w:lang w:val="en-US" w:eastAsia="zh-CN" w:bidi="ar-SA"/>
    </w:rPr>
  </w:style>
  <w:style w:type="character" w:customStyle="1" w:styleId="274">
    <w:name w:val="H1 Char"/>
    <w:qFormat/>
    <w:locked/>
    <w:uiPriority w:val="0"/>
    <w:rPr>
      <w:rFonts w:eastAsia="隶书"/>
      <w:b/>
      <w:bCs/>
      <w:sz w:val="36"/>
      <w:szCs w:val="36"/>
      <w:lang w:val="en-US" w:eastAsia="zh-CN" w:bidi="ar-SA"/>
    </w:rPr>
  </w:style>
  <w:style w:type="character" w:customStyle="1" w:styleId="275">
    <w:name w:val="text_main1"/>
    <w:qFormat/>
    <w:uiPriority w:val="0"/>
    <w:rPr>
      <w:rFonts w:hint="default" w:ascii="ˎ̥" w:hAnsi="ˎ̥" w:eastAsia="宋体"/>
      <w:color w:val="000000"/>
      <w:kern w:val="2"/>
      <w:sz w:val="22"/>
      <w:szCs w:val="22"/>
      <w:lang w:val="en-US" w:eastAsia="zh-CN" w:bidi="ar-SA"/>
    </w:rPr>
  </w:style>
  <w:style w:type="character" w:customStyle="1" w:styleId="276">
    <w:name w:val="样式 首行缩进:  2 字符 Char"/>
    <w:link w:val="277"/>
    <w:qFormat/>
    <w:uiPriority w:val="0"/>
    <w:rPr>
      <w:rFonts w:eastAsia="仿宋_GB2312"/>
      <w:kern w:val="24"/>
      <w:sz w:val="24"/>
      <w:lang w:val="en-US" w:eastAsia="zh-CN" w:bidi="ar-SA"/>
    </w:rPr>
  </w:style>
  <w:style w:type="paragraph" w:customStyle="1" w:styleId="277">
    <w:name w:val="样式 首行缩进:  2 字符"/>
    <w:basedOn w:val="1"/>
    <w:link w:val="276"/>
    <w:qFormat/>
    <w:uiPriority w:val="0"/>
    <w:pPr>
      <w:ind w:firstLine="200" w:firstLineChars="200"/>
    </w:pPr>
    <w:rPr>
      <w:rFonts w:eastAsia="仿宋_GB2312"/>
      <w:kern w:val="24"/>
      <w:szCs w:val="20"/>
    </w:rPr>
  </w:style>
  <w:style w:type="character" w:customStyle="1" w:styleId="278">
    <w:name w:val="样式 题注 + 黑体3 Char"/>
    <w:link w:val="279"/>
    <w:qFormat/>
    <w:locked/>
    <w:uiPriority w:val="0"/>
    <w:rPr>
      <w:rFonts w:ascii="黑体" w:hAnsi="黑体" w:eastAsia="黑体" w:cs="Arial"/>
      <w:kern w:val="2"/>
      <w:sz w:val="21"/>
      <w:lang w:val="en-US" w:eastAsia="zh-CN" w:bidi="ar-SA"/>
    </w:rPr>
  </w:style>
  <w:style w:type="paragraph" w:customStyle="1" w:styleId="279">
    <w:name w:val="样式 题注 + 黑体3"/>
    <w:basedOn w:val="23"/>
    <w:link w:val="278"/>
    <w:qFormat/>
    <w:uiPriority w:val="0"/>
    <w:pPr>
      <w:spacing w:beforeLines="40" w:afterLines="40"/>
      <w:jc w:val="center"/>
    </w:pPr>
    <w:rPr>
      <w:rFonts w:ascii="黑体" w:hAnsi="黑体" w:cs="Arial"/>
      <w:sz w:val="21"/>
    </w:rPr>
  </w:style>
  <w:style w:type="character" w:customStyle="1" w:styleId="280">
    <w:name w:val="正文文本缩进 3 Char"/>
    <w:link w:val="72"/>
    <w:qFormat/>
    <w:uiPriority w:val="0"/>
    <w:rPr>
      <w:rFonts w:ascii="仿宋_GB2312" w:hAnsi="宋体" w:eastAsia="仿宋_GB2312"/>
      <w:color w:val="000000"/>
      <w:kern w:val="2"/>
      <w:sz w:val="24"/>
      <w:szCs w:val="24"/>
    </w:rPr>
  </w:style>
  <w:style w:type="character" w:customStyle="1" w:styleId="281">
    <w:name w:val="font11"/>
    <w:qFormat/>
    <w:uiPriority w:val="0"/>
    <w:rPr>
      <w:rFonts w:hint="default" w:ascii="Tahoma" w:hAnsi="Tahoma" w:eastAsia="宋体" w:cs="Tahoma"/>
      <w:kern w:val="2"/>
      <w:sz w:val="18"/>
      <w:szCs w:val="18"/>
      <w:lang w:val="en-US" w:eastAsia="zh-CN" w:bidi="ar-SA"/>
    </w:rPr>
  </w:style>
  <w:style w:type="character" w:customStyle="1" w:styleId="282">
    <w:name w:val="Indent Normal Char"/>
    <w:link w:val="283"/>
    <w:qFormat/>
    <w:uiPriority w:val="0"/>
    <w:rPr>
      <w:kern w:val="2"/>
      <w:sz w:val="21"/>
      <w:lang w:bidi="ar-SA"/>
    </w:rPr>
  </w:style>
  <w:style w:type="paragraph" w:customStyle="1" w:styleId="283">
    <w:name w:val="Indent Normal"/>
    <w:basedOn w:val="1"/>
    <w:link w:val="282"/>
    <w:qFormat/>
    <w:uiPriority w:val="0"/>
    <w:pPr>
      <w:ind w:firstLine="420"/>
    </w:pPr>
    <w:rPr>
      <w:szCs w:val="20"/>
    </w:rPr>
  </w:style>
  <w:style w:type="character" w:customStyle="1" w:styleId="284">
    <w:name w:val="mark8"/>
    <w:qFormat/>
    <w:uiPriority w:val="0"/>
    <w:rPr>
      <w:b/>
      <w:bCs/>
      <w:sz w:val="21"/>
      <w:szCs w:val="21"/>
    </w:rPr>
  </w:style>
  <w:style w:type="character" w:customStyle="1" w:styleId="285">
    <w:name w:val="textcontents1"/>
    <w:qFormat/>
    <w:uiPriority w:val="0"/>
    <w:rPr>
      <w:color w:val="000000"/>
      <w:sz w:val="30"/>
      <w:szCs w:val="30"/>
    </w:rPr>
  </w:style>
  <w:style w:type="character" w:customStyle="1" w:styleId="286">
    <w:name w:val="最新正文 Char"/>
    <w:link w:val="287"/>
    <w:qFormat/>
    <w:uiPriority w:val="0"/>
    <w:rPr>
      <w:rFonts w:ascii="仿宋_GB2312" w:eastAsia="仿宋_GB2312" w:cs="宋体"/>
      <w:kern w:val="2"/>
      <w:sz w:val="24"/>
      <w:szCs w:val="24"/>
      <w:lang w:val="en-US" w:eastAsia="zh-CN" w:bidi="he-IL"/>
    </w:rPr>
  </w:style>
  <w:style w:type="paragraph" w:customStyle="1" w:styleId="287">
    <w:name w:val="最新正文"/>
    <w:basedOn w:val="1"/>
    <w:link w:val="286"/>
    <w:qFormat/>
    <w:uiPriority w:val="0"/>
    <w:pPr>
      <w:widowControl/>
      <w:snapToGrid w:val="0"/>
      <w:ind w:right="-357" w:firstLine="196" w:firstLineChars="196"/>
      <w:jc w:val="left"/>
    </w:pPr>
    <w:rPr>
      <w:rFonts w:ascii="仿宋_GB2312" w:eastAsia="仿宋_GB2312" w:cs="宋体"/>
      <w:lang w:bidi="he-IL"/>
    </w:rPr>
  </w:style>
  <w:style w:type="character" w:customStyle="1" w:styleId="288">
    <w:name w:val="h4 Char1"/>
    <w:qFormat/>
    <w:uiPriority w:val="0"/>
    <w:rPr>
      <w:rFonts w:ascii="Arial" w:hAnsi="Arial" w:eastAsia="黑体"/>
      <w:b/>
      <w:bCs/>
      <w:kern w:val="2"/>
      <w:sz w:val="28"/>
      <w:szCs w:val="28"/>
      <w:lang w:val="en-US" w:eastAsia="zh-CN" w:bidi="ar-SA"/>
    </w:rPr>
  </w:style>
  <w:style w:type="character" w:customStyle="1" w:styleId="289">
    <w:name w:val="正文文本 Char"/>
    <w:link w:val="35"/>
    <w:qFormat/>
    <w:uiPriority w:val="0"/>
    <w:rPr>
      <w:rFonts w:eastAsia="宋体"/>
      <w:kern w:val="2"/>
      <w:sz w:val="28"/>
      <w:szCs w:val="24"/>
      <w:lang w:val="en-US" w:eastAsia="zh-CN" w:bidi="ar-SA"/>
    </w:rPr>
  </w:style>
  <w:style w:type="character" w:customStyle="1" w:styleId="290">
    <w:name w:val="正文文本缩进 Char Char1"/>
    <w:qFormat/>
    <w:uiPriority w:val="0"/>
    <w:rPr>
      <w:rFonts w:hint="default" w:ascii="Tahoma" w:hAnsi="Tahoma" w:eastAsia="宋体" w:cs="Tahoma"/>
      <w:kern w:val="2"/>
      <w:sz w:val="21"/>
      <w:szCs w:val="24"/>
      <w:lang w:val="en-US" w:eastAsia="zh-CN" w:bidi="ar-SA"/>
    </w:rPr>
  </w:style>
  <w:style w:type="character" w:customStyle="1" w:styleId="291">
    <w:name w:val="tx1"/>
    <w:qFormat/>
    <w:uiPriority w:val="0"/>
    <w:rPr>
      <w:rFonts w:hint="default" w:ascii="Tahoma" w:hAnsi="Tahoma" w:eastAsia="宋体" w:cs="Tahoma"/>
      <w:b/>
      <w:bCs/>
      <w:kern w:val="2"/>
      <w:sz w:val="36"/>
      <w:szCs w:val="36"/>
      <w:lang w:val="en-US" w:eastAsia="zh-CN" w:bidi="ar-SA"/>
    </w:rPr>
  </w:style>
  <w:style w:type="character" w:customStyle="1" w:styleId="292">
    <w:name w:val="发布"/>
    <w:qFormat/>
    <w:uiPriority w:val="0"/>
    <w:rPr>
      <w:rFonts w:ascii="黑体" w:eastAsia="黑体"/>
      <w:spacing w:val="22"/>
      <w:w w:val="100"/>
      <w:position w:val="3"/>
      <w:sz w:val="28"/>
    </w:rPr>
  </w:style>
  <w:style w:type="character" w:customStyle="1" w:styleId="293">
    <w:name w:val="加重文字 Char"/>
    <w:link w:val="294"/>
    <w:qFormat/>
    <w:locked/>
    <w:uiPriority w:val="0"/>
    <w:rPr>
      <w:rFonts w:eastAsia="宋体"/>
      <w:b/>
      <w:bCs/>
      <w:kern w:val="2"/>
      <w:sz w:val="24"/>
      <w:szCs w:val="24"/>
      <w:u w:val="thick"/>
      <w:lang w:val="en-US" w:eastAsia="zh-CN" w:bidi="ar-SA"/>
    </w:rPr>
  </w:style>
  <w:style w:type="paragraph" w:customStyle="1" w:styleId="294">
    <w:name w:val="加重文字"/>
    <w:basedOn w:val="133"/>
    <w:link w:val="293"/>
    <w:qFormat/>
    <w:uiPriority w:val="0"/>
    <w:pPr>
      <w:ind w:firstLine="0" w:firstLineChars="0"/>
    </w:pPr>
    <w:rPr>
      <w:b/>
      <w:bCs/>
      <w:u w:val="thick"/>
    </w:rPr>
  </w:style>
  <w:style w:type="character" w:customStyle="1" w:styleId="295">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96">
    <w:name w:val="Char Char7"/>
    <w:qFormat/>
    <w:uiPriority w:val="0"/>
    <w:rPr>
      <w:kern w:val="2"/>
      <w:sz w:val="18"/>
      <w:szCs w:val="18"/>
    </w:rPr>
  </w:style>
  <w:style w:type="character" w:customStyle="1" w:styleId="297">
    <w:name w:val="point_small1"/>
    <w:qFormat/>
    <w:uiPriority w:val="0"/>
    <w:rPr>
      <w:rFonts w:hint="default" w:ascii="Arial" w:hAnsi="Arial" w:cs="Arial"/>
      <w:sz w:val="18"/>
      <w:szCs w:val="18"/>
    </w:rPr>
  </w:style>
  <w:style w:type="character" w:customStyle="1" w:styleId="298">
    <w:name w:val="title_emph1"/>
    <w:qFormat/>
    <w:uiPriority w:val="0"/>
    <w:rPr>
      <w:rFonts w:hint="default" w:ascii="Arial" w:hAnsi="Arial" w:cs="Arial"/>
      <w:b/>
      <w:bCs/>
      <w:sz w:val="18"/>
      <w:szCs w:val="18"/>
    </w:rPr>
  </w:style>
  <w:style w:type="character" w:customStyle="1" w:styleId="299">
    <w:name w:val="memo"/>
    <w:qFormat/>
    <w:uiPriority w:val="0"/>
  </w:style>
  <w:style w:type="character" w:customStyle="1" w:styleId="300">
    <w:name w:val="tw4winJump"/>
    <w:qFormat/>
    <w:uiPriority w:val="0"/>
    <w:rPr>
      <w:rFonts w:ascii="Courier New" w:hAnsi="Courier New"/>
      <w:color w:val="008080"/>
    </w:rPr>
  </w:style>
  <w:style w:type="character" w:customStyle="1" w:styleId="301">
    <w:name w:val="tpc_content1"/>
    <w:qFormat/>
    <w:uiPriority w:val="0"/>
    <w:rPr>
      <w:sz w:val="20"/>
    </w:rPr>
  </w:style>
  <w:style w:type="character" w:customStyle="1" w:styleId="302">
    <w:name w:val="it1"/>
    <w:qFormat/>
    <w:uiPriority w:val="0"/>
    <w:rPr>
      <w:rFonts w:hint="eastAsia" w:ascii="宋体" w:hAnsi="宋体" w:eastAsia="宋体"/>
      <w:color w:val="000000"/>
      <w:sz w:val="18"/>
      <w:szCs w:val="18"/>
    </w:rPr>
  </w:style>
  <w:style w:type="character" w:customStyle="1" w:styleId="303">
    <w:name w:val="页脚 Char1"/>
    <w:semiHidden/>
    <w:qFormat/>
    <w:uiPriority w:val="0"/>
    <w:rPr>
      <w:sz w:val="18"/>
      <w:szCs w:val="18"/>
    </w:rPr>
  </w:style>
  <w:style w:type="character" w:customStyle="1" w:styleId="304">
    <w:name w:val="red1"/>
    <w:qFormat/>
    <w:uiPriority w:val="0"/>
    <w:rPr>
      <w:rFonts w:hint="default" w:ascii="ˎ̥" w:hAnsi="ˎ̥"/>
      <w:color w:val="CC0001"/>
      <w:sz w:val="18"/>
      <w:szCs w:val="18"/>
    </w:rPr>
  </w:style>
  <w:style w:type="character" w:customStyle="1" w:styleId="305">
    <w:name w:val="line"/>
    <w:basedOn w:val="95"/>
    <w:qFormat/>
    <w:uiPriority w:val="0"/>
  </w:style>
  <w:style w:type="character" w:customStyle="1" w:styleId="306">
    <w:name w:val="unnamed11"/>
    <w:qFormat/>
    <w:uiPriority w:val="0"/>
    <w:rPr>
      <w:spacing w:val="360"/>
      <w:sz w:val="20"/>
      <w:szCs w:val="20"/>
    </w:rPr>
  </w:style>
  <w:style w:type="character" w:customStyle="1" w:styleId="307">
    <w:name w:val="正文文本缩进 Char1 Char"/>
    <w:qFormat/>
    <w:uiPriority w:val="0"/>
    <w:rPr>
      <w:rFonts w:hint="default" w:ascii="Tahoma" w:hAnsi="Tahoma" w:eastAsia="宋体" w:cs="Tahoma"/>
      <w:kern w:val="2"/>
      <w:sz w:val="21"/>
      <w:szCs w:val="24"/>
      <w:lang w:val="en-US" w:eastAsia="zh-CN" w:bidi="ar-SA"/>
    </w:rPr>
  </w:style>
  <w:style w:type="character" w:customStyle="1" w:styleId="308">
    <w:name w:val="huide001"/>
    <w:qFormat/>
    <w:uiPriority w:val="0"/>
    <w:rPr>
      <w:rFonts w:hint="default" w:ascii="Arial" w:hAnsi="Arial" w:cs="Arial"/>
      <w:color w:val="666666"/>
      <w:sz w:val="18"/>
      <w:szCs w:val="18"/>
    </w:rPr>
  </w:style>
  <w:style w:type="character" w:customStyle="1" w:styleId="309">
    <w:name w:val="正文首行缩进 Char"/>
    <w:qFormat/>
    <w:uiPriority w:val="0"/>
    <w:rPr>
      <w:rFonts w:hint="default" w:ascii="Tahoma" w:hAnsi="Tahoma" w:eastAsia="宋体" w:cs="Tahoma"/>
      <w:kern w:val="2"/>
      <w:sz w:val="21"/>
      <w:szCs w:val="24"/>
      <w:lang w:val="en-US" w:eastAsia="zh-CN" w:bidi="ar-SA"/>
    </w:rPr>
  </w:style>
  <w:style w:type="character" w:customStyle="1" w:styleId="310">
    <w:name w:val="编写说明 Char"/>
    <w:link w:val="311"/>
    <w:qFormat/>
    <w:uiPriority w:val="0"/>
    <w:rPr>
      <w:i/>
      <w:color w:val="0000FF"/>
      <w:kern w:val="2"/>
      <w:sz w:val="21"/>
      <w:szCs w:val="24"/>
      <w:lang w:bidi="ar-SA"/>
    </w:rPr>
  </w:style>
  <w:style w:type="paragraph" w:customStyle="1" w:styleId="311">
    <w:name w:val="编写说明"/>
    <w:basedOn w:val="1"/>
    <w:link w:val="310"/>
    <w:qFormat/>
    <w:uiPriority w:val="0"/>
    <w:rPr>
      <w:i/>
      <w:color w:val="0000FF"/>
    </w:rPr>
  </w:style>
  <w:style w:type="character" w:customStyle="1" w:styleId="312">
    <w:name w:val="Char Char81"/>
    <w:qFormat/>
    <w:uiPriority w:val="0"/>
    <w:rPr>
      <w:rFonts w:eastAsia="宋体"/>
      <w:b/>
      <w:sz w:val="24"/>
      <w:lang w:val="en-GB" w:eastAsia="zh-CN"/>
    </w:rPr>
  </w:style>
  <w:style w:type="character" w:customStyle="1" w:styleId="313">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4">
    <w:name w:val="自定义正文 Char"/>
    <w:link w:val="315"/>
    <w:qFormat/>
    <w:uiPriority w:val="0"/>
    <w:rPr>
      <w:rFonts w:ascii="仿宋_GB2312" w:eastAsia="仿宋_GB2312"/>
      <w:kern w:val="2"/>
      <w:sz w:val="28"/>
      <w:szCs w:val="24"/>
      <w:lang w:val="en-US" w:eastAsia="zh-CN" w:bidi="ar-SA"/>
    </w:rPr>
  </w:style>
  <w:style w:type="paragraph" w:customStyle="1" w:styleId="315">
    <w:name w:val="自定义正文"/>
    <w:basedOn w:val="1"/>
    <w:link w:val="314"/>
    <w:qFormat/>
    <w:uiPriority w:val="0"/>
    <w:pPr>
      <w:spacing w:before="120" w:after="120" w:line="480" w:lineRule="exact"/>
      <w:ind w:firstLine="200" w:firstLineChars="200"/>
      <w:jc w:val="left"/>
    </w:pPr>
    <w:rPr>
      <w:rFonts w:ascii="仿宋_GB2312" w:eastAsia="仿宋_GB2312"/>
      <w:sz w:val="28"/>
    </w:rPr>
  </w:style>
  <w:style w:type="character" w:customStyle="1" w:styleId="316">
    <w:name w:val="Char Char71"/>
    <w:qFormat/>
    <w:uiPriority w:val="0"/>
    <w:rPr>
      <w:rFonts w:eastAsia="宋体"/>
      <w:kern w:val="2"/>
      <w:sz w:val="18"/>
      <w:szCs w:val="18"/>
      <w:lang w:val="en-US" w:eastAsia="zh-CN" w:bidi="ar-SA"/>
    </w:rPr>
  </w:style>
  <w:style w:type="character" w:customStyle="1" w:styleId="317">
    <w:name w:val="H2 Char3"/>
    <w:qFormat/>
    <w:uiPriority w:val="0"/>
    <w:rPr>
      <w:rFonts w:ascii="Arial" w:hAnsi="Arial" w:eastAsia="黑体"/>
      <w:b/>
      <w:bCs/>
      <w:kern w:val="2"/>
      <w:sz w:val="32"/>
      <w:szCs w:val="32"/>
      <w:lang w:val="en-US" w:eastAsia="zh-CN" w:bidi="ar-SA"/>
    </w:rPr>
  </w:style>
  <w:style w:type="character" w:customStyle="1" w:styleId="318">
    <w:name w:val="txt"/>
    <w:basedOn w:val="95"/>
    <w:qFormat/>
    <w:uiPriority w:val="0"/>
  </w:style>
  <w:style w:type="character" w:customStyle="1" w:styleId="319">
    <w:name w:val="Ò³Ã¼ Char"/>
    <w:qFormat/>
    <w:uiPriority w:val="0"/>
    <w:rPr>
      <w:rFonts w:eastAsia="宋体"/>
      <w:kern w:val="2"/>
      <w:sz w:val="18"/>
      <w:szCs w:val="18"/>
      <w:lang w:val="en-US" w:eastAsia="zh-CN" w:bidi="ar-SA"/>
    </w:rPr>
  </w:style>
  <w:style w:type="character" w:customStyle="1" w:styleId="320">
    <w:name w:val="二级条标题 Char1"/>
    <w:link w:val="321"/>
    <w:qFormat/>
    <w:locked/>
    <w:uiPriority w:val="0"/>
    <w:rPr>
      <w:rFonts w:ascii="黑体" w:eastAsia="黑体"/>
      <w:sz w:val="21"/>
      <w:lang w:val="en-US" w:eastAsia="zh-CN" w:bidi="ar-SA"/>
    </w:rPr>
  </w:style>
  <w:style w:type="paragraph" w:customStyle="1" w:styleId="321">
    <w:name w:val="二级条标题"/>
    <w:basedOn w:val="322"/>
    <w:next w:val="323"/>
    <w:link w:val="320"/>
    <w:qFormat/>
    <w:uiPriority w:val="0"/>
    <w:pPr>
      <w:ind w:left="630" w:hanging="630"/>
      <w:outlineLvl w:val="3"/>
    </w:pPr>
  </w:style>
  <w:style w:type="paragraph" w:customStyle="1" w:styleId="322">
    <w:name w:val="一级条标题"/>
    <w:basedOn w:val="1"/>
    <w:next w:val="323"/>
    <w:qFormat/>
    <w:uiPriority w:val="0"/>
    <w:pPr>
      <w:widowControl/>
      <w:spacing w:beforeLines="40" w:afterLines="40"/>
      <w:outlineLvl w:val="2"/>
    </w:pPr>
    <w:rPr>
      <w:rFonts w:ascii="黑体" w:eastAsia="黑体"/>
      <w:kern w:val="0"/>
      <w:szCs w:val="20"/>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4">
    <w:name w:val="font3"/>
    <w:basedOn w:val="95"/>
    <w:qFormat/>
    <w:uiPriority w:val="0"/>
  </w:style>
  <w:style w:type="character" w:customStyle="1" w:styleId="325">
    <w:name w:val="FtrF Char"/>
    <w:qFormat/>
    <w:uiPriority w:val="0"/>
    <w:rPr>
      <w:rFonts w:eastAsia="宋体"/>
      <w:kern w:val="2"/>
      <w:sz w:val="18"/>
      <w:szCs w:val="18"/>
      <w:lang w:val="en-US" w:eastAsia="zh-CN" w:bidi="ar-SA"/>
    </w:rPr>
  </w:style>
  <w:style w:type="character" w:customStyle="1" w:styleId="326">
    <w:name w:val="H2 Char2"/>
    <w:qFormat/>
    <w:uiPriority w:val="0"/>
    <w:rPr>
      <w:rFonts w:ascii="Arial" w:hAnsi="Arial" w:eastAsia="黑体"/>
      <w:b/>
      <w:bCs/>
      <w:kern w:val="2"/>
      <w:sz w:val="32"/>
      <w:szCs w:val="32"/>
      <w:lang w:val="en-US" w:eastAsia="zh-CN" w:bidi="ar-SA"/>
    </w:rPr>
  </w:style>
  <w:style w:type="character" w:customStyle="1" w:styleId="327">
    <w:name w:val="line1"/>
    <w:qFormat/>
    <w:uiPriority w:val="0"/>
    <w:rPr>
      <w:spacing w:val="360"/>
      <w:u w:val="none"/>
    </w:rPr>
  </w:style>
  <w:style w:type="character" w:customStyle="1" w:styleId="328">
    <w:name w:val="纯文本 Char"/>
    <w:link w:val="48"/>
    <w:qFormat/>
    <w:uiPriority w:val="0"/>
    <w:rPr>
      <w:rFonts w:ascii="宋体" w:hAnsi="Courier New"/>
      <w:kern w:val="2"/>
      <w:sz w:val="24"/>
      <w:szCs w:val="24"/>
    </w:rPr>
  </w:style>
  <w:style w:type="character" w:customStyle="1" w:styleId="329">
    <w:name w:val="正文文字 Char"/>
    <w:qFormat/>
    <w:uiPriority w:val="0"/>
    <w:rPr>
      <w:rFonts w:hint="default" w:ascii="Tahoma" w:hAnsi="Tahoma" w:eastAsia="宋体" w:cs="Tahoma"/>
      <w:kern w:val="2"/>
      <w:sz w:val="21"/>
      <w:szCs w:val="24"/>
      <w:lang w:val="en-US" w:eastAsia="zh-CN" w:bidi="ar-SA"/>
    </w:rPr>
  </w:style>
  <w:style w:type="character" w:customStyle="1" w:styleId="330">
    <w:name w:val="我的正文 Char"/>
    <w:link w:val="331"/>
    <w:qFormat/>
    <w:uiPriority w:val="0"/>
    <w:rPr>
      <w:rFonts w:eastAsia="仿宋_GB2312" w:cs="宋体"/>
      <w:kern w:val="2"/>
      <w:sz w:val="24"/>
      <w:lang w:val="en-US" w:eastAsia="zh-CN" w:bidi="ar-SA"/>
    </w:rPr>
  </w:style>
  <w:style w:type="paragraph" w:customStyle="1" w:styleId="331">
    <w:name w:val="我的正文"/>
    <w:basedOn w:val="1"/>
    <w:link w:val="330"/>
    <w:qFormat/>
    <w:uiPriority w:val="0"/>
    <w:pPr>
      <w:spacing w:afterLines="100"/>
      <w:ind w:firstLine="480" w:firstLineChars="200"/>
    </w:pPr>
    <w:rPr>
      <w:rFonts w:eastAsia="仿宋_GB2312" w:cs="宋体"/>
      <w:szCs w:val="20"/>
    </w:rPr>
  </w:style>
  <w:style w:type="character" w:customStyle="1" w:styleId="332">
    <w:name w:val="正文缩进 Char"/>
    <w:qFormat/>
    <w:uiPriority w:val="0"/>
    <w:rPr>
      <w:rFonts w:eastAsia="宋体"/>
      <w:kern w:val="2"/>
      <w:sz w:val="21"/>
      <w:lang w:val="en-US" w:eastAsia="zh-CN" w:bidi="ar-SA"/>
    </w:rPr>
  </w:style>
  <w:style w:type="character" w:customStyle="1" w:styleId="333">
    <w:name w:val="批注框文本 Char"/>
    <w:link w:val="57"/>
    <w:qFormat/>
    <w:locked/>
    <w:uiPriority w:val="0"/>
    <w:rPr>
      <w:rFonts w:ascii="Calibri" w:hAnsi="Calibri" w:eastAsia="宋体"/>
      <w:kern w:val="2"/>
      <w:sz w:val="18"/>
      <w:szCs w:val="18"/>
      <w:lang w:val="en-US" w:eastAsia="zh-CN" w:bidi="ar-SA"/>
    </w:rPr>
  </w:style>
  <w:style w:type="character" w:customStyle="1" w:styleId="334">
    <w:name w:val="h4 Char2"/>
    <w:qFormat/>
    <w:uiPriority w:val="0"/>
    <w:rPr>
      <w:rFonts w:ascii="Arial" w:hAnsi="Arial" w:eastAsia="黑体"/>
      <w:b/>
      <w:bCs/>
      <w:kern w:val="2"/>
      <w:sz w:val="28"/>
      <w:szCs w:val="28"/>
      <w:lang w:val="en-US" w:eastAsia="zh-CN" w:bidi="ar-SA"/>
    </w:rPr>
  </w:style>
  <w:style w:type="character" w:customStyle="1" w:styleId="335">
    <w:name w:val="正文缩进 Char1"/>
    <w:link w:val="336"/>
    <w:qFormat/>
    <w:uiPriority w:val="0"/>
    <w:rPr>
      <w:rFonts w:eastAsia="宋体"/>
      <w:lang w:bidi="ar-SA"/>
    </w:rPr>
  </w:style>
  <w:style w:type="paragraph" w:customStyle="1" w:styleId="336">
    <w:name w:val="正文缩进2"/>
    <w:basedOn w:val="1"/>
    <w:link w:val="335"/>
    <w:qFormat/>
    <w:uiPriority w:val="0"/>
    <w:pPr>
      <w:widowControl/>
      <w:ind w:firstLine="420"/>
      <w:jc w:val="left"/>
    </w:pPr>
    <w:rPr>
      <w:kern w:val="0"/>
      <w:sz w:val="20"/>
      <w:szCs w:val="20"/>
    </w:rPr>
  </w:style>
  <w:style w:type="character" w:customStyle="1" w:styleId="337">
    <w:name w:val="样式 宋体"/>
    <w:qFormat/>
    <w:uiPriority w:val="0"/>
    <w:rPr>
      <w:rFonts w:ascii="宋体" w:hAnsi="宋体" w:eastAsia="宋体"/>
      <w:sz w:val="24"/>
      <w:szCs w:val="24"/>
    </w:rPr>
  </w:style>
  <w:style w:type="character" w:customStyle="1" w:styleId="338">
    <w:name w:val="哈哈正文 Char"/>
    <w:link w:val="339"/>
    <w:qFormat/>
    <w:uiPriority w:val="0"/>
    <w:rPr>
      <w:rFonts w:ascii="宋体" w:hAnsi="宋体" w:eastAsia="宋体" w:cs="宋体"/>
      <w:kern w:val="2"/>
      <w:sz w:val="24"/>
      <w:lang w:val="en-US" w:eastAsia="zh-CN" w:bidi="ar-SA"/>
    </w:rPr>
  </w:style>
  <w:style w:type="paragraph" w:customStyle="1" w:styleId="339">
    <w:name w:val="哈哈正文"/>
    <w:basedOn w:val="1"/>
    <w:link w:val="338"/>
    <w:qFormat/>
    <w:uiPriority w:val="0"/>
    <w:pPr>
      <w:ind w:firstLine="200" w:firstLineChars="200"/>
    </w:pPr>
    <w:rPr>
      <w:rFonts w:ascii="宋体" w:hAnsi="宋体" w:cs="宋体"/>
      <w:szCs w:val="20"/>
    </w:rPr>
  </w:style>
  <w:style w:type="character" w:customStyle="1" w:styleId="340">
    <w:name w:val="表格标题(居中) Char"/>
    <w:link w:val="341"/>
    <w:qFormat/>
    <w:uiPriority w:val="0"/>
    <w:rPr>
      <w:rFonts w:eastAsia="黑体"/>
      <w:kern w:val="2"/>
      <w:sz w:val="24"/>
      <w:lang w:val="en-US" w:eastAsia="zh-CN" w:bidi="ar-SA"/>
    </w:rPr>
  </w:style>
  <w:style w:type="paragraph" w:customStyle="1" w:styleId="341">
    <w:name w:val="表格标题(居中)"/>
    <w:basedOn w:val="1"/>
    <w:link w:val="340"/>
    <w:qFormat/>
    <w:uiPriority w:val="0"/>
    <w:pPr>
      <w:snapToGrid w:val="0"/>
      <w:spacing w:line="300" w:lineRule="auto"/>
      <w:jc w:val="center"/>
    </w:pPr>
    <w:rPr>
      <w:rFonts w:eastAsia="黑体"/>
      <w:szCs w:val="20"/>
    </w:rPr>
  </w:style>
  <w:style w:type="character" w:customStyle="1" w:styleId="342">
    <w:name w:val="H2 Char1"/>
    <w:qFormat/>
    <w:uiPriority w:val="0"/>
    <w:rPr>
      <w:rFonts w:ascii="Arial" w:hAnsi="Arial" w:eastAsia="黑体"/>
      <w:b/>
      <w:bCs/>
      <w:kern w:val="2"/>
      <w:sz w:val="32"/>
      <w:szCs w:val="32"/>
      <w:lang w:val="en-US" w:eastAsia="zh-CN" w:bidi="ar-SA"/>
    </w:rPr>
  </w:style>
  <w:style w:type="character" w:customStyle="1" w:styleId="343">
    <w:name w:val="H2 Char5"/>
    <w:qFormat/>
    <w:uiPriority w:val="0"/>
    <w:rPr>
      <w:rFonts w:ascii="Arial" w:hAnsi="Arial" w:eastAsia="黑体"/>
      <w:b/>
      <w:bCs/>
      <w:kern w:val="2"/>
      <w:sz w:val="32"/>
      <w:szCs w:val="32"/>
      <w:lang w:val="en-US" w:eastAsia="zh-CN" w:bidi="ar-SA"/>
    </w:rPr>
  </w:style>
  <w:style w:type="character" w:customStyle="1" w:styleId="344">
    <w:name w:val="title_black_141"/>
    <w:qFormat/>
    <w:uiPriority w:val="0"/>
    <w:rPr>
      <w:color w:val="000000"/>
      <w:sz w:val="21"/>
      <w:szCs w:val="21"/>
      <w:u w:val="none"/>
    </w:rPr>
  </w:style>
  <w:style w:type="character" w:customStyle="1" w:styleId="345">
    <w:name w:val="备注说明 Char Char"/>
    <w:link w:val="346"/>
    <w:qFormat/>
    <w:locked/>
    <w:uiPriority w:val="0"/>
    <w:rPr>
      <w:rFonts w:ascii="宋体" w:hAnsi="宋体" w:eastAsia="宋体"/>
      <w:sz w:val="21"/>
      <w:lang w:val="en-US" w:eastAsia="zh-CN" w:bidi="ar-SA"/>
    </w:rPr>
  </w:style>
  <w:style w:type="paragraph" w:customStyle="1" w:styleId="346">
    <w:name w:val="备注说明 Char"/>
    <w:basedOn w:val="69"/>
    <w:link w:val="345"/>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7">
    <w:name w:val="keywords1"/>
    <w:qFormat/>
    <w:uiPriority w:val="0"/>
    <w:rPr>
      <w:rFonts w:hint="default" w:ascii="Verdana" w:hAnsi="Verdana"/>
      <w:color w:val="FF6600"/>
      <w:sz w:val="20"/>
      <w:szCs w:val="20"/>
    </w:rPr>
  </w:style>
  <w:style w:type="character" w:customStyle="1" w:styleId="348">
    <w:name w:val="表格文字 Char"/>
    <w:qFormat/>
    <w:uiPriority w:val="0"/>
    <w:rPr>
      <w:rFonts w:ascii="宋体" w:hAnsi="Courier New" w:eastAsia="宋体"/>
      <w:kern w:val="2"/>
      <w:sz w:val="21"/>
      <w:lang w:val="en-US" w:eastAsia="zh-CN" w:bidi="ar-SA"/>
    </w:rPr>
  </w:style>
  <w:style w:type="character" w:customStyle="1" w:styleId="349">
    <w:name w:val="样式 题注 + 黑色 Char"/>
    <w:link w:val="350"/>
    <w:qFormat/>
    <w:locked/>
    <w:uiPriority w:val="0"/>
    <w:rPr>
      <w:rFonts w:ascii="Arial" w:hAnsi="Arial" w:eastAsia="黑体" w:cs="Arial"/>
      <w:color w:val="000000"/>
      <w:kern w:val="2"/>
      <w:sz w:val="24"/>
      <w:lang w:val="en-US" w:eastAsia="zh-CN" w:bidi="ar-SA"/>
    </w:rPr>
  </w:style>
  <w:style w:type="paragraph" w:customStyle="1" w:styleId="350">
    <w:name w:val="样式 题注 + 黑色"/>
    <w:basedOn w:val="23"/>
    <w:link w:val="349"/>
    <w:qFormat/>
    <w:uiPriority w:val="0"/>
    <w:pPr>
      <w:spacing w:beforeLines="40" w:afterLines="40"/>
      <w:jc w:val="center"/>
    </w:pPr>
    <w:rPr>
      <w:rFonts w:cs="Arial"/>
      <w:color w:val="000000"/>
      <w:sz w:val="24"/>
    </w:rPr>
  </w:style>
  <w:style w:type="character" w:customStyle="1" w:styleId="351">
    <w:name w:val="公文正文 Char"/>
    <w:link w:val="352"/>
    <w:qFormat/>
    <w:uiPriority w:val="0"/>
    <w:rPr>
      <w:rFonts w:ascii="仿宋_GB2312" w:hAnsi="宋体" w:eastAsia="仿宋_GB2312"/>
      <w:kern w:val="28"/>
      <w:sz w:val="28"/>
      <w:szCs w:val="24"/>
      <w:lang w:val="en-US" w:eastAsia="zh-CN" w:bidi="ar-SA"/>
    </w:rPr>
  </w:style>
  <w:style w:type="paragraph" w:customStyle="1" w:styleId="352">
    <w:name w:val="公文正文"/>
    <w:basedOn w:val="38"/>
    <w:link w:val="351"/>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3">
    <w:name w:val="Char Char91"/>
    <w:semiHidden/>
    <w:qFormat/>
    <w:uiPriority w:val="0"/>
    <w:rPr>
      <w:kern w:val="2"/>
      <w:sz w:val="18"/>
      <w:szCs w:val="18"/>
    </w:rPr>
  </w:style>
  <w:style w:type="character" w:customStyle="1" w:styleId="354">
    <w:name w:val="标题 6 Char1"/>
    <w:link w:val="9"/>
    <w:qFormat/>
    <w:uiPriority w:val="0"/>
    <w:rPr>
      <w:rFonts w:ascii="Arial" w:hAnsi="Arial" w:eastAsia="黑体"/>
      <w:b/>
      <w:bCs/>
      <w:kern w:val="2"/>
      <w:sz w:val="24"/>
    </w:rPr>
  </w:style>
  <w:style w:type="character" w:customStyle="1" w:styleId="355">
    <w:name w:val="纯文本 Char2"/>
    <w:qFormat/>
    <w:uiPriority w:val="0"/>
    <w:rPr>
      <w:rFonts w:ascii="宋体" w:hAnsi="Courier New"/>
      <w:kern w:val="2"/>
      <w:sz w:val="24"/>
      <w:szCs w:val="24"/>
    </w:rPr>
  </w:style>
  <w:style w:type="character" w:customStyle="1" w:styleId="356">
    <w:name w:val="页脚 Char"/>
    <w:link w:val="58"/>
    <w:qFormat/>
    <w:uiPriority w:val="99"/>
    <w:rPr>
      <w:kern w:val="2"/>
      <w:sz w:val="18"/>
      <w:szCs w:val="18"/>
    </w:rPr>
  </w:style>
  <w:style w:type="character" w:customStyle="1" w:styleId="357">
    <w:name w:val="My标题1 Char"/>
    <w:link w:val="358"/>
    <w:qFormat/>
    <w:uiPriority w:val="0"/>
    <w:rPr>
      <w:rFonts w:ascii="Arial" w:hAnsi="Arial"/>
      <w:b/>
      <w:kern w:val="44"/>
      <w:sz w:val="32"/>
    </w:rPr>
  </w:style>
  <w:style w:type="paragraph" w:customStyle="1" w:styleId="358">
    <w:name w:val="My标题1"/>
    <w:basedOn w:val="5"/>
    <w:next w:val="1"/>
    <w:link w:val="357"/>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59">
    <w:name w:val="FA正文 Char Char"/>
    <w:link w:val="360"/>
    <w:qFormat/>
    <w:uiPriority w:val="0"/>
    <w:rPr>
      <w:rFonts w:hAnsi="宋体"/>
      <w:sz w:val="24"/>
      <w:lang w:bidi="ar-SA"/>
    </w:rPr>
  </w:style>
  <w:style w:type="paragraph" w:customStyle="1" w:styleId="360">
    <w:name w:val="FA正文"/>
    <w:basedOn w:val="1"/>
    <w:link w:val="359"/>
    <w:qFormat/>
    <w:uiPriority w:val="0"/>
    <w:pPr>
      <w:ind w:firstLine="480" w:firstLineChars="200"/>
    </w:pPr>
    <w:rPr>
      <w:rFonts w:hAnsi="宋体"/>
      <w:kern w:val="0"/>
      <w:szCs w:val="20"/>
    </w:rPr>
  </w:style>
  <w:style w:type="character" w:customStyle="1" w:styleId="361">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2">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3">
    <w:name w:val="大纲正文"/>
    <w:basedOn w:val="1"/>
    <w:qFormat/>
    <w:uiPriority w:val="0"/>
    <w:pPr>
      <w:ind w:firstLine="480" w:firstLineChars="200"/>
    </w:pPr>
    <w:rPr>
      <w:rFonts w:cs="宋体"/>
      <w:szCs w:val="20"/>
    </w:rPr>
  </w:style>
  <w:style w:type="paragraph" w:customStyle="1" w:styleId="364">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5">
    <w:name w:val="WW正文常用格式"/>
    <w:basedOn w:val="1"/>
    <w:qFormat/>
    <w:uiPriority w:val="0"/>
    <w:pPr>
      <w:spacing w:beforeLines="40" w:afterLines="40"/>
      <w:ind w:firstLine="480" w:firstLineChars="200"/>
    </w:pPr>
    <w:rPr>
      <w:rFonts w:ascii="宋体" w:hAnsi="宋体"/>
      <w:szCs w:val="20"/>
    </w:rPr>
  </w:style>
  <w:style w:type="paragraph" w:customStyle="1" w:styleId="366">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67">
    <w:name w:val="图名"/>
    <w:basedOn w:val="22"/>
    <w:qFormat/>
    <w:uiPriority w:val="0"/>
    <w:pPr>
      <w:spacing w:beforeLines="40" w:afterLines="40" w:line="300" w:lineRule="auto"/>
      <w:ind w:firstLine="0"/>
      <w:jc w:val="center"/>
    </w:pPr>
    <w:rPr>
      <w:rFonts w:ascii="宋体" w:hAnsi="宋体" w:eastAsia="黑体"/>
      <w:b/>
    </w:rPr>
  </w:style>
  <w:style w:type="paragraph" w:customStyle="1" w:styleId="368">
    <w:name w:val="一级无标题条"/>
    <w:basedOn w:val="1"/>
    <w:qFormat/>
    <w:uiPriority w:val="0"/>
    <w:pPr>
      <w:spacing w:beforeLines="40" w:afterLines="40"/>
    </w:pPr>
  </w:style>
  <w:style w:type="paragraph" w:customStyle="1" w:styleId="369">
    <w:name w:val="标题 37"/>
    <w:basedOn w:val="1"/>
    <w:qFormat/>
    <w:uiPriority w:val="0"/>
    <w:pPr>
      <w:adjustRightInd w:val="0"/>
      <w:snapToGrid w:val="0"/>
      <w:ind w:left="-2" w:leftChars="-1"/>
    </w:pPr>
    <w:rPr>
      <w:rFonts w:ascii="Arial" w:hAnsi="Arial" w:cs="Arial"/>
    </w:rPr>
  </w:style>
  <w:style w:type="paragraph" w:customStyle="1" w:styleId="370">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1">
    <w:name w:val="pa-7"/>
    <w:basedOn w:val="1"/>
    <w:qFormat/>
    <w:uiPriority w:val="0"/>
    <w:pPr>
      <w:widowControl/>
      <w:spacing w:before="150" w:after="150"/>
      <w:jc w:val="left"/>
    </w:pPr>
    <w:rPr>
      <w:rFonts w:ascii="宋体" w:hAnsi="宋体" w:cs="宋体"/>
      <w:kern w:val="0"/>
    </w:rPr>
  </w:style>
  <w:style w:type="paragraph" w:customStyle="1" w:styleId="372">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3">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4">
    <w:name w:val="样式 纯文本 + 首行缩进:  2 字符 Char Char Char Char Char Char Char Char Char Char Char Char Char Char Char Char Char Char Char Char Char Char Char Char"/>
    <w:basedOn w:val="48"/>
    <w:qFormat/>
    <w:uiPriority w:val="0"/>
    <w:pPr>
      <w:spacing w:beforeLines="0" w:afterLines="0" w:line="360" w:lineRule="auto"/>
      <w:jc w:val="left"/>
    </w:pPr>
    <w:rPr>
      <w:rFonts w:eastAsia="仿宋_GB2312" w:cs="Arial"/>
      <w:sz w:val="28"/>
      <w:szCs w:val="20"/>
    </w:rPr>
  </w:style>
  <w:style w:type="paragraph" w:customStyle="1" w:styleId="375">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7">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78">
    <w:name w:val="S4-L15-C"/>
    <w:basedOn w:val="1"/>
    <w:qFormat/>
    <w:uiPriority w:val="0"/>
    <w:pPr>
      <w:spacing w:after="120"/>
      <w:jc w:val="center"/>
    </w:pPr>
    <w:rPr>
      <w:szCs w:val="21"/>
    </w:rPr>
  </w:style>
  <w:style w:type="paragraph" w:customStyle="1" w:styleId="379">
    <w:name w:val="标题 01"/>
    <w:basedOn w:val="2"/>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0">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1">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2">
    <w:name w:val="此正文"/>
    <w:basedOn w:val="1"/>
    <w:qFormat/>
    <w:uiPriority w:val="0"/>
    <w:pPr>
      <w:ind w:firstLine="200" w:firstLineChars="200"/>
    </w:pPr>
    <w:rPr>
      <w:szCs w:val="20"/>
    </w:rPr>
  </w:style>
  <w:style w:type="paragraph" w:customStyle="1" w:styleId="383">
    <w:name w:val="编号 2"/>
    <w:basedOn w:val="384"/>
    <w:qFormat/>
    <w:uiPriority w:val="0"/>
    <w:pPr>
      <w:tabs>
        <w:tab w:val="left" w:pos="432"/>
      </w:tabs>
    </w:pPr>
    <w:rPr>
      <w:szCs w:val="20"/>
    </w:rPr>
  </w:style>
  <w:style w:type="paragraph" w:customStyle="1" w:styleId="384">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5">
    <w:name w:val="countryind"/>
    <w:basedOn w:val="1"/>
    <w:qFormat/>
    <w:uiPriority w:val="0"/>
    <w:pPr>
      <w:widowControl/>
      <w:spacing w:beforeLines="40" w:afterLines="40"/>
      <w:jc w:val="left"/>
    </w:pPr>
    <w:rPr>
      <w:rFonts w:ascii="宋体" w:hAnsi="宋体" w:cs="宋体"/>
      <w:color w:val="333333"/>
      <w:kern w:val="0"/>
    </w:rPr>
  </w:style>
  <w:style w:type="paragraph" w:customStyle="1" w:styleId="386">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87">
    <w:name w:val="Char3 Char Char"/>
    <w:basedOn w:val="1"/>
    <w:qFormat/>
    <w:uiPriority w:val="0"/>
    <w:pPr>
      <w:widowControl/>
      <w:spacing w:after="160" w:line="240" w:lineRule="exact"/>
      <w:jc w:val="left"/>
    </w:pPr>
    <w:rPr>
      <w:szCs w:val="20"/>
    </w:rPr>
  </w:style>
  <w:style w:type="paragraph" w:customStyle="1" w:styleId="388">
    <w:name w:val="Char Char5 Char Char Char Char"/>
    <w:basedOn w:val="1"/>
    <w:qFormat/>
    <w:uiPriority w:val="0"/>
    <w:pPr>
      <w:spacing w:beforeLines="40" w:afterLines="40"/>
    </w:pPr>
    <w:rPr>
      <w:rFonts w:ascii="Tahoma" w:hAnsi="Tahoma"/>
      <w:sz w:val="36"/>
      <w:szCs w:val="36"/>
    </w:rPr>
  </w:style>
  <w:style w:type="paragraph" w:customStyle="1" w:styleId="389">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0">
    <w:name w:val="样式 标题 1 + 左侧:  0 厘米 首行缩进:  0 厘米"/>
    <w:basedOn w:val="5"/>
    <w:qFormat/>
    <w:uiPriority w:val="0"/>
    <w:pPr>
      <w:keepNext/>
      <w:keepLines/>
      <w:autoSpaceDE/>
      <w:autoSpaceDN/>
      <w:adjustRightInd/>
      <w:spacing w:after="120"/>
      <w:jc w:val="both"/>
    </w:pPr>
    <w:rPr>
      <w:rFonts w:ascii="黑体" w:eastAsia="黑体" w:cs="宋体"/>
      <w:kern w:val="44"/>
    </w:rPr>
  </w:style>
  <w:style w:type="paragraph" w:customStyle="1" w:styleId="391">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2">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3">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4">
    <w:name w:val="表格内容"/>
    <w:basedOn w:val="35"/>
    <w:qFormat/>
    <w:uiPriority w:val="0"/>
    <w:pPr>
      <w:suppressLineNumbers/>
      <w:suppressAutoHyphens/>
    </w:pPr>
    <w:rPr>
      <w:kern w:val="1"/>
      <w:sz w:val="21"/>
      <w:lang w:eastAsia="ar-SA"/>
    </w:rPr>
  </w:style>
  <w:style w:type="paragraph" w:customStyle="1" w:styleId="395">
    <w:name w:val="中文标题 1"/>
    <w:basedOn w:val="38"/>
    <w:next w:val="38"/>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6">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7">
    <w:name w:val="Main Title"/>
    <w:basedOn w:val="1"/>
    <w:qFormat/>
    <w:uiPriority w:val="0"/>
    <w:pPr>
      <w:spacing w:before="480" w:afterLines="50"/>
      <w:jc w:val="center"/>
    </w:pPr>
    <w:rPr>
      <w:rFonts w:ascii="宋体"/>
      <w:b/>
      <w:snapToGrid w:val="0"/>
      <w:kern w:val="28"/>
      <w:sz w:val="32"/>
      <w:szCs w:val="20"/>
    </w:rPr>
  </w:style>
  <w:style w:type="paragraph" w:customStyle="1" w:styleId="398">
    <w:name w:val="样式 标题 4 + 段后: 0.5 行"/>
    <w:basedOn w:val="7"/>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399">
    <w:name w:val="附录表标题"/>
    <w:next w:val="323"/>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0">
    <w:name w:val="Char Char5 Char Char Char Char Char Char Char Char Char Char Char Char"/>
    <w:basedOn w:val="1"/>
    <w:qFormat/>
    <w:uiPriority w:val="0"/>
    <w:rPr>
      <w:rFonts w:ascii="Tahoma" w:hAnsi="Tahoma"/>
      <w:sz w:val="36"/>
      <w:szCs w:val="36"/>
    </w:rPr>
  </w:style>
  <w:style w:type="paragraph" w:customStyle="1" w:styleId="401">
    <w:name w:val="普通 (Web)"/>
    <w:basedOn w:val="1"/>
    <w:qFormat/>
    <w:uiPriority w:val="0"/>
    <w:pPr>
      <w:widowControl/>
      <w:spacing w:beforeLines="40" w:afterLines="40"/>
      <w:jc w:val="left"/>
    </w:pPr>
    <w:rPr>
      <w:rFonts w:ascii="宋体" w:hAnsi="宋体"/>
      <w:kern w:val="0"/>
    </w:rPr>
  </w:style>
  <w:style w:type="paragraph" w:customStyle="1" w:styleId="402">
    <w:name w:val="标题5，章节第五层"/>
    <w:basedOn w:val="1"/>
    <w:next w:val="232"/>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3">
    <w:name w:val="Char2 Char Char Char"/>
    <w:basedOn w:val="1"/>
    <w:qFormat/>
    <w:uiPriority w:val="0"/>
    <w:rPr>
      <w:rFonts w:ascii="仿宋_GB2312" w:eastAsia="仿宋_GB2312"/>
      <w:b/>
      <w:sz w:val="32"/>
      <w:szCs w:val="32"/>
    </w:rPr>
  </w:style>
  <w:style w:type="paragraph" w:customStyle="1" w:styleId="404">
    <w:name w:val="标题2，章节第二层"/>
    <w:basedOn w:val="1"/>
    <w:next w:val="232"/>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5">
    <w:name w:val="正文5"/>
    <w:basedOn w:val="1"/>
    <w:qFormat/>
    <w:uiPriority w:val="0"/>
    <w:pPr>
      <w:spacing w:beforeLines="50" w:afterLines="50"/>
      <w:ind w:firstLine="420" w:firstLineChars="200"/>
    </w:pPr>
  </w:style>
  <w:style w:type="paragraph" w:customStyle="1" w:styleId="406">
    <w:name w:val="样式 标题 2 + (中文) 黑体 四号 黑色"/>
    <w:basedOn w:val="2"/>
    <w:qFormat/>
    <w:uiPriority w:val="0"/>
    <w:pPr>
      <w:spacing w:line="520" w:lineRule="exact"/>
      <w:ind w:left="0" w:firstLine="0"/>
      <w:jc w:val="left"/>
    </w:pPr>
    <w:rPr>
      <w:bCs w:val="0"/>
      <w:color w:val="000000"/>
      <w:kern w:val="24"/>
      <w:sz w:val="28"/>
      <w:szCs w:val="20"/>
    </w:rPr>
  </w:style>
  <w:style w:type="paragraph" w:customStyle="1" w:styleId="407">
    <w:name w:val="Char Char3 Char Char Char Char Char Char Char Char Char Char Char Char2 Char Char Char Char"/>
    <w:basedOn w:val="1"/>
    <w:qFormat/>
    <w:uiPriority w:val="0"/>
    <w:rPr>
      <w:rFonts w:ascii="Tahoma" w:hAnsi="Tahoma"/>
      <w:sz w:val="36"/>
      <w:szCs w:val="36"/>
    </w:rPr>
  </w:style>
  <w:style w:type="paragraph" w:customStyle="1" w:styleId="408">
    <w:name w:val="图"/>
    <w:basedOn w:val="1"/>
    <w:qFormat/>
    <w:uiPriority w:val="0"/>
    <w:pPr>
      <w:spacing w:beforeLines="40" w:afterLines="40"/>
      <w:jc w:val="center"/>
    </w:pPr>
    <w:rPr>
      <w:sz w:val="28"/>
    </w:rPr>
  </w:style>
  <w:style w:type="paragraph" w:customStyle="1" w:styleId="409">
    <w:name w:val="段 1"/>
    <w:basedOn w:val="1"/>
    <w:qFormat/>
    <w:uiPriority w:val="0"/>
    <w:rPr>
      <w:b/>
      <w:bCs/>
    </w:rPr>
  </w:style>
  <w:style w:type="paragraph" w:customStyle="1" w:styleId="410">
    <w:name w:val="样式 文档正文 + 首行缩进:  2 字符2"/>
    <w:basedOn w:val="247"/>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1">
    <w:name w:val="IBM 正文"/>
    <w:basedOn w:val="1"/>
    <w:qFormat/>
    <w:uiPriority w:val="0"/>
    <w:pPr>
      <w:spacing w:line="360" w:lineRule="atLeast"/>
    </w:pPr>
    <w:rPr>
      <w:szCs w:val="20"/>
    </w:rPr>
  </w:style>
  <w:style w:type="paragraph" w:customStyle="1" w:styleId="412">
    <w:name w:val="My标题4"/>
    <w:basedOn w:val="6"/>
    <w:next w:val="1"/>
    <w:qFormat/>
    <w:uiPriority w:val="0"/>
    <w:pPr>
      <w:tabs>
        <w:tab w:val="left" w:pos="851"/>
        <w:tab w:val="clear" w:pos="720"/>
      </w:tabs>
      <w:ind w:left="851" w:hanging="851"/>
    </w:pPr>
    <w:rPr>
      <w:b w:val="0"/>
      <w:bCs w:val="0"/>
      <w:kern w:val="0"/>
      <w:sz w:val="24"/>
    </w:rPr>
  </w:style>
  <w:style w:type="paragraph" w:customStyle="1" w:styleId="413">
    <w:name w:val="方案正文"/>
    <w:basedOn w:val="1"/>
    <w:qFormat/>
    <w:uiPriority w:val="0"/>
    <w:pPr>
      <w:spacing w:beforeLines="50" w:line="300" w:lineRule="auto"/>
      <w:ind w:left="210" w:leftChars="100" w:firstLine="480" w:firstLineChars="200"/>
    </w:pPr>
    <w:rPr>
      <w:color w:val="000000"/>
    </w:rPr>
  </w:style>
  <w:style w:type="paragraph" w:customStyle="1" w:styleId="414">
    <w:name w:val="附录图标题"/>
    <w:next w:val="323"/>
    <w:qFormat/>
    <w:uiPriority w:val="0"/>
    <w:pPr>
      <w:jc w:val="center"/>
    </w:pPr>
    <w:rPr>
      <w:rFonts w:ascii="黑体" w:hAnsi="Times New Roman" w:eastAsia="黑体" w:cs="Times New Roman"/>
      <w:sz w:val="21"/>
      <w:lang w:val="en-US" w:eastAsia="zh-CN" w:bidi="ar-SA"/>
    </w:rPr>
  </w:style>
  <w:style w:type="paragraph" w:customStyle="1" w:styleId="415">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6">
    <w:name w:val="文章正文 Char Char1"/>
    <w:basedOn w:val="1"/>
    <w:qFormat/>
    <w:uiPriority w:val="0"/>
    <w:pPr>
      <w:spacing w:beforeLines="40" w:afterLines="40"/>
      <w:ind w:firstLine="420"/>
    </w:pPr>
  </w:style>
  <w:style w:type="paragraph" w:customStyle="1" w:styleId="417">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18">
    <w:name w:val="标准小四"/>
    <w:basedOn w:val="1"/>
    <w:qFormat/>
    <w:uiPriority w:val="0"/>
    <w:pPr>
      <w:ind w:firstLine="480" w:firstLineChars="200"/>
    </w:pPr>
    <w:rPr>
      <w:rFonts w:ascii="Arial" w:hAnsi="Arial"/>
      <w:szCs w:val="21"/>
    </w:rPr>
  </w:style>
  <w:style w:type="paragraph" w:customStyle="1" w:styleId="419">
    <w:name w:val="标题1，章节第一层"/>
    <w:basedOn w:val="1"/>
    <w:next w:val="232"/>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1">
    <w:name w:val="color666666"/>
    <w:basedOn w:val="1"/>
    <w:qFormat/>
    <w:uiPriority w:val="0"/>
    <w:pPr>
      <w:widowControl/>
      <w:spacing w:beforeLines="40" w:afterLines="40"/>
      <w:jc w:val="left"/>
    </w:pPr>
    <w:rPr>
      <w:rFonts w:ascii="宋体" w:hAnsi="宋体" w:cs="宋体"/>
      <w:color w:val="666666"/>
      <w:kern w:val="0"/>
    </w:rPr>
  </w:style>
  <w:style w:type="paragraph" w:customStyle="1" w:styleId="422">
    <w:name w:val="数标题1"/>
    <w:basedOn w:val="1"/>
    <w:qFormat/>
    <w:uiPriority w:val="0"/>
    <w:pPr>
      <w:tabs>
        <w:tab w:val="left" w:pos="1440"/>
      </w:tabs>
      <w:adjustRightInd w:val="0"/>
      <w:spacing w:beforeLines="40" w:afterLines="40"/>
    </w:pPr>
    <w:rPr>
      <w:b/>
      <w:kern w:val="0"/>
      <w:szCs w:val="20"/>
    </w:rPr>
  </w:style>
  <w:style w:type="paragraph" w:customStyle="1" w:styleId="423">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4">
    <w:name w:val="msoacetate"/>
    <w:basedOn w:val="1"/>
    <w:qFormat/>
    <w:uiPriority w:val="0"/>
    <w:pPr>
      <w:spacing w:beforeLines="40" w:afterLines="40"/>
    </w:pPr>
    <w:rPr>
      <w:sz w:val="18"/>
      <w:szCs w:val="18"/>
    </w:rPr>
  </w:style>
  <w:style w:type="paragraph" w:customStyle="1" w:styleId="425">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6">
    <w:name w:val="样式 标题 5 + 加粗"/>
    <w:basedOn w:val="8"/>
    <w:qFormat/>
    <w:uiPriority w:val="0"/>
    <w:pPr>
      <w:tabs>
        <w:tab w:val="clear" w:pos="1008"/>
      </w:tabs>
      <w:ind w:left="0" w:firstLine="0"/>
    </w:pPr>
    <w:rPr>
      <w:b w:val="0"/>
      <w:sz w:val="24"/>
    </w:rPr>
  </w:style>
  <w:style w:type="paragraph" w:customStyle="1" w:styleId="427">
    <w:name w:val="content"/>
    <w:basedOn w:val="1"/>
    <w:qFormat/>
    <w:uiPriority w:val="0"/>
    <w:pPr>
      <w:widowControl/>
      <w:spacing w:beforeLines="40" w:afterLines="40"/>
      <w:jc w:val="left"/>
    </w:pPr>
    <w:rPr>
      <w:rFonts w:ascii="宋体" w:hAnsi="宋体" w:cs="宋体"/>
      <w:color w:val="000000"/>
      <w:kern w:val="0"/>
    </w:rPr>
  </w:style>
  <w:style w:type="paragraph" w:customStyle="1" w:styleId="42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29">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0">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1">
    <w:name w:val="WW序号样式"/>
    <w:basedOn w:val="365"/>
    <w:qFormat/>
    <w:uiPriority w:val="0"/>
    <w:pPr>
      <w:tabs>
        <w:tab w:val="left" w:pos="900"/>
      </w:tabs>
      <w:ind w:left="309" w:firstLine="0" w:firstLineChars="0"/>
    </w:pPr>
  </w:style>
  <w:style w:type="paragraph" w:customStyle="1" w:styleId="432">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3">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4">
    <w:name w:val="二级无标题条"/>
    <w:basedOn w:val="1"/>
    <w:qFormat/>
    <w:uiPriority w:val="0"/>
    <w:pPr>
      <w:spacing w:beforeLines="40" w:afterLines="40"/>
      <w:ind w:left="945"/>
    </w:pPr>
  </w:style>
  <w:style w:type="paragraph" w:customStyle="1" w:styleId="435">
    <w:name w:val="标记1"/>
    <w:basedOn w:val="1"/>
    <w:qFormat/>
    <w:uiPriority w:val="0"/>
    <w:pPr>
      <w:spacing w:beforeLines="40" w:afterLines="40"/>
    </w:pPr>
    <w:rPr>
      <w:rFonts w:eastAsia="楷体_GB2312"/>
      <w:b/>
      <w:bCs/>
      <w:sz w:val="28"/>
      <w:szCs w:val="20"/>
    </w:rPr>
  </w:style>
  <w:style w:type="paragraph" w:customStyle="1" w:styleId="436">
    <w:name w:val="注："/>
    <w:next w:val="323"/>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7">
    <w:name w:val="MM Title"/>
    <w:basedOn w:val="86"/>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38">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39">
    <w:name w:val="error"/>
    <w:basedOn w:val="1"/>
    <w:qFormat/>
    <w:uiPriority w:val="0"/>
    <w:pPr>
      <w:widowControl/>
      <w:spacing w:beforeLines="40" w:afterLines="40"/>
      <w:jc w:val="left"/>
    </w:pPr>
    <w:rPr>
      <w:rFonts w:ascii="宋体" w:hAnsi="宋体" w:cs="宋体"/>
      <w:b/>
      <w:bCs/>
      <w:color w:val="FF0000"/>
      <w:kern w:val="0"/>
    </w:rPr>
  </w:style>
  <w:style w:type="paragraph" w:customStyle="1" w:styleId="440">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1">
    <w:name w:val="样式 样式4 + 宋体 两端对齐"/>
    <w:basedOn w:val="442"/>
    <w:qFormat/>
    <w:uiPriority w:val="0"/>
    <w:pPr>
      <w:ind w:firstLine="200" w:firstLineChars="200"/>
      <w:jc w:val="both"/>
    </w:pPr>
  </w:style>
  <w:style w:type="paragraph" w:customStyle="1" w:styleId="442">
    <w:name w:val="样式4 Char"/>
    <w:basedOn w:val="1"/>
    <w:qFormat/>
    <w:uiPriority w:val="0"/>
    <w:pPr>
      <w:widowControl/>
      <w:spacing w:beforeLines="40" w:afterLines="40"/>
      <w:ind w:firstLine="480"/>
      <w:jc w:val="left"/>
    </w:pPr>
    <w:rPr>
      <w:rFonts w:cs="宋体"/>
      <w:color w:val="000000"/>
      <w:kern w:val="0"/>
    </w:rPr>
  </w:style>
  <w:style w:type="paragraph" w:customStyle="1" w:styleId="443">
    <w:name w:val="编号小标题"/>
    <w:basedOn w:val="444"/>
    <w:qFormat/>
    <w:uiPriority w:val="0"/>
    <w:pPr>
      <w:tabs>
        <w:tab w:val="left" w:pos="1440"/>
      </w:tabs>
      <w:spacing w:beforeLines="40" w:afterLines="40"/>
      <w:ind w:firstLine="0" w:firstLineChars="0"/>
    </w:pPr>
    <w:rPr>
      <w:rFonts w:ascii="Times New Roman" w:eastAsia="宋体"/>
    </w:rPr>
  </w:style>
  <w:style w:type="paragraph" w:customStyle="1" w:styleId="444">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6">
    <w:name w:val="符号 2"/>
    <w:basedOn w:val="447"/>
    <w:qFormat/>
    <w:uiPriority w:val="0"/>
    <w:pPr>
      <w:tabs>
        <w:tab w:val="left" w:pos="900"/>
        <w:tab w:val="left" w:pos="1320"/>
      </w:tabs>
      <w:spacing w:beforeLines="40" w:afterLines="40"/>
      <w:ind w:left="1320"/>
    </w:pPr>
  </w:style>
  <w:style w:type="paragraph" w:customStyle="1" w:styleId="447">
    <w:name w:val="符号 1"/>
    <w:basedOn w:val="38"/>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48">
    <w:name w:val="默认段落字体 Para Char Char Char Char"/>
    <w:basedOn w:val="1"/>
    <w:qFormat/>
    <w:uiPriority w:val="0"/>
  </w:style>
  <w:style w:type="paragraph" w:customStyle="1" w:styleId="449">
    <w:name w:val="文档编号"/>
    <w:basedOn w:val="1"/>
    <w:next w:val="1"/>
    <w:qFormat/>
    <w:uiPriority w:val="0"/>
    <w:pPr>
      <w:adjustRightInd w:val="0"/>
      <w:spacing w:beforeLines="40" w:afterLines="40"/>
      <w:jc w:val="center"/>
    </w:pPr>
    <w:rPr>
      <w:rFonts w:ascii="宋体"/>
      <w:kern w:val="0"/>
      <w:sz w:val="20"/>
    </w:rPr>
  </w:style>
  <w:style w:type="paragraph" w:customStyle="1" w:styleId="450">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1">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2">
    <w:name w:val="样式 四号 行距: 1.5 倍行距"/>
    <w:basedOn w:val="1"/>
    <w:qFormat/>
    <w:uiPriority w:val="0"/>
    <w:pPr>
      <w:spacing w:line="312" w:lineRule="auto"/>
      <w:ind w:firstLine="202" w:firstLineChars="202"/>
    </w:pPr>
    <w:rPr>
      <w:rFonts w:cs="宋体"/>
      <w:szCs w:val="20"/>
    </w:rPr>
  </w:style>
  <w:style w:type="paragraph" w:customStyle="1" w:styleId="453">
    <w:name w:val="Style-正文"/>
    <w:basedOn w:val="1"/>
    <w:qFormat/>
    <w:uiPriority w:val="0"/>
    <w:pPr>
      <w:ind w:firstLine="420"/>
    </w:pPr>
    <w:rPr>
      <w:rFonts w:ascii="宋体" w:hAnsi="宋体"/>
    </w:rPr>
  </w:style>
  <w:style w:type="paragraph" w:customStyle="1" w:styleId="454">
    <w:name w:val="_"/>
    <w:basedOn w:val="1"/>
    <w:qFormat/>
    <w:uiPriority w:val="0"/>
    <w:pPr>
      <w:adjustRightInd w:val="0"/>
      <w:spacing w:beforeLines="40" w:afterLines="40"/>
      <w:ind w:left="480"/>
    </w:pPr>
    <w:rPr>
      <w:kern w:val="0"/>
      <w:szCs w:val="20"/>
    </w:rPr>
  </w:style>
  <w:style w:type="paragraph" w:customStyle="1" w:styleId="455">
    <w:name w:val="样式 标题 3Heading 3 - oldH3h3l3CT3rd levelLevel 3 HeadBold ..."/>
    <w:basedOn w:val="6"/>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6">
    <w:name w:val="公文标题"/>
    <w:basedOn w:val="352"/>
    <w:next w:val="352"/>
    <w:qFormat/>
    <w:uiPriority w:val="0"/>
    <w:pPr>
      <w:ind w:firstLine="0" w:firstLineChars="0"/>
      <w:jc w:val="center"/>
    </w:pPr>
    <w:rPr>
      <w:b/>
      <w:bCs/>
      <w:sz w:val="44"/>
    </w:rPr>
  </w:style>
  <w:style w:type="paragraph" w:customStyle="1" w:styleId="457">
    <w:name w:val="正文（首行缩进2字符）"/>
    <w:basedOn w:val="1"/>
    <w:qFormat/>
    <w:uiPriority w:val="0"/>
    <w:pPr>
      <w:ind w:firstLine="480" w:firstLineChars="200"/>
    </w:pPr>
    <w:rPr>
      <w:szCs w:val="20"/>
    </w:rPr>
  </w:style>
  <w:style w:type="paragraph" w:customStyle="1" w:styleId="458">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59">
    <w:name w:val="colorffffff"/>
    <w:basedOn w:val="1"/>
    <w:qFormat/>
    <w:uiPriority w:val="0"/>
    <w:pPr>
      <w:widowControl/>
      <w:spacing w:beforeLines="40" w:afterLines="40"/>
      <w:jc w:val="left"/>
    </w:pPr>
    <w:rPr>
      <w:rFonts w:ascii="宋体" w:hAnsi="宋体" w:cs="宋体"/>
      <w:color w:val="FFFFFF"/>
      <w:kern w:val="0"/>
    </w:rPr>
  </w:style>
  <w:style w:type="paragraph" w:customStyle="1" w:styleId="460">
    <w:name w:val="数字标题2"/>
    <w:basedOn w:val="2"/>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1">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3">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4">
    <w:name w:val="标题 0（绿盟科技）"/>
    <w:basedOn w:val="86"/>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5">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6">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6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68">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69">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0">
    <w:name w:val="小节"/>
    <w:basedOn w:val="6"/>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1">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2">
    <w:name w:val="Char Char5 Char Char Char Char1"/>
    <w:basedOn w:val="1"/>
    <w:qFormat/>
    <w:uiPriority w:val="0"/>
    <w:rPr>
      <w:rFonts w:ascii="Tahoma" w:hAnsi="Tahoma"/>
      <w:sz w:val="36"/>
      <w:szCs w:val="36"/>
    </w:rPr>
  </w:style>
  <w:style w:type="paragraph" w:customStyle="1" w:styleId="473">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6">
    <w:name w:val="正文无缩进 Char"/>
    <w:basedOn w:val="1"/>
    <w:qFormat/>
    <w:uiPriority w:val="0"/>
    <w:pPr>
      <w:tabs>
        <w:tab w:val="left" w:pos="420"/>
      </w:tabs>
      <w:spacing w:beforeLines="40" w:afterLines="40"/>
    </w:pPr>
  </w:style>
  <w:style w:type="paragraph" w:customStyle="1" w:styleId="477">
    <w:name w:val="样式 文档正文 + 首行缩进:  2 字符"/>
    <w:basedOn w:val="247"/>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78">
    <w:name w:val="四级无标题条"/>
    <w:basedOn w:val="1"/>
    <w:qFormat/>
    <w:uiPriority w:val="0"/>
    <w:pPr>
      <w:spacing w:beforeLines="40" w:afterLines="40"/>
    </w:pPr>
  </w:style>
  <w:style w:type="paragraph" w:customStyle="1" w:styleId="47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0">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1">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2">
    <w:name w:val="样式 标题 2 + 四号"/>
    <w:basedOn w:val="1"/>
    <w:qFormat/>
    <w:uiPriority w:val="0"/>
    <w:pPr>
      <w:tabs>
        <w:tab w:val="left" w:pos="1260"/>
      </w:tabs>
      <w:ind w:left="1260" w:hanging="420"/>
    </w:pPr>
  </w:style>
  <w:style w:type="paragraph" w:customStyle="1" w:styleId="483">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4">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5">
    <w:name w:val="Char2 Char Char Char Char Char Char"/>
    <w:basedOn w:val="1"/>
    <w:qFormat/>
    <w:uiPriority w:val="0"/>
    <w:pPr>
      <w:spacing w:beforeLines="40" w:afterLines="40"/>
    </w:pPr>
    <w:rPr>
      <w:rFonts w:ascii="仿宋_GB2312"/>
      <w:b/>
      <w:sz w:val="30"/>
      <w:szCs w:val="32"/>
    </w:rPr>
  </w:style>
  <w:style w:type="paragraph" w:customStyle="1" w:styleId="486">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7">
    <w:name w:val="标准标题2"/>
    <w:basedOn w:val="2"/>
    <w:qFormat/>
    <w:uiPriority w:val="0"/>
    <w:pPr>
      <w:spacing w:line="360" w:lineRule="auto"/>
    </w:pPr>
    <w:rPr>
      <w:rFonts w:eastAsia="仿宋_GB2312"/>
      <w:bCs w:val="0"/>
      <w:sz w:val="28"/>
    </w:rPr>
  </w:style>
  <w:style w:type="paragraph" w:customStyle="1" w:styleId="488">
    <w:name w:val="贷方"/>
    <w:basedOn w:val="1"/>
    <w:qFormat/>
    <w:uiPriority w:val="0"/>
    <w:pPr>
      <w:ind w:left="1890" w:leftChars="900"/>
    </w:pPr>
  </w:style>
  <w:style w:type="paragraph" w:customStyle="1" w:styleId="489">
    <w:name w:val="数字标题3"/>
    <w:basedOn w:val="6"/>
    <w:next w:val="1"/>
    <w:qFormat/>
    <w:uiPriority w:val="0"/>
    <w:pPr>
      <w:spacing w:line="240" w:lineRule="auto"/>
      <w:ind w:left="0" w:firstLine="0"/>
    </w:pPr>
    <w:rPr>
      <w:kern w:val="0"/>
      <w:sz w:val="28"/>
      <w:szCs w:val="28"/>
    </w:rPr>
  </w:style>
  <w:style w:type="paragraph" w:customStyle="1" w:styleId="490">
    <w:name w:val="文本框内文字"/>
    <w:basedOn w:val="1"/>
    <w:qFormat/>
    <w:uiPriority w:val="0"/>
    <w:pPr>
      <w:spacing w:line="0" w:lineRule="atLeast"/>
    </w:pPr>
    <w:rPr>
      <w:rFonts w:eastAsia="仿宋_GB2312"/>
      <w:sz w:val="22"/>
    </w:rPr>
  </w:style>
  <w:style w:type="paragraph" w:customStyle="1" w:styleId="491">
    <w:name w:val="文本框文字"/>
    <w:basedOn w:val="1"/>
    <w:qFormat/>
    <w:uiPriority w:val="0"/>
    <w:pPr>
      <w:adjustRightInd w:val="0"/>
      <w:snapToGrid w:val="0"/>
      <w:spacing w:beforeLines="40" w:afterLines="40"/>
    </w:pPr>
    <w:rPr>
      <w:rFonts w:cs="Angsana New"/>
    </w:rPr>
  </w:style>
  <w:style w:type="paragraph" w:customStyle="1" w:styleId="492">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3">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4">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6">
    <w:name w:val="第一条"/>
    <w:basedOn w:val="352"/>
    <w:qFormat/>
    <w:uiPriority w:val="0"/>
    <w:pPr>
      <w:tabs>
        <w:tab w:val="left" w:pos="1542"/>
      </w:tabs>
      <w:ind w:left="500" w:firstLine="0" w:firstLineChars="0"/>
    </w:pPr>
    <w:rPr>
      <w:szCs w:val="28"/>
    </w:rPr>
  </w:style>
  <w:style w:type="paragraph" w:customStyle="1" w:styleId="497">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498">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499">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0">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1">
    <w:name w:val="Char2 Char Char"/>
    <w:basedOn w:val="1"/>
    <w:qFormat/>
    <w:uiPriority w:val="0"/>
    <w:pPr>
      <w:adjustRightInd w:val="0"/>
    </w:pPr>
    <w:rPr>
      <w:szCs w:val="20"/>
    </w:rPr>
  </w:style>
  <w:style w:type="paragraph" w:customStyle="1" w:styleId="502">
    <w:name w:val="正文1"/>
    <w:basedOn w:val="1"/>
    <w:qFormat/>
    <w:uiPriority w:val="0"/>
    <w:pPr>
      <w:adjustRightInd w:val="0"/>
      <w:spacing w:beforeLines="40" w:afterLines="40" w:line="312" w:lineRule="atLeast"/>
      <w:ind w:firstLine="425"/>
    </w:pPr>
    <w:rPr>
      <w:kern w:val="0"/>
      <w:szCs w:val="20"/>
    </w:rPr>
  </w:style>
  <w:style w:type="paragraph" w:customStyle="1" w:styleId="503">
    <w:name w:val="样式 标题 5H5Level 3 - iPIM 5Titre5Block Label1.1.1口h5Secon...1"/>
    <w:basedOn w:val="8"/>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4">
    <w:name w:val="我的标题4"/>
    <w:next w:val="331"/>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5">
    <w:name w:val="样式 标题 2H2 + 黑体"/>
    <w:basedOn w:val="2"/>
    <w:qFormat/>
    <w:uiPriority w:val="0"/>
    <w:pPr>
      <w:widowControl/>
      <w:spacing w:beforeLines="40" w:afterLines="40" w:line="415" w:lineRule="auto"/>
      <w:ind w:left="0" w:firstLine="0"/>
      <w:jc w:val="left"/>
    </w:pPr>
    <w:rPr>
      <w:kern w:val="0"/>
      <w:szCs w:val="20"/>
    </w:rPr>
  </w:style>
  <w:style w:type="paragraph" w:customStyle="1" w:styleId="506">
    <w:name w:val="默认段落样式"/>
    <w:basedOn w:val="190"/>
    <w:qFormat/>
    <w:uiPriority w:val="0"/>
    <w:pPr>
      <w:spacing w:before="0"/>
      <w:ind w:firstLine="480"/>
      <w:jc w:val="both"/>
      <w:outlineLvl w:val="2"/>
    </w:pPr>
    <w:rPr>
      <w:rFonts w:ascii="仿宋_GB2312" w:cs="Times New Roman"/>
      <w:color w:val="000000"/>
      <w:kern w:val="0"/>
      <w:szCs w:val="24"/>
    </w:rPr>
  </w:style>
  <w:style w:type="paragraph" w:customStyle="1" w:styleId="507">
    <w:name w:val="节"/>
    <w:basedOn w:val="2"/>
    <w:qFormat/>
    <w:uiPriority w:val="0"/>
    <w:pPr>
      <w:spacing w:before="160" w:after="160" w:line="720" w:lineRule="exact"/>
      <w:ind w:left="0" w:firstLine="0"/>
    </w:pPr>
    <w:rPr>
      <w:b w:val="0"/>
      <w:bCs w:val="0"/>
      <w:spacing w:val="14"/>
      <w:kern w:val="24"/>
      <w:sz w:val="28"/>
      <w:szCs w:val="20"/>
    </w:rPr>
  </w:style>
  <w:style w:type="paragraph" w:customStyle="1" w:styleId="508">
    <w:name w:val="表格标题"/>
    <w:basedOn w:val="394"/>
    <w:qFormat/>
    <w:uiPriority w:val="0"/>
    <w:pPr>
      <w:jc w:val="center"/>
    </w:pPr>
    <w:rPr>
      <w:b/>
      <w:bCs/>
      <w:i/>
      <w:iCs/>
    </w:rPr>
  </w:style>
  <w:style w:type="paragraph" w:customStyle="1" w:styleId="509">
    <w:name w:val="Char1"/>
    <w:basedOn w:val="1"/>
    <w:qFormat/>
    <w:uiPriority w:val="0"/>
    <w:rPr>
      <w:rFonts w:ascii="Tahoma" w:hAnsi="Tahoma"/>
      <w:szCs w:val="20"/>
    </w:rPr>
  </w:style>
  <w:style w:type="paragraph" w:customStyle="1" w:styleId="510">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1">
    <w:name w:val="封面_项目建设单位"/>
    <w:basedOn w:val="48"/>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2">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3">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4">
    <w:name w:val="段落内容"/>
    <w:basedOn w:val="1"/>
    <w:qFormat/>
    <w:uiPriority w:val="0"/>
    <w:pPr>
      <w:spacing w:afterLines="50"/>
      <w:ind w:firstLine="560" w:firstLineChars="200"/>
    </w:pPr>
    <w:rPr>
      <w:rFonts w:cs="宋体"/>
      <w:sz w:val="28"/>
      <w:szCs w:val="20"/>
    </w:rPr>
  </w:style>
  <w:style w:type="paragraph" w:customStyle="1" w:styleId="515">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6">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7">
    <w:name w:val="插图"/>
    <w:basedOn w:val="6"/>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18">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19">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0">
    <w:name w:val="Char2 Char Char Char Char Char Char1"/>
    <w:basedOn w:val="1"/>
    <w:qFormat/>
    <w:uiPriority w:val="0"/>
    <w:rPr>
      <w:rFonts w:ascii="仿宋_GB2312"/>
      <w:b/>
      <w:sz w:val="30"/>
      <w:szCs w:val="32"/>
    </w:rPr>
  </w:style>
  <w:style w:type="paragraph" w:customStyle="1" w:styleId="521">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3">
    <w:name w:val="Char Char3 Char Char Char Char Char Char Char Char Char Char Char Char2 Char Char1"/>
    <w:basedOn w:val="1"/>
    <w:qFormat/>
    <w:uiPriority w:val="0"/>
    <w:rPr>
      <w:rFonts w:ascii="Tahoma" w:hAnsi="Tahoma"/>
      <w:sz w:val="36"/>
      <w:szCs w:val="36"/>
    </w:rPr>
  </w:style>
  <w:style w:type="paragraph" w:customStyle="1" w:styleId="524">
    <w:name w:val="附图居中"/>
    <w:basedOn w:val="1"/>
    <w:next w:val="525"/>
    <w:qFormat/>
    <w:uiPriority w:val="0"/>
    <w:pPr>
      <w:keepNext/>
      <w:jc w:val="center"/>
    </w:pPr>
  </w:style>
  <w:style w:type="paragraph" w:customStyle="1" w:styleId="525">
    <w:name w:val="附图标题"/>
    <w:basedOn w:val="1"/>
    <w:next w:val="22"/>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6">
    <w:name w:val="列表标题"/>
    <w:basedOn w:val="1"/>
    <w:next w:val="1"/>
    <w:qFormat/>
    <w:uiPriority w:val="0"/>
    <w:pPr>
      <w:spacing w:beforeLines="40" w:afterLines="40"/>
      <w:jc w:val="center"/>
    </w:pPr>
    <w:rPr>
      <w:szCs w:val="20"/>
    </w:rPr>
  </w:style>
  <w:style w:type="paragraph" w:customStyle="1" w:styleId="527">
    <w:name w:val="Char Char31"/>
    <w:basedOn w:val="1"/>
    <w:qFormat/>
    <w:uiPriority w:val="0"/>
    <w:pPr>
      <w:spacing w:beforeLines="40" w:afterLines="40"/>
    </w:pPr>
    <w:rPr>
      <w:rFonts w:ascii="Tahoma" w:hAnsi="Tahoma"/>
      <w:sz w:val="36"/>
      <w:szCs w:val="36"/>
    </w:rPr>
  </w:style>
  <w:style w:type="paragraph" w:customStyle="1" w:styleId="528">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29">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0">
    <w:name w:val="Tabletext"/>
    <w:basedOn w:val="1"/>
    <w:qFormat/>
    <w:uiPriority w:val="0"/>
    <w:pPr>
      <w:keepLines/>
      <w:spacing w:afterLines="50"/>
      <w:jc w:val="left"/>
    </w:pPr>
    <w:rPr>
      <w:rFonts w:ascii="宋体"/>
      <w:snapToGrid w:val="0"/>
      <w:kern w:val="0"/>
      <w:szCs w:val="20"/>
    </w:rPr>
  </w:style>
  <w:style w:type="paragraph" w:customStyle="1" w:styleId="531">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2">
    <w:name w:val="段落正文"/>
    <w:basedOn w:val="1"/>
    <w:qFormat/>
    <w:uiPriority w:val="0"/>
    <w:pPr>
      <w:spacing w:beforeLines="50" w:line="360" w:lineRule="atLeast"/>
      <w:ind w:left="100" w:leftChars="100" w:firstLine="200" w:firstLineChars="200"/>
    </w:pPr>
    <w:rPr>
      <w:spacing w:val="2"/>
      <w:szCs w:val="20"/>
    </w:rPr>
  </w:style>
  <w:style w:type="paragraph" w:customStyle="1" w:styleId="533">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4">
    <w:name w:val="规范正文"/>
    <w:basedOn w:val="54"/>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5">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6">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7">
    <w:name w:val="样式 标题 3H3 + 两端对齐"/>
    <w:basedOn w:val="6"/>
    <w:qFormat/>
    <w:uiPriority w:val="0"/>
    <w:pPr>
      <w:keepLines w:val="0"/>
      <w:spacing w:line="240" w:lineRule="auto"/>
      <w:ind w:left="0" w:firstLine="0"/>
      <w:jc w:val="left"/>
    </w:pPr>
    <w:rPr>
      <w:rFonts w:cs="宋体"/>
      <w:kern w:val="0"/>
      <w:sz w:val="21"/>
      <w:szCs w:val="20"/>
    </w:rPr>
  </w:style>
  <w:style w:type="paragraph" w:customStyle="1" w:styleId="538">
    <w:name w:val="附录标识"/>
    <w:basedOn w:val="1"/>
    <w:qFormat/>
    <w:uiPriority w:val="0"/>
    <w:pPr>
      <w:spacing w:line="312" w:lineRule="auto"/>
    </w:pPr>
  </w:style>
  <w:style w:type="paragraph" w:customStyle="1" w:styleId="539">
    <w:name w:val="无标题条"/>
    <w:next w:val="323"/>
    <w:qFormat/>
    <w:uiPriority w:val="0"/>
    <w:pPr>
      <w:jc w:val="both"/>
    </w:pPr>
    <w:rPr>
      <w:rFonts w:ascii="Times New Roman" w:hAnsi="Times New Roman" w:eastAsia="宋体" w:cs="Times New Roman"/>
      <w:sz w:val="21"/>
      <w:lang w:val="en-US" w:eastAsia="zh-CN" w:bidi="ar-SA"/>
    </w:rPr>
  </w:style>
  <w:style w:type="paragraph" w:customStyle="1" w:styleId="540">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1">
    <w:name w:val="中文标题 4"/>
    <w:basedOn w:val="38"/>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2">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3">
    <w:name w:val="附录四级条标题"/>
    <w:basedOn w:val="1"/>
    <w:qFormat/>
    <w:uiPriority w:val="0"/>
    <w:pPr>
      <w:spacing w:line="312" w:lineRule="auto"/>
    </w:pPr>
  </w:style>
  <w:style w:type="paragraph" w:customStyle="1" w:styleId="544">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5">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6">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47">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48">
    <w:name w:val="首信标准正文 Char Char Char Char"/>
    <w:basedOn w:val="1"/>
    <w:qFormat/>
    <w:uiPriority w:val="0"/>
    <w:pPr>
      <w:spacing w:beforeLines="40" w:afterLines="40"/>
    </w:pPr>
    <w:rPr>
      <w:rFonts w:ascii="Tahoma" w:hAnsi="Tahoma"/>
      <w:szCs w:val="20"/>
    </w:rPr>
  </w:style>
  <w:style w:type="paragraph" w:customStyle="1" w:styleId="549">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0">
    <w:name w:val="my标题5"/>
    <w:basedOn w:val="1"/>
    <w:qFormat/>
    <w:uiPriority w:val="0"/>
    <w:pPr>
      <w:tabs>
        <w:tab w:val="left" w:pos="992"/>
      </w:tabs>
      <w:ind w:left="992" w:hanging="992"/>
    </w:pPr>
  </w:style>
  <w:style w:type="paragraph" w:customStyle="1" w:styleId="551">
    <w:name w:val="样式 标题 3Chapter X.X.X. + 段后: 0.5 行"/>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552">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3">
    <w:name w:val="Char4 Char Char Char Char Char Char Char Char"/>
    <w:basedOn w:val="1"/>
    <w:qFormat/>
    <w:uiPriority w:val="0"/>
    <w:rPr>
      <w:rFonts w:ascii="Tahoma" w:hAnsi="Tahoma"/>
      <w:sz w:val="36"/>
      <w:szCs w:val="36"/>
    </w:rPr>
  </w:style>
  <w:style w:type="paragraph" w:customStyle="1" w:styleId="554">
    <w:name w:val="pa-17"/>
    <w:basedOn w:val="1"/>
    <w:qFormat/>
    <w:uiPriority w:val="0"/>
    <w:pPr>
      <w:widowControl/>
      <w:spacing w:before="150" w:after="150"/>
      <w:jc w:val="left"/>
    </w:pPr>
    <w:rPr>
      <w:rFonts w:ascii="宋体" w:hAnsi="宋体" w:cs="宋体"/>
      <w:kern w:val="0"/>
    </w:rPr>
  </w:style>
  <w:style w:type="paragraph" w:customStyle="1" w:styleId="555">
    <w:name w:val="Paragraph4"/>
    <w:basedOn w:val="1"/>
    <w:qFormat/>
    <w:uiPriority w:val="0"/>
    <w:pPr>
      <w:spacing w:before="80" w:afterLines="50"/>
      <w:ind w:left="2250"/>
    </w:pPr>
    <w:rPr>
      <w:rFonts w:ascii="宋体"/>
      <w:snapToGrid w:val="0"/>
      <w:kern w:val="0"/>
      <w:szCs w:val="20"/>
    </w:rPr>
  </w:style>
  <w:style w:type="paragraph" w:customStyle="1" w:styleId="55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7">
    <w:name w:val="首行缩进正文"/>
    <w:basedOn w:val="1"/>
    <w:qFormat/>
    <w:uiPriority w:val="0"/>
    <w:pPr>
      <w:spacing w:beforeLines="40" w:afterLines="40"/>
      <w:ind w:firstLine="480"/>
    </w:pPr>
    <w:rPr>
      <w:szCs w:val="20"/>
    </w:rPr>
  </w:style>
  <w:style w:type="paragraph" w:customStyle="1" w:styleId="558">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59">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0">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1">
    <w:name w:val="封面版本"/>
    <w:basedOn w:val="1"/>
    <w:qFormat/>
    <w:uiPriority w:val="0"/>
    <w:pPr>
      <w:jc w:val="center"/>
    </w:pPr>
    <w:rPr>
      <w:rFonts w:ascii="宋体" w:hAnsi="宋体" w:cs="宋体"/>
      <w:sz w:val="30"/>
      <w:szCs w:val="20"/>
    </w:rPr>
  </w:style>
  <w:style w:type="paragraph" w:customStyle="1" w:styleId="562">
    <w:name w:val="正文--表格内正文"/>
    <w:basedOn w:val="1"/>
    <w:qFormat/>
    <w:uiPriority w:val="0"/>
    <w:pPr>
      <w:spacing w:beforeLines="50" w:line="0" w:lineRule="atLeast"/>
      <w:jc w:val="center"/>
    </w:pPr>
    <w:rPr>
      <w:rFonts w:ascii="宋体" w:hAnsi="宋体"/>
    </w:rPr>
  </w:style>
  <w:style w:type="paragraph" w:customStyle="1" w:styleId="563">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4">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5">
    <w:name w:val="最新标题2"/>
    <w:basedOn w:val="566"/>
    <w:next w:val="567"/>
    <w:qFormat/>
    <w:uiPriority w:val="0"/>
    <w:pPr>
      <w:tabs>
        <w:tab w:val="left" w:pos="576"/>
      </w:tabs>
      <w:spacing w:after="120"/>
    </w:pPr>
  </w:style>
  <w:style w:type="paragraph" w:customStyle="1" w:styleId="566">
    <w:name w:val="样式 标题 2"/>
    <w:basedOn w:val="2"/>
    <w:next w:val="567"/>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7">
    <w:name w:val="最新标题3"/>
    <w:basedOn w:val="568"/>
    <w:next w:val="569"/>
    <w:qFormat/>
    <w:uiPriority w:val="0"/>
    <w:pPr>
      <w:tabs>
        <w:tab w:val="left" w:pos="720"/>
      </w:tabs>
      <w:spacing w:after="120"/>
    </w:pPr>
  </w:style>
  <w:style w:type="paragraph" w:customStyle="1" w:styleId="568">
    <w:name w:val="样式 标题 3"/>
    <w:basedOn w:val="6"/>
    <w:next w:val="569"/>
    <w:qFormat/>
    <w:uiPriority w:val="0"/>
    <w:pPr>
      <w:keepLines w:val="0"/>
      <w:spacing w:before="120" w:afterLines="50" w:line="240" w:lineRule="auto"/>
      <w:jc w:val="left"/>
    </w:pPr>
    <w:rPr>
      <w:rFonts w:ascii="宋体" w:cs="宋体"/>
      <w:snapToGrid w:val="0"/>
      <w:kern w:val="0"/>
      <w:sz w:val="24"/>
      <w:szCs w:val="20"/>
    </w:rPr>
  </w:style>
  <w:style w:type="paragraph" w:customStyle="1" w:styleId="569">
    <w:name w:val="最新标题4"/>
    <w:basedOn w:val="570"/>
    <w:next w:val="1"/>
    <w:qFormat/>
    <w:uiPriority w:val="0"/>
    <w:pPr>
      <w:tabs>
        <w:tab w:val="left" w:pos="864"/>
        <w:tab w:val="left" w:pos="2100"/>
      </w:tabs>
      <w:spacing w:after="120"/>
      <w:ind w:left="0" w:firstLine="0"/>
    </w:pPr>
  </w:style>
  <w:style w:type="paragraph" w:customStyle="1" w:styleId="570">
    <w:name w:val="样式 标题 4"/>
    <w:basedOn w:val="571"/>
    <w:next w:val="572"/>
    <w:qFormat/>
    <w:uiPriority w:val="0"/>
    <w:pPr>
      <w:tabs>
        <w:tab w:val="left" w:pos="864"/>
        <w:tab w:val="left" w:pos="2100"/>
      </w:tabs>
      <w:spacing w:after="50"/>
      <w:ind w:left="2100" w:hanging="420"/>
    </w:pPr>
  </w:style>
  <w:style w:type="paragraph" w:customStyle="1" w:styleId="571">
    <w:name w:val="样式 标题 4Chapter X.X.X.X. + 段后: 0.5 行1"/>
    <w:basedOn w:val="398"/>
    <w:qFormat/>
    <w:uiPriority w:val="0"/>
    <w:pPr>
      <w:spacing w:after="120"/>
    </w:pPr>
  </w:style>
  <w:style w:type="paragraph" w:customStyle="1" w:styleId="572">
    <w:name w:val="样式 正文"/>
    <w:basedOn w:val="1"/>
    <w:next w:val="1"/>
    <w:qFormat/>
    <w:uiPriority w:val="0"/>
    <w:pPr>
      <w:spacing w:afterLines="50"/>
      <w:jc w:val="left"/>
    </w:pPr>
    <w:rPr>
      <w:rFonts w:ascii="宋体" w:cs="宋体"/>
      <w:snapToGrid w:val="0"/>
      <w:kern w:val="0"/>
      <w:szCs w:val="20"/>
    </w:rPr>
  </w:style>
  <w:style w:type="paragraph" w:customStyle="1" w:styleId="573">
    <w:name w:val="Date1"/>
    <w:basedOn w:val="1"/>
    <w:next w:val="1"/>
    <w:qFormat/>
    <w:uiPriority w:val="0"/>
    <w:pPr>
      <w:adjustRightInd w:val="0"/>
      <w:spacing w:beforeLines="40" w:afterLines="40" w:line="312" w:lineRule="atLeast"/>
    </w:pPr>
    <w:rPr>
      <w:kern w:val="0"/>
      <w:szCs w:val="20"/>
    </w:rPr>
  </w:style>
  <w:style w:type="paragraph" w:customStyle="1" w:styleId="574">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5">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6">
    <w:name w:val="默认段落字体 Para Char Char"/>
    <w:basedOn w:val="1"/>
    <w:semiHidden/>
    <w:qFormat/>
    <w:uiPriority w:val="0"/>
  </w:style>
  <w:style w:type="paragraph" w:customStyle="1" w:styleId="577">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78">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79">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0">
    <w:name w:val="标题 36"/>
    <w:basedOn w:val="1"/>
    <w:qFormat/>
    <w:uiPriority w:val="0"/>
    <w:pPr>
      <w:adjustRightInd w:val="0"/>
      <w:snapToGrid w:val="0"/>
      <w:ind w:left="-2" w:leftChars="-1"/>
    </w:pPr>
    <w:rPr>
      <w:rFonts w:ascii="Arial" w:hAnsi="Arial" w:cs="Arial"/>
    </w:rPr>
  </w:style>
  <w:style w:type="paragraph" w:customStyle="1" w:styleId="581">
    <w:name w:val="样式　标题4"/>
    <w:basedOn w:val="582"/>
    <w:next w:val="1"/>
    <w:qFormat/>
    <w:uiPriority w:val="0"/>
    <w:pPr>
      <w:tabs>
        <w:tab w:val="left" w:pos="864"/>
      </w:tabs>
    </w:pPr>
  </w:style>
  <w:style w:type="paragraph" w:customStyle="1" w:styleId="582">
    <w:name w:val="样式 标题 4Chapter X.X.X. + 段后: 0.5 行1"/>
    <w:basedOn w:val="7"/>
    <w:next w:val="7"/>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3">
    <w:name w:val="0"/>
    <w:basedOn w:val="1"/>
    <w:qFormat/>
    <w:uiPriority w:val="0"/>
    <w:pPr>
      <w:widowControl/>
    </w:pPr>
    <w:rPr>
      <w:kern w:val="0"/>
      <w:szCs w:val="20"/>
    </w:rPr>
  </w:style>
  <w:style w:type="paragraph" w:customStyle="1" w:styleId="584">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5">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6">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87">
    <w:name w:val="U2标题"/>
    <w:basedOn w:val="2"/>
    <w:qFormat/>
    <w:uiPriority w:val="0"/>
    <w:pPr>
      <w:spacing w:beforeLines="40" w:afterLines="40" w:line="415" w:lineRule="auto"/>
      <w:ind w:left="0" w:firstLine="0"/>
    </w:pPr>
    <w:rPr>
      <w:rFonts w:eastAsia="宋体"/>
      <w:color w:val="000000"/>
      <w:sz w:val="24"/>
      <w:szCs w:val="24"/>
    </w:rPr>
  </w:style>
  <w:style w:type="paragraph" w:customStyle="1" w:styleId="588">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89">
    <w:name w:val="样式 目录 2 + 段前: 0.2 行 段后: 0.2 行"/>
    <w:basedOn w:val="76"/>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0">
    <w:name w:val="三级无标题条"/>
    <w:basedOn w:val="1"/>
    <w:qFormat/>
    <w:uiPriority w:val="0"/>
    <w:pPr>
      <w:spacing w:beforeLines="40" w:afterLines="40"/>
    </w:pPr>
  </w:style>
  <w:style w:type="paragraph" w:customStyle="1" w:styleId="591">
    <w:name w:val="List Paragraph1"/>
    <w:basedOn w:val="1"/>
    <w:qFormat/>
    <w:uiPriority w:val="0"/>
    <w:pPr>
      <w:ind w:firstLine="420" w:firstLineChars="200"/>
    </w:pPr>
  </w:style>
  <w:style w:type="paragraph" w:customStyle="1" w:styleId="592">
    <w:name w:val="样式 标题 7标题 7 Char2标题 7 Char Char1标题 7 Char1 Char Char1标题 7 Ch..."/>
    <w:basedOn w:val="10"/>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3">
    <w:name w:val="图片"/>
    <w:basedOn w:val="1"/>
    <w:next w:val="23"/>
    <w:qFormat/>
    <w:uiPriority w:val="0"/>
    <w:pPr>
      <w:keepNext/>
      <w:widowControl/>
      <w:spacing w:beforeLines="40" w:afterLines="40"/>
      <w:jc w:val="left"/>
    </w:pPr>
    <w:rPr>
      <w:rFonts w:ascii="Garamond" w:hAnsi="Garamond"/>
      <w:kern w:val="0"/>
      <w:sz w:val="22"/>
      <w:szCs w:val="20"/>
    </w:rPr>
  </w:style>
  <w:style w:type="paragraph" w:customStyle="1" w:styleId="594">
    <w:name w:val="封面单位"/>
    <w:basedOn w:val="1"/>
    <w:qFormat/>
    <w:uiPriority w:val="0"/>
    <w:pPr>
      <w:jc w:val="center"/>
    </w:pPr>
    <w:rPr>
      <w:rFonts w:ascii="楷体_GB2312" w:eastAsia="楷体_GB2312" w:cs="宋体"/>
      <w:b/>
      <w:bCs/>
      <w:sz w:val="32"/>
      <w:szCs w:val="20"/>
    </w:rPr>
  </w:style>
  <w:style w:type="paragraph" w:customStyle="1" w:styleId="595">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6">
    <w:name w:val="正文段"/>
    <w:basedOn w:val="1"/>
    <w:qFormat/>
    <w:uiPriority w:val="0"/>
    <w:pPr>
      <w:widowControl/>
      <w:snapToGrid w:val="0"/>
      <w:spacing w:afterLines="50"/>
      <w:ind w:firstLine="200" w:firstLineChars="200"/>
    </w:pPr>
    <w:rPr>
      <w:kern w:val="0"/>
      <w:szCs w:val="20"/>
    </w:rPr>
  </w:style>
  <w:style w:type="paragraph" w:customStyle="1" w:styleId="597">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598">
    <w:name w:val="发布部门"/>
    <w:next w:val="323"/>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599">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0">
    <w:name w:val="公文标题 2"/>
    <w:basedOn w:val="601"/>
    <w:next w:val="352"/>
    <w:qFormat/>
    <w:uiPriority w:val="0"/>
    <w:pPr>
      <w:ind w:firstLine="561"/>
      <w:outlineLvl w:val="1"/>
    </w:pPr>
  </w:style>
  <w:style w:type="paragraph" w:customStyle="1" w:styleId="601">
    <w:name w:val="公文标题 1"/>
    <w:basedOn w:val="352"/>
    <w:next w:val="352"/>
    <w:qFormat/>
    <w:uiPriority w:val="0"/>
    <w:pPr>
      <w:ind w:firstLine="0" w:firstLineChars="0"/>
      <w:outlineLvl w:val="0"/>
    </w:pPr>
  </w:style>
  <w:style w:type="paragraph" w:customStyle="1" w:styleId="602">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3">
    <w:name w:val="默认段落字体 Para Char Char Char1 Char"/>
    <w:basedOn w:val="1"/>
    <w:qFormat/>
    <w:uiPriority w:val="0"/>
    <w:pPr>
      <w:spacing w:line="240" w:lineRule="atLeast"/>
      <w:ind w:left="420" w:firstLine="420"/>
    </w:pPr>
  </w:style>
  <w:style w:type="paragraph" w:customStyle="1" w:styleId="604">
    <w:name w:val="需求正文"/>
    <w:basedOn w:val="1"/>
    <w:qFormat/>
    <w:uiPriority w:val="0"/>
    <w:pPr>
      <w:spacing w:line="300" w:lineRule="auto"/>
      <w:ind w:firstLine="420" w:firstLineChars="200"/>
    </w:pPr>
    <w:rPr>
      <w:szCs w:val="20"/>
    </w:rPr>
  </w:style>
  <w:style w:type="paragraph" w:customStyle="1" w:styleId="605">
    <w:name w:val="列表段落1"/>
    <w:basedOn w:val="1"/>
    <w:qFormat/>
    <w:uiPriority w:val="34"/>
    <w:pPr>
      <w:ind w:firstLine="420" w:firstLineChars="200"/>
    </w:pPr>
  </w:style>
  <w:style w:type="paragraph" w:customStyle="1" w:styleId="606">
    <w:name w:val="表标题"/>
    <w:basedOn w:val="1"/>
    <w:qFormat/>
    <w:uiPriority w:val="0"/>
    <w:pPr>
      <w:spacing w:beforeLines="40" w:afterLines="40" w:line="300" w:lineRule="exact"/>
      <w:jc w:val="center"/>
    </w:pPr>
    <w:rPr>
      <w:rFonts w:ascii="黑体" w:eastAsia="黑体"/>
      <w:sz w:val="28"/>
      <w:szCs w:val="20"/>
    </w:rPr>
  </w:style>
  <w:style w:type="paragraph" w:customStyle="1" w:styleId="607">
    <w:name w:val="S4-B-L15"/>
    <w:basedOn w:val="1"/>
    <w:qFormat/>
    <w:uiPriority w:val="0"/>
    <w:rPr>
      <w:b/>
      <w:bCs/>
    </w:rPr>
  </w:style>
  <w:style w:type="paragraph" w:customStyle="1" w:styleId="608">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09">
    <w:name w:val="表格内容1"/>
    <w:basedOn w:val="1"/>
    <w:qFormat/>
    <w:uiPriority w:val="0"/>
    <w:pPr>
      <w:spacing w:beforeLines="40" w:afterLines="40"/>
    </w:pPr>
    <w:rPr>
      <w:szCs w:val="20"/>
    </w:rPr>
  </w:style>
  <w:style w:type="paragraph" w:customStyle="1" w:styleId="610">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1">
    <w:name w:val="作者"/>
    <w:basedOn w:val="1"/>
    <w:qFormat/>
    <w:uiPriority w:val="0"/>
    <w:pPr>
      <w:spacing w:beforeLines="40" w:afterLines="40"/>
      <w:jc w:val="center"/>
    </w:pPr>
    <w:rPr>
      <w:rFonts w:cs="Angsana New"/>
    </w:rPr>
  </w:style>
  <w:style w:type="paragraph" w:customStyle="1" w:styleId="612">
    <w:name w:val="文章正文"/>
    <w:basedOn w:val="1"/>
    <w:qFormat/>
    <w:uiPriority w:val="0"/>
    <w:pPr>
      <w:spacing w:beforeLines="40" w:afterLines="40"/>
      <w:ind w:firstLine="420"/>
    </w:pPr>
  </w:style>
  <w:style w:type="paragraph" w:customStyle="1" w:styleId="613">
    <w:name w:val="样式 标题 2h2Level 2 Topic HeadingHD2Heading 2 HiddenHeading 2 ...1"/>
    <w:basedOn w:val="9"/>
    <w:next w:val="614"/>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4">
    <w:name w:val="样式 标题 6标题 6 Char Char Char标题 6 Char1标题 6 Char Char1h6Third..."/>
    <w:basedOn w:val="9"/>
    <w:qFormat/>
    <w:uiPriority w:val="0"/>
    <w:pPr>
      <w:tabs>
        <w:tab w:val="left" w:pos="432"/>
      </w:tabs>
      <w:spacing w:beforeLines="40" w:afterLines="40" w:line="319" w:lineRule="auto"/>
      <w:ind w:left="432" w:hanging="432"/>
    </w:pPr>
    <w:rPr>
      <w:rFonts w:cs="宋体"/>
      <w:sz w:val="28"/>
    </w:rPr>
  </w:style>
  <w:style w:type="paragraph" w:customStyle="1" w:styleId="615">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6">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7">
    <w:name w:val="样式 标题 3(A-3)sect1.2.3h3H3level_3PIM 3Level 3 HeadHeading..."/>
    <w:basedOn w:val="6"/>
    <w:qFormat/>
    <w:uiPriority w:val="0"/>
    <w:pPr>
      <w:ind w:left="0" w:firstLine="0"/>
    </w:pPr>
    <w:rPr>
      <w:rFonts w:ascii="Arial" w:hAnsi="Arial"/>
    </w:rPr>
  </w:style>
  <w:style w:type="paragraph" w:customStyle="1" w:styleId="61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19">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0">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1">
    <w:name w:val="样式 标题 3标题 3 Char第二层条h33Bold Headbh章标题1小标题level_3PIM 3..."/>
    <w:basedOn w:val="6"/>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2">
    <w:name w:val="标题 310"/>
    <w:basedOn w:val="1"/>
    <w:qFormat/>
    <w:uiPriority w:val="0"/>
    <w:pPr>
      <w:adjustRightInd w:val="0"/>
      <w:snapToGrid w:val="0"/>
      <w:ind w:left="-2" w:leftChars="-1"/>
    </w:pPr>
    <w:rPr>
      <w:rFonts w:ascii="Arial" w:hAnsi="Arial" w:cs="Arial"/>
    </w:rPr>
  </w:style>
  <w:style w:type="paragraph" w:customStyle="1" w:styleId="623">
    <w:name w:val="我的标题5"/>
    <w:next w:val="331"/>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5">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7">
    <w:name w:val="图表脚注"/>
    <w:next w:val="323"/>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28">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29">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0">
    <w:name w:val="样式 表格正文 +"/>
    <w:basedOn w:val="1"/>
    <w:qFormat/>
    <w:uiPriority w:val="0"/>
    <w:pPr>
      <w:spacing w:beforeLines="40" w:afterLines="40" w:line="300" w:lineRule="auto"/>
    </w:pPr>
    <w:rPr>
      <w:rFonts w:ascii="宋体" w:hAnsi="宋体" w:cs="宋体"/>
      <w:szCs w:val="20"/>
    </w:rPr>
  </w:style>
  <w:style w:type="paragraph" w:customStyle="1" w:styleId="631">
    <w:name w:val="linyang-正文"/>
    <w:basedOn w:val="1"/>
    <w:qFormat/>
    <w:uiPriority w:val="0"/>
    <w:pPr>
      <w:spacing w:before="120" w:after="120" w:line="400" w:lineRule="exact"/>
      <w:ind w:firstLine="200" w:firstLineChars="200"/>
    </w:pPr>
  </w:style>
  <w:style w:type="paragraph" w:customStyle="1" w:styleId="632">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3">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4">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5">
    <w:name w:val="MM Topic 8"/>
    <w:basedOn w:val="11"/>
    <w:qFormat/>
    <w:uiPriority w:val="0"/>
    <w:pPr>
      <w:adjustRightInd/>
      <w:spacing w:beforeLines="40" w:afterLines="40" w:line="319" w:lineRule="auto"/>
      <w:ind w:left="0" w:firstLine="0"/>
      <w:textAlignment w:val="auto"/>
    </w:pPr>
    <w:rPr>
      <w:kern w:val="2"/>
      <w:szCs w:val="24"/>
    </w:rPr>
  </w:style>
  <w:style w:type="paragraph" w:customStyle="1" w:styleId="636">
    <w:name w:val="段落"/>
    <w:basedOn w:val="1"/>
    <w:qFormat/>
    <w:uiPriority w:val="0"/>
    <w:pPr>
      <w:spacing w:beforeLines="40" w:afterLines="40" w:line="480" w:lineRule="auto"/>
      <w:ind w:firstLine="540" w:firstLineChars="225"/>
    </w:pPr>
    <w:rPr>
      <w:rFonts w:ascii="宋体" w:hAnsi="宋体"/>
    </w:rPr>
  </w:style>
  <w:style w:type="paragraph" w:customStyle="1" w:styleId="637">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38">
    <w:name w:val="标题二"/>
    <w:basedOn w:val="2"/>
    <w:next w:val="35"/>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39">
    <w:name w:val="模板页脚"/>
    <w:basedOn w:val="58"/>
    <w:qFormat/>
    <w:uiPriority w:val="0"/>
    <w:pPr>
      <w:spacing w:beforeLines="40" w:afterLines="40"/>
    </w:pPr>
    <w:rPr>
      <w:rFonts w:ascii="宋体" w:hAnsi="宋体"/>
      <w:bCs/>
    </w:rPr>
  </w:style>
  <w:style w:type="paragraph" w:customStyle="1" w:styleId="640">
    <w:name w:val="附录章标题"/>
    <w:next w:val="323"/>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1">
    <w:name w:val="附录二级条标题"/>
    <w:basedOn w:val="1"/>
    <w:qFormat/>
    <w:uiPriority w:val="0"/>
    <w:pPr>
      <w:spacing w:line="312" w:lineRule="auto"/>
    </w:pPr>
  </w:style>
  <w:style w:type="paragraph" w:customStyle="1" w:styleId="642">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3">
    <w:name w:val="样式 标题 3H3标题 3 CharH3 Charl3CTh3Level 3 Topic HeadingHead..."/>
    <w:basedOn w:val="10"/>
    <w:qFormat/>
    <w:uiPriority w:val="0"/>
    <w:pPr>
      <w:adjustRightInd/>
      <w:spacing w:beforeLines="40" w:afterLines="40" w:line="319" w:lineRule="auto"/>
      <w:ind w:left="0" w:firstLine="0"/>
      <w:textAlignment w:val="auto"/>
    </w:pPr>
    <w:rPr>
      <w:rFonts w:hAnsi="宋体" w:eastAsia="宋体"/>
      <w:kern w:val="2"/>
    </w:rPr>
  </w:style>
  <w:style w:type="paragraph" w:customStyle="1" w:styleId="644">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5">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6">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7">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8">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49">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0">
    <w:name w:val="v1"/>
    <w:basedOn w:val="1"/>
    <w:qFormat/>
    <w:uiPriority w:val="0"/>
    <w:pPr>
      <w:widowControl/>
      <w:spacing w:beforeLines="40" w:afterLines="40" w:line="280" w:lineRule="atLeast"/>
      <w:jc w:val="left"/>
    </w:pPr>
    <w:rPr>
      <w:color w:val="000000"/>
      <w:kern w:val="0"/>
      <w:sz w:val="18"/>
      <w:szCs w:val="18"/>
    </w:rPr>
  </w:style>
  <w:style w:type="paragraph" w:customStyle="1" w:styleId="651">
    <w:name w:val="图表"/>
    <w:basedOn w:val="23"/>
    <w:next w:val="35"/>
    <w:qFormat/>
    <w:uiPriority w:val="0"/>
    <w:pPr>
      <w:spacing w:beforeLines="40" w:afterLines="40"/>
      <w:ind w:firstLine="420"/>
      <w:jc w:val="center"/>
    </w:pPr>
    <w:rPr>
      <w:sz w:val="21"/>
      <w:szCs w:val="24"/>
    </w:rPr>
  </w:style>
  <w:style w:type="paragraph" w:customStyle="1" w:styleId="652">
    <w:name w:val="版本控制标题"/>
    <w:basedOn w:val="1"/>
    <w:qFormat/>
    <w:uiPriority w:val="0"/>
    <w:pPr>
      <w:spacing w:before="156" w:after="156"/>
    </w:pPr>
    <w:rPr>
      <w:rFonts w:cs="宋体"/>
      <w:b/>
      <w:bCs/>
      <w:szCs w:val="20"/>
    </w:rPr>
  </w:style>
  <w:style w:type="paragraph" w:customStyle="1" w:styleId="65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4">
    <w:name w:val="表格头"/>
    <w:basedOn w:val="1"/>
    <w:qFormat/>
    <w:uiPriority w:val="0"/>
    <w:pPr>
      <w:jc w:val="center"/>
    </w:pPr>
    <w:rPr>
      <w:rFonts w:cs="宋体"/>
      <w:b/>
      <w:bCs/>
      <w:szCs w:val="20"/>
    </w:rPr>
  </w:style>
  <w:style w:type="paragraph" w:customStyle="1" w:styleId="655">
    <w:name w:val="公文标题 4"/>
    <w:basedOn w:val="656"/>
    <w:next w:val="352"/>
    <w:qFormat/>
    <w:uiPriority w:val="0"/>
    <w:pPr>
      <w:outlineLvl w:val="9"/>
    </w:pPr>
  </w:style>
  <w:style w:type="paragraph" w:customStyle="1" w:styleId="656">
    <w:name w:val="公文标题 3"/>
    <w:basedOn w:val="600"/>
    <w:next w:val="352"/>
    <w:qFormat/>
    <w:uiPriority w:val="0"/>
    <w:pPr>
      <w:outlineLvl w:val="2"/>
    </w:pPr>
  </w:style>
  <w:style w:type="paragraph" w:customStyle="1" w:styleId="657">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58">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59">
    <w:name w:val="样式1-2"/>
    <w:basedOn w:val="660"/>
    <w:qFormat/>
    <w:uiPriority w:val="0"/>
  </w:style>
  <w:style w:type="paragraph" w:customStyle="1" w:styleId="660">
    <w:name w:val="表格1-1"/>
    <w:basedOn w:val="1"/>
    <w:qFormat/>
    <w:uiPriority w:val="0"/>
    <w:pPr>
      <w:spacing w:beforeLines="40" w:afterLines="40"/>
    </w:pPr>
    <w:rPr>
      <w:szCs w:val="20"/>
    </w:rPr>
  </w:style>
  <w:style w:type="paragraph" w:customStyle="1" w:styleId="661">
    <w:name w:val="Proposals body"/>
    <w:basedOn w:val="1"/>
    <w:next w:val="1"/>
    <w:qFormat/>
    <w:uiPriority w:val="0"/>
    <w:pPr>
      <w:widowControl/>
      <w:jc w:val="left"/>
    </w:pPr>
    <w:rPr>
      <w:rFonts w:ascii="宋体"/>
      <w:snapToGrid w:val="0"/>
      <w:color w:val="000000"/>
      <w:kern w:val="0"/>
      <w:szCs w:val="20"/>
    </w:rPr>
  </w:style>
  <w:style w:type="paragraph" w:customStyle="1" w:styleId="662">
    <w:name w:val="默认段落字体 Para Char Char Char Char Char Char Char"/>
    <w:basedOn w:val="1"/>
    <w:qFormat/>
    <w:uiPriority w:val="0"/>
    <w:rPr>
      <w:rFonts w:ascii="Tahoma" w:hAnsi="Tahoma"/>
      <w:szCs w:val="20"/>
    </w:rPr>
  </w:style>
  <w:style w:type="paragraph" w:customStyle="1" w:styleId="663">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4">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5">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6">
    <w:name w:val="样式2"/>
    <w:basedOn w:val="2"/>
    <w:qFormat/>
    <w:uiPriority w:val="0"/>
    <w:pPr>
      <w:spacing w:before="0" w:after="0" w:line="415" w:lineRule="auto"/>
    </w:pPr>
    <w:rPr>
      <w:rFonts w:ascii="宋体" w:hAnsi="宋体" w:eastAsia="仿宋_GB2312"/>
      <w:bCs w:val="0"/>
      <w:szCs w:val="20"/>
    </w:rPr>
  </w:style>
  <w:style w:type="paragraph" w:customStyle="1" w:styleId="667">
    <w:name w:val="正文（标题三）"/>
    <w:basedOn w:val="1"/>
    <w:qFormat/>
    <w:uiPriority w:val="0"/>
    <w:pPr>
      <w:ind w:firstLine="200" w:firstLineChars="200"/>
    </w:pPr>
  </w:style>
  <w:style w:type="paragraph" w:customStyle="1" w:styleId="668">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69">
    <w:name w:val="WW-纯文本"/>
    <w:basedOn w:val="1"/>
    <w:qFormat/>
    <w:uiPriority w:val="0"/>
    <w:pPr>
      <w:suppressAutoHyphens/>
      <w:spacing w:beforeLines="40" w:afterLines="40"/>
    </w:pPr>
    <w:rPr>
      <w:rFonts w:ascii="宋体" w:hAnsi="宋体"/>
      <w:szCs w:val="20"/>
    </w:rPr>
  </w:style>
  <w:style w:type="paragraph" w:customStyle="1" w:styleId="670">
    <w:name w:val="其他发布部门"/>
    <w:basedOn w:val="598"/>
    <w:qFormat/>
    <w:uiPriority w:val="0"/>
    <w:pPr>
      <w:spacing w:line="0" w:lineRule="atLeast"/>
    </w:pPr>
    <w:rPr>
      <w:rFonts w:ascii="黑体" w:eastAsia="黑体"/>
      <w:b w:val="0"/>
    </w:rPr>
  </w:style>
  <w:style w:type="paragraph" w:customStyle="1" w:styleId="671">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2">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3">
    <w:name w:val="样式 标题 1 + 五号"/>
    <w:basedOn w:val="5"/>
    <w:qFormat/>
    <w:uiPriority w:val="0"/>
    <w:pPr>
      <w:keepNext/>
      <w:keepLines/>
      <w:autoSpaceDE/>
      <w:autoSpaceDN/>
      <w:adjustRightInd/>
      <w:spacing w:line="240" w:lineRule="auto"/>
    </w:pPr>
    <w:rPr>
      <w:rFonts w:eastAsia="宋体"/>
      <w:kern w:val="44"/>
      <w:sz w:val="32"/>
      <w:szCs w:val="32"/>
    </w:rPr>
  </w:style>
  <w:style w:type="paragraph" w:customStyle="1" w:styleId="67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5">
    <w:name w:val="表格(五号)"/>
    <w:basedOn w:val="1"/>
    <w:qFormat/>
    <w:uiPriority w:val="0"/>
    <w:pPr>
      <w:adjustRightInd w:val="0"/>
      <w:snapToGrid w:val="0"/>
      <w:spacing w:beforeLines="40" w:afterLines="40"/>
      <w:ind w:left="11"/>
      <w:jc w:val="center"/>
    </w:pPr>
    <w:rPr>
      <w:kern w:val="0"/>
      <w:szCs w:val="20"/>
    </w:rPr>
  </w:style>
  <w:style w:type="paragraph" w:customStyle="1" w:styleId="676">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7">
    <w:name w:val="封面标准号2"/>
    <w:basedOn w:val="479"/>
    <w:qFormat/>
    <w:uiPriority w:val="0"/>
    <w:pPr>
      <w:framePr w:w="9138" w:h="1244" w:hRule="exact" w:wrap="around" w:vAnchor="page" w:hAnchor="margin" w:y="2908"/>
      <w:adjustRightInd w:val="0"/>
      <w:spacing w:before="357" w:line="280" w:lineRule="exact"/>
    </w:pPr>
  </w:style>
  <w:style w:type="paragraph" w:customStyle="1" w:styleId="678">
    <w:name w:val="样式 标题 1 + 段后: 0.5 行"/>
    <w:basedOn w:val="5"/>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79">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0">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1">
    <w:name w:val="P1"/>
    <w:basedOn w:val="1"/>
    <w:qFormat/>
    <w:uiPriority w:val="0"/>
    <w:pPr>
      <w:widowControl/>
      <w:spacing w:before="240" w:line="240" w:lineRule="atLeast"/>
      <w:jc w:val="left"/>
    </w:pPr>
    <w:rPr>
      <w:b/>
      <w:kern w:val="0"/>
      <w:szCs w:val="21"/>
      <w:lang w:val="en-AU" w:eastAsia="en-US"/>
    </w:rPr>
  </w:style>
  <w:style w:type="paragraph" w:customStyle="1" w:styleId="682">
    <w:name w:val="标题3"/>
    <w:basedOn w:val="6"/>
    <w:qFormat/>
    <w:uiPriority w:val="0"/>
    <w:pPr>
      <w:ind w:left="0" w:firstLine="0"/>
    </w:pPr>
    <w:rPr>
      <w:rFonts w:ascii="宋体" w:hAnsi="宋体"/>
      <w:sz w:val="28"/>
      <w:szCs w:val="28"/>
    </w:rPr>
  </w:style>
  <w:style w:type="paragraph" w:customStyle="1" w:styleId="683">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4">
    <w:name w:val="样式 题注 + 宋体 居中"/>
    <w:basedOn w:val="23"/>
    <w:qFormat/>
    <w:uiPriority w:val="0"/>
    <w:pPr>
      <w:spacing w:beforeLines="40" w:afterLines="40"/>
      <w:jc w:val="center"/>
    </w:pPr>
    <w:rPr>
      <w:rFonts w:ascii="宋体" w:hAnsi="宋体" w:eastAsia="宋体"/>
      <w:sz w:val="24"/>
    </w:rPr>
  </w:style>
  <w:style w:type="paragraph" w:customStyle="1" w:styleId="685">
    <w:name w:val="标题 34"/>
    <w:basedOn w:val="1"/>
    <w:qFormat/>
    <w:uiPriority w:val="0"/>
    <w:pPr>
      <w:adjustRightInd w:val="0"/>
      <w:snapToGrid w:val="0"/>
      <w:ind w:left="-2" w:leftChars="-1"/>
    </w:pPr>
    <w:rPr>
      <w:rFonts w:ascii="Arial" w:hAnsi="Arial" w:cs="Arial"/>
    </w:rPr>
  </w:style>
  <w:style w:type="paragraph" w:customStyle="1" w:styleId="686">
    <w:name w:val="Char Char5 Char Char Char Char Char Char Char Char Char Char Char Char Char Char Char Char Char Char"/>
    <w:basedOn w:val="1"/>
    <w:qFormat/>
    <w:uiPriority w:val="0"/>
    <w:rPr>
      <w:rFonts w:ascii="Tahoma" w:hAnsi="Tahoma"/>
      <w:sz w:val="36"/>
      <w:szCs w:val="36"/>
    </w:rPr>
  </w:style>
  <w:style w:type="paragraph" w:customStyle="1" w:styleId="687">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88">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89">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0">
    <w:name w:val="样式 标题 3Chapter X.X.X. + 五号 段后: 0.5 行"/>
    <w:basedOn w:val="6"/>
    <w:qFormat/>
    <w:uiPriority w:val="0"/>
    <w:pPr>
      <w:keepLines w:val="0"/>
      <w:spacing w:before="120" w:afterLines="50" w:line="240" w:lineRule="auto"/>
      <w:jc w:val="left"/>
    </w:pPr>
    <w:rPr>
      <w:rFonts w:ascii="宋体" w:cs="宋体"/>
      <w:snapToGrid w:val="0"/>
      <w:kern w:val="0"/>
      <w:sz w:val="21"/>
      <w:szCs w:val="20"/>
    </w:rPr>
  </w:style>
  <w:style w:type="paragraph" w:customStyle="1" w:styleId="691">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2">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3">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4">
    <w:name w:val="MM Topic 9"/>
    <w:basedOn w:val="12"/>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5">
    <w:name w:val="五级条标题"/>
    <w:basedOn w:val="696"/>
    <w:next w:val="323"/>
    <w:qFormat/>
    <w:uiPriority w:val="0"/>
    <w:pPr>
      <w:outlineLvl w:val="6"/>
    </w:pPr>
  </w:style>
  <w:style w:type="paragraph" w:customStyle="1" w:styleId="696">
    <w:name w:val="四级条标题"/>
    <w:basedOn w:val="697"/>
    <w:next w:val="323"/>
    <w:qFormat/>
    <w:uiPriority w:val="0"/>
    <w:pPr>
      <w:outlineLvl w:val="5"/>
    </w:pPr>
    <w:rPr>
      <w:rFonts w:ascii="Times New Roman"/>
    </w:rPr>
  </w:style>
  <w:style w:type="paragraph" w:customStyle="1" w:styleId="697">
    <w:name w:val="三级条标题"/>
    <w:basedOn w:val="321"/>
    <w:next w:val="323"/>
    <w:qFormat/>
    <w:uiPriority w:val="0"/>
    <w:pPr>
      <w:ind w:left="0" w:firstLine="0"/>
      <w:outlineLvl w:val="4"/>
    </w:pPr>
  </w:style>
  <w:style w:type="paragraph" w:customStyle="1" w:styleId="698">
    <w:name w:val="段落文字"/>
    <w:basedOn w:val="36"/>
    <w:qFormat/>
    <w:uiPriority w:val="0"/>
    <w:pPr>
      <w:spacing w:after="60"/>
      <w:ind w:left="420" w:firstLine="200" w:firstLineChars="200"/>
    </w:pPr>
    <w:rPr>
      <w:rFonts w:ascii="Times New Roman" w:hAnsi="Times New Roman"/>
      <w:szCs w:val="24"/>
    </w:rPr>
  </w:style>
  <w:style w:type="paragraph" w:customStyle="1" w:styleId="699">
    <w:name w:val="样式 标题 4h4First SubheadingH4sect 1.2.3.4Ref Heading 1rh1se...1"/>
    <w:basedOn w:val="7"/>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0">
    <w:name w:val="表项"/>
    <w:next w:val="701"/>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1">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2">
    <w:name w:val="P2"/>
    <w:basedOn w:val="1"/>
    <w:qFormat/>
    <w:uiPriority w:val="0"/>
    <w:pPr>
      <w:widowControl/>
      <w:spacing w:before="240" w:line="240" w:lineRule="atLeast"/>
      <w:ind w:left="578"/>
      <w:jc w:val="left"/>
    </w:pPr>
    <w:rPr>
      <w:b/>
      <w:kern w:val="0"/>
      <w:szCs w:val="21"/>
      <w:lang w:val="en-AU" w:eastAsia="en-US"/>
    </w:rPr>
  </w:style>
  <w:style w:type="paragraph" w:customStyle="1" w:styleId="703">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4">
    <w:name w:val="浅色列表 - 强调文字颜色 51"/>
    <w:basedOn w:val="1"/>
    <w:qFormat/>
    <w:uiPriority w:val="0"/>
    <w:pPr>
      <w:ind w:firstLine="420" w:firstLineChars="200"/>
    </w:pPr>
    <w:rPr>
      <w:kern w:val="0"/>
      <w:sz w:val="20"/>
      <w:szCs w:val="20"/>
    </w:rPr>
  </w:style>
  <w:style w:type="paragraph" w:customStyle="1" w:styleId="705">
    <w:name w:val="列表内容"/>
    <w:basedOn w:val="1"/>
    <w:next w:val="1"/>
    <w:qFormat/>
    <w:uiPriority w:val="0"/>
    <w:pPr>
      <w:widowControl/>
      <w:tabs>
        <w:tab w:val="left" w:pos="840"/>
      </w:tabs>
      <w:ind w:left="840" w:hanging="420"/>
      <w:jc w:val="left"/>
    </w:pPr>
    <w:rPr>
      <w:kern w:val="0"/>
      <w:sz w:val="18"/>
    </w:rPr>
  </w:style>
  <w:style w:type="paragraph" w:customStyle="1" w:styleId="706">
    <w:name w:val="附图标注"/>
    <w:basedOn w:val="22"/>
    <w:qFormat/>
    <w:uiPriority w:val="0"/>
    <w:pPr>
      <w:tabs>
        <w:tab w:val="left" w:pos="420"/>
      </w:tabs>
      <w:ind w:left="420" w:hanging="420"/>
    </w:pPr>
    <w:rPr>
      <w:szCs w:val="24"/>
    </w:rPr>
  </w:style>
  <w:style w:type="paragraph" w:customStyle="1" w:styleId="707">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08">
    <w:name w:val="样式 标题 2Chapter X.X. Statementh22Header 2l2Level 2 Headhea..."/>
    <w:basedOn w:val="2"/>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09">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0">
    <w:name w:val="标题4，章节第四层"/>
    <w:basedOn w:val="1"/>
    <w:next w:val="232"/>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1">
    <w:name w:val="我的标题1"/>
    <w:next w:val="331"/>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2">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3">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4">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5">
    <w:name w:val="MM Topic 7"/>
    <w:basedOn w:val="10"/>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6">
    <w:name w:val="样式 文档正文 + 首行缩进:  2 字符1"/>
    <w:basedOn w:val="247"/>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7">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18">
    <w:name w:val="样式 标题 4Chapter X.X.X. + 段后: 0.5 行1 + 段后: 0.5 行"/>
    <w:basedOn w:val="582"/>
    <w:qFormat/>
    <w:uiPriority w:val="0"/>
    <w:rPr>
      <w:szCs w:val="21"/>
    </w:rPr>
  </w:style>
  <w:style w:type="paragraph" w:customStyle="1" w:styleId="719">
    <w:name w:val="小标题"/>
    <w:basedOn w:val="1"/>
    <w:next w:val="22"/>
    <w:qFormat/>
    <w:uiPriority w:val="0"/>
    <w:pPr>
      <w:tabs>
        <w:tab w:val="left" w:pos="1440"/>
      </w:tabs>
      <w:spacing w:afterLines="50"/>
    </w:pPr>
    <w:rPr>
      <w:b/>
    </w:rPr>
  </w:style>
  <w:style w:type="paragraph" w:customStyle="1" w:styleId="720">
    <w:name w:val="样式 标题 2h2Level 2 Topic HeadingHD2Heading 2 HiddenHeading 2 ..."/>
    <w:basedOn w:val="5"/>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1">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2">
    <w:name w:val="最新标题1"/>
    <w:basedOn w:val="723"/>
    <w:next w:val="565"/>
    <w:qFormat/>
    <w:uiPriority w:val="0"/>
    <w:pPr>
      <w:tabs>
        <w:tab w:val="left" w:pos="1140"/>
      </w:tabs>
      <w:spacing w:after="120"/>
    </w:pPr>
    <w:rPr>
      <w:bCs/>
    </w:rPr>
  </w:style>
  <w:style w:type="paragraph" w:customStyle="1" w:styleId="723">
    <w:name w:val="样式 标题1"/>
    <w:basedOn w:val="678"/>
    <w:next w:val="565"/>
    <w:qFormat/>
    <w:uiPriority w:val="0"/>
    <w:pPr>
      <w:tabs>
        <w:tab w:val="left" w:pos="1140"/>
        <w:tab w:val="clear" w:pos="432"/>
      </w:tabs>
      <w:spacing w:after="50"/>
      <w:ind w:left="1140" w:hanging="720"/>
    </w:pPr>
    <w:rPr>
      <w:bCs w:val="0"/>
      <w:sz w:val="32"/>
    </w:rPr>
  </w:style>
  <w:style w:type="paragraph" w:customStyle="1" w:styleId="724">
    <w:name w:val="目次、标准名称标题"/>
    <w:basedOn w:val="725"/>
    <w:next w:val="323"/>
    <w:qFormat/>
    <w:uiPriority w:val="0"/>
    <w:pPr>
      <w:shd w:val="clear" w:color="FFFFFF" w:fill="FFFFFF"/>
      <w:spacing w:beforeLines="0" w:afterLines="0" w:line="460" w:lineRule="exact"/>
    </w:pPr>
  </w:style>
  <w:style w:type="paragraph" w:customStyle="1" w:styleId="725">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6">
    <w:name w:val="列出段落11"/>
    <w:basedOn w:val="1"/>
    <w:qFormat/>
    <w:uiPriority w:val="0"/>
    <w:pPr>
      <w:ind w:firstLine="420" w:firstLineChars="200"/>
    </w:pPr>
  </w:style>
  <w:style w:type="paragraph" w:customStyle="1" w:styleId="727">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2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29">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30">
    <w:name w:val="项目符号：二级"/>
    <w:basedOn w:val="232"/>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1">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2">
    <w:name w:val="我的标题2"/>
    <w:next w:val="331"/>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3">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4">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6">
    <w:name w:val="Char4 Char Char Char"/>
    <w:basedOn w:val="1"/>
    <w:qFormat/>
    <w:uiPriority w:val="0"/>
    <w:rPr>
      <w:rFonts w:ascii="仿宋_GB2312" w:eastAsia="仿宋_GB2312"/>
      <w:b/>
      <w:sz w:val="32"/>
      <w:szCs w:val="32"/>
    </w:rPr>
  </w:style>
  <w:style w:type="paragraph" w:customStyle="1" w:styleId="737">
    <w:name w:val="My标题3"/>
    <w:basedOn w:val="6"/>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38">
    <w:name w:val="Char Char51"/>
    <w:basedOn w:val="1"/>
    <w:qFormat/>
    <w:uiPriority w:val="0"/>
    <w:pPr>
      <w:spacing w:beforeLines="40" w:afterLines="40"/>
    </w:pPr>
    <w:rPr>
      <w:rFonts w:ascii="Tahoma" w:hAnsi="Tahoma"/>
      <w:sz w:val="36"/>
      <w:szCs w:val="36"/>
    </w:rPr>
  </w:style>
  <w:style w:type="paragraph" w:customStyle="1" w:styleId="739">
    <w:name w:val="样式4"/>
    <w:basedOn w:val="7"/>
    <w:next w:val="50"/>
    <w:qFormat/>
    <w:uiPriority w:val="0"/>
    <w:pPr>
      <w:spacing w:beforeLines="40" w:afterLines="40" w:line="374" w:lineRule="auto"/>
      <w:ind w:left="0" w:firstLine="0"/>
    </w:pPr>
    <w:rPr>
      <w:sz w:val="30"/>
    </w:rPr>
  </w:style>
  <w:style w:type="paragraph" w:customStyle="1" w:styleId="740">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1">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2">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3">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4">
    <w:name w:val="正文无缩进"/>
    <w:basedOn w:val="1"/>
    <w:qFormat/>
    <w:uiPriority w:val="0"/>
    <w:pPr>
      <w:tabs>
        <w:tab w:val="left" w:pos="420"/>
      </w:tabs>
      <w:spacing w:beforeLines="40" w:afterLines="40"/>
      <w:ind w:right="-154"/>
    </w:pPr>
  </w:style>
  <w:style w:type="paragraph" w:customStyle="1" w:styleId="745">
    <w:name w:val="枚举项"/>
    <w:basedOn w:val="1"/>
    <w:qFormat/>
    <w:uiPriority w:val="0"/>
    <w:pPr>
      <w:widowControl/>
      <w:tabs>
        <w:tab w:val="left" w:pos="1440"/>
      </w:tabs>
      <w:spacing w:beforeLines="40" w:afterLines="40"/>
      <w:jc w:val="left"/>
    </w:pPr>
    <w:rPr>
      <w:kern w:val="0"/>
    </w:rPr>
  </w:style>
  <w:style w:type="paragraph" w:customStyle="1" w:styleId="746">
    <w:name w:val="正文lzq"/>
    <w:basedOn w:val="1"/>
    <w:qFormat/>
    <w:uiPriority w:val="0"/>
    <w:pPr>
      <w:adjustRightInd w:val="0"/>
      <w:spacing w:beforeLines="40" w:afterLines="40"/>
      <w:ind w:firstLine="480"/>
    </w:pPr>
    <w:rPr>
      <w:kern w:val="0"/>
      <w:szCs w:val="20"/>
    </w:rPr>
  </w:style>
  <w:style w:type="paragraph" w:customStyle="1" w:styleId="747">
    <w:name w:val="themebody"/>
    <w:basedOn w:val="1"/>
    <w:qFormat/>
    <w:uiPriority w:val="0"/>
    <w:pPr>
      <w:widowControl/>
      <w:spacing w:beforeLines="40" w:afterLines="40"/>
      <w:jc w:val="left"/>
    </w:pPr>
    <w:rPr>
      <w:rFonts w:ascii="宋体" w:hAnsi="宋体" w:cs="宋体"/>
      <w:color w:val="FFFFFF"/>
      <w:kern w:val="0"/>
    </w:rPr>
  </w:style>
  <w:style w:type="paragraph" w:customStyle="1" w:styleId="748">
    <w:name w:val="正文应用"/>
    <w:basedOn w:val="1"/>
    <w:qFormat/>
    <w:uiPriority w:val="0"/>
    <w:pPr>
      <w:ind w:firstLine="480" w:firstLineChars="200"/>
      <w:jc w:val="left"/>
    </w:pPr>
    <w:rPr>
      <w:bCs/>
    </w:rPr>
  </w:style>
  <w:style w:type="paragraph" w:customStyle="1" w:styleId="749">
    <w:name w:val="封面正文"/>
    <w:qFormat/>
    <w:uiPriority w:val="0"/>
    <w:pPr>
      <w:jc w:val="both"/>
    </w:pPr>
    <w:rPr>
      <w:rFonts w:ascii="Times New Roman" w:hAnsi="Times New Roman" w:eastAsia="宋体" w:cs="Times New Roman"/>
      <w:lang w:val="en-US" w:eastAsia="zh-CN" w:bidi="ar-SA"/>
    </w:rPr>
  </w:style>
  <w:style w:type="paragraph" w:customStyle="1" w:styleId="750">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1">
    <w:name w:val="正文缩进1"/>
    <w:basedOn w:val="1"/>
    <w:qFormat/>
    <w:uiPriority w:val="0"/>
    <w:pPr>
      <w:ind w:firstLine="480"/>
    </w:pPr>
    <w:rPr>
      <w:rFonts w:cs="宋体"/>
      <w:szCs w:val="20"/>
    </w:rPr>
  </w:style>
  <w:style w:type="paragraph" w:customStyle="1" w:styleId="752">
    <w:name w:val="Char4"/>
    <w:basedOn w:val="1"/>
    <w:qFormat/>
    <w:uiPriority w:val="0"/>
    <w:rPr>
      <w:rFonts w:ascii="Tahoma" w:hAnsi="Tahoma"/>
      <w:szCs w:val="20"/>
    </w:rPr>
  </w:style>
  <w:style w:type="paragraph" w:customStyle="1" w:styleId="753">
    <w:name w:val="图样式"/>
    <w:basedOn w:val="1"/>
    <w:qFormat/>
    <w:uiPriority w:val="0"/>
    <w:pPr>
      <w:keepNext/>
      <w:widowControl/>
      <w:spacing w:before="80" w:after="80"/>
      <w:jc w:val="center"/>
    </w:pPr>
    <w:rPr>
      <w:szCs w:val="20"/>
    </w:rPr>
  </w:style>
  <w:style w:type="paragraph" w:customStyle="1" w:styleId="754">
    <w:name w:val="附录三级条标题"/>
    <w:basedOn w:val="1"/>
    <w:qFormat/>
    <w:uiPriority w:val="0"/>
    <w:pPr>
      <w:spacing w:line="312" w:lineRule="auto"/>
    </w:pPr>
  </w:style>
  <w:style w:type="paragraph" w:customStyle="1" w:styleId="755">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6">
    <w:name w:val="封面副标题"/>
    <w:basedOn w:val="1"/>
    <w:qFormat/>
    <w:uiPriority w:val="0"/>
    <w:pPr>
      <w:jc w:val="center"/>
    </w:pPr>
    <w:rPr>
      <w:rFonts w:ascii="宋体" w:hAnsi="宋体"/>
      <w:color w:val="000000"/>
      <w:sz w:val="44"/>
      <w:szCs w:val="20"/>
    </w:rPr>
  </w:style>
  <w:style w:type="paragraph" w:customStyle="1" w:styleId="75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58">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59">
    <w:name w:val="MM Topic 3"/>
    <w:basedOn w:val="6"/>
    <w:qFormat/>
    <w:uiPriority w:val="0"/>
    <w:pPr>
      <w:tabs>
        <w:tab w:val="left" w:pos="1418"/>
        <w:tab w:val="clear" w:pos="720"/>
      </w:tabs>
      <w:spacing w:beforeLines="40" w:afterLines="40" w:line="415" w:lineRule="auto"/>
      <w:ind w:left="0" w:firstLine="0"/>
    </w:pPr>
  </w:style>
  <w:style w:type="paragraph" w:customStyle="1" w:styleId="760">
    <w:name w:val="Char3"/>
    <w:basedOn w:val="1"/>
    <w:qFormat/>
    <w:uiPriority w:val="0"/>
    <w:rPr>
      <w:rFonts w:ascii="仿宋_GB2312" w:eastAsia="仿宋_GB2312"/>
      <w:b/>
      <w:sz w:val="32"/>
      <w:szCs w:val="32"/>
    </w:rPr>
  </w:style>
  <w:style w:type="paragraph" w:customStyle="1" w:styleId="761">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2">
    <w:name w:val="Paragraph3"/>
    <w:basedOn w:val="1"/>
    <w:qFormat/>
    <w:uiPriority w:val="0"/>
    <w:pPr>
      <w:spacing w:before="80" w:afterLines="50"/>
      <w:ind w:left="1530"/>
    </w:pPr>
    <w:rPr>
      <w:rFonts w:ascii="宋体"/>
      <w:snapToGrid w:val="0"/>
      <w:kern w:val="0"/>
      <w:szCs w:val="20"/>
    </w:rPr>
  </w:style>
  <w:style w:type="paragraph" w:customStyle="1" w:styleId="763">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4">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5">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6">
    <w:name w:val="Char12"/>
    <w:basedOn w:val="1"/>
    <w:qFormat/>
    <w:uiPriority w:val="0"/>
    <w:rPr>
      <w:rFonts w:ascii="仿宋_GB2312" w:eastAsia="仿宋_GB2312"/>
      <w:b/>
      <w:sz w:val="32"/>
      <w:szCs w:val="32"/>
    </w:rPr>
  </w:style>
  <w:style w:type="paragraph" w:customStyle="1" w:styleId="767">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68">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6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0">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1">
    <w:name w:val="样式 标题 2 + 五号"/>
    <w:basedOn w:val="2"/>
    <w:qFormat/>
    <w:uiPriority w:val="0"/>
    <w:pPr>
      <w:spacing w:before="0" w:after="0" w:line="240" w:lineRule="auto"/>
    </w:pPr>
    <w:rPr>
      <w:rFonts w:ascii="宋体" w:hAnsi="宋体" w:eastAsia="宋体"/>
      <w:sz w:val="21"/>
    </w:rPr>
  </w:style>
  <w:style w:type="paragraph" w:customStyle="1" w:styleId="772">
    <w:name w:val="样式 模板描述"/>
    <w:basedOn w:val="1"/>
    <w:next w:val="572"/>
    <w:qFormat/>
    <w:uiPriority w:val="0"/>
    <w:pPr>
      <w:spacing w:afterLines="50"/>
      <w:jc w:val="left"/>
    </w:pPr>
    <w:rPr>
      <w:rFonts w:ascii="宋体" w:cs="宋体"/>
      <w:i/>
      <w:iCs/>
      <w:snapToGrid w:val="0"/>
      <w:color w:val="0000FF"/>
      <w:kern w:val="0"/>
      <w:szCs w:val="21"/>
    </w:rPr>
  </w:style>
  <w:style w:type="paragraph" w:customStyle="1" w:styleId="773">
    <w:name w:val="标准标题3"/>
    <w:basedOn w:val="6"/>
    <w:qFormat/>
    <w:uiPriority w:val="0"/>
    <w:pPr>
      <w:tabs>
        <w:tab w:val="left" w:pos="1050"/>
        <w:tab w:val="clear" w:pos="720"/>
      </w:tabs>
      <w:spacing w:line="240" w:lineRule="auto"/>
      <w:ind w:left="-258" w:leftChars="-258"/>
    </w:pPr>
    <w:rPr>
      <w:rFonts w:eastAsia="仿宋_GB2312"/>
      <w:sz w:val="28"/>
    </w:rPr>
  </w:style>
  <w:style w:type="paragraph" w:customStyle="1" w:styleId="774">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5">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6">
    <w:name w:val="Test2"/>
    <w:basedOn w:val="2"/>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7">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78">
    <w:name w:val="表内文字"/>
    <w:basedOn w:val="1"/>
    <w:qFormat/>
    <w:uiPriority w:val="0"/>
    <w:pPr>
      <w:tabs>
        <w:tab w:val="left" w:pos="1418"/>
      </w:tabs>
      <w:jc w:val="center"/>
    </w:pPr>
    <w:rPr>
      <w:rFonts w:ascii="仿宋_GB2312" w:eastAsia="仿宋_GB2312"/>
      <w:spacing w:val="-20"/>
      <w:kern w:val="0"/>
    </w:rPr>
  </w:style>
  <w:style w:type="paragraph" w:customStyle="1" w:styleId="779">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0">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1">
    <w:name w:val="Date3"/>
    <w:basedOn w:val="1"/>
    <w:next w:val="1"/>
    <w:qFormat/>
    <w:uiPriority w:val="0"/>
    <w:pPr>
      <w:adjustRightInd w:val="0"/>
      <w:spacing w:beforeLines="40" w:afterLines="40" w:line="312" w:lineRule="atLeast"/>
    </w:pPr>
    <w:rPr>
      <w:kern w:val="0"/>
      <w:szCs w:val="20"/>
    </w:rPr>
  </w:style>
  <w:style w:type="paragraph" w:customStyle="1" w:styleId="782">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3">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4">
    <w:name w:val="默认段落字体 Para Char Char Char Char Char Char Char Char Char1 Char Char Char Char Char Char Char"/>
    <w:basedOn w:val="27"/>
    <w:qFormat/>
    <w:uiPriority w:val="0"/>
    <w:pPr>
      <w:shd w:val="clear" w:color="auto" w:fill="000080"/>
    </w:pPr>
    <w:rPr>
      <w:rFonts w:ascii="Times New Roman" w:hAnsi="Times New Roman"/>
      <w:kern w:val="2"/>
      <w:szCs w:val="24"/>
    </w:rPr>
  </w:style>
  <w:style w:type="paragraph" w:customStyle="1" w:styleId="785">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6">
    <w:name w:val="文本段落"/>
    <w:basedOn w:val="1"/>
    <w:qFormat/>
    <w:uiPriority w:val="0"/>
    <w:pPr>
      <w:spacing w:before="60" w:after="60"/>
      <w:ind w:left="709" w:firstLine="200" w:firstLineChars="200"/>
    </w:pPr>
    <w:rPr>
      <w:kern w:val="0"/>
      <w:szCs w:val="20"/>
    </w:rPr>
  </w:style>
  <w:style w:type="paragraph" w:customStyle="1" w:styleId="787">
    <w:name w:val="样式 标题 5H5Level 3 - iPIM 5Titre5Block Label1.1.1口h5Secon..."/>
    <w:basedOn w:val="8"/>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88">
    <w:name w:val="标题 5l"/>
    <w:basedOn w:val="8"/>
    <w:qFormat/>
    <w:uiPriority w:val="0"/>
    <w:pPr>
      <w:tabs>
        <w:tab w:val="left" w:pos="0"/>
        <w:tab w:val="clear" w:pos="1008"/>
      </w:tabs>
      <w:adjustRightInd w:val="0"/>
      <w:spacing w:beforeLines="40" w:afterLines="40" w:line="376" w:lineRule="atLeast"/>
      <w:ind w:left="0" w:firstLine="0"/>
    </w:pPr>
    <w:rPr>
      <w:kern w:val="0"/>
    </w:rPr>
  </w:style>
  <w:style w:type="paragraph" w:customStyle="1" w:styleId="78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0">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1">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2">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3">
    <w:name w:val="标题1"/>
    <w:basedOn w:val="48"/>
    <w:qFormat/>
    <w:uiPriority w:val="0"/>
    <w:pPr>
      <w:spacing w:beforeLines="0" w:afterLines="0" w:line="360" w:lineRule="auto"/>
    </w:pPr>
    <w:rPr>
      <w:b/>
      <w:sz w:val="30"/>
      <w:szCs w:val="20"/>
    </w:rPr>
  </w:style>
  <w:style w:type="paragraph" w:customStyle="1" w:styleId="794">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5">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6">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7">
    <w:name w:val="大表 mt"/>
    <w:basedOn w:val="1"/>
    <w:qFormat/>
    <w:uiPriority w:val="0"/>
    <w:pPr>
      <w:widowControl/>
      <w:jc w:val="left"/>
    </w:pPr>
    <w:rPr>
      <w:rFonts w:ascii="宋体" w:hAnsi="宋体" w:cs="宋体"/>
      <w:kern w:val="0"/>
      <w:szCs w:val="21"/>
    </w:rPr>
  </w:style>
  <w:style w:type="paragraph" w:customStyle="1" w:styleId="798">
    <w:name w:val="xl23"/>
    <w:basedOn w:val="1"/>
    <w:qFormat/>
    <w:uiPriority w:val="0"/>
    <w:pPr>
      <w:widowControl/>
      <w:spacing w:beforeLines="40" w:afterLines="40"/>
    </w:pPr>
    <w:rPr>
      <w:kern w:val="0"/>
    </w:rPr>
  </w:style>
  <w:style w:type="paragraph" w:customStyle="1" w:styleId="799">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0">
    <w:name w:val="样式 目录 3 + 段前: 0.2 行 段后: 0.2 行"/>
    <w:basedOn w:val="47"/>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2">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3">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4">
    <w:name w:val="样式 标题 3Chapter X.X.X. + 段后: 0.5 行1"/>
    <w:basedOn w:val="6"/>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5">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6">
    <w:name w:val="样式 标题 1 + 五号1 Char Char Char Char Char Char Char Char Char Char Char Char Char Char Char Char Char"/>
    <w:basedOn w:val="5"/>
    <w:qFormat/>
    <w:uiPriority w:val="0"/>
    <w:pPr>
      <w:keepNext/>
      <w:keepLines/>
      <w:autoSpaceDE/>
      <w:autoSpaceDN/>
      <w:adjustRightInd/>
      <w:spacing w:line="480" w:lineRule="auto"/>
      <w:jc w:val="both"/>
    </w:pPr>
    <w:rPr>
      <w:rFonts w:eastAsia="宋体"/>
      <w:kern w:val="44"/>
      <w:sz w:val="21"/>
      <w:szCs w:val="44"/>
    </w:rPr>
  </w:style>
  <w:style w:type="paragraph" w:customStyle="1" w:styleId="807">
    <w:name w:val="Char Char3 Char Char Char Char Char Char Char Char Char Char1"/>
    <w:basedOn w:val="1"/>
    <w:qFormat/>
    <w:uiPriority w:val="0"/>
    <w:rPr>
      <w:rFonts w:ascii="Tahoma" w:hAnsi="Tahoma"/>
      <w:sz w:val="36"/>
      <w:szCs w:val="36"/>
    </w:rPr>
  </w:style>
  <w:style w:type="paragraph" w:customStyle="1" w:styleId="808">
    <w:name w:val="标准标题1"/>
    <w:basedOn w:val="5"/>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09">
    <w:name w:val="标题一"/>
    <w:basedOn w:val="5"/>
    <w:next w:val="35"/>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0">
    <w:name w:val="简单回函地址"/>
    <w:basedOn w:val="1"/>
    <w:qFormat/>
    <w:uiPriority w:val="0"/>
    <w:pPr>
      <w:spacing w:beforeLines="40" w:afterLines="40"/>
    </w:pPr>
  </w:style>
  <w:style w:type="paragraph" w:customStyle="1" w:styleId="811">
    <w:name w:val="正文文字表格居中"/>
    <w:basedOn w:val="1"/>
    <w:next w:val="78"/>
    <w:qFormat/>
    <w:uiPriority w:val="0"/>
    <w:pPr>
      <w:spacing w:beforeLines="100" w:afterLines="50"/>
    </w:pPr>
    <w:rPr>
      <w:szCs w:val="18"/>
    </w:rPr>
  </w:style>
  <w:style w:type="paragraph" w:customStyle="1" w:styleId="812">
    <w:name w:val="附录五级条标题"/>
    <w:basedOn w:val="1"/>
    <w:qFormat/>
    <w:uiPriority w:val="0"/>
    <w:pPr>
      <w:spacing w:line="312" w:lineRule="auto"/>
    </w:pPr>
  </w:style>
  <w:style w:type="paragraph" w:customStyle="1" w:styleId="813">
    <w:name w:val="标准正文"/>
    <w:basedOn w:val="1"/>
    <w:qFormat/>
    <w:uiPriority w:val="0"/>
    <w:pPr>
      <w:adjustRightInd w:val="0"/>
      <w:spacing w:beforeLines="40" w:afterLines="40"/>
      <w:jc w:val="center"/>
    </w:pPr>
    <w:rPr>
      <w:kern w:val="0"/>
      <w:szCs w:val="20"/>
    </w:rPr>
  </w:style>
  <w:style w:type="paragraph" w:customStyle="1" w:styleId="814">
    <w:name w:val="MM Topic 5"/>
    <w:basedOn w:val="8"/>
    <w:qFormat/>
    <w:uiPriority w:val="0"/>
    <w:pPr>
      <w:tabs>
        <w:tab w:val="left" w:pos="2551"/>
        <w:tab w:val="clear" w:pos="1008"/>
      </w:tabs>
      <w:spacing w:beforeLines="40" w:afterLines="40" w:line="374" w:lineRule="auto"/>
      <w:ind w:left="0" w:firstLine="0"/>
    </w:pPr>
  </w:style>
  <w:style w:type="paragraph" w:customStyle="1" w:styleId="815">
    <w:name w:val="正文居中标题1"/>
    <w:basedOn w:val="1"/>
    <w:qFormat/>
    <w:uiPriority w:val="0"/>
    <w:pPr>
      <w:spacing w:before="100" w:beforeAutospacing="1" w:after="100" w:afterAutospacing="1"/>
      <w:jc w:val="center"/>
    </w:pPr>
    <w:rPr>
      <w:rFonts w:eastAsia="隶书"/>
      <w:b/>
      <w:bCs/>
      <w:sz w:val="84"/>
    </w:rPr>
  </w:style>
  <w:style w:type="paragraph" w:customStyle="1" w:styleId="816">
    <w:name w:val="Paragraph1"/>
    <w:basedOn w:val="1"/>
    <w:qFormat/>
    <w:uiPriority w:val="0"/>
    <w:pPr>
      <w:spacing w:before="80" w:afterLines="50"/>
    </w:pPr>
    <w:rPr>
      <w:rFonts w:ascii="宋体"/>
      <w:snapToGrid w:val="0"/>
      <w:kern w:val="0"/>
      <w:szCs w:val="20"/>
    </w:rPr>
  </w:style>
  <w:style w:type="paragraph" w:customStyle="1" w:styleId="817">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18">
    <w:name w:val="Char1 Char Char Char"/>
    <w:basedOn w:val="1"/>
    <w:qFormat/>
    <w:uiPriority w:val="0"/>
    <w:rPr>
      <w:rFonts w:ascii="Tahoma" w:hAnsi="Tahoma"/>
      <w:szCs w:val="20"/>
    </w:rPr>
  </w:style>
  <w:style w:type="paragraph" w:customStyle="1" w:styleId="819">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20">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1">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2">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3">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4">
    <w:name w:val="分项斜体"/>
    <w:basedOn w:val="1"/>
    <w:qFormat/>
    <w:uiPriority w:val="0"/>
    <w:pPr>
      <w:widowControl/>
      <w:spacing w:beforeLines="40" w:afterLines="40"/>
      <w:jc w:val="left"/>
    </w:pPr>
    <w:rPr>
      <w:i/>
      <w:kern w:val="0"/>
    </w:rPr>
  </w:style>
  <w:style w:type="paragraph" w:customStyle="1" w:styleId="825">
    <w:name w:val="数字标题6"/>
    <w:basedOn w:val="9"/>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6">
    <w:name w:val="样式 标题 4H4PIM 5h4blbbPIM 44th level + 右侧:  0 厘米 行距: 1.5 倍..."/>
    <w:basedOn w:val="7"/>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7">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28">
    <w:name w:val="MM Topic 2"/>
    <w:basedOn w:val="2"/>
    <w:qFormat/>
    <w:uiPriority w:val="0"/>
    <w:pPr>
      <w:tabs>
        <w:tab w:val="left" w:pos="992"/>
        <w:tab w:val="clear" w:pos="576"/>
      </w:tabs>
      <w:spacing w:beforeLines="40" w:afterLines="40" w:line="415" w:lineRule="auto"/>
      <w:ind w:left="0" w:firstLine="0"/>
    </w:pPr>
  </w:style>
  <w:style w:type="paragraph" w:customStyle="1" w:styleId="829">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0">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1">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2">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3">
    <w:name w:val="样式 题注 + 居中"/>
    <w:basedOn w:val="23"/>
    <w:qFormat/>
    <w:uiPriority w:val="0"/>
    <w:pPr>
      <w:spacing w:beforeLines="40" w:afterLines="40"/>
      <w:jc w:val="center"/>
    </w:pPr>
    <w:rPr>
      <w:rFonts w:cs="宋体"/>
      <w:sz w:val="24"/>
    </w:rPr>
  </w:style>
  <w:style w:type="paragraph" w:customStyle="1" w:styleId="834">
    <w:name w:val="Char2 Char Char Char1"/>
    <w:basedOn w:val="1"/>
    <w:qFormat/>
    <w:uiPriority w:val="0"/>
    <w:rPr>
      <w:rFonts w:ascii="仿宋_GB2312"/>
      <w:b/>
      <w:sz w:val="30"/>
      <w:szCs w:val="32"/>
    </w:rPr>
  </w:style>
  <w:style w:type="paragraph" w:customStyle="1" w:styleId="835">
    <w:name w:val="Char41"/>
    <w:basedOn w:val="1"/>
    <w:qFormat/>
    <w:uiPriority w:val="0"/>
    <w:rPr>
      <w:rFonts w:ascii="仿宋_GB2312" w:eastAsia="仿宋_GB2312"/>
      <w:b/>
      <w:sz w:val="32"/>
      <w:szCs w:val="32"/>
    </w:rPr>
  </w:style>
  <w:style w:type="paragraph" w:customStyle="1" w:styleId="836">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7">
    <w:name w:val="默认段落字体 Para Char Char Char Char Char Char Char Char Char1 Char Char Char Char"/>
    <w:basedOn w:val="1"/>
    <w:qFormat/>
    <w:uiPriority w:val="0"/>
    <w:rPr>
      <w:rFonts w:ascii="Tahoma" w:hAnsi="Tahoma"/>
      <w:szCs w:val="20"/>
    </w:rPr>
  </w:style>
  <w:style w:type="paragraph" w:customStyle="1" w:styleId="838">
    <w:name w:val="章正文"/>
    <w:basedOn w:val="1"/>
    <w:qFormat/>
    <w:uiPriority w:val="0"/>
    <w:pPr>
      <w:spacing w:beforeLines="50" w:after="120" w:line="300" w:lineRule="auto"/>
      <w:ind w:firstLine="480"/>
    </w:pPr>
    <w:rPr>
      <w:rFonts w:ascii="Helvetica" w:hAnsi="Helvetica"/>
      <w:kern w:val="0"/>
    </w:rPr>
  </w:style>
  <w:style w:type="paragraph" w:customStyle="1" w:styleId="839">
    <w:name w:val="图1"/>
    <w:basedOn w:val="75"/>
    <w:qFormat/>
    <w:uiPriority w:val="0"/>
    <w:pPr>
      <w:spacing w:beforeLines="40" w:afterLines="40"/>
      <w:ind w:left="0" w:firstLine="0"/>
      <w:jc w:val="center"/>
    </w:pPr>
    <w:rPr>
      <w:rFonts w:ascii="宋体" w:hAnsi="宋体"/>
      <w:b/>
      <w:bCs/>
      <w:smallCaps w:val="0"/>
      <w:sz w:val="18"/>
      <w:szCs w:val="24"/>
    </w:rPr>
  </w:style>
  <w:style w:type="paragraph" w:customStyle="1" w:styleId="840">
    <w:name w:val="样式 标题 1H1章PIM 1Section Headh1l1Heading 0H11H12H111H13..."/>
    <w:basedOn w:val="5"/>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1">
    <w:name w:val="正文 + 宋体"/>
    <w:basedOn w:val="83"/>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2">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3">
    <w:name w:val="样式 标题 2第一章 标题 2Heading 2 HiddenHeading 2 CCBSheading 2H2h2..."/>
    <w:basedOn w:val="2"/>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4">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5">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6">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7">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48">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4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0">
    <w:name w:val="P3"/>
    <w:basedOn w:val="1"/>
    <w:qFormat/>
    <w:uiPriority w:val="0"/>
    <w:pPr>
      <w:widowControl/>
      <w:spacing w:before="240" w:line="240" w:lineRule="atLeast"/>
      <w:ind w:left="1152"/>
      <w:jc w:val="left"/>
    </w:pPr>
    <w:rPr>
      <w:b/>
      <w:kern w:val="0"/>
      <w:szCs w:val="21"/>
      <w:lang w:val="en-AU" w:eastAsia="en-US"/>
    </w:rPr>
  </w:style>
  <w:style w:type="paragraph" w:customStyle="1" w:styleId="851">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2">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3">
    <w:name w:val="默认段落字体 Para Char Char Char Char Char Char Char Char Char Char Char Char Char"/>
    <w:basedOn w:val="1"/>
    <w:qFormat/>
    <w:uiPriority w:val="0"/>
    <w:rPr>
      <w:rFonts w:ascii="Tahoma" w:hAnsi="Tahoma"/>
      <w:szCs w:val="20"/>
    </w:rPr>
  </w:style>
  <w:style w:type="paragraph" w:customStyle="1" w:styleId="854">
    <w:name w:val="标准有序列表（L1）"/>
    <w:basedOn w:val="22"/>
    <w:qFormat/>
    <w:uiPriority w:val="0"/>
    <w:pPr>
      <w:tabs>
        <w:tab w:val="left" w:pos="0"/>
      </w:tabs>
      <w:ind w:firstLine="0"/>
    </w:pPr>
    <w:rPr>
      <w:rFonts w:ascii="黑体" w:eastAsia="黑体"/>
      <w:color w:val="000000"/>
    </w:rPr>
  </w:style>
  <w:style w:type="paragraph" w:customStyle="1" w:styleId="855">
    <w:name w:val="样式 宋体 小四 行距: 1.5 倍行距1"/>
    <w:basedOn w:val="1"/>
    <w:qFormat/>
    <w:uiPriority w:val="0"/>
    <w:pPr>
      <w:spacing w:beforeLines="40" w:afterLines="40"/>
    </w:pPr>
    <w:rPr>
      <w:rFonts w:ascii="宋体" w:hAnsi="宋体"/>
      <w:szCs w:val="20"/>
    </w:rPr>
  </w:style>
  <w:style w:type="paragraph" w:customStyle="1" w:styleId="856">
    <w:name w:val="二级项目符号"/>
    <w:basedOn w:val="1"/>
    <w:qFormat/>
    <w:uiPriority w:val="0"/>
    <w:pPr>
      <w:widowControl/>
      <w:tabs>
        <w:tab w:val="left" w:pos="964"/>
      </w:tabs>
      <w:ind w:left="964" w:hanging="482"/>
    </w:pPr>
    <w:rPr>
      <w:kern w:val="0"/>
      <w:szCs w:val="20"/>
    </w:rPr>
  </w:style>
  <w:style w:type="paragraph" w:customStyle="1" w:styleId="857">
    <w:name w:val="Char2"/>
    <w:basedOn w:val="1"/>
    <w:qFormat/>
    <w:uiPriority w:val="0"/>
    <w:rPr>
      <w:rFonts w:ascii="Tahoma" w:hAnsi="Tahoma"/>
      <w:szCs w:val="20"/>
    </w:rPr>
  </w:style>
  <w:style w:type="paragraph" w:customStyle="1" w:styleId="858">
    <w:name w:val="Char Char41"/>
    <w:basedOn w:val="1"/>
    <w:qFormat/>
    <w:uiPriority w:val="0"/>
    <w:pPr>
      <w:spacing w:beforeLines="40" w:afterLines="40"/>
    </w:pPr>
    <w:rPr>
      <w:rFonts w:ascii="Tahoma" w:hAnsi="Tahoma"/>
      <w:sz w:val="36"/>
      <w:szCs w:val="36"/>
    </w:rPr>
  </w:style>
  <w:style w:type="paragraph" w:customStyle="1" w:styleId="859">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0">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1">
    <w:name w:val="MM Topic 1"/>
    <w:basedOn w:val="5"/>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2">
    <w:name w:val="Char3 Char Char Char1"/>
    <w:basedOn w:val="1"/>
    <w:qFormat/>
    <w:uiPriority w:val="0"/>
    <w:pPr>
      <w:widowControl/>
      <w:spacing w:after="160" w:line="240" w:lineRule="exact"/>
      <w:jc w:val="left"/>
    </w:pPr>
    <w:rPr>
      <w:szCs w:val="20"/>
    </w:rPr>
  </w:style>
  <w:style w:type="paragraph" w:customStyle="1" w:styleId="863">
    <w:name w:val="color333333"/>
    <w:basedOn w:val="1"/>
    <w:qFormat/>
    <w:uiPriority w:val="0"/>
    <w:pPr>
      <w:widowControl/>
      <w:spacing w:beforeLines="40" w:afterLines="40"/>
      <w:jc w:val="left"/>
    </w:pPr>
    <w:rPr>
      <w:rFonts w:ascii="宋体" w:hAnsi="宋体" w:cs="宋体"/>
      <w:color w:val="333333"/>
      <w:kern w:val="0"/>
    </w:rPr>
  </w:style>
  <w:style w:type="paragraph" w:customStyle="1" w:styleId="864">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6">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7">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68">
    <w:name w:val="MM Topic 4"/>
    <w:basedOn w:val="7"/>
    <w:qFormat/>
    <w:uiPriority w:val="0"/>
    <w:pPr>
      <w:tabs>
        <w:tab w:val="left" w:pos="1984"/>
        <w:tab w:val="clear" w:pos="864"/>
      </w:tabs>
      <w:spacing w:beforeLines="40" w:afterLines="40" w:line="374" w:lineRule="auto"/>
      <w:ind w:left="0" w:firstLine="0"/>
    </w:pPr>
  </w:style>
  <w:style w:type="paragraph" w:customStyle="1" w:styleId="869">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70">
    <w:name w:val="标题四"/>
    <w:basedOn w:val="1"/>
    <w:next w:val="1"/>
    <w:qFormat/>
    <w:uiPriority w:val="0"/>
    <w:rPr>
      <w:rFonts w:eastAsia="黑体"/>
    </w:rPr>
  </w:style>
  <w:style w:type="paragraph" w:customStyle="1" w:styleId="871">
    <w:name w:val="表格标注"/>
    <w:basedOn w:val="1"/>
    <w:qFormat/>
    <w:uiPriority w:val="0"/>
    <w:pPr>
      <w:spacing w:before="152" w:after="160" w:line="300" w:lineRule="auto"/>
      <w:jc w:val="right"/>
    </w:pPr>
    <w:rPr>
      <w:rFonts w:ascii="黑体" w:hAnsi="Arial" w:eastAsia="黑体" w:cs="宋体"/>
      <w:szCs w:val="20"/>
    </w:rPr>
  </w:style>
  <w:style w:type="paragraph" w:customStyle="1" w:styleId="872">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3">
    <w:name w:val="Char1 Char Char Char1"/>
    <w:basedOn w:val="1"/>
    <w:qFormat/>
    <w:uiPriority w:val="0"/>
    <w:rPr>
      <w:rFonts w:ascii="Tahoma" w:hAnsi="Tahoma"/>
      <w:szCs w:val="20"/>
    </w:rPr>
  </w:style>
  <w:style w:type="paragraph" w:customStyle="1" w:styleId="874">
    <w:name w:val="标题 38"/>
    <w:basedOn w:val="1"/>
    <w:qFormat/>
    <w:uiPriority w:val="0"/>
    <w:pPr>
      <w:adjustRightInd w:val="0"/>
      <w:snapToGrid w:val="0"/>
      <w:ind w:left="-2" w:leftChars="-1"/>
    </w:pPr>
    <w:rPr>
      <w:rFonts w:ascii="Arial" w:hAnsi="Arial" w:cs="Arial"/>
    </w:rPr>
  </w:style>
  <w:style w:type="paragraph" w:customStyle="1" w:styleId="875">
    <w:name w:val="Date2"/>
    <w:basedOn w:val="1"/>
    <w:next w:val="1"/>
    <w:qFormat/>
    <w:uiPriority w:val="0"/>
    <w:pPr>
      <w:adjustRightInd w:val="0"/>
      <w:spacing w:beforeLines="40" w:afterLines="40" w:line="312" w:lineRule="atLeast"/>
    </w:pPr>
    <w:rPr>
      <w:kern w:val="0"/>
      <w:szCs w:val="20"/>
    </w:rPr>
  </w:style>
  <w:style w:type="paragraph" w:customStyle="1" w:styleId="876">
    <w:name w:val="项目符2"/>
    <w:basedOn w:val="1"/>
    <w:qFormat/>
    <w:uiPriority w:val="0"/>
    <w:pPr>
      <w:tabs>
        <w:tab w:val="left" w:pos="840"/>
      </w:tabs>
      <w:spacing w:afterLines="50"/>
      <w:ind w:left="1260" w:hanging="420"/>
    </w:pPr>
    <w:rPr>
      <w:szCs w:val="21"/>
    </w:rPr>
  </w:style>
  <w:style w:type="paragraph" w:customStyle="1" w:styleId="877">
    <w:name w:val="表格正文"/>
    <w:basedOn w:val="1"/>
    <w:qFormat/>
    <w:uiPriority w:val="0"/>
    <w:pPr>
      <w:adjustRightInd w:val="0"/>
      <w:snapToGrid w:val="0"/>
      <w:spacing w:before="60" w:after="60"/>
      <w:jc w:val="center"/>
      <w:textAlignment w:val="baseline"/>
    </w:pPr>
    <w:rPr>
      <w:kern w:val="0"/>
      <w:szCs w:val="20"/>
    </w:rPr>
  </w:style>
  <w:style w:type="paragraph" w:customStyle="1" w:styleId="878">
    <w:name w:val="示例"/>
    <w:next w:val="323"/>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79">
    <w:name w:val="沈标题四"/>
    <w:basedOn w:val="7"/>
    <w:next w:val="1"/>
    <w:qFormat/>
    <w:uiPriority w:val="0"/>
    <w:pPr>
      <w:keepNext w:val="0"/>
      <w:keepLines w:val="0"/>
      <w:spacing w:line="377" w:lineRule="auto"/>
    </w:pPr>
    <w:rPr>
      <w:rFonts w:ascii="Arial Narrow" w:hAnsi="Arial Narrow" w:eastAsia="方正姚体"/>
      <w:b w:val="0"/>
      <w:sz w:val="24"/>
      <w:szCs w:val="24"/>
    </w:rPr>
  </w:style>
  <w:style w:type="paragraph" w:customStyle="1" w:styleId="880">
    <w:name w:val="中文标题 2"/>
    <w:basedOn w:val="38"/>
    <w:next w:val="38"/>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1">
    <w:name w:val="p2"/>
    <w:basedOn w:val="1"/>
    <w:qFormat/>
    <w:uiPriority w:val="0"/>
    <w:pPr>
      <w:widowControl/>
      <w:spacing w:beforeLines="40" w:afterLines="40" w:line="397" w:lineRule="atLeast"/>
      <w:jc w:val="left"/>
    </w:pPr>
    <w:rPr>
      <w:rFonts w:ascii="宋体" w:hAnsi="宋体" w:cs="宋体"/>
      <w:kern w:val="0"/>
    </w:rPr>
  </w:style>
  <w:style w:type="paragraph" w:customStyle="1" w:styleId="882">
    <w:name w:val="数字标题4"/>
    <w:basedOn w:val="7"/>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3">
    <w:name w:val="数字标题5"/>
    <w:basedOn w:val="8"/>
    <w:next w:val="1"/>
    <w:qFormat/>
    <w:uiPriority w:val="0"/>
    <w:pPr>
      <w:tabs>
        <w:tab w:val="left" w:pos="1080"/>
        <w:tab w:val="clear" w:pos="1008"/>
      </w:tabs>
      <w:ind w:left="1080" w:hanging="1080"/>
    </w:pPr>
    <w:rPr>
      <w:kern w:val="0"/>
    </w:rPr>
  </w:style>
  <w:style w:type="paragraph" w:customStyle="1" w:styleId="884">
    <w:name w:val="标准书眉_偶数页"/>
    <w:basedOn w:val="674"/>
    <w:next w:val="1"/>
    <w:qFormat/>
    <w:uiPriority w:val="0"/>
    <w:pPr>
      <w:jc w:val="left"/>
    </w:pPr>
  </w:style>
  <w:style w:type="paragraph" w:customStyle="1" w:styleId="885">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6">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7">
    <w:name w:val="默认段落字体 Para Char"/>
    <w:basedOn w:val="1"/>
    <w:qFormat/>
    <w:uiPriority w:val="0"/>
    <w:pPr>
      <w:adjustRightInd w:val="0"/>
      <w:ind w:firstLine="480"/>
    </w:pPr>
    <w:rPr>
      <w:rFonts w:ascii="宋体" w:hAnsi="宋体"/>
      <w:kern w:val="0"/>
      <w:szCs w:val="20"/>
    </w:rPr>
  </w:style>
  <w:style w:type="paragraph" w:customStyle="1" w:styleId="888">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89">
    <w:name w:val="样式 标题 4h4First SubheadingH4sect 1.2.3.4Ref Heading 1rh1se..."/>
    <w:basedOn w:val="7"/>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0">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1">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3">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4">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5">
    <w:name w:val="样式3 (1)"/>
    <w:basedOn w:val="1"/>
    <w:qFormat/>
    <w:uiPriority w:val="0"/>
    <w:pPr>
      <w:widowControl/>
      <w:tabs>
        <w:tab w:val="left" w:pos="510"/>
      </w:tabs>
      <w:adjustRightInd w:val="0"/>
    </w:pPr>
    <w:rPr>
      <w:kern w:val="0"/>
      <w:szCs w:val="20"/>
    </w:rPr>
  </w:style>
  <w:style w:type="paragraph" w:customStyle="1" w:styleId="896">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7">
    <w:name w:val="文档正文 Char Char"/>
    <w:basedOn w:val="1"/>
    <w:qFormat/>
    <w:uiPriority w:val="0"/>
    <w:pPr>
      <w:adjustRightInd w:val="0"/>
      <w:spacing w:beforeLines="40" w:afterLines="40"/>
      <w:ind w:firstLine="200" w:firstLineChars="200"/>
    </w:pPr>
    <w:rPr>
      <w:kern w:val="0"/>
      <w:szCs w:val="28"/>
    </w:rPr>
  </w:style>
  <w:style w:type="paragraph" w:customStyle="1" w:styleId="898">
    <w:name w:val="Char5"/>
    <w:basedOn w:val="1"/>
    <w:qFormat/>
    <w:uiPriority w:val="0"/>
    <w:rPr>
      <w:szCs w:val="20"/>
    </w:rPr>
  </w:style>
  <w:style w:type="paragraph" w:customStyle="1" w:styleId="899">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0">
    <w:name w:val="Char21"/>
    <w:basedOn w:val="1"/>
    <w:qFormat/>
    <w:uiPriority w:val="0"/>
    <w:rPr>
      <w:rFonts w:ascii="仿宋_GB2312" w:eastAsia="仿宋_GB2312"/>
      <w:b/>
      <w:sz w:val="32"/>
      <w:szCs w:val="32"/>
    </w:rPr>
  </w:style>
  <w:style w:type="paragraph" w:customStyle="1" w:styleId="901">
    <w:name w:val="msolistparagraph"/>
    <w:basedOn w:val="1"/>
    <w:qFormat/>
    <w:uiPriority w:val="0"/>
    <w:pPr>
      <w:ind w:firstLine="420" w:firstLineChars="200"/>
    </w:pPr>
  </w:style>
  <w:style w:type="paragraph" w:customStyle="1" w:styleId="902">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3">
    <w:name w:val="数字标题1"/>
    <w:basedOn w:val="5"/>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4">
    <w:name w:val="标题 39"/>
    <w:basedOn w:val="1"/>
    <w:qFormat/>
    <w:uiPriority w:val="0"/>
    <w:pPr>
      <w:adjustRightInd w:val="0"/>
      <w:snapToGrid w:val="0"/>
      <w:ind w:left="-2" w:leftChars="-1"/>
    </w:pPr>
    <w:rPr>
      <w:rFonts w:ascii="Arial" w:hAnsi="Arial" w:cs="Arial"/>
    </w:rPr>
  </w:style>
  <w:style w:type="paragraph" w:customStyle="1" w:styleId="905">
    <w:name w:val="封面标准代替信息"/>
    <w:basedOn w:val="677"/>
    <w:qFormat/>
    <w:uiPriority w:val="0"/>
    <w:pPr>
      <w:spacing w:before="57"/>
    </w:pPr>
    <w:rPr>
      <w:rFonts w:ascii="宋体"/>
      <w:sz w:val="21"/>
    </w:rPr>
  </w:style>
  <w:style w:type="paragraph" w:customStyle="1" w:styleId="906">
    <w:name w:val="参考文献、索引标题"/>
    <w:basedOn w:val="725"/>
    <w:next w:val="1"/>
    <w:qFormat/>
    <w:uiPriority w:val="0"/>
    <w:pPr>
      <w:shd w:val="clear" w:color="FFFFFF" w:fill="FFFFFF"/>
      <w:spacing w:beforeLines="0" w:afterLines="0"/>
    </w:pPr>
    <w:rPr>
      <w:sz w:val="21"/>
    </w:rPr>
  </w:style>
  <w:style w:type="paragraph" w:customStyle="1" w:styleId="907">
    <w:name w:val="模板普通正文"/>
    <w:basedOn w:val="38"/>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08">
    <w:name w:val="招标标题4"/>
    <w:basedOn w:val="7"/>
    <w:next w:val="226"/>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09">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0">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1">
    <w:name w:val="左对齐的表内文字"/>
    <w:basedOn w:val="1"/>
    <w:qFormat/>
    <w:uiPriority w:val="0"/>
    <w:rPr>
      <w:rFonts w:eastAsia="仿宋_GB2312" w:cs="宋体"/>
      <w:szCs w:val="20"/>
    </w:rPr>
  </w:style>
  <w:style w:type="paragraph" w:customStyle="1" w:styleId="912">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3">
    <w:name w:val="Char1 Char Char Char2"/>
    <w:basedOn w:val="1"/>
    <w:qFormat/>
    <w:uiPriority w:val="0"/>
    <w:pPr>
      <w:spacing w:beforeLines="40" w:afterLines="40"/>
    </w:pPr>
    <w:rPr>
      <w:rFonts w:ascii="Tahoma" w:hAnsi="Tahoma"/>
      <w:szCs w:val="20"/>
    </w:rPr>
  </w:style>
  <w:style w:type="paragraph" w:customStyle="1" w:styleId="914">
    <w:name w:val="paragraph1"/>
    <w:basedOn w:val="1"/>
    <w:qFormat/>
    <w:uiPriority w:val="0"/>
    <w:pPr>
      <w:spacing w:afterLines="30"/>
      <w:ind w:firstLine="420" w:firstLineChars="200"/>
    </w:pPr>
    <w:rPr>
      <w:rFonts w:eastAsia="楷体_GB2312"/>
      <w:szCs w:val="20"/>
    </w:rPr>
  </w:style>
  <w:style w:type="paragraph" w:customStyle="1" w:styleId="915">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6">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7">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18">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19">
    <w:name w:val="项目编号"/>
    <w:basedOn w:val="1"/>
    <w:qFormat/>
    <w:uiPriority w:val="0"/>
    <w:pPr>
      <w:spacing w:before="156" w:after="156"/>
    </w:pPr>
    <w:rPr>
      <w:rFonts w:ascii="Arial" w:hAnsi="Arial" w:eastAsia="仿宋_GB2312"/>
      <w:szCs w:val="20"/>
    </w:rPr>
  </w:style>
  <w:style w:type="paragraph" w:customStyle="1" w:styleId="920">
    <w:name w:val="备注说明 Char Char Char"/>
    <w:basedOn w:val="69"/>
    <w:qFormat/>
    <w:uiPriority w:val="0"/>
    <w:pPr>
      <w:adjustRightInd w:val="0"/>
      <w:spacing w:beforeLines="40" w:afterLines="40" w:line="312" w:lineRule="atLeast"/>
      <w:ind w:left="420" w:hanging="420"/>
    </w:pPr>
    <w:rPr>
      <w:sz w:val="21"/>
      <w:szCs w:val="20"/>
    </w:rPr>
  </w:style>
  <w:style w:type="paragraph" w:customStyle="1" w:styleId="921">
    <w:name w:val="样式 标题 2Chapter X.X. Statementh22Header 2l2Level 2 Headhea...1"/>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922">
    <w:name w:val="表格样式"/>
    <w:basedOn w:val="1"/>
    <w:qFormat/>
    <w:uiPriority w:val="0"/>
    <w:pPr>
      <w:spacing w:beforeLines="40" w:afterLines="40"/>
    </w:pPr>
    <w:rPr>
      <w:rFonts w:eastAsia="幼圆"/>
      <w:szCs w:val="20"/>
    </w:rPr>
  </w:style>
  <w:style w:type="paragraph" w:customStyle="1" w:styleId="923">
    <w:name w:val="附录一级条标题"/>
    <w:basedOn w:val="1"/>
    <w:qFormat/>
    <w:uiPriority w:val="0"/>
    <w:pPr>
      <w:spacing w:line="312" w:lineRule="auto"/>
    </w:pPr>
  </w:style>
  <w:style w:type="paragraph" w:customStyle="1" w:styleId="924">
    <w:name w:val="FA正文+标号"/>
    <w:basedOn w:val="1"/>
    <w:qFormat/>
    <w:uiPriority w:val="0"/>
    <w:pPr>
      <w:tabs>
        <w:tab w:val="left" w:pos="3375"/>
      </w:tabs>
      <w:spacing w:line="400" w:lineRule="exact"/>
    </w:pPr>
    <w:rPr>
      <w:rFonts w:ascii="仿宋_GB2312" w:hAnsi="宋体" w:eastAsia="仿宋_GB2312"/>
    </w:rPr>
  </w:style>
  <w:style w:type="paragraph" w:customStyle="1" w:styleId="925">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6">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7">
    <w:name w:val="样式5"/>
    <w:basedOn w:val="10"/>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28">
    <w:name w:val="MM Topic 6"/>
    <w:basedOn w:val="9"/>
    <w:qFormat/>
    <w:uiPriority w:val="0"/>
    <w:pPr>
      <w:tabs>
        <w:tab w:val="left" w:pos="567"/>
        <w:tab w:val="clear" w:pos="1152"/>
      </w:tabs>
      <w:spacing w:beforeLines="40" w:afterLines="40" w:line="319" w:lineRule="auto"/>
      <w:ind w:left="0" w:firstLine="0"/>
    </w:pPr>
    <w:rPr>
      <w:szCs w:val="24"/>
    </w:rPr>
  </w:style>
  <w:style w:type="paragraph" w:customStyle="1" w:styleId="929">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0">
    <w:name w:val="样式 标题 1 + Arial 段前: 0.5 行 段后: 0.5 行"/>
    <w:basedOn w:val="5"/>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1">
    <w:name w:val="Plain Text1"/>
    <w:basedOn w:val="1"/>
    <w:qFormat/>
    <w:uiPriority w:val="0"/>
    <w:pPr>
      <w:autoSpaceDE w:val="0"/>
      <w:autoSpaceDN w:val="0"/>
      <w:adjustRightInd w:val="0"/>
    </w:pPr>
    <w:rPr>
      <w:rFonts w:hint="eastAsia" w:ascii="宋体" w:hAnsi="宋体"/>
      <w:szCs w:val="20"/>
    </w:rPr>
  </w:style>
  <w:style w:type="paragraph" w:customStyle="1" w:styleId="932">
    <w:name w:val="Char4 Char Char Char Char Char Char Char Char Char Char Char Char Char"/>
    <w:basedOn w:val="1"/>
    <w:qFormat/>
    <w:uiPriority w:val="0"/>
    <w:rPr>
      <w:rFonts w:ascii="Tahoma" w:hAnsi="Tahoma"/>
      <w:sz w:val="36"/>
      <w:szCs w:val="36"/>
    </w:rPr>
  </w:style>
  <w:style w:type="paragraph" w:customStyle="1" w:styleId="933">
    <w:name w:val="样式1"/>
    <w:basedOn w:val="1"/>
    <w:qFormat/>
    <w:uiPriority w:val="0"/>
    <w:pPr>
      <w:spacing w:beforeLines="40" w:afterLines="40" w:line="300" w:lineRule="auto"/>
      <w:ind w:firstLine="480" w:firstLineChars="200"/>
    </w:pPr>
  </w:style>
  <w:style w:type="paragraph" w:customStyle="1" w:styleId="934">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5">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6">
    <w:name w:val="S4-L15-No"/>
    <w:basedOn w:val="937"/>
    <w:qFormat/>
    <w:uiPriority w:val="0"/>
    <w:pPr>
      <w:tabs>
        <w:tab w:val="left" w:pos="720"/>
      </w:tabs>
      <w:ind w:hanging="720"/>
    </w:pPr>
  </w:style>
  <w:style w:type="paragraph" w:customStyle="1" w:styleId="937">
    <w:name w:val="S4-L15"/>
    <w:basedOn w:val="1"/>
    <w:qFormat/>
    <w:uiPriority w:val="0"/>
    <w:pPr>
      <w:spacing w:after="120"/>
      <w:ind w:left="720" w:firstLine="392"/>
    </w:pPr>
    <w:rPr>
      <w:szCs w:val="21"/>
      <w:lang w:val="fr-FR"/>
    </w:rPr>
  </w:style>
  <w:style w:type="paragraph" w:customStyle="1" w:styleId="938">
    <w:name w:val="列表（编号二级）（绿盟科技）"/>
    <w:basedOn w:val="939"/>
    <w:qFormat/>
    <w:uiPriority w:val="0"/>
    <w:pPr>
      <w:spacing w:beforeLines="0"/>
      <w:ind w:left="1260"/>
    </w:pPr>
  </w:style>
  <w:style w:type="paragraph" w:customStyle="1" w:styleId="939">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40">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1">
    <w:name w:val="図"/>
    <w:basedOn w:val="35"/>
    <w:next w:val="1"/>
    <w:qFormat/>
    <w:uiPriority w:val="0"/>
    <w:pPr>
      <w:spacing w:beforeLines="50" w:after="0"/>
      <w:jc w:val="center"/>
    </w:pPr>
    <w:rPr>
      <w:rFonts w:ascii="Century" w:hAnsi="Century" w:eastAsia="MS PMincho"/>
      <w:sz w:val="21"/>
      <w:lang w:eastAsia="ja-JP"/>
    </w:rPr>
  </w:style>
  <w:style w:type="paragraph" w:customStyle="1" w:styleId="942">
    <w:name w:val="表格文字"/>
    <w:basedOn w:val="1"/>
    <w:qFormat/>
    <w:uiPriority w:val="0"/>
    <w:pPr>
      <w:jc w:val="left"/>
      <w:textAlignment w:val="top"/>
    </w:pPr>
    <w:rPr>
      <w:sz w:val="18"/>
    </w:rPr>
  </w:style>
  <w:style w:type="paragraph" w:customStyle="1" w:styleId="943">
    <w:name w:val="样式 标题 4H4bulletblbbh4First Subheadingsect 1.2.3.4Ref Hea..."/>
    <w:basedOn w:val="7"/>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4">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5">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6">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7">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48">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9">
    <w:name w:val="Char Char6"/>
    <w:basedOn w:val="1"/>
    <w:qFormat/>
    <w:uiPriority w:val="0"/>
  </w:style>
  <w:style w:type="paragraph" w:customStyle="1" w:styleId="950">
    <w:name w:val="S4-I-U-L15-No-dot"/>
    <w:basedOn w:val="1"/>
    <w:qFormat/>
    <w:uiPriority w:val="0"/>
    <w:pPr>
      <w:tabs>
        <w:tab w:val="left" w:pos="1112"/>
      </w:tabs>
      <w:spacing w:after="120"/>
      <w:ind w:left="1112" w:hanging="420"/>
    </w:pPr>
    <w:rPr>
      <w:i/>
      <w:u w:val="single"/>
    </w:rPr>
  </w:style>
  <w:style w:type="paragraph" w:customStyle="1" w:styleId="951">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2">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3">
    <w:name w:val="S4-I-L15-U"/>
    <w:basedOn w:val="1"/>
    <w:qFormat/>
    <w:uiPriority w:val="0"/>
    <w:rPr>
      <w:b/>
      <w:i/>
      <w:u w:val="single"/>
    </w:rPr>
  </w:style>
  <w:style w:type="paragraph" w:customStyle="1" w:styleId="95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5">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6">
    <w:name w:val="图5"/>
    <w:basedOn w:val="1"/>
    <w:qFormat/>
    <w:uiPriority w:val="0"/>
    <w:pPr>
      <w:spacing w:beforeLines="40" w:afterLines="40" w:line="240" w:lineRule="exact"/>
      <w:jc w:val="center"/>
    </w:pPr>
    <w:rPr>
      <w:szCs w:val="20"/>
    </w:rPr>
  </w:style>
  <w:style w:type="paragraph" w:customStyle="1" w:styleId="957">
    <w:name w:val="正文样式1"/>
    <w:basedOn w:val="1"/>
    <w:qFormat/>
    <w:uiPriority w:val="0"/>
    <w:pPr>
      <w:spacing w:beforeLines="40" w:afterLines="40"/>
      <w:ind w:firstLine="510"/>
    </w:pPr>
    <w:rPr>
      <w:rFonts w:ascii="Arial" w:hAnsi="Arial"/>
      <w:szCs w:val="20"/>
    </w:rPr>
  </w:style>
  <w:style w:type="paragraph" w:customStyle="1" w:styleId="958">
    <w:name w:val="正文（首行缩进）"/>
    <w:basedOn w:val="1"/>
    <w:qFormat/>
    <w:uiPriority w:val="0"/>
    <w:pPr>
      <w:spacing w:beforeLines="40" w:afterLines="40"/>
      <w:ind w:firstLine="420"/>
    </w:pPr>
    <w:rPr>
      <w:rFonts w:cs="宋体"/>
      <w:szCs w:val="20"/>
    </w:rPr>
  </w:style>
  <w:style w:type="paragraph" w:customStyle="1" w:styleId="959">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0">
    <w:name w:val="Table - Text"/>
    <w:basedOn w:val="1"/>
    <w:qFormat/>
    <w:uiPriority w:val="0"/>
    <w:pPr>
      <w:widowControl/>
      <w:spacing w:before="60" w:afterLines="50"/>
      <w:jc w:val="left"/>
    </w:pPr>
    <w:rPr>
      <w:kern w:val="0"/>
      <w:szCs w:val="20"/>
      <w:lang w:eastAsia="en-US"/>
    </w:rPr>
  </w:style>
  <w:style w:type="paragraph" w:customStyle="1" w:styleId="961">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2">
    <w:name w:val="正文段落"/>
    <w:basedOn w:val="1"/>
    <w:qFormat/>
    <w:uiPriority w:val="0"/>
    <w:pPr>
      <w:spacing w:line="300" w:lineRule="auto"/>
      <w:ind w:firstLine="510"/>
    </w:pPr>
    <w:rPr>
      <w:szCs w:val="20"/>
    </w:rPr>
  </w:style>
  <w:style w:type="paragraph" w:customStyle="1" w:styleId="963">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4">
    <w:name w:val="样式 目录 1 + 段前: 0.2 行 段后: 0.2 行"/>
    <w:basedOn w:val="62"/>
    <w:qFormat/>
    <w:uiPriority w:val="0"/>
    <w:pPr>
      <w:spacing w:beforeLines="40" w:afterLines="40" w:line="300" w:lineRule="auto"/>
      <w:jc w:val="left"/>
    </w:pPr>
    <w:rPr>
      <w:rFonts w:eastAsia="黑体" w:cs="宋体"/>
      <w:caps/>
      <w:sz w:val="24"/>
      <w:szCs w:val="20"/>
    </w:rPr>
  </w:style>
  <w:style w:type="paragraph" w:customStyle="1" w:styleId="965">
    <w:name w:val="样式 标题 3Heading 3 - oldh3sect1.2.3BOD 0H3第二层条3 bulletb2..."/>
    <w:basedOn w:val="6"/>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6">
    <w:name w:val="标题3，章节第三层"/>
    <w:basedOn w:val="1"/>
    <w:next w:val="232"/>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7">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68">
    <w:name w:val="样式 标题 3 + 四号"/>
    <w:basedOn w:val="6"/>
    <w:qFormat/>
    <w:uiPriority w:val="0"/>
    <w:rPr>
      <w:rFonts w:eastAsia="黑体"/>
      <w:b w:val="0"/>
      <w:sz w:val="28"/>
    </w:rPr>
  </w:style>
  <w:style w:type="paragraph" w:customStyle="1" w:styleId="969">
    <w:name w:val="我的标题3"/>
    <w:next w:val="331"/>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0">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1">
    <w:name w:val="中文标题 3"/>
    <w:basedOn w:val="38"/>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2">
    <w:name w:val="标题 35"/>
    <w:basedOn w:val="1"/>
    <w:qFormat/>
    <w:uiPriority w:val="0"/>
    <w:pPr>
      <w:adjustRightInd w:val="0"/>
      <w:snapToGrid w:val="0"/>
      <w:ind w:left="-2" w:leftChars="-1"/>
    </w:pPr>
    <w:rPr>
      <w:rFonts w:ascii="Arial" w:hAnsi="Arial" w:cs="Arial"/>
    </w:rPr>
  </w:style>
  <w:style w:type="paragraph" w:customStyle="1" w:styleId="973">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4">
    <w:name w:val="首行缩进:  2 字符"/>
    <w:basedOn w:val="1"/>
    <w:qFormat/>
    <w:uiPriority w:val="0"/>
    <w:pPr>
      <w:spacing w:beforeLines="40" w:afterLines="40" w:line="288" w:lineRule="auto"/>
      <w:ind w:firstLine="420" w:firstLineChars="200"/>
    </w:pPr>
    <w:rPr>
      <w:rFonts w:cs="宋体"/>
      <w:szCs w:val="20"/>
    </w:rPr>
  </w:style>
  <w:style w:type="paragraph" w:customStyle="1" w:styleId="975">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6">
    <w:name w:val="样式 表格栏目b"/>
    <w:basedOn w:val="1"/>
    <w:qFormat/>
    <w:uiPriority w:val="0"/>
    <w:pPr>
      <w:widowControl/>
      <w:spacing w:before="124" w:after="124"/>
      <w:jc w:val="center"/>
    </w:pPr>
    <w:rPr>
      <w:rFonts w:ascii="宋体" w:hAnsi="宋体" w:cs="宋体"/>
      <w:b/>
      <w:bCs/>
      <w:szCs w:val="20"/>
    </w:rPr>
  </w:style>
  <w:style w:type="paragraph" w:customStyle="1" w:styleId="977">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78">
    <w:name w:val="实施日期"/>
    <w:basedOn w:val="735"/>
    <w:qFormat/>
    <w:uiPriority w:val="0"/>
    <w:pPr>
      <w:framePr w:hSpace="0" w:xAlign="right"/>
      <w:jc w:val="right"/>
    </w:pPr>
  </w:style>
  <w:style w:type="paragraph" w:customStyle="1" w:styleId="979">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80">
    <w:name w:val="五级无标题条"/>
    <w:basedOn w:val="1"/>
    <w:qFormat/>
    <w:uiPriority w:val="0"/>
    <w:pPr>
      <w:spacing w:beforeLines="40" w:afterLines="40"/>
    </w:pPr>
  </w:style>
  <w:style w:type="paragraph" w:customStyle="1" w:styleId="981">
    <w:name w:val="color003366"/>
    <w:basedOn w:val="1"/>
    <w:qFormat/>
    <w:uiPriority w:val="0"/>
    <w:pPr>
      <w:widowControl/>
      <w:spacing w:beforeLines="40" w:afterLines="40"/>
      <w:jc w:val="left"/>
    </w:pPr>
    <w:rPr>
      <w:rFonts w:ascii="宋体" w:hAnsi="宋体" w:cs="宋体"/>
      <w:color w:val="003366"/>
      <w:kern w:val="0"/>
    </w:rPr>
  </w:style>
  <w:style w:type="paragraph" w:customStyle="1" w:styleId="982">
    <w:name w:val="pa-30"/>
    <w:basedOn w:val="1"/>
    <w:qFormat/>
    <w:uiPriority w:val="0"/>
    <w:pPr>
      <w:widowControl/>
      <w:spacing w:before="150" w:after="150"/>
      <w:jc w:val="left"/>
    </w:pPr>
    <w:rPr>
      <w:rFonts w:ascii="宋体" w:hAnsi="宋体" w:cs="宋体"/>
      <w:kern w:val="0"/>
    </w:rPr>
  </w:style>
  <w:style w:type="paragraph" w:customStyle="1" w:styleId="983">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4">
    <w:name w:val="条文脚注"/>
    <w:basedOn w:val="70"/>
    <w:qFormat/>
    <w:uiPriority w:val="0"/>
    <w:pPr>
      <w:spacing w:line="240" w:lineRule="auto"/>
      <w:ind w:left="780" w:leftChars="200" w:hanging="360" w:hangingChars="200"/>
      <w:jc w:val="both"/>
    </w:pPr>
    <w:rPr>
      <w:rFonts w:ascii="宋体"/>
    </w:rPr>
  </w:style>
  <w:style w:type="paragraph" w:customStyle="1" w:styleId="985">
    <w:name w:val="样式 标题 4 + 左 段前: 15.6 磅 段后: 15.6 磅 行距: 1.5 倍行距"/>
    <w:basedOn w:val="7"/>
    <w:qFormat/>
    <w:uiPriority w:val="0"/>
    <w:pPr>
      <w:spacing w:before="312" w:after="312"/>
      <w:ind w:left="0" w:firstLine="482"/>
      <w:jc w:val="left"/>
    </w:pPr>
    <w:rPr>
      <w:rFonts w:cs="宋体"/>
      <w:b w:val="0"/>
      <w:sz w:val="24"/>
      <w:szCs w:val="20"/>
    </w:rPr>
  </w:style>
  <w:style w:type="paragraph" w:customStyle="1" w:styleId="986">
    <w:name w:val="正文首行缩进1"/>
    <w:basedOn w:val="35"/>
    <w:qFormat/>
    <w:uiPriority w:val="0"/>
    <w:pPr>
      <w:suppressAutoHyphens/>
      <w:ind w:firstLine="420"/>
      <w:jc w:val="left"/>
    </w:pPr>
    <w:rPr>
      <w:kern w:val="1"/>
      <w:lang w:eastAsia="ar-SA"/>
    </w:rPr>
  </w:style>
  <w:style w:type="paragraph" w:customStyle="1" w:styleId="987">
    <w:name w:val="样式 仿宋_GB2312 小三 左侧:  1.06 厘米"/>
    <w:basedOn w:val="1"/>
    <w:qFormat/>
    <w:uiPriority w:val="0"/>
    <w:pPr>
      <w:ind w:left="601"/>
    </w:pPr>
    <w:rPr>
      <w:rFonts w:ascii="仿宋_GB2312" w:eastAsia="仿宋_GB2312"/>
      <w:szCs w:val="20"/>
    </w:rPr>
  </w:style>
  <w:style w:type="paragraph" w:customStyle="1" w:styleId="988">
    <w:name w:val="样式 标题 5 + 段前: 0.5 行 段后: 0.5 行"/>
    <w:basedOn w:val="8"/>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89">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90">
    <w:name w:val="样式 标题 3Chapter X.X.X"/>
    <w:basedOn w:val="558"/>
    <w:qFormat/>
    <w:uiPriority w:val="0"/>
    <w:pPr>
      <w:spacing w:after="120"/>
    </w:pPr>
  </w:style>
  <w:style w:type="paragraph" w:customStyle="1" w:styleId="991">
    <w:name w:val="4"/>
    <w:basedOn w:val="1"/>
    <w:next w:val="54"/>
    <w:qFormat/>
    <w:uiPriority w:val="0"/>
    <w:pPr>
      <w:spacing w:after="120" w:line="480" w:lineRule="auto"/>
      <w:ind w:left="420" w:leftChars="200"/>
    </w:pPr>
    <w:rPr>
      <w:szCs w:val="20"/>
    </w:rPr>
  </w:style>
  <w:style w:type="paragraph" w:customStyle="1" w:styleId="992">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3">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4">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5">
    <w:name w:val="缺省文本"/>
    <w:basedOn w:val="1"/>
    <w:qFormat/>
    <w:uiPriority w:val="0"/>
    <w:pPr>
      <w:autoSpaceDE w:val="0"/>
      <w:autoSpaceDN w:val="0"/>
      <w:adjustRightInd w:val="0"/>
      <w:jc w:val="left"/>
    </w:pPr>
    <w:rPr>
      <w:kern w:val="0"/>
      <w:szCs w:val="20"/>
    </w:rPr>
  </w:style>
  <w:style w:type="paragraph" w:customStyle="1" w:styleId="996">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7">
    <w:name w:val="样式 首行缩进:  0.74 厘米"/>
    <w:basedOn w:val="1"/>
    <w:qFormat/>
    <w:uiPriority w:val="0"/>
    <w:pPr>
      <w:spacing w:beforeLines="40" w:afterLines="40"/>
      <w:ind w:firstLine="200" w:firstLineChars="200"/>
    </w:pPr>
    <w:rPr>
      <w:rFonts w:cs="宋体"/>
      <w:szCs w:val="20"/>
    </w:rPr>
  </w:style>
  <w:style w:type="paragraph" w:customStyle="1" w:styleId="998">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999">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1">
    <w:name w:val="样式 标题 2 + 段前: 1 行 段后: 1 行"/>
    <w:basedOn w:val="2"/>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2">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3">
    <w:name w:val="color990000"/>
    <w:basedOn w:val="1"/>
    <w:qFormat/>
    <w:uiPriority w:val="0"/>
    <w:pPr>
      <w:widowControl/>
      <w:spacing w:beforeLines="40" w:afterLines="40"/>
      <w:jc w:val="left"/>
    </w:pPr>
    <w:rPr>
      <w:rFonts w:ascii="宋体" w:hAnsi="宋体" w:cs="宋体"/>
      <w:color w:val="990000"/>
      <w:kern w:val="0"/>
    </w:rPr>
  </w:style>
  <w:style w:type="paragraph" w:customStyle="1" w:styleId="1004">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5">
    <w:name w:val="Char4 Char Char Char Char Char"/>
    <w:basedOn w:val="1"/>
    <w:qFormat/>
    <w:uiPriority w:val="0"/>
    <w:rPr>
      <w:rFonts w:ascii="Tahoma" w:hAnsi="Tahoma"/>
      <w:sz w:val="36"/>
      <w:szCs w:val="36"/>
    </w:rPr>
  </w:style>
  <w:style w:type="paragraph" w:customStyle="1" w:styleId="100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7">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08">
    <w:name w:val="InfoBlue"/>
    <w:basedOn w:val="1"/>
    <w:next w:val="35"/>
    <w:qFormat/>
    <w:uiPriority w:val="0"/>
    <w:pPr>
      <w:spacing w:afterLines="50"/>
      <w:ind w:left="720"/>
      <w:jc w:val="left"/>
    </w:pPr>
    <w:rPr>
      <w:rFonts w:ascii="宋体"/>
      <w:i/>
      <w:snapToGrid w:val="0"/>
      <w:color w:val="0000FF"/>
      <w:kern w:val="0"/>
      <w:szCs w:val="20"/>
    </w:rPr>
  </w:style>
  <w:style w:type="paragraph" w:customStyle="1" w:styleId="100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0">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1">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2">
    <w:name w:val="题注 Char"/>
    <w:qFormat/>
    <w:uiPriority w:val="0"/>
    <w:rPr>
      <w:rFonts w:ascii="Arial" w:hAnsi="Arial" w:eastAsia="黑体" w:cs="Arial"/>
      <w:kern w:val="2"/>
    </w:rPr>
  </w:style>
  <w:style w:type="paragraph" w:customStyle="1" w:styleId="1013">
    <w:name w:val="Char6"/>
    <w:basedOn w:val="1"/>
    <w:qFormat/>
    <w:uiPriority w:val="0"/>
    <w:rPr>
      <w:szCs w:val="20"/>
    </w:rPr>
  </w:style>
  <w:style w:type="paragraph" w:customStyle="1" w:styleId="1014">
    <w:name w:val="Char7"/>
    <w:basedOn w:val="1"/>
    <w:qFormat/>
    <w:uiPriority w:val="0"/>
    <w:rPr>
      <w:rFonts w:ascii="Calibri" w:hAnsi="Calibri"/>
      <w:szCs w:val="20"/>
    </w:rPr>
  </w:style>
  <w:style w:type="character" w:customStyle="1" w:styleId="1015">
    <w:name w:val="称呼 Char"/>
    <w:link w:val="31"/>
    <w:qFormat/>
    <w:uiPriority w:val="0"/>
    <w:rPr>
      <w:kern w:val="2"/>
      <w:sz w:val="24"/>
      <w:szCs w:val="24"/>
    </w:rPr>
  </w:style>
  <w:style w:type="character" w:customStyle="1" w:styleId="1016">
    <w:name w:val="标题 5 Char"/>
    <w:basedOn w:val="95"/>
    <w:link w:val="8"/>
    <w:qFormat/>
    <w:uiPriority w:val="9"/>
    <w:rPr>
      <w:b/>
      <w:bCs/>
      <w:kern w:val="2"/>
      <w:sz w:val="28"/>
      <w:szCs w:val="28"/>
    </w:rPr>
  </w:style>
  <w:style w:type="character" w:customStyle="1" w:styleId="1017">
    <w:name w:val="普通(网站) Char"/>
    <w:link w:val="83"/>
    <w:qFormat/>
    <w:uiPriority w:val="0"/>
    <w:rPr>
      <w:rFonts w:ascii="宋体" w:hAnsi="宋体" w:cs="宋体"/>
      <w:sz w:val="24"/>
      <w:szCs w:val="24"/>
    </w:rPr>
  </w:style>
  <w:style w:type="paragraph" w:customStyle="1" w:styleId="1018">
    <w:name w:val="WPSOffice手动目录 1"/>
    <w:qFormat/>
    <w:uiPriority w:val="0"/>
    <w:rPr>
      <w:rFonts w:asciiTheme="minorHAnsi" w:hAnsiTheme="minorHAnsi" w:eastAsiaTheme="minorEastAsia" w:cstheme="minorBidi"/>
      <w:lang w:val="en-US" w:eastAsia="zh-CN" w:bidi="ar-SA"/>
    </w:rPr>
  </w:style>
  <w:style w:type="paragraph" w:customStyle="1" w:styleId="1019">
    <w:name w:val="[Normal]"/>
    <w:qFormat/>
    <w:uiPriority w:val="0"/>
    <w:rPr>
      <w:rFonts w:ascii="宋体" w:hAnsi="宋体" w:eastAsia="宋体" w:cs="Times New Roman"/>
      <w:sz w:val="24"/>
      <w:szCs w:val="22"/>
      <w:lang w:val="zh-CN" w:eastAsia="zh-CN" w:bidi="ar-SA"/>
    </w:rPr>
  </w:style>
  <w:style w:type="character" w:customStyle="1" w:styleId="1020">
    <w:name w:val="font21"/>
    <w:basedOn w:val="95"/>
    <w:qFormat/>
    <w:uiPriority w:val="0"/>
    <w:rPr>
      <w:rFonts w:hint="eastAsia" w:ascii="宋体" w:hAnsi="宋体" w:eastAsia="宋体" w:cs="宋体"/>
      <w:b/>
      <w:color w:val="000000"/>
      <w:sz w:val="21"/>
      <w:szCs w:val="21"/>
      <w:u w:val="none"/>
    </w:rPr>
  </w:style>
  <w:style w:type="character" w:customStyle="1" w:styleId="1021">
    <w:name w:val="font31"/>
    <w:basedOn w:val="95"/>
    <w:qFormat/>
    <w:uiPriority w:val="0"/>
    <w:rPr>
      <w:rFonts w:hint="eastAsia" w:ascii="宋体" w:hAnsi="宋体" w:eastAsia="宋体" w:cs="宋体"/>
      <w:color w:val="000000"/>
      <w:sz w:val="21"/>
      <w:szCs w:val="21"/>
      <w:u w:val="none"/>
    </w:rPr>
  </w:style>
  <w:style w:type="character" w:customStyle="1" w:styleId="1022">
    <w:name w:val="font91"/>
    <w:basedOn w:val="95"/>
    <w:qFormat/>
    <w:uiPriority w:val="0"/>
    <w:rPr>
      <w:rFonts w:hint="eastAsia" w:ascii="宋体" w:hAnsi="宋体" w:eastAsia="宋体" w:cs="宋体"/>
      <w:color w:val="000000"/>
      <w:sz w:val="20"/>
      <w:szCs w:val="20"/>
      <w:u w:val="none"/>
    </w:rPr>
  </w:style>
  <w:style w:type="paragraph" w:customStyle="1" w:styleId="1023">
    <w:name w:val="List Paragraph"/>
    <w:basedOn w:val="1"/>
    <w:qFormat/>
    <w:uiPriority w:val="99"/>
    <w:pPr>
      <w:ind w:firstLine="420" w:firstLineChars="200"/>
    </w:pPr>
  </w:style>
  <w:style w:type="paragraph" w:customStyle="1" w:styleId="1024">
    <w:name w:val="纯文本_0_0"/>
    <w:basedOn w:val="1"/>
    <w:qFormat/>
    <w:uiPriority w:val="0"/>
    <w:rPr>
      <w:rFonts w:ascii="宋体" w:hAnsi="Courier New"/>
      <w:szCs w:val="21"/>
    </w:rPr>
  </w:style>
  <w:style w:type="paragraph" w:customStyle="1" w:styleId="1025">
    <w:name w:val="trs_editor"/>
    <w:basedOn w:val="1"/>
    <w:qFormat/>
    <w:uiPriority w:val="0"/>
    <w:pPr>
      <w:widowControl/>
      <w:spacing w:before="100" w:beforeAutospacing="1" w:after="100" w:afterAutospacing="1"/>
      <w:jc w:val="left"/>
    </w:pPr>
    <w:rPr>
      <w:rFonts w:ascii="宋体" w:hAnsi="宋体" w:cs="宋体"/>
      <w:kern w:val="0"/>
    </w:rPr>
  </w:style>
  <w:style w:type="character" w:customStyle="1" w:styleId="1026">
    <w:name w:val="Unresolved Mention"/>
    <w:basedOn w:val="95"/>
    <w:unhideWhenUsed/>
    <w:qFormat/>
    <w:uiPriority w:val="99"/>
    <w:rPr>
      <w:color w:val="605E5C"/>
      <w:shd w:val="clear" w:color="auto" w:fill="E1DFDD"/>
    </w:rPr>
  </w:style>
  <w:style w:type="character" w:customStyle="1" w:styleId="1027">
    <w:name w:val="10"/>
    <w:basedOn w:val="95"/>
    <w:qFormat/>
    <w:uiPriority w:val="0"/>
    <w:rPr>
      <w:rFonts w:hint="default" w:ascii="Times New Roman" w:hAnsi="Times New Roman" w:cs="Times New Roman"/>
    </w:rPr>
  </w:style>
  <w:style w:type="character" w:customStyle="1" w:styleId="1028">
    <w:name w:val="15"/>
    <w:basedOn w:val="95"/>
    <w:qFormat/>
    <w:uiPriority w:val="0"/>
    <w:rPr>
      <w:rFonts w:hint="default" w:ascii="Times New Roman" w:hAnsi="Times New Roman" w:cs="Times New Roman"/>
    </w:rPr>
  </w:style>
  <w:style w:type="table" w:customStyle="1" w:styleId="1029">
    <w:name w:val="Table Normal"/>
    <w:semiHidden/>
    <w:unhideWhenUsed/>
    <w:qFormat/>
    <w:uiPriority w:val="0"/>
    <w:rPr>
      <w:rFonts w:ascii="Arial" w:hAnsi="Arial" w:cs="Arial" w:eastAsiaTheme="minorEastAsia"/>
      <w:snapToGrid w:val="0"/>
      <w:color w:val="000000"/>
      <w:kern w:val="0"/>
      <w:sz w:val="21"/>
      <w:szCs w:val="21"/>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family</Company>
  <Pages>43</Pages>
  <Words>20786</Words>
  <Characters>21759</Characters>
  <Lines>1</Lines>
  <Paragraphs>1</Paragraphs>
  <TotalTime>2</TotalTime>
  <ScaleCrop>false</ScaleCrop>
  <LinksUpToDate>false</LinksUpToDate>
  <CharactersWithSpaces>24134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2022-01-12T02:12:00Z</dcterms:created>
  <dc:creator>Administrator</dc:creator>
  <cp:lastModifiedBy>@</cp:lastModifiedBy>
  <cp:lastPrinted>2025-01-16T08:40:00Z</cp:lastPrinted>
  <dcterms:modified xsi:type="dcterms:W3CDTF">2025-01-24T00:57:59Z</dcterms:modified>
  <dc:title>公开招标（样稿）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B69FC7F0B9E6475F97F6F5AF70445D81_13</vt:lpwstr>
  </property>
  <property fmtid="{D5CDD505-2E9C-101B-9397-08002B2CF9AE}" pid="4" name="KSOTemplateDocerSaveRecord">
    <vt:lpwstr>eyJoZGlkIjoiM2JiMDI3YzNhN2Q3NTcxZWNlNGYwOGQwZWYwMjk3NWUiLCJ1c2VySWQiOiIzOTcyMzY2NjMifQ==</vt:lpwstr>
  </property>
</Properties>
</file>