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CF563">
      <w:pPr>
        <w:spacing w:before="480" w:beforeLines="200" w:after="240" w:afterLines="100"/>
        <w:ind w:left="177" w:hanging="177" w:hangingChars="28"/>
        <w:jc w:val="left"/>
        <w:rPr>
          <w:rFonts w:ascii="华文中宋" w:hAnsi="华文中宋" w:eastAsia="华文中宋" w:cs="Arial"/>
          <w:color w:val="000000"/>
          <w:w w:val="80"/>
          <w:kern w:val="0"/>
          <w:sz w:val="90"/>
          <w:szCs w:val="90"/>
        </w:rPr>
      </w:pPr>
      <w:r>
        <w:rPr>
          <w:rFonts w:hint="eastAsia" w:ascii="华文中宋" w:hAnsi="华文中宋" w:eastAsia="华文中宋" w:cs="Arial"/>
          <w:color w:val="000000"/>
          <w:w w:val="66"/>
          <w:kern w:val="0"/>
          <w:sz w:val="96"/>
          <w:szCs w:val="84"/>
        </w:rPr>
        <w:t>温州市苍南县公款竞争性存放</w:t>
      </w:r>
    </w:p>
    <w:p w14:paraId="6F1DB72A">
      <w:pPr>
        <w:spacing w:after="600" w:afterLines="250"/>
        <w:jc w:val="center"/>
        <w:rPr>
          <w:rFonts w:ascii="华文中宋" w:hAnsi="华文中宋" w:eastAsia="华文中宋" w:cs="Arial"/>
          <w:color w:val="000000"/>
          <w:w w:val="90"/>
          <w:sz w:val="100"/>
          <w:szCs w:val="100"/>
        </w:rPr>
      </w:pPr>
      <w:r>
        <w:rPr>
          <w:rFonts w:hint="eastAsia" w:ascii="华文中宋" w:hAnsi="华文中宋" w:eastAsia="华文中宋" w:cs="Arial"/>
          <w:color w:val="000000"/>
          <w:w w:val="90"/>
          <w:sz w:val="100"/>
          <w:szCs w:val="100"/>
        </w:rPr>
        <w:t>招 标 文 件</w:t>
      </w:r>
    </w:p>
    <w:tbl>
      <w:tblPr>
        <w:tblStyle w:val="39"/>
        <w:tblW w:w="8779" w:type="dxa"/>
        <w:tblInd w:w="108" w:type="dxa"/>
        <w:tblLayout w:type="fixed"/>
        <w:tblCellMar>
          <w:top w:w="0" w:type="dxa"/>
          <w:left w:w="108" w:type="dxa"/>
          <w:bottom w:w="0" w:type="dxa"/>
          <w:right w:w="108" w:type="dxa"/>
        </w:tblCellMar>
      </w:tblPr>
      <w:tblGrid>
        <w:gridCol w:w="1908"/>
        <w:gridCol w:w="6871"/>
      </w:tblGrid>
      <w:tr w14:paraId="5B06513D">
        <w:tblPrEx>
          <w:tblCellMar>
            <w:top w:w="0" w:type="dxa"/>
            <w:left w:w="108" w:type="dxa"/>
            <w:bottom w:w="0" w:type="dxa"/>
            <w:right w:w="108" w:type="dxa"/>
          </w:tblCellMar>
        </w:tblPrEx>
        <w:trPr>
          <w:trHeight w:val="567" w:hRule="atLeast"/>
        </w:trPr>
        <w:tc>
          <w:tcPr>
            <w:tcW w:w="1908" w:type="dxa"/>
            <w:vAlign w:val="center"/>
          </w:tcPr>
          <w:p w14:paraId="4574EF86">
            <w:pPr>
              <w:spacing w:line="240" w:lineRule="auto"/>
              <w:rPr>
                <w:rFonts w:ascii="仿宋" w:hAnsi="仿宋" w:cs="Arial"/>
                <w:color w:val="000000"/>
                <w:kern w:val="0"/>
                <w:sz w:val="28"/>
              </w:rPr>
            </w:pPr>
            <w:r>
              <w:rPr>
                <w:rFonts w:hint="eastAsia" w:ascii="仿宋" w:hAnsi="仿宋" w:cs="Arial"/>
                <w:color w:val="000000"/>
                <w:kern w:val="0"/>
                <w:sz w:val="28"/>
              </w:rPr>
              <w:t>项目名称:</w:t>
            </w:r>
          </w:p>
        </w:tc>
        <w:tc>
          <w:tcPr>
            <w:tcW w:w="6871" w:type="dxa"/>
            <w:vAlign w:val="center"/>
          </w:tcPr>
          <w:p w14:paraId="3186E391">
            <w:pPr>
              <w:spacing w:line="240" w:lineRule="auto"/>
              <w:ind w:left="-9" w:leftChars="-4" w:hanging="1"/>
              <w:rPr>
                <w:rFonts w:hint="eastAsia" w:ascii="仿宋" w:hAnsi="仿宋" w:eastAsia="仿宋" w:cs="Arial"/>
                <w:color w:val="000000"/>
                <w:kern w:val="0"/>
                <w:sz w:val="28"/>
                <w:lang w:eastAsia="zh-CN"/>
              </w:rPr>
            </w:pPr>
            <w:r>
              <w:rPr>
                <w:rFonts w:hint="eastAsia" w:ascii="仿宋" w:hAnsi="仿宋" w:cs="Arial"/>
                <w:color w:val="000000"/>
                <w:kern w:val="0"/>
                <w:sz w:val="28"/>
                <w:lang w:eastAsia="zh-CN"/>
              </w:rPr>
              <w:t>苍南县人民法院2025年度公款竞争性存放项目</w:t>
            </w:r>
          </w:p>
        </w:tc>
      </w:tr>
      <w:tr w14:paraId="79BE60BF">
        <w:tblPrEx>
          <w:tblCellMar>
            <w:top w:w="0" w:type="dxa"/>
            <w:left w:w="108" w:type="dxa"/>
            <w:bottom w:w="0" w:type="dxa"/>
            <w:right w:w="108" w:type="dxa"/>
          </w:tblCellMar>
        </w:tblPrEx>
        <w:trPr>
          <w:trHeight w:val="567" w:hRule="atLeast"/>
        </w:trPr>
        <w:tc>
          <w:tcPr>
            <w:tcW w:w="1908" w:type="dxa"/>
            <w:vAlign w:val="center"/>
          </w:tcPr>
          <w:p w14:paraId="645F325B">
            <w:pPr>
              <w:spacing w:line="240" w:lineRule="auto"/>
              <w:rPr>
                <w:rFonts w:ascii="仿宋" w:hAnsi="仿宋" w:cs="Arial"/>
                <w:color w:val="000000"/>
                <w:kern w:val="0"/>
                <w:sz w:val="28"/>
              </w:rPr>
            </w:pPr>
            <w:r>
              <w:rPr>
                <w:rFonts w:hint="eastAsia" w:ascii="仿宋" w:hAnsi="仿宋" w:cs="Arial"/>
                <w:color w:val="000000"/>
                <w:kern w:val="0"/>
                <w:sz w:val="28"/>
              </w:rPr>
              <w:t>项目编号:</w:t>
            </w:r>
          </w:p>
        </w:tc>
        <w:tc>
          <w:tcPr>
            <w:tcW w:w="6871" w:type="dxa"/>
            <w:vAlign w:val="center"/>
          </w:tcPr>
          <w:p w14:paraId="31E6C04F">
            <w:pPr>
              <w:spacing w:line="240" w:lineRule="auto"/>
              <w:ind w:left="-9" w:leftChars="-4" w:hanging="1"/>
              <w:rPr>
                <w:rFonts w:hint="eastAsia" w:ascii="仿宋" w:hAnsi="仿宋" w:eastAsia="仿宋" w:cs="Arial"/>
                <w:color w:val="000000"/>
                <w:kern w:val="0"/>
                <w:sz w:val="28"/>
                <w:lang w:eastAsia="zh-CN"/>
              </w:rPr>
            </w:pPr>
            <w:r>
              <w:rPr>
                <w:rFonts w:hint="eastAsia" w:ascii="仿宋" w:hAnsi="仿宋" w:cs="Arial"/>
                <w:color w:val="000000"/>
                <w:kern w:val="0"/>
                <w:sz w:val="28"/>
                <w:lang w:eastAsia="zh-CN"/>
              </w:rPr>
              <w:t>苍产告字[2025]1号</w:t>
            </w:r>
          </w:p>
        </w:tc>
      </w:tr>
      <w:tr w14:paraId="4F57A45C">
        <w:tblPrEx>
          <w:tblCellMar>
            <w:top w:w="0" w:type="dxa"/>
            <w:left w:w="108" w:type="dxa"/>
            <w:bottom w:w="0" w:type="dxa"/>
            <w:right w:w="108" w:type="dxa"/>
          </w:tblCellMar>
        </w:tblPrEx>
        <w:trPr>
          <w:trHeight w:val="567" w:hRule="atLeast"/>
        </w:trPr>
        <w:tc>
          <w:tcPr>
            <w:tcW w:w="1908" w:type="dxa"/>
            <w:vAlign w:val="center"/>
          </w:tcPr>
          <w:p w14:paraId="22D9F3A7">
            <w:pPr>
              <w:spacing w:line="240" w:lineRule="auto"/>
              <w:rPr>
                <w:rFonts w:ascii="仿宋" w:hAnsi="仿宋" w:cs="Arial"/>
                <w:color w:val="000000"/>
                <w:kern w:val="0"/>
                <w:sz w:val="28"/>
              </w:rPr>
            </w:pPr>
            <w:r>
              <w:rPr>
                <w:rFonts w:hint="eastAsia" w:ascii="仿宋" w:hAnsi="仿宋" w:cs="Arial"/>
                <w:color w:val="000000"/>
                <w:kern w:val="0"/>
                <w:sz w:val="28"/>
              </w:rPr>
              <w:t>招 标 人:</w:t>
            </w:r>
          </w:p>
        </w:tc>
        <w:tc>
          <w:tcPr>
            <w:tcW w:w="6871" w:type="dxa"/>
            <w:vAlign w:val="center"/>
          </w:tcPr>
          <w:p w14:paraId="74136C95">
            <w:pPr>
              <w:spacing w:line="240" w:lineRule="auto"/>
              <w:ind w:left="140" w:right="192" w:rightChars="80" w:hanging="140" w:hangingChars="50"/>
              <w:rPr>
                <w:rFonts w:ascii="仿宋" w:hAnsi="仿宋" w:cs="Arial"/>
                <w:color w:val="000000"/>
                <w:kern w:val="0"/>
                <w:sz w:val="28"/>
              </w:rPr>
            </w:pPr>
            <w:r>
              <w:rPr>
                <w:rFonts w:hint="eastAsia" w:ascii="仿宋" w:hAnsi="仿宋" w:cs="Arial"/>
                <w:color w:val="000000"/>
                <w:kern w:val="0"/>
                <w:sz w:val="28"/>
              </w:rPr>
              <w:t>苍南县人民法院</w:t>
            </w:r>
          </w:p>
        </w:tc>
      </w:tr>
      <w:tr w14:paraId="46F7F7F5">
        <w:tblPrEx>
          <w:tblCellMar>
            <w:top w:w="0" w:type="dxa"/>
            <w:left w:w="108" w:type="dxa"/>
            <w:bottom w:w="0" w:type="dxa"/>
            <w:right w:w="108" w:type="dxa"/>
          </w:tblCellMar>
        </w:tblPrEx>
        <w:trPr>
          <w:trHeight w:val="567" w:hRule="atLeast"/>
        </w:trPr>
        <w:tc>
          <w:tcPr>
            <w:tcW w:w="1908" w:type="dxa"/>
            <w:vAlign w:val="center"/>
          </w:tcPr>
          <w:p w14:paraId="28247D21">
            <w:pPr>
              <w:spacing w:line="240" w:lineRule="auto"/>
              <w:rPr>
                <w:rFonts w:ascii="仿宋" w:hAnsi="仿宋" w:cs="Arial"/>
                <w:color w:val="000000"/>
                <w:kern w:val="0"/>
                <w:sz w:val="28"/>
              </w:rPr>
            </w:pPr>
            <w:r>
              <w:rPr>
                <w:rFonts w:hint="eastAsia" w:ascii="仿宋" w:hAnsi="仿宋" w:cs="Arial"/>
                <w:color w:val="000000"/>
                <w:kern w:val="0"/>
                <w:sz w:val="28"/>
              </w:rPr>
              <w:t>联 系 人:</w:t>
            </w:r>
          </w:p>
        </w:tc>
        <w:tc>
          <w:tcPr>
            <w:tcW w:w="6871" w:type="dxa"/>
            <w:vAlign w:val="center"/>
          </w:tcPr>
          <w:p w14:paraId="2D32DABE">
            <w:pPr>
              <w:spacing w:line="240" w:lineRule="auto"/>
              <w:rPr>
                <w:rFonts w:hint="eastAsia" w:ascii="仿宋" w:hAnsi="仿宋" w:eastAsia="仿宋" w:cs="Arial"/>
                <w:color w:val="000000"/>
                <w:kern w:val="0"/>
                <w:sz w:val="28"/>
                <w:lang w:eastAsia="zh-CN"/>
              </w:rPr>
            </w:pPr>
            <w:r>
              <w:rPr>
                <w:rFonts w:hint="eastAsia" w:ascii="仿宋" w:hAnsi="仿宋" w:cs="Arial"/>
                <w:color w:val="000000"/>
                <w:kern w:val="0"/>
                <w:sz w:val="28"/>
                <w:lang w:eastAsia="zh-CN"/>
              </w:rPr>
              <w:t>蔡女士</w:t>
            </w:r>
          </w:p>
        </w:tc>
      </w:tr>
      <w:tr w14:paraId="2A132D5D">
        <w:tblPrEx>
          <w:tblCellMar>
            <w:top w:w="0" w:type="dxa"/>
            <w:left w:w="108" w:type="dxa"/>
            <w:bottom w:w="0" w:type="dxa"/>
            <w:right w:w="108" w:type="dxa"/>
          </w:tblCellMar>
        </w:tblPrEx>
        <w:trPr>
          <w:trHeight w:val="455" w:hRule="atLeast"/>
        </w:trPr>
        <w:tc>
          <w:tcPr>
            <w:tcW w:w="1908" w:type="dxa"/>
            <w:vAlign w:val="center"/>
          </w:tcPr>
          <w:p w14:paraId="3804DBAD">
            <w:pPr>
              <w:spacing w:line="240" w:lineRule="auto"/>
              <w:rPr>
                <w:rFonts w:ascii="仿宋" w:hAnsi="仿宋" w:cs="Arial"/>
                <w:color w:val="000000"/>
                <w:kern w:val="0"/>
                <w:sz w:val="28"/>
              </w:rPr>
            </w:pPr>
            <w:r>
              <w:rPr>
                <w:rFonts w:hint="eastAsia" w:ascii="仿宋" w:hAnsi="仿宋" w:cs="Arial"/>
                <w:color w:val="000000"/>
                <w:kern w:val="0"/>
                <w:sz w:val="28"/>
              </w:rPr>
              <w:t>联系电话:</w:t>
            </w:r>
          </w:p>
        </w:tc>
        <w:tc>
          <w:tcPr>
            <w:tcW w:w="6871" w:type="dxa"/>
            <w:vAlign w:val="center"/>
          </w:tcPr>
          <w:p w14:paraId="30E8CD9B">
            <w:pPr>
              <w:spacing w:line="240" w:lineRule="auto"/>
              <w:rPr>
                <w:rFonts w:hint="eastAsia" w:ascii="仿宋" w:hAnsi="仿宋" w:eastAsia="仿宋" w:cs="Arial"/>
                <w:color w:val="000000"/>
                <w:kern w:val="0"/>
                <w:sz w:val="28"/>
                <w:lang w:eastAsia="zh-CN"/>
              </w:rPr>
            </w:pPr>
            <w:r>
              <w:rPr>
                <w:rFonts w:hint="eastAsia" w:cs="Arial"/>
                <w:kern w:val="0"/>
                <w:sz w:val="28"/>
                <w:lang w:eastAsia="zh-CN"/>
              </w:rPr>
              <w:t>0577-68708610</w:t>
            </w:r>
          </w:p>
        </w:tc>
      </w:tr>
      <w:tr w14:paraId="610021C3">
        <w:tblPrEx>
          <w:tblCellMar>
            <w:top w:w="0" w:type="dxa"/>
            <w:left w:w="108" w:type="dxa"/>
            <w:bottom w:w="0" w:type="dxa"/>
            <w:right w:w="108" w:type="dxa"/>
          </w:tblCellMar>
        </w:tblPrEx>
        <w:trPr>
          <w:trHeight w:val="567" w:hRule="atLeast"/>
        </w:trPr>
        <w:tc>
          <w:tcPr>
            <w:tcW w:w="1908" w:type="dxa"/>
            <w:vAlign w:val="center"/>
          </w:tcPr>
          <w:p w14:paraId="4A987F59">
            <w:pPr>
              <w:spacing w:line="240" w:lineRule="auto"/>
              <w:rPr>
                <w:rFonts w:ascii="仿宋" w:hAnsi="仿宋" w:cs="Arial"/>
                <w:color w:val="000000"/>
                <w:kern w:val="0"/>
                <w:sz w:val="28"/>
              </w:rPr>
            </w:pPr>
            <w:r>
              <w:rPr>
                <w:rFonts w:hint="eastAsia" w:ascii="仿宋" w:hAnsi="仿宋" w:cs="Arial"/>
                <w:color w:val="000000"/>
                <w:kern w:val="0"/>
                <w:sz w:val="28"/>
              </w:rPr>
              <w:t>代理机构:</w:t>
            </w:r>
          </w:p>
        </w:tc>
        <w:tc>
          <w:tcPr>
            <w:tcW w:w="6871" w:type="dxa"/>
            <w:vAlign w:val="center"/>
          </w:tcPr>
          <w:p w14:paraId="3369E1E7">
            <w:pPr>
              <w:spacing w:line="240" w:lineRule="auto"/>
              <w:rPr>
                <w:rFonts w:ascii="仿宋" w:hAnsi="仿宋" w:cs="Arial"/>
                <w:color w:val="000000"/>
                <w:kern w:val="0"/>
                <w:sz w:val="28"/>
              </w:rPr>
            </w:pPr>
            <w:r>
              <w:rPr>
                <w:rFonts w:hint="eastAsia" w:ascii="仿宋" w:hAnsi="仿宋" w:cs="Arial"/>
                <w:color w:val="000000"/>
                <w:kern w:val="0"/>
                <w:sz w:val="28"/>
              </w:rPr>
              <w:t>杭州华旗招标代理有限公司</w:t>
            </w:r>
          </w:p>
        </w:tc>
      </w:tr>
      <w:tr w14:paraId="0930714B">
        <w:tblPrEx>
          <w:tblCellMar>
            <w:top w:w="0" w:type="dxa"/>
            <w:left w:w="108" w:type="dxa"/>
            <w:bottom w:w="0" w:type="dxa"/>
            <w:right w:w="108" w:type="dxa"/>
          </w:tblCellMar>
        </w:tblPrEx>
        <w:trPr>
          <w:trHeight w:val="552" w:hRule="atLeast"/>
        </w:trPr>
        <w:tc>
          <w:tcPr>
            <w:tcW w:w="1908" w:type="dxa"/>
            <w:vAlign w:val="center"/>
          </w:tcPr>
          <w:p w14:paraId="3A4F227D">
            <w:pPr>
              <w:spacing w:line="240" w:lineRule="auto"/>
              <w:rPr>
                <w:rFonts w:ascii="仿宋" w:hAnsi="仿宋" w:cs="Arial"/>
                <w:color w:val="000000"/>
                <w:kern w:val="0"/>
                <w:sz w:val="28"/>
              </w:rPr>
            </w:pPr>
            <w:r>
              <w:rPr>
                <w:rFonts w:hint="eastAsia" w:ascii="仿宋" w:hAnsi="仿宋" w:cs="Arial"/>
                <w:color w:val="000000"/>
                <w:kern w:val="0"/>
                <w:sz w:val="28"/>
              </w:rPr>
              <w:t>联 系 人:</w:t>
            </w:r>
          </w:p>
        </w:tc>
        <w:tc>
          <w:tcPr>
            <w:tcW w:w="6871" w:type="dxa"/>
            <w:vAlign w:val="center"/>
          </w:tcPr>
          <w:p w14:paraId="6F2A5DCD">
            <w:pPr>
              <w:spacing w:line="240" w:lineRule="auto"/>
              <w:rPr>
                <w:rFonts w:ascii="仿宋" w:hAnsi="仿宋" w:cs="Arial"/>
                <w:color w:val="000000"/>
                <w:kern w:val="0"/>
                <w:sz w:val="28"/>
              </w:rPr>
            </w:pPr>
            <w:r>
              <w:rPr>
                <w:rFonts w:hint="eastAsia" w:ascii="仿宋" w:hAnsi="仿宋" w:cs="Arial"/>
                <w:color w:val="000000"/>
                <w:kern w:val="0"/>
                <w:sz w:val="28"/>
              </w:rPr>
              <w:t>陈维文</w:t>
            </w:r>
          </w:p>
        </w:tc>
      </w:tr>
      <w:tr w14:paraId="1C1A40A9">
        <w:tblPrEx>
          <w:tblCellMar>
            <w:top w:w="0" w:type="dxa"/>
            <w:left w:w="108" w:type="dxa"/>
            <w:bottom w:w="0" w:type="dxa"/>
            <w:right w:w="108" w:type="dxa"/>
          </w:tblCellMar>
        </w:tblPrEx>
        <w:trPr>
          <w:trHeight w:val="567" w:hRule="atLeast"/>
        </w:trPr>
        <w:tc>
          <w:tcPr>
            <w:tcW w:w="1908" w:type="dxa"/>
            <w:vAlign w:val="center"/>
          </w:tcPr>
          <w:p w14:paraId="38EDCA33">
            <w:pPr>
              <w:spacing w:line="240" w:lineRule="auto"/>
              <w:rPr>
                <w:rFonts w:ascii="仿宋" w:hAnsi="仿宋" w:cs="Arial"/>
                <w:color w:val="000000"/>
                <w:kern w:val="0"/>
                <w:sz w:val="28"/>
              </w:rPr>
            </w:pPr>
            <w:r>
              <w:rPr>
                <w:rFonts w:hint="eastAsia" w:ascii="仿宋" w:hAnsi="仿宋" w:cs="Arial"/>
                <w:color w:val="000000"/>
                <w:kern w:val="0"/>
                <w:sz w:val="28"/>
              </w:rPr>
              <w:t>联系电话:</w:t>
            </w:r>
          </w:p>
        </w:tc>
        <w:tc>
          <w:tcPr>
            <w:tcW w:w="6871" w:type="dxa"/>
            <w:vAlign w:val="center"/>
          </w:tcPr>
          <w:p w14:paraId="6C78BBBB">
            <w:pPr>
              <w:spacing w:line="240" w:lineRule="auto"/>
              <w:rPr>
                <w:rFonts w:ascii="仿宋" w:hAnsi="仿宋" w:cs="Arial"/>
                <w:color w:val="000000"/>
                <w:kern w:val="0"/>
                <w:sz w:val="28"/>
              </w:rPr>
            </w:pPr>
            <w:r>
              <w:rPr>
                <w:rFonts w:ascii="仿宋" w:hAnsi="仿宋" w:cs="Arial"/>
                <w:color w:val="000000"/>
                <w:kern w:val="0"/>
                <w:sz w:val="28"/>
              </w:rPr>
              <w:t>13738772079</w:t>
            </w:r>
          </w:p>
        </w:tc>
      </w:tr>
      <w:tr w14:paraId="3A2B65AC">
        <w:tblPrEx>
          <w:tblCellMar>
            <w:top w:w="0" w:type="dxa"/>
            <w:left w:w="108" w:type="dxa"/>
            <w:bottom w:w="0" w:type="dxa"/>
            <w:right w:w="108" w:type="dxa"/>
          </w:tblCellMar>
        </w:tblPrEx>
        <w:trPr>
          <w:trHeight w:val="567" w:hRule="atLeast"/>
        </w:trPr>
        <w:tc>
          <w:tcPr>
            <w:tcW w:w="1908" w:type="dxa"/>
            <w:vAlign w:val="center"/>
          </w:tcPr>
          <w:p w14:paraId="68B06601">
            <w:pPr>
              <w:spacing w:line="240" w:lineRule="auto"/>
              <w:jc w:val="right"/>
              <w:rPr>
                <w:rFonts w:ascii="仿宋" w:hAnsi="仿宋" w:cs="Arial"/>
                <w:color w:val="000000"/>
                <w:kern w:val="0"/>
                <w:sz w:val="28"/>
              </w:rPr>
            </w:pPr>
          </w:p>
        </w:tc>
        <w:tc>
          <w:tcPr>
            <w:tcW w:w="6871" w:type="dxa"/>
            <w:vAlign w:val="center"/>
          </w:tcPr>
          <w:p w14:paraId="09803B0F">
            <w:pPr>
              <w:spacing w:line="240" w:lineRule="auto"/>
              <w:rPr>
                <w:rFonts w:ascii="仿宋" w:hAnsi="仿宋" w:cs="Arial"/>
                <w:color w:val="000000"/>
                <w:kern w:val="0"/>
                <w:sz w:val="28"/>
              </w:rPr>
            </w:pPr>
          </w:p>
        </w:tc>
      </w:tr>
      <w:tr w14:paraId="4E78722B">
        <w:tblPrEx>
          <w:tblCellMar>
            <w:top w:w="0" w:type="dxa"/>
            <w:left w:w="108" w:type="dxa"/>
            <w:bottom w:w="0" w:type="dxa"/>
            <w:right w:w="108" w:type="dxa"/>
          </w:tblCellMar>
        </w:tblPrEx>
        <w:tc>
          <w:tcPr>
            <w:tcW w:w="1908" w:type="dxa"/>
            <w:vAlign w:val="center"/>
          </w:tcPr>
          <w:p w14:paraId="1B888F1A">
            <w:pPr>
              <w:spacing w:line="240" w:lineRule="auto"/>
              <w:rPr>
                <w:rFonts w:ascii="华文中宋" w:hAnsi="华文中宋" w:eastAsia="华文中宋" w:cs="Arial"/>
                <w:color w:val="000000"/>
                <w:w w:val="90"/>
                <w:kern w:val="0"/>
                <w:sz w:val="28"/>
                <w:szCs w:val="30"/>
              </w:rPr>
            </w:pPr>
          </w:p>
        </w:tc>
        <w:tc>
          <w:tcPr>
            <w:tcW w:w="6871" w:type="dxa"/>
            <w:vAlign w:val="center"/>
          </w:tcPr>
          <w:p w14:paraId="2235474D">
            <w:pPr>
              <w:spacing w:before="240" w:beforeLines="100" w:line="240" w:lineRule="auto"/>
              <w:ind w:firstLine="840" w:firstLineChars="300"/>
              <w:jc w:val="left"/>
              <w:rPr>
                <w:rFonts w:ascii="华文中宋" w:hAnsi="华文中宋" w:eastAsia="华文中宋" w:cs="Arial"/>
                <w:color w:val="000000"/>
                <w:w w:val="90"/>
                <w:kern w:val="0"/>
                <w:sz w:val="28"/>
                <w:szCs w:val="30"/>
              </w:rPr>
            </w:pPr>
            <w:r>
              <w:rPr>
                <w:rFonts w:hint="eastAsia" w:ascii="仿宋" w:hAnsi="仿宋" w:cs="Arial"/>
                <w:color w:val="000000"/>
                <w:kern w:val="0"/>
                <w:sz w:val="28"/>
              </w:rPr>
              <w:t>日 期：二○二</w:t>
            </w:r>
            <w:r>
              <w:rPr>
                <w:rFonts w:hint="eastAsia" w:ascii="仿宋" w:hAnsi="仿宋" w:cs="Arial"/>
                <w:color w:val="000000"/>
                <w:kern w:val="0"/>
                <w:sz w:val="28"/>
                <w:lang w:val="en-US" w:eastAsia="zh-CN"/>
              </w:rPr>
              <w:t>五</w:t>
            </w:r>
            <w:r>
              <w:rPr>
                <w:rFonts w:hint="eastAsia" w:ascii="仿宋" w:hAnsi="仿宋" w:cs="Arial"/>
                <w:color w:val="000000"/>
                <w:kern w:val="0"/>
                <w:sz w:val="28"/>
              </w:rPr>
              <w:t>年</w:t>
            </w:r>
            <w:r>
              <w:rPr>
                <w:rFonts w:hint="eastAsia" w:ascii="仿宋" w:hAnsi="仿宋" w:cs="Arial"/>
                <w:color w:val="000000"/>
                <w:kern w:val="0"/>
                <w:sz w:val="28"/>
                <w:lang w:val="en-US" w:eastAsia="zh-CN"/>
              </w:rPr>
              <w:t>二</w:t>
            </w:r>
            <w:r>
              <w:rPr>
                <w:rFonts w:hint="eastAsia" w:ascii="仿宋" w:hAnsi="仿宋" w:cs="Arial"/>
                <w:color w:val="000000"/>
                <w:kern w:val="0"/>
                <w:sz w:val="28"/>
              </w:rPr>
              <w:t>月</w:t>
            </w:r>
          </w:p>
        </w:tc>
      </w:tr>
    </w:tbl>
    <w:p w14:paraId="32F25890">
      <w:pPr>
        <w:jc w:val="center"/>
        <w:rPr>
          <w:rFonts w:ascii="华文中宋" w:hAnsi="华文中宋" w:eastAsia="华文中宋"/>
          <w:b/>
          <w:color w:val="000000"/>
          <w:sz w:val="44"/>
          <w:szCs w:val="44"/>
        </w:rPr>
        <w:sectPr>
          <w:headerReference r:id="rId6" w:type="first"/>
          <w:headerReference r:id="rId5" w:type="default"/>
          <w:pgSz w:w="11906" w:h="16838"/>
          <w:pgMar w:top="1440" w:right="1416" w:bottom="1440" w:left="1560" w:header="851" w:footer="992" w:gutter="0"/>
          <w:pgNumType w:fmt="numberInDash"/>
          <w:cols w:space="720" w:num="1"/>
          <w:titlePg/>
          <w:docGrid w:linePitch="312" w:charSpace="0"/>
        </w:sectPr>
      </w:pPr>
    </w:p>
    <w:p w14:paraId="5578C6A1">
      <w:pPr>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目</w:t>
      </w:r>
      <w:r>
        <w:rPr>
          <w:rFonts w:ascii="华文中宋" w:hAnsi="华文中宋" w:eastAsia="华文中宋"/>
          <w:b/>
          <w:color w:val="000000"/>
          <w:sz w:val="44"/>
          <w:szCs w:val="44"/>
        </w:rPr>
        <w:t xml:space="preserve">  </w:t>
      </w:r>
      <w:r>
        <w:rPr>
          <w:rFonts w:hint="eastAsia" w:ascii="华文中宋" w:hAnsi="华文中宋" w:eastAsia="华文中宋"/>
          <w:b/>
          <w:color w:val="000000"/>
          <w:sz w:val="44"/>
          <w:szCs w:val="44"/>
        </w:rPr>
        <w:t>录</w:t>
      </w:r>
    </w:p>
    <w:p w14:paraId="57B47683">
      <w:pPr>
        <w:pStyle w:val="30"/>
        <w:tabs>
          <w:tab w:val="right" w:leader="dot" w:pos="8930"/>
        </w:tabs>
        <w:rPr>
          <w:rFonts w:ascii="仿宋" w:hAnsi="仿宋" w:cs="仿宋"/>
          <w:sz w:val="24"/>
          <w:szCs w:val="24"/>
        </w:rPr>
      </w:pPr>
      <w:r>
        <w:rPr>
          <w:rFonts w:hint="eastAsia" w:ascii="新宋体" w:hAnsi="新宋体" w:cs="新宋体"/>
          <w:bCs w:val="0"/>
          <w:caps w:val="0"/>
          <w:color w:val="000000"/>
          <w:sz w:val="22"/>
          <w:szCs w:val="22"/>
        </w:rPr>
        <w:fldChar w:fldCharType="begin"/>
      </w:r>
      <w:r>
        <w:rPr>
          <w:rFonts w:hint="eastAsia" w:ascii="新宋体" w:hAnsi="新宋体" w:cs="新宋体"/>
          <w:bCs w:val="0"/>
          <w:caps w:val="0"/>
          <w:color w:val="000000"/>
          <w:sz w:val="22"/>
          <w:szCs w:val="22"/>
        </w:rPr>
        <w:instrText xml:space="preserve"> TOC \o "1-2" \h \z \u </w:instrText>
      </w:r>
      <w:r>
        <w:rPr>
          <w:rFonts w:hint="eastAsia" w:ascii="新宋体" w:hAnsi="新宋体" w:cs="新宋体"/>
          <w:bCs w:val="0"/>
          <w:caps w:val="0"/>
          <w:color w:val="000000"/>
          <w:sz w:val="22"/>
          <w:szCs w:val="22"/>
        </w:rPr>
        <w:fldChar w:fldCharType="separate"/>
      </w:r>
      <w:r>
        <w:fldChar w:fldCharType="begin"/>
      </w:r>
      <w:r>
        <w:instrText xml:space="preserve"> HYPERLINK \l "_Toc12262" </w:instrText>
      </w:r>
      <w:r>
        <w:fldChar w:fldCharType="separate"/>
      </w:r>
      <w:r>
        <w:rPr>
          <w:rFonts w:hint="eastAsia" w:ascii="仿宋" w:hAnsi="仿宋" w:cs="仿宋"/>
          <w:sz w:val="24"/>
          <w:szCs w:val="24"/>
        </w:rPr>
        <w:t>第一章 招标公告</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_Toc12262 </w:instrText>
      </w:r>
      <w:r>
        <w:rPr>
          <w:rFonts w:hint="eastAsia" w:ascii="仿宋" w:hAnsi="仿宋" w:cs="仿宋"/>
          <w:sz w:val="24"/>
          <w:szCs w:val="24"/>
        </w:rPr>
        <w:fldChar w:fldCharType="separate"/>
      </w:r>
      <w:r>
        <w:rPr>
          <w:rFonts w:ascii="仿宋" w:hAnsi="仿宋" w:cs="仿宋"/>
          <w:sz w:val="24"/>
          <w:szCs w:val="24"/>
        </w:rPr>
        <w:t>- 3 -</w:t>
      </w:r>
      <w:r>
        <w:rPr>
          <w:rFonts w:hint="eastAsia" w:ascii="仿宋" w:hAnsi="仿宋" w:cs="仿宋"/>
          <w:sz w:val="24"/>
          <w:szCs w:val="24"/>
        </w:rPr>
        <w:fldChar w:fldCharType="end"/>
      </w:r>
      <w:r>
        <w:rPr>
          <w:rFonts w:hint="eastAsia" w:ascii="仿宋" w:hAnsi="仿宋" w:cs="仿宋"/>
          <w:sz w:val="24"/>
          <w:szCs w:val="24"/>
        </w:rPr>
        <w:fldChar w:fldCharType="end"/>
      </w:r>
    </w:p>
    <w:p w14:paraId="3D5CB89C">
      <w:pPr>
        <w:pStyle w:val="30"/>
        <w:tabs>
          <w:tab w:val="right" w:leader="dot" w:pos="8930"/>
        </w:tabs>
        <w:rPr>
          <w:rFonts w:ascii="仿宋" w:hAnsi="仿宋" w:cs="仿宋"/>
          <w:sz w:val="24"/>
          <w:szCs w:val="24"/>
        </w:rPr>
      </w:pPr>
      <w:r>
        <w:fldChar w:fldCharType="begin"/>
      </w:r>
      <w:r>
        <w:instrText xml:space="preserve"> HYPERLINK \l "_Toc2766" </w:instrText>
      </w:r>
      <w:r>
        <w:fldChar w:fldCharType="separate"/>
      </w:r>
      <w:r>
        <w:rPr>
          <w:rFonts w:hint="eastAsia" w:ascii="仿宋" w:hAnsi="仿宋" w:cs="仿宋"/>
          <w:sz w:val="24"/>
          <w:szCs w:val="24"/>
        </w:rPr>
        <w:t>第二章 招标要求</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_Toc2766 </w:instrText>
      </w:r>
      <w:r>
        <w:rPr>
          <w:rFonts w:hint="eastAsia" w:ascii="仿宋" w:hAnsi="仿宋" w:cs="仿宋"/>
          <w:sz w:val="24"/>
          <w:szCs w:val="24"/>
        </w:rPr>
        <w:fldChar w:fldCharType="separate"/>
      </w:r>
      <w:r>
        <w:rPr>
          <w:rFonts w:ascii="仿宋" w:hAnsi="仿宋" w:cs="仿宋"/>
          <w:sz w:val="24"/>
          <w:szCs w:val="24"/>
        </w:rPr>
        <w:t>- 3 -</w:t>
      </w:r>
      <w:r>
        <w:rPr>
          <w:rFonts w:hint="eastAsia" w:ascii="仿宋" w:hAnsi="仿宋" w:cs="仿宋"/>
          <w:sz w:val="24"/>
          <w:szCs w:val="24"/>
        </w:rPr>
        <w:fldChar w:fldCharType="end"/>
      </w:r>
      <w:r>
        <w:rPr>
          <w:rFonts w:hint="eastAsia" w:ascii="仿宋" w:hAnsi="仿宋" w:cs="仿宋"/>
          <w:sz w:val="24"/>
          <w:szCs w:val="24"/>
        </w:rPr>
        <w:fldChar w:fldCharType="end"/>
      </w:r>
    </w:p>
    <w:p w14:paraId="517AE0D4">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"_Toc25328" </w:instrText>
      </w:r>
      <w:r>
        <w:fldChar w:fldCharType="separate"/>
      </w:r>
      <w:r>
        <w:rPr>
          <w:rFonts w:hint="eastAsia" w:ascii="仿宋" w:hAnsi="仿宋" w:cs="仿宋"/>
          <w:sz w:val="24"/>
          <w:szCs w:val="24"/>
        </w:rPr>
        <w:t>一、项目概述</w:t>
      </w:r>
      <w:r>
        <w:rPr>
          <w:rFonts w:hint="eastAsia" w:ascii="仿宋" w:hAnsi="仿宋" w:cs="仿宋"/>
          <w:sz w:val="24"/>
          <w:szCs w:val="24"/>
        </w:rPr>
        <w:tab/>
      </w:r>
      <w:r>
        <w:rPr>
          <w:rFonts w:hint="eastAsia" w:ascii="仿宋" w:hAnsi="仿宋" w:cs="仿宋"/>
          <w:sz w:val="24"/>
          <w:szCs w:val="24"/>
        </w:rPr>
        <w:fldChar w:fldCharType="end"/>
      </w:r>
    </w:p>
    <w:p w14:paraId="4D248A84">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"_Toc31468" </w:instrText>
      </w:r>
      <w:r>
        <w:fldChar w:fldCharType="separate"/>
      </w:r>
      <w:r>
        <w:rPr>
          <w:rFonts w:hint="eastAsia" w:ascii="仿宋" w:hAnsi="仿宋" w:cs="仿宋"/>
          <w:sz w:val="24"/>
          <w:szCs w:val="24"/>
        </w:rPr>
        <w:t>二、服务要求</w:t>
      </w:r>
      <w:r>
        <w:rPr>
          <w:rFonts w:hint="eastAsia" w:ascii="仿宋" w:hAnsi="仿宋" w:cs="仿宋"/>
          <w:sz w:val="24"/>
          <w:szCs w:val="24"/>
        </w:rPr>
        <w:tab/>
      </w:r>
      <w:r>
        <w:rPr>
          <w:rFonts w:hint="eastAsia" w:ascii="仿宋" w:hAnsi="仿宋" w:cs="仿宋"/>
          <w:sz w:val="24"/>
          <w:szCs w:val="24"/>
        </w:rPr>
        <w:fldChar w:fldCharType="end"/>
      </w:r>
    </w:p>
    <w:p w14:paraId="6A7D075D">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"_Toc14104" </w:instrText>
      </w:r>
      <w:r>
        <w:fldChar w:fldCharType="separate"/>
      </w:r>
      <w:r>
        <w:rPr>
          <w:rFonts w:hint="eastAsia" w:ascii="仿宋" w:hAnsi="仿宋" w:cs="仿宋"/>
          <w:bCs/>
          <w:caps/>
          <w:sz w:val="24"/>
          <w:szCs w:val="24"/>
        </w:rPr>
        <w:t>三</w:t>
      </w:r>
      <w:r>
        <w:rPr>
          <w:rFonts w:hint="eastAsia" w:ascii="仿宋" w:hAnsi="仿宋" w:cs="仿宋"/>
          <w:sz w:val="24"/>
          <w:szCs w:val="24"/>
        </w:rPr>
        <w:t>、其他</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_Toc14104 </w:instrText>
      </w:r>
      <w:r>
        <w:rPr>
          <w:rFonts w:hint="eastAsia" w:ascii="仿宋" w:hAnsi="仿宋" w:cs="仿宋"/>
          <w:sz w:val="24"/>
          <w:szCs w:val="24"/>
        </w:rPr>
        <w:fldChar w:fldCharType="separate"/>
      </w:r>
      <w:r>
        <w:rPr>
          <w:rFonts w:ascii="仿宋" w:hAnsi="仿宋" w:cs="仿宋"/>
          <w:sz w:val="24"/>
          <w:szCs w:val="24"/>
        </w:rPr>
        <w:t>- 5 -</w:t>
      </w:r>
      <w:r>
        <w:rPr>
          <w:rFonts w:hint="eastAsia" w:ascii="仿宋" w:hAnsi="仿宋" w:cs="仿宋"/>
          <w:sz w:val="24"/>
          <w:szCs w:val="24"/>
        </w:rPr>
        <w:fldChar w:fldCharType="end"/>
      </w:r>
      <w:r>
        <w:rPr>
          <w:rFonts w:hint="eastAsia" w:ascii="仿宋" w:hAnsi="仿宋" w:cs="仿宋"/>
          <w:sz w:val="24"/>
          <w:szCs w:val="24"/>
        </w:rPr>
        <w:fldChar w:fldCharType="end"/>
      </w:r>
    </w:p>
    <w:p w14:paraId="79B64F97">
      <w:pPr>
        <w:pStyle w:val="30"/>
        <w:tabs>
          <w:tab w:val="right" w:leader="dot" w:pos="8930"/>
        </w:tabs>
        <w:rPr>
          <w:rFonts w:ascii="仿宋" w:hAnsi="仿宋" w:cs="仿宋"/>
          <w:sz w:val="24"/>
          <w:szCs w:val="24"/>
        </w:rPr>
      </w:pPr>
      <w:r>
        <w:fldChar w:fldCharType="begin"/>
      </w:r>
      <w:r>
        <w:instrText xml:space="preserve"> HYPERLINK \l "_Toc25735" </w:instrText>
      </w:r>
      <w:r>
        <w:fldChar w:fldCharType="separate"/>
      </w:r>
      <w:r>
        <w:rPr>
          <w:rFonts w:hint="eastAsia" w:ascii="仿宋" w:hAnsi="仿宋" w:cs="仿宋"/>
          <w:sz w:val="24"/>
          <w:szCs w:val="24"/>
        </w:rPr>
        <w:t>第三章 投标须知</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_Toc25735 </w:instrText>
      </w:r>
      <w:r>
        <w:rPr>
          <w:rFonts w:hint="eastAsia" w:ascii="仿宋" w:hAnsi="仿宋" w:cs="仿宋"/>
          <w:sz w:val="24"/>
          <w:szCs w:val="24"/>
        </w:rPr>
        <w:fldChar w:fldCharType="separate"/>
      </w:r>
      <w:r>
        <w:rPr>
          <w:rFonts w:ascii="仿宋" w:hAnsi="仿宋" w:cs="仿宋"/>
          <w:sz w:val="24"/>
          <w:szCs w:val="24"/>
        </w:rPr>
        <w:t>- 7 -</w:t>
      </w:r>
      <w:r>
        <w:rPr>
          <w:rFonts w:hint="eastAsia" w:ascii="仿宋" w:hAnsi="仿宋" w:cs="仿宋"/>
          <w:sz w:val="24"/>
          <w:szCs w:val="24"/>
        </w:rPr>
        <w:fldChar w:fldCharType="end"/>
      </w:r>
      <w:r>
        <w:rPr>
          <w:rFonts w:hint="eastAsia" w:ascii="仿宋" w:hAnsi="仿宋" w:cs="仿宋"/>
          <w:sz w:val="24"/>
          <w:szCs w:val="24"/>
        </w:rPr>
        <w:fldChar w:fldCharType="end"/>
      </w:r>
    </w:p>
    <w:p w14:paraId="2B56942C">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"_Toc13057" </w:instrText>
      </w:r>
      <w:r>
        <w:fldChar w:fldCharType="separate"/>
      </w:r>
      <w:r>
        <w:rPr>
          <w:rFonts w:hint="eastAsia" w:ascii="仿宋" w:hAnsi="仿宋" w:cs="仿宋"/>
          <w:sz w:val="24"/>
          <w:szCs w:val="24"/>
        </w:rPr>
        <w:t xml:space="preserve">一、总则 </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_Toc13057 </w:instrText>
      </w:r>
      <w:r>
        <w:rPr>
          <w:rFonts w:hint="eastAsia" w:ascii="仿宋" w:hAnsi="仿宋" w:cs="仿宋"/>
          <w:sz w:val="24"/>
          <w:szCs w:val="24"/>
        </w:rPr>
        <w:fldChar w:fldCharType="separate"/>
      </w:r>
      <w:r>
        <w:rPr>
          <w:rFonts w:ascii="仿宋" w:hAnsi="仿宋" w:cs="仿宋"/>
          <w:sz w:val="24"/>
          <w:szCs w:val="24"/>
        </w:rPr>
        <w:t>- 9 -</w:t>
      </w:r>
      <w:r>
        <w:rPr>
          <w:rFonts w:hint="eastAsia" w:ascii="仿宋" w:hAnsi="仿宋" w:cs="仿宋"/>
          <w:sz w:val="24"/>
          <w:szCs w:val="24"/>
        </w:rPr>
        <w:fldChar w:fldCharType="end"/>
      </w:r>
      <w:r>
        <w:rPr>
          <w:rFonts w:hint="eastAsia" w:ascii="仿宋" w:hAnsi="仿宋" w:cs="仿宋"/>
          <w:sz w:val="24"/>
          <w:szCs w:val="24"/>
        </w:rPr>
        <w:fldChar w:fldCharType="end"/>
      </w:r>
    </w:p>
    <w:p w14:paraId="2FBC8F37">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"_Toc12657" </w:instrText>
      </w:r>
      <w:r>
        <w:fldChar w:fldCharType="separate"/>
      </w:r>
      <w:r>
        <w:rPr>
          <w:rFonts w:hint="eastAsia" w:ascii="仿宋" w:hAnsi="仿宋" w:cs="仿宋"/>
          <w:sz w:val="24"/>
          <w:szCs w:val="24"/>
        </w:rPr>
        <w:t>二、《招标文件》组成与说明</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_Toc12657 </w:instrText>
      </w:r>
      <w:r>
        <w:rPr>
          <w:rFonts w:hint="eastAsia" w:ascii="仿宋" w:hAnsi="仿宋" w:cs="仿宋"/>
          <w:sz w:val="24"/>
          <w:szCs w:val="24"/>
        </w:rPr>
        <w:fldChar w:fldCharType="separate"/>
      </w:r>
      <w:r>
        <w:rPr>
          <w:rFonts w:ascii="仿宋" w:hAnsi="仿宋" w:cs="仿宋"/>
          <w:sz w:val="24"/>
          <w:szCs w:val="24"/>
        </w:rPr>
        <w:t>- 11 -</w:t>
      </w:r>
      <w:r>
        <w:rPr>
          <w:rFonts w:hint="eastAsia" w:ascii="仿宋" w:hAnsi="仿宋" w:cs="仿宋"/>
          <w:sz w:val="24"/>
          <w:szCs w:val="24"/>
        </w:rPr>
        <w:fldChar w:fldCharType="end"/>
      </w:r>
      <w:r>
        <w:rPr>
          <w:rFonts w:hint="eastAsia" w:ascii="仿宋" w:hAnsi="仿宋" w:cs="仿宋"/>
          <w:sz w:val="24"/>
          <w:szCs w:val="24"/>
        </w:rPr>
        <w:fldChar w:fldCharType="end"/>
      </w:r>
    </w:p>
    <w:p w14:paraId="580F28FF">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"_Toc28150" </w:instrText>
      </w:r>
      <w:r>
        <w:fldChar w:fldCharType="separate"/>
      </w:r>
      <w:r>
        <w:rPr>
          <w:rFonts w:hint="eastAsia" w:ascii="仿宋" w:hAnsi="仿宋" w:cs="仿宋"/>
          <w:sz w:val="24"/>
          <w:szCs w:val="24"/>
        </w:rPr>
        <w:t>三、《投标文件》的编制</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_Toc28150 </w:instrText>
      </w:r>
      <w:r>
        <w:rPr>
          <w:rFonts w:hint="eastAsia" w:ascii="仿宋" w:hAnsi="仿宋" w:cs="仿宋"/>
          <w:sz w:val="24"/>
          <w:szCs w:val="24"/>
        </w:rPr>
        <w:fldChar w:fldCharType="separate"/>
      </w:r>
      <w:r>
        <w:rPr>
          <w:rFonts w:ascii="仿宋" w:hAnsi="仿宋" w:cs="仿宋"/>
          <w:sz w:val="24"/>
          <w:szCs w:val="24"/>
        </w:rPr>
        <w:t>- 12 -</w:t>
      </w:r>
      <w:r>
        <w:rPr>
          <w:rFonts w:hint="eastAsia" w:ascii="仿宋" w:hAnsi="仿宋" w:cs="仿宋"/>
          <w:sz w:val="24"/>
          <w:szCs w:val="24"/>
        </w:rPr>
        <w:fldChar w:fldCharType="end"/>
      </w:r>
      <w:r>
        <w:rPr>
          <w:rFonts w:hint="eastAsia" w:ascii="仿宋" w:hAnsi="仿宋" w:cs="仿宋"/>
          <w:sz w:val="24"/>
          <w:szCs w:val="24"/>
        </w:rPr>
        <w:fldChar w:fldCharType="end"/>
      </w:r>
    </w:p>
    <w:p w14:paraId="227B726C">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"_Toc28826" </w:instrText>
      </w:r>
      <w:r>
        <w:fldChar w:fldCharType="separate"/>
      </w:r>
      <w:r>
        <w:rPr>
          <w:rFonts w:hint="eastAsia" w:ascii="仿宋" w:hAnsi="仿宋" w:cs="仿宋"/>
          <w:sz w:val="24"/>
          <w:szCs w:val="24"/>
        </w:rPr>
        <w:t>四、开标</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_Toc28826 </w:instrText>
      </w:r>
      <w:r>
        <w:rPr>
          <w:rFonts w:hint="eastAsia" w:ascii="仿宋" w:hAnsi="仿宋" w:cs="仿宋"/>
          <w:sz w:val="24"/>
          <w:szCs w:val="24"/>
        </w:rPr>
        <w:fldChar w:fldCharType="separate"/>
      </w:r>
      <w:r>
        <w:rPr>
          <w:rFonts w:ascii="仿宋" w:hAnsi="仿宋" w:cs="仿宋"/>
          <w:sz w:val="24"/>
          <w:szCs w:val="24"/>
        </w:rPr>
        <w:t>- 15 -</w:t>
      </w:r>
      <w:r>
        <w:rPr>
          <w:rFonts w:hint="eastAsia" w:ascii="仿宋" w:hAnsi="仿宋" w:cs="仿宋"/>
          <w:sz w:val="24"/>
          <w:szCs w:val="24"/>
        </w:rPr>
        <w:fldChar w:fldCharType="end"/>
      </w:r>
      <w:r>
        <w:rPr>
          <w:rFonts w:hint="eastAsia" w:ascii="仿宋" w:hAnsi="仿宋" w:cs="仿宋"/>
          <w:sz w:val="24"/>
          <w:szCs w:val="24"/>
        </w:rPr>
        <w:fldChar w:fldCharType="end"/>
      </w:r>
    </w:p>
    <w:p w14:paraId="15956D6B">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"_Toc24835" </w:instrText>
      </w:r>
      <w:r>
        <w:fldChar w:fldCharType="separate"/>
      </w:r>
      <w:r>
        <w:rPr>
          <w:rFonts w:hint="eastAsia" w:ascii="仿宋" w:hAnsi="仿宋" w:cs="仿宋"/>
          <w:sz w:val="24"/>
          <w:szCs w:val="24"/>
        </w:rPr>
        <w:t>五、评标</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_Toc24835 </w:instrText>
      </w:r>
      <w:r>
        <w:rPr>
          <w:rFonts w:hint="eastAsia" w:ascii="仿宋" w:hAnsi="仿宋" w:cs="仿宋"/>
          <w:sz w:val="24"/>
          <w:szCs w:val="24"/>
        </w:rPr>
        <w:fldChar w:fldCharType="separate"/>
      </w:r>
      <w:r>
        <w:rPr>
          <w:rFonts w:ascii="仿宋" w:hAnsi="仿宋" w:cs="仿宋"/>
          <w:sz w:val="24"/>
          <w:szCs w:val="24"/>
        </w:rPr>
        <w:t>- 15 -</w:t>
      </w:r>
      <w:r>
        <w:rPr>
          <w:rFonts w:hint="eastAsia" w:ascii="仿宋" w:hAnsi="仿宋" w:cs="仿宋"/>
          <w:sz w:val="24"/>
          <w:szCs w:val="24"/>
        </w:rPr>
        <w:fldChar w:fldCharType="end"/>
      </w:r>
      <w:r>
        <w:rPr>
          <w:rFonts w:hint="eastAsia" w:ascii="仿宋" w:hAnsi="仿宋" w:cs="仿宋"/>
          <w:sz w:val="24"/>
          <w:szCs w:val="24"/>
        </w:rPr>
        <w:fldChar w:fldCharType="end"/>
      </w:r>
    </w:p>
    <w:p w14:paraId="1FB2D303">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"_Toc1015" </w:instrText>
      </w:r>
      <w:r>
        <w:fldChar w:fldCharType="separate"/>
      </w:r>
      <w:r>
        <w:rPr>
          <w:rFonts w:hint="eastAsia" w:ascii="仿宋" w:hAnsi="仿宋" w:cs="仿宋"/>
          <w:sz w:val="24"/>
          <w:szCs w:val="24"/>
        </w:rPr>
        <w:t>六、招标结果发布</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_Toc1015 </w:instrText>
      </w:r>
      <w:r>
        <w:rPr>
          <w:rFonts w:hint="eastAsia" w:ascii="仿宋" w:hAnsi="仿宋" w:cs="仿宋"/>
          <w:sz w:val="24"/>
          <w:szCs w:val="24"/>
        </w:rPr>
        <w:fldChar w:fldCharType="separate"/>
      </w:r>
      <w:r>
        <w:rPr>
          <w:rFonts w:ascii="仿宋" w:hAnsi="仿宋" w:cs="仿宋"/>
          <w:sz w:val="24"/>
          <w:szCs w:val="24"/>
        </w:rPr>
        <w:t>- 17 -</w:t>
      </w:r>
      <w:r>
        <w:rPr>
          <w:rFonts w:hint="eastAsia" w:ascii="仿宋" w:hAnsi="仿宋" w:cs="仿宋"/>
          <w:sz w:val="24"/>
          <w:szCs w:val="24"/>
        </w:rPr>
        <w:fldChar w:fldCharType="end"/>
      </w:r>
      <w:r>
        <w:rPr>
          <w:rFonts w:hint="eastAsia" w:ascii="仿宋" w:hAnsi="仿宋" w:cs="仿宋"/>
          <w:sz w:val="24"/>
          <w:szCs w:val="24"/>
        </w:rPr>
        <w:fldChar w:fldCharType="end"/>
      </w:r>
    </w:p>
    <w:p w14:paraId="4BFCFB0C">
      <w:pPr>
        <w:pStyle w:val="34"/>
        <w:tabs>
          <w:tab w:val="right" w:leader="dot" w:pos="8930"/>
          <w:tab w:val="clear" w:pos="8931"/>
        </w:tabs>
        <w:spacing w:line="360" w:lineRule="auto"/>
        <w:rPr>
          <w:rFonts w:ascii="仿宋" w:hAnsi="仿宋" w:cs="仿宋"/>
          <w:sz w:val="24"/>
          <w:szCs w:val="24"/>
        </w:rPr>
      </w:pPr>
      <w:r>
        <w:fldChar w:fldCharType="begin"/>
      </w:r>
      <w:r>
        <w:instrText xml:space="preserve"> HYPERLINK \l "_Toc26366" </w:instrText>
      </w:r>
      <w:r>
        <w:fldChar w:fldCharType="separate"/>
      </w:r>
      <w:r>
        <w:rPr>
          <w:rFonts w:hint="eastAsia" w:ascii="仿宋" w:hAnsi="仿宋" w:cs="仿宋"/>
          <w:sz w:val="24"/>
          <w:szCs w:val="24"/>
        </w:rPr>
        <w:t>七、合同授予</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_Toc26366 </w:instrText>
      </w:r>
      <w:r>
        <w:rPr>
          <w:rFonts w:hint="eastAsia" w:ascii="仿宋" w:hAnsi="仿宋" w:cs="仿宋"/>
          <w:sz w:val="24"/>
          <w:szCs w:val="24"/>
        </w:rPr>
        <w:fldChar w:fldCharType="separate"/>
      </w:r>
      <w:r>
        <w:rPr>
          <w:rFonts w:ascii="仿宋" w:hAnsi="仿宋" w:cs="仿宋"/>
          <w:sz w:val="24"/>
          <w:szCs w:val="24"/>
        </w:rPr>
        <w:t>- 17 -</w:t>
      </w:r>
      <w:r>
        <w:rPr>
          <w:rFonts w:hint="eastAsia" w:ascii="仿宋" w:hAnsi="仿宋" w:cs="仿宋"/>
          <w:sz w:val="24"/>
          <w:szCs w:val="24"/>
        </w:rPr>
        <w:fldChar w:fldCharType="end"/>
      </w:r>
      <w:r>
        <w:rPr>
          <w:rFonts w:hint="eastAsia" w:ascii="仿宋" w:hAnsi="仿宋" w:cs="仿宋"/>
          <w:sz w:val="24"/>
          <w:szCs w:val="24"/>
        </w:rPr>
        <w:fldChar w:fldCharType="end"/>
      </w:r>
    </w:p>
    <w:p w14:paraId="3DB29974">
      <w:pPr>
        <w:pStyle w:val="30"/>
        <w:tabs>
          <w:tab w:val="right" w:leader="dot" w:pos="8930"/>
        </w:tabs>
        <w:rPr>
          <w:rFonts w:ascii="仿宋" w:hAnsi="仿宋" w:cs="仿宋"/>
          <w:sz w:val="24"/>
          <w:szCs w:val="24"/>
        </w:rPr>
      </w:pPr>
      <w:r>
        <w:fldChar w:fldCharType="begin"/>
      </w:r>
      <w:r>
        <w:instrText xml:space="preserve"> HYPERLINK \l "_Toc8437" </w:instrText>
      </w:r>
      <w:r>
        <w:fldChar w:fldCharType="separate"/>
      </w:r>
      <w:r>
        <w:rPr>
          <w:rFonts w:hint="eastAsia" w:ascii="仿宋" w:hAnsi="仿宋" w:cs="仿宋"/>
          <w:sz w:val="24"/>
          <w:szCs w:val="24"/>
        </w:rPr>
        <w:t>第四章 评审办法及标准</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_Toc8437 </w:instrText>
      </w:r>
      <w:r>
        <w:rPr>
          <w:rFonts w:hint="eastAsia" w:ascii="仿宋" w:hAnsi="仿宋" w:cs="仿宋"/>
          <w:sz w:val="24"/>
          <w:szCs w:val="24"/>
        </w:rPr>
        <w:fldChar w:fldCharType="separate"/>
      </w:r>
      <w:r>
        <w:rPr>
          <w:rFonts w:ascii="仿宋" w:hAnsi="仿宋" w:cs="仿宋"/>
          <w:sz w:val="24"/>
          <w:szCs w:val="24"/>
        </w:rPr>
        <w:t>- 19 -</w:t>
      </w:r>
      <w:r>
        <w:rPr>
          <w:rFonts w:hint="eastAsia" w:ascii="仿宋" w:hAnsi="仿宋" w:cs="仿宋"/>
          <w:sz w:val="24"/>
          <w:szCs w:val="24"/>
        </w:rPr>
        <w:fldChar w:fldCharType="end"/>
      </w:r>
      <w:r>
        <w:rPr>
          <w:rFonts w:hint="eastAsia" w:ascii="仿宋" w:hAnsi="仿宋" w:cs="仿宋"/>
          <w:sz w:val="24"/>
          <w:szCs w:val="24"/>
        </w:rPr>
        <w:fldChar w:fldCharType="end"/>
      </w:r>
    </w:p>
    <w:p w14:paraId="7E24F4C0">
      <w:pPr>
        <w:pStyle w:val="30"/>
        <w:tabs>
          <w:tab w:val="right" w:leader="dot" w:pos="8930"/>
        </w:tabs>
        <w:rPr>
          <w:rFonts w:ascii="仿宋" w:hAnsi="仿宋" w:cs="仿宋"/>
          <w:sz w:val="24"/>
          <w:szCs w:val="24"/>
        </w:rPr>
      </w:pPr>
      <w:r>
        <w:fldChar w:fldCharType="begin"/>
      </w:r>
      <w:r>
        <w:instrText xml:space="preserve"> HYPERLINK \l "_Toc13793" </w:instrText>
      </w:r>
      <w:r>
        <w:fldChar w:fldCharType="separate"/>
      </w:r>
      <w:r>
        <w:rPr>
          <w:rFonts w:hint="eastAsia" w:ascii="仿宋" w:hAnsi="仿宋" w:cs="仿宋"/>
          <w:sz w:val="24"/>
          <w:szCs w:val="24"/>
        </w:rPr>
        <w:t>第五章 合同主要条款</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_Toc13793 </w:instrText>
      </w:r>
      <w:r>
        <w:rPr>
          <w:rFonts w:hint="eastAsia" w:ascii="仿宋" w:hAnsi="仿宋" w:cs="仿宋"/>
          <w:sz w:val="24"/>
          <w:szCs w:val="24"/>
        </w:rPr>
        <w:fldChar w:fldCharType="separate"/>
      </w:r>
      <w:r>
        <w:rPr>
          <w:rFonts w:ascii="仿宋" w:hAnsi="仿宋" w:cs="仿宋"/>
          <w:sz w:val="24"/>
          <w:szCs w:val="24"/>
        </w:rPr>
        <w:t>- 21 -</w:t>
      </w:r>
      <w:r>
        <w:rPr>
          <w:rFonts w:hint="eastAsia" w:ascii="仿宋" w:hAnsi="仿宋" w:cs="仿宋"/>
          <w:sz w:val="24"/>
          <w:szCs w:val="24"/>
        </w:rPr>
        <w:fldChar w:fldCharType="end"/>
      </w:r>
      <w:r>
        <w:rPr>
          <w:rFonts w:hint="eastAsia" w:ascii="仿宋" w:hAnsi="仿宋" w:cs="仿宋"/>
          <w:sz w:val="24"/>
          <w:szCs w:val="24"/>
        </w:rPr>
        <w:fldChar w:fldCharType="end"/>
      </w:r>
    </w:p>
    <w:p w14:paraId="37241586">
      <w:pPr>
        <w:pStyle w:val="30"/>
        <w:tabs>
          <w:tab w:val="right" w:leader="dot" w:pos="8930"/>
        </w:tabs>
        <w:rPr>
          <w:rFonts w:ascii="仿宋" w:hAnsi="仿宋" w:cs="仿宋"/>
          <w:sz w:val="24"/>
          <w:szCs w:val="24"/>
        </w:rPr>
      </w:pPr>
      <w:r>
        <w:fldChar w:fldCharType="begin"/>
      </w:r>
      <w:r>
        <w:instrText xml:space="preserve"> HYPERLINK \l "_Toc10968" </w:instrText>
      </w:r>
      <w:r>
        <w:fldChar w:fldCharType="separate"/>
      </w:r>
      <w:r>
        <w:rPr>
          <w:rFonts w:hint="eastAsia" w:ascii="仿宋" w:hAnsi="仿宋" w:cs="仿宋"/>
          <w:sz w:val="24"/>
          <w:szCs w:val="24"/>
        </w:rPr>
        <w:t>第六章 投标文件格式</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_Toc10968 </w:instrText>
      </w:r>
      <w:r>
        <w:rPr>
          <w:rFonts w:hint="eastAsia" w:ascii="仿宋" w:hAnsi="仿宋" w:cs="仿宋"/>
          <w:sz w:val="24"/>
          <w:szCs w:val="24"/>
        </w:rPr>
        <w:fldChar w:fldCharType="separate"/>
      </w:r>
      <w:r>
        <w:rPr>
          <w:rFonts w:ascii="仿宋" w:hAnsi="仿宋" w:cs="仿宋"/>
          <w:sz w:val="24"/>
          <w:szCs w:val="24"/>
        </w:rPr>
        <w:t>- 26 -</w:t>
      </w:r>
      <w:r>
        <w:rPr>
          <w:rFonts w:hint="eastAsia" w:ascii="仿宋" w:hAnsi="仿宋" w:cs="仿宋"/>
          <w:sz w:val="24"/>
          <w:szCs w:val="24"/>
        </w:rPr>
        <w:fldChar w:fldCharType="end"/>
      </w:r>
      <w:r>
        <w:rPr>
          <w:rFonts w:hint="eastAsia" w:ascii="仿宋" w:hAnsi="仿宋" w:cs="仿宋"/>
          <w:sz w:val="24"/>
          <w:szCs w:val="24"/>
        </w:rPr>
        <w:fldChar w:fldCharType="end"/>
      </w:r>
    </w:p>
    <w:p w14:paraId="3704E23E">
      <w:pPr>
        <w:pStyle w:val="34"/>
        <w:tabs>
          <w:tab w:val="right" w:leader="dot" w:pos="8930"/>
          <w:tab w:val="clear" w:pos="8931"/>
        </w:tabs>
        <w:ind w:left="0"/>
      </w:pPr>
    </w:p>
    <w:p w14:paraId="5D40C797">
      <w:pPr>
        <w:rPr>
          <w:rFonts w:ascii="Arial" w:hAnsi="Arial" w:cs="Arial"/>
          <w:b/>
          <w:color w:val="000000"/>
          <w:szCs w:val="21"/>
        </w:rPr>
      </w:pPr>
      <w:r>
        <w:rPr>
          <w:rFonts w:hint="eastAsia" w:ascii="新宋体" w:hAnsi="新宋体" w:cs="新宋体"/>
          <w:bCs/>
          <w:caps/>
          <w:color w:val="000000"/>
          <w:sz w:val="22"/>
          <w:szCs w:val="22"/>
        </w:rPr>
        <w:fldChar w:fldCharType="end"/>
      </w:r>
    </w:p>
    <w:p w14:paraId="1E23027A">
      <w:pPr>
        <w:ind w:firstLine="424" w:firstLineChars="192"/>
        <w:rPr>
          <w:rFonts w:ascii="Arial" w:hAnsi="Arial" w:cs="Arial"/>
          <w:b/>
          <w:color w:val="000000"/>
          <w:sz w:val="22"/>
          <w:szCs w:val="22"/>
          <w:u w:val="single"/>
        </w:rPr>
      </w:pPr>
      <w:r>
        <w:rPr>
          <w:rFonts w:ascii="Arial" w:hAnsi="新宋体" w:cs="Arial"/>
          <w:b/>
          <w:color w:val="000000"/>
          <w:sz w:val="22"/>
          <w:szCs w:val="22"/>
          <w:u w:val="single"/>
        </w:rPr>
        <w:t>重要提醒：《招标文件》中部分加</w:t>
      </w:r>
      <w:r>
        <w:rPr>
          <w:rFonts w:ascii="Arial" w:hAnsi="Arial" w:cs="Arial"/>
          <w:b/>
          <w:color w:val="000000"/>
          <w:sz w:val="22"/>
          <w:szCs w:val="22"/>
          <w:u w:val="single"/>
        </w:rPr>
        <w:t>“▲”</w:t>
      </w:r>
      <w:r>
        <w:rPr>
          <w:rFonts w:ascii="Arial" w:hAnsi="新宋体" w:cs="Arial"/>
          <w:b/>
          <w:color w:val="000000"/>
          <w:sz w:val="22"/>
          <w:szCs w:val="22"/>
          <w:u w:val="single"/>
        </w:rPr>
        <w:t>、加粗及加下划线的条款着重提请各供应商注意，请各供应商认真查看《招标文件》中的每一个条款及要求，因误读、漏读、错读《招标文件》内容而造成的一切后果，由供应商自行承担，</w:t>
      </w:r>
      <w:r>
        <w:rPr>
          <w:rFonts w:hint="eastAsia" w:ascii="Arial" w:hAnsi="新宋体" w:cs="Arial"/>
          <w:b/>
          <w:color w:val="000000"/>
          <w:sz w:val="22"/>
          <w:szCs w:val="22"/>
          <w:u w:val="single"/>
        </w:rPr>
        <w:t>招标</w:t>
      </w:r>
      <w:r>
        <w:rPr>
          <w:rFonts w:ascii="Arial" w:hAnsi="新宋体" w:cs="Arial"/>
          <w:b/>
          <w:color w:val="000000"/>
          <w:sz w:val="22"/>
          <w:szCs w:val="22"/>
          <w:u w:val="single"/>
        </w:rPr>
        <w:t>组织机构概不负责。</w:t>
      </w:r>
    </w:p>
    <w:p w14:paraId="50ED04E7">
      <w:pPr>
        <w:rPr>
          <w:color w:val="000000"/>
          <w:kern w:val="0"/>
        </w:rPr>
      </w:pPr>
    </w:p>
    <w:p w14:paraId="089258A0"/>
    <w:p w14:paraId="3E99DF04"/>
    <w:p w14:paraId="6A2D2F2A">
      <w:pPr>
        <w:pStyle w:val="37"/>
      </w:pPr>
      <w:bookmarkStart w:id="0" w:name="_Toc440162775"/>
      <w:bookmarkStart w:id="1" w:name="_Toc27953"/>
      <w:bookmarkStart w:id="2" w:name="_Toc20496"/>
      <w:bookmarkStart w:id="3" w:name="_Toc13522"/>
      <w:bookmarkStart w:id="4" w:name="_Toc26199"/>
      <w:bookmarkStart w:id="5" w:name="_Toc446950593"/>
      <w:bookmarkStart w:id="6" w:name="_Toc12262"/>
      <w:bookmarkStart w:id="7" w:name="_Toc424164130"/>
      <w:bookmarkStart w:id="8" w:name="_Toc452032110"/>
    </w:p>
    <w:p w14:paraId="05B94FC9">
      <w:pPr>
        <w:pStyle w:val="37"/>
      </w:pPr>
      <w:r>
        <w:rPr>
          <w:rFonts w:hint="eastAsia"/>
        </w:rPr>
        <w:t>第一章</w:t>
      </w:r>
      <w:r>
        <w:t xml:space="preserve"> </w:t>
      </w:r>
      <w:bookmarkEnd w:id="0"/>
      <w:bookmarkEnd w:id="1"/>
      <w:bookmarkEnd w:id="2"/>
      <w:bookmarkEnd w:id="3"/>
      <w:bookmarkEnd w:id="4"/>
      <w:bookmarkEnd w:id="5"/>
      <w:bookmarkEnd w:id="6"/>
      <w:bookmarkEnd w:id="7"/>
      <w:bookmarkEnd w:id="8"/>
      <w:bookmarkStart w:id="9" w:name="_Toc32748"/>
      <w:bookmarkStart w:id="10" w:name="_Toc424164131"/>
      <w:bookmarkStart w:id="11" w:name="_Toc440162776"/>
      <w:bookmarkStart w:id="12" w:name="_Toc3926"/>
      <w:bookmarkStart w:id="13" w:name="_Toc446950594"/>
      <w:bookmarkStart w:id="14" w:name="_Toc2766"/>
      <w:bookmarkStart w:id="15" w:name="_Toc32482"/>
      <w:bookmarkStart w:id="16" w:name="_Toc5429"/>
      <w:bookmarkStart w:id="17" w:name="_Toc452032111"/>
      <w:r>
        <w:rPr>
          <w:rFonts w:hint="eastAsia"/>
        </w:rPr>
        <w:t>招标公告</w:t>
      </w:r>
    </w:p>
    <w:p w14:paraId="61B60BA0">
      <w:pPr>
        <w:ind w:firstLine="480" w:firstLineChars="200"/>
        <w:jc w:val="left"/>
        <w:rPr>
          <w:rFonts w:ascii="Arial" w:hAnsi="Arial" w:eastAsia="新宋体" w:cs="Arial"/>
          <w:color w:val="000000"/>
        </w:rPr>
      </w:pPr>
      <w:r>
        <w:rPr>
          <w:rFonts w:hint="eastAsia" w:ascii="Arial" w:hAnsi="新宋体" w:cs="Arial"/>
          <w:color w:val="000000"/>
        </w:rPr>
        <w:t>根据《浙江省财政厅关于印发浙江省省级行政事业单位公款竞争性存放管理办法的通知》（浙财预执〔2021〕7号）、《苍南县县级预算单位公款竞争性存放管理暂行办法》（苍政办〔2019〕7号）等有关规定，杭州华旗招标代理有限公司</w:t>
      </w:r>
      <w:r>
        <w:rPr>
          <w:rFonts w:ascii="Arial" w:hAnsi="新宋体" w:cs="Arial"/>
          <w:color w:val="000000"/>
        </w:rPr>
        <w:t>受</w:t>
      </w:r>
      <w:r>
        <w:rPr>
          <w:rFonts w:hint="eastAsia" w:ascii="Arial" w:hAnsi="新宋体" w:cs="Arial"/>
          <w:color w:val="000000"/>
        </w:rPr>
        <w:t>苍南县人民法院</w:t>
      </w:r>
      <w:r>
        <w:rPr>
          <w:rFonts w:ascii="Arial" w:hAnsi="新宋体" w:cs="Arial"/>
          <w:color w:val="000000"/>
        </w:rPr>
        <w:t>委托，就</w:t>
      </w:r>
      <w:r>
        <w:rPr>
          <w:rFonts w:hint="eastAsia" w:ascii="Arial" w:hAnsi="新宋体" w:cs="Arial"/>
          <w:color w:val="000000"/>
          <w:lang w:eastAsia="zh-CN"/>
        </w:rPr>
        <w:t>苍南县人民法院2025年度公款竞争性存放项目</w:t>
      </w:r>
      <w:r>
        <w:rPr>
          <w:rFonts w:ascii="Arial" w:hAnsi="新宋体" w:cs="Arial"/>
          <w:color w:val="000000"/>
        </w:rPr>
        <w:t>进行公开招标，</w:t>
      </w:r>
      <w:r>
        <w:rPr>
          <w:rFonts w:hint="eastAsia" w:ascii="Arial" w:hAnsi="新宋体" w:cs="Arial"/>
          <w:color w:val="000000"/>
        </w:rPr>
        <w:t>欢迎符合条件的银行机构参加投标</w:t>
      </w:r>
      <w:r>
        <w:rPr>
          <w:rFonts w:ascii="Arial" w:hAnsi="新宋体" w:cs="Arial"/>
          <w:color w:val="000000"/>
        </w:rPr>
        <w:t>。</w:t>
      </w:r>
    </w:p>
    <w:p w14:paraId="02247DC4">
      <w:pPr>
        <w:rPr>
          <w:rFonts w:hint="eastAsia" w:ascii="仿宋" w:hAnsi="仿宋" w:eastAsia="仿宋" w:cs="仿宋"/>
          <w:b/>
          <w:color w:val="000000"/>
          <w:lang w:eastAsia="zh-CN"/>
        </w:rPr>
      </w:pPr>
      <w:r>
        <w:rPr>
          <w:rFonts w:hint="eastAsia" w:ascii="仿宋" w:hAnsi="仿宋" w:cs="仿宋"/>
          <w:b/>
          <w:color w:val="000000"/>
        </w:rPr>
        <w:t>一、招标项目名称：</w:t>
      </w:r>
      <w:r>
        <w:rPr>
          <w:rFonts w:hint="eastAsia" w:ascii="仿宋" w:hAnsi="仿宋" w:cs="仿宋"/>
          <w:b/>
          <w:color w:val="000000"/>
          <w:lang w:eastAsia="zh-CN"/>
        </w:rPr>
        <w:t>苍南县人民法院2025年度公款竞争性存放项目</w:t>
      </w:r>
    </w:p>
    <w:p w14:paraId="6943EE65">
      <w:pPr>
        <w:rPr>
          <w:rFonts w:hint="eastAsia" w:ascii="仿宋" w:hAnsi="仿宋" w:eastAsia="仿宋" w:cs="仿宋"/>
          <w:b/>
          <w:color w:val="000000"/>
          <w:lang w:eastAsia="zh-CN"/>
        </w:rPr>
      </w:pPr>
      <w:r>
        <w:rPr>
          <w:rFonts w:hint="eastAsia" w:ascii="仿宋" w:hAnsi="仿宋" w:cs="仿宋"/>
          <w:b/>
          <w:color w:val="000000"/>
        </w:rPr>
        <w:t>二</w:t>
      </w:r>
      <w:r>
        <w:rPr>
          <w:rFonts w:hint="eastAsia" w:ascii="仿宋" w:hAnsi="仿宋" w:cs="仿宋"/>
          <w:color w:val="000000"/>
        </w:rPr>
        <w:t>、</w:t>
      </w:r>
      <w:r>
        <w:rPr>
          <w:rFonts w:hint="eastAsia" w:ascii="仿宋" w:hAnsi="仿宋" w:cs="仿宋"/>
          <w:b/>
          <w:color w:val="000000"/>
        </w:rPr>
        <w:t>项目编号：</w:t>
      </w:r>
      <w:r>
        <w:rPr>
          <w:rFonts w:hint="eastAsia" w:ascii="仿宋" w:hAnsi="仿宋" w:cs="仿宋"/>
          <w:b/>
          <w:color w:val="000000"/>
          <w:lang w:eastAsia="zh-CN"/>
        </w:rPr>
        <w:t>苍产告字[2025]1号</w:t>
      </w:r>
    </w:p>
    <w:p w14:paraId="4CAC2946">
      <w:pPr>
        <w:rPr>
          <w:rFonts w:ascii="仿宋" w:hAnsi="仿宋" w:cs="仿宋"/>
          <w:b/>
          <w:color w:val="000000"/>
        </w:rPr>
      </w:pPr>
      <w:r>
        <w:rPr>
          <w:rFonts w:hint="eastAsia" w:ascii="仿宋" w:hAnsi="仿宋" w:cs="仿宋"/>
          <w:b/>
          <w:color w:val="000000"/>
        </w:rPr>
        <w:t>三、招标内容</w:t>
      </w:r>
    </w:p>
    <w:p w14:paraId="1EF89549">
      <w:pPr>
        <w:pStyle w:val="22"/>
        <w:ind w:firstLine="463" w:firstLineChars="193"/>
        <w:rPr>
          <w:rFonts w:ascii="仿宋" w:hAnsi="仿宋" w:eastAsia="仿宋" w:cs="仿宋"/>
          <w:color w:val="000000"/>
          <w:szCs w:val="24"/>
        </w:rPr>
      </w:pPr>
      <w:r>
        <w:rPr>
          <w:rFonts w:hint="eastAsia" w:ascii="仿宋" w:hAnsi="仿宋" w:eastAsia="仿宋" w:cs="仿宋"/>
          <w:bCs/>
          <w:color w:val="000000"/>
          <w:szCs w:val="24"/>
        </w:rPr>
        <w:t>本项目招标内容为</w:t>
      </w:r>
      <w:r>
        <w:rPr>
          <w:rFonts w:hint="eastAsia" w:ascii="仿宋" w:hAnsi="仿宋" w:eastAsia="仿宋" w:cs="仿宋"/>
          <w:bCs/>
          <w:color w:val="000000"/>
          <w:szCs w:val="24"/>
          <w:lang w:eastAsia="zh-CN"/>
        </w:rPr>
        <w:t>苍南县人民法院2025年度公款竞争性存放项目</w:t>
      </w:r>
      <w:r>
        <w:rPr>
          <w:rFonts w:hint="eastAsia" w:ascii="仿宋" w:hAnsi="仿宋" w:eastAsia="仿宋" w:cs="仿宋"/>
          <w:bCs/>
          <w:color w:val="000000"/>
          <w:szCs w:val="24"/>
        </w:rPr>
        <w:t>，定期1年。分成</w:t>
      </w:r>
      <w:r>
        <w:rPr>
          <w:rFonts w:hint="eastAsia" w:ascii="仿宋" w:hAnsi="仿宋" w:eastAsia="仿宋" w:cs="仿宋"/>
          <w:bCs/>
          <w:color w:val="000000"/>
          <w:szCs w:val="24"/>
          <w:lang w:val="en-US" w:eastAsia="zh-CN"/>
        </w:rPr>
        <w:t>3</w:t>
      </w:r>
      <w:r>
        <w:rPr>
          <w:rFonts w:hint="eastAsia" w:ascii="仿宋" w:hAnsi="仿宋" w:eastAsia="仿宋" w:cs="仿宋"/>
          <w:bCs/>
          <w:color w:val="000000"/>
          <w:szCs w:val="24"/>
        </w:rPr>
        <w:t>个标段（</w:t>
      </w:r>
      <w:r>
        <w:rPr>
          <w:rFonts w:hint="eastAsia" w:ascii="仿宋" w:hAnsi="仿宋" w:eastAsia="仿宋" w:cs="仿宋"/>
          <w:bCs/>
          <w:color w:val="000000"/>
          <w:szCs w:val="24"/>
          <w:lang w:val="en-US" w:eastAsia="zh-CN"/>
        </w:rPr>
        <w:t>9</w:t>
      </w:r>
      <w:r>
        <w:rPr>
          <w:rFonts w:hint="eastAsia" w:ascii="仿宋" w:hAnsi="仿宋" w:eastAsia="仿宋" w:cs="仿宋"/>
          <w:bCs/>
          <w:color w:val="000000"/>
          <w:szCs w:val="24"/>
        </w:rPr>
        <w:t>000万元），标段一：</w:t>
      </w:r>
      <w:r>
        <w:rPr>
          <w:rFonts w:hint="eastAsia" w:ascii="仿宋" w:hAnsi="仿宋" w:eastAsia="仿宋" w:cs="仿宋"/>
          <w:bCs/>
          <w:color w:val="000000"/>
          <w:szCs w:val="24"/>
          <w:lang w:val="en-US" w:eastAsia="zh-CN"/>
        </w:rPr>
        <w:t>30</w:t>
      </w:r>
      <w:r>
        <w:rPr>
          <w:rFonts w:ascii="仿宋" w:hAnsi="仿宋" w:eastAsia="仿宋" w:cs="仿宋"/>
          <w:bCs/>
          <w:color w:val="000000"/>
          <w:szCs w:val="24"/>
        </w:rPr>
        <w:t>00</w:t>
      </w:r>
      <w:r>
        <w:rPr>
          <w:rFonts w:hint="eastAsia" w:ascii="仿宋" w:hAnsi="仿宋" w:eastAsia="仿宋" w:cs="仿宋"/>
          <w:bCs/>
          <w:color w:val="000000"/>
          <w:szCs w:val="24"/>
        </w:rPr>
        <w:t>万元、标段二：</w:t>
      </w:r>
      <w:r>
        <w:rPr>
          <w:rFonts w:hint="eastAsia" w:ascii="仿宋" w:hAnsi="仿宋" w:eastAsia="仿宋" w:cs="仿宋"/>
          <w:bCs/>
          <w:color w:val="000000"/>
          <w:szCs w:val="24"/>
          <w:lang w:val="en-US" w:eastAsia="zh-CN"/>
        </w:rPr>
        <w:t>30</w:t>
      </w:r>
      <w:r>
        <w:rPr>
          <w:rFonts w:hint="eastAsia" w:ascii="仿宋" w:hAnsi="仿宋" w:eastAsia="仿宋" w:cs="仿宋"/>
          <w:bCs/>
          <w:color w:val="000000"/>
          <w:szCs w:val="24"/>
        </w:rPr>
        <w:t>00万元</w:t>
      </w:r>
      <w:r>
        <w:rPr>
          <w:rFonts w:hint="eastAsia" w:ascii="仿宋" w:hAnsi="仿宋" w:eastAsia="仿宋" w:cs="仿宋"/>
          <w:bCs/>
          <w:color w:val="000000"/>
          <w:szCs w:val="24"/>
          <w:lang w:eastAsia="zh-CN"/>
        </w:rPr>
        <w:t>、</w:t>
      </w:r>
      <w:r>
        <w:rPr>
          <w:rFonts w:hint="eastAsia" w:ascii="仿宋" w:hAnsi="仿宋" w:eastAsia="仿宋" w:cs="仿宋"/>
          <w:bCs/>
          <w:color w:val="000000"/>
          <w:szCs w:val="24"/>
          <w:lang w:val="en-US" w:eastAsia="zh-CN"/>
        </w:rPr>
        <w:t>标段三</w:t>
      </w:r>
      <w:r>
        <w:rPr>
          <w:rFonts w:hint="eastAsia" w:ascii="仿宋" w:hAnsi="仿宋" w:eastAsia="仿宋" w:cs="仿宋"/>
          <w:bCs/>
          <w:color w:val="000000"/>
          <w:szCs w:val="24"/>
        </w:rPr>
        <w:t>：</w:t>
      </w:r>
      <w:r>
        <w:rPr>
          <w:rFonts w:hint="eastAsia" w:ascii="仿宋" w:hAnsi="仿宋" w:eastAsia="仿宋" w:cs="仿宋"/>
          <w:bCs/>
          <w:color w:val="000000"/>
          <w:szCs w:val="24"/>
          <w:lang w:val="en-US" w:eastAsia="zh-CN"/>
        </w:rPr>
        <w:t>30</w:t>
      </w:r>
      <w:r>
        <w:rPr>
          <w:rFonts w:hint="eastAsia" w:ascii="仿宋" w:hAnsi="仿宋" w:eastAsia="仿宋" w:cs="仿宋"/>
          <w:bCs/>
          <w:color w:val="000000"/>
          <w:szCs w:val="24"/>
        </w:rPr>
        <w:t>00万</w:t>
      </w:r>
      <w:r>
        <w:rPr>
          <w:rFonts w:hint="eastAsia" w:ascii="仿宋" w:hAnsi="仿宋" w:cs="仿宋"/>
          <w:bCs/>
          <w:color w:val="000000"/>
          <w:szCs w:val="24"/>
        </w:rPr>
        <w:t>。</w:t>
      </w:r>
    </w:p>
    <w:p w14:paraId="686CFAE3">
      <w:pPr>
        <w:rPr>
          <w:rFonts w:ascii="仿宋" w:hAnsi="仿宋" w:cs="仿宋"/>
          <w:b/>
          <w:color w:val="000000"/>
        </w:rPr>
      </w:pPr>
      <w:r>
        <w:rPr>
          <w:rFonts w:hint="eastAsia" w:ascii="仿宋" w:hAnsi="仿宋" w:cs="仿宋"/>
          <w:b/>
          <w:color w:val="000000"/>
        </w:rPr>
        <w:t>四</w:t>
      </w:r>
      <w:r>
        <w:rPr>
          <w:rFonts w:hint="eastAsia" w:ascii="仿宋" w:hAnsi="仿宋" w:cs="仿宋"/>
          <w:color w:val="000000"/>
        </w:rPr>
        <w:t>、</w:t>
      </w:r>
      <w:r>
        <w:rPr>
          <w:rFonts w:hint="eastAsia" w:ascii="仿宋" w:hAnsi="仿宋" w:cs="仿宋"/>
          <w:b/>
          <w:color w:val="000000"/>
        </w:rPr>
        <w:t>投标银行基本条件要求：</w:t>
      </w:r>
    </w:p>
    <w:p w14:paraId="2C27014A">
      <w:pPr>
        <w:pStyle w:val="22"/>
        <w:ind w:firstLine="480" w:firstLineChars="200"/>
        <w:rPr>
          <w:rFonts w:ascii="仿宋" w:hAnsi="仿宋" w:eastAsia="仿宋" w:cs="仿宋"/>
          <w:szCs w:val="24"/>
        </w:rPr>
      </w:pPr>
      <w:r>
        <w:rPr>
          <w:rFonts w:hint="eastAsia" w:ascii="仿宋" w:hAnsi="仿宋" w:eastAsia="仿宋" w:cs="仿宋"/>
          <w:szCs w:val="24"/>
        </w:rPr>
        <w:t>投标银行应符合《苍南县县级预算单位公款竞争性存放管理暂行办法》（苍政办〔2019〕7号）等规定的基本条件，具体包括：</w:t>
      </w:r>
    </w:p>
    <w:p w14:paraId="6CEC467B">
      <w:pPr>
        <w:pStyle w:val="22"/>
        <w:numPr>
          <w:ilvl w:val="0"/>
          <w:numId w:val="3"/>
        </w:numPr>
        <w:ind w:firstLine="463" w:firstLineChars="193"/>
        <w:rPr>
          <w:rFonts w:ascii="仿宋" w:hAnsi="仿宋" w:eastAsia="仿宋" w:cs="仿宋"/>
          <w:szCs w:val="24"/>
        </w:rPr>
      </w:pPr>
      <w:r>
        <w:rPr>
          <w:rFonts w:hint="eastAsia" w:ascii="仿宋" w:hAnsi="仿宋" w:eastAsia="仿宋" w:cs="仿宋"/>
          <w:szCs w:val="24"/>
        </w:rPr>
        <w:t>在温州市苍南县设有分支机构；</w:t>
      </w:r>
    </w:p>
    <w:p w14:paraId="2D26A9FB">
      <w:pPr>
        <w:pStyle w:val="22"/>
        <w:numPr>
          <w:ilvl w:val="0"/>
          <w:numId w:val="3"/>
        </w:numPr>
        <w:ind w:firstLine="463" w:firstLineChars="193"/>
        <w:rPr>
          <w:rFonts w:ascii="仿宋" w:hAnsi="仿宋" w:eastAsia="仿宋" w:cs="仿宋"/>
          <w:szCs w:val="24"/>
        </w:rPr>
      </w:pPr>
      <w:r>
        <w:rPr>
          <w:rFonts w:hint="eastAsia" w:ascii="仿宋" w:hAnsi="仿宋" w:eastAsia="仿宋" w:cs="仿宋"/>
          <w:szCs w:val="24"/>
        </w:rPr>
        <w:t>依法开展经营活动，近3年内在经营活动中无重大违法违规记录；</w:t>
      </w:r>
    </w:p>
    <w:p w14:paraId="561DED45">
      <w:pPr>
        <w:pStyle w:val="22"/>
        <w:numPr>
          <w:ilvl w:val="0"/>
          <w:numId w:val="3"/>
        </w:numPr>
        <w:ind w:firstLine="463" w:firstLineChars="193"/>
        <w:rPr>
          <w:rFonts w:ascii="仿宋" w:hAnsi="仿宋" w:eastAsia="仿宋" w:cs="仿宋"/>
          <w:szCs w:val="24"/>
        </w:rPr>
      </w:pPr>
      <w:r>
        <w:rPr>
          <w:rFonts w:hint="eastAsia" w:ascii="仿宋" w:hAnsi="仿宋" w:eastAsia="仿宋" w:cs="仿宋"/>
          <w:szCs w:val="24"/>
        </w:rPr>
        <w:t>内部管理机制健全，具有较强的风险控制能力；</w:t>
      </w:r>
    </w:p>
    <w:p w14:paraId="0E3F13CC">
      <w:pPr>
        <w:rPr>
          <w:rFonts w:ascii="仿宋" w:hAnsi="仿宋" w:cs="仿宋"/>
          <w:b/>
          <w:color w:val="000000"/>
        </w:rPr>
      </w:pPr>
      <w:r>
        <w:rPr>
          <w:rFonts w:hint="eastAsia" w:ascii="仿宋" w:hAnsi="仿宋" w:cs="仿宋"/>
          <w:b/>
          <w:color w:val="000000"/>
        </w:rPr>
        <w:t>五</w:t>
      </w:r>
      <w:r>
        <w:rPr>
          <w:rFonts w:hint="eastAsia" w:ascii="仿宋" w:hAnsi="仿宋" w:cs="仿宋"/>
          <w:color w:val="000000"/>
        </w:rPr>
        <w:t>、</w:t>
      </w:r>
      <w:r>
        <w:rPr>
          <w:rFonts w:hint="eastAsia" w:ascii="仿宋" w:hAnsi="仿宋" w:cs="仿宋"/>
          <w:b/>
          <w:color w:val="000000"/>
        </w:rPr>
        <w:t>招标文件获取时间、方式及地址</w:t>
      </w:r>
      <w:r>
        <w:rPr>
          <w:rFonts w:hint="eastAsia" w:ascii="仿宋" w:hAnsi="仿宋" w:cs="仿宋"/>
          <w:color w:val="000000"/>
        </w:rPr>
        <w:t>：</w:t>
      </w:r>
    </w:p>
    <w:p w14:paraId="085CE271">
      <w:pPr>
        <w:ind w:firstLine="420"/>
        <w:rPr>
          <w:rFonts w:ascii="仿宋" w:hAnsi="仿宋" w:cs="仿宋"/>
          <w:color w:val="000000"/>
        </w:rPr>
      </w:pPr>
      <w:r>
        <w:rPr>
          <w:rFonts w:hint="eastAsia" w:ascii="仿宋" w:hAnsi="仿宋" w:cs="仿宋"/>
          <w:color w:val="000000"/>
        </w:rPr>
        <w:t>1、获取时间：</w:t>
      </w:r>
      <w:r>
        <w:rPr>
          <w:rFonts w:hint="eastAsia" w:ascii="仿宋" w:hAnsi="仿宋" w:cs="仿宋"/>
          <w:b/>
          <w:bCs/>
          <w:color w:val="0000FF"/>
          <w:u w:val="single"/>
        </w:rPr>
        <w:t>202</w:t>
      </w:r>
      <w:r>
        <w:rPr>
          <w:rFonts w:hint="eastAsia" w:ascii="仿宋" w:hAnsi="仿宋" w:cs="仿宋"/>
          <w:b/>
          <w:bCs/>
          <w:color w:val="0000FF"/>
          <w:u w:val="single"/>
          <w:lang w:val="en-US" w:eastAsia="zh-CN"/>
        </w:rPr>
        <w:t>5</w:t>
      </w:r>
      <w:r>
        <w:rPr>
          <w:rFonts w:hint="eastAsia" w:ascii="仿宋" w:hAnsi="仿宋" w:cs="仿宋"/>
          <w:b/>
          <w:bCs/>
          <w:color w:val="0000FF"/>
          <w:u w:val="single"/>
        </w:rPr>
        <w:t>-</w:t>
      </w:r>
      <w:r>
        <w:rPr>
          <w:rFonts w:hint="eastAsia" w:ascii="仿宋" w:hAnsi="仿宋" w:cs="仿宋"/>
          <w:b/>
          <w:bCs/>
          <w:color w:val="0000FF"/>
          <w:u w:val="single"/>
          <w:lang w:val="en-US" w:eastAsia="zh-CN"/>
        </w:rPr>
        <w:t>2</w:t>
      </w:r>
      <w:r>
        <w:rPr>
          <w:rFonts w:hint="eastAsia" w:ascii="仿宋" w:hAnsi="仿宋" w:cs="仿宋"/>
          <w:b/>
          <w:bCs/>
          <w:color w:val="0000FF"/>
          <w:u w:val="single"/>
        </w:rPr>
        <w:t>-</w:t>
      </w:r>
      <w:r>
        <w:rPr>
          <w:rFonts w:hint="eastAsia" w:ascii="仿宋" w:hAnsi="仿宋" w:cs="仿宋"/>
          <w:b/>
          <w:bCs/>
          <w:color w:val="0000FF"/>
          <w:u w:val="single"/>
          <w:lang w:val="en-US" w:eastAsia="zh-CN"/>
        </w:rPr>
        <w:t>8</w:t>
      </w:r>
      <w:r>
        <w:rPr>
          <w:rFonts w:hint="eastAsia" w:ascii="仿宋" w:hAnsi="仿宋" w:cs="仿宋"/>
          <w:b/>
          <w:bCs/>
          <w:color w:val="0000FF"/>
          <w:u w:val="single"/>
        </w:rPr>
        <w:t xml:space="preserve"> 至202</w:t>
      </w:r>
      <w:r>
        <w:rPr>
          <w:rFonts w:hint="eastAsia" w:ascii="仿宋" w:hAnsi="仿宋" w:cs="仿宋"/>
          <w:b/>
          <w:bCs/>
          <w:color w:val="0000FF"/>
          <w:u w:val="single"/>
          <w:lang w:val="en-US" w:eastAsia="zh-CN"/>
        </w:rPr>
        <w:t>5</w:t>
      </w:r>
      <w:r>
        <w:rPr>
          <w:rFonts w:hint="eastAsia" w:ascii="仿宋" w:hAnsi="仿宋" w:cs="仿宋"/>
          <w:b/>
          <w:bCs/>
          <w:color w:val="0000FF"/>
          <w:u w:val="single"/>
        </w:rPr>
        <w:t>-</w:t>
      </w:r>
      <w:r>
        <w:rPr>
          <w:rFonts w:hint="eastAsia" w:ascii="仿宋" w:hAnsi="仿宋" w:cs="仿宋"/>
          <w:b/>
          <w:bCs/>
          <w:color w:val="0000FF"/>
          <w:u w:val="single"/>
          <w:lang w:val="en-US" w:eastAsia="zh-CN"/>
        </w:rPr>
        <w:t>2</w:t>
      </w:r>
      <w:r>
        <w:rPr>
          <w:rFonts w:hint="eastAsia" w:ascii="仿宋" w:hAnsi="仿宋" w:cs="仿宋"/>
          <w:b/>
          <w:bCs/>
          <w:color w:val="0000FF"/>
          <w:u w:val="single"/>
        </w:rPr>
        <w:t>-</w:t>
      </w:r>
      <w:r>
        <w:rPr>
          <w:rFonts w:hint="eastAsia" w:ascii="仿宋" w:hAnsi="仿宋" w:cs="仿宋"/>
          <w:b/>
          <w:bCs/>
          <w:color w:val="0000FF"/>
          <w:u w:val="single"/>
          <w:lang w:val="en-US" w:eastAsia="zh-CN"/>
        </w:rPr>
        <w:t>19</w:t>
      </w:r>
      <w:r>
        <w:rPr>
          <w:rFonts w:hint="eastAsia" w:ascii="仿宋" w:hAnsi="仿宋" w:cs="仿宋"/>
          <w:color w:val="000000"/>
        </w:rPr>
        <w:t xml:space="preserve">  （双休日及法定节假日除外）</w:t>
      </w:r>
    </w:p>
    <w:p w14:paraId="7E49C054">
      <w:pPr>
        <w:ind w:firstLine="420"/>
        <w:rPr>
          <w:rFonts w:ascii="仿宋" w:hAnsi="仿宋" w:cs="仿宋"/>
          <w:color w:val="000000"/>
        </w:rPr>
      </w:pPr>
      <w:r>
        <w:rPr>
          <w:rFonts w:hint="eastAsia" w:ascii="仿宋" w:hAnsi="仿宋" w:cs="仿宋"/>
          <w:color w:val="000000"/>
        </w:rPr>
        <w:t>上午：9:00-11:30，下午：14:00-17:30</w:t>
      </w:r>
    </w:p>
    <w:p w14:paraId="3979A484">
      <w:pPr>
        <w:ind w:firstLine="420"/>
        <w:rPr>
          <w:rFonts w:ascii="仿宋" w:hAnsi="仿宋" w:cs="仿宋"/>
          <w:color w:val="000000"/>
        </w:rPr>
      </w:pPr>
      <w:r>
        <w:rPr>
          <w:rFonts w:hint="eastAsia" w:ascii="仿宋" w:hAnsi="仿宋" w:cs="仿宋"/>
          <w:color w:val="000000"/>
        </w:rPr>
        <w:t>2、获取地址：政采云（www.zcygov.cn）</w:t>
      </w:r>
    </w:p>
    <w:p w14:paraId="2A5F0C45">
      <w:pPr>
        <w:ind w:firstLine="480" w:firstLineChars="200"/>
        <w:rPr>
          <w:rFonts w:ascii="仿宋" w:hAnsi="仿宋" w:cs="仿宋"/>
          <w:color w:val="000000"/>
        </w:rPr>
      </w:pPr>
      <w:r>
        <w:rPr>
          <w:rFonts w:hint="eastAsia" w:ascii="仿宋" w:hAnsi="仿宋" w:cs="仿宋"/>
          <w:color w:val="000000"/>
        </w:rPr>
        <w:t>3、获取文件方式：政采云网站下载</w:t>
      </w:r>
    </w:p>
    <w:p w14:paraId="2A539286">
      <w:pPr>
        <w:rPr>
          <w:rFonts w:ascii="仿宋" w:hAnsi="仿宋" w:cs="仿宋"/>
          <w:b/>
          <w:color w:val="0000FF"/>
        </w:rPr>
      </w:pPr>
      <w:r>
        <w:rPr>
          <w:rFonts w:hint="eastAsia" w:ascii="仿宋" w:hAnsi="仿宋" w:cs="仿宋"/>
          <w:b/>
          <w:color w:val="000000"/>
        </w:rPr>
        <w:t>六、投标截止时间：</w:t>
      </w:r>
      <w:r>
        <w:rPr>
          <w:rFonts w:hint="eastAsia" w:ascii="仿宋" w:hAnsi="仿宋" w:cs="仿宋"/>
          <w:b/>
          <w:bCs/>
          <w:color w:val="0000FF"/>
          <w:u w:val="single"/>
        </w:rPr>
        <w:t>202</w:t>
      </w:r>
      <w:r>
        <w:rPr>
          <w:rFonts w:hint="eastAsia" w:ascii="仿宋" w:hAnsi="仿宋" w:cs="仿宋"/>
          <w:b/>
          <w:bCs/>
          <w:color w:val="0000FF"/>
          <w:u w:val="single"/>
          <w:lang w:val="en-US" w:eastAsia="zh-CN"/>
        </w:rPr>
        <w:t>5</w:t>
      </w:r>
      <w:r>
        <w:rPr>
          <w:rFonts w:hint="eastAsia" w:ascii="仿宋" w:hAnsi="仿宋" w:cs="仿宋"/>
          <w:b/>
          <w:bCs/>
          <w:color w:val="0000FF"/>
          <w:u w:val="single"/>
        </w:rPr>
        <w:t>-</w:t>
      </w:r>
      <w:r>
        <w:rPr>
          <w:rFonts w:hint="eastAsia" w:ascii="仿宋" w:hAnsi="仿宋" w:cs="仿宋"/>
          <w:b/>
          <w:bCs/>
          <w:color w:val="0000FF"/>
          <w:u w:val="single"/>
          <w:lang w:val="en-US" w:eastAsia="zh-CN"/>
        </w:rPr>
        <w:t>2</w:t>
      </w:r>
      <w:r>
        <w:rPr>
          <w:rFonts w:hint="eastAsia" w:ascii="仿宋" w:hAnsi="仿宋" w:cs="仿宋"/>
          <w:b/>
          <w:bCs/>
          <w:color w:val="0000FF"/>
          <w:u w:val="single"/>
        </w:rPr>
        <w:t>-</w:t>
      </w:r>
      <w:r>
        <w:rPr>
          <w:rFonts w:hint="eastAsia" w:ascii="仿宋" w:hAnsi="仿宋" w:cs="仿宋"/>
          <w:b/>
          <w:bCs/>
          <w:color w:val="0000FF"/>
          <w:u w:val="single"/>
          <w:lang w:val="en-US" w:eastAsia="zh-CN"/>
        </w:rPr>
        <w:t>19</w:t>
      </w:r>
      <w:r>
        <w:rPr>
          <w:rFonts w:hint="eastAsia" w:ascii="仿宋" w:hAnsi="仿宋" w:cs="仿宋"/>
          <w:b/>
          <w:bCs/>
          <w:color w:val="0000FF"/>
          <w:u w:val="single"/>
        </w:rPr>
        <w:t>，14:30</w:t>
      </w:r>
    </w:p>
    <w:p w14:paraId="30F02405">
      <w:pPr>
        <w:rPr>
          <w:rFonts w:ascii="仿宋" w:hAnsi="仿宋" w:cs="仿宋"/>
          <w:b/>
          <w:bCs/>
          <w:color w:val="0000FF"/>
          <w:u w:val="single"/>
        </w:rPr>
      </w:pPr>
      <w:r>
        <w:rPr>
          <w:rFonts w:hint="eastAsia" w:ascii="仿宋" w:hAnsi="仿宋" w:cs="仿宋"/>
          <w:b/>
        </w:rPr>
        <w:t>七</w:t>
      </w:r>
      <w:r>
        <w:rPr>
          <w:rFonts w:hint="eastAsia" w:ascii="仿宋" w:hAnsi="仿宋" w:cs="仿宋"/>
        </w:rPr>
        <w:t>、</w:t>
      </w:r>
      <w:r>
        <w:rPr>
          <w:rFonts w:hint="eastAsia" w:ascii="仿宋" w:hAnsi="仿宋" w:cs="仿宋"/>
          <w:b/>
        </w:rPr>
        <w:t>投标地址：</w:t>
      </w:r>
      <w:r>
        <w:rPr>
          <w:rFonts w:hint="eastAsia" w:ascii="仿宋" w:hAnsi="仿宋" w:cs="仿宋"/>
          <w:b/>
          <w:bCs/>
          <w:color w:val="0000FF"/>
          <w:u w:val="single"/>
        </w:rPr>
        <w:t>政采云（www.zcygov.cn） </w:t>
      </w:r>
    </w:p>
    <w:p w14:paraId="75E3FE84">
      <w:pPr>
        <w:rPr>
          <w:rFonts w:ascii="仿宋" w:hAnsi="仿宋" w:cs="仿宋"/>
          <w:b/>
          <w:u w:val="single"/>
        </w:rPr>
      </w:pPr>
      <w:r>
        <w:rPr>
          <w:rFonts w:hint="eastAsia" w:ascii="仿宋" w:hAnsi="仿宋" w:cs="仿宋"/>
          <w:b/>
          <w:color w:val="000000"/>
        </w:rPr>
        <w:t>八、开标时</w:t>
      </w:r>
      <w:r>
        <w:rPr>
          <w:rFonts w:hint="eastAsia" w:ascii="仿宋" w:hAnsi="仿宋" w:cs="仿宋"/>
          <w:b/>
        </w:rPr>
        <w:t>间：</w:t>
      </w:r>
      <w:r>
        <w:rPr>
          <w:rFonts w:hint="eastAsia" w:ascii="仿宋" w:hAnsi="仿宋" w:cs="仿宋"/>
          <w:b/>
          <w:bCs/>
          <w:color w:val="0000FF"/>
          <w:u w:val="single"/>
        </w:rPr>
        <w:t>202</w:t>
      </w:r>
      <w:r>
        <w:rPr>
          <w:rFonts w:hint="eastAsia" w:ascii="仿宋" w:hAnsi="仿宋" w:cs="仿宋"/>
          <w:b/>
          <w:bCs/>
          <w:color w:val="0000FF"/>
          <w:u w:val="single"/>
          <w:lang w:val="en-US" w:eastAsia="zh-CN"/>
        </w:rPr>
        <w:t>5</w:t>
      </w:r>
      <w:r>
        <w:rPr>
          <w:rFonts w:hint="eastAsia" w:ascii="仿宋" w:hAnsi="仿宋" w:cs="仿宋"/>
          <w:b/>
          <w:bCs/>
          <w:color w:val="0000FF"/>
          <w:u w:val="single"/>
        </w:rPr>
        <w:t>-</w:t>
      </w:r>
      <w:r>
        <w:rPr>
          <w:rFonts w:hint="eastAsia" w:ascii="仿宋" w:hAnsi="仿宋" w:cs="仿宋"/>
          <w:b/>
          <w:bCs/>
          <w:color w:val="0000FF"/>
          <w:u w:val="single"/>
          <w:lang w:val="en-US" w:eastAsia="zh-CN"/>
        </w:rPr>
        <w:t>2</w:t>
      </w:r>
      <w:r>
        <w:rPr>
          <w:rFonts w:hint="eastAsia" w:ascii="仿宋" w:hAnsi="仿宋" w:cs="仿宋"/>
          <w:b/>
          <w:bCs/>
          <w:color w:val="0000FF"/>
          <w:u w:val="single"/>
        </w:rPr>
        <w:t>-</w:t>
      </w:r>
      <w:r>
        <w:rPr>
          <w:rFonts w:hint="eastAsia" w:ascii="仿宋" w:hAnsi="仿宋" w:cs="仿宋"/>
          <w:b/>
          <w:bCs/>
          <w:color w:val="0000FF"/>
          <w:u w:val="single"/>
          <w:lang w:val="en-US" w:eastAsia="zh-CN"/>
        </w:rPr>
        <w:t>19</w:t>
      </w:r>
      <w:r>
        <w:rPr>
          <w:rFonts w:hint="eastAsia" w:ascii="仿宋" w:hAnsi="仿宋" w:cs="仿宋"/>
          <w:b/>
          <w:bCs/>
          <w:color w:val="0000FF"/>
          <w:u w:val="single"/>
        </w:rPr>
        <w:t>，14:30</w:t>
      </w:r>
    </w:p>
    <w:p w14:paraId="7FA4376D">
      <w:pPr>
        <w:rPr>
          <w:rFonts w:ascii="仿宋" w:hAnsi="仿宋" w:cs="Arial"/>
          <w:b/>
          <w:color w:val="0000FF"/>
          <w:u w:val="single"/>
        </w:rPr>
      </w:pPr>
      <w:r>
        <w:rPr>
          <w:rFonts w:hint="eastAsia" w:ascii="仿宋" w:hAnsi="仿宋" w:cs="仿宋"/>
          <w:b/>
        </w:rPr>
        <w:t>九、开标地址：</w:t>
      </w:r>
      <w:r>
        <w:rPr>
          <w:rFonts w:hint="eastAsia" w:ascii="仿宋" w:hAnsi="仿宋" w:cs="仿宋"/>
          <w:b/>
          <w:bCs/>
          <w:color w:val="0000FF"/>
          <w:u w:val="single"/>
        </w:rPr>
        <w:t>政采云（www.zcygov.cn） </w:t>
      </w:r>
    </w:p>
    <w:p w14:paraId="0C427747">
      <w:pPr>
        <w:rPr>
          <w:rFonts w:ascii="仿宋" w:hAnsi="仿宋" w:cs="仿宋"/>
          <w:b/>
          <w:color w:val="000000"/>
        </w:rPr>
      </w:pPr>
      <w:r>
        <w:rPr>
          <w:rFonts w:hint="eastAsia" w:ascii="仿宋" w:hAnsi="仿宋" w:cs="仿宋"/>
          <w:b/>
          <w:color w:val="000000"/>
        </w:rPr>
        <w:t>十</w:t>
      </w:r>
      <w:r>
        <w:rPr>
          <w:rFonts w:hint="eastAsia" w:ascii="仿宋" w:hAnsi="仿宋" w:cs="仿宋"/>
          <w:color w:val="000000"/>
        </w:rPr>
        <w:t>、</w:t>
      </w:r>
      <w:r>
        <w:rPr>
          <w:rFonts w:hint="eastAsia" w:ascii="仿宋" w:hAnsi="仿宋" w:cs="仿宋"/>
          <w:b/>
          <w:color w:val="000000"/>
        </w:rPr>
        <w:t>其他事项：</w:t>
      </w:r>
    </w:p>
    <w:p w14:paraId="4CB43A18">
      <w:pPr>
        <w:ind w:firstLine="463" w:firstLineChars="193"/>
        <w:rPr>
          <w:rFonts w:ascii="仿宋" w:hAnsi="仿宋" w:cs="仿宋"/>
          <w:color w:val="000000"/>
        </w:rPr>
      </w:pPr>
      <w:r>
        <w:rPr>
          <w:rFonts w:hint="eastAsia" w:ascii="仿宋" w:hAnsi="仿宋" w:cs="仿宋"/>
          <w:color w:val="000000"/>
        </w:rPr>
        <w:t>1、本公告发布媒体：浙江政府采购网、苍南县人民政府门户网站。</w:t>
      </w:r>
    </w:p>
    <w:p w14:paraId="53D32BE0">
      <w:pPr>
        <w:rPr>
          <w:rFonts w:ascii="仿宋" w:hAnsi="仿宋" w:cs="仿宋"/>
          <w:b/>
          <w:color w:val="000000"/>
        </w:rPr>
      </w:pPr>
      <w:r>
        <w:rPr>
          <w:rFonts w:hint="eastAsia" w:ascii="仿宋" w:hAnsi="仿宋" w:cs="仿宋"/>
          <w:b/>
          <w:color w:val="000000"/>
        </w:rPr>
        <w:t>十一、联系方式：</w:t>
      </w:r>
    </w:p>
    <w:p w14:paraId="58D594E7">
      <w:pPr>
        <w:ind w:left="485" w:leftChars="202"/>
        <w:rPr>
          <w:rFonts w:ascii="仿宋" w:hAnsi="仿宋" w:cs="仿宋"/>
          <w:color w:val="000000"/>
        </w:rPr>
      </w:pPr>
      <w:r>
        <w:rPr>
          <w:rFonts w:hint="eastAsia" w:ascii="仿宋" w:hAnsi="仿宋" w:cs="仿宋"/>
          <w:color w:val="000000"/>
        </w:rPr>
        <w:t>1、招标人名称：苍南县人民法院</w:t>
      </w:r>
    </w:p>
    <w:p w14:paraId="0040C2E4">
      <w:pPr>
        <w:ind w:left="485" w:leftChars="202"/>
        <w:rPr>
          <w:rFonts w:hint="eastAsia" w:ascii="仿宋" w:hAnsi="仿宋" w:eastAsia="仿宋" w:cs="仿宋"/>
          <w:color w:val="000000"/>
          <w:lang w:eastAsia="zh-CN"/>
        </w:rPr>
      </w:pPr>
      <w:r>
        <w:rPr>
          <w:rFonts w:hint="eastAsia" w:ascii="仿宋" w:hAnsi="仿宋" w:cs="仿宋"/>
          <w:color w:val="000000"/>
        </w:rPr>
        <w:t>联系人：</w:t>
      </w:r>
      <w:r>
        <w:rPr>
          <w:rFonts w:hint="eastAsia" w:ascii="仿宋" w:hAnsi="仿宋" w:cs="仿宋"/>
          <w:color w:val="000000"/>
          <w:lang w:eastAsia="zh-CN"/>
        </w:rPr>
        <w:t>蔡女士</w:t>
      </w:r>
      <w:r>
        <w:rPr>
          <w:rFonts w:hint="eastAsia" w:ascii="仿宋" w:hAnsi="仿宋" w:cs="仿宋"/>
          <w:color w:val="000000"/>
        </w:rPr>
        <w:t xml:space="preserve">     联系电话：</w:t>
      </w:r>
      <w:r>
        <w:rPr>
          <w:rFonts w:hint="eastAsia" w:ascii="仿宋" w:hAnsi="仿宋" w:cs="仿宋"/>
          <w:color w:val="000000"/>
          <w:lang w:eastAsia="zh-CN"/>
        </w:rPr>
        <w:t>0577-68708610</w:t>
      </w:r>
    </w:p>
    <w:p w14:paraId="42030B41">
      <w:pPr>
        <w:ind w:left="485" w:leftChars="202"/>
        <w:rPr>
          <w:rFonts w:ascii="仿宋" w:hAnsi="仿宋" w:cs="仿宋"/>
          <w:color w:val="000000"/>
        </w:rPr>
      </w:pPr>
      <w:r>
        <w:rPr>
          <w:rFonts w:hint="eastAsia" w:ascii="仿宋" w:hAnsi="仿宋" w:cs="仿宋"/>
          <w:color w:val="000000"/>
        </w:rPr>
        <w:t>地址：苍南县灵溪镇玉苍路</w:t>
      </w:r>
    </w:p>
    <w:p w14:paraId="6BF135DF">
      <w:pPr>
        <w:ind w:left="485" w:leftChars="202"/>
        <w:rPr>
          <w:rFonts w:ascii="仿宋" w:hAnsi="仿宋" w:cs="仿宋"/>
          <w:color w:val="000000"/>
        </w:rPr>
      </w:pPr>
      <w:r>
        <w:rPr>
          <w:rFonts w:hint="eastAsia" w:ascii="仿宋" w:hAnsi="仿宋" w:cs="仿宋"/>
          <w:color w:val="000000"/>
        </w:rPr>
        <w:t>2、招标代理机构名称：杭州华旗招标代理有限公司</w:t>
      </w:r>
    </w:p>
    <w:p w14:paraId="7CC658B1">
      <w:pPr>
        <w:ind w:left="485" w:leftChars="202"/>
        <w:rPr>
          <w:rFonts w:ascii="仿宋" w:hAnsi="仿宋" w:cs="仿宋"/>
          <w:color w:val="000000"/>
        </w:rPr>
      </w:pPr>
      <w:r>
        <w:rPr>
          <w:rFonts w:hint="eastAsia" w:ascii="仿宋" w:hAnsi="仿宋" w:cs="仿宋"/>
          <w:color w:val="000000"/>
        </w:rPr>
        <w:t xml:space="preserve">联系人：陈维文     </w:t>
      </w:r>
    </w:p>
    <w:p w14:paraId="775E1BCB">
      <w:pPr>
        <w:ind w:left="485" w:leftChars="202"/>
        <w:rPr>
          <w:rFonts w:ascii="仿宋" w:hAnsi="仿宋" w:cs="仿宋"/>
          <w:color w:val="000000"/>
        </w:rPr>
      </w:pPr>
      <w:r>
        <w:rPr>
          <w:rFonts w:hint="eastAsia" w:ascii="仿宋" w:hAnsi="仿宋" w:cs="仿宋"/>
          <w:color w:val="000000"/>
        </w:rPr>
        <w:t>联系电话：</w:t>
      </w:r>
      <w:r>
        <w:rPr>
          <w:rFonts w:ascii="仿宋" w:hAnsi="仿宋" w:cs="仿宋"/>
          <w:color w:val="000000"/>
        </w:rPr>
        <w:t>13738772079</w:t>
      </w:r>
    </w:p>
    <w:p w14:paraId="721EE1A9">
      <w:pPr>
        <w:ind w:left="485" w:leftChars="202"/>
        <w:rPr>
          <w:rFonts w:ascii="仿宋" w:hAnsi="仿宋" w:cs="仿宋"/>
          <w:color w:val="000000"/>
        </w:rPr>
      </w:pPr>
      <w:r>
        <w:rPr>
          <w:rFonts w:hint="eastAsia" w:ascii="仿宋" w:hAnsi="仿宋" w:cs="仿宋"/>
          <w:color w:val="000000"/>
        </w:rPr>
        <w:t>地址：苍南县灵溪镇上江小区13栋5号</w:t>
      </w:r>
    </w:p>
    <w:p w14:paraId="59BA262D">
      <w:pPr>
        <w:ind w:left="485" w:leftChars="202"/>
        <w:rPr>
          <w:rFonts w:ascii="仿宋" w:hAnsi="仿宋" w:cs="仿宋"/>
          <w:color w:val="000000"/>
        </w:rPr>
      </w:pPr>
    </w:p>
    <w:p w14:paraId="0729DD01">
      <w:pPr>
        <w:pStyle w:val="37"/>
        <w:numPr>
          <w:ilvl w:val="0"/>
          <w:numId w:val="4"/>
        </w:numPr>
      </w:pPr>
      <w:r>
        <w:rPr>
          <w:rFonts w:hint="eastAsia"/>
        </w:rPr>
        <w:br w:type="page"/>
      </w:r>
      <w:bookmarkEnd w:id="9"/>
      <w:bookmarkEnd w:id="10"/>
      <w:bookmarkEnd w:id="11"/>
      <w:bookmarkEnd w:id="12"/>
      <w:bookmarkEnd w:id="13"/>
      <w:r>
        <w:rPr>
          <w:rFonts w:hint="eastAsia"/>
        </w:rPr>
        <w:t>招标要求</w:t>
      </w:r>
      <w:bookmarkEnd w:id="14"/>
      <w:bookmarkEnd w:id="15"/>
      <w:bookmarkEnd w:id="16"/>
      <w:bookmarkEnd w:id="17"/>
    </w:p>
    <w:p w14:paraId="44702633">
      <w:pPr>
        <w:widowControl/>
        <w:tabs>
          <w:tab w:val="left" w:pos="618"/>
        </w:tabs>
        <w:snapToGrid w:val="0"/>
        <w:rPr>
          <w:rFonts w:ascii="宋体" w:hAnsi="宋体" w:eastAsia="宋体" w:cs="宋体"/>
          <w:b/>
          <w:bCs/>
          <w:kern w:val="0"/>
          <w:sz w:val="32"/>
          <w:szCs w:val="32"/>
        </w:rPr>
      </w:pPr>
      <w:bookmarkStart w:id="18" w:name="_Toc14911"/>
      <w:bookmarkStart w:id="19" w:name="_Toc452032115"/>
      <w:bookmarkStart w:id="20" w:name="_Toc14104"/>
      <w:bookmarkStart w:id="21" w:name="_Toc361840245"/>
      <w:bookmarkStart w:id="22" w:name="_Toc16804"/>
      <w:bookmarkStart w:id="23" w:name="_Toc267320054"/>
      <w:r>
        <w:rPr>
          <w:rFonts w:hint="eastAsia" w:ascii="宋体" w:hAnsi="宋体" w:eastAsia="宋体" w:cs="宋体"/>
          <w:b/>
          <w:bCs/>
          <w:kern w:val="0"/>
          <w:sz w:val="32"/>
          <w:szCs w:val="32"/>
        </w:rPr>
        <w:t>一、说明</w:t>
      </w:r>
    </w:p>
    <w:p w14:paraId="413980B4">
      <w:pPr>
        <w:widowControl/>
        <w:numPr>
          <w:ilvl w:val="1"/>
          <w:numId w:val="5"/>
        </w:numPr>
        <w:tabs>
          <w:tab w:val="left" w:pos="-105"/>
          <w:tab w:val="left" w:pos="210"/>
          <w:tab w:val="left" w:pos="420"/>
        </w:tabs>
        <w:snapToGrid w:val="0"/>
        <w:ind w:left="0" w:firstLine="0"/>
        <w:jc w:val="left"/>
        <w:rPr>
          <w:rFonts w:ascii="仿宋" w:hAnsi="仿宋" w:cs="仿宋"/>
          <w:lang w:bidi="ar"/>
        </w:rPr>
      </w:pPr>
      <w:r>
        <w:rPr>
          <w:rFonts w:hint="eastAsia" w:ascii="仿宋" w:hAnsi="仿宋" w:cs="仿宋"/>
          <w:lang w:bidi="ar"/>
        </w:rPr>
        <w:t>《关于防止领导干部在公款存放方面发生利益冲突和利益输送的办法》(浙委办发〔2015〕8号)、《浙江省财政厅关于印发浙江省省级行政事业单位公款竞争性存放管理办法的通知》（浙财预执〔2021〕7号）、《苍南县县级预算单位公款竞争性存放管理暂行办法》（苍政办〔2019〕7号）等规定、尽量满足资金的安全性并结合本项目的实际组织和实施，具体以本招标文件为准。</w:t>
      </w:r>
    </w:p>
    <w:p w14:paraId="52D3AC54">
      <w:pPr>
        <w:widowControl/>
        <w:numPr>
          <w:ilvl w:val="1"/>
          <w:numId w:val="5"/>
        </w:numPr>
        <w:tabs>
          <w:tab w:val="left" w:pos="-105"/>
          <w:tab w:val="left" w:pos="210"/>
          <w:tab w:val="left" w:pos="420"/>
        </w:tabs>
        <w:snapToGrid w:val="0"/>
        <w:ind w:left="0" w:firstLine="0"/>
        <w:jc w:val="left"/>
        <w:rPr>
          <w:rFonts w:ascii="仿宋" w:hAnsi="仿宋" w:cs="仿宋"/>
          <w:bCs/>
          <w:kern w:val="28"/>
        </w:rPr>
      </w:pPr>
      <w:r>
        <w:rPr>
          <w:rFonts w:hint="eastAsia" w:ascii="仿宋" w:hAnsi="仿宋" w:cs="仿宋"/>
        </w:rPr>
        <w:t>资金来源</w:t>
      </w:r>
      <w:r>
        <w:rPr>
          <w:rFonts w:hint="eastAsia" w:ascii="仿宋" w:hAnsi="仿宋" w:cs="仿宋"/>
          <w:bCs/>
          <w:kern w:val="28"/>
        </w:rPr>
        <w:t>：执行款。</w:t>
      </w:r>
    </w:p>
    <w:p w14:paraId="2878C258">
      <w:pPr>
        <w:widowControl/>
        <w:numPr>
          <w:ilvl w:val="1"/>
          <w:numId w:val="5"/>
        </w:numPr>
        <w:tabs>
          <w:tab w:val="left" w:pos="-105"/>
          <w:tab w:val="left" w:pos="210"/>
          <w:tab w:val="left" w:pos="420"/>
        </w:tabs>
        <w:snapToGrid w:val="0"/>
        <w:ind w:left="0" w:firstLine="0"/>
        <w:jc w:val="left"/>
        <w:rPr>
          <w:rFonts w:ascii="仿宋" w:hAnsi="仿宋" w:cs="仿宋"/>
          <w:bCs/>
          <w:kern w:val="28"/>
        </w:rPr>
      </w:pPr>
      <w:r>
        <w:rPr>
          <w:rFonts w:hint="eastAsia" w:ascii="仿宋" w:hAnsi="仿宋" w:cs="仿宋"/>
          <w:bCs/>
          <w:kern w:val="28"/>
        </w:rPr>
        <w:t>投标人应独立投标，不得联合投标或借用资质。</w:t>
      </w:r>
    </w:p>
    <w:p w14:paraId="3B26D273">
      <w:pPr>
        <w:widowControl/>
        <w:numPr>
          <w:ilvl w:val="1"/>
          <w:numId w:val="5"/>
        </w:numPr>
        <w:tabs>
          <w:tab w:val="left" w:pos="-105"/>
          <w:tab w:val="left" w:pos="210"/>
          <w:tab w:val="left" w:pos="420"/>
        </w:tabs>
        <w:snapToGrid w:val="0"/>
        <w:ind w:left="0" w:firstLine="0"/>
        <w:jc w:val="left"/>
        <w:rPr>
          <w:rFonts w:ascii="仿宋" w:hAnsi="仿宋" w:cs="仿宋"/>
          <w:bCs/>
          <w:kern w:val="28"/>
        </w:rPr>
      </w:pPr>
      <w:r>
        <w:rPr>
          <w:rFonts w:hint="eastAsia" w:ascii="仿宋" w:hAnsi="仿宋" w:cs="仿宋"/>
          <w:bCs/>
          <w:kern w:val="28"/>
        </w:rPr>
        <w:t>本次招标标的为</w:t>
      </w:r>
      <w:r>
        <w:rPr>
          <w:rFonts w:hint="eastAsia" w:ascii="仿宋" w:hAnsi="仿宋" w:cs="仿宋"/>
          <w:bCs/>
          <w:color w:val="000000"/>
          <w:lang w:eastAsia="zh-CN"/>
        </w:rPr>
        <w:t>苍南县人民法院2025年度公款竞争性存放项目</w:t>
      </w:r>
      <w:r>
        <w:rPr>
          <w:rFonts w:hint="eastAsia" w:ascii="仿宋" w:hAnsi="仿宋" w:cs="仿宋"/>
          <w:bCs/>
          <w:kern w:val="28"/>
        </w:rPr>
        <w:t>。</w:t>
      </w:r>
    </w:p>
    <w:p w14:paraId="0AA6220B">
      <w:pPr>
        <w:widowControl/>
        <w:numPr>
          <w:ilvl w:val="1"/>
          <w:numId w:val="5"/>
        </w:numPr>
        <w:tabs>
          <w:tab w:val="left" w:pos="-105"/>
          <w:tab w:val="left" w:pos="210"/>
          <w:tab w:val="left" w:pos="420"/>
        </w:tabs>
        <w:snapToGrid w:val="0"/>
        <w:ind w:left="0" w:firstLine="0"/>
        <w:jc w:val="left"/>
        <w:rPr>
          <w:rFonts w:ascii="仿宋" w:hAnsi="仿宋" w:cs="仿宋"/>
          <w:bCs/>
          <w:kern w:val="28"/>
        </w:rPr>
      </w:pPr>
      <w:r>
        <w:rPr>
          <w:rFonts w:hint="eastAsia" w:ascii="仿宋" w:hAnsi="仿宋" w:cs="仿宋"/>
          <w:bCs/>
          <w:kern w:val="28"/>
        </w:rPr>
        <w:t xml:space="preserve">主要招标范围及内容包括： </w:t>
      </w:r>
      <w:r>
        <w:rPr>
          <w:rFonts w:hint="eastAsia" w:ascii="仿宋" w:hAnsi="仿宋" w:cs="仿宋"/>
          <w:bCs/>
          <w:kern w:val="28"/>
          <w:lang w:val="en-US" w:eastAsia="zh-CN"/>
        </w:rPr>
        <w:t>9</w:t>
      </w:r>
      <w:r>
        <w:rPr>
          <w:rFonts w:hint="eastAsia" w:ascii="仿宋" w:hAnsi="仿宋" w:cs="仿宋"/>
          <w:bCs/>
          <w:kern w:val="28"/>
        </w:rPr>
        <w:t>000 万元，分为</w:t>
      </w:r>
      <w:r>
        <w:rPr>
          <w:rFonts w:hint="eastAsia" w:ascii="仿宋" w:hAnsi="仿宋" w:cs="仿宋"/>
          <w:bCs/>
          <w:kern w:val="28"/>
          <w:lang w:eastAsia="zh-CN"/>
        </w:rPr>
        <w:t>三</w:t>
      </w:r>
      <w:r>
        <w:rPr>
          <w:rFonts w:hint="eastAsia" w:ascii="仿宋" w:hAnsi="仿宋" w:cs="仿宋"/>
          <w:bCs/>
          <w:kern w:val="28"/>
        </w:rPr>
        <w:t>个标段：</w:t>
      </w:r>
      <w:r>
        <w:rPr>
          <w:rFonts w:hint="eastAsia" w:ascii="仿宋" w:hAnsi="仿宋" w:eastAsia="仿宋" w:cs="仿宋"/>
          <w:bCs/>
          <w:color w:val="000000"/>
          <w:szCs w:val="24"/>
        </w:rPr>
        <w:t>标段一：</w:t>
      </w:r>
      <w:r>
        <w:rPr>
          <w:rFonts w:hint="eastAsia" w:ascii="仿宋" w:hAnsi="仿宋" w:eastAsia="仿宋" w:cs="仿宋"/>
          <w:bCs/>
          <w:color w:val="000000"/>
          <w:szCs w:val="24"/>
          <w:lang w:val="en-US" w:eastAsia="zh-CN"/>
        </w:rPr>
        <w:t>30</w:t>
      </w:r>
      <w:r>
        <w:rPr>
          <w:rFonts w:ascii="仿宋" w:hAnsi="仿宋" w:eastAsia="仿宋" w:cs="仿宋"/>
          <w:bCs/>
          <w:color w:val="000000"/>
          <w:szCs w:val="24"/>
        </w:rPr>
        <w:t>00</w:t>
      </w:r>
      <w:r>
        <w:rPr>
          <w:rFonts w:hint="eastAsia" w:ascii="仿宋" w:hAnsi="仿宋" w:eastAsia="仿宋" w:cs="仿宋"/>
          <w:bCs/>
          <w:color w:val="000000"/>
          <w:szCs w:val="24"/>
        </w:rPr>
        <w:t>万元、标段二：</w:t>
      </w:r>
      <w:r>
        <w:rPr>
          <w:rFonts w:hint="eastAsia" w:ascii="仿宋" w:hAnsi="仿宋" w:eastAsia="仿宋" w:cs="仿宋"/>
          <w:bCs/>
          <w:color w:val="000000"/>
          <w:szCs w:val="24"/>
          <w:lang w:val="en-US" w:eastAsia="zh-CN"/>
        </w:rPr>
        <w:t>30</w:t>
      </w:r>
      <w:r>
        <w:rPr>
          <w:rFonts w:hint="eastAsia" w:ascii="仿宋" w:hAnsi="仿宋" w:eastAsia="仿宋" w:cs="仿宋"/>
          <w:bCs/>
          <w:color w:val="000000"/>
          <w:szCs w:val="24"/>
        </w:rPr>
        <w:t>00万元</w:t>
      </w:r>
      <w:r>
        <w:rPr>
          <w:rFonts w:hint="eastAsia" w:ascii="仿宋" w:hAnsi="仿宋" w:eastAsia="仿宋" w:cs="仿宋"/>
          <w:bCs/>
          <w:color w:val="000000"/>
          <w:szCs w:val="24"/>
          <w:lang w:eastAsia="zh-CN"/>
        </w:rPr>
        <w:t>、</w:t>
      </w:r>
      <w:r>
        <w:rPr>
          <w:rFonts w:hint="eastAsia" w:ascii="仿宋" w:hAnsi="仿宋" w:eastAsia="仿宋" w:cs="仿宋"/>
          <w:bCs/>
          <w:color w:val="000000"/>
          <w:szCs w:val="24"/>
          <w:lang w:val="en-US" w:eastAsia="zh-CN"/>
        </w:rPr>
        <w:t>标段三</w:t>
      </w:r>
      <w:r>
        <w:rPr>
          <w:rFonts w:hint="eastAsia" w:ascii="仿宋" w:hAnsi="仿宋" w:eastAsia="仿宋" w:cs="仿宋"/>
          <w:bCs/>
          <w:color w:val="000000"/>
          <w:szCs w:val="24"/>
        </w:rPr>
        <w:t>：</w:t>
      </w:r>
      <w:r>
        <w:rPr>
          <w:rFonts w:hint="eastAsia" w:ascii="仿宋" w:hAnsi="仿宋" w:eastAsia="仿宋" w:cs="仿宋"/>
          <w:bCs/>
          <w:color w:val="000000"/>
          <w:szCs w:val="24"/>
          <w:lang w:val="en-US" w:eastAsia="zh-CN"/>
        </w:rPr>
        <w:t>30</w:t>
      </w:r>
      <w:r>
        <w:rPr>
          <w:rFonts w:hint="eastAsia" w:ascii="仿宋" w:hAnsi="仿宋" w:eastAsia="仿宋" w:cs="仿宋"/>
          <w:bCs/>
          <w:color w:val="000000"/>
          <w:szCs w:val="24"/>
        </w:rPr>
        <w:t>00万</w:t>
      </w:r>
      <w:r>
        <w:rPr>
          <w:rFonts w:hint="eastAsia" w:ascii="仿宋" w:hAnsi="仿宋" w:cs="仿宋"/>
          <w:bCs/>
          <w:kern w:val="28"/>
        </w:rPr>
        <w:t>。</w:t>
      </w:r>
    </w:p>
    <w:p w14:paraId="2A442BEB">
      <w:pPr>
        <w:widowControl/>
        <w:tabs>
          <w:tab w:val="left" w:pos="-105"/>
          <w:tab w:val="left" w:pos="210"/>
          <w:tab w:val="left" w:pos="420"/>
        </w:tabs>
        <w:snapToGrid w:val="0"/>
        <w:ind w:firstLine="482" w:firstLineChars="200"/>
        <w:jc w:val="left"/>
        <w:rPr>
          <w:rFonts w:ascii="仿宋" w:hAnsi="仿宋" w:cs="仿宋"/>
          <w:b/>
          <w:color w:val="000000" w:themeColor="text1"/>
          <w:kern w:val="28"/>
          <w14:textFill>
            <w14:solidFill>
              <w14:schemeClr w14:val="tx1"/>
            </w14:solidFill>
          </w14:textFill>
        </w:rPr>
      </w:pPr>
      <w:r>
        <w:rPr>
          <w:rFonts w:hint="eastAsia" w:ascii="仿宋" w:hAnsi="仿宋" w:cs="仿宋"/>
          <w:b/>
          <w:color w:val="000000" w:themeColor="text1"/>
          <w:kern w:val="28"/>
          <w14:textFill>
            <w14:solidFill>
              <w14:schemeClr w14:val="tx1"/>
            </w14:solidFill>
          </w14:textFill>
        </w:rPr>
        <w:t>注：</w:t>
      </w:r>
    </w:p>
    <w:p w14:paraId="73F379A7">
      <w:pPr>
        <w:widowControl/>
        <w:tabs>
          <w:tab w:val="left" w:pos="-105"/>
          <w:tab w:val="left" w:pos="210"/>
          <w:tab w:val="left" w:pos="420"/>
        </w:tabs>
        <w:snapToGrid w:val="0"/>
        <w:ind w:firstLine="482" w:firstLineChars="200"/>
        <w:jc w:val="left"/>
        <w:rPr>
          <w:rFonts w:ascii="仿宋" w:hAnsi="仿宋" w:cs="仿宋"/>
          <w:b/>
          <w:color w:val="000000" w:themeColor="text1"/>
          <w:kern w:val="28"/>
          <w14:textFill>
            <w14:solidFill>
              <w14:schemeClr w14:val="tx1"/>
            </w14:solidFill>
          </w14:textFill>
        </w:rPr>
      </w:pPr>
      <w:r>
        <w:rPr>
          <w:rFonts w:hint="eastAsia" w:ascii="仿宋" w:hAnsi="仿宋" w:cs="仿宋"/>
          <w:b/>
          <w:color w:val="000000" w:themeColor="text1"/>
          <w:kern w:val="28"/>
          <w14:textFill>
            <w14:solidFill>
              <w14:schemeClr w14:val="tx1"/>
            </w14:solidFill>
          </w14:textFill>
        </w:rPr>
        <w:t>①中标后资金具体存入时间以招标人指定的时间为准，中标人不得因存放金额增减、存入时间的变化而要求降低利率及服务内容。</w:t>
      </w:r>
    </w:p>
    <w:p w14:paraId="07BB9BBF">
      <w:pPr>
        <w:widowControl/>
        <w:tabs>
          <w:tab w:val="left" w:pos="-105"/>
          <w:tab w:val="left" w:pos="210"/>
          <w:tab w:val="left" w:pos="420"/>
        </w:tabs>
        <w:snapToGrid w:val="0"/>
        <w:ind w:firstLine="482" w:firstLineChars="200"/>
        <w:jc w:val="left"/>
        <w:rPr>
          <w:rFonts w:ascii="仿宋" w:hAnsi="仿宋" w:cs="仿宋"/>
          <w:b/>
          <w:color w:val="000000" w:themeColor="text1"/>
          <w:kern w:val="28"/>
          <w14:textFill>
            <w14:solidFill>
              <w14:schemeClr w14:val="tx1"/>
            </w14:solidFill>
          </w14:textFill>
        </w:rPr>
      </w:pPr>
      <w:r>
        <w:rPr>
          <w:rFonts w:hint="eastAsia" w:ascii="仿宋" w:hAnsi="仿宋" w:cs="仿宋"/>
          <w:b/>
          <w:color w:val="000000" w:themeColor="text1"/>
          <w:kern w:val="28"/>
          <w14:textFill>
            <w14:solidFill>
              <w14:schemeClr w14:val="tx1"/>
            </w14:solidFill>
          </w14:textFill>
        </w:rPr>
        <w:t>②存放时间是以划转入账时间之日起定存一年。</w:t>
      </w:r>
    </w:p>
    <w:p w14:paraId="6FA785CD">
      <w:pPr>
        <w:widowControl/>
        <w:tabs>
          <w:tab w:val="left" w:pos="-105"/>
          <w:tab w:val="left" w:pos="210"/>
          <w:tab w:val="left" w:pos="420"/>
        </w:tabs>
        <w:snapToGrid w:val="0"/>
        <w:ind w:firstLine="482" w:firstLineChars="200"/>
        <w:jc w:val="left"/>
        <w:rPr>
          <w:rFonts w:hint="eastAsia" w:ascii="仿宋" w:hAnsi="仿宋" w:cs="仿宋"/>
          <w:b/>
          <w:color w:val="000000" w:themeColor="text1"/>
          <w:kern w:val="28"/>
          <w14:textFill>
            <w14:solidFill>
              <w14:schemeClr w14:val="tx1"/>
            </w14:solidFill>
          </w14:textFill>
        </w:rPr>
      </w:pPr>
      <w:r>
        <w:rPr>
          <w:rFonts w:hint="eastAsia" w:ascii="仿宋" w:hAnsi="仿宋" w:cs="仿宋"/>
          <w:b/>
          <w:color w:val="000000" w:themeColor="text1"/>
          <w:kern w:val="28"/>
          <w14:textFill>
            <w14:solidFill>
              <w14:schemeClr w14:val="tx1"/>
            </w14:solidFill>
          </w14:textFill>
        </w:rPr>
        <w:t>③招标人可以根据实际需求将每个标段的中标金额划分成多个存单存入乙方指定办理定期存款的分支机构。</w:t>
      </w:r>
    </w:p>
    <w:p w14:paraId="368FCF60">
      <w:pPr>
        <w:widowControl/>
        <w:tabs>
          <w:tab w:val="left" w:pos="-105"/>
          <w:tab w:val="left" w:pos="210"/>
          <w:tab w:val="left" w:pos="420"/>
        </w:tabs>
        <w:snapToGrid w:val="0"/>
        <w:ind w:firstLine="482" w:firstLineChars="200"/>
        <w:jc w:val="left"/>
        <w:rPr>
          <w:rFonts w:hint="default" w:ascii="仿宋" w:hAnsi="仿宋" w:cs="仿宋"/>
          <w:b/>
          <w:color w:val="000000" w:themeColor="text1"/>
          <w:kern w:val="28"/>
          <w:lang w:val="en-US" w:eastAsia="zh-CN"/>
          <w14:textFill>
            <w14:solidFill>
              <w14:schemeClr w14:val="tx1"/>
            </w14:solidFill>
          </w14:textFill>
        </w:rPr>
      </w:pPr>
      <w:r>
        <w:rPr>
          <w:rFonts w:hint="eastAsia" w:ascii="仿宋" w:hAnsi="仿宋" w:cs="仿宋"/>
          <w:b/>
          <w:color w:val="000000" w:themeColor="text1"/>
          <w:kern w:val="28"/>
          <w14:textFill>
            <w14:solidFill>
              <w14:schemeClr w14:val="tx1"/>
            </w14:solidFill>
          </w14:textFill>
        </w:rPr>
        <w:t>④</w:t>
      </w:r>
      <w:r>
        <w:rPr>
          <w:rFonts w:hint="eastAsia" w:ascii="仿宋" w:hAnsi="仿宋" w:cs="仿宋"/>
          <w:b/>
          <w:color w:val="000000" w:themeColor="text1"/>
          <w:kern w:val="28"/>
          <w:lang w:val="en-US" w:eastAsia="zh-CN"/>
          <w14:textFill>
            <w14:solidFill>
              <w14:schemeClr w14:val="tx1"/>
            </w14:solidFill>
          </w14:textFill>
        </w:rPr>
        <w:t>如出现招标人提前支取情况，将在标段三中标银行中进行支取。</w:t>
      </w:r>
    </w:p>
    <w:p w14:paraId="421F1BFF">
      <w:pPr>
        <w:widowControl/>
        <w:tabs>
          <w:tab w:val="left" w:pos="618"/>
        </w:tabs>
        <w:snapToGrid w:val="0"/>
        <w:rPr>
          <w:rFonts w:ascii="宋体" w:hAnsi="宋体" w:eastAsia="宋体" w:cs="宋体"/>
          <w:b/>
          <w:bCs/>
          <w:kern w:val="0"/>
          <w:sz w:val="32"/>
          <w:szCs w:val="32"/>
        </w:rPr>
      </w:pPr>
      <w:r>
        <w:rPr>
          <w:rFonts w:hint="eastAsia" w:ascii="宋体" w:hAnsi="宋体" w:eastAsia="宋体" w:cs="宋体"/>
          <w:b/>
          <w:bCs/>
          <w:kern w:val="0"/>
          <w:sz w:val="32"/>
          <w:szCs w:val="32"/>
        </w:rPr>
        <w:t>二、定义及解释</w:t>
      </w:r>
    </w:p>
    <w:p w14:paraId="74534BE6">
      <w:pPr>
        <w:widowControl/>
        <w:numPr>
          <w:ilvl w:val="1"/>
          <w:numId w:val="5"/>
        </w:numPr>
        <w:tabs>
          <w:tab w:val="left" w:pos="210"/>
          <w:tab w:val="left" w:pos="525"/>
        </w:tabs>
        <w:snapToGrid w:val="0"/>
        <w:ind w:left="0" w:firstLine="0"/>
        <w:rPr>
          <w:rFonts w:ascii="宋体" w:hAnsi="宋体" w:cs="宋体"/>
        </w:rPr>
      </w:pPr>
      <w:r>
        <w:rPr>
          <w:rFonts w:hint="eastAsia" w:ascii="宋体" w:hAnsi="宋体" w:cs="宋体"/>
        </w:rPr>
        <w:t>招标人（招标人）：系指按有关规定，提出招标项目、进行招标的苍南县人民法院。</w:t>
      </w:r>
    </w:p>
    <w:p w14:paraId="72C3A670">
      <w:pPr>
        <w:widowControl/>
        <w:numPr>
          <w:ilvl w:val="1"/>
          <w:numId w:val="5"/>
        </w:numPr>
        <w:tabs>
          <w:tab w:val="left" w:pos="0"/>
          <w:tab w:val="left" w:pos="105"/>
          <w:tab w:val="left" w:pos="525"/>
        </w:tabs>
        <w:snapToGrid w:val="0"/>
        <w:ind w:left="0" w:firstLine="0"/>
        <w:rPr>
          <w:rFonts w:ascii="宋体" w:hAnsi="宋体" w:cs="宋体"/>
        </w:rPr>
      </w:pPr>
      <w:r>
        <w:rPr>
          <w:rFonts w:hint="eastAsia" w:ascii="宋体" w:hAnsi="宋体" w:cs="宋体"/>
        </w:rPr>
        <w:t>招标代理机构：系指依法受招标人委托，组织本次招标的杭州华旗招标代理有限公司。</w:t>
      </w:r>
    </w:p>
    <w:p w14:paraId="36BF6623">
      <w:pPr>
        <w:widowControl/>
        <w:numPr>
          <w:ilvl w:val="1"/>
          <w:numId w:val="5"/>
        </w:numPr>
        <w:tabs>
          <w:tab w:val="left" w:pos="567"/>
          <w:tab w:val="left" w:pos="618"/>
        </w:tabs>
        <w:snapToGrid w:val="0"/>
        <w:ind w:left="618" w:hanging="618"/>
        <w:rPr>
          <w:rFonts w:ascii="宋体" w:hAnsi="宋体" w:cs="宋体"/>
        </w:rPr>
      </w:pPr>
      <w:r>
        <w:rPr>
          <w:rFonts w:hint="eastAsia" w:ascii="宋体" w:hAnsi="宋体" w:cs="宋体"/>
        </w:rPr>
        <w:t>投标人：投标人是指响应本次招标并符合本招标公告投标资格要求的相应机构。</w:t>
      </w:r>
    </w:p>
    <w:p w14:paraId="3ABE7560">
      <w:pPr>
        <w:widowControl/>
        <w:numPr>
          <w:ilvl w:val="1"/>
          <w:numId w:val="5"/>
        </w:numPr>
        <w:tabs>
          <w:tab w:val="left" w:pos="567"/>
          <w:tab w:val="left" w:pos="618"/>
        </w:tabs>
        <w:snapToGrid w:val="0"/>
        <w:ind w:left="618" w:hanging="618"/>
        <w:rPr>
          <w:rFonts w:ascii="宋体" w:hAnsi="宋体" w:cs="宋体"/>
        </w:rPr>
      </w:pPr>
      <w:r>
        <w:rPr>
          <w:rFonts w:hint="eastAsia" w:ascii="宋体" w:hAnsi="宋体" w:cs="宋体"/>
        </w:rPr>
        <w:t>中标人：系指在本次招标中中标的投标人。</w:t>
      </w:r>
    </w:p>
    <w:p w14:paraId="774C106B">
      <w:pPr>
        <w:widowControl/>
        <w:numPr>
          <w:ilvl w:val="1"/>
          <w:numId w:val="5"/>
        </w:numPr>
        <w:tabs>
          <w:tab w:val="left" w:pos="567"/>
          <w:tab w:val="left" w:pos="618"/>
        </w:tabs>
        <w:snapToGrid w:val="0"/>
        <w:ind w:left="618" w:hanging="618"/>
        <w:rPr>
          <w:rFonts w:ascii="宋体" w:hAnsi="宋体" w:cs="宋体"/>
        </w:rPr>
      </w:pPr>
      <w:r>
        <w:rPr>
          <w:rFonts w:hint="eastAsia" w:ascii="宋体" w:hAnsi="宋体" w:cs="宋体"/>
        </w:rPr>
        <w:t>评标委员会：组建的专门负责招标评审工作的临时性机构。</w:t>
      </w:r>
    </w:p>
    <w:p w14:paraId="2E733E54">
      <w:pPr>
        <w:widowControl/>
        <w:numPr>
          <w:ilvl w:val="1"/>
          <w:numId w:val="5"/>
        </w:numPr>
        <w:tabs>
          <w:tab w:val="left" w:pos="567"/>
          <w:tab w:val="left" w:pos="618"/>
        </w:tabs>
        <w:snapToGrid w:val="0"/>
        <w:ind w:left="618" w:hanging="618"/>
        <w:rPr>
          <w:rFonts w:ascii="宋体" w:hAnsi="宋体" w:cs="宋体"/>
        </w:rPr>
      </w:pPr>
      <w:r>
        <w:rPr>
          <w:rFonts w:hint="eastAsia" w:ascii="宋体" w:hAnsi="宋体" w:cs="宋体"/>
        </w:rPr>
        <w:t>日期：指公历日；时间：指北京时间。</w:t>
      </w:r>
    </w:p>
    <w:p w14:paraId="1CF2E1FA">
      <w:pPr>
        <w:widowControl/>
        <w:numPr>
          <w:ilvl w:val="1"/>
          <w:numId w:val="5"/>
        </w:numPr>
        <w:tabs>
          <w:tab w:val="left" w:pos="567"/>
          <w:tab w:val="left" w:pos="618"/>
        </w:tabs>
        <w:snapToGrid w:val="0"/>
        <w:ind w:left="618" w:hanging="618"/>
        <w:rPr>
          <w:rFonts w:ascii="宋体" w:hAnsi="宋体" w:cs="宋体"/>
        </w:rPr>
      </w:pPr>
      <w:r>
        <w:rPr>
          <w:rFonts w:hint="eastAsia" w:ascii="宋体" w:hAnsi="宋体" w:cs="宋体"/>
        </w:rPr>
        <w:t>合同：指由招标所产生的合同或合约文件。</w:t>
      </w:r>
    </w:p>
    <w:p w14:paraId="78759104">
      <w:pPr>
        <w:widowControl/>
        <w:numPr>
          <w:ilvl w:val="1"/>
          <w:numId w:val="5"/>
        </w:numPr>
        <w:tabs>
          <w:tab w:val="left" w:pos="0"/>
          <w:tab w:val="left" w:pos="105"/>
          <w:tab w:val="left" w:pos="525"/>
        </w:tabs>
        <w:snapToGrid w:val="0"/>
        <w:ind w:left="0" w:firstLine="0"/>
        <w:rPr>
          <w:rFonts w:ascii="宋体" w:hAnsi="宋体" w:cs="宋体"/>
        </w:rPr>
      </w:pPr>
      <w:r>
        <w:rPr>
          <w:rFonts w:hint="eastAsia" w:ascii="宋体" w:hAnsi="宋体" w:cs="宋体"/>
        </w:rPr>
        <w:t>招标文件中的标题或题名仅起引导作用，而不应视为对招标文件内容的理解和解释。</w:t>
      </w:r>
    </w:p>
    <w:p w14:paraId="06C21BD0">
      <w:pPr>
        <w:widowControl/>
        <w:numPr>
          <w:ilvl w:val="1"/>
          <w:numId w:val="5"/>
        </w:numPr>
        <w:tabs>
          <w:tab w:val="left" w:pos="567"/>
          <w:tab w:val="left" w:pos="618"/>
        </w:tabs>
        <w:snapToGrid w:val="0"/>
        <w:ind w:left="618" w:hanging="618"/>
        <w:rPr>
          <w:rFonts w:ascii="宋体" w:hAnsi="宋体" w:cs="宋体"/>
        </w:rPr>
      </w:pPr>
      <w:r>
        <w:rPr>
          <w:rFonts w:hint="eastAsia" w:ascii="宋体" w:hAnsi="宋体" w:cs="宋体"/>
          <w:spacing w:val="-10"/>
        </w:rPr>
        <w:t>“书面形式”是指任何手写的、打印的或印刷的文件，包括电报和传真发送。</w:t>
      </w:r>
    </w:p>
    <w:p w14:paraId="05EBFDB5">
      <w:pPr>
        <w:widowControl/>
        <w:tabs>
          <w:tab w:val="left" w:pos="618"/>
        </w:tabs>
        <w:snapToGrid w:val="0"/>
        <w:rPr>
          <w:rFonts w:ascii="宋体" w:hAnsi="宋体" w:eastAsia="宋体" w:cs="宋体"/>
          <w:b/>
          <w:bCs/>
          <w:kern w:val="0"/>
          <w:sz w:val="32"/>
          <w:szCs w:val="32"/>
        </w:rPr>
      </w:pPr>
      <w:r>
        <w:rPr>
          <w:rFonts w:hint="eastAsia" w:ascii="宋体" w:hAnsi="宋体" w:eastAsia="宋体" w:cs="宋体"/>
          <w:b/>
          <w:bCs/>
          <w:kern w:val="0"/>
          <w:sz w:val="32"/>
          <w:szCs w:val="32"/>
        </w:rPr>
        <w:t>三、其他</w:t>
      </w:r>
      <w:bookmarkEnd w:id="18"/>
      <w:bookmarkEnd w:id="19"/>
      <w:bookmarkEnd w:id="20"/>
      <w:bookmarkEnd w:id="21"/>
      <w:bookmarkEnd w:id="22"/>
      <w:bookmarkEnd w:id="23"/>
    </w:p>
    <w:p w14:paraId="0FDBB627">
      <w:pPr>
        <w:ind w:firstLine="463" w:firstLineChars="193"/>
        <w:rPr>
          <w:rFonts w:ascii="Arial" w:hAnsi="Arial" w:cs="Arial"/>
        </w:rPr>
      </w:pPr>
      <w:r>
        <w:rPr>
          <w:rFonts w:ascii="Arial" w:hAnsi="Arial" w:cs="Arial"/>
        </w:rPr>
        <w:t>1</w:t>
      </w:r>
      <w:r>
        <w:rPr>
          <w:rFonts w:ascii="Arial" w:hAnsi="新宋体" w:cs="Arial"/>
        </w:rPr>
        <w:t>、投标银行必须在投标文件中对服务内容明确承诺，承诺内容必须达到本需求及招标文件其他条款的要求。</w:t>
      </w:r>
    </w:p>
    <w:p w14:paraId="0388E1AC">
      <w:pPr>
        <w:ind w:firstLine="463" w:firstLineChars="193"/>
        <w:rPr>
          <w:rFonts w:ascii="Arial" w:hAnsi="Arial" w:cs="Arial"/>
        </w:rPr>
      </w:pPr>
      <w:r>
        <w:rPr>
          <w:rFonts w:ascii="Arial" w:hAnsi="新宋体" w:cs="Arial"/>
        </w:rPr>
        <w:t>注：如中标后中标银行不能履行其投标文件中的承诺，招标单位可报请监管部门同意后，取消其中标资格，</w:t>
      </w:r>
      <w:r>
        <w:rPr>
          <w:rFonts w:hint="eastAsia" w:ascii="Arial" w:hAnsi="新宋体" w:cs="Arial"/>
        </w:rPr>
        <w:t>重新组织招标</w:t>
      </w:r>
      <w:r>
        <w:rPr>
          <w:rFonts w:ascii="Arial" w:hAnsi="新宋体" w:cs="Arial"/>
        </w:rPr>
        <w:t>。</w:t>
      </w:r>
    </w:p>
    <w:p w14:paraId="1A7BDB50">
      <w:pPr>
        <w:ind w:firstLine="465" w:firstLineChars="193"/>
        <w:rPr>
          <w:rFonts w:ascii="Arial" w:hAnsi="Arial" w:cs="Arial"/>
          <w:b/>
        </w:rPr>
      </w:pPr>
      <w:r>
        <w:rPr>
          <w:rFonts w:ascii="Arial" w:hAnsi="Arial" w:cs="Arial"/>
          <w:b/>
        </w:rPr>
        <w:t>2</w:t>
      </w:r>
      <w:r>
        <w:rPr>
          <w:rFonts w:ascii="Arial" w:hAnsi="新宋体" w:cs="Arial"/>
          <w:b/>
        </w:rPr>
        <w:t>、中标银行出现以下情形之一的，招标单位有权提前收回存放公款（即协议终止条件）：</w:t>
      </w:r>
    </w:p>
    <w:p w14:paraId="3F349C95">
      <w:pPr>
        <w:ind w:firstLine="463" w:firstLineChars="193"/>
        <w:rPr>
          <w:rFonts w:ascii="Arial" w:hAnsi="新宋体" w:cs="Arial"/>
        </w:rPr>
      </w:pPr>
      <w:r>
        <w:rPr>
          <w:rFonts w:ascii="Arial" w:hAnsi="新宋体" w:cs="Arial"/>
        </w:rPr>
        <w:t>（</w:t>
      </w:r>
      <w:r>
        <w:rPr>
          <w:rFonts w:hint="eastAsia" w:ascii="Arial" w:hAnsi="新宋体" w:cs="Arial"/>
        </w:rPr>
        <w:t>1</w:t>
      </w:r>
      <w:r>
        <w:rPr>
          <w:rFonts w:ascii="Arial" w:hAnsi="新宋体" w:cs="Arial"/>
        </w:rPr>
        <w:t>）未</w:t>
      </w:r>
      <w:r>
        <w:rPr>
          <w:rFonts w:hint="eastAsia" w:ascii="Arial" w:hAnsi="新宋体" w:cs="Arial"/>
        </w:rPr>
        <w:t>按</w:t>
      </w:r>
      <w:r>
        <w:rPr>
          <w:rFonts w:ascii="Arial" w:hAnsi="新宋体" w:cs="Arial"/>
        </w:rPr>
        <w:t>规定及时汇划</w:t>
      </w:r>
      <w:r>
        <w:rPr>
          <w:rFonts w:hint="eastAsia" w:ascii="Arial" w:hAnsi="新宋体" w:cs="Arial"/>
        </w:rPr>
        <w:t>利息</w:t>
      </w:r>
      <w:r>
        <w:rPr>
          <w:rFonts w:ascii="Arial" w:hAnsi="新宋体" w:cs="Arial"/>
        </w:rPr>
        <w:t>的；</w:t>
      </w:r>
    </w:p>
    <w:p w14:paraId="50A1296C">
      <w:pPr>
        <w:ind w:firstLine="463" w:firstLineChars="193"/>
        <w:rPr>
          <w:rFonts w:ascii="Arial" w:hAnsi="新宋体" w:cs="Arial"/>
        </w:rPr>
      </w:pPr>
      <w:r>
        <w:rPr>
          <w:rFonts w:ascii="Arial" w:hAnsi="新宋体" w:cs="Arial"/>
        </w:rPr>
        <w:t>（</w:t>
      </w:r>
      <w:r>
        <w:rPr>
          <w:rFonts w:hint="eastAsia" w:ascii="Arial" w:hAnsi="新宋体" w:cs="Arial"/>
        </w:rPr>
        <w:t>2</w:t>
      </w:r>
      <w:r>
        <w:rPr>
          <w:rFonts w:ascii="Arial" w:hAnsi="新宋体" w:cs="Arial"/>
        </w:rPr>
        <w:t>）出现资金安全事故和重大违法违规，导致财务恶化或引起信用危机的；</w:t>
      </w:r>
    </w:p>
    <w:p w14:paraId="71701ACD">
      <w:pPr>
        <w:ind w:firstLine="463" w:firstLineChars="193"/>
        <w:rPr>
          <w:rFonts w:ascii="Arial" w:hAnsi="新宋体" w:cs="Arial"/>
        </w:rPr>
      </w:pPr>
      <w:r>
        <w:rPr>
          <w:rFonts w:ascii="Arial" w:hAnsi="新宋体" w:cs="Arial"/>
        </w:rPr>
        <w:t>（</w:t>
      </w:r>
      <w:r>
        <w:rPr>
          <w:rFonts w:hint="eastAsia" w:ascii="Arial" w:hAnsi="新宋体" w:cs="Arial"/>
        </w:rPr>
        <w:t>3</w:t>
      </w:r>
      <w:r>
        <w:rPr>
          <w:rFonts w:ascii="Arial" w:hAnsi="新宋体" w:cs="Arial"/>
        </w:rPr>
        <w:t>）监管评级降低,监管部门认为存在较大运营风险的；</w:t>
      </w:r>
    </w:p>
    <w:p w14:paraId="5A2B2A07">
      <w:pPr>
        <w:ind w:firstLine="463" w:firstLineChars="193"/>
        <w:rPr>
          <w:rFonts w:ascii="Arial" w:hAnsi="新宋体" w:cs="Arial"/>
        </w:rPr>
      </w:pPr>
      <w:r>
        <w:rPr>
          <w:rFonts w:ascii="Arial" w:hAnsi="新宋体" w:cs="Arial"/>
        </w:rPr>
        <w:t>（</w:t>
      </w:r>
      <w:r>
        <w:rPr>
          <w:rFonts w:hint="eastAsia" w:ascii="Arial" w:hAnsi="新宋体" w:cs="Arial"/>
        </w:rPr>
        <w:t>4</w:t>
      </w:r>
      <w:r>
        <w:rPr>
          <w:rFonts w:ascii="Arial" w:hAnsi="新宋体" w:cs="Arial"/>
        </w:rPr>
        <w:t>）未遵守廉政承诺或者在资金存放中存在其他利益输送行为的；</w:t>
      </w:r>
    </w:p>
    <w:p w14:paraId="6126903D">
      <w:pPr>
        <w:ind w:firstLine="463" w:firstLineChars="193"/>
        <w:rPr>
          <w:rFonts w:ascii="Arial" w:hAnsi="新宋体" w:cs="Arial"/>
        </w:rPr>
      </w:pPr>
      <w:r>
        <w:rPr>
          <w:rFonts w:ascii="Arial" w:hAnsi="新宋体" w:cs="Arial"/>
        </w:rPr>
        <w:t>（</w:t>
      </w:r>
      <w:r>
        <w:rPr>
          <w:rFonts w:hint="eastAsia" w:ascii="Arial" w:hAnsi="新宋体" w:cs="Arial"/>
        </w:rPr>
        <w:t>5</w:t>
      </w:r>
      <w:r>
        <w:rPr>
          <w:rFonts w:ascii="Arial" w:hAnsi="新宋体" w:cs="Arial"/>
        </w:rPr>
        <w:t>）未按照中标存款协议履行相应的责任和义务的；</w:t>
      </w:r>
    </w:p>
    <w:p w14:paraId="46B07F7F">
      <w:pPr>
        <w:ind w:firstLine="463" w:firstLineChars="193"/>
        <w:rPr>
          <w:rFonts w:ascii="Arial" w:hAnsi="新宋体" w:cs="Arial"/>
        </w:rPr>
      </w:pPr>
      <w:r>
        <w:rPr>
          <w:rFonts w:ascii="Arial" w:hAnsi="新宋体" w:cs="Arial"/>
        </w:rPr>
        <w:t>（</w:t>
      </w:r>
      <w:r>
        <w:rPr>
          <w:rFonts w:hint="eastAsia" w:ascii="Arial" w:hAnsi="新宋体" w:cs="Arial"/>
        </w:rPr>
        <w:t>6</w:t>
      </w:r>
      <w:r>
        <w:rPr>
          <w:rFonts w:ascii="Arial" w:hAnsi="新宋体" w:cs="Arial"/>
        </w:rPr>
        <w:t>）存在弄虚作假等严重不正当竞争行为的；</w:t>
      </w:r>
    </w:p>
    <w:p w14:paraId="221BF9D5">
      <w:pPr>
        <w:ind w:firstLine="463" w:firstLineChars="193"/>
      </w:pPr>
      <w:r>
        <w:rPr>
          <w:rFonts w:ascii="Arial" w:hAnsi="新宋体" w:cs="Arial"/>
        </w:rPr>
        <w:t>（</w:t>
      </w:r>
      <w:r>
        <w:rPr>
          <w:rFonts w:hint="eastAsia" w:ascii="Arial" w:hAnsi="新宋体" w:cs="Arial"/>
        </w:rPr>
        <w:t>7</w:t>
      </w:r>
      <w:r>
        <w:rPr>
          <w:rFonts w:ascii="Arial" w:hAnsi="新宋体" w:cs="Arial"/>
        </w:rPr>
        <w:t>）可能危及资金安全的其他情况。</w:t>
      </w:r>
    </w:p>
    <w:p w14:paraId="3C180103"/>
    <w:p w14:paraId="4709207A">
      <w:pPr>
        <w:pStyle w:val="37"/>
      </w:pPr>
      <w:bookmarkStart w:id="24" w:name="_Toc424164153"/>
      <w:bookmarkStart w:id="25" w:name="_Toc13673"/>
      <w:bookmarkStart w:id="26" w:name="_Toc440162785"/>
      <w:bookmarkStart w:id="27" w:name="_Toc452032116"/>
      <w:bookmarkStart w:id="28" w:name="_Toc25735"/>
      <w:bookmarkStart w:id="29" w:name="_Toc18468"/>
      <w:bookmarkStart w:id="30" w:name="_Toc446950602"/>
      <w:bookmarkStart w:id="31" w:name="_Toc16691"/>
      <w:bookmarkStart w:id="32" w:name="_Toc6241"/>
      <w:r>
        <w:rPr>
          <w:rFonts w:hint="eastAsia"/>
        </w:rPr>
        <w:br w:type="page"/>
      </w:r>
      <w:r>
        <w:rPr>
          <w:rFonts w:hint="eastAsia"/>
        </w:rPr>
        <w:t>第三章</w:t>
      </w:r>
      <w:r>
        <w:t xml:space="preserve"> </w:t>
      </w:r>
      <w:r>
        <w:rPr>
          <w:rFonts w:hint="eastAsia"/>
        </w:rPr>
        <w:t>投标须知</w:t>
      </w:r>
      <w:bookmarkEnd w:id="24"/>
      <w:bookmarkEnd w:id="25"/>
      <w:bookmarkEnd w:id="26"/>
      <w:bookmarkEnd w:id="27"/>
      <w:bookmarkEnd w:id="28"/>
      <w:bookmarkEnd w:id="29"/>
      <w:bookmarkEnd w:id="30"/>
      <w:bookmarkEnd w:id="31"/>
      <w:bookmarkEnd w:id="32"/>
    </w:p>
    <w:p w14:paraId="2D193321">
      <w:pPr>
        <w:spacing w:after="240" w:afterLines="100" w:line="400" w:lineRule="exact"/>
        <w:jc w:val="center"/>
        <w:rPr>
          <w:rFonts w:ascii="Arial" w:hAnsi="Arial" w:cs="Arial"/>
          <w:b/>
          <w:color w:val="000000"/>
          <w:kern w:val="0"/>
        </w:rPr>
      </w:pPr>
      <w:r>
        <w:rPr>
          <w:rFonts w:hint="eastAsia" w:ascii="华文中宋" w:hAnsi="华文中宋" w:eastAsia="华文中宋" w:cs="Arial"/>
          <w:b/>
          <w:color w:val="000000"/>
          <w:kern w:val="0"/>
          <w:sz w:val="28"/>
        </w:rPr>
        <w:t>投标须知前附表</w:t>
      </w:r>
    </w:p>
    <w:tbl>
      <w:tblPr>
        <w:tblStyle w:val="39"/>
        <w:tblW w:w="9199" w:type="dxa"/>
        <w:tblInd w:w="5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565"/>
        <w:gridCol w:w="6959"/>
      </w:tblGrid>
      <w:tr w14:paraId="6E8DDD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675" w:type="dxa"/>
            <w:vAlign w:val="center"/>
          </w:tcPr>
          <w:p w14:paraId="4697ECCE">
            <w:pPr>
              <w:spacing w:line="276" w:lineRule="auto"/>
              <w:jc w:val="center"/>
              <w:rPr>
                <w:rFonts w:ascii="仿宋" w:hAnsi="仿宋" w:cs="仿宋"/>
                <w:b/>
                <w:color w:val="000000"/>
                <w:w w:val="90"/>
              </w:rPr>
            </w:pPr>
            <w:r>
              <w:rPr>
                <w:rFonts w:hint="eastAsia" w:ascii="仿宋" w:hAnsi="仿宋" w:cs="仿宋"/>
                <w:b/>
                <w:color w:val="000000"/>
                <w:w w:val="90"/>
              </w:rPr>
              <w:t>序号</w:t>
            </w:r>
          </w:p>
        </w:tc>
        <w:tc>
          <w:tcPr>
            <w:tcW w:w="1565" w:type="dxa"/>
            <w:vAlign w:val="center"/>
          </w:tcPr>
          <w:p w14:paraId="726E5232">
            <w:pPr>
              <w:spacing w:line="276" w:lineRule="auto"/>
              <w:jc w:val="center"/>
              <w:rPr>
                <w:rFonts w:ascii="仿宋" w:hAnsi="仿宋" w:cs="仿宋"/>
                <w:b/>
                <w:color w:val="000000"/>
                <w:w w:val="90"/>
              </w:rPr>
            </w:pPr>
            <w:r>
              <w:rPr>
                <w:rFonts w:hint="eastAsia" w:ascii="仿宋" w:hAnsi="仿宋" w:cs="仿宋"/>
                <w:b/>
                <w:color w:val="000000"/>
                <w:w w:val="90"/>
              </w:rPr>
              <w:t>内容</w:t>
            </w:r>
          </w:p>
        </w:tc>
        <w:tc>
          <w:tcPr>
            <w:tcW w:w="6959" w:type="dxa"/>
            <w:vAlign w:val="center"/>
          </w:tcPr>
          <w:p w14:paraId="7F16F14F">
            <w:pPr>
              <w:spacing w:line="276" w:lineRule="auto"/>
              <w:jc w:val="center"/>
              <w:rPr>
                <w:rFonts w:ascii="仿宋" w:hAnsi="仿宋" w:cs="仿宋"/>
                <w:b/>
                <w:color w:val="000000"/>
                <w:w w:val="90"/>
              </w:rPr>
            </w:pPr>
            <w:r>
              <w:rPr>
                <w:rFonts w:hint="eastAsia" w:ascii="仿宋" w:hAnsi="仿宋" w:cs="仿宋"/>
                <w:b/>
                <w:color w:val="000000"/>
                <w:w w:val="90"/>
              </w:rPr>
              <w:t>说明或要求</w:t>
            </w:r>
          </w:p>
        </w:tc>
      </w:tr>
      <w:tr w14:paraId="726550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6051BB92">
            <w:pPr>
              <w:spacing w:line="276" w:lineRule="auto"/>
              <w:jc w:val="center"/>
              <w:rPr>
                <w:rFonts w:ascii="仿宋" w:hAnsi="仿宋" w:cs="仿宋"/>
                <w:color w:val="000000"/>
                <w:w w:val="90"/>
              </w:rPr>
            </w:pPr>
            <w:r>
              <w:rPr>
                <w:rFonts w:hint="eastAsia" w:ascii="仿宋" w:hAnsi="仿宋" w:cs="仿宋"/>
                <w:color w:val="000000"/>
                <w:w w:val="90"/>
              </w:rPr>
              <w:t>1</w:t>
            </w:r>
          </w:p>
        </w:tc>
        <w:tc>
          <w:tcPr>
            <w:tcW w:w="1565" w:type="dxa"/>
            <w:vAlign w:val="center"/>
          </w:tcPr>
          <w:p w14:paraId="3752BC5B">
            <w:pPr>
              <w:spacing w:line="276" w:lineRule="auto"/>
              <w:jc w:val="center"/>
              <w:rPr>
                <w:rFonts w:ascii="仿宋" w:hAnsi="仿宋" w:cs="仿宋"/>
                <w:color w:val="000000"/>
                <w:w w:val="90"/>
              </w:rPr>
            </w:pPr>
            <w:r>
              <w:rPr>
                <w:rFonts w:hint="eastAsia" w:ascii="仿宋" w:hAnsi="仿宋" w:cs="仿宋"/>
                <w:color w:val="000000"/>
                <w:w w:val="90"/>
              </w:rPr>
              <w:t>项目名称</w:t>
            </w:r>
          </w:p>
        </w:tc>
        <w:tc>
          <w:tcPr>
            <w:tcW w:w="6959" w:type="dxa"/>
            <w:vAlign w:val="center"/>
          </w:tcPr>
          <w:p w14:paraId="6B696756">
            <w:pPr>
              <w:spacing w:line="276" w:lineRule="auto"/>
              <w:rPr>
                <w:rFonts w:hint="eastAsia" w:ascii="仿宋" w:hAnsi="仿宋" w:eastAsia="仿宋" w:cs="仿宋"/>
                <w:color w:val="000000"/>
                <w:w w:val="90"/>
                <w:lang w:eastAsia="zh-CN"/>
              </w:rPr>
            </w:pPr>
            <w:r>
              <w:rPr>
                <w:rFonts w:hint="eastAsia" w:ascii="仿宋" w:hAnsi="仿宋" w:cs="仿宋"/>
                <w:color w:val="000000"/>
                <w:w w:val="90"/>
                <w:lang w:eastAsia="zh-CN"/>
              </w:rPr>
              <w:t>苍南县人民法院2025年度公款竞争性存放项目</w:t>
            </w:r>
          </w:p>
        </w:tc>
      </w:tr>
      <w:tr w14:paraId="1D5394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04EA3733">
            <w:pPr>
              <w:spacing w:line="276" w:lineRule="auto"/>
              <w:jc w:val="center"/>
              <w:rPr>
                <w:rFonts w:ascii="仿宋" w:hAnsi="仿宋" w:cs="仿宋"/>
                <w:color w:val="000000"/>
                <w:w w:val="90"/>
              </w:rPr>
            </w:pPr>
            <w:r>
              <w:rPr>
                <w:rFonts w:hint="eastAsia" w:ascii="仿宋" w:hAnsi="仿宋" w:cs="仿宋"/>
                <w:color w:val="000000"/>
                <w:w w:val="90"/>
              </w:rPr>
              <w:t>2</w:t>
            </w:r>
          </w:p>
        </w:tc>
        <w:tc>
          <w:tcPr>
            <w:tcW w:w="1565" w:type="dxa"/>
            <w:vAlign w:val="center"/>
          </w:tcPr>
          <w:p w14:paraId="70759C42">
            <w:pPr>
              <w:spacing w:line="276" w:lineRule="auto"/>
              <w:jc w:val="center"/>
              <w:rPr>
                <w:rFonts w:ascii="仿宋" w:hAnsi="仿宋" w:cs="仿宋"/>
                <w:color w:val="000000"/>
                <w:w w:val="90"/>
              </w:rPr>
            </w:pPr>
            <w:r>
              <w:rPr>
                <w:rFonts w:hint="eastAsia" w:ascii="仿宋" w:hAnsi="仿宋" w:cs="仿宋"/>
                <w:color w:val="000000"/>
                <w:w w:val="90"/>
              </w:rPr>
              <w:t>项目编号</w:t>
            </w:r>
          </w:p>
        </w:tc>
        <w:tc>
          <w:tcPr>
            <w:tcW w:w="6959" w:type="dxa"/>
            <w:vAlign w:val="center"/>
          </w:tcPr>
          <w:p w14:paraId="761C4176">
            <w:pPr>
              <w:spacing w:line="276" w:lineRule="auto"/>
              <w:rPr>
                <w:rFonts w:hint="eastAsia" w:ascii="仿宋" w:hAnsi="仿宋" w:eastAsia="仿宋" w:cs="仿宋"/>
                <w:color w:val="000000"/>
                <w:w w:val="90"/>
                <w:lang w:eastAsia="zh-CN"/>
              </w:rPr>
            </w:pPr>
            <w:r>
              <w:rPr>
                <w:rFonts w:hint="eastAsia" w:ascii="仿宋" w:hAnsi="仿宋" w:cs="仿宋"/>
                <w:color w:val="000000"/>
                <w:w w:val="90"/>
                <w:lang w:eastAsia="zh-CN"/>
              </w:rPr>
              <w:t>苍产告字[2025]1号</w:t>
            </w:r>
          </w:p>
        </w:tc>
      </w:tr>
      <w:tr w14:paraId="67DF7E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4D943109">
            <w:pPr>
              <w:spacing w:line="276" w:lineRule="auto"/>
              <w:jc w:val="center"/>
              <w:rPr>
                <w:rFonts w:ascii="仿宋" w:hAnsi="仿宋" w:cs="仿宋"/>
                <w:color w:val="000000"/>
                <w:w w:val="90"/>
              </w:rPr>
            </w:pPr>
            <w:r>
              <w:rPr>
                <w:rFonts w:hint="eastAsia" w:ascii="仿宋" w:hAnsi="仿宋" w:cs="仿宋"/>
                <w:color w:val="000000"/>
                <w:w w:val="90"/>
              </w:rPr>
              <w:t>3</w:t>
            </w:r>
          </w:p>
        </w:tc>
        <w:tc>
          <w:tcPr>
            <w:tcW w:w="1565" w:type="dxa"/>
            <w:vAlign w:val="center"/>
          </w:tcPr>
          <w:p w14:paraId="484CE31E">
            <w:pPr>
              <w:spacing w:line="276" w:lineRule="auto"/>
              <w:jc w:val="center"/>
              <w:rPr>
                <w:rFonts w:ascii="仿宋" w:hAnsi="仿宋" w:cs="仿宋"/>
                <w:color w:val="000000"/>
                <w:w w:val="90"/>
              </w:rPr>
            </w:pPr>
            <w:r>
              <w:rPr>
                <w:rFonts w:hint="eastAsia" w:ascii="仿宋" w:hAnsi="仿宋" w:cs="仿宋"/>
                <w:color w:val="000000"/>
                <w:w w:val="90"/>
              </w:rPr>
              <w:t>招标内容</w:t>
            </w:r>
          </w:p>
        </w:tc>
        <w:tc>
          <w:tcPr>
            <w:tcW w:w="6959" w:type="dxa"/>
            <w:vAlign w:val="center"/>
          </w:tcPr>
          <w:p w14:paraId="766DA4F1">
            <w:pPr>
              <w:spacing w:line="276" w:lineRule="auto"/>
              <w:rPr>
                <w:rFonts w:ascii="仿宋" w:hAnsi="仿宋" w:cs="仿宋"/>
                <w:color w:val="000000"/>
                <w:w w:val="90"/>
              </w:rPr>
            </w:pPr>
            <w:r>
              <w:rPr>
                <w:rFonts w:hint="eastAsia" w:ascii="仿宋" w:hAnsi="仿宋" w:cs="仿宋"/>
                <w:color w:val="000000"/>
                <w:w w:val="90"/>
              </w:rPr>
              <w:t>详见《第一章 招标公告》</w:t>
            </w:r>
          </w:p>
        </w:tc>
      </w:tr>
      <w:tr w14:paraId="46FCA9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673C30B0">
            <w:pPr>
              <w:spacing w:line="276" w:lineRule="auto"/>
              <w:jc w:val="center"/>
              <w:rPr>
                <w:rFonts w:ascii="仿宋" w:hAnsi="仿宋" w:cs="仿宋"/>
                <w:color w:val="000000"/>
                <w:w w:val="90"/>
              </w:rPr>
            </w:pPr>
            <w:r>
              <w:rPr>
                <w:rFonts w:hint="eastAsia" w:ascii="仿宋" w:hAnsi="仿宋" w:cs="仿宋"/>
                <w:color w:val="000000"/>
                <w:w w:val="90"/>
              </w:rPr>
              <w:t>4</w:t>
            </w:r>
          </w:p>
        </w:tc>
        <w:tc>
          <w:tcPr>
            <w:tcW w:w="1565" w:type="dxa"/>
            <w:vAlign w:val="center"/>
          </w:tcPr>
          <w:p w14:paraId="3B694406">
            <w:pPr>
              <w:spacing w:line="276" w:lineRule="auto"/>
              <w:jc w:val="center"/>
              <w:rPr>
                <w:rFonts w:ascii="仿宋" w:hAnsi="仿宋" w:cs="仿宋"/>
                <w:color w:val="000000"/>
                <w:w w:val="90"/>
              </w:rPr>
            </w:pPr>
            <w:r>
              <w:rPr>
                <w:rFonts w:hint="eastAsia" w:ascii="仿宋" w:hAnsi="仿宋" w:cs="仿宋"/>
                <w:color w:val="000000"/>
                <w:w w:val="90"/>
              </w:rPr>
              <w:t>合格投标银行资格要求</w:t>
            </w:r>
          </w:p>
        </w:tc>
        <w:tc>
          <w:tcPr>
            <w:tcW w:w="6959" w:type="dxa"/>
            <w:vAlign w:val="center"/>
          </w:tcPr>
          <w:p w14:paraId="53F483B9">
            <w:pPr>
              <w:spacing w:line="276" w:lineRule="auto"/>
              <w:rPr>
                <w:rFonts w:ascii="仿宋" w:hAnsi="仿宋" w:cs="仿宋"/>
                <w:color w:val="000000"/>
                <w:w w:val="90"/>
              </w:rPr>
            </w:pPr>
            <w:r>
              <w:rPr>
                <w:rFonts w:hint="eastAsia" w:ascii="仿宋" w:hAnsi="仿宋" w:cs="仿宋"/>
                <w:color w:val="000000"/>
                <w:w w:val="90"/>
              </w:rPr>
              <w:t>详见《第一章 招标公告》</w:t>
            </w:r>
          </w:p>
        </w:tc>
      </w:tr>
      <w:tr w14:paraId="32B3D7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3E9C4855">
            <w:pPr>
              <w:spacing w:line="276" w:lineRule="auto"/>
              <w:jc w:val="center"/>
              <w:rPr>
                <w:rFonts w:ascii="仿宋" w:hAnsi="仿宋" w:cs="仿宋"/>
                <w:color w:val="000000"/>
                <w:w w:val="90"/>
              </w:rPr>
            </w:pPr>
            <w:r>
              <w:rPr>
                <w:rFonts w:hint="eastAsia" w:ascii="仿宋" w:hAnsi="仿宋" w:cs="仿宋"/>
                <w:color w:val="000000"/>
                <w:w w:val="90"/>
              </w:rPr>
              <w:t>5</w:t>
            </w:r>
          </w:p>
        </w:tc>
        <w:tc>
          <w:tcPr>
            <w:tcW w:w="1565" w:type="dxa"/>
            <w:vAlign w:val="center"/>
          </w:tcPr>
          <w:p w14:paraId="22F021F3">
            <w:pPr>
              <w:spacing w:line="276" w:lineRule="auto"/>
              <w:jc w:val="center"/>
              <w:rPr>
                <w:rFonts w:ascii="仿宋" w:hAnsi="仿宋" w:cs="仿宋"/>
                <w:color w:val="000000"/>
                <w:w w:val="90"/>
              </w:rPr>
            </w:pPr>
            <w:r>
              <w:rPr>
                <w:rFonts w:hint="eastAsia" w:ascii="仿宋" w:hAnsi="仿宋" w:cs="仿宋"/>
                <w:color w:val="000000"/>
                <w:w w:val="90"/>
              </w:rPr>
              <w:t>招标人</w:t>
            </w:r>
          </w:p>
        </w:tc>
        <w:tc>
          <w:tcPr>
            <w:tcW w:w="6959" w:type="dxa"/>
            <w:vAlign w:val="center"/>
          </w:tcPr>
          <w:p w14:paraId="5B6F8BCF">
            <w:pPr>
              <w:spacing w:line="276" w:lineRule="auto"/>
              <w:rPr>
                <w:rFonts w:ascii="仿宋" w:hAnsi="仿宋" w:cs="仿宋"/>
                <w:color w:val="000000"/>
                <w:w w:val="90"/>
              </w:rPr>
            </w:pPr>
            <w:r>
              <w:rPr>
                <w:rFonts w:hint="eastAsia" w:ascii="仿宋" w:hAnsi="仿宋" w:cs="仿宋"/>
                <w:color w:val="000000"/>
                <w:w w:val="90"/>
              </w:rPr>
              <w:t>名称：苍南县人民法院</w:t>
            </w:r>
          </w:p>
          <w:p w14:paraId="4746A833">
            <w:pPr>
              <w:spacing w:line="276" w:lineRule="auto"/>
              <w:rPr>
                <w:rFonts w:hint="eastAsia" w:ascii="仿宋" w:hAnsi="仿宋" w:eastAsia="仿宋" w:cs="仿宋"/>
                <w:color w:val="000000"/>
                <w:w w:val="90"/>
                <w:lang w:eastAsia="zh-CN"/>
              </w:rPr>
            </w:pPr>
            <w:r>
              <w:rPr>
                <w:rFonts w:hint="eastAsia" w:ascii="仿宋" w:hAnsi="仿宋" w:cs="仿宋"/>
                <w:color w:val="000000"/>
                <w:w w:val="90"/>
              </w:rPr>
              <w:t>联系人：</w:t>
            </w:r>
            <w:r>
              <w:rPr>
                <w:rFonts w:hint="eastAsia" w:ascii="仿宋" w:hAnsi="仿宋" w:cs="仿宋"/>
                <w:color w:val="000000"/>
                <w:w w:val="90"/>
                <w:lang w:eastAsia="zh-CN"/>
              </w:rPr>
              <w:t>蔡女士</w:t>
            </w:r>
            <w:r>
              <w:rPr>
                <w:rFonts w:hint="eastAsia" w:ascii="仿宋" w:hAnsi="仿宋" w:cs="仿宋"/>
                <w:color w:val="000000"/>
                <w:w w:val="90"/>
              </w:rPr>
              <w:t xml:space="preserve">   联系电话：</w:t>
            </w:r>
            <w:r>
              <w:rPr>
                <w:rFonts w:hint="eastAsia" w:ascii="仿宋" w:hAnsi="仿宋" w:cs="仿宋"/>
                <w:color w:val="000000"/>
                <w:w w:val="90"/>
                <w:lang w:eastAsia="zh-CN"/>
              </w:rPr>
              <w:t>0577-68708610</w:t>
            </w:r>
          </w:p>
          <w:p w14:paraId="1702C4FF">
            <w:pPr>
              <w:spacing w:line="276" w:lineRule="auto"/>
              <w:rPr>
                <w:rFonts w:ascii="仿宋" w:hAnsi="仿宋" w:cs="仿宋"/>
                <w:color w:val="000000"/>
                <w:w w:val="90"/>
              </w:rPr>
            </w:pPr>
            <w:r>
              <w:rPr>
                <w:rFonts w:hint="eastAsia" w:ascii="仿宋" w:hAnsi="仿宋" w:cs="仿宋"/>
                <w:color w:val="000000"/>
                <w:w w:val="90"/>
              </w:rPr>
              <w:t>地址：苍南县灵溪镇玉苍路</w:t>
            </w:r>
          </w:p>
        </w:tc>
      </w:tr>
      <w:tr w14:paraId="4C436E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3DCB1870">
            <w:pPr>
              <w:spacing w:line="276" w:lineRule="auto"/>
              <w:jc w:val="center"/>
              <w:rPr>
                <w:rFonts w:ascii="仿宋" w:hAnsi="仿宋" w:cs="仿宋"/>
                <w:b/>
                <w:color w:val="000000"/>
                <w:w w:val="90"/>
              </w:rPr>
            </w:pPr>
            <w:r>
              <w:rPr>
                <w:rFonts w:hint="eastAsia" w:ascii="仿宋" w:hAnsi="仿宋" w:cs="仿宋"/>
                <w:color w:val="000000"/>
                <w:w w:val="90"/>
              </w:rPr>
              <w:t>6</w:t>
            </w:r>
          </w:p>
        </w:tc>
        <w:tc>
          <w:tcPr>
            <w:tcW w:w="1565" w:type="dxa"/>
            <w:vAlign w:val="center"/>
          </w:tcPr>
          <w:p w14:paraId="7975C6D7">
            <w:pPr>
              <w:spacing w:line="276" w:lineRule="auto"/>
              <w:jc w:val="center"/>
              <w:rPr>
                <w:rFonts w:ascii="仿宋" w:hAnsi="仿宋" w:cs="仿宋"/>
                <w:color w:val="000000"/>
                <w:w w:val="90"/>
              </w:rPr>
            </w:pPr>
            <w:r>
              <w:rPr>
                <w:rFonts w:hint="eastAsia" w:ascii="仿宋" w:hAnsi="仿宋" w:cs="仿宋"/>
                <w:color w:val="000000"/>
                <w:w w:val="90"/>
              </w:rPr>
              <w:t>代理机构</w:t>
            </w:r>
          </w:p>
        </w:tc>
        <w:tc>
          <w:tcPr>
            <w:tcW w:w="6959" w:type="dxa"/>
            <w:vAlign w:val="center"/>
          </w:tcPr>
          <w:p w14:paraId="1371E1F0">
            <w:pPr>
              <w:spacing w:line="276" w:lineRule="auto"/>
              <w:rPr>
                <w:rFonts w:ascii="仿宋" w:hAnsi="仿宋" w:cs="仿宋"/>
                <w:color w:val="000000"/>
                <w:w w:val="90"/>
              </w:rPr>
            </w:pPr>
            <w:r>
              <w:rPr>
                <w:rFonts w:hint="eastAsia" w:ascii="仿宋" w:hAnsi="仿宋" w:cs="仿宋"/>
                <w:color w:val="000000"/>
                <w:w w:val="90"/>
              </w:rPr>
              <w:t>名称：杭州华旗招标代理有限公司</w:t>
            </w:r>
          </w:p>
          <w:p w14:paraId="1F98919D">
            <w:pPr>
              <w:spacing w:line="276" w:lineRule="auto"/>
              <w:rPr>
                <w:rFonts w:ascii="仿宋" w:hAnsi="仿宋" w:cs="仿宋"/>
                <w:color w:val="000000"/>
                <w:w w:val="90"/>
              </w:rPr>
            </w:pPr>
            <w:r>
              <w:rPr>
                <w:rFonts w:hint="eastAsia" w:ascii="仿宋" w:hAnsi="仿宋" w:cs="仿宋"/>
                <w:color w:val="000000"/>
                <w:w w:val="90"/>
              </w:rPr>
              <w:t>联系人：陈维文</w:t>
            </w:r>
          </w:p>
          <w:p w14:paraId="1CFC30B3">
            <w:pPr>
              <w:spacing w:line="276" w:lineRule="auto"/>
              <w:rPr>
                <w:rFonts w:ascii="仿宋" w:hAnsi="仿宋" w:cs="仿宋"/>
                <w:color w:val="000000"/>
                <w:w w:val="90"/>
              </w:rPr>
            </w:pPr>
            <w:r>
              <w:rPr>
                <w:rFonts w:hint="eastAsia" w:ascii="仿宋" w:hAnsi="仿宋" w:cs="仿宋"/>
                <w:color w:val="000000"/>
                <w:w w:val="90"/>
              </w:rPr>
              <w:t>联系电话：</w:t>
            </w:r>
            <w:r>
              <w:rPr>
                <w:rFonts w:ascii="仿宋" w:hAnsi="仿宋" w:cs="仿宋"/>
                <w:color w:val="000000"/>
                <w:w w:val="90"/>
              </w:rPr>
              <w:t>13738772079</w:t>
            </w:r>
          </w:p>
          <w:p w14:paraId="19120811">
            <w:pPr>
              <w:spacing w:line="276" w:lineRule="auto"/>
              <w:rPr>
                <w:rFonts w:ascii="仿宋" w:hAnsi="仿宋" w:cs="仿宋"/>
                <w:color w:val="000000"/>
                <w:w w:val="90"/>
              </w:rPr>
            </w:pPr>
            <w:r>
              <w:rPr>
                <w:rFonts w:hint="eastAsia" w:ascii="仿宋" w:hAnsi="仿宋" w:cs="仿宋"/>
                <w:color w:val="000000"/>
                <w:w w:val="90"/>
              </w:rPr>
              <w:t>地址：苍南县灵溪镇上江小区13栋5号</w:t>
            </w:r>
          </w:p>
        </w:tc>
      </w:tr>
      <w:tr w14:paraId="68CD71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47E6D426">
            <w:pPr>
              <w:spacing w:line="276" w:lineRule="auto"/>
              <w:jc w:val="center"/>
              <w:rPr>
                <w:rFonts w:ascii="仿宋" w:hAnsi="仿宋" w:cs="仿宋"/>
                <w:color w:val="000000"/>
                <w:w w:val="90"/>
              </w:rPr>
            </w:pPr>
            <w:r>
              <w:rPr>
                <w:rFonts w:hint="eastAsia" w:ascii="仿宋" w:hAnsi="仿宋" w:cs="仿宋"/>
                <w:color w:val="000000"/>
                <w:w w:val="90"/>
              </w:rPr>
              <w:t>7</w:t>
            </w:r>
          </w:p>
        </w:tc>
        <w:tc>
          <w:tcPr>
            <w:tcW w:w="1565" w:type="dxa"/>
            <w:vAlign w:val="center"/>
          </w:tcPr>
          <w:p w14:paraId="5A1C8B2E">
            <w:pPr>
              <w:spacing w:line="276" w:lineRule="auto"/>
              <w:jc w:val="center"/>
              <w:rPr>
                <w:rFonts w:ascii="仿宋" w:hAnsi="仿宋" w:cs="仿宋"/>
                <w:color w:val="000000"/>
                <w:w w:val="90"/>
              </w:rPr>
            </w:pPr>
            <w:r>
              <w:rPr>
                <w:rFonts w:hint="eastAsia" w:ascii="仿宋" w:hAnsi="仿宋" w:cs="仿宋"/>
                <w:color w:val="000000"/>
                <w:w w:val="90"/>
              </w:rPr>
              <w:t>联合体投标</w:t>
            </w:r>
          </w:p>
        </w:tc>
        <w:tc>
          <w:tcPr>
            <w:tcW w:w="6959" w:type="dxa"/>
            <w:vAlign w:val="center"/>
          </w:tcPr>
          <w:p w14:paraId="7FD8262A">
            <w:pPr>
              <w:spacing w:line="276" w:lineRule="auto"/>
              <w:rPr>
                <w:rFonts w:ascii="仿宋" w:hAnsi="仿宋" w:cs="仿宋"/>
                <w:color w:val="000000"/>
                <w:w w:val="90"/>
              </w:rPr>
            </w:pPr>
            <w:r>
              <w:rPr>
                <w:rFonts w:hint="eastAsia" w:ascii="仿宋" w:hAnsi="仿宋" w:cs="仿宋"/>
                <w:color w:val="000000"/>
                <w:w w:val="90"/>
              </w:rPr>
              <w:t>不接受</w:t>
            </w:r>
          </w:p>
        </w:tc>
      </w:tr>
      <w:tr w14:paraId="63D855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311809E9">
            <w:pPr>
              <w:spacing w:line="276" w:lineRule="auto"/>
              <w:jc w:val="center"/>
              <w:rPr>
                <w:rFonts w:ascii="仿宋" w:hAnsi="仿宋" w:cs="仿宋"/>
                <w:color w:val="000000"/>
                <w:w w:val="90"/>
              </w:rPr>
            </w:pPr>
            <w:r>
              <w:rPr>
                <w:rFonts w:hint="eastAsia" w:ascii="仿宋" w:hAnsi="仿宋" w:cs="仿宋"/>
                <w:color w:val="000000"/>
                <w:w w:val="90"/>
              </w:rPr>
              <w:t>8</w:t>
            </w:r>
          </w:p>
        </w:tc>
        <w:tc>
          <w:tcPr>
            <w:tcW w:w="1565" w:type="dxa"/>
            <w:vAlign w:val="center"/>
          </w:tcPr>
          <w:p w14:paraId="4FA202BA">
            <w:pPr>
              <w:spacing w:line="276" w:lineRule="auto"/>
              <w:jc w:val="center"/>
              <w:rPr>
                <w:rFonts w:ascii="仿宋" w:hAnsi="仿宋" w:cs="仿宋"/>
                <w:color w:val="000000"/>
                <w:w w:val="90"/>
              </w:rPr>
            </w:pPr>
            <w:r>
              <w:rPr>
                <w:rFonts w:hint="eastAsia" w:ascii="仿宋" w:hAnsi="仿宋" w:cs="仿宋"/>
                <w:color w:val="000000"/>
                <w:w w:val="90"/>
              </w:rPr>
              <w:t>分包转包</w:t>
            </w:r>
          </w:p>
        </w:tc>
        <w:tc>
          <w:tcPr>
            <w:tcW w:w="6959" w:type="dxa"/>
            <w:vAlign w:val="center"/>
          </w:tcPr>
          <w:p w14:paraId="266436DA">
            <w:pPr>
              <w:spacing w:line="276" w:lineRule="auto"/>
              <w:rPr>
                <w:rFonts w:ascii="仿宋" w:hAnsi="仿宋" w:cs="仿宋"/>
                <w:color w:val="000000"/>
                <w:w w:val="90"/>
              </w:rPr>
            </w:pPr>
            <w:r>
              <w:rPr>
                <w:rFonts w:hint="eastAsia" w:ascii="仿宋" w:hAnsi="仿宋" w:cs="仿宋"/>
                <w:color w:val="000000"/>
                <w:w w:val="90"/>
              </w:rPr>
              <w:t>不允许</w:t>
            </w:r>
          </w:p>
        </w:tc>
      </w:tr>
      <w:tr w14:paraId="766526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312DC904">
            <w:pPr>
              <w:spacing w:line="276" w:lineRule="auto"/>
              <w:jc w:val="center"/>
              <w:rPr>
                <w:rFonts w:ascii="仿宋" w:hAnsi="仿宋" w:cs="仿宋"/>
                <w:color w:val="000000"/>
                <w:w w:val="90"/>
              </w:rPr>
            </w:pPr>
            <w:r>
              <w:rPr>
                <w:rFonts w:hint="eastAsia" w:ascii="仿宋" w:hAnsi="仿宋" w:cs="仿宋"/>
                <w:color w:val="000000"/>
                <w:w w:val="90"/>
              </w:rPr>
              <w:t>9</w:t>
            </w:r>
          </w:p>
        </w:tc>
        <w:tc>
          <w:tcPr>
            <w:tcW w:w="1565" w:type="dxa"/>
            <w:vAlign w:val="center"/>
          </w:tcPr>
          <w:p w14:paraId="1304777D">
            <w:pPr>
              <w:spacing w:line="276" w:lineRule="auto"/>
              <w:jc w:val="center"/>
              <w:rPr>
                <w:rFonts w:ascii="仿宋" w:hAnsi="仿宋" w:cs="仿宋"/>
                <w:color w:val="000000"/>
                <w:w w:val="90"/>
              </w:rPr>
            </w:pPr>
            <w:r>
              <w:rPr>
                <w:rFonts w:hint="eastAsia" w:ascii="仿宋" w:hAnsi="仿宋" w:cs="仿宋"/>
                <w:color w:val="000000"/>
                <w:w w:val="90"/>
              </w:rPr>
              <w:t>标前答疑会</w:t>
            </w:r>
          </w:p>
        </w:tc>
        <w:tc>
          <w:tcPr>
            <w:tcW w:w="6959" w:type="dxa"/>
            <w:vAlign w:val="center"/>
          </w:tcPr>
          <w:p w14:paraId="3AD16B40">
            <w:pPr>
              <w:spacing w:line="276" w:lineRule="auto"/>
              <w:rPr>
                <w:rFonts w:ascii="仿宋" w:hAnsi="仿宋" w:cs="仿宋"/>
                <w:color w:val="000000"/>
                <w:w w:val="90"/>
              </w:rPr>
            </w:pPr>
            <w:r>
              <w:rPr>
                <w:rFonts w:hint="eastAsia" w:ascii="仿宋" w:hAnsi="仿宋" w:cs="仿宋"/>
                <w:color w:val="000000"/>
                <w:w w:val="90"/>
              </w:rPr>
              <w:t>不召开</w:t>
            </w:r>
          </w:p>
        </w:tc>
      </w:tr>
      <w:tr w14:paraId="2BA8DC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64C453BE">
            <w:pPr>
              <w:spacing w:line="276" w:lineRule="auto"/>
              <w:jc w:val="center"/>
              <w:rPr>
                <w:rFonts w:ascii="仿宋" w:hAnsi="仿宋" w:cs="仿宋"/>
                <w:color w:val="000000"/>
                <w:w w:val="90"/>
              </w:rPr>
            </w:pPr>
            <w:r>
              <w:rPr>
                <w:rFonts w:hint="eastAsia" w:ascii="仿宋" w:hAnsi="仿宋" w:cs="仿宋"/>
                <w:color w:val="000000"/>
                <w:w w:val="90"/>
              </w:rPr>
              <w:t>10</w:t>
            </w:r>
          </w:p>
        </w:tc>
        <w:tc>
          <w:tcPr>
            <w:tcW w:w="1565" w:type="dxa"/>
            <w:vAlign w:val="center"/>
          </w:tcPr>
          <w:p w14:paraId="5AA51D0E">
            <w:pPr>
              <w:spacing w:line="276" w:lineRule="auto"/>
              <w:jc w:val="center"/>
              <w:rPr>
                <w:rFonts w:ascii="仿宋" w:hAnsi="仿宋" w:cs="仿宋"/>
                <w:color w:val="000000"/>
                <w:w w:val="90"/>
              </w:rPr>
            </w:pPr>
            <w:r>
              <w:rPr>
                <w:rFonts w:hint="eastAsia" w:ascii="仿宋" w:hAnsi="仿宋" w:cs="仿宋"/>
                <w:color w:val="000000"/>
                <w:w w:val="90"/>
              </w:rPr>
              <w:t>现场勘查</w:t>
            </w:r>
          </w:p>
        </w:tc>
        <w:tc>
          <w:tcPr>
            <w:tcW w:w="6959" w:type="dxa"/>
            <w:vAlign w:val="center"/>
          </w:tcPr>
          <w:p w14:paraId="0FDF12D2">
            <w:pPr>
              <w:spacing w:line="276" w:lineRule="auto"/>
              <w:rPr>
                <w:rFonts w:ascii="仿宋" w:hAnsi="仿宋" w:cs="仿宋"/>
                <w:color w:val="000000"/>
                <w:w w:val="90"/>
              </w:rPr>
            </w:pPr>
            <w:r>
              <w:rPr>
                <w:rFonts w:hint="eastAsia" w:ascii="仿宋" w:hAnsi="仿宋" w:cs="仿宋"/>
                <w:color w:val="000000"/>
                <w:w w:val="90"/>
              </w:rPr>
              <w:t>不组织</w:t>
            </w:r>
          </w:p>
        </w:tc>
      </w:tr>
      <w:tr w14:paraId="54F16E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6E0D816F">
            <w:pPr>
              <w:spacing w:line="276" w:lineRule="auto"/>
              <w:jc w:val="center"/>
              <w:rPr>
                <w:rFonts w:ascii="仿宋" w:hAnsi="仿宋" w:cs="仿宋"/>
                <w:color w:val="000000"/>
                <w:w w:val="90"/>
              </w:rPr>
            </w:pPr>
            <w:r>
              <w:rPr>
                <w:rFonts w:hint="eastAsia" w:ascii="仿宋" w:hAnsi="仿宋" w:cs="仿宋"/>
                <w:color w:val="000000"/>
                <w:w w:val="90"/>
              </w:rPr>
              <w:t>11</w:t>
            </w:r>
          </w:p>
        </w:tc>
        <w:tc>
          <w:tcPr>
            <w:tcW w:w="1565" w:type="dxa"/>
            <w:vAlign w:val="center"/>
          </w:tcPr>
          <w:p w14:paraId="79F9199B">
            <w:pPr>
              <w:spacing w:line="276" w:lineRule="auto"/>
              <w:jc w:val="center"/>
              <w:rPr>
                <w:rFonts w:ascii="仿宋" w:hAnsi="仿宋" w:cs="仿宋"/>
                <w:bCs/>
                <w:color w:val="000000"/>
                <w:w w:val="90"/>
              </w:rPr>
            </w:pPr>
            <w:r>
              <w:rPr>
                <w:rFonts w:hint="eastAsia" w:ascii="仿宋" w:hAnsi="仿宋" w:cs="仿宋"/>
                <w:bCs/>
                <w:color w:val="000000"/>
                <w:w w:val="90"/>
              </w:rPr>
              <w:t>报价</w:t>
            </w:r>
          </w:p>
        </w:tc>
        <w:tc>
          <w:tcPr>
            <w:tcW w:w="6959" w:type="dxa"/>
            <w:vAlign w:val="center"/>
          </w:tcPr>
          <w:p w14:paraId="2C49A555">
            <w:pPr>
              <w:spacing w:line="276" w:lineRule="auto"/>
              <w:rPr>
                <w:rFonts w:ascii="仿宋" w:hAnsi="仿宋" w:cs="仿宋"/>
                <w:bCs/>
                <w:color w:val="000000"/>
                <w:w w:val="90"/>
              </w:rPr>
            </w:pPr>
            <w:r>
              <w:rPr>
                <w:rFonts w:hint="eastAsia" w:ascii="仿宋" w:hAnsi="仿宋" w:cs="仿宋"/>
                <w:bCs/>
                <w:color w:val="000000"/>
                <w:w w:val="90"/>
              </w:rPr>
              <w:t>在央行定期存款基准利率基础上加上一定基点，四舍五入保留三位小数。</w:t>
            </w:r>
          </w:p>
        </w:tc>
      </w:tr>
      <w:tr w14:paraId="6BC525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2A5F3B25">
            <w:pPr>
              <w:spacing w:line="276" w:lineRule="auto"/>
              <w:jc w:val="center"/>
              <w:rPr>
                <w:rFonts w:ascii="仿宋" w:hAnsi="仿宋" w:cs="仿宋"/>
                <w:color w:val="000000"/>
                <w:w w:val="90"/>
              </w:rPr>
            </w:pPr>
            <w:r>
              <w:rPr>
                <w:rFonts w:hint="eastAsia" w:ascii="仿宋" w:hAnsi="仿宋" w:cs="仿宋"/>
                <w:color w:val="000000"/>
                <w:w w:val="90"/>
              </w:rPr>
              <w:t>13</w:t>
            </w:r>
          </w:p>
        </w:tc>
        <w:tc>
          <w:tcPr>
            <w:tcW w:w="1565" w:type="dxa"/>
            <w:vAlign w:val="center"/>
          </w:tcPr>
          <w:p w14:paraId="270C70CC">
            <w:pPr>
              <w:spacing w:line="276" w:lineRule="auto"/>
              <w:jc w:val="center"/>
              <w:rPr>
                <w:rFonts w:ascii="仿宋" w:hAnsi="仿宋" w:cs="仿宋"/>
                <w:bCs/>
                <w:color w:val="000000"/>
                <w:w w:val="90"/>
              </w:rPr>
            </w:pPr>
            <w:r>
              <w:rPr>
                <w:rFonts w:hint="eastAsia" w:ascii="仿宋" w:hAnsi="仿宋" w:cs="仿宋"/>
                <w:bCs/>
                <w:color w:val="000000"/>
                <w:w w:val="90"/>
              </w:rPr>
              <w:t>《招标文件》询疑截止时间</w:t>
            </w:r>
          </w:p>
        </w:tc>
        <w:tc>
          <w:tcPr>
            <w:tcW w:w="6959" w:type="dxa"/>
            <w:vAlign w:val="center"/>
          </w:tcPr>
          <w:p w14:paraId="70FD540B">
            <w:pPr>
              <w:spacing w:line="276" w:lineRule="auto"/>
              <w:rPr>
                <w:rFonts w:ascii="仿宋" w:hAnsi="仿宋" w:cs="仿宋"/>
                <w:bCs/>
                <w:color w:val="000000"/>
                <w:w w:val="90"/>
              </w:rPr>
            </w:pPr>
            <w:r>
              <w:rPr>
                <w:rFonts w:hint="eastAsia" w:ascii="仿宋" w:hAnsi="仿宋" w:cs="仿宋"/>
                <w:bCs/>
                <w:color w:val="000000"/>
                <w:w w:val="90"/>
              </w:rPr>
              <w:t>供应商如对招标文件</w:t>
            </w:r>
            <w:r>
              <w:rPr>
                <w:rFonts w:hint="eastAsia" w:ascii="仿宋" w:hAnsi="仿宋" w:cs="仿宋"/>
                <w:bCs/>
                <w:color w:val="000000" w:themeColor="text1"/>
                <w:w w:val="90"/>
                <w14:textFill>
                  <w14:solidFill>
                    <w14:schemeClr w14:val="tx1"/>
                  </w14:solidFill>
                </w14:textFill>
              </w:rPr>
              <w:t>有疑问，应在</w:t>
            </w:r>
            <w:r>
              <w:rPr>
                <w:rFonts w:hint="eastAsia" w:ascii="仿宋" w:hAnsi="仿宋" w:cs="仿宋"/>
                <w:bCs/>
                <w:color w:val="000000" w:themeColor="text1"/>
                <w:w w:val="90"/>
                <w:u w:val="single"/>
                <w14:textFill>
                  <w14:solidFill>
                    <w14:schemeClr w14:val="tx1"/>
                  </w14:solidFill>
                </w14:textFill>
              </w:rPr>
              <w:t>202</w:t>
            </w:r>
            <w:r>
              <w:rPr>
                <w:rFonts w:hint="eastAsia" w:ascii="仿宋" w:hAnsi="仿宋" w:cs="仿宋"/>
                <w:bCs/>
                <w:color w:val="000000" w:themeColor="text1"/>
                <w:w w:val="90"/>
                <w:u w:val="single"/>
                <w:lang w:val="en-US" w:eastAsia="zh-CN"/>
                <w14:textFill>
                  <w14:solidFill>
                    <w14:schemeClr w14:val="tx1"/>
                  </w14:solidFill>
                </w14:textFill>
              </w:rPr>
              <w:t>5</w:t>
            </w:r>
            <w:r>
              <w:rPr>
                <w:rFonts w:hint="eastAsia" w:ascii="仿宋" w:hAnsi="仿宋" w:cs="仿宋"/>
                <w:bCs/>
                <w:color w:val="000000" w:themeColor="text1"/>
                <w:w w:val="90"/>
                <w:u w:val="single"/>
                <w14:textFill>
                  <w14:solidFill>
                    <w14:schemeClr w14:val="tx1"/>
                  </w14:solidFill>
                </w14:textFill>
              </w:rPr>
              <w:t>年</w:t>
            </w:r>
            <w:r>
              <w:rPr>
                <w:rFonts w:hint="eastAsia" w:ascii="仿宋" w:hAnsi="仿宋" w:cs="仿宋"/>
                <w:bCs/>
                <w:color w:val="000000" w:themeColor="text1"/>
                <w:w w:val="90"/>
                <w:u w:val="single"/>
                <w:lang w:val="en-US" w:eastAsia="zh-CN"/>
                <w14:textFill>
                  <w14:solidFill>
                    <w14:schemeClr w14:val="tx1"/>
                  </w14:solidFill>
                </w14:textFill>
              </w:rPr>
              <w:t>2月13</w:t>
            </w:r>
            <w:bookmarkStart w:id="187" w:name="_GoBack"/>
            <w:bookmarkEnd w:id="187"/>
            <w:r>
              <w:rPr>
                <w:rFonts w:hint="eastAsia" w:ascii="仿宋" w:hAnsi="仿宋" w:cs="仿宋"/>
                <w:bCs/>
                <w:color w:val="000000" w:themeColor="text1"/>
                <w:w w:val="90"/>
                <w:u w:val="single"/>
                <w14:textFill>
                  <w14:solidFill>
                    <w14:schemeClr w14:val="tx1"/>
                  </w14:solidFill>
                </w14:textFill>
              </w:rPr>
              <w:t>日17时</w:t>
            </w:r>
            <w:r>
              <w:rPr>
                <w:rFonts w:hint="eastAsia" w:ascii="仿宋" w:hAnsi="仿宋" w:cs="仿宋"/>
                <w:bCs/>
                <w:color w:val="000000" w:themeColor="text1"/>
                <w:w w:val="90"/>
                <w14:textFill>
                  <w14:solidFill>
                    <w14:schemeClr w14:val="tx1"/>
                  </w14:solidFill>
                </w14:textFill>
              </w:rPr>
              <w:t>前以书面形式向招标组织机构提出询问函（包括信函、传真、扫描件，下同），询问函接收邮箱：</w:t>
            </w:r>
            <w:r>
              <w:rPr>
                <w:rFonts w:ascii="仿宋" w:hAnsi="仿宋" w:cs="仿宋"/>
                <w:bCs/>
                <w:color w:val="000000" w:themeColor="text1"/>
                <w:w w:val="90"/>
                <w14:textFill>
                  <w14:solidFill>
                    <w14:schemeClr w14:val="tx1"/>
                  </w14:solidFill>
                </w14:textFill>
              </w:rPr>
              <w:t>171951585</w:t>
            </w:r>
            <w:r>
              <w:rPr>
                <w:rFonts w:hint="eastAsia" w:ascii="仿宋" w:hAnsi="仿宋" w:cs="仿宋"/>
                <w:bCs/>
                <w:color w:val="000000" w:themeColor="text1"/>
                <w:w w:val="90"/>
                <w14:textFill>
                  <w14:solidFill>
                    <w14:schemeClr w14:val="tx1"/>
                  </w14:solidFill>
                </w14:textFill>
              </w:rPr>
              <w:t>@qq.com。</w:t>
            </w:r>
          </w:p>
        </w:tc>
      </w:tr>
      <w:tr w14:paraId="19F892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7F3BD93D">
            <w:pPr>
              <w:spacing w:line="276" w:lineRule="auto"/>
              <w:jc w:val="center"/>
              <w:rPr>
                <w:rFonts w:ascii="仿宋" w:hAnsi="仿宋" w:cs="仿宋"/>
                <w:color w:val="000000"/>
                <w:w w:val="90"/>
              </w:rPr>
            </w:pPr>
            <w:r>
              <w:rPr>
                <w:rFonts w:hint="eastAsia" w:ascii="仿宋" w:hAnsi="仿宋" w:cs="仿宋"/>
                <w:color w:val="000000"/>
                <w:w w:val="90"/>
              </w:rPr>
              <w:t>14</w:t>
            </w:r>
          </w:p>
        </w:tc>
        <w:tc>
          <w:tcPr>
            <w:tcW w:w="1565" w:type="dxa"/>
            <w:vAlign w:val="center"/>
          </w:tcPr>
          <w:p w14:paraId="72A3A414">
            <w:pPr>
              <w:spacing w:line="276" w:lineRule="auto"/>
              <w:jc w:val="center"/>
              <w:rPr>
                <w:rFonts w:ascii="仿宋" w:hAnsi="仿宋" w:cs="仿宋"/>
                <w:color w:val="000000"/>
                <w:w w:val="90"/>
              </w:rPr>
            </w:pPr>
            <w:r>
              <w:rPr>
                <w:rFonts w:hint="eastAsia" w:ascii="仿宋" w:hAnsi="仿宋" w:cs="仿宋"/>
                <w:b/>
                <w:color w:val="000000"/>
                <w:w w:val="90"/>
              </w:rPr>
              <w:t>投标截止时间</w:t>
            </w:r>
          </w:p>
        </w:tc>
        <w:tc>
          <w:tcPr>
            <w:tcW w:w="6959" w:type="dxa"/>
            <w:vAlign w:val="center"/>
          </w:tcPr>
          <w:p w14:paraId="62F5E44E">
            <w:pPr>
              <w:spacing w:line="276" w:lineRule="auto"/>
              <w:rPr>
                <w:rFonts w:ascii="仿宋" w:hAnsi="仿宋" w:cs="仿宋"/>
                <w:color w:val="000000"/>
                <w:w w:val="90"/>
              </w:rPr>
            </w:pPr>
            <w:r>
              <w:rPr>
                <w:rFonts w:hint="eastAsia" w:ascii="仿宋" w:hAnsi="仿宋" w:cs="仿宋"/>
                <w:b/>
                <w:color w:val="000000"/>
                <w:w w:val="90"/>
              </w:rPr>
              <w:t>按“招标公告”规定</w:t>
            </w:r>
          </w:p>
        </w:tc>
      </w:tr>
      <w:tr w14:paraId="609AE2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17B50165">
            <w:pPr>
              <w:spacing w:line="276" w:lineRule="auto"/>
              <w:jc w:val="center"/>
              <w:rPr>
                <w:rFonts w:ascii="仿宋" w:hAnsi="仿宋" w:cs="仿宋"/>
                <w:color w:val="000000"/>
                <w:w w:val="90"/>
              </w:rPr>
            </w:pPr>
            <w:r>
              <w:rPr>
                <w:rFonts w:hint="eastAsia" w:ascii="仿宋" w:hAnsi="仿宋" w:cs="仿宋"/>
                <w:color w:val="000000"/>
                <w:w w:val="90"/>
              </w:rPr>
              <w:t>15</w:t>
            </w:r>
          </w:p>
        </w:tc>
        <w:tc>
          <w:tcPr>
            <w:tcW w:w="1565" w:type="dxa"/>
            <w:vAlign w:val="center"/>
          </w:tcPr>
          <w:p w14:paraId="0C25B66A">
            <w:pPr>
              <w:spacing w:line="276" w:lineRule="auto"/>
              <w:jc w:val="center"/>
              <w:rPr>
                <w:rFonts w:ascii="仿宋" w:hAnsi="仿宋" w:cs="仿宋"/>
                <w:b/>
                <w:color w:val="000000"/>
                <w:w w:val="90"/>
              </w:rPr>
            </w:pPr>
            <w:r>
              <w:rPr>
                <w:rFonts w:hint="eastAsia" w:ascii="仿宋" w:hAnsi="仿宋" w:cs="仿宋"/>
                <w:b/>
                <w:color w:val="000000"/>
                <w:w w:val="90"/>
              </w:rPr>
              <w:t>投标文件递交地址</w:t>
            </w:r>
          </w:p>
        </w:tc>
        <w:tc>
          <w:tcPr>
            <w:tcW w:w="6959" w:type="dxa"/>
            <w:vAlign w:val="center"/>
          </w:tcPr>
          <w:p w14:paraId="06BF7BEC">
            <w:pPr>
              <w:spacing w:line="276" w:lineRule="auto"/>
              <w:rPr>
                <w:rFonts w:ascii="仿宋" w:hAnsi="仿宋" w:cs="仿宋"/>
                <w:b/>
                <w:color w:val="000000"/>
                <w:w w:val="90"/>
              </w:rPr>
            </w:pPr>
            <w:r>
              <w:rPr>
                <w:rFonts w:hint="eastAsia" w:ascii="仿宋" w:hAnsi="仿宋" w:cs="仿宋"/>
                <w:b/>
                <w:color w:val="000000"/>
                <w:w w:val="90"/>
              </w:rPr>
              <w:t>按“招标公告”规定</w:t>
            </w:r>
          </w:p>
        </w:tc>
      </w:tr>
      <w:tr w14:paraId="57AC4A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7B3E6FCD">
            <w:pPr>
              <w:spacing w:line="276" w:lineRule="auto"/>
              <w:jc w:val="center"/>
              <w:rPr>
                <w:rFonts w:ascii="仿宋" w:hAnsi="仿宋" w:cs="仿宋"/>
                <w:color w:val="000000"/>
                <w:w w:val="90"/>
              </w:rPr>
            </w:pPr>
            <w:r>
              <w:rPr>
                <w:rFonts w:hint="eastAsia" w:ascii="仿宋" w:hAnsi="仿宋" w:cs="仿宋"/>
                <w:color w:val="000000"/>
                <w:w w:val="90"/>
              </w:rPr>
              <w:t>17</w:t>
            </w:r>
          </w:p>
        </w:tc>
        <w:tc>
          <w:tcPr>
            <w:tcW w:w="1565" w:type="dxa"/>
            <w:vAlign w:val="center"/>
          </w:tcPr>
          <w:p w14:paraId="00E94F67">
            <w:pPr>
              <w:spacing w:line="276" w:lineRule="auto"/>
              <w:jc w:val="center"/>
              <w:rPr>
                <w:rFonts w:ascii="仿宋" w:hAnsi="仿宋" w:cs="仿宋"/>
                <w:b/>
                <w:color w:val="000000"/>
                <w:w w:val="90"/>
              </w:rPr>
            </w:pPr>
            <w:r>
              <w:rPr>
                <w:rFonts w:hint="eastAsia" w:ascii="仿宋" w:hAnsi="仿宋" w:cs="仿宋"/>
                <w:b/>
                <w:color w:val="000000"/>
                <w:w w:val="90"/>
              </w:rPr>
              <w:t>开标时间及地址</w:t>
            </w:r>
          </w:p>
        </w:tc>
        <w:tc>
          <w:tcPr>
            <w:tcW w:w="6959" w:type="dxa"/>
            <w:vAlign w:val="center"/>
          </w:tcPr>
          <w:p w14:paraId="49211BC2">
            <w:pPr>
              <w:spacing w:line="276" w:lineRule="auto"/>
              <w:rPr>
                <w:rFonts w:ascii="仿宋" w:hAnsi="仿宋" w:cs="仿宋"/>
                <w:b/>
                <w:color w:val="000000"/>
                <w:w w:val="90"/>
              </w:rPr>
            </w:pPr>
            <w:r>
              <w:rPr>
                <w:rFonts w:hint="eastAsia" w:ascii="仿宋" w:hAnsi="仿宋" w:cs="仿宋"/>
                <w:b/>
                <w:color w:val="000000"/>
                <w:w w:val="90"/>
              </w:rPr>
              <w:t>按“招标公告”规定</w:t>
            </w:r>
          </w:p>
        </w:tc>
      </w:tr>
      <w:tr w14:paraId="07E49D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089766BC">
            <w:pPr>
              <w:spacing w:line="276" w:lineRule="auto"/>
              <w:jc w:val="center"/>
              <w:rPr>
                <w:rFonts w:ascii="仿宋" w:hAnsi="仿宋" w:cs="仿宋"/>
                <w:color w:val="000000"/>
                <w:w w:val="90"/>
              </w:rPr>
            </w:pPr>
            <w:r>
              <w:rPr>
                <w:rFonts w:hint="eastAsia" w:ascii="仿宋" w:hAnsi="仿宋" w:cs="仿宋"/>
                <w:color w:val="000000"/>
                <w:w w:val="90"/>
              </w:rPr>
              <w:t>18</w:t>
            </w:r>
          </w:p>
        </w:tc>
        <w:tc>
          <w:tcPr>
            <w:tcW w:w="1565" w:type="dxa"/>
            <w:vAlign w:val="center"/>
          </w:tcPr>
          <w:p w14:paraId="5C97DDAA">
            <w:pPr>
              <w:spacing w:line="276" w:lineRule="auto"/>
              <w:jc w:val="center"/>
              <w:rPr>
                <w:rFonts w:ascii="仿宋" w:hAnsi="仿宋" w:cs="仿宋"/>
                <w:b/>
                <w:color w:val="000000"/>
                <w:w w:val="90"/>
              </w:rPr>
            </w:pPr>
            <w:r>
              <w:rPr>
                <w:rFonts w:hint="eastAsia" w:ascii="仿宋" w:hAnsi="仿宋" w:cs="仿宋"/>
                <w:color w:val="000000"/>
                <w:w w:val="90"/>
              </w:rPr>
              <w:t>评审办法</w:t>
            </w:r>
          </w:p>
        </w:tc>
        <w:tc>
          <w:tcPr>
            <w:tcW w:w="6959" w:type="dxa"/>
            <w:vAlign w:val="center"/>
          </w:tcPr>
          <w:p w14:paraId="208DB269">
            <w:pPr>
              <w:spacing w:line="276" w:lineRule="auto"/>
              <w:rPr>
                <w:rFonts w:ascii="仿宋" w:hAnsi="仿宋" w:cs="仿宋"/>
                <w:b/>
                <w:color w:val="000000"/>
                <w:w w:val="90"/>
              </w:rPr>
            </w:pPr>
            <w:r>
              <w:rPr>
                <w:rFonts w:hint="eastAsia" w:ascii="仿宋" w:hAnsi="仿宋" w:cs="仿宋"/>
                <w:color w:val="000000"/>
                <w:w w:val="90"/>
              </w:rPr>
              <w:t>详见《第四章 评审办法及评分标准》。</w:t>
            </w:r>
          </w:p>
        </w:tc>
      </w:tr>
      <w:tr w14:paraId="7086FC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24EF3C93">
            <w:pPr>
              <w:spacing w:line="276" w:lineRule="auto"/>
              <w:jc w:val="center"/>
              <w:rPr>
                <w:rFonts w:ascii="仿宋" w:hAnsi="仿宋" w:cs="仿宋"/>
                <w:color w:val="000000"/>
                <w:w w:val="90"/>
              </w:rPr>
            </w:pPr>
            <w:r>
              <w:rPr>
                <w:rFonts w:hint="eastAsia" w:ascii="仿宋" w:hAnsi="仿宋" w:cs="仿宋"/>
                <w:color w:val="000000"/>
                <w:w w:val="90"/>
              </w:rPr>
              <w:t>19</w:t>
            </w:r>
          </w:p>
        </w:tc>
        <w:tc>
          <w:tcPr>
            <w:tcW w:w="1565" w:type="dxa"/>
            <w:vAlign w:val="center"/>
          </w:tcPr>
          <w:p w14:paraId="781A3235">
            <w:pPr>
              <w:spacing w:line="276" w:lineRule="auto"/>
              <w:jc w:val="center"/>
              <w:rPr>
                <w:rFonts w:ascii="仿宋" w:hAnsi="仿宋" w:cs="仿宋"/>
                <w:color w:val="000000"/>
                <w:w w:val="90"/>
              </w:rPr>
            </w:pPr>
            <w:r>
              <w:rPr>
                <w:rFonts w:hint="eastAsia" w:ascii="仿宋" w:hAnsi="仿宋" w:cs="仿宋"/>
                <w:color w:val="000000"/>
                <w:w w:val="90"/>
              </w:rPr>
              <w:t>中标公告</w:t>
            </w:r>
          </w:p>
        </w:tc>
        <w:tc>
          <w:tcPr>
            <w:tcW w:w="6959" w:type="dxa"/>
            <w:vAlign w:val="center"/>
          </w:tcPr>
          <w:p w14:paraId="09418A13">
            <w:pPr>
              <w:spacing w:line="276" w:lineRule="auto"/>
              <w:rPr>
                <w:rFonts w:ascii="仿宋" w:hAnsi="仿宋" w:cs="仿宋"/>
                <w:color w:val="000000"/>
                <w:w w:val="90"/>
              </w:rPr>
            </w:pPr>
            <w:r>
              <w:rPr>
                <w:rFonts w:hint="eastAsia" w:ascii="仿宋" w:hAnsi="仿宋" w:cs="仿宋"/>
                <w:color w:val="000000"/>
                <w:w w:val="90"/>
              </w:rPr>
              <w:t>招标人将在评审结束之日起7个工作日内确定中标（成交）单位，自中标（成交）单位确定之日起2个工作日内发出中标（成交）通知书，并发布中标公告。</w:t>
            </w:r>
          </w:p>
        </w:tc>
      </w:tr>
      <w:tr w14:paraId="276AE2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67047D29">
            <w:pPr>
              <w:spacing w:line="276" w:lineRule="auto"/>
              <w:jc w:val="center"/>
              <w:rPr>
                <w:rFonts w:ascii="仿宋" w:hAnsi="仿宋" w:cs="仿宋"/>
                <w:color w:val="000000"/>
                <w:w w:val="90"/>
              </w:rPr>
            </w:pPr>
            <w:r>
              <w:rPr>
                <w:rFonts w:hint="eastAsia" w:ascii="仿宋" w:hAnsi="仿宋" w:cs="仿宋"/>
                <w:color w:val="000000"/>
                <w:w w:val="90"/>
              </w:rPr>
              <w:t>20</w:t>
            </w:r>
          </w:p>
        </w:tc>
        <w:tc>
          <w:tcPr>
            <w:tcW w:w="1565" w:type="dxa"/>
            <w:vAlign w:val="center"/>
          </w:tcPr>
          <w:p w14:paraId="7576FB4C">
            <w:pPr>
              <w:spacing w:line="276" w:lineRule="auto"/>
              <w:jc w:val="center"/>
              <w:rPr>
                <w:rFonts w:ascii="仿宋" w:hAnsi="仿宋" w:cs="仿宋"/>
                <w:color w:val="000000"/>
                <w:w w:val="90"/>
              </w:rPr>
            </w:pPr>
            <w:r>
              <w:rPr>
                <w:rFonts w:hint="eastAsia" w:ascii="仿宋" w:hAnsi="仿宋" w:cs="仿宋"/>
                <w:color w:val="000000"/>
                <w:w w:val="90"/>
              </w:rPr>
              <w:t>合同签订</w:t>
            </w:r>
          </w:p>
        </w:tc>
        <w:tc>
          <w:tcPr>
            <w:tcW w:w="6959" w:type="dxa"/>
            <w:vAlign w:val="center"/>
          </w:tcPr>
          <w:p w14:paraId="5B3096E1">
            <w:pPr>
              <w:spacing w:line="276" w:lineRule="auto"/>
              <w:rPr>
                <w:rFonts w:ascii="仿宋" w:hAnsi="仿宋" w:cs="仿宋"/>
                <w:color w:val="000000"/>
                <w:w w:val="90"/>
              </w:rPr>
            </w:pPr>
            <w:r>
              <w:rPr>
                <w:rFonts w:hint="eastAsia" w:ascii="仿宋" w:hAnsi="仿宋" w:cs="仿宋"/>
                <w:color w:val="000000"/>
                <w:w w:val="90"/>
              </w:rPr>
              <w:t>中标（成交）通知书发出后30天内，中标（成交）单位应持中标（成交）通知书完成与招标人的合同签订。</w:t>
            </w:r>
          </w:p>
        </w:tc>
      </w:tr>
      <w:tr w14:paraId="2CA8E6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5D1017BB">
            <w:pPr>
              <w:spacing w:line="276" w:lineRule="auto"/>
              <w:jc w:val="center"/>
              <w:rPr>
                <w:rFonts w:ascii="仿宋" w:hAnsi="仿宋" w:cs="仿宋"/>
                <w:color w:val="000000"/>
                <w:w w:val="90"/>
              </w:rPr>
            </w:pPr>
            <w:r>
              <w:rPr>
                <w:rFonts w:hint="eastAsia" w:ascii="仿宋" w:hAnsi="仿宋" w:cs="仿宋"/>
                <w:color w:val="000000"/>
                <w:w w:val="90"/>
              </w:rPr>
              <w:t>21</w:t>
            </w:r>
          </w:p>
        </w:tc>
        <w:tc>
          <w:tcPr>
            <w:tcW w:w="1565" w:type="dxa"/>
            <w:vAlign w:val="center"/>
          </w:tcPr>
          <w:p w14:paraId="252FC7A9">
            <w:pPr>
              <w:spacing w:line="276" w:lineRule="auto"/>
              <w:jc w:val="center"/>
              <w:rPr>
                <w:rFonts w:ascii="仿宋" w:hAnsi="仿宋" w:cs="仿宋"/>
                <w:color w:val="000000"/>
                <w:w w:val="90"/>
              </w:rPr>
            </w:pPr>
            <w:r>
              <w:rPr>
                <w:rFonts w:hint="eastAsia" w:ascii="仿宋" w:hAnsi="仿宋" w:cs="仿宋"/>
                <w:color w:val="000000"/>
                <w:w w:val="90"/>
              </w:rPr>
              <w:t>投标文件有效期</w:t>
            </w:r>
          </w:p>
        </w:tc>
        <w:tc>
          <w:tcPr>
            <w:tcW w:w="6959" w:type="dxa"/>
            <w:vAlign w:val="center"/>
          </w:tcPr>
          <w:p w14:paraId="0CBEDD2F">
            <w:pPr>
              <w:spacing w:line="276" w:lineRule="auto"/>
              <w:rPr>
                <w:rFonts w:ascii="仿宋" w:hAnsi="仿宋" w:cs="仿宋"/>
                <w:color w:val="000000"/>
                <w:w w:val="90"/>
              </w:rPr>
            </w:pPr>
            <w:r>
              <w:rPr>
                <w:rFonts w:hint="eastAsia" w:ascii="仿宋" w:hAnsi="仿宋" w:cs="仿宋"/>
                <w:color w:val="000000"/>
                <w:w w:val="90"/>
                <w:u w:val="single"/>
              </w:rPr>
              <w:t>自投标文件提交截止之日起90天</w:t>
            </w:r>
          </w:p>
        </w:tc>
      </w:tr>
      <w:tr w14:paraId="70F7AF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03D9B885">
            <w:pPr>
              <w:spacing w:line="276" w:lineRule="auto"/>
              <w:jc w:val="center"/>
              <w:rPr>
                <w:rFonts w:ascii="仿宋" w:hAnsi="仿宋" w:cs="仿宋"/>
                <w:color w:val="000000"/>
                <w:w w:val="90"/>
              </w:rPr>
            </w:pPr>
            <w:r>
              <w:rPr>
                <w:rFonts w:hint="eastAsia" w:ascii="仿宋" w:hAnsi="仿宋" w:cs="仿宋"/>
                <w:color w:val="000000"/>
                <w:w w:val="90"/>
              </w:rPr>
              <w:t>22</w:t>
            </w:r>
          </w:p>
        </w:tc>
        <w:tc>
          <w:tcPr>
            <w:tcW w:w="1565" w:type="dxa"/>
            <w:vAlign w:val="center"/>
          </w:tcPr>
          <w:p w14:paraId="646B2979">
            <w:pPr>
              <w:spacing w:line="276" w:lineRule="auto"/>
              <w:rPr>
                <w:rFonts w:ascii="仿宋" w:hAnsi="仿宋" w:cs="仿宋"/>
                <w:color w:val="000000"/>
                <w:w w:val="90"/>
              </w:rPr>
            </w:pPr>
            <w:r>
              <w:rPr>
                <w:rFonts w:hint="eastAsia" w:ascii="仿宋" w:hAnsi="仿宋" w:cs="仿宋"/>
                <w:color w:val="000000"/>
                <w:w w:val="90"/>
              </w:rPr>
              <w:t>招标代理服务费</w:t>
            </w:r>
          </w:p>
        </w:tc>
        <w:tc>
          <w:tcPr>
            <w:tcW w:w="6959" w:type="dxa"/>
            <w:vAlign w:val="center"/>
          </w:tcPr>
          <w:p w14:paraId="0A28EED9">
            <w:pPr>
              <w:spacing w:line="276" w:lineRule="auto"/>
              <w:rPr>
                <w:rFonts w:ascii="仿宋" w:hAnsi="仿宋" w:cs="仿宋"/>
                <w:color w:val="000000"/>
                <w:w w:val="90"/>
              </w:rPr>
            </w:pPr>
            <w:r>
              <w:rPr>
                <w:rFonts w:hint="eastAsia" w:ascii="仿宋" w:hAnsi="仿宋" w:cs="仿宋"/>
                <w:color w:val="000000"/>
                <w:w w:val="90"/>
              </w:rPr>
              <w:t>各标段中标人在领取中标通知书同时向招标代理机构支付招标代理服务费，参照原国家计委《招标代理服务收费管理暂行办法》（[2002]1980号）的服务类收费标准计取；按</w:t>
            </w:r>
            <w:r>
              <w:rPr>
                <w:rFonts w:hint="eastAsia" w:ascii="仿宋" w:hAnsi="仿宋" w:cs="仿宋"/>
                <w:color w:val="000000"/>
                <w:w w:val="90"/>
                <w:lang w:val="en-US" w:eastAsia="zh-CN"/>
              </w:rPr>
              <w:t>每个标段8</w:t>
            </w:r>
            <w:r>
              <w:rPr>
                <w:rFonts w:hint="eastAsia" w:ascii="仿宋" w:hAnsi="仿宋" w:cs="仿宋"/>
                <w:color w:val="000000"/>
                <w:w w:val="90"/>
              </w:rPr>
              <w:t>000元计取,此部分费用自行考虑。</w:t>
            </w:r>
          </w:p>
        </w:tc>
      </w:tr>
      <w:tr w14:paraId="5A8C84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13E887EB">
            <w:pPr>
              <w:spacing w:line="276" w:lineRule="auto"/>
              <w:jc w:val="center"/>
              <w:rPr>
                <w:rFonts w:ascii="仿宋" w:hAnsi="仿宋" w:cs="仿宋"/>
                <w:color w:val="000000"/>
                <w:w w:val="90"/>
              </w:rPr>
            </w:pPr>
            <w:r>
              <w:rPr>
                <w:rFonts w:hint="eastAsia" w:ascii="仿宋" w:hAnsi="仿宋" w:cs="仿宋"/>
                <w:color w:val="000000"/>
                <w:w w:val="90"/>
              </w:rPr>
              <w:t>23</w:t>
            </w:r>
          </w:p>
        </w:tc>
        <w:tc>
          <w:tcPr>
            <w:tcW w:w="1565" w:type="dxa"/>
            <w:vAlign w:val="center"/>
          </w:tcPr>
          <w:p w14:paraId="6CEEC180">
            <w:pPr>
              <w:spacing w:line="276" w:lineRule="auto"/>
              <w:jc w:val="center"/>
              <w:rPr>
                <w:rFonts w:ascii="仿宋" w:hAnsi="仿宋" w:cs="仿宋"/>
                <w:color w:val="000000"/>
                <w:w w:val="90"/>
              </w:rPr>
            </w:pPr>
            <w:r>
              <w:rPr>
                <w:rFonts w:hint="eastAsia" w:ascii="仿宋" w:hAnsi="仿宋" w:cs="仿宋"/>
                <w:color w:val="000000"/>
                <w:w w:val="90"/>
              </w:rPr>
              <w:t>供应商代表出席开标大会注意事项</w:t>
            </w:r>
          </w:p>
        </w:tc>
        <w:tc>
          <w:tcPr>
            <w:tcW w:w="6959" w:type="dxa"/>
            <w:vAlign w:val="center"/>
          </w:tcPr>
          <w:p w14:paraId="5E67B32D">
            <w:pPr>
              <w:spacing w:line="276" w:lineRule="auto"/>
              <w:rPr>
                <w:rFonts w:ascii="仿宋" w:hAnsi="仿宋" w:cs="仿宋"/>
                <w:color w:val="000000"/>
                <w:w w:val="90"/>
              </w:rPr>
            </w:pPr>
            <w:r>
              <w:rPr>
                <w:rFonts w:hint="eastAsia" w:ascii="仿宋" w:hAnsi="仿宋" w:cs="仿宋"/>
                <w:color w:val="000000"/>
                <w:w w:val="90"/>
              </w:rPr>
              <w:t>投标银行应派其法定代表人或法定代表人授权代表参加开标大会，否则事后不得对招标相关人员、开标过程和开标结果提出异议。</w:t>
            </w:r>
          </w:p>
        </w:tc>
      </w:tr>
      <w:tr w14:paraId="3DC98A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1C612DDA">
            <w:pPr>
              <w:spacing w:line="276" w:lineRule="auto"/>
              <w:jc w:val="center"/>
              <w:rPr>
                <w:rFonts w:ascii="仿宋" w:hAnsi="仿宋" w:cs="仿宋"/>
                <w:color w:val="000000"/>
                <w:w w:val="90"/>
              </w:rPr>
            </w:pPr>
            <w:r>
              <w:rPr>
                <w:rFonts w:hint="eastAsia" w:ascii="仿宋" w:hAnsi="仿宋" w:cs="仿宋"/>
                <w:color w:val="000000"/>
                <w:w w:val="90"/>
              </w:rPr>
              <w:t>24</w:t>
            </w:r>
          </w:p>
        </w:tc>
        <w:tc>
          <w:tcPr>
            <w:tcW w:w="1565" w:type="dxa"/>
            <w:vAlign w:val="center"/>
          </w:tcPr>
          <w:p w14:paraId="3961B957">
            <w:pPr>
              <w:spacing w:line="276" w:lineRule="auto"/>
              <w:jc w:val="center"/>
              <w:rPr>
                <w:rFonts w:ascii="仿宋" w:hAnsi="仿宋" w:cs="仿宋"/>
                <w:b/>
                <w:color w:val="000000"/>
                <w:w w:val="90"/>
              </w:rPr>
            </w:pPr>
            <w:r>
              <w:rPr>
                <w:rFonts w:hint="eastAsia" w:ascii="仿宋" w:hAnsi="仿宋" w:cs="仿宋"/>
                <w:color w:val="000000"/>
                <w:w w:val="90"/>
              </w:rPr>
              <w:t>重要提醒</w:t>
            </w:r>
          </w:p>
        </w:tc>
        <w:tc>
          <w:tcPr>
            <w:tcW w:w="6959" w:type="dxa"/>
            <w:vAlign w:val="center"/>
          </w:tcPr>
          <w:p w14:paraId="39E70A23">
            <w:pPr>
              <w:spacing w:line="276" w:lineRule="auto"/>
              <w:rPr>
                <w:rFonts w:ascii="仿宋" w:hAnsi="仿宋" w:cs="仿宋"/>
                <w:color w:val="000000"/>
                <w:w w:val="90"/>
              </w:rPr>
            </w:pPr>
            <w:r>
              <w:rPr>
                <w:rFonts w:hint="eastAsia" w:ascii="仿宋" w:hAnsi="仿宋" w:cs="仿宋"/>
                <w:color w:val="000000"/>
                <w:w w:val="90"/>
              </w:rPr>
              <w:t>（1）投标银行在编制投标文件时应作出符合客观事实的真实响应，任何的“虚假响应”或者“虚假应标”均将被视为“提供虚假材料”行为，并按照“提供虚假材料”进行处理。</w:t>
            </w:r>
          </w:p>
          <w:p w14:paraId="4F7DFB67">
            <w:pPr>
              <w:spacing w:line="276" w:lineRule="auto"/>
              <w:rPr>
                <w:rFonts w:ascii="仿宋" w:hAnsi="仿宋" w:cs="仿宋"/>
                <w:b/>
                <w:color w:val="000000"/>
                <w:w w:val="90"/>
              </w:rPr>
            </w:pPr>
            <w:r>
              <w:rPr>
                <w:rFonts w:hint="eastAsia" w:ascii="仿宋" w:hAnsi="仿宋" w:cs="仿宋"/>
                <w:color w:val="000000"/>
                <w:w w:val="90"/>
              </w:rPr>
              <w:t>（2）招标文件中标注“▲”的技术或商务条款均为实质性要求条款，不满足实质性要求条款的投标无效。</w:t>
            </w:r>
          </w:p>
        </w:tc>
      </w:tr>
      <w:tr w14:paraId="6D119C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Align w:val="center"/>
          </w:tcPr>
          <w:p w14:paraId="1493132B">
            <w:pPr>
              <w:spacing w:line="276" w:lineRule="auto"/>
              <w:jc w:val="center"/>
              <w:rPr>
                <w:rFonts w:ascii="仿宋" w:hAnsi="仿宋" w:cs="仿宋"/>
                <w:color w:val="000000"/>
                <w:w w:val="90"/>
              </w:rPr>
            </w:pPr>
            <w:r>
              <w:rPr>
                <w:rFonts w:hint="eastAsia" w:ascii="仿宋" w:hAnsi="仿宋" w:cs="仿宋"/>
                <w:color w:val="000000"/>
                <w:w w:val="90"/>
              </w:rPr>
              <w:t>25</w:t>
            </w:r>
          </w:p>
        </w:tc>
        <w:tc>
          <w:tcPr>
            <w:tcW w:w="1565" w:type="dxa"/>
            <w:vAlign w:val="center"/>
          </w:tcPr>
          <w:p w14:paraId="3F820619">
            <w:pPr>
              <w:spacing w:line="276" w:lineRule="auto"/>
              <w:jc w:val="center"/>
              <w:rPr>
                <w:rFonts w:ascii="仿宋" w:hAnsi="仿宋" w:cs="仿宋"/>
                <w:color w:val="000000"/>
                <w:w w:val="90"/>
              </w:rPr>
            </w:pPr>
            <w:r>
              <w:rPr>
                <w:rFonts w:hint="eastAsia" w:ascii="仿宋" w:hAnsi="仿宋" w:cs="仿宋"/>
                <w:color w:val="000000"/>
                <w:w w:val="90"/>
              </w:rPr>
              <w:t>解释</w:t>
            </w:r>
          </w:p>
        </w:tc>
        <w:tc>
          <w:tcPr>
            <w:tcW w:w="6959" w:type="dxa"/>
            <w:vAlign w:val="center"/>
          </w:tcPr>
          <w:p w14:paraId="346FF983">
            <w:pPr>
              <w:spacing w:line="276" w:lineRule="auto"/>
              <w:rPr>
                <w:rFonts w:ascii="仿宋" w:hAnsi="仿宋" w:cs="仿宋"/>
                <w:color w:val="000000"/>
                <w:w w:val="90"/>
              </w:rPr>
            </w:pPr>
            <w:r>
              <w:rPr>
                <w:rFonts w:hint="eastAsia" w:ascii="仿宋" w:hAnsi="仿宋" w:cs="仿宋"/>
                <w:color w:val="000000"/>
                <w:w w:val="90"/>
              </w:rPr>
              <w:t>本《招标文件》电子稿与纸质版本具有同等效力，如发现不一致，请投标银行在规定的提疑时间前向招标组织机构提出，招标文件的解释权属于招标人及招标组织机构所有。</w:t>
            </w:r>
          </w:p>
        </w:tc>
      </w:tr>
    </w:tbl>
    <w:p w14:paraId="016F9A2F">
      <w:bookmarkStart w:id="33" w:name="_Toc424164154"/>
    </w:p>
    <w:p w14:paraId="63F0C622"/>
    <w:p w14:paraId="2267394C"/>
    <w:p w14:paraId="10E9C54D">
      <w:pPr>
        <w:pStyle w:val="6"/>
      </w:pPr>
      <w:r>
        <w:br w:type="page"/>
      </w:r>
      <w:bookmarkStart w:id="34" w:name="_Toc446950603"/>
      <w:bookmarkStart w:id="35" w:name="_Toc115"/>
      <w:bookmarkStart w:id="36" w:name="_Toc440162786"/>
      <w:bookmarkStart w:id="37" w:name="_Toc13057"/>
      <w:bookmarkStart w:id="38" w:name="_Toc32637"/>
      <w:bookmarkStart w:id="39" w:name="_Toc29702"/>
      <w:bookmarkStart w:id="40" w:name="_Toc452032117"/>
      <w:bookmarkStart w:id="41" w:name="_Toc23788"/>
      <w:r>
        <w:rPr>
          <w:rFonts w:hint="eastAsia"/>
        </w:rPr>
        <w:t>一、总则</w:t>
      </w:r>
      <w:bookmarkEnd w:id="33"/>
      <w:bookmarkEnd w:id="34"/>
      <w:bookmarkEnd w:id="35"/>
      <w:bookmarkEnd w:id="36"/>
      <w:bookmarkEnd w:id="37"/>
      <w:bookmarkEnd w:id="38"/>
      <w:bookmarkEnd w:id="39"/>
      <w:bookmarkEnd w:id="40"/>
      <w:bookmarkEnd w:id="41"/>
    </w:p>
    <w:p w14:paraId="3C472C88">
      <w:pPr>
        <w:jc w:val="left"/>
        <w:rPr>
          <w:rFonts w:ascii="仿宋" w:hAnsi="仿宋" w:cs="仿宋"/>
          <w:b/>
          <w:color w:val="000000"/>
          <w:kern w:val="0"/>
        </w:rPr>
      </w:pPr>
      <w:r>
        <w:rPr>
          <w:rFonts w:hint="eastAsia" w:ascii="仿宋" w:hAnsi="仿宋" w:cs="仿宋"/>
          <w:b/>
          <w:color w:val="000000"/>
          <w:kern w:val="0"/>
        </w:rPr>
        <w:t>1、实施依据及适用范围</w:t>
      </w:r>
    </w:p>
    <w:p w14:paraId="4F91C785">
      <w:pPr>
        <w:ind w:firstLine="460" w:firstLineChars="192"/>
        <w:rPr>
          <w:rFonts w:ascii="仿宋" w:hAnsi="仿宋" w:cs="仿宋"/>
          <w:color w:val="000000"/>
        </w:rPr>
      </w:pPr>
      <w:r>
        <w:rPr>
          <w:rFonts w:hint="eastAsia" w:ascii="仿宋" w:hAnsi="仿宋" w:cs="仿宋"/>
          <w:color w:val="000000"/>
          <w:kern w:val="0"/>
        </w:rPr>
        <w:t>1.1实施依据：本次招标工作是根据《浙江省财政厅关于印发浙江省省级行政事业单位公款竞争性存放管理办法的通知》（浙财预执〔2021〕7号）、《苍南县县级预算单位公款竞争性存放管理暂行办法》（苍政办〔2019〕7号）有关规定组织和实施。</w:t>
      </w:r>
    </w:p>
    <w:p w14:paraId="69A4331A">
      <w:pPr>
        <w:ind w:firstLine="460" w:firstLineChars="192"/>
        <w:rPr>
          <w:rFonts w:ascii="仿宋" w:hAnsi="仿宋" w:cs="仿宋"/>
          <w:color w:val="000000"/>
          <w:kern w:val="0"/>
        </w:rPr>
      </w:pPr>
      <w:r>
        <w:rPr>
          <w:rFonts w:hint="eastAsia" w:ascii="仿宋" w:hAnsi="仿宋" w:cs="仿宋"/>
          <w:color w:val="000000"/>
          <w:kern w:val="0"/>
        </w:rPr>
        <w:t>1.2本《招标文件》适用于</w:t>
      </w:r>
      <w:r>
        <w:rPr>
          <w:rFonts w:hint="eastAsia" w:ascii="仿宋" w:hAnsi="仿宋" w:cs="仿宋"/>
          <w:b/>
          <w:color w:val="000000"/>
          <w:kern w:val="0"/>
          <w:u w:val="single"/>
          <w:lang w:eastAsia="zh-CN"/>
        </w:rPr>
        <w:t>苍南县人民法院2025年度公款竞争性存放项目</w:t>
      </w:r>
      <w:r>
        <w:rPr>
          <w:rFonts w:hint="eastAsia" w:ascii="仿宋" w:hAnsi="仿宋" w:cs="仿宋"/>
          <w:color w:val="000000"/>
          <w:kern w:val="0"/>
        </w:rPr>
        <w:t>的招标、评标、定标、验收、合同履约等（法律、法规另有规定的，从其规定）。</w:t>
      </w:r>
    </w:p>
    <w:p w14:paraId="6A0AFD5A">
      <w:pPr>
        <w:rPr>
          <w:rFonts w:ascii="仿宋" w:hAnsi="仿宋" w:cs="仿宋"/>
          <w:b/>
          <w:color w:val="000000"/>
          <w:kern w:val="0"/>
        </w:rPr>
      </w:pPr>
      <w:r>
        <w:rPr>
          <w:rFonts w:hint="eastAsia" w:ascii="仿宋" w:hAnsi="仿宋" w:cs="仿宋"/>
          <w:b/>
          <w:color w:val="000000"/>
          <w:kern w:val="0"/>
        </w:rPr>
        <w:t>2、定义</w:t>
      </w:r>
    </w:p>
    <w:p w14:paraId="5C8FF3DB">
      <w:pPr>
        <w:ind w:firstLine="456" w:firstLineChars="190"/>
        <w:rPr>
          <w:rFonts w:ascii="仿宋" w:hAnsi="仿宋" w:cs="仿宋"/>
          <w:color w:val="000000"/>
          <w:kern w:val="0"/>
        </w:rPr>
      </w:pPr>
      <w:r>
        <w:rPr>
          <w:rFonts w:hint="eastAsia" w:ascii="仿宋" w:hAnsi="仿宋" w:cs="仿宋"/>
          <w:color w:val="000000"/>
          <w:kern w:val="0"/>
        </w:rPr>
        <w:t>2.1“招标人”系指提出本次招标的“</w:t>
      </w:r>
      <w:r>
        <w:rPr>
          <w:rFonts w:hint="eastAsia" w:ascii="仿宋" w:hAnsi="仿宋" w:cs="仿宋"/>
          <w:b/>
          <w:color w:val="000000"/>
          <w:kern w:val="0"/>
        </w:rPr>
        <w:t>苍南县人民法院”，即合同中的“甲方”</w:t>
      </w:r>
      <w:r>
        <w:rPr>
          <w:rFonts w:hint="eastAsia" w:ascii="仿宋" w:hAnsi="仿宋" w:cs="仿宋"/>
          <w:color w:val="000000"/>
          <w:kern w:val="0"/>
        </w:rPr>
        <w:t>；</w:t>
      </w:r>
    </w:p>
    <w:p w14:paraId="5DAE729C">
      <w:pPr>
        <w:ind w:firstLine="456" w:firstLineChars="190"/>
        <w:rPr>
          <w:rFonts w:ascii="仿宋" w:hAnsi="仿宋" w:cs="仿宋"/>
          <w:color w:val="000000"/>
          <w:kern w:val="0"/>
        </w:rPr>
      </w:pPr>
      <w:r>
        <w:rPr>
          <w:rFonts w:hint="eastAsia" w:ascii="仿宋" w:hAnsi="仿宋" w:cs="仿宋"/>
          <w:color w:val="000000"/>
          <w:kern w:val="0"/>
        </w:rPr>
        <w:t>2.2“招标组织机构（或招标代理机构）”均系指受招标人委托组织本次招标活动的</w:t>
      </w:r>
      <w:r>
        <w:rPr>
          <w:rFonts w:hint="eastAsia" w:ascii="仿宋" w:hAnsi="仿宋" w:cs="仿宋"/>
          <w:b/>
          <w:color w:val="000000"/>
          <w:kern w:val="0"/>
        </w:rPr>
        <w:t>“杭州华旗招标代理有限公司”；</w:t>
      </w:r>
    </w:p>
    <w:p w14:paraId="0687FAD1">
      <w:pPr>
        <w:ind w:firstLine="456" w:firstLineChars="190"/>
        <w:rPr>
          <w:rFonts w:ascii="仿宋" w:hAnsi="仿宋" w:cs="仿宋"/>
          <w:color w:val="000000"/>
          <w:kern w:val="0"/>
        </w:rPr>
      </w:pPr>
      <w:r>
        <w:rPr>
          <w:rFonts w:hint="eastAsia" w:ascii="仿宋" w:hAnsi="仿宋" w:cs="仿宋"/>
          <w:color w:val="000000"/>
          <w:kern w:val="0"/>
        </w:rPr>
        <w:t>2.3“投标银行”系指在规定的时间和地点向招标人提交投标响应文件的供应商。</w:t>
      </w:r>
    </w:p>
    <w:p w14:paraId="6F44FDC0">
      <w:pPr>
        <w:ind w:firstLine="456" w:firstLineChars="190"/>
        <w:rPr>
          <w:rFonts w:ascii="仿宋" w:hAnsi="仿宋" w:cs="仿宋"/>
          <w:color w:val="000000"/>
        </w:rPr>
      </w:pPr>
      <w:r>
        <w:rPr>
          <w:rFonts w:hint="eastAsia" w:ascii="仿宋" w:hAnsi="仿宋" w:cs="仿宋"/>
          <w:color w:val="000000"/>
          <w:kern w:val="0"/>
        </w:rPr>
        <w:t>2.4“投标银行代表”</w:t>
      </w:r>
      <w:r>
        <w:rPr>
          <w:rFonts w:hint="eastAsia" w:ascii="仿宋" w:hAnsi="仿宋" w:cs="仿宋"/>
          <w:color w:val="000000"/>
        </w:rPr>
        <w:t>是指参加本项目投标活动的投标银行的法定代表人或法定代表人授权代表。</w:t>
      </w:r>
    </w:p>
    <w:p w14:paraId="51708388">
      <w:pPr>
        <w:ind w:firstLine="456" w:firstLineChars="190"/>
        <w:rPr>
          <w:rFonts w:ascii="仿宋" w:hAnsi="仿宋" w:cs="仿宋"/>
          <w:color w:val="000000"/>
          <w:kern w:val="0"/>
        </w:rPr>
      </w:pPr>
      <w:r>
        <w:rPr>
          <w:rFonts w:hint="eastAsia" w:ascii="仿宋" w:hAnsi="仿宋" w:cs="仿宋"/>
          <w:color w:val="000000"/>
          <w:kern w:val="0"/>
        </w:rPr>
        <w:t>2.5“中标（成交）供应商”系指经评审小组推荐并经招标人确认的中标成交单位，</w:t>
      </w:r>
      <w:r>
        <w:rPr>
          <w:rFonts w:hint="eastAsia" w:ascii="仿宋" w:hAnsi="仿宋" w:cs="仿宋"/>
          <w:b/>
          <w:color w:val="000000"/>
          <w:kern w:val="0"/>
        </w:rPr>
        <w:t>即合同中的“乙方”</w:t>
      </w:r>
      <w:r>
        <w:rPr>
          <w:rFonts w:hint="eastAsia" w:ascii="仿宋" w:hAnsi="仿宋" w:cs="仿宋"/>
          <w:color w:val="000000"/>
          <w:kern w:val="0"/>
        </w:rPr>
        <w:t>；</w:t>
      </w:r>
    </w:p>
    <w:p w14:paraId="726888E7">
      <w:pPr>
        <w:ind w:firstLine="456" w:firstLineChars="190"/>
        <w:rPr>
          <w:rFonts w:ascii="仿宋" w:hAnsi="仿宋" w:cs="仿宋"/>
          <w:color w:val="000000"/>
          <w:kern w:val="0"/>
        </w:rPr>
      </w:pPr>
      <w:r>
        <w:rPr>
          <w:rFonts w:hint="eastAsia" w:ascii="仿宋" w:hAnsi="仿宋" w:cs="仿宋"/>
          <w:color w:val="000000"/>
          <w:kern w:val="0"/>
        </w:rPr>
        <w:t>2.6“产品”系指投标银行按《招标文件》规定向招标人提供的存款存放服务。</w:t>
      </w:r>
    </w:p>
    <w:p w14:paraId="2B0C493A">
      <w:pPr>
        <w:ind w:firstLine="456" w:firstLineChars="190"/>
        <w:rPr>
          <w:rFonts w:ascii="仿宋" w:hAnsi="仿宋" w:cs="仿宋"/>
          <w:color w:val="000000"/>
          <w:kern w:val="0"/>
        </w:rPr>
      </w:pPr>
      <w:r>
        <w:rPr>
          <w:rFonts w:hint="eastAsia" w:ascii="仿宋" w:hAnsi="仿宋" w:cs="仿宋"/>
          <w:color w:val="000000"/>
          <w:kern w:val="0"/>
        </w:rPr>
        <w:t>2.7“书面形式”系指加盖有单位公章的信函、传真、电子扫描件等。</w:t>
      </w:r>
    </w:p>
    <w:p w14:paraId="17AC9987">
      <w:pPr>
        <w:ind w:firstLine="456" w:firstLineChars="190"/>
        <w:rPr>
          <w:rFonts w:ascii="仿宋" w:hAnsi="仿宋" w:cs="仿宋"/>
          <w:color w:val="000000"/>
          <w:kern w:val="0"/>
        </w:rPr>
      </w:pPr>
      <w:r>
        <w:rPr>
          <w:rFonts w:hint="eastAsia" w:ascii="仿宋" w:hAnsi="仿宋" w:cs="仿宋"/>
          <w:color w:val="000000"/>
          <w:kern w:val="0"/>
        </w:rPr>
        <w:t>2.8“个人有效身份证明”系指公安部门出具的“有效居民身份证”或“护照”或“驾驶证”。</w:t>
      </w:r>
    </w:p>
    <w:p w14:paraId="2EA901E5">
      <w:pPr>
        <w:rPr>
          <w:rFonts w:ascii="仿宋" w:hAnsi="仿宋" w:cs="仿宋"/>
          <w:b/>
          <w:color w:val="000000"/>
          <w:kern w:val="0"/>
        </w:rPr>
      </w:pPr>
      <w:r>
        <w:rPr>
          <w:rFonts w:hint="eastAsia" w:ascii="仿宋" w:hAnsi="仿宋" w:cs="仿宋"/>
          <w:b/>
          <w:color w:val="000000"/>
          <w:kern w:val="0"/>
        </w:rPr>
        <w:t>3、招标方式和招标组织类型</w:t>
      </w:r>
    </w:p>
    <w:p w14:paraId="4CF3DD84">
      <w:pPr>
        <w:ind w:firstLine="460" w:firstLineChars="192"/>
        <w:rPr>
          <w:rFonts w:ascii="仿宋" w:hAnsi="仿宋" w:cs="仿宋"/>
          <w:color w:val="000000"/>
          <w:kern w:val="0"/>
        </w:rPr>
      </w:pPr>
      <w:r>
        <w:rPr>
          <w:rFonts w:hint="eastAsia" w:ascii="仿宋" w:hAnsi="仿宋" w:cs="仿宋"/>
          <w:color w:val="000000"/>
          <w:kern w:val="0"/>
        </w:rPr>
        <w:t>3.1招标组织类型：</w:t>
      </w:r>
      <w:r>
        <w:rPr>
          <w:rFonts w:hint="eastAsia" w:ascii="仿宋" w:hAnsi="仿宋" w:cs="仿宋"/>
          <w:b/>
          <w:color w:val="000000"/>
          <w:kern w:val="0"/>
        </w:rPr>
        <w:t>委托代理。</w:t>
      </w:r>
    </w:p>
    <w:p w14:paraId="4FC9059D">
      <w:pPr>
        <w:rPr>
          <w:rFonts w:ascii="仿宋" w:hAnsi="仿宋" w:cs="仿宋"/>
          <w:b/>
          <w:color w:val="000000"/>
          <w:kern w:val="0"/>
        </w:rPr>
      </w:pPr>
      <w:r>
        <w:rPr>
          <w:rFonts w:hint="eastAsia" w:ascii="仿宋" w:hAnsi="仿宋" w:cs="仿宋"/>
          <w:b/>
          <w:color w:val="000000"/>
          <w:kern w:val="0"/>
        </w:rPr>
        <w:t>4、投标委托</w:t>
      </w:r>
    </w:p>
    <w:p w14:paraId="30266EEC">
      <w:pPr>
        <w:ind w:firstLine="463" w:firstLineChars="192"/>
        <w:rPr>
          <w:rFonts w:ascii="仿宋" w:hAnsi="仿宋" w:cs="仿宋"/>
          <w:b/>
          <w:color w:val="000000"/>
          <w:kern w:val="0"/>
        </w:rPr>
      </w:pPr>
      <w:r>
        <w:rPr>
          <w:rFonts w:hint="eastAsia" w:ascii="仿宋" w:hAnsi="仿宋" w:cs="仿宋"/>
          <w:b/>
          <w:color w:val="000000"/>
          <w:kern w:val="0"/>
        </w:rPr>
        <w:t>投标银行的法定代表人可以授权其单位的其他在职员工全权处理本次投标事项，但其授权代表必须持有法定代表人出具的授权委托书，法定代表人</w:t>
      </w:r>
      <w:r>
        <w:rPr>
          <w:rFonts w:hint="eastAsia" w:ascii="仿宋" w:hAnsi="仿宋" w:cs="仿宋"/>
          <w:b/>
          <w:color w:val="000000"/>
        </w:rPr>
        <w:t>授权委托书必须经法定代表人签字（或盖章），否则视为无效授权（等同未提供）。</w:t>
      </w:r>
    </w:p>
    <w:p w14:paraId="266F9A60">
      <w:pPr>
        <w:rPr>
          <w:rFonts w:ascii="仿宋" w:hAnsi="仿宋" w:cs="仿宋"/>
          <w:b/>
          <w:color w:val="000000"/>
          <w:kern w:val="0"/>
        </w:rPr>
      </w:pPr>
      <w:r>
        <w:rPr>
          <w:rFonts w:hint="eastAsia" w:ascii="仿宋" w:hAnsi="仿宋" w:cs="仿宋"/>
          <w:b/>
          <w:color w:val="000000"/>
          <w:kern w:val="0"/>
        </w:rPr>
        <w:t>5、投标费用</w:t>
      </w:r>
    </w:p>
    <w:p w14:paraId="5E621870">
      <w:pPr>
        <w:ind w:firstLine="460" w:firstLineChars="192"/>
        <w:rPr>
          <w:rFonts w:ascii="仿宋" w:hAnsi="仿宋" w:cs="仿宋"/>
          <w:color w:val="000000"/>
          <w:kern w:val="0"/>
        </w:rPr>
      </w:pPr>
      <w:r>
        <w:rPr>
          <w:rFonts w:hint="eastAsia" w:ascii="仿宋" w:hAnsi="仿宋" w:cs="仿宋"/>
          <w:color w:val="000000"/>
          <w:kern w:val="0"/>
        </w:rPr>
        <w:t>不论投标结果如何，投标银行均应自行承担所有与投标有关的全部费用，招标组织机构概不负责。</w:t>
      </w:r>
    </w:p>
    <w:p w14:paraId="3F1B8A28">
      <w:pPr>
        <w:ind w:firstLine="426"/>
        <w:rPr>
          <w:rFonts w:ascii="仿宋" w:hAnsi="仿宋" w:cs="仿宋"/>
          <w:b/>
          <w:color w:val="000000"/>
          <w:kern w:val="0"/>
        </w:rPr>
      </w:pPr>
      <w:r>
        <w:rPr>
          <w:rFonts w:hint="eastAsia" w:ascii="仿宋" w:hAnsi="仿宋" w:cs="仿宋"/>
          <w:b/>
          <w:color w:val="000000"/>
          <w:kern w:val="0"/>
        </w:rPr>
        <w:t>6、联合体投标：不接受。</w:t>
      </w:r>
    </w:p>
    <w:p w14:paraId="47ECA1E0">
      <w:pPr>
        <w:ind w:firstLine="446"/>
        <w:rPr>
          <w:rFonts w:ascii="仿宋" w:hAnsi="仿宋" w:cs="仿宋"/>
          <w:color w:val="000000"/>
          <w:kern w:val="0"/>
        </w:rPr>
      </w:pPr>
      <w:r>
        <w:rPr>
          <w:rFonts w:hint="eastAsia" w:ascii="仿宋" w:hAnsi="仿宋" w:cs="仿宋"/>
          <w:b/>
          <w:color w:val="000000"/>
          <w:kern w:val="0"/>
        </w:rPr>
        <w:t>7、关联供应商投标限制：隶属于同一法定代表人的银行机构不得同时参加本次项目同一合同项下的投标。</w:t>
      </w:r>
    </w:p>
    <w:p w14:paraId="7FEF5E5B">
      <w:pPr>
        <w:rPr>
          <w:rFonts w:ascii="仿宋" w:hAnsi="仿宋" w:cs="仿宋"/>
          <w:b/>
          <w:color w:val="000000"/>
          <w:kern w:val="0"/>
        </w:rPr>
      </w:pPr>
      <w:r>
        <w:rPr>
          <w:rFonts w:hint="eastAsia" w:ascii="仿宋" w:hAnsi="仿宋" w:cs="仿宋"/>
          <w:b/>
          <w:color w:val="000000"/>
          <w:kern w:val="0"/>
        </w:rPr>
        <w:t>8、转包、分包：不允许。</w:t>
      </w:r>
    </w:p>
    <w:p w14:paraId="4CFCE086">
      <w:pPr>
        <w:rPr>
          <w:rFonts w:ascii="仿宋" w:hAnsi="仿宋" w:cs="仿宋"/>
          <w:b/>
          <w:color w:val="000000"/>
          <w:kern w:val="0"/>
        </w:rPr>
      </w:pPr>
      <w:r>
        <w:rPr>
          <w:rFonts w:hint="eastAsia" w:ascii="仿宋" w:hAnsi="仿宋" w:cs="仿宋"/>
          <w:b/>
          <w:color w:val="000000"/>
          <w:kern w:val="0"/>
        </w:rPr>
        <w:t>9、特别说明：</w:t>
      </w:r>
    </w:p>
    <w:p w14:paraId="6094F4E0">
      <w:pPr>
        <w:ind w:left="-36" w:leftChars="-15" w:firstLine="496" w:firstLineChars="207"/>
        <w:rPr>
          <w:rFonts w:ascii="仿宋" w:hAnsi="仿宋" w:cs="仿宋"/>
          <w:color w:val="000000"/>
          <w:kern w:val="0"/>
        </w:rPr>
      </w:pPr>
      <w:r>
        <w:rPr>
          <w:rFonts w:hint="eastAsia" w:ascii="仿宋" w:hAnsi="仿宋" w:cs="仿宋"/>
          <w:color w:val="000000"/>
          <w:kern w:val="0"/>
        </w:rPr>
        <w:t>9.1除采用最低评标价法的项目外，直接或者间接受招标人控制的当事人，或者与招标人受共同上级控制的当事人，为本次招标进行设计或编制规范和其他文件的当事人，或者直接或间接地与为本次招标进行设计或编制规范、其他文件的个人、企业、招标代理机构或其附属机构有关联关系的当事人，不得参加本项目投标。</w:t>
      </w:r>
    </w:p>
    <w:p w14:paraId="4CA8E4A6">
      <w:pPr>
        <w:ind w:firstLine="460" w:firstLineChars="192"/>
        <w:rPr>
          <w:rFonts w:ascii="仿宋" w:hAnsi="仿宋" w:cs="仿宋"/>
          <w:color w:val="000000"/>
          <w:kern w:val="0"/>
        </w:rPr>
      </w:pPr>
      <w:r>
        <w:rPr>
          <w:rFonts w:hint="eastAsia" w:ascii="仿宋" w:hAnsi="仿宋" w:cs="仿宋"/>
          <w:color w:val="000000"/>
          <w:kern w:val="0"/>
        </w:rPr>
        <w:t>9.2投标银行投标所使用的资格、信誉、荣誉、投标银行业绩与企业认证必须为本法定代表人所拥有。</w:t>
      </w:r>
    </w:p>
    <w:p w14:paraId="7B711472">
      <w:pPr>
        <w:ind w:firstLine="460" w:firstLineChars="192"/>
        <w:rPr>
          <w:rFonts w:ascii="仿宋" w:hAnsi="仿宋" w:cs="仿宋"/>
          <w:color w:val="000000"/>
          <w:kern w:val="0"/>
        </w:rPr>
      </w:pPr>
      <w:r>
        <w:rPr>
          <w:rFonts w:hint="eastAsia" w:ascii="仿宋" w:hAnsi="仿宋" w:cs="仿宋"/>
          <w:color w:val="000000"/>
          <w:kern w:val="0"/>
        </w:rPr>
        <w:t>9.3投标银行在投标活动中提供任何虚假材料或从事其他违法活动的，其投标无效，并报监管部门查处；中标后发现的，须依照相关规定双倍赔偿给招标人。且民事赔偿并不免除违法投标银行的行政与刑事责任。</w:t>
      </w:r>
    </w:p>
    <w:p w14:paraId="558391CB">
      <w:pPr>
        <w:ind w:firstLine="460" w:firstLineChars="192"/>
        <w:rPr>
          <w:rFonts w:ascii="仿宋" w:hAnsi="仿宋" w:cs="仿宋"/>
          <w:color w:val="000000"/>
          <w:kern w:val="0"/>
        </w:rPr>
      </w:pPr>
      <w:r>
        <w:rPr>
          <w:rFonts w:hint="eastAsia" w:ascii="仿宋" w:hAnsi="仿宋" w:cs="仿宋"/>
          <w:color w:val="000000"/>
          <w:kern w:val="0"/>
        </w:rPr>
        <w:t>9.4投标银行应仔细阅读《招标文件》的所有内容，按照《招标文件》的要求提交《投标文件》。《投标文件》应对《招标文件》的要求作出实质性响应，并对所提供的全部资料的真实性承担法律责任。</w:t>
      </w:r>
    </w:p>
    <w:p w14:paraId="48BB5404">
      <w:pPr>
        <w:rPr>
          <w:rFonts w:ascii="仿宋" w:hAnsi="仿宋" w:cs="仿宋"/>
          <w:b/>
          <w:color w:val="000000"/>
          <w:kern w:val="0"/>
        </w:rPr>
      </w:pPr>
      <w:r>
        <w:rPr>
          <w:rFonts w:hint="eastAsia" w:ascii="仿宋" w:hAnsi="仿宋" w:cs="仿宋"/>
          <w:b/>
          <w:color w:val="000000"/>
          <w:kern w:val="0"/>
        </w:rPr>
        <w:t>10、质疑和投诉</w:t>
      </w:r>
    </w:p>
    <w:p w14:paraId="25B6EA0A">
      <w:pPr>
        <w:ind w:firstLine="460" w:firstLineChars="192"/>
        <w:rPr>
          <w:rFonts w:ascii="仿宋" w:hAnsi="仿宋" w:cs="仿宋"/>
          <w:color w:val="000000"/>
          <w:kern w:val="0"/>
        </w:rPr>
      </w:pPr>
      <w:r>
        <w:rPr>
          <w:rFonts w:hint="eastAsia" w:ascii="仿宋" w:hAnsi="仿宋" w:cs="仿宋"/>
          <w:color w:val="000000"/>
          <w:kern w:val="0"/>
        </w:rPr>
        <w:t>10.1</w:t>
      </w:r>
      <w:r>
        <w:rPr>
          <w:rFonts w:hint="eastAsia" w:ascii="仿宋" w:hAnsi="仿宋" w:cs="仿宋"/>
          <w:color w:val="000000"/>
        </w:rPr>
        <w:t>如发现招标文件存在含糊不清、相互矛盾、多种含义以及歧视性不公正条款或违法违规等内容时，请在规定的提疑截止时间前提出，逾期不接收。投标银行对招标组织机构的质疑答复不满意或者招标组织机构未在规定时间内作出答复的，可以在答复期满后十五个工作日内向监管部门投诉。</w:t>
      </w:r>
    </w:p>
    <w:p w14:paraId="3B7B89C3">
      <w:pPr>
        <w:pStyle w:val="90"/>
        <w:spacing w:line="360" w:lineRule="auto"/>
        <w:ind w:firstLine="482"/>
        <w:rPr>
          <w:rFonts w:ascii="仿宋" w:hAnsi="仿宋" w:eastAsia="仿宋" w:cs="仿宋"/>
          <w:b/>
          <w:color w:val="000000"/>
        </w:rPr>
      </w:pPr>
      <w:r>
        <w:rPr>
          <w:rFonts w:hint="eastAsia" w:ascii="仿宋" w:hAnsi="仿宋" w:eastAsia="仿宋" w:cs="仿宋"/>
          <w:b/>
          <w:color w:val="000000"/>
        </w:rPr>
        <w:t>10.1.1质疑书须包括以下内容：</w:t>
      </w:r>
    </w:p>
    <w:p w14:paraId="696128AC">
      <w:pPr>
        <w:pStyle w:val="90"/>
        <w:spacing w:line="360" w:lineRule="auto"/>
        <w:ind w:firstLine="480"/>
        <w:rPr>
          <w:rFonts w:ascii="仿宋" w:hAnsi="仿宋" w:eastAsia="仿宋" w:cs="仿宋"/>
          <w:color w:val="000000"/>
        </w:rPr>
      </w:pPr>
      <w:r>
        <w:rPr>
          <w:rFonts w:hint="eastAsia" w:ascii="仿宋" w:hAnsi="仿宋" w:eastAsia="仿宋" w:cs="仿宋"/>
          <w:color w:val="000000"/>
        </w:rPr>
        <w:t>（一）质疑人的名称、地址、邮政编码、联系人、联系电话、法定代表人签字或盖章；</w:t>
      </w:r>
    </w:p>
    <w:p w14:paraId="069FF3FE">
      <w:pPr>
        <w:pStyle w:val="90"/>
        <w:spacing w:line="360" w:lineRule="auto"/>
        <w:ind w:firstLine="480"/>
        <w:rPr>
          <w:rFonts w:ascii="仿宋" w:hAnsi="仿宋" w:eastAsia="仿宋" w:cs="仿宋"/>
          <w:color w:val="000000"/>
        </w:rPr>
      </w:pPr>
      <w:r>
        <w:rPr>
          <w:rFonts w:hint="eastAsia" w:ascii="仿宋" w:hAnsi="仿宋" w:eastAsia="仿宋" w:cs="仿宋"/>
          <w:color w:val="000000"/>
        </w:rPr>
        <w:t>（二）被质疑招标项目名称、编号及招标内容；</w:t>
      </w:r>
    </w:p>
    <w:p w14:paraId="07AC64B0">
      <w:pPr>
        <w:pStyle w:val="90"/>
        <w:spacing w:line="360" w:lineRule="auto"/>
        <w:ind w:firstLine="480"/>
        <w:rPr>
          <w:rFonts w:ascii="仿宋" w:hAnsi="仿宋" w:eastAsia="仿宋" w:cs="仿宋"/>
          <w:color w:val="000000"/>
        </w:rPr>
      </w:pPr>
      <w:r>
        <w:rPr>
          <w:rFonts w:hint="eastAsia" w:ascii="仿宋" w:hAnsi="仿宋" w:eastAsia="仿宋" w:cs="仿宋"/>
          <w:color w:val="000000"/>
        </w:rPr>
        <w:t>（三）具体的质疑事项及事实依据；</w:t>
      </w:r>
    </w:p>
    <w:p w14:paraId="02543065">
      <w:pPr>
        <w:pStyle w:val="90"/>
        <w:spacing w:line="360" w:lineRule="auto"/>
        <w:ind w:firstLine="480"/>
        <w:rPr>
          <w:rFonts w:ascii="仿宋" w:hAnsi="仿宋" w:eastAsia="仿宋" w:cs="仿宋"/>
          <w:color w:val="000000"/>
        </w:rPr>
      </w:pPr>
      <w:r>
        <w:rPr>
          <w:rFonts w:hint="eastAsia" w:ascii="仿宋" w:hAnsi="仿宋" w:eastAsia="仿宋" w:cs="仿宋"/>
          <w:color w:val="000000"/>
        </w:rPr>
        <w:t>（四）认为自己合法权益受到损害或可能受到损害的相关证据材料；</w:t>
      </w:r>
    </w:p>
    <w:p w14:paraId="562B18F5">
      <w:pPr>
        <w:ind w:firstLine="460" w:firstLineChars="192"/>
        <w:rPr>
          <w:rFonts w:ascii="仿宋" w:hAnsi="仿宋" w:cs="仿宋"/>
          <w:color w:val="000000"/>
          <w:kern w:val="0"/>
        </w:rPr>
      </w:pPr>
      <w:r>
        <w:rPr>
          <w:rFonts w:hint="eastAsia" w:ascii="仿宋" w:hAnsi="仿宋" w:cs="仿宋"/>
          <w:color w:val="000000"/>
        </w:rPr>
        <w:t>（五）提出质疑的日期。</w:t>
      </w:r>
    </w:p>
    <w:p w14:paraId="445954FD">
      <w:pPr>
        <w:ind w:firstLine="460" w:firstLineChars="192"/>
        <w:rPr>
          <w:rFonts w:ascii="仿宋" w:hAnsi="仿宋" w:cs="仿宋"/>
          <w:color w:val="000000"/>
          <w:kern w:val="0"/>
        </w:rPr>
      </w:pPr>
      <w:r>
        <w:rPr>
          <w:rFonts w:hint="eastAsia" w:ascii="仿宋" w:hAnsi="仿宋" w:cs="仿宋"/>
          <w:color w:val="000000"/>
          <w:kern w:val="0"/>
        </w:rPr>
        <w:t>10.2投标银行认可招标组织机构在质疑答复程序中启用的调查和重新评审等程序，在该程序操作过程未明显违反法律禁止性规定时，不得再提出异议。</w:t>
      </w:r>
    </w:p>
    <w:p w14:paraId="7BF4C220">
      <w:pPr>
        <w:ind w:firstLine="460" w:firstLineChars="192"/>
        <w:rPr>
          <w:rFonts w:ascii="仿宋" w:hAnsi="仿宋" w:cs="仿宋"/>
          <w:color w:val="000000"/>
          <w:kern w:val="0"/>
        </w:rPr>
      </w:pPr>
      <w:r>
        <w:rPr>
          <w:rFonts w:hint="eastAsia" w:ascii="仿宋" w:hAnsi="仿宋" w:cs="仿宋"/>
          <w:color w:val="000000"/>
          <w:kern w:val="0"/>
        </w:rPr>
        <w:t>10.3质疑、投诉应当采用书面形式，经法定代表人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即通过合法手段获得的能够证明供应商的诉求成立的必要材料）。</w:t>
      </w:r>
    </w:p>
    <w:p w14:paraId="42C869DF">
      <w:pPr>
        <w:pStyle w:val="6"/>
      </w:pPr>
      <w:bookmarkStart w:id="42" w:name="_Toc424164155"/>
      <w:bookmarkStart w:id="43" w:name="_Toc28380"/>
      <w:bookmarkStart w:id="44" w:name="_Toc440162787"/>
      <w:bookmarkStart w:id="45" w:name="_Toc18923"/>
      <w:bookmarkStart w:id="46" w:name="_Toc12657"/>
      <w:bookmarkStart w:id="47" w:name="_Toc452032118"/>
      <w:bookmarkStart w:id="48" w:name="_Toc446950604"/>
      <w:bookmarkStart w:id="49" w:name="_Toc6997"/>
      <w:bookmarkStart w:id="50" w:name="_Toc29347"/>
      <w:r>
        <w:rPr>
          <w:rFonts w:hint="eastAsia"/>
        </w:rPr>
        <w:t>二、《招标文件》</w:t>
      </w:r>
      <w:bookmarkEnd w:id="42"/>
      <w:r>
        <w:rPr>
          <w:rFonts w:hint="eastAsia"/>
        </w:rPr>
        <w:t>组成与说明</w:t>
      </w:r>
      <w:bookmarkEnd w:id="43"/>
      <w:bookmarkEnd w:id="44"/>
      <w:bookmarkEnd w:id="45"/>
      <w:bookmarkEnd w:id="46"/>
      <w:bookmarkEnd w:id="47"/>
      <w:bookmarkEnd w:id="48"/>
      <w:bookmarkEnd w:id="49"/>
      <w:bookmarkEnd w:id="50"/>
    </w:p>
    <w:p w14:paraId="664FFA92">
      <w:pPr>
        <w:rPr>
          <w:rFonts w:ascii="仿宋" w:hAnsi="仿宋" w:cs="仿宋"/>
          <w:b/>
          <w:color w:val="000000"/>
          <w:kern w:val="0"/>
        </w:rPr>
      </w:pPr>
      <w:r>
        <w:rPr>
          <w:rFonts w:hint="eastAsia" w:ascii="仿宋" w:hAnsi="仿宋" w:cs="仿宋"/>
          <w:b/>
          <w:color w:val="000000"/>
          <w:kern w:val="0"/>
        </w:rPr>
        <w:t>11、《招标文件》的组成</w:t>
      </w:r>
    </w:p>
    <w:p w14:paraId="26520BFA">
      <w:pPr>
        <w:ind w:firstLine="463" w:firstLineChars="193"/>
        <w:rPr>
          <w:rFonts w:ascii="仿宋" w:hAnsi="仿宋" w:cs="仿宋"/>
          <w:color w:val="000000"/>
          <w:kern w:val="0"/>
        </w:rPr>
      </w:pPr>
      <w:r>
        <w:rPr>
          <w:rFonts w:hint="eastAsia" w:ascii="仿宋" w:hAnsi="仿宋" w:cs="仿宋"/>
          <w:color w:val="000000"/>
          <w:kern w:val="0"/>
        </w:rPr>
        <w:t>第一章 招标公告</w:t>
      </w:r>
    </w:p>
    <w:p w14:paraId="0891272D">
      <w:pPr>
        <w:ind w:firstLine="463" w:firstLineChars="193"/>
        <w:rPr>
          <w:rFonts w:ascii="仿宋" w:hAnsi="仿宋" w:cs="仿宋"/>
          <w:color w:val="000000"/>
          <w:kern w:val="0"/>
        </w:rPr>
      </w:pPr>
      <w:r>
        <w:rPr>
          <w:rFonts w:hint="eastAsia" w:ascii="仿宋" w:hAnsi="仿宋" w:cs="仿宋"/>
          <w:color w:val="000000"/>
          <w:kern w:val="0"/>
        </w:rPr>
        <w:t>第二章 招标要求</w:t>
      </w:r>
    </w:p>
    <w:p w14:paraId="7DF6B355">
      <w:pPr>
        <w:ind w:firstLine="463" w:firstLineChars="193"/>
        <w:rPr>
          <w:rFonts w:ascii="仿宋" w:hAnsi="仿宋" w:cs="仿宋"/>
          <w:color w:val="000000"/>
          <w:kern w:val="0"/>
        </w:rPr>
      </w:pPr>
      <w:r>
        <w:rPr>
          <w:rFonts w:hint="eastAsia" w:ascii="仿宋" w:hAnsi="仿宋" w:cs="仿宋"/>
          <w:color w:val="000000"/>
          <w:kern w:val="0"/>
        </w:rPr>
        <w:t>第三章 投标须知</w:t>
      </w:r>
    </w:p>
    <w:p w14:paraId="65A09518">
      <w:pPr>
        <w:ind w:firstLine="463" w:firstLineChars="193"/>
        <w:rPr>
          <w:rFonts w:ascii="仿宋" w:hAnsi="仿宋" w:cs="仿宋"/>
          <w:color w:val="000000"/>
          <w:kern w:val="0"/>
        </w:rPr>
      </w:pPr>
      <w:r>
        <w:rPr>
          <w:rFonts w:hint="eastAsia" w:ascii="仿宋" w:hAnsi="仿宋" w:cs="仿宋"/>
          <w:color w:val="000000"/>
          <w:kern w:val="0"/>
        </w:rPr>
        <w:t>第四章 评审办法及标准</w:t>
      </w:r>
    </w:p>
    <w:p w14:paraId="7B2C2E96">
      <w:pPr>
        <w:ind w:firstLine="463" w:firstLineChars="193"/>
        <w:rPr>
          <w:rFonts w:ascii="仿宋" w:hAnsi="仿宋" w:cs="仿宋"/>
          <w:color w:val="000000"/>
          <w:kern w:val="0"/>
        </w:rPr>
      </w:pPr>
      <w:r>
        <w:rPr>
          <w:rFonts w:hint="eastAsia" w:ascii="仿宋" w:hAnsi="仿宋" w:cs="仿宋"/>
          <w:color w:val="000000"/>
          <w:kern w:val="0"/>
        </w:rPr>
        <w:t>第五章 合同主要条款</w:t>
      </w:r>
    </w:p>
    <w:p w14:paraId="160B1069">
      <w:pPr>
        <w:ind w:firstLine="463" w:firstLineChars="193"/>
        <w:rPr>
          <w:rFonts w:ascii="仿宋" w:hAnsi="仿宋" w:cs="仿宋"/>
          <w:color w:val="000000"/>
          <w:kern w:val="0"/>
        </w:rPr>
      </w:pPr>
      <w:r>
        <w:rPr>
          <w:rFonts w:hint="eastAsia" w:ascii="仿宋" w:hAnsi="仿宋" w:cs="仿宋"/>
          <w:color w:val="000000"/>
          <w:kern w:val="0"/>
        </w:rPr>
        <w:t>第六章 投标文件格式</w:t>
      </w:r>
    </w:p>
    <w:p w14:paraId="0BD940FB">
      <w:pPr>
        <w:rPr>
          <w:rFonts w:ascii="仿宋" w:hAnsi="仿宋" w:cs="仿宋"/>
          <w:b/>
          <w:color w:val="000000"/>
          <w:kern w:val="0"/>
        </w:rPr>
      </w:pPr>
      <w:r>
        <w:rPr>
          <w:rFonts w:hint="eastAsia" w:ascii="仿宋" w:hAnsi="仿宋" w:cs="仿宋"/>
          <w:b/>
          <w:color w:val="000000"/>
          <w:kern w:val="0"/>
        </w:rPr>
        <w:t>12、投标银行的风险</w:t>
      </w:r>
    </w:p>
    <w:p w14:paraId="35010052">
      <w:pPr>
        <w:ind w:firstLine="480" w:firstLineChars="200"/>
        <w:rPr>
          <w:rFonts w:ascii="仿宋" w:hAnsi="仿宋" w:cs="仿宋"/>
          <w:color w:val="000000"/>
          <w:kern w:val="0"/>
        </w:rPr>
      </w:pPr>
      <w:r>
        <w:rPr>
          <w:rFonts w:hint="eastAsia" w:ascii="仿宋" w:hAnsi="仿宋" w:cs="仿宋"/>
          <w:color w:val="000000"/>
          <w:kern w:val="0"/>
        </w:rPr>
        <w:t>投标银行没有按照《招标文件》要求提供全部资料，或者没有仔细阅读《招标文件》，或者投标银行没有对《招标文件》在各方面的要求作出实质性响应是投标银行的风险，由此造成的一切后果由投标银行自行承担。</w:t>
      </w:r>
    </w:p>
    <w:p w14:paraId="7CC6C81A">
      <w:pPr>
        <w:rPr>
          <w:rFonts w:ascii="仿宋" w:hAnsi="仿宋" w:cs="仿宋"/>
          <w:b/>
          <w:color w:val="000000"/>
          <w:kern w:val="0"/>
        </w:rPr>
      </w:pPr>
      <w:r>
        <w:rPr>
          <w:rFonts w:hint="eastAsia" w:ascii="仿宋" w:hAnsi="仿宋" w:cs="仿宋"/>
          <w:b/>
          <w:color w:val="000000"/>
          <w:kern w:val="0"/>
        </w:rPr>
        <w:t>13、《招标文件》的澄清与修改</w:t>
      </w:r>
    </w:p>
    <w:p w14:paraId="495E7798">
      <w:pPr>
        <w:ind w:left="1" w:firstLine="463" w:firstLineChars="192"/>
        <w:rPr>
          <w:rFonts w:ascii="仿宋" w:hAnsi="仿宋" w:cs="仿宋"/>
          <w:b/>
          <w:color w:val="000000"/>
          <w:kern w:val="0"/>
        </w:rPr>
      </w:pPr>
      <w:r>
        <w:rPr>
          <w:rFonts w:hint="eastAsia" w:ascii="仿宋" w:hAnsi="仿宋" w:cs="仿宋"/>
          <w:b/>
          <w:color w:val="000000"/>
          <w:kern w:val="0"/>
        </w:rPr>
        <w:t>13.1投标银行应认真阅读《招标文件》，发现其中有误或前后矛盾或有要求不合理要求的，投标银行应按投标银行须知前附表中规定的“招标文件提疑截止时间”前以书面形式向招标组织机构发出“询问”，否则造成的一切后果由投标银行自行承担，招标组织机构概不负责。</w:t>
      </w:r>
    </w:p>
    <w:p w14:paraId="1BC8B004">
      <w:pPr>
        <w:ind w:left="1" w:firstLine="460" w:firstLineChars="192"/>
        <w:rPr>
          <w:rFonts w:ascii="仿宋" w:hAnsi="仿宋" w:cs="仿宋"/>
          <w:color w:val="000000"/>
          <w:kern w:val="0"/>
        </w:rPr>
      </w:pPr>
      <w:r>
        <w:rPr>
          <w:rFonts w:hint="eastAsia" w:ascii="仿宋" w:hAnsi="仿宋" w:cs="仿宋"/>
          <w:color w:val="000000"/>
          <w:kern w:val="0"/>
        </w:rPr>
        <w:t>13.2招标组织机构将以书面形式答复投标银行询问的问题，并将不包含问题来源的答复书面通知所有登记购买《招标文件》的供应商；除书面答复以外的其他澄清方式及澄清内容均无效。</w:t>
      </w:r>
    </w:p>
    <w:p w14:paraId="02C55929">
      <w:pPr>
        <w:ind w:left="1" w:firstLine="460" w:firstLineChars="192"/>
        <w:rPr>
          <w:rFonts w:ascii="仿宋" w:hAnsi="仿宋" w:cs="仿宋"/>
          <w:color w:val="000000"/>
          <w:kern w:val="0"/>
        </w:rPr>
      </w:pPr>
      <w:r>
        <w:rPr>
          <w:rFonts w:hint="eastAsia" w:ascii="仿宋" w:hAnsi="仿宋" w:cs="仿宋"/>
          <w:color w:val="000000"/>
          <w:kern w:val="0"/>
        </w:rPr>
        <w:t>13.3招标组织机构对已发出的《招标文件》进行必要澄清、答复、修改或补充的，将在《招标文件》要求提交《投标文件》截止时间三日前，在指定媒体上发布更正公告，并以书面形式通知所有登记购买《招标文件》的供应商。</w:t>
      </w:r>
    </w:p>
    <w:p w14:paraId="2F9EE6F8">
      <w:pPr>
        <w:rPr>
          <w:rFonts w:ascii="仿宋" w:hAnsi="仿宋" w:cs="仿宋"/>
          <w:color w:val="000000"/>
          <w:kern w:val="0"/>
        </w:rPr>
      </w:pPr>
      <w:r>
        <w:rPr>
          <w:rFonts w:hint="eastAsia" w:ascii="仿宋" w:hAnsi="仿宋" w:cs="仿宋"/>
          <w:color w:val="000000"/>
          <w:kern w:val="0"/>
        </w:rPr>
        <w:t>13.4补充（或更正）文件发出后，投标银行如认为补充（或更正）事项影响到投标文件的编制，需要延长投标截止时间和开标时间的，必须在收到补充（或更正）文件后24小时内将意见及理由以书面形式向招标代理机构提出。</w:t>
      </w:r>
    </w:p>
    <w:p w14:paraId="0E634813">
      <w:pPr>
        <w:rPr>
          <w:rFonts w:ascii="仿宋" w:hAnsi="仿宋" w:cs="仿宋"/>
          <w:color w:val="000000"/>
          <w:kern w:val="0"/>
        </w:rPr>
      </w:pPr>
      <w:r>
        <w:rPr>
          <w:rFonts w:hint="eastAsia" w:ascii="仿宋" w:hAnsi="仿宋" w:cs="仿宋"/>
          <w:color w:val="000000"/>
          <w:kern w:val="0"/>
        </w:rPr>
        <w:t>13.5《招标文件》澄清、答复、修改、补充的内容为《招标文件》的组成部分。当《招标文件》与《招标文件》的答复、澄清、修改、补充通知就同一内容的表述不一致时，以最后发出的书面文件为准。</w:t>
      </w:r>
    </w:p>
    <w:p w14:paraId="40649137">
      <w:pPr>
        <w:rPr>
          <w:rFonts w:ascii="仿宋" w:hAnsi="仿宋" w:cs="仿宋"/>
          <w:color w:val="000000"/>
          <w:kern w:val="0"/>
        </w:rPr>
      </w:pPr>
      <w:r>
        <w:rPr>
          <w:rFonts w:hint="eastAsia" w:ascii="仿宋" w:hAnsi="仿宋" w:cs="仿宋"/>
          <w:color w:val="000000"/>
          <w:kern w:val="0"/>
        </w:rPr>
        <w:t>13.6《招标文件》的澄清、答复、修改或补充均通过招标组织机构以法定形式发布。</w:t>
      </w:r>
    </w:p>
    <w:p w14:paraId="63085C0F">
      <w:pPr>
        <w:pStyle w:val="6"/>
      </w:pPr>
      <w:bookmarkStart w:id="51" w:name="_Toc13455"/>
      <w:bookmarkStart w:id="52" w:name="_Toc452032119"/>
      <w:bookmarkStart w:id="53" w:name="_Toc446950605"/>
      <w:bookmarkStart w:id="54" w:name="_Toc440162788"/>
      <w:bookmarkStart w:id="55" w:name="_Toc28150"/>
      <w:bookmarkStart w:id="56" w:name="_Toc6703"/>
      <w:bookmarkStart w:id="57" w:name="_Toc371"/>
      <w:bookmarkStart w:id="58" w:name="_Toc424164156"/>
      <w:bookmarkStart w:id="59" w:name="_Toc21526"/>
      <w:r>
        <w:rPr>
          <w:rFonts w:hint="eastAsia"/>
        </w:rPr>
        <w:t>三、《投标文件》的编制</w:t>
      </w:r>
      <w:bookmarkEnd w:id="51"/>
      <w:bookmarkEnd w:id="52"/>
      <w:bookmarkEnd w:id="53"/>
      <w:bookmarkEnd w:id="54"/>
      <w:bookmarkEnd w:id="55"/>
      <w:bookmarkEnd w:id="56"/>
      <w:bookmarkEnd w:id="57"/>
      <w:bookmarkEnd w:id="58"/>
      <w:bookmarkEnd w:id="59"/>
    </w:p>
    <w:p w14:paraId="0F51FCB5">
      <w:pPr>
        <w:rPr>
          <w:rFonts w:ascii="仿宋" w:hAnsi="仿宋" w:cs="仿宋"/>
          <w:b/>
          <w:color w:val="000000"/>
          <w:kern w:val="0"/>
        </w:rPr>
      </w:pPr>
      <w:r>
        <w:rPr>
          <w:rFonts w:hint="eastAsia" w:ascii="仿宋" w:hAnsi="仿宋" w:cs="仿宋"/>
          <w:b/>
          <w:color w:val="000000"/>
          <w:kern w:val="0"/>
        </w:rPr>
        <w:t>14、《投标文件》的组成</w:t>
      </w:r>
    </w:p>
    <w:p w14:paraId="6EDCA335">
      <w:pPr>
        <w:ind w:firstLine="463" w:firstLineChars="192"/>
        <w:rPr>
          <w:rFonts w:ascii="仿宋" w:hAnsi="仿宋" w:cs="仿宋"/>
          <w:color w:val="000000"/>
          <w:kern w:val="0"/>
        </w:rPr>
      </w:pPr>
      <w:r>
        <w:rPr>
          <w:rFonts w:hint="eastAsia" w:ascii="仿宋" w:hAnsi="仿宋" w:cs="仿宋"/>
          <w:b/>
          <w:color w:val="000000"/>
          <w:kern w:val="0"/>
        </w:rPr>
        <w:t>投标文件由以下内容组成（投标银行应按以下清单提供相关资料，否则一切风险和责任由投标银行自行承担）：</w:t>
      </w:r>
    </w:p>
    <w:p w14:paraId="43CBE8F1">
      <w:pPr>
        <w:ind w:firstLine="463" w:firstLineChars="192"/>
        <w:rPr>
          <w:rFonts w:ascii="仿宋" w:hAnsi="仿宋" w:cs="仿宋"/>
          <w:color w:val="000000"/>
          <w:kern w:val="0"/>
        </w:rPr>
      </w:pPr>
      <w:r>
        <w:rPr>
          <w:rFonts w:hint="eastAsia" w:ascii="仿宋" w:hAnsi="仿宋" w:cs="仿宋"/>
          <w:b/>
          <w:color w:val="000000"/>
          <w:kern w:val="0"/>
        </w:rPr>
        <w:t>（1）“投标文件”封面</w:t>
      </w:r>
      <w:r>
        <w:rPr>
          <w:rFonts w:hint="eastAsia" w:ascii="仿宋" w:hAnsi="仿宋" w:cs="仿宋"/>
          <w:color w:val="000000"/>
          <w:kern w:val="0"/>
        </w:rPr>
        <w:t>【格式见第六章】；</w:t>
      </w:r>
    </w:p>
    <w:p w14:paraId="1808F8EF">
      <w:pPr>
        <w:ind w:firstLine="463" w:firstLineChars="192"/>
        <w:rPr>
          <w:rFonts w:ascii="仿宋" w:hAnsi="仿宋" w:cs="仿宋"/>
          <w:color w:val="000000"/>
          <w:kern w:val="0"/>
        </w:rPr>
      </w:pPr>
      <w:r>
        <w:rPr>
          <w:rFonts w:hint="eastAsia" w:ascii="仿宋" w:hAnsi="仿宋" w:cs="仿宋"/>
          <w:b/>
          <w:color w:val="000000"/>
          <w:kern w:val="0"/>
        </w:rPr>
        <w:t>（2）“投标文件”目录</w:t>
      </w:r>
      <w:r>
        <w:rPr>
          <w:rFonts w:hint="eastAsia" w:ascii="仿宋" w:hAnsi="仿宋" w:cs="仿宋"/>
          <w:color w:val="000000"/>
          <w:kern w:val="0"/>
        </w:rPr>
        <w:t>（带页码，格式自拟）；</w:t>
      </w:r>
    </w:p>
    <w:p w14:paraId="70B9DD93">
      <w:pPr>
        <w:ind w:firstLine="463" w:firstLineChars="192"/>
        <w:rPr>
          <w:rFonts w:ascii="仿宋" w:hAnsi="仿宋" w:cs="仿宋"/>
          <w:color w:val="000000"/>
          <w:kern w:val="0"/>
        </w:rPr>
      </w:pPr>
      <w:r>
        <w:rPr>
          <w:rFonts w:hint="eastAsia" w:ascii="仿宋" w:hAnsi="仿宋" w:cs="仿宋"/>
          <w:b/>
          <w:color w:val="000000"/>
          <w:kern w:val="0"/>
        </w:rPr>
        <w:t>（3）投标银行关于《投标文件》所有内容真实、可靠的承诺书</w:t>
      </w:r>
      <w:r>
        <w:rPr>
          <w:rFonts w:hint="eastAsia" w:ascii="仿宋" w:hAnsi="仿宋" w:cs="仿宋"/>
          <w:color w:val="000000"/>
          <w:kern w:val="0"/>
        </w:rPr>
        <w:t>【格式见第六章】；</w:t>
      </w:r>
    </w:p>
    <w:p w14:paraId="59DB8AFD">
      <w:pPr>
        <w:ind w:firstLine="463" w:firstLineChars="192"/>
        <w:rPr>
          <w:rFonts w:ascii="仿宋" w:hAnsi="仿宋" w:cs="仿宋"/>
          <w:color w:val="000000"/>
          <w:kern w:val="0"/>
        </w:rPr>
      </w:pPr>
      <w:r>
        <w:rPr>
          <w:rFonts w:hint="eastAsia" w:ascii="仿宋" w:hAnsi="仿宋" w:cs="仿宋"/>
          <w:b/>
          <w:color w:val="000000"/>
          <w:kern w:val="0"/>
        </w:rPr>
        <w:t>（4）《投标函》</w:t>
      </w:r>
      <w:r>
        <w:rPr>
          <w:rFonts w:hint="eastAsia" w:ascii="仿宋" w:hAnsi="仿宋" w:cs="仿宋"/>
          <w:color w:val="000000"/>
          <w:kern w:val="0"/>
        </w:rPr>
        <w:t>【格式见第六章】；</w:t>
      </w:r>
    </w:p>
    <w:p w14:paraId="3D97A54F">
      <w:pPr>
        <w:ind w:firstLine="463" w:firstLineChars="192"/>
        <w:rPr>
          <w:rFonts w:ascii="仿宋" w:hAnsi="仿宋" w:cs="仿宋"/>
          <w:color w:val="000000"/>
          <w:kern w:val="0"/>
        </w:rPr>
      </w:pPr>
      <w:r>
        <w:rPr>
          <w:rFonts w:hint="eastAsia" w:ascii="仿宋" w:hAnsi="仿宋" w:cs="仿宋"/>
          <w:b/>
          <w:color w:val="000000"/>
          <w:kern w:val="0"/>
        </w:rPr>
        <w:t>（5）《法定代表人（或分支机构负责人）授权委托书》</w:t>
      </w:r>
      <w:r>
        <w:rPr>
          <w:rFonts w:hint="eastAsia" w:ascii="仿宋" w:hAnsi="仿宋" w:cs="仿宋"/>
          <w:color w:val="000000"/>
          <w:kern w:val="0"/>
        </w:rPr>
        <w:t>【格式见第六章】</w:t>
      </w:r>
      <w:r>
        <w:rPr>
          <w:rFonts w:hint="eastAsia" w:ascii="仿宋" w:hAnsi="仿宋" w:cs="仿宋"/>
          <w:b/>
          <w:color w:val="000000"/>
          <w:kern w:val="0"/>
        </w:rPr>
        <w:t>；</w:t>
      </w:r>
    </w:p>
    <w:p w14:paraId="271703B3">
      <w:pPr>
        <w:ind w:firstLine="463" w:firstLineChars="192"/>
        <w:rPr>
          <w:rFonts w:ascii="仿宋" w:hAnsi="仿宋" w:cs="仿宋"/>
          <w:color w:val="000000"/>
          <w:kern w:val="0"/>
        </w:rPr>
      </w:pPr>
      <w:r>
        <w:rPr>
          <w:rFonts w:hint="eastAsia" w:ascii="仿宋" w:hAnsi="仿宋" w:cs="仿宋"/>
          <w:b/>
          <w:color w:val="000000"/>
          <w:kern w:val="0"/>
        </w:rPr>
        <w:t>（6）《开标一览表》</w:t>
      </w:r>
      <w:r>
        <w:rPr>
          <w:rFonts w:hint="eastAsia" w:ascii="仿宋" w:hAnsi="仿宋" w:cs="仿宋"/>
          <w:color w:val="000000"/>
          <w:kern w:val="0"/>
        </w:rPr>
        <w:t>【格式见第六章】；</w:t>
      </w:r>
    </w:p>
    <w:p w14:paraId="4E353C44">
      <w:pPr>
        <w:ind w:firstLine="463" w:firstLineChars="192"/>
        <w:rPr>
          <w:rFonts w:ascii="仿宋" w:hAnsi="仿宋" w:cs="仿宋"/>
          <w:b/>
          <w:color w:val="000000"/>
          <w:kern w:val="0"/>
        </w:rPr>
      </w:pPr>
      <w:r>
        <w:rPr>
          <w:rFonts w:hint="eastAsia" w:ascii="仿宋" w:hAnsi="仿宋" w:cs="仿宋"/>
          <w:b/>
          <w:color w:val="000000"/>
          <w:kern w:val="0"/>
        </w:rPr>
        <w:t>（7）投标银行资格证明文件（资格证明文件不全的投标无效）：</w:t>
      </w:r>
    </w:p>
    <w:p w14:paraId="15144ACE">
      <w:pPr>
        <w:ind w:firstLine="1082" w:firstLineChars="501"/>
        <w:rPr>
          <w:rFonts w:ascii="仿宋" w:hAnsi="仿宋" w:cs="仿宋"/>
          <w:color w:val="000000"/>
          <w:w w:val="90"/>
        </w:rPr>
      </w:pPr>
      <w:r>
        <w:rPr>
          <w:rFonts w:hint="eastAsia" w:ascii="仿宋" w:hAnsi="仿宋" w:cs="仿宋"/>
          <w:color w:val="000000"/>
          <w:w w:val="90"/>
        </w:rPr>
        <w:t>8-1、投标银行企业营业执照（复印件，加盖投标银行公章）。</w:t>
      </w:r>
    </w:p>
    <w:p w14:paraId="0F253392">
      <w:pPr>
        <w:ind w:firstLine="1082" w:firstLineChars="501"/>
        <w:rPr>
          <w:rFonts w:ascii="仿宋" w:hAnsi="仿宋" w:cs="仿宋"/>
          <w:color w:val="000000"/>
          <w:w w:val="90"/>
        </w:rPr>
      </w:pPr>
      <w:r>
        <w:rPr>
          <w:rFonts w:hint="eastAsia" w:ascii="仿宋" w:hAnsi="仿宋" w:cs="仿宋"/>
          <w:color w:val="000000"/>
          <w:w w:val="90"/>
        </w:rPr>
        <w:t>9-2、《中华人民共和国金融许可证》（复印件，加盖投标银行公章）。</w:t>
      </w:r>
    </w:p>
    <w:p w14:paraId="223DF203">
      <w:pPr>
        <w:ind w:firstLine="1082" w:firstLineChars="501"/>
        <w:rPr>
          <w:rFonts w:ascii="仿宋" w:hAnsi="仿宋" w:cs="仿宋"/>
          <w:color w:val="000000"/>
          <w:w w:val="90"/>
        </w:rPr>
      </w:pPr>
      <w:r>
        <w:rPr>
          <w:rFonts w:hint="eastAsia" w:ascii="仿宋" w:hAnsi="仿宋" w:cs="仿宋"/>
          <w:color w:val="000000"/>
          <w:w w:val="90"/>
        </w:rPr>
        <w:t>9-3、中国人民银行苍南县支行上年度综合评价（复印件，加盖投标银行公章）</w:t>
      </w:r>
    </w:p>
    <w:p w14:paraId="46B9EF4B">
      <w:pPr>
        <w:ind w:firstLine="1082" w:firstLineChars="501"/>
        <w:rPr>
          <w:rFonts w:ascii="仿宋" w:hAnsi="仿宋" w:cs="仿宋"/>
          <w:color w:val="000000"/>
          <w:w w:val="90"/>
        </w:rPr>
      </w:pPr>
      <w:r>
        <w:rPr>
          <w:rFonts w:hint="eastAsia" w:ascii="仿宋" w:hAnsi="仿宋" w:cs="仿宋"/>
          <w:color w:val="000000"/>
          <w:w w:val="90"/>
        </w:rPr>
        <w:t>9-4、近三年内未发生金融风险及重大违约违法违纪时间的书面声明。</w:t>
      </w:r>
    </w:p>
    <w:p w14:paraId="6796DEF8">
      <w:pPr>
        <w:ind w:firstLine="1082" w:firstLineChars="501"/>
        <w:rPr>
          <w:rFonts w:ascii="仿宋" w:hAnsi="仿宋" w:cs="仿宋"/>
          <w:color w:val="000000"/>
          <w:w w:val="90"/>
        </w:rPr>
      </w:pPr>
      <w:r>
        <w:rPr>
          <w:rFonts w:hint="eastAsia" w:ascii="仿宋" w:hAnsi="仿宋" w:cs="仿宋"/>
          <w:color w:val="000000"/>
          <w:w w:val="90"/>
        </w:rPr>
        <w:t>9-5、关于财务稳健的书面声明。</w:t>
      </w:r>
    </w:p>
    <w:p w14:paraId="5BB5C7B8">
      <w:pPr>
        <w:ind w:firstLine="1082" w:firstLineChars="501"/>
        <w:rPr>
          <w:rFonts w:ascii="仿宋" w:hAnsi="仿宋" w:cs="仿宋"/>
          <w:color w:val="000000"/>
          <w:w w:val="90"/>
        </w:rPr>
      </w:pPr>
      <w:r>
        <w:rPr>
          <w:rFonts w:hint="eastAsia" w:ascii="仿宋" w:hAnsi="仿宋" w:cs="仿宋"/>
          <w:color w:val="000000"/>
          <w:w w:val="90"/>
        </w:rPr>
        <w:t>9-6、合格投标银行资格要求中要求提供的其他材料（复印件，加盖投标银行公章）。</w:t>
      </w:r>
    </w:p>
    <w:p w14:paraId="4D372A23">
      <w:pPr>
        <w:ind w:firstLine="463" w:firstLineChars="192"/>
        <w:rPr>
          <w:rFonts w:ascii="仿宋" w:hAnsi="仿宋" w:cs="仿宋"/>
          <w:color w:val="000000"/>
          <w:w w:val="90"/>
        </w:rPr>
      </w:pPr>
      <w:r>
        <w:rPr>
          <w:rFonts w:hint="eastAsia" w:ascii="仿宋" w:hAnsi="仿宋" w:cs="仿宋"/>
          <w:b/>
          <w:color w:val="000000"/>
          <w:kern w:val="0"/>
        </w:rPr>
        <w:t>（10）投标银行情况介绍</w:t>
      </w:r>
      <w:r>
        <w:rPr>
          <w:rFonts w:hint="eastAsia" w:ascii="仿宋" w:hAnsi="仿宋" w:cs="仿宋"/>
          <w:color w:val="000000"/>
          <w:kern w:val="0"/>
        </w:rPr>
        <w:t>【格式自拟】</w:t>
      </w:r>
      <w:r>
        <w:rPr>
          <w:rFonts w:hint="eastAsia" w:ascii="仿宋" w:hAnsi="仿宋" w:cs="仿宋"/>
          <w:color w:val="000000"/>
          <w:w w:val="90"/>
        </w:rPr>
        <w:t>；</w:t>
      </w:r>
    </w:p>
    <w:p w14:paraId="2CD9CB98">
      <w:pPr>
        <w:ind w:firstLine="463" w:firstLineChars="192"/>
        <w:rPr>
          <w:rFonts w:ascii="仿宋" w:hAnsi="仿宋" w:cs="仿宋"/>
          <w:b/>
          <w:color w:val="000000"/>
          <w:w w:val="90"/>
        </w:rPr>
      </w:pPr>
      <w:r>
        <w:rPr>
          <w:rFonts w:hint="eastAsia" w:ascii="仿宋" w:hAnsi="仿宋" w:cs="仿宋"/>
          <w:b/>
          <w:color w:val="000000"/>
          <w:kern w:val="0"/>
        </w:rPr>
        <w:t>（11）</w:t>
      </w:r>
      <w:r>
        <w:rPr>
          <w:rFonts w:hint="eastAsia" w:ascii="仿宋" w:hAnsi="仿宋" w:cs="仿宋"/>
          <w:b/>
          <w:color w:val="000000"/>
          <w:w w:val="90"/>
        </w:rPr>
        <w:t>针对本项目的</w:t>
      </w:r>
      <w:r>
        <w:rPr>
          <w:rFonts w:hint="eastAsia" w:ascii="仿宋" w:hAnsi="仿宋" w:cs="仿宋"/>
          <w:b/>
          <w:color w:val="000000"/>
          <w:kern w:val="0"/>
        </w:rPr>
        <w:t>服务方案承诺</w:t>
      </w:r>
      <w:r>
        <w:rPr>
          <w:rFonts w:hint="eastAsia" w:ascii="仿宋" w:hAnsi="仿宋" w:cs="仿宋"/>
          <w:b/>
          <w:color w:val="000000"/>
          <w:w w:val="90"/>
        </w:rPr>
        <w:t>；</w:t>
      </w:r>
    </w:p>
    <w:p w14:paraId="111B8E86">
      <w:pPr>
        <w:ind w:firstLine="462" w:firstLineChars="213"/>
        <w:rPr>
          <w:rFonts w:ascii="仿宋" w:hAnsi="仿宋" w:cs="仿宋"/>
          <w:b/>
          <w:color w:val="000000"/>
          <w:kern w:val="0"/>
        </w:rPr>
      </w:pPr>
      <w:r>
        <w:rPr>
          <w:rFonts w:hint="eastAsia" w:ascii="仿宋" w:hAnsi="仿宋" w:cs="仿宋"/>
          <w:b/>
          <w:color w:val="000000"/>
          <w:w w:val="90"/>
        </w:rPr>
        <w:t>（12）针对本项目各项指标的说明材料</w:t>
      </w:r>
      <w:r>
        <w:rPr>
          <w:rFonts w:hint="eastAsia" w:ascii="仿宋" w:hAnsi="仿宋" w:cs="仿宋"/>
          <w:color w:val="000000"/>
          <w:w w:val="90"/>
        </w:rPr>
        <w:t>（包括经营状况指标、服务水平指标、经济发展贡献指标、收益水平指标）【格式见第六章】</w:t>
      </w:r>
      <w:r>
        <w:rPr>
          <w:rFonts w:hint="eastAsia" w:ascii="仿宋" w:hAnsi="仿宋" w:cs="仿宋"/>
          <w:b/>
          <w:color w:val="000000"/>
          <w:w w:val="90"/>
        </w:rPr>
        <w:t>；</w:t>
      </w:r>
    </w:p>
    <w:p w14:paraId="02A617BC">
      <w:pPr>
        <w:ind w:firstLine="463" w:firstLineChars="192"/>
        <w:rPr>
          <w:rFonts w:ascii="仿宋" w:hAnsi="仿宋" w:cs="仿宋"/>
          <w:color w:val="000000"/>
          <w:kern w:val="0"/>
        </w:rPr>
      </w:pPr>
      <w:r>
        <w:rPr>
          <w:rFonts w:hint="eastAsia" w:ascii="仿宋" w:hAnsi="仿宋" w:cs="仿宋"/>
          <w:b/>
          <w:color w:val="000000"/>
          <w:kern w:val="0"/>
        </w:rPr>
        <w:t>（13）优惠承诺</w:t>
      </w:r>
      <w:r>
        <w:rPr>
          <w:rFonts w:hint="eastAsia" w:ascii="仿宋" w:hAnsi="仿宋" w:cs="仿宋"/>
          <w:color w:val="000000"/>
          <w:kern w:val="0"/>
        </w:rPr>
        <w:t>【含偏离说明，格式见第六章】；</w:t>
      </w:r>
    </w:p>
    <w:p w14:paraId="33086353">
      <w:pPr>
        <w:ind w:firstLine="463" w:firstLineChars="192"/>
        <w:rPr>
          <w:rFonts w:ascii="仿宋" w:hAnsi="仿宋" w:cs="仿宋"/>
          <w:b/>
          <w:color w:val="000000"/>
          <w:kern w:val="0"/>
        </w:rPr>
      </w:pPr>
      <w:r>
        <w:rPr>
          <w:rFonts w:hint="eastAsia" w:ascii="仿宋" w:hAnsi="仿宋" w:cs="仿宋"/>
          <w:b/>
          <w:color w:val="000000"/>
          <w:kern w:val="0"/>
        </w:rPr>
        <w:t>（14）拟派服务团队成员组成情况</w:t>
      </w:r>
      <w:r>
        <w:rPr>
          <w:rFonts w:hint="eastAsia" w:ascii="仿宋" w:hAnsi="仿宋" w:cs="仿宋"/>
          <w:color w:val="000000"/>
          <w:kern w:val="0"/>
        </w:rPr>
        <w:t>【格式见第六章】</w:t>
      </w:r>
      <w:r>
        <w:rPr>
          <w:rFonts w:hint="eastAsia" w:ascii="仿宋" w:hAnsi="仿宋" w:cs="仿宋"/>
          <w:b/>
          <w:color w:val="000000"/>
          <w:kern w:val="0"/>
        </w:rPr>
        <w:t>；</w:t>
      </w:r>
    </w:p>
    <w:p w14:paraId="2ABA55A1">
      <w:pPr>
        <w:ind w:firstLine="460" w:firstLineChars="192"/>
        <w:rPr>
          <w:rFonts w:ascii="仿宋" w:hAnsi="仿宋" w:cs="仿宋"/>
          <w:color w:val="000000"/>
          <w:kern w:val="0"/>
        </w:rPr>
      </w:pPr>
      <w:r>
        <w:rPr>
          <w:rFonts w:hint="eastAsia" w:ascii="仿宋" w:hAnsi="仿宋" w:cs="仿宋"/>
          <w:color w:val="000000"/>
          <w:kern w:val="0"/>
        </w:rPr>
        <w:t>（15）《招标文件》中要求的或投标银行认为有必要提供的其他材料或说明。</w:t>
      </w:r>
    </w:p>
    <w:p w14:paraId="5A83FA4D">
      <w:pPr>
        <w:ind w:firstLine="463" w:firstLineChars="192"/>
        <w:rPr>
          <w:rFonts w:ascii="仿宋" w:hAnsi="仿宋" w:cs="仿宋"/>
          <w:color w:val="000000"/>
          <w:kern w:val="0"/>
        </w:rPr>
      </w:pPr>
      <w:r>
        <w:rPr>
          <w:rFonts w:hint="eastAsia" w:ascii="仿宋" w:hAnsi="仿宋" w:cs="仿宋"/>
          <w:b/>
          <w:color w:val="000000"/>
          <w:kern w:val="0"/>
        </w:rPr>
        <w:t>备注：（1）上述材料本《招标文件》有提供格式的，参照格式内容要求进行编制，内容或签章不齐的视同未提供。（2）《法定代表人授权委托书》必须由投标银行的法定代表人签字（或盖章）并加盖投标银行公章（其他需要签字的部分可由授权代表签字（或盖章）并加盖公章）；资格、许可证书、业绩证明材料复印件须加盖投标银行单位公章；签章不齐的视同未提供。</w:t>
      </w:r>
    </w:p>
    <w:p w14:paraId="2CA7C957">
      <w:pPr>
        <w:rPr>
          <w:rFonts w:ascii="仿宋" w:hAnsi="仿宋" w:cs="仿宋"/>
          <w:b/>
          <w:color w:val="000000"/>
          <w:kern w:val="0"/>
        </w:rPr>
      </w:pPr>
      <w:r>
        <w:rPr>
          <w:rFonts w:hint="eastAsia" w:ascii="仿宋" w:hAnsi="仿宋" w:cs="仿宋"/>
          <w:b/>
          <w:color w:val="000000"/>
          <w:kern w:val="0"/>
        </w:rPr>
        <w:t>15、《投标文件》的语言及计量</w:t>
      </w:r>
    </w:p>
    <w:p w14:paraId="2C275077">
      <w:pPr>
        <w:ind w:firstLine="460" w:firstLineChars="192"/>
        <w:rPr>
          <w:rFonts w:ascii="仿宋" w:hAnsi="仿宋" w:cs="仿宋"/>
          <w:color w:val="000000"/>
          <w:kern w:val="0"/>
        </w:rPr>
      </w:pPr>
      <w:r>
        <w:rPr>
          <w:rFonts w:hint="eastAsia" w:ascii="仿宋" w:hAnsi="仿宋" w:cs="仿宋"/>
          <w:color w:val="000000"/>
          <w:kern w:val="0"/>
        </w:rPr>
        <w:t>15.1《投标文件》以及投标银行与招标人就有关投标事宜的所有来往函电，均应以中文汉语书写。除签名、盖章、专用名称等特殊情形外，</w:t>
      </w:r>
      <w:r>
        <w:rPr>
          <w:rFonts w:hint="eastAsia" w:ascii="仿宋" w:hAnsi="仿宋" w:cs="仿宋"/>
          <w:b/>
          <w:color w:val="000000"/>
          <w:kern w:val="0"/>
        </w:rPr>
        <w:t>以中文汉语以外的文字表述的投标文件视同未提供。</w:t>
      </w:r>
    </w:p>
    <w:p w14:paraId="617F2056">
      <w:pPr>
        <w:ind w:firstLine="460" w:firstLineChars="192"/>
        <w:rPr>
          <w:rFonts w:ascii="仿宋" w:hAnsi="仿宋" w:cs="仿宋"/>
          <w:b/>
          <w:color w:val="000000"/>
          <w:kern w:val="0"/>
        </w:rPr>
      </w:pPr>
      <w:r>
        <w:rPr>
          <w:rFonts w:hint="eastAsia" w:ascii="仿宋" w:hAnsi="仿宋" w:cs="仿宋"/>
          <w:color w:val="000000"/>
          <w:kern w:val="0"/>
        </w:rPr>
        <w:t>15.2投标计量单位，《招标文件》已有明确规定的，使用《招标文件》规定的计量单位；</w:t>
      </w:r>
      <w:r>
        <w:rPr>
          <w:rFonts w:hint="eastAsia" w:ascii="仿宋" w:hAnsi="仿宋" w:cs="仿宋"/>
          <w:b/>
          <w:color w:val="000000"/>
          <w:kern w:val="0"/>
        </w:rPr>
        <w:t>《招标文件》没有规定的，应采用中华人民共和国法定计量单位，否则视同未响应。</w:t>
      </w:r>
    </w:p>
    <w:p w14:paraId="08EBADE7">
      <w:pPr>
        <w:rPr>
          <w:rFonts w:ascii="仿宋" w:hAnsi="仿宋" w:cs="仿宋"/>
          <w:b/>
          <w:color w:val="000000"/>
          <w:kern w:val="0"/>
        </w:rPr>
      </w:pPr>
      <w:r>
        <w:rPr>
          <w:rFonts w:hint="eastAsia" w:ascii="仿宋" w:hAnsi="仿宋" w:cs="仿宋"/>
          <w:b/>
          <w:color w:val="000000"/>
          <w:kern w:val="0"/>
        </w:rPr>
        <w:t>16、投标报价</w:t>
      </w:r>
    </w:p>
    <w:p w14:paraId="320A0161">
      <w:pPr>
        <w:ind w:firstLine="463" w:firstLineChars="192"/>
        <w:rPr>
          <w:rFonts w:ascii="仿宋" w:hAnsi="仿宋" w:cs="仿宋"/>
          <w:b/>
          <w:color w:val="000000"/>
          <w:kern w:val="0"/>
        </w:rPr>
      </w:pPr>
      <w:r>
        <w:rPr>
          <w:rFonts w:hint="eastAsia" w:ascii="仿宋" w:hAnsi="仿宋" w:cs="仿宋"/>
          <w:b/>
          <w:color w:val="000000"/>
          <w:kern w:val="0"/>
        </w:rPr>
        <w:t>16.1投标报价应按《招标文件》中相关附表格式填写。</w:t>
      </w:r>
    </w:p>
    <w:p w14:paraId="1799C186">
      <w:pPr>
        <w:ind w:firstLine="463" w:firstLineChars="192"/>
        <w:rPr>
          <w:rFonts w:ascii="仿宋" w:hAnsi="仿宋" w:cs="仿宋"/>
          <w:color w:val="000000"/>
          <w:kern w:val="0"/>
        </w:rPr>
      </w:pPr>
      <w:r>
        <w:rPr>
          <w:rFonts w:hint="eastAsia" w:ascii="仿宋" w:hAnsi="仿宋" w:cs="仿宋"/>
          <w:b/>
          <w:color w:val="000000"/>
          <w:kern w:val="0"/>
        </w:rPr>
        <w:t>16.2本次项目以符合国家利率政策的“定期存款利率”报价。</w:t>
      </w:r>
    </w:p>
    <w:p w14:paraId="4B7AA2A4">
      <w:pPr>
        <w:ind w:firstLine="465" w:firstLineChars="193"/>
        <w:rPr>
          <w:rFonts w:ascii="仿宋" w:hAnsi="仿宋" w:cs="仿宋"/>
          <w:b/>
          <w:color w:val="000000"/>
          <w:kern w:val="0"/>
        </w:rPr>
      </w:pPr>
      <w:r>
        <w:rPr>
          <w:rFonts w:hint="eastAsia" w:ascii="仿宋" w:hAnsi="仿宋" w:cs="仿宋"/>
          <w:b/>
          <w:color w:val="000000"/>
          <w:kern w:val="0"/>
        </w:rPr>
        <w:t>16.3《投标文件》只允许有一个报价，有选择的报价将不予接受。</w:t>
      </w:r>
    </w:p>
    <w:p w14:paraId="6F4380D2">
      <w:pPr>
        <w:rPr>
          <w:rFonts w:ascii="仿宋" w:hAnsi="仿宋" w:cs="仿宋"/>
          <w:b/>
          <w:color w:val="000000"/>
          <w:kern w:val="0"/>
        </w:rPr>
      </w:pPr>
      <w:r>
        <w:rPr>
          <w:rFonts w:hint="eastAsia" w:ascii="仿宋" w:hAnsi="仿宋" w:cs="仿宋"/>
          <w:b/>
          <w:color w:val="000000"/>
          <w:kern w:val="0"/>
        </w:rPr>
        <w:t>17、《投标文件》的有效期</w:t>
      </w:r>
    </w:p>
    <w:p w14:paraId="7546547C">
      <w:pPr>
        <w:ind w:firstLine="465" w:firstLineChars="193"/>
        <w:rPr>
          <w:rFonts w:ascii="仿宋" w:hAnsi="仿宋" w:cs="仿宋"/>
          <w:b/>
          <w:color w:val="000000"/>
          <w:kern w:val="0"/>
        </w:rPr>
      </w:pPr>
      <w:r>
        <w:rPr>
          <w:rFonts w:hint="eastAsia" w:ascii="仿宋" w:hAnsi="仿宋" w:cs="仿宋"/>
          <w:b/>
          <w:color w:val="000000"/>
          <w:kern w:val="0"/>
        </w:rPr>
        <w:t>17.1</w:t>
      </w:r>
      <w:r>
        <w:rPr>
          <w:rFonts w:hint="eastAsia" w:ascii="仿宋" w:hAnsi="仿宋" w:cs="仿宋"/>
          <w:color w:val="000000"/>
          <w:kern w:val="0"/>
        </w:rPr>
        <w:t>▲</w:t>
      </w:r>
      <w:r>
        <w:rPr>
          <w:rFonts w:hint="eastAsia" w:ascii="仿宋" w:hAnsi="仿宋" w:cs="仿宋"/>
          <w:b/>
          <w:color w:val="000000"/>
          <w:kern w:val="0"/>
        </w:rPr>
        <w:t>自投标截止日起</w:t>
      </w:r>
      <w:r>
        <w:rPr>
          <w:rFonts w:hint="eastAsia" w:ascii="仿宋" w:hAnsi="仿宋" w:cs="仿宋"/>
          <w:b/>
          <w:color w:val="000000"/>
          <w:kern w:val="0"/>
          <w:u w:val="single"/>
        </w:rPr>
        <w:t>90</w:t>
      </w:r>
      <w:r>
        <w:rPr>
          <w:rFonts w:hint="eastAsia" w:ascii="仿宋" w:hAnsi="仿宋" w:cs="仿宋"/>
          <w:b/>
          <w:color w:val="000000"/>
          <w:kern w:val="0"/>
        </w:rPr>
        <w:t>天内《投标文件》应保持有效。投标文件有效期短于这个规定期限的投标将作无效标处理。</w:t>
      </w:r>
    </w:p>
    <w:p w14:paraId="238C5453">
      <w:pPr>
        <w:ind w:firstLine="460" w:firstLineChars="192"/>
        <w:rPr>
          <w:rFonts w:ascii="仿宋" w:hAnsi="仿宋" w:cs="仿宋"/>
          <w:color w:val="000000"/>
          <w:kern w:val="0"/>
        </w:rPr>
      </w:pPr>
      <w:r>
        <w:rPr>
          <w:rFonts w:hint="eastAsia" w:ascii="仿宋" w:hAnsi="仿宋" w:cs="仿宋"/>
          <w:color w:val="000000"/>
          <w:kern w:val="0"/>
        </w:rPr>
        <w:t>17.2在特殊情况下，招标人可与投标银行协商延长《投标文件》的有效期，这种要求和答复均以书面形式进行。</w:t>
      </w:r>
    </w:p>
    <w:p w14:paraId="48D312D6">
      <w:pPr>
        <w:ind w:firstLine="460" w:firstLineChars="192"/>
        <w:rPr>
          <w:rFonts w:ascii="仿宋" w:hAnsi="仿宋" w:cs="仿宋"/>
          <w:color w:val="000000"/>
          <w:kern w:val="0"/>
        </w:rPr>
      </w:pPr>
      <w:r>
        <w:rPr>
          <w:rFonts w:hint="eastAsia" w:ascii="仿宋" w:hAnsi="仿宋" w:cs="仿宋"/>
          <w:color w:val="000000"/>
          <w:kern w:val="0"/>
        </w:rPr>
        <w:t>17.3投标银行可拒绝接受延期要求。同意延长有效期的，但不能修改《投标文件》。</w:t>
      </w:r>
    </w:p>
    <w:p w14:paraId="6F484CE3">
      <w:pPr>
        <w:ind w:firstLine="460" w:firstLineChars="192"/>
        <w:rPr>
          <w:rFonts w:ascii="仿宋" w:hAnsi="仿宋" w:cs="仿宋"/>
          <w:b/>
          <w:color w:val="000000"/>
          <w:kern w:val="0"/>
        </w:rPr>
      </w:pPr>
      <w:r>
        <w:rPr>
          <w:rFonts w:hint="eastAsia" w:ascii="仿宋" w:hAnsi="仿宋" w:cs="仿宋"/>
          <w:color w:val="000000"/>
          <w:kern w:val="0"/>
        </w:rPr>
        <w:t>17.4中标（成交）供应商的《投标文件》自开标之日起至合同履行完毕止均应保持有效。</w:t>
      </w:r>
    </w:p>
    <w:p w14:paraId="1779BDF2">
      <w:pPr>
        <w:rPr>
          <w:rFonts w:ascii="仿宋" w:hAnsi="仿宋" w:cs="仿宋"/>
          <w:b/>
          <w:color w:val="000000"/>
          <w:kern w:val="0"/>
        </w:rPr>
      </w:pPr>
      <w:r>
        <w:rPr>
          <w:rFonts w:hint="eastAsia" w:ascii="仿宋" w:hAnsi="仿宋" w:cs="仿宋"/>
          <w:b/>
          <w:color w:val="000000"/>
          <w:kern w:val="0"/>
        </w:rPr>
        <w:t>18、《投标文件》的签署</w:t>
      </w:r>
    </w:p>
    <w:p w14:paraId="18F6FEE2">
      <w:pPr>
        <w:ind w:firstLine="460" w:firstLineChars="192"/>
        <w:rPr>
          <w:rFonts w:ascii="仿宋" w:hAnsi="仿宋" w:cs="仿宋"/>
          <w:color w:val="000000"/>
          <w:kern w:val="0"/>
          <w:u w:val="single"/>
        </w:rPr>
      </w:pPr>
      <w:r>
        <w:rPr>
          <w:rFonts w:hint="eastAsia" w:ascii="仿宋" w:hAnsi="仿宋" w:cs="仿宋"/>
          <w:color w:val="000000"/>
          <w:kern w:val="0"/>
        </w:rPr>
        <w:t>18.1投标银行应按照本《招标文件》规定的格式和顺序编制《投标文件》，《投标文件》内容不完整、编排混乱导致《投标文件》被误读、漏读或者查找不到相关内容的，是投标银行的责任。</w:t>
      </w:r>
    </w:p>
    <w:p w14:paraId="289648D1">
      <w:pPr>
        <w:ind w:firstLine="463" w:firstLineChars="192"/>
        <w:rPr>
          <w:rFonts w:ascii="仿宋" w:hAnsi="仿宋" w:cs="仿宋"/>
          <w:b/>
          <w:color w:val="000000"/>
          <w:kern w:val="0"/>
        </w:rPr>
      </w:pPr>
      <w:r>
        <w:rPr>
          <w:rFonts w:hint="eastAsia" w:ascii="仿宋" w:hAnsi="仿宋" w:cs="仿宋"/>
          <w:b/>
          <w:color w:val="000000"/>
          <w:kern w:val="0"/>
        </w:rPr>
        <w:t>18.2《投标文件》应打印或用不褪色的墨水填写，除招标文件规定的可提供复印件外均须提供原件（复印件须加盖投标银行公章），否则视为未提供。</w:t>
      </w:r>
    </w:p>
    <w:p w14:paraId="6B1B73D5">
      <w:pPr>
        <w:ind w:firstLine="463" w:firstLineChars="192"/>
        <w:rPr>
          <w:rFonts w:ascii="仿宋" w:hAnsi="仿宋" w:cs="仿宋"/>
          <w:b/>
          <w:color w:val="000000"/>
          <w:kern w:val="0"/>
        </w:rPr>
      </w:pPr>
      <w:r>
        <w:rPr>
          <w:rFonts w:hint="eastAsia" w:ascii="仿宋" w:hAnsi="仿宋" w:cs="仿宋"/>
          <w:b/>
          <w:color w:val="000000"/>
          <w:kern w:val="0"/>
        </w:rPr>
        <w:t>18.3投标银行应按招标文件的要求在其《投标文件》相应处盖章并签署（或盖章），否则视为未提供。</w:t>
      </w:r>
    </w:p>
    <w:p w14:paraId="71AEA457">
      <w:pPr>
        <w:ind w:firstLine="460" w:firstLineChars="192"/>
        <w:rPr>
          <w:rFonts w:ascii="仿宋" w:hAnsi="仿宋" w:cs="仿宋"/>
          <w:color w:val="000000"/>
          <w:kern w:val="0"/>
        </w:rPr>
      </w:pPr>
      <w:r>
        <w:rPr>
          <w:rFonts w:hint="eastAsia" w:ascii="仿宋" w:hAnsi="仿宋" w:cs="仿宋"/>
          <w:color w:val="000000"/>
          <w:kern w:val="0"/>
        </w:rPr>
        <w:t>18.5《投标文件》不得涂改，若有修改，须加盖投标银行单位公章或者法定代表人或授权委托人签字（或盖章）。</w:t>
      </w:r>
      <w:r>
        <w:rPr>
          <w:rFonts w:hint="eastAsia" w:ascii="仿宋" w:hAnsi="仿宋" w:cs="仿宋"/>
          <w:b/>
          <w:color w:val="000000"/>
          <w:kern w:val="0"/>
        </w:rPr>
        <w:t>《投标文件》因字迹潦草或表达不清所引起的后果由投标银行负责</w:t>
      </w:r>
      <w:r>
        <w:rPr>
          <w:rFonts w:hint="eastAsia" w:ascii="仿宋" w:hAnsi="仿宋" w:cs="仿宋"/>
          <w:color w:val="000000"/>
          <w:kern w:val="0"/>
        </w:rPr>
        <w:t>。</w:t>
      </w:r>
    </w:p>
    <w:p w14:paraId="475189A5">
      <w:pPr>
        <w:rPr>
          <w:rFonts w:ascii="仿宋" w:hAnsi="仿宋" w:cs="仿宋"/>
          <w:b/>
          <w:color w:val="000000"/>
          <w:kern w:val="0"/>
        </w:rPr>
      </w:pPr>
      <w:r>
        <w:rPr>
          <w:rFonts w:hint="eastAsia" w:ascii="仿宋" w:hAnsi="仿宋" w:cs="仿宋"/>
          <w:b/>
          <w:color w:val="000000"/>
          <w:kern w:val="0"/>
        </w:rPr>
        <w:t>19、《投标文件》的包装、递交、修改和撤回</w:t>
      </w:r>
    </w:p>
    <w:p w14:paraId="104237F8">
      <w:pPr>
        <w:ind w:firstLine="460" w:firstLineChars="192"/>
        <w:rPr>
          <w:rFonts w:ascii="仿宋" w:hAnsi="仿宋" w:cs="仿宋"/>
          <w:color w:val="000000"/>
          <w:kern w:val="0"/>
        </w:rPr>
      </w:pPr>
      <w:r>
        <w:rPr>
          <w:rFonts w:hint="eastAsia" w:ascii="仿宋" w:hAnsi="仿宋" w:cs="仿宋"/>
          <w:color w:val="000000"/>
          <w:kern w:val="0"/>
        </w:rPr>
        <w:t>19.1供应商在投标截止时间前可以补充、修改或者撤回投标文件。</w:t>
      </w:r>
    </w:p>
    <w:p w14:paraId="4A98BF05">
      <w:pPr>
        <w:ind w:firstLine="460" w:firstLineChars="192"/>
        <w:rPr>
          <w:rFonts w:ascii="仿宋" w:hAnsi="仿宋" w:cs="仿宋"/>
          <w:color w:val="000000"/>
          <w:kern w:val="0"/>
        </w:rPr>
      </w:pPr>
      <w:r>
        <w:rPr>
          <w:rFonts w:hint="eastAsia" w:ascii="仿宋" w:hAnsi="仿宋" w:cs="仿宋"/>
          <w:color w:val="000000"/>
          <w:kern w:val="0"/>
        </w:rPr>
        <w:t>19.2补充或者修改投标文件的，应当先行撤回原投标文件，补充、修改后重新上传递交。</w:t>
      </w:r>
    </w:p>
    <w:p w14:paraId="4129DA7F">
      <w:pPr>
        <w:ind w:firstLine="460" w:firstLineChars="192"/>
        <w:rPr>
          <w:rFonts w:ascii="仿宋" w:hAnsi="仿宋" w:cs="仿宋"/>
          <w:color w:val="000000"/>
          <w:kern w:val="0"/>
        </w:rPr>
      </w:pPr>
      <w:r>
        <w:rPr>
          <w:rFonts w:hint="eastAsia" w:ascii="仿宋" w:hAnsi="仿宋" w:cs="仿宋"/>
          <w:color w:val="000000"/>
          <w:kern w:val="0"/>
        </w:rPr>
        <w:t>19.3投标截止时间前未完成上传的，视为撤回投标文件。</w:t>
      </w:r>
    </w:p>
    <w:p w14:paraId="5DCD08AA">
      <w:pPr>
        <w:ind w:firstLine="460" w:firstLineChars="192"/>
        <w:rPr>
          <w:rFonts w:ascii="仿宋" w:hAnsi="仿宋" w:cs="仿宋"/>
          <w:color w:val="000000"/>
          <w:kern w:val="0"/>
        </w:rPr>
      </w:pPr>
      <w:r>
        <w:rPr>
          <w:rFonts w:hint="eastAsia" w:ascii="仿宋" w:hAnsi="仿宋" w:cs="仿宋"/>
          <w:color w:val="000000"/>
          <w:kern w:val="0"/>
        </w:rPr>
        <w:t>19.4投标银行存在下列情形之一的投标文件将被拒收：</w:t>
      </w:r>
    </w:p>
    <w:p w14:paraId="3D6E7032">
      <w:pPr>
        <w:ind w:firstLine="460" w:firstLineChars="192"/>
        <w:rPr>
          <w:rFonts w:ascii="仿宋" w:hAnsi="仿宋" w:cs="仿宋"/>
          <w:color w:val="000000"/>
          <w:kern w:val="0"/>
        </w:rPr>
      </w:pPr>
      <w:r>
        <w:rPr>
          <w:rFonts w:hint="eastAsia" w:ascii="仿宋" w:hAnsi="仿宋" w:cs="仿宋"/>
          <w:color w:val="000000"/>
          <w:kern w:val="0"/>
        </w:rPr>
        <w:t>（1）《投标文件》未在招标文件标明的投标截止时间前上传；</w:t>
      </w:r>
    </w:p>
    <w:p w14:paraId="4064A54F">
      <w:pPr>
        <w:rPr>
          <w:rFonts w:ascii="仿宋" w:hAnsi="仿宋" w:cs="仿宋"/>
          <w:b/>
          <w:color w:val="000000"/>
          <w:kern w:val="0"/>
        </w:rPr>
      </w:pPr>
      <w:r>
        <w:rPr>
          <w:rFonts w:hint="eastAsia" w:ascii="仿宋" w:hAnsi="仿宋" w:cs="仿宋"/>
          <w:b/>
          <w:color w:val="000000"/>
          <w:kern w:val="0"/>
        </w:rPr>
        <w:t>20、投标无效的情形</w:t>
      </w:r>
    </w:p>
    <w:p w14:paraId="33F0930D">
      <w:pPr>
        <w:ind w:firstLine="463" w:firstLineChars="192"/>
        <w:rPr>
          <w:rFonts w:ascii="仿宋" w:hAnsi="仿宋" w:cs="仿宋"/>
          <w:color w:val="000000"/>
          <w:kern w:val="0"/>
        </w:rPr>
      </w:pPr>
      <w:r>
        <w:rPr>
          <w:rFonts w:hint="eastAsia" w:ascii="仿宋" w:hAnsi="仿宋" w:cs="仿宋"/>
          <w:b/>
          <w:color w:val="000000"/>
          <w:kern w:val="0"/>
        </w:rPr>
        <w:t>实质上没有响应《招标文件》要求的投标将被视为无效投标。</w:t>
      </w:r>
      <w:r>
        <w:rPr>
          <w:rFonts w:hint="eastAsia" w:ascii="仿宋" w:hAnsi="仿宋" w:cs="仿宋"/>
          <w:color w:val="000000"/>
          <w:kern w:val="0"/>
        </w:rPr>
        <w:t>投标银行不得通过修正或撤消不符合要求的偏离或保留从而使其投标成为实质上响应的投标，但经评审小组认定属于投标银行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银行修改、补正投标文件后，不影响评审小组对其《投标文件》所作的评价和评分结果。</w:t>
      </w:r>
    </w:p>
    <w:p w14:paraId="2EDE1620">
      <w:pPr>
        <w:ind w:firstLine="463" w:firstLineChars="192"/>
        <w:rPr>
          <w:rFonts w:ascii="仿宋" w:hAnsi="仿宋" w:cs="仿宋"/>
          <w:b/>
          <w:color w:val="0000FF"/>
          <w:kern w:val="0"/>
        </w:rPr>
      </w:pPr>
      <w:r>
        <w:rPr>
          <w:rFonts w:hint="eastAsia" w:ascii="仿宋" w:hAnsi="仿宋" w:cs="仿宋"/>
          <w:b/>
          <w:color w:val="0000FF"/>
          <w:kern w:val="0"/>
        </w:rPr>
        <w:t>20.1▲在资格性审查时，发现下列情形的，做无效标处理：</w:t>
      </w:r>
    </w:p>
    <w:p w14:paraId="10638967">
      <w:pPr>
        <w:ind w:firstLine="460" w:firstLineChars="192"/>
        <w:rPr>
          <w:rFonts w:ascii="仿宋" w:hAnsi="仿宋" w:cs="仿宋"/>
          <w:color w:val="000000"/>
          <w:kern w:val="0"/>
        </w:rPr>
      </w:pPr>
      <w:r>
        <w:rPr>
          <w:rFonts w:hint="eastAsia" w:ascii="仿宋" w:hAnsi="仿宋" w:cs="仿宋"/>
          <w:color w:val="000000"/>
          <w:kern w:val="0"/>
        </w:rPr>
        <w:t>（1）投标银行不满足“合格投标银行资格要求”的，或者资格证明文件不全的；</w:t>
      </w:r>
    </w:p>
    <w:p w14:paraId="681E8B3E">
      <w:pPr>
        <w:ind w:firstLine="463" w:firstLineChars="192"/>
        <w:rPr>
          <w:rFonts w:ascii="仿宋" w:hAnsi="仿宋" w:cs="仿宋"/>
          <w:color w:val="0000FF"/>
          <w:kern w:val="0"/>
        </w:rPr>
      </w:pPr>
      <w:r>
        <w:rPr>
          <w:rFonts w:hint="eastAsia" w:ascii="仿宋" w:hAnsi="仿宋" w:cs="仿宋"/>
          <w:b/>
          <w:color w:val="0000FF"/>
          <w:kern w:val="0"/>
        </w:rPr>
        <w:t>20.2▲投标文件符合性审查时，如发现下列情形之一的，做无效标处理</w:t>
      </w:r>
      <w:r>
        <w:rPr>
          <w:rFonts w:hint="eastAsia" w:ascii="仿宋" w:hAnsi="仿宋" w:cs="仿宋"/>
          <w:color w:val="0000FF"/>
          <w:kern w:val="0"/>
        </w:rPr>
        <w:t>：</w:t>
      </w:r>
    </w:p>
    <w:p w14:paraId="100D06BE">
      <w:pPr>
        <w:ind w:firstLine="460" w:firstLineChars="192"/>
        <w:rPr>
          <w:rFonts w:ascii="仿宋" w:hAnsi="仿宋" w:cs="仿宋"/>
          <w:color w:val="000000"/>
          <w:kern w:val="0"/>
        </w:rPr>
      </w:pPr>
      <w:r>
        <w:rPr>
          <w:rFonts w:hint="eastAsia" w:ascii="仿宋" w:hAnsi="仿宋" w:cs="仿宋"/>
          <w:color w:val="000000"/>
          <w:kern w:val="0"/>
        </w:rPr>
        <w:t>（1）投标文件未按招标文件（投标银行须知）规定签署或盖章的；</w:t>
      </w:r>
    </w:p>
    <w:p w14:paraId="0B1A20FF">
      <w:pPr>
        <w:ind w:firstLine="460" w:firstLineChars="192"/>
        <w:rPr>
          <w:rFonts w:ascii="仿宋" w:hAnsi="仿宋" w:cs="仿宋"/>
          <w:color w:val="000000"/>
          <w:kern w:val="0"/>
        </w:rPr>
      </w:pPr>
      <w:r>
        <w:rPr>
          <w:rFonts w:hint="eastAsia" w:ascii="仿宋" w:hAnsi="仿宋" w:cs="仿宋"/>
          <w:color w:val="000000"/>
          <w:kern w:val="0"/>
        </w:rPr>
        <w:t>（2）未提供有效的法定代表人授权委托书原件的，或有效的投标函的，或投标函填写项目不齐全的，或联合体投标未提供联合体协议的；</w:t>
      </w:r>
    </w:p>
    <w:p w14:paraId="6B209D0D">
      <w:pPr>
        <w:ind w:firstLine="460" w:firstLineChars="192"/>
        <w:rPr>
          <w:rFonts w:ascii="仿宋" w:hAnsi="仿宋" w:cs="仿宋"/>
          <w:color w:val="000000"/>
          <w:kern w:val="0"/>
        </w:rPr>
      </w:pPr>
      <w:r>
        <w:rPr>
          <w:rFonts w:hint="eastAsia" w:ascii="仿宋" w:hAnsi="仿宋" w:cs="仿宋"/>
          <w:color w:val="000000"/>
          <w:kern w:val="0"/>
        </w:rPr>
        <w:t>（3）未按照《招标文件》规定格式报价的；</w:t>
      </w:r>
    </w:p>
    <w:p w14:paraId="1B524B70">
      <w:pPr>
        <w:ind w:firstLine="460" w:firstLineChars="192"/>
        <w:rPr>
          <w:rFonts w:ascii="仿宋" w:hAnsi="仿宋" w:cs="仿宋"/>
          <w:color w:val="000000"/>
          <w:kern w:val="0"/>
        </w:rPr>
      </w:pPr>
      <w:r>
        <w:rPr>
          <w:rFonts w:hint="eastAsia" w:ascii="仿宋" w:hAnsi="仿宋" w:cs="仿宋"/>
          <w:color w:val="000000"/>
          <w:kern w:val="0"/>
        </w:rPr>
        <w:t>（4）报价具有选择性的；</w:t>
      </w:r>
    </w:p>
    <w:p w14:paraId="206068A4">
      <w:pPr>
        <w:ind w:firstLine="460" w:firstLineChars="192"/>
        <w:rPr>
          <w:rFonts w:ascii="仿宋" w:hAnsi="仿宋" w:cs="仿宋"/>
          <w:color w:val="000000"/>
          <w:kern w:val="0"/>
        </w:rPr>
      </w:pPr>
      <w:r>
        <w:rPr>
          <w:rFonts w:hint="eastAsia" w:ascii="仿宋" w:hAnsi="仿宋" w:cs="仿宋"/>
          <w:color w:val="000000"/>
          <w:kern w:val="0"/>
        </w:rPr>
        <w:t>（5）投标文件标注的响应或偏离情况与事实不符或虚假应标的；</w:t>
      </w:r>
    </w:p>
    <w:p w14:paraId="07B22C5F">
      <w:pPr>
        <w:ind w:firstLine="460" w:firstLineChars="192"/>
        <w:rPr>
          <w:rFonts w:ascii="仿宋" w:hAnsi="仿宋" w:cs="仿宋"/>
          <w:color w:val="000000"/>
          <w:kern w:val="0"/>
        </w:rPr>
      </w:pPr>
      <w:r>
        <w:rPr>
          <w:rFonts w:hint="eastAsia" w:ascii="仿宋" w:hAnsi="仿宋" w:cs="仿宋"/>
          <w:color w:val="000000"/>
          <w:kern w:val="0"/>
        </w:rPr>
        <w:t>（6）提供虚假材料或者投标文件内容虚假的；</w:t>
      </w:r>
    </w:p>
    <w:p w14:paraId="42C65A59">
      <w:pPr>
        <w:ind w:firstLine="460" w:firstLineChars="192"/>
        <w:rPr>
          <w:rFonts w:ascii="仿宋" w:hAnsi="仿宋" w:cs="仿宋"/>
          <w:color w:val="000000"/>
          <w:kern w:val="0"/>
        </w:rPr>
      </w:pPr>
      <w:r>
        <w:rPr>
          <w:rFonts w:hint="eastAsia" w:ascii="仿宋" w:hAnsi="仿宋" w:cs="仿宋"/>
          <w:color w:val="000000"/>
          <w:kern w:val="0"/>
        </w:rPr>
        <w:t>（7）投标文件没有对招标文件作出实质性响应的；</w:t>
      </w:r>
    </w:p>
    <w:p w14:paraId="4D09A248">
      <w:pPr>
        <w:ind w:firstLine="460" w:firstLineChars="192"/>
        <w:rPr>
          <w:rFonts w:ascii="仿宋" w:hAnsi="仿宋" w:cs="仿宋"/>
          <w:color w:val="000000"/>
          <w:kern w:val="0"/>
        </w:rPr>
      </w:pPr>
      <w:r>
        <w:rPr>
          <w:rFonts w:hint="eastAsia" w:ascii="仿宋" w:hAnsi="仿宋" w:cs="仿宋"/>
          <w:color w:val="000000"/>
          <w:kern w:val="0"/>
        </w:rPr>
        <w:t>（8）投标文件有效期不符合《招标文件》要求的；</w:t>
      </w:r>
    </w:p>
    <w:p w14:paraId="788362B1">
      <w:pPr>
        <w:ind w:firstLine="463" w:firstLineChars="193"/>
        <w:rPr>
          <w:rFonts w:ascii="仿宋" w:hAnsi="仿宋" w:cs="仿宋"/>
          <w:color w:val="000000"/>
          <w:kern w:val="0"/>
        </w:rPr>
      </w:pPr>
      <w:r>
        <w:rPr>
          <w:rFonts w:hint="eastAsia" w:ascii="仿宋" w:hAnsi="仿宋" w:cs="仿宋"/>
          <w:color w:val="000000"/>
          <w:kern w:val="0"/>
        </w:rPr>
        <w:t>（9）不响应或擅自改变《招标文件》要求或《投标文件》有招标人不能接受的附加条件的；</w:t>
      </w:r>
    </w:p>
    <w:p w14:paraId="44E47A27">
      <w:pPr>
        <w:ind w:firstLine="463" w:firstLineChars="193"/>
        <w:rPr>
          <w:rFonts w:ascii="仿宋" w:hAnsi="仿宋" w:cs="仿宋"/>
          <w:color w:val="000000"/>
          <w:kern w:val="0"/>
        </w:rPr>
      </w:pPr>
      <w:r>
        <w:rPr>
          <w:rFonts w:hint="eastAsia" w:ascii="仿宋" w:hAnsi="仿宋" w:cs="仿宋"/>
          <w:color w:val="000000"/>
          <w:kern w:val="0"/>
        </w:rPr>
        <w:t>（10）不符合《苍南县县级预算单位公款竞争性存放管理暂行办法》（苍政办〔2019〕7号）等公款存放相关规定和招标文件中规定的其他实质性要求的。</w:t>
      </w:r>
    </w:p>
    <w:p w14:paraId="1BDDB476">
      <w:pPr>
        <w:ind w:firstLine="463" w:firstLineChars="192"/>
        <w:rPr>
          <w:rFonts w:ascii="仿宋" w:hAnsi="仿宋" w:cs="仿宋"/>
          <w:b/>
          <w:color w:val="000000" w:themeColor="text1"/>
          <w:kern w:val="0"/>
          <w14:textFill>
            <w14:solidFill>
              <w14:schemeClr w14:val="tx1"/>
            </w14:solidFill>
          </w14:textFill>
        </w:rPr>
      </w:pPr>
      <w:r>
        <w:rPr>
          <w:rFonts w:hint="eastAsia" w:ascii="仿宋" w:hAnsi="仿宋" w:cs="仿宋"/>
          <w:b/>
          <w:color w:val="000000" w:themeColor="text1"/>
          <w:kern w:val="0"/>
          <w14:textFill>
            <w14:solidFill>
              <w14:schemeClr w14:val="tx1"/>
            </w14:solidFill>
          </w14:textFill>
        </w:rPr>
        <w:t>20.3符合《招标文件》明确规定的其他无效投标条款的。</w:t>
      </w:r>
    </w:p>
    <w:p w14:paraId="436FA345">
      <w:pPr>
        <w:ind w:firstLine="463" w:firstLineChars="192"/>
        <w:rPr>
          <w:rFonts w:ascii="仿宋" w:hAnsi="仿宋" w:cs="仿宋"/>
          <w:b/>
          <w:color w:val="000000" w:themeColor="text1"/>
          <w:kern w:val="0"/>
          <w14:textFill>
            <w14:solidFill>
              <w14:schemeClr w14:val="tx1"/>
            </w14:solidFill>
          </w14:textFill>
        </w:rPr>
      </w:pPr>
      <w:r>
        <w:rPr>
          <w:rFonts w:hint="eastAsia" w:ascii="仿宋" w:hAnsi="仿宋" w:cs="仿宋"/>
          <w:b/>
          <w:color w:val="000000" w:themeColor="text1"/>
          <w:kern w:val="0"/>
          <w14:textFill>
            <w14:solidFill>
              <w14:schemeClr w14:val="tx1"/>
            </w14:solidFill>
          </w14:textFill>
        </w:rPr>
        <w:t>20.4有下列情形之一的，投标无效且将《投标文件》、《询标记录》等报监管部门查处：</w:t>
      </w:r>
    </w:p>
    <w:p w14:paraId="0EA528AE">
      <w:pPr>
        <w:ind w:firstLine="460" w:firstLineChars="192"/>
        <w:rPr>
          <w:rFonts w:ascii="仿宋" w:hAnsi="仿宋" w:cs="仿宋"/>
          <w:color w:val="000000" w:themeColor="text1"/>
          <w:kern w:val="0"/>
          <w14:textFill>
            <w14:solidFill>
              <w14:schemeClr w14:val="tx1"/>
            </w14:solidFill>
          </w14:textFill>
        </w:rPr>
      </w:pPr>
      <w:r>
        <w:rPr>
          <w:rFonts w:hint="eastAsia" w:ascii="仿宋" w:hAnsi="仿宋" w:cs="仿宋"/>
          <w:color w:val="000000" w:themeColor="text1"/>
          <w:kern w:val="0"/>
          <w14:textFill>
            <w14:solidFill>
              <w14:schemeClr w14:val="tx1"/>
            </w14:solidFill>
          </w14:textFill>
        </w:rPr>
        <w:t>（1）未如实违法违纪记录等信息，影响或者可能影响中标结果的；</w:t>
      </w:r>
    </w:p>
    <w:p w14:paraId="7B3076D8">
      <w:pPr>
        <w:ind w:firstLine="460" w:firstLineChars="192"/>
        <w:rPr>
          <w:rFonts w:ascii="仿宋" w:hAnsi="仿宋" w:cs="仿宋"/>
          <w:color w:val="000000" w:themeColor="text1"/>
          <w:kern w:val="0"/>
          <w14:textFill>
            <w14:solidFill>
              <w14:schemeClr w14:val="tx1"/>
            </w14:solidFill>
          </w14:textFill>
        </w:rPr>
      </w:pPr>
      <w:r>
        <w:rPr>
          <w:rFonts w:hint="eastAsia" w:ascii="仿宋" w:hAnsi="仿宋" w:cs="仿宋"/>
          <w:color w:val="000000" w:themeColor="text1"/>
          <w:kern w:val="0"/>
          <w14:textFill>
            <w14:solidFill>
              <w14:schemeClr w14:val="tx1"/>
            </w14:solidFill>
          </w14:textFill>
        </w:rPr>
        <w:t>（2）存在其他违法行为或其他严重干扰招投标秩序的行为的。</w:t>
      </w:r>
    </w:p>
    <w:p w14:paraId="2C2A9FE9">
      <w:pPr>
        <w:pStyle w:val="6"/>
      </w:pPr>
      <w:bookmarkStart w:id="60" w:name="_Toc452032120"/>
      <w:bookmarkStart w:id="61" w:name="_Toc1239"/>
      <w:bookmarkStart w:id="62" w:name="_Toc13366"/>
      <w:bookmarkStart w:id="63" w:name="_Toc28826"/>
      <w:bookmarkStart w:id="64" w:name="_Toc28997"/>
      <w:bookmarkStart w:id="65" w:name="_Toc440162789"/>
      <w:bookmarkStart w:id="66" w:name="_Toc27261"/>
      <w:bookmarkStart w:id="67" w:name="_Toc446950606"/>
      <w:bookmarkStart w:id="68" w:name="_Toc424164157"/>
      <w:r>
        <w:rPr>
          <w:rFonts w:hint="eastAsia"/>
        </w:rPr>
        <w:t>四、开标</w:t>
      </w:r>
      <w:bookmarkEnd w:id="60"/>
      <w:bookmarkEnd w:id="61"/>
      <w:bookmarkEnd w:id="62"/>
      <w:bookmarkEnd w:id="63"/>
      <w:bookmarkEnd w:id="64"/>
      <w:bookmarkEnd w:id="65"/>
      <w:bookmarkEnd w:id="66"/>
      <w:bookmarkEnd w:id="67"/>
      <w:bookmarkEnd w:id="68"/>
    </w:p>
    <w:p w14:paraId="1A79CBD2">
      <w:pPr>
        <w:rPr>
          <w:rFonts w:ascii="仿宋" w:hAnsi="仿宋" w:cs="仿宋"/>
          <w:b/>
          <w:color w:val="000000"/>
          <w:kern w:val="0"/>
        </w:rPr>
      </w:pPr>
      <w:r>
        <w:rPr>
          <w:rFonts w:hint="eastAsia" w:ascii="仿宋" w:hAnsi="仿宋" w:cs="仿宋"/>
          <w:b/>
          <w:color w:val="000000"/>
          <w:kern w:val="0"/>
        </w:rPr>
        <w:t>21、开标准备</w:t>
      </w:r>
    </w:p>
    <w:p w14:paraId="3C96EBF3">
      <w:pPr>
        <w:ind w:firstLine="482" w:firstLineChars="200"/>
        <w:rPr>
          <w:rFonts w:ascii="仿宋" w:hAnsi="仿宋" w:cs="仿宋"/>
          <w:b/>
          <w:color w:val="000000"/>
          <w:kern w:val="0"/>
        </w:rPr>
      </w:pPr>
      <w:r>
        <w:rPr>
          <w:rFonts w:hint="eastAsia" w:ascii="仿宋" w:hAnsi="仿宋" w:cs="仿宋"/>
          <w:b/>
          <w:color w:val="000000"/>
          <w:kern w:val="0"/>
        </w:rPr>
        <w:t>21.1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4F963B7C">
      <w:pPr>
        <w:ind w:firstLine="482" w:firstLineChars="200"/>
        <w:rPr>
          <w:rFonts w:ascii="仿宋" w:hAnsi="仿宋" w:cs="仿宋"/>
          <w:color w:val="000000"/>
          <w:kern w:val="0"/>
        </w:rPr>
      </w:pPr>
      <w:r>
        <w:rPr>
          <w:rFonts w:hint="eastAsia" w:ascii="仿宋" w:hAnsi="仿宋" w:cs="仿宋"/>
          <w:b/>
          <w:color w:val="000000"/>
          <w:kern w:val="0"/>
        </w:rPr>
        <w:t>22、开标程序</w:t>
      </w:r>
    </w:p>
    <w:p w14:paraId="4F107DFD">
      <w:pPr>
        <w:ind w:firstLine="463" w:firstLineChars="193"/>
        <w:rPr>
          <w:rFonts w:ascii="仿宋" w:hAnsi="仿宋" w:cs="仿宋"/>
          <w:color w:val="000000"/>
          <w:kern w:val="0"/>
        </w:rPr>
      </w:pPr>
      <w:r>
        <w:rPr>
          <w:rFonts w:hint="eastAsia" w:ascii="仿宋" w:hAnsi="仿宋" w:cs="仿宋"/>
          <w:color w:val="000000"/>
          <w:kern w:val="0"/>
        </w:rPr>
        <w:t>22.1开标会议由招标组织机构主持；</w:t>
      </w:r>
    </w:p>
    <w:p w14:paraId="11FBBEF5">
      <w:pPr>
        <w:ind w:firstLine="463" w:firstLineChars="193"/>
        <w:rPr>
          <w:rFonts w:ascii="仿宋" w:hAnsi="仿宋" w:cs="仿宋"/>
          <w:color w:val="000000"/>
          <w:kern w:val="0"/>
        </w:rPr>
      </w:pPr>
      <w:r>
        <w:rPr>
          <w:rFonts w:hint="eastAsia" w:ascii="仿宋" w:hAnsi="仿宋" w:cs="仿宋"/>
          <w:color w:val="000000"/>
          <w:kern w:val="0"/>
        </w:rPr>
        <w:t>22.2将投标文开启并进行评审。</w:t>
      </w:r>
    </w:p>
    <w:p w14:paraId="597657F1">
      <w:pPr>
        <w:ind w:firstLine="463" w:firstLineChars="193"/>
        <w:jc w:val="left"/>
        <w:rPr>
          <w:rFonts w:ascii="仿宋" w:hAnsi="仿宋" w:cs="仿宋"/>
          <w:color w:val="000000"/>
          <w:kern w:val="0"/>
        </w:rPr>
      </w:pPr>
      <w:r>
        <w:rPr>
          <w:rFonts w:hint="eastAsia" w:ascii="仿宋" w:hAnsi="仿宋" w:cs="仿宋"/>
          <w:color w:val="000000"/>
          <w:kern w:val="0"/>
        </w:rPr>
        <w:t>22.7评审结束后，公布中标（成交）候选供应商名单。</w:t>
      </w:r>
    </w:p>
    <w:p w14:paraId="6FEEC0AF">
      <w:pPr>
        <w:pStyle w:val="6"/>
      </w:pPr>
      <w:bookmarkStart w:id="69" w:name="_Toc20675"/>
      <w:bookmarkStart w:id="70" w:name="_Toc9167"/>
      <w:bookmarkStart w:id="71" w:name="_Toc7906"/>
      <w:bookmarkStart w:id="72" w:name="_Toc16609"/>
      <w:bookmarkStart w:id="73" w:name="_Toc24835"/>
      <w:bookmarkStart w:id="74" w:name="_Toc424164158"/>
      <w:bookmarkStart w:id="75" w:name="_Toc452032121"/>
      <w:bookmarkStart w:id="76" w:name="_Toc446950607"/>
      <w:bookmarkStart w:id="77" w:name="_Toc440162790"/>
      <w:r>
        <w:rPr>
          <w:rFonts w:hint="eastAsia"/>
        </w:rPr>
        <w:t>五、评标</w:t>
      </w:r>
      <w:bookmarkEnd w:id="69"/>
      <w:bookmarkEnd w:id="70"/>
      <w:bookmarkEnd w:id="71"/>
      <w:bookmarkEnd w:id="72"/>
      <w:bookmarkEnd w:id="73"/>
      <w:bookmarkEnd w:id="74"/>
      <w:bookmarkEnd w:id="75"/>
      <w:bookmarkEnd w:id="76"/>
      <w:bookmarkEnd w:id="77"/>
    </w:p>
    <w:p w14:paraId="2477E9A3">
      <w:pPr>
        <w:rPr>
          <w:rFonts w:ascii="仿宋" w:hAnsi="仿宋" w:cs="仿宋"/>
          <w:b/>
          <w:color w:val="000000"/>
          <w:kern w:val="0"/>
        </w:rPr>
      </w:pPr>
      <w:r>
        <w:rPr>
          <w:rFonts w:hint="eastAsia" w:ascii="仿宋" w:hAnsi="仿宋" w:cs="仿宋"/>
          <w:b/>
          <w:color w:val="000000"/>
          <w:kern w:val="0"/>
        </w:rPr>
        <w:t>23、组建评审小组</w:t>
      </w:r>
    </w:p>
    <w:p w14:paraId="6E771F84">
      <w:pPr>
        <w:ind w:firstLine="463" w:firstLineChars="193"/>
        <w:rPr>
          <w:rFonts w:ascii="仿宋" w:hAnsi="仿宋" w:cs="仿宋"/>
          <w:color w:val="000000"/>
          <w:kern w:val="0"/>
        </w:rPr>
      </w:pPr>
      <w:r>
        <w:rPr>
          <w:rFonts w:hint="eastAsia" w:ascii="仿宋" w:hAnsi="仿宋" w:cs="仿宋"/>
          <w:color w:val="000000"/>
          <w:kern w:val="0"/>
        </w:rPr>
        <w:t>本项目评审小组由招标组织机构依法组建，成员总数为5人或以上单数，包含评审专家及用户代表，其中评审专家不少于总人数的2/3。</w:t>
      </w:r>
    </w:p>
    <w:p w14:paraId="012163D3">
      <w:pPr>
        <w:rPr>
          <w:rFonts w:ascii="仿宋" w:hAnsi="仿宋" w:cs="仿宋"/>
          <w:b/>
          <w:color w:val="000000"/>
          <w:kern w:val="0"/>
        </w:rPr>
      </w:pPr>
      <w:r>
        <w:rPr>
          <w:rFonts w:hint="eastAsia" w:ascii="仿宋" w:hAnsi="仿宋" w:cs="仿宋"/>
          <w:b/>
          <w:color w:val="000000"/>
          <w:kern w:val="0"/>
        </w:rPr>
        <w:t>24、评审方式和依据</w:t>
      </w:r>
    </w:p>
    <w:p w14:paraId="4F458700">
      <w:pPr>
        <w:ind w:firstLine="463" w:firstLineChars="193"/>
        <w:rPr>
          <w:rFonts w:ascii="仿宋" w:hAnsi="仿宋" w:cs="仿宋"/>
          <w:color w:val="000000"/>
          <w:kern w:val="0"/>
        </w:rPr>
      </w:pPr>
      <w:r>
        <w:rPr>
          <w:rFonts w:hint="eastAsia" w:ascii="仿宋" w:hAnsi="仿宋" w:cs="仿宋"/>
          <w:color w:val="000000"/>
          <w:kern w:val="0"/>
        </w:rPr>
        <w:t>本项目采用不公开方式评审，评审的依据为《招标文件》、《投标文件》及其他招标文件中事先已列明的内容。</w:t>
      </w:r>
    </w:p>
    <w:p w14:paraId="3251ABBE">
      <w:pPr>
        <w:rPr>
          <w:rFonts w:ascii="仿宋" w:hAnsi="仿宋" w:cs="仿宋"/>
          <w:b/>
          <w:color w:val="000000"/>
          <w:kern w:val="0"/>
        </w:rPr>
      </w:pPr>
      <w:r>
        <w:rPr>
          <w:rFonts w:hint="eastAsia" w:ascii="仿宋" w:hAnsi="仿宋" w:cs="仿宋"/>
          <w:b/>
          <w:color w:val="000000"/>
          <w:kern w:val="0"/>
        </w:rPr>
        <w:t>25、评审程序</w:t>
      </w:r>
    </w:p>
    <w:p w14:paraId="69D56B30">
      <w:pPr>
        <w:ind w:firstLine="458" w:firstLineChars="191"/>
        <w:rPr>
          <w:rFonts w:ascii="仿宋" w:hAnsi="仿宋" w:cs="仿宋"/>
          <w:color w:val="000000"/>
          <w:kern w:val="0"/>
        </w:rPr>
      </w:pPr>
      <w:r>
        <w:rPr>
          <w:rFonts w:hint="eastAsia" w:ascii="仿宋" w:hAnsi="仿宋" w:cs="仿宋"/>
          <w:color w:val="000000"/>
          <w:kern w:val="0"/>
        </w:rPr>
        <w:t>25.1推选评审小组组长，由组长召集成员阅读招标文件及相关补充、质疑、答复文件、项目书面说明等材料，熟悉招标项目基本情况，招标项目的质量要求、数量、主要技术标准或服务需求，招标合同主要条款，投标文件无效情形，评审办法、评审依据、评审标准等。</w:t>
      </w:r>
    </w:p>
    <w:p w14:paraId="76D221AC">
      <w:pPr>
        <w:ind w:firstLine="458" w:firstLineChars="191"/>
        <w:rPr>
          <w:rFonts w:ascii="仿宋" w:hAnsi="仿宋" w:cs="仿宋"/>
          <w:kern w:val="0"/>
        </w:rPr>
      </w:pPr>
      <w:r>
        <w:rPr>
          <w:rFonts w:hint="eastAsia" w:ascii="仿宋" w:hAnsi="仿宋" w:cs="仿宋"/>
          <w:kern w:val="0"/>
        </w:rPr>
        <w:t>25.2依据法律法规和招标文件的规定，对投标文件中的资格证明进行审查，以确定投标银行是否具备投标资格。</w:t>
      </w:r>
    </w:p>
    <w:p w14:paraId="210C102A">
      <w:pPr>
        <w:ind w:firstLine="458" w:firstLineChars="191"/>
        <w:rPr>
          <w:rFonts w:ascii="仿宋" w:hAnsi="仿宋" w:cs="仿宋"/>
          <w:color w:val="000000"/>
          <w:kern w:val="0"/>
        </w:rPr>
      </w:pPr>
      <w:r>
        <w:rPr>
          <w:rFonts w:hint="eastAsia" w:ascii="仿宋" w:hAnsi="仿宋" w:cs="仿宋"/>
          <w:color w:val="000000"/>
          <w:kern w:val="0"/>
        </w:rPr>
        <w:t>25.3对各投标银行的投标文件的有效性、完整性和响应程度进行审查，确定是否对招标文件作出实质性响应。</w:t>
      </w:r>
    </w:p>
    <w:p w14:paraId="2E0CE17D">
      <w:pPr>
        <w:ind w:firstLine="458" w:firstLineChars="191"/>
        <w:rPr>
          <w:rFonts w:ascii="仿宋" w:hAnsi="仿宋" w:cs="仿宋"/>
          <w:color w:val="000000"/>
          <w:kern w:val="0"/>
        </w:rPr>
      </w:pPr>
      <w:r>
        <w:rPr>
          <w:rFonts w:hint="eastAsia" w:ascii="仿宋" w:hAnsi="仿宋" w:cs="仿宋"/>
          <w:color w:val="000000"/>
          <w:kern w:val="0"/>
        </w:rPr>
        <w:t>25.4按招标文件规定的评审办法和评审标准，依法独立对投标银行投标文件进行评估、比较，并给予评价或打分。</w:t>
      </w:r>
    </w:p>
    <w:p w14:paraId="605268CB">
      <w:pPr>
        <w:ind w:firstLine="458" w:firstLineChars="191"/>
        <w:rPr>
          <w:rFonts w:ascii="仿宋" w:hAnsi="仿宋" w:cs="仿宋"/>
          <w:color w:val="000000"/>
          <w:kern w:val="0"/>
        </w:rPr>
      </w:pPr>
      <w:r>
        <w:rPr>
          <w:rFonts w:hint="eastAsia" w:ascii="仿宋" w:hAnsi="仿宋" w:cs="仿宋"/>
          <w:color w:val="000000"/>
          <w:kern w:val="0"/>
        </w:rPr>
        <w:t>25.5评审人员如对投标银行投标文件非实质性内容有疑义或异议的，或者审查发现明显的文字或计算错误等情况，经商议认为需要投标银行作出澄清或说明的，以书面形式通知有关投标银行并要求其作出书面澄清或说明。</w:t>
      </w:r>
    </w:p>
    <w:p w14:paraId="6AB3F0E2">
      <w:pPr>
        <w:ind w:firstLine="458" w:firstLineChars="191"/>
        <w:rPr>
          <w:rFonts w:ascii="仿宋" w:hAnsi="仿宋" w:cs="仿宋"/>
          <w:color w:val="000000"/>
          <w:kern w:val="0"/>
        </w:rPr>
      </w:pPr>
      <w:r>
        <w:rPr>
          <w:rFonts w:hint="eastAsia" w:ascii="仿宋" w:hAnsi="仿宋" w:cs="仿宋"/>
          <w:color w:val="000000"/>
          <w:kern w:val="0"/>
        </w:rPr>
        <w:t>25.6汇总、统计、核对、确认评审结果，并依据招标文件规定确定中标（成交）候选人排序名单。</w:t>
      </w:r>
    </w:p>
    <w:p w14:paraId="04239FA6">
      <w:pPr>
        <w:ind w:firstLine="458" w:firstLineChars="191"/>
        <w:rPr>
          <w:rFonts w:ascii="仿宋" w:hAnsi="仿宋" w:cs="仿宋"/>
          <w:color w:val="000000"/>
          <w:kern w:val="0"/>
        </w:rPr>
      </w:pPr>
      <w:r>
        <w:rPr>
          <w:rFonts w:hint="eastAsia" w:ascii="仿宋" w:hAnsi="仿宋" w:cs="仿宋"/>
          <w:color w:val="000000"/>
          <w:kern w:val="0"/>
        </w:rPr>
        <w:t>25.7评审小组起草和签署评审报告。</w:t>
      </w:r>
    </w:p>
    <w:p w14:paraId="41CBCD86">
      <w:pPr>
        <w:rPr>
          <w:rFonts w:ascii="仿宋" w:hAnsi="仿宋" w:cs="仿宋"/>
          <w:b/>
          <w:color w:val="000000"/>
          <w:kern w:val="0"/>
        </w:rPr>
      </w:pPr>
      <w:r>
        <w:rPr>
          <w:rFonts w:hint="eastAsia" w:ascii="仿宋" w:hAnsi="仿宋" w:cs="仿宋"/>
          <w:b/>
          <w:color w:val="000000"/>
          <w:kern w:val="0"/>
        </w:rPr>
        <w:t>26、投标银行澄清问题的形式</w:t>
      </w:r>
    </w:p>
    <w:p w14:paraId="08382CF5">
      <w:pPr>
        <w:ind w:firstLine="480" w:firstLineChars="200"/>
        <w:rPr>
          <w:rFonts w:ascii="仿宋" w:hAnsi="仿宋" w:cs="仿宋"/>
          <w:kern w:val="0"/>
        </w:rPr>
      </w:pPr>
      <w:r>
        <w:rPr>
          <w:rFonts w:hint="eastAsia" w:ascii="仿宋" w:hAnsi="仿宋" w:cs="仿宋"/>
          <w:kern w:val="0"/>
        </w:rPr>
        <w:t>对《投标文件》含义不明确、同类问题表述不一致或者有明显文字描述和计算错误的内容，评审小组可以书面形式要求投标银行在规定的时间内作出必要的澄清、说明或者纠正。投标银行的澄清、说明或者纠正应采用书面形式，由其授权的代表签字，并不得超出投标文件的范围或者改变《投标文件》的实质性内容。</w:t>
      </w:r>
    </w:p>
    <w:p w14:paraId="5E8D6A55">
      <w:pPr>
        <w:rPr>
          <w:rFonts w:ascii="仿宋" w:hAnsi="仿宋" w:cs="仿宋"/>
          <w:b/>
          <w:color w:val="000000"/>
          <w:kern w:val="0"/>
        </w:rPr>
      </w:pPr>
      <w:r>
        <w:rPr>
          <w:rFonts w:hint="eastAsia" w:ascii="仿宋" w:hAnsi="仿宋" w:cs="仿宋"/>
          <w:b/>
          <w:color w:val="000000"/>
          <w:kern w:val="0"/>
        </w:rPr>
        <w:t>27、错误修正</w:t>
      </w:r>
    </w:p>
    <w:p w14:paraId="1F28DCB6">
      <w:pPr>
        <w:ind w:firstLine="463" w:firstLineChars="193"/>
        <w:rPr>
          <w:rFonts w:ascii="仿宋" w:hAnsi="仿宋" w:cs="仿宋"/>
          <w:color w:val="000000"/>
          <w:kern w:val="0"/>
        </w:rPr>
      </w:pPr>
      <w:r>
        <w:rPr>
          <w:rFonts w:hint="eastAsia" w:ascii="仿宋" w:hAnsi="仿宋" w:cs="仿宋"/>
          <w:color w:val="000000"/>
          <w:kern w:val="0"/>
        </w:rPr>
        <w:t>《投标文件》如果出现计算或表达上的错误，修正错误的原则如下：</w:t>
      </w:r>
    </w:p>
    <w:p w14:paraId="177EB0B3">
      <w:pPr>
        <w:ind w:firstLine="463" w:firstLineChars="193"/>
        <w:rPr>
          <w:rFonts w:ascii="仿宋" w:hAnsi="仿宋" w:cs="仿宋"/>
          <w:color w:val="000000"/>
          <w:kern w:val="0"/>
        </w:rPr>
      </w:pPr>
      <w:r>
        <w:rPr>
          <w:rFonts w:hint="eastAsia" w:ascii="仿宋" w:hAnsi="仿宋" w:cs="仿宋"/>
          <w:color w:val="000000"/>
          <w:kern w:val="0"/>
        </w:rPr>
        <w:t>（1）对不同文字文本《投标文件》的解释发生异议的，以中文文本为准。</w:t>
      </w:r>
    </w:p>
    <w:p w14:paraId="65505101">
      <w:pPr>
        <w:rPr>
          <w:rFonts w:ascii="仿宋" w:hAnsi="仿宋" w:cs="仿宋"/>
          <w:b/>
          <w:color w:val="000000"/>
          <w:kern w:val="0"/>
        </w:rPr>
      </w:pPr>
      <w:r>
        <w:rPr>
          <w:rFonts w:hint="eastAsia" w:ascii="仿宋" w:hAnsi="仿宋" w:cs="仿宋"/>
          <w:b/>
          <w:color w:val="000000"/>
          <w:kern w:val="0"/>
        </w:rPr>
        <w:t>28、评审原则和评审办法</w:t>
      </w:r>
    </w:p>
    <w:p w14:paraId="1BAF767D">
      <w:pPr>
        <w:ind w:left="1" w:firstLine="463" w:firstLineChars="192"/>
        <w:rPr>
          <w:rFonts w:ascii="仿宋" w:hAnsi="仿宋" w:cs="仿宋"/>
          <w:color w:val="000000"/>
          <w:kern w:val="0"/>
        </w:rPr>
      </w:pPr>
      <w:r>
        <w:rPr>
          <w:rFonts w:hint="eastAsia" w:ascii="仿宋" w:hAnsi="仿宋" w:cs="仿宋"/>
          <w:b/>
          <w:color w:val="000000"/>
          <w:kern w:val="0"/>
        </w:rPr>
        <w:t>28.1评审原则</w:t>
      </w:r>
      <w:r>
        <w:rPr>
          <w:rFonts w:hint="eastAsia" w:ascii="仿宋" w:hAnsi="仿宋" w:cs="仿宋"/>
          <w:color w:val="000000"/>
          <w:kern w:val="0"/>
        </w:rPr>
        <w:t xml:space="preserve">：公平、公正、客观，不带任何倾向性和启发性； </w:t>
      </w:r>
    </w:p>
    <w:p w14:paraId="7294FD4B">
      <w:pPr>
        <w:ind w:left="1" w:firstLine="463" w:firstLineChars="192"/>
        <w:rPr>
          <w:rFonts w:ascii="仿宋" w:hAnsi="仿宋" w:cs="仿宋"/>
          <w:color w:val="000000"/>
          <w:kern w:val="0"/>
        </w:rPr>
      </w:pPr>
      <w:r>
        <w:rPr>
          <w:rFonts w:hint="eastAsia" w:ascii="仿宋" w:hAnsi="仿宋" w:cs="仿宋"/>
          <w:b/>
          <w:color w:val="000000"/>
          <w:kern w:val="0"/>
        </w:rPr>
        <w:t>28.2评审办法</w:t>
      </w:r>
      <w:r>
        <w:rPr>
          <w:rFonts w:hint="eastAsia" w:ascii="仿宋" w:hAnsi="仿宋" w:cs="仿宋"/>
          <w:color w:val="000000"/>
          <w:kern w:val="0"/>
        </w:rPr>
        <w:t>：</w:t>
      </w:r>
      <w:r>
        <w:rPr>
          <w:rFonts w:hint="eastAsia" w:ascii="仿宋" w:hAnsi="仿宋" w:cs="仿宋"/>
          <w:b/>
          <w:color w:val="000000"/>
          <w:kern w:val="0"/>
        </w:rPr>
        <w:t>本项目采用综合评分办法。投标银行的综合得分为评分细则各部分评分内容得分的总和，投标银行的最终评审得分为评标委员会各成员评分的算术平均值。具体评审内容及评分标准等详见《第四章：评审办法及评分标准》。</w:t>
      </w:r>
    </w:p>
    <w:p w14:paraId="0EB976B6">
      <w:pPr>
        <w:rPr>
          <w:rFonts w:ascii="仿宋" w:hAnsi="仿宋" w:cs="仿宋"/>
          <w:b/>
          <w:color w:val="000000"/>
          <w:kern w:val="0"/>
        </w:rPr>
      </w:pPr>
      <w:r>
        <w:rPr>
          <w:rFonts w:hint="eastAsia" w:ascii="仿宋" w:hAnsi="仿宋" w:cs="仿宋"/>
          <w:b/>
          <w:color w:val="000000"/>
          <w:kern w:val="0"/>
        </w:rPr>
        <w:t>29、评审过程的纪律</w:t>
      </w:r>
    </w:p>
    <w:p w14:paraId="7EBD6089">
      <w:pPr>
        <w:ind w:firstLine="480" w:firstLineChars="200"/>
        <w:rPr>
          <w:rFonts w:ascii="仿宋" w:hAnsi="仿宋" w:cs="仿宋"/>
          <w:color w:val="000000"/>
          <w:kern w:val="0"/>
        </w:rPr>
      </w:pPr>
      <w:r>
        <w:rPr>
          <w:rFonts w:hint="eastAsia" w:ascii="仿宋" w:hAnsi="仿宋" w:cs="仿宋"/>
          <w:color w:val="000000"/>
          <w:kern w:val="0"/>
        </w:rPr>
        <w:t>本项目评审过程由招标组织机构负责组织，由监督员进行现场监督。评审小组不得向外界透露任何与评标有关的内容；任何单位和个人不得干扰、影响评标的正常进行；评审小组及有关工作人员不得私下与投标银行接触；浙江省政府招标活动现场组织管理办法中规定的其他禁止行为。</w:t>
      </w:r>
      <w:r>
        <w:rPr>
          <w:rFonts w:hint="eastAsia" w:ascii="仿宋" w:hAnsi="仿宋" w:cs="仿宋"/>
          <w:kern w:val="0"/>
        </w:rPr>
        <w:t>▲</w:t>
      </w:r>
      <w:r>
        <w:rPr>
          <w:rFonts w:hint="eastAsia" w:ascii="仿宋" w:hAnsi="仿宋" w:cs="仿宋"/>
          <w:b/>
          <w:kern w:val="0"/>
        </w:rPr>
        <w:t>投标银行在评标过程中所进行的企图影响评标结果的不公正活动，将导致其投标作无效标处理。</w:t>
      </w:r>
    </w:p>
    <w:p w14:paraId="56488FB5">
      <w:pPr>
        <w:pStyle w:val="6"/>
      </w:pPr>
      <w:bookmarkStart w:id="78" w:name="_Toc424164159"/>
      <w:bookmarkStart w:id="79" w:name="_Toc11804"/>
      <w:bookmarkStart w:id="80" w:name="_Toc15984"/>
      <w:bookmarkStart w:id="81" w:name="_Toc446950608"/>
      <w:bookmarkStart w:id="82" w:name="_Toc23096"/>
      <w:bookmarkStart w:id="83" w:name="_Toc5672"/>
      <w:bookmarkStart w:id="84" w:name="_Toc452032122"/>
      <w:bookmarkStart w:id="85" w:name="_Toc1015"/>
      <w:bookmarkStart w:id="86" w:name="_Toc440162791"/>
      <w:r>
        <w:rPr>
          <w:rFonts w:hint="eastAsia"/>
        </w:rPr>
        <w:t>六、</w:t>
      </w:r>
      <w:bookmarkEnd w:id="78"/>
      <w:r>
        <w:rPr>
          <w:rFonts w:hint="eastAsia"/>
        </w:rPr>
        <w:t>招标结果发布</w:t>
      </w:r>
      <w:bookmarkEnd w:id="79"/>
      <w:bookmarkEnd w:id="80"/>
      <w:bookmarkEnd w:id="81"/>
      <w:bookmarkEnd w:id="82"/>
      <w:bookmarkEnd w:id="83"/>
      <w:bookmarkEnd w:id="84"/>
      <w:bookmarkEnd w:id="85"/>
      <w:bookmarkEnd w:id="86"/>
    </w:p>
    <w:p w14:paraId="20968770">
      <w:pPr>
        <w:rPr>
          <w:rFonts w:ascii="仿宋" w:hAnsi="仿宋" w:cs="仿宋"/>
          <w:b/>
          <w:color w:val="000000"/>
          <w:kern w:val="0"/>
        </w:rPr>
      </w:pPr>
      <w:r>
        <w:rPr>
          <w:rFonts w:hint="eastAsia" w:ascii="仿宋" w:hAnsi="仿宋" w:cs="仿宋"/>
          <w:b/>
          <w:color w:val="000000"/>
          <w:kern w:val="0"/>
        </w:rPr>
        <w:t>30、中标结果确定</w:t>
      </w:r>
    </w:p>
    <w:p w14:paraId="06EE7260">
      <w:pPr>
        <w:ind w:firstLine="465" w:firstLineChars="193"/>
        <w:rPr>
          <w:rFonts w:ascii="仿宋" w:hAnsi="仿宋" w:cs="仿宋"/>
          <w:b/>
          <w:kern w:val="0"/>
        </w:rPr>
      </w:pPr>
      <w:r>
        <w:rPr>
          <w:rFonts w:hint="eastAsia" w:ascii="仿宋" w:hAnsi="仿宋" w:cs="仿宋"/>
          <w:b/>
          <w:kern w:val="0"/>
        </w:rPr>
        <w:t>本项目由招标人根据评审小组提交的《评审报告》依法确定中标（成交）单位。</w:t>
      </w:r>
    </w:p>
    <w:p w14:paraId="3ADE1972">
      <w:pPr>
        <w:ind w:left="1" w:firstLine="416" w:firstLineChars="193"/>
        <w:rPr>
          <w:rFonts w:ascii="仿宋" w:hAnsi="仿宋" w:cs="仿宋"/>
          <w:color w:val="000000"/>
          <w:kern w:val="0"/>
        </w:rPr>
      </w:pPr>
      <w:r>
        <w:rPr>
          <w:rFonts w:hint="eastAsia" w:ascii="仿宋" w:hAnsi="仿宋" w:cs="仿宋"/>
          <w:color w:val="000000"/>
          <w:w w:val="90"/>
        </w:rPr>
        <w:t>招标人将在评审结束之日起7个工作日内确定中标（成交）单位。自中标（成交）单位确定之日起2个工作日内发出中标（成交）通知书，并发布中标公告</w:t>
      </w:r>
      <w:r>
        <w:rPr>
          <w:rFonts w:hint="eastAsia" w:ascii="仿宋" w:hAnsi="仿宋" w:cs="仿宋"/>
          <w:b/>
          <w:kern w:val="0"/>
        </w:rPr>
        <w:t>。</w:t>
      </w:r>
    </w:p>
    <w:p w14:paraId="3DFBCEB8">
      <w:pPr>
        <w:rPr>
          <w:rFonts w:ascii="仿宋" w:hAnsi="仿宋" w:cs="仿宋"/>
          <w:color w:val="000000"/>
          <w:kern w:val="0"/>
        </w:rPr>
      </w:pPr>
      <w:r>
        <w:rPr>
          <w:rFonts w:hint="eastAsia" w:ascii="仿宋" w:hAnsi="仿宋" w:cs="仿宋"/>
          <w:b/>
          <w:color w:val="000000"/>
          <w:kern w:val="0"/>
        </w:rPr>
        <w:t>31、中标通知书签发</w:t>
      </w:r>
    </w:p>
    <w:p w14:paraId="1C1A0BF7">
      <w:pPr>
        <w:ind w:firstLine="432" w:firstLineChars="200"/>
        <w:rPr>
          <w:rFonts w:ascii="仿宋" w:hAnsi="仿宋" w:cs="仿宋"/>
          <w:color w:val="000000"/>
          <w:kern w:val="0"/>
        </w:rPr>
      </w:pPr>
      <w:r>
        <w:rPr>
          <w:rFonts w:hint="eastAsia" w:ascii="仿宋" w:hAnsi="仿宋" w:cs="仿宋"/>
          <w:color w:val="000000"/>
          <w:w w:val="90"/>
        </w:rPr>
        <w:t>自中标（成交）单位确定之日起2个工作日内发出中标（成交）通知书，并发布中标公告。</w:t>
      </w:r>
    </w:p>
    <w:p w14:paraId="7CFC035B">
      <w:pPr>
        <w:pStyle w:val="6"/>
      </w:pPr>
      <w:bookmarkStart w:id="87" w:name="_Toc888"/>
      <w:bookmarkStart w:id="88" w:name="_Toc440162792"/>
      <w:bookmarkStart w:id="89" w:name="_Toc26366"/>
      <w:bookmarkStart w:id="90" w:name="_Toc446950609"/>
      <w:bookmarkStart w:id="91" w:name="_Toc424164160"/>
      <w:bookmarkStart w:id="92" w:name="_Toc452032123"/>
      <w:bookmarkStart w:id="93" w:name="_Toc5454"/>
      <w:bookmarkStart w:id="94" w:name="_Toc6917"/>
      <w:bookmarkStart w:id="95" w:name="_Toc19038"/>
      <w:r>
        <w:rPr>
          <w:rFonts w:hint="eastAsia"/>
        </w:rPr>
        <w:t>七、合同授予</w:t>
      </w:r>
      <w:bookmarkEnd w:id="87"/>
      <w:bookmarkEnd w:id="88"/>
      <w:bookmarkEnd w:id="89"/>
      <w:bookmarkEnd w:id="90"/>
      <w:bookmarkEnd w:id="91"/>
      <w:bookmarkEnd w:id="92"/>
      <w:bookmarkEnd w:id="93"/>
      <w:bookmarkEnd w:id="94"/>
      <w:bookmarkEnd w:id="95"/>
    </w:p>
    <w:p w14:paraId="7E82BFBE">
      <w:pPr>
        <w:rPr>
          <w:rFonts w:ascii="仿宋" w:hAnsi="仿宋" w:cs="仿宋"/>
          <w:b/>
          <w:color w:val="000000"/>
          <w:kern w:val="0"/>
        </w:rPr>
      </w:pPr>
      <w:r>
        <w:rPr>
          <w:rFonts w:hint="eastAsia" w:ascii="仿宋" w:hAnsi="仿宋" w:cs="仿宋"/>
          <w:b/>
          <w:color w:val="000000"/>
          <w:kern w:val="0"/>
        </w:rPr>
        <w:t>32、签订合同</w:t>
      </w:r>
    </w:p>
    <w:p w14:paraId="0FB442A4">
      <w:pPr>
        <w:rPr>
          <w:rFonts w:ascii="仿宋" w:hAnsi="仿宋" w:cs="仿宋"/>
          <w:color w:val="000000"/>
          <w:kern w:val="0"/>
        </w:rPr>
      </w:pPr>
      <w:r>
        <w:rPr>
          <w:rFonts w:hint="eastAsia" w:ascii="仿宋" w:hAnsi="仿宋" w:cs="仿宋"/>
          <w:color w:val="000000"/>
          <w:kern w:val="0"/>
        </w:rPr>
        <w:t>32.1中标（成交）供应商应按投标须知前附表中规定的时间内与招标人签订政府招标合同。同时，招标组织机构根据委托代理事项对合同内容进行审查，如发现与招标结果和投标承诺内容不一致的，应予以纠正。</w:t>
      </w:r>
    </w:p>
    <w:p w14:paraId="0F856DAC">
      <w:pPr>
        <w:rPr>
          <w:rFonts w:ascii="仿宋" w:hAnsi="仿宋" w:cs="仿宋"/>
          <w:color w:val="000000"/>
          <w:kern w:val="0"/>
        </w:rPr>
      </w:pPr>
      <w:r>
        <w:rPr>
          <w:rFonts w:hint="eastAsia" w:ascii="仿宋" w:hAnsi="仿宋" w:cs="仿宋"/>
          <w:color w:val="000000"/>
          <w:kern w:val="0"/>
        </w:rPr>
        <w:t>32.2中标（成交）供应商拖延、拒签合同的，将被取消中标资格；给招标人及使用单位造成损失的应按照相关规定进行赔偿。</w:t>
      </w:r>
      <w:r>
        <w:rPr>
          <w:rFonts w:hint="eastAsia" w:ascii="仿宋" w:hAnsi="仿宋" w:cs="仿宋"/>
          <w:b/>
          <w:color w:val="000000"/>
        </w:rPr>
        <w:t>招标人重新组织招标的，所需费用由原中标供应商承担。</w:t>
      </w:r>
    </w:p>
    <w:p w14:paraId="6730B9E7">
      <w:pPr>
        <w:rPr>
          <w:rFonts w:ascii="仿宋" w:hAnsi="仿宋" w:cs="仿宋"/>
          <w:b/>
          <w:color w:val="000000"/>
          <w:kern w:val="0"/>
        </w:rPr>
      </w:pPr>
      <w:r>
        <w:rPr>
          <w:rFonts w:hint="eastAsia" w:ascii="仿宋" w:hAnsi="仿宋" w:cs="仿宋"/>
          <w:b/>
          <w:color w:val="000000"/>
          <w:kern w:val="0"/>
        </w:rPr>
        <w:t>33、招标代理服务费</w:t>
      </w:r>
    </w:p>
    <w:p w14:paraId="73E68A4C">
      <w:pPr>
        <w:ind w:right="48" w:rightChars="20"/>
        <w:rPr>
          <w:rFonts w:ascii="Arial" w:hAnsi="Arial" w:eastAsia="新宋体" w:cs="Arial"/>
          <w:sz w:val="22"/>
          <w:szCs w:val="22"/>
        </w:rPr>
      </w:pPr>
      <w:r>
        <w:rPr>
          <w:rFonts w:hint="eastAsia" w:ascii="仿宋" w:hAnsi="仿宋" w:cs="仿宋"/>
          <w:color w:val="000000"/>
        </w:rPr>
        <w:t>33.1</w:t>
      </w:r>
      <w:r>
        <w:rPr>
          <w:rFonts w:hint="eastAsia" w:ascii="仿宋" w:hAnsi="仿宋" w:cs="仿宋"/>
          <w:color w:val="000000"/>
          <w:kern w:val="0"/>
        </w:rPr>
        <w:t>中标（成交）供应商在领取《中标通知书》前，须按《投标须知前附表》的规定一次性向招标组织机构支付招标代理服务费。</w:t>
      </w:r>
      <w:bookmarkStart w:id="96" w:name="_Toc424164161"/>
      <w:bookmarkStart w:id="97" w:name="_Toc16013"/>
      <w:bookmarkStart w:id="98" w:name="_Toc440162793"/>
      <w:bookmarkStart w:id="99" w:name="_Toc8437"/>
      <w:bookmarkStart w:id="100" w:name="_Toc27187"/>
      <w:bookmarkStart w:id="101" w:name="_Toc1454"/>
      <w:bookmarkStart w:id="102" w:name="_Toc446950610"/>
      <w:bookmarkStart w:id="103" w:name="_Toc452032124"/>
      <w:bookmarkStart w:id="104" w:name="_Toc2429"/>
      <w:r>
        <w:rPr>
          <w:rFonts w:hint="eastAsia"/>
        </w:rPr>
        <w:br w:type="page"/>
      </w:r>
      <w:r>
        <w:t xml:space="preserve">                 </w:t>
      </w:r>
      <w:r>
        <w:rPr>
          <w:rFonts w:hint="eastAsia"/>
          <w:b/>
          <w:bCs/>
          <w:sz w:val="40"/>
          <w:szCs w:val="40"/>
        </w:rPr>
        <w:t>第四章</w:t>
      </w:r>
      <w:r>
        <w:rPr>
          <w:b/>
          <w:bCs/>
          <w:sz w:val="40"/>
          <w:szCs w:val="40"/>
        </w:rPr>
        <w:t xml:space="preserve"> </w:t>
      </w:r>
      <w:bookmarkEnd w:id="96"/>
      <w:r>
        <w:rPr>
          <w:rFonts w:hint="eastAsia"/>
          <w:b/>
          <w:bCs/>
          <w:sz w:val="40"/>
          <w:szCs w:val="40"/>
        </w:rPr>
        <w:t>评审办法及标准</w:t>
      </w:r>
      <w:bookmarkEnd w:id="97"/>
      <w:bookmarkEnd w:id="98"/>
      <w:bookmarkEnd w:id="99"/>
      <w:bookmarkEnd w:id="100"/>
      <w:bookmarkEnd w:id="101"/>
      <w:bookmarkEnd w:id="102"/>
      <w:bookmarkEnd w:id="103"/>
      <w:bookmarkEnd w:id="104"/>
    </w:p>
    <w:p w14:paraId="3C9F3947">
      <w:pPr>
        <w:ind w:firstLine="482" w:firstLineChars="200"/>
        <w:rPr>
          <w:rFonts w:ascii="宋体" w:hAnsi="宋体" w:eastAsia="宋体" w:cs="仿宋"/>
          <w:b/>
          <w:color w:val="000000"/>
          <w:kern w:val="0"/>
        </w:rPr>
      </w:pPr>
      <w:r>
        <w:rPr>
          <w:rFonts w:hint="eastAsia" w:ascii="宋体" w:hAnsi="宋体" w:eastAsia="宋体" w:cs="仿宋"/>
          <w:b/>
          <w:color w:val="000000"/>
          <w:kern w:val="0"/>
        </w:rPr>
        <w:t>为公正、公平、科学地选择中标（成交）供应商，《浙江省财政厅关于印发浙江省省级行政事业单位公款竞争性存放管理办法的通知》（浙财预执〔2021〕7号）、《苍南县县级预算单位公款竞争性存放管理暂行办法》（苍政办〔2019〕7号）</w:t>
      </w:r>
      <w:r>
        <w:rPr>
          <w:rFonts w:hint="eastAsia" w:ascii="宋体" w:hAnsi="宋体" w:eastAsia="宋体" w:cs="仿宋"/>
          <w:b/>
          <w:color w:val="000000"/>
          <w:kern w:val="0"/>
          <w:lang w:val="en-US" w:eastAsia="zh-CN"/>
        </w:rPr>
        <w:t>等</w:t>
      </w:r>
      <w:r>
        <w:rPr>
          <w:rFonts w:hint="eastAsia" w:ascii="宋体" w:hAnsi="宋体" w:eastAsia="宋体" w:cs="仿宋"/>
          <w:b/>
          <w:color w:val="000000"/>
          <w:kern w:val="0"/>
        </w:rPr>
        <w:t>公款存放相关规定，并结合本项目的实际，制定本办法。</w:t>
      </w:r>
    </w:p>
    <w:p w14:paraId="7F74832A">
      <w:pPr>
        <w:ind w:firstLine="480" w:firstLineChars="200"/>
        <w:rPr>
          <w:rFonts w:ascii="宋体" w:hAnsi="宋体" w:eastAsia="宋体" w:cs="仿宋"/>
          <w:color w:val="000000"/>
          <w:kern w:val="0"/>
        </w:rPr>
      </w:pPr>
      <w:r>
        <w:rPr>
          <w:rFonts w:hint="eastAsia" w:ascii="宋体" w:hAnsi="宋体" w:eastAsia="宋体" w:cs="仿宋"/>
          <w:color w:val="000000"/>
          <w:kern w:val="0"/>
        </w:rPr>
        <w:t>本办法适用于</w:t>
      </w:r>
      <w:r>
        <w:rPr>
          <w:rFonts w:hint="eastAsia" w:ascii="宋体" w:hAnsi="宋体" w:eastAsia="宋体" w:cs="仿宋"/>
          <w:b/>
          <w:color w:val="000000"/>
          <w:kern w:val="0"/>
          <w:u w:val="single"/>
          <w:lang w:eastAsia="zh-CN"/>
        </w:rPr>
        <w:t>苍南县人民法院2025年度公款竞争性存放项目</w:t>
      </w:r>
      <w:r>
        <w:rPr>
          <w:rFonts w:hint="eastAsia" w:ascii="宋体" w:hAnsi="宋体" w:eastAsia="宋体" w:cs="仿宋"/>
          <w:color w:val="000000"/>
          <w:kern w:val="0"/>
        </w:rPr>
        <w:t>的评审。</w:t>
      </w:r>
    </w:p>
    <w:p w14:paraId="2B381FDA">
      <w:pPr>
        <w:autoSpaceDE w:val="0"/>
        <w:autoSpaceDN w:val="0"/>
        <w:adjustRightInd w:val="0"/>
        <w:ind w:firstLine="482" w:firstLineChars="200"/>
        <w:rPr>
          <w:rFonts w:ascii="宋体" w:hAnsi="宋体" w:eastAsia="宋体" w:cs="仿宋"/>
          <w:b/>
          <w:color w:val="000000" w:themeColor="text1"/>
          <w:kern w:val="0"/>
          <w14:textFill>
            <w14:solidFill>
              <w14:schemeClr w14:val="tx1"/>
            </w14:solidFill>
          </w14:textFill>
        </w:rPr>
      </w:pPr>
      <w:r>
        <w:rPr>
          <w:rFonts w:hint="eastAsia" w:ascii="宋体" w:hAnsi="宋体" w:eastAsia="宋体" w:cs="仿宋"/>
          <w:b/>
          <w:color w:val="000000" w:themeColor="text1"/>
          <w:kern w:val="0"/>
          <w14:textFill>
            <w14:solidFill>
              <w14:schemeClr w14:val="tx1"/>
            </w14:solidFill>
          </w14:textFill>
        </w:rPr>
        <w:t>本项目采用综合评分办法。综合打分的内容为经营状态、服务水平、经济发展贡献、综合收益水平等方面进行综合评审。投标银行的最终评审得分为评标委员会各成员评分的算术平均值。具体评分细则如下：</w:t>
      </w:r>
    </w:p>
    <w:tbl>
      <w:tblPr>
        <w:tblStyle w:val="39"/>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432"/>
        <w:gridCol w:w="5986"/>
        <w:gridCol w:w="1120"/>
      </w:tblGrid>
      <w:tr w14:paraId="4E73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blHeader/>
          <w:jc w:val="center"/>
        </w:trPr>
        <w:tc>
          <w:tcPr>
            <w:tcW w:w="1321" w:type="dxa"/>
            <w:noWrap w:val="0"/>
            <w:vAlign w:val="center"/>
          </w:tcPr>
          <w:p w14:paraId="167E2D11">
            <w:pPr>
              <w:spacing w:line="240" w:lineRule="auto"/>
              <w:jc w:val="center"/>
              <w:rPr>
                <w:rFonts w:hint="eastAsia" w:ascii="宋体" w:hAnsi="宋体" w:eastAsia="宋体" w:cs="宋体"/>
                <w:b/>
                <w:bCs w:val="0"/>
                <w:color w:val="000000" w:themeColor="text1"/>
                <w:w w:val="90"/>
                <w:sz w:val="24"/>
                <w:szCs w:val="24"/>
                <w14:textFill>
                  <w14:solidFill>
                    <w14:schemeClr w14:val="tx1"/>
                  </w14:solidFill>
                </w14:textFill>
              </w:rPr>
            </w:pPr>
            <w:r>
              <w:rPr>
                <w:rFonts w:hint="eastAsia" w:ascii="宋体" w:hAnsi="宋体" w:eastAsia="宋体" w:cs="宋体"/>
                <w:b/>
                <w:bCs w:val="0"/>
                <w:color w:val="000000" w:themeColor="text1"/>
                <w:w w:val="90"/>
                <w:sz w:val="24"/>
                <w:szCs w:val="24"/>
                <w14:textFill>
                  <w14:solidFill>
                    <w14:schemeClr w14:val="tx1"/>
                  </w14:solidFill>
                </w14:textFill>
              </w:rPr>
              <w:t>项目</w:t>
            </w:r>
          </w:p>
        </w:tc>
        <w:tc>
          <w:tcPr>
            <w:tcW w:w="7418" w:type="dxa"/>
            <w:gridSpan w:val="2"/>
            <w:noWrap w:val="0"/>
            <w:vAlign w:val="center"/>
          </w:tcPr>
          <w:p w14:paraId="7DEC1ED0">
            <w:pPr>
              <w:spacing w:line="240" w:lineRule="auto"/>
              <w:jc w:val="center"/>
              <w:rPr>
                <w:rFonts w:hint="eastAsia" w:ascii="宋体" w:hAnsi="宋体" w:eastAsia="宋体" w:cs="宋体"/>
                <w:b/>
                <w:bCs w:val="0"/>
                <w:color w:val="000000" w:themeColor="text1"/>
                <w:w w:val="90"/>
                <w:sz w:val="24"/>
                <w:szCs w:val="24"/>
                <w14:textFill>
                  <w14:solidFill>
                    <w14:schemeClr w14:val="tx1"/>
                  </w14:solidFill>
                </w14:textFill>
              </w:rPr>
            </w:pPr>
            <w:r>
              <w:rPr>
                <w:rFonts w:hint="eastAsia" w:ascii="宋体" w:hAnsi="宋体" w:eastAsia="宋体" w:cs="宋体"/>
                <w:b/>
                <w:bCs w:val="0"/>
                <w:color w:val="000000" w:themeColor="text1"/>
                <w:w w:val="90"/>
                <w:sz w:val="24"/>
                <w:szCs w:val="24"/>
                <w14:textFill>
                  <w14:solidFill>
                    <w14:schemeClr w14:val="tx1"/>
                  </w14:solidFill>
                </w14:textFill>
              </w:rPr>
              <w:t>评审内容及评分细则</w:t>
            </w:r>
          </w:p>
        </w:tc>
        <w:tc>
          <w:tcPr>
            <w:tcW w:w="1120" w:type="dxa"/>
            <w:noWrap w:val="0"/>
            <w:vAlign w:val="center"/>
          </w:tcPr>
          <w:p w14:paraId="28B43E67">
            <w:pPr>
              <w:spacing w:line="240" w:lineRule="auto"/>
              <w:jc w:val="center"/>
              <w:rPr>
                <w:rFonts w:hint="eastAsia" w:ascii="宋体" w:hAnsi="宋体" w:eastAsia="宋体" w:cs="宋体"/>
                <w:b/>
                <w:bCs w:val="0"/>
                <w:color w:val="000000" w:themeColor="text1"/>
                <w:w w:val="90"/>
                <w:sz w:val="24"/>
                <w:szCs w:val="24"/>
                <w14:textFill>
                  <w14:solidFill>
                    <w14:schemeClr w14:val="tx1"/>
                  </w14:solidFill>
                </w14:textFill>
              </w:rPr>
            </w:pPr>
            <w:r>
              <w:rPr>
                <w:rFonts w:hint="eastAsia" w:ascii="宋体" w:hAnsi="宋体" w:eastAsia="宋体" w:cs="宋体"/>
                <w:b/>
                <w:bCs w:val="0"/>
                <w:color w:val="000000" w:themeColor="text1"/>
                <w:w w:val="90"/>
                <w:sz w:val="24"/>
                <w:szCs w:val="24"/>
                <w14:textFill>
                  <w14:solidFill>
                    <w14:schemeClr w14:val="tx1"/>
                  </w14:solidFill>
                </w14:textFill>
              </w:rPr>
              <w:t>分值</w:t>
            </w:r>
          </w:p>
        </w:tc>
      </w:tr>
      <w:tr w14:paraId="11B1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321" w:type="dxa"/>
            <w:vMerge w:val="restart"/>
            <w:noWrap w:val="0"/>
            <w:vAlign w:val="center"/>
          </w:tcPr>
          <w:p w14:paraId="4B442E99">
            <w:pPr>
              <w:autoSpaceDE w:val="0"/>
              <w:autoSpaceDN w:val="0"/>
              <w:jc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经营状况指标</w:t>
            </w:r>
          </w:p>
          <w:p w14:paraId="70AF82B4">
            <w:pPr>
              <w:jc w:val="center"/>
              <w:rPr>
                <w:rFonts w:hint="eastAsia" w:ascii="宋体" w:hAnsi="宋体" w:eastAsia="宋体" w:cs="宋体"/>
                <w:b/>
                <w:bCs w:val="0"/>
                <w:color w:val="000000" w:themeColor="text1"/>
                <w:w w:val="90"/>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35</w:t>
            </w:r>
            <w:r>
              <w:rPr>
                <w:rFonts w:hint="eastAsia" w:ascii="宋体" w:hAnsi="宋体" w:eastAsia="宋体" w:cs="宋体"/>
                <w:b/>
                <w:bCs w:val="0"/>
                <w:color w:val="000000" w:themeColor="text1"/>
                <w:sz w:val="24"/>
                <w:szCs w:val="24"/>
                <w14:textFill>
                  <w14:solidFill>
                    <w14:schemeClr w14:val="tx1"/>
                  </w14:solidFill>
                </w14:textFill>
              </w:rPr>
              <w:t>分)</w:t>
            </w:r>
          </w:p>
        </w:tc>
        <w:tc>
          <w:tcPr>
            <w:tcW w:w="1432" w:type="dxa"/>
            <w:noWrap w:val="0"/>
            <w:vAlign w:val="center"/>
          </w:tcPr>
          <w:p w14:paraId="62B0C5EF">
            <w:pPr>
              <w:snapToGrid w:val="0"/>
              <w:spacing w:line="240" w:lineRule="auto"/>
              <w:jc w:val="center"/>
              <w:rPr>
                <w:rFonts w:hint="eastAsia" w:ascii="宋体" w:hAnsi="宋体" w:eastAsia="宋体" w:cs="宋体"/>
                <w:b/>
                <w:bCs w:val="0"/>
                <w:color w:val="000000" w:themeColor="text1"/>
                <w:w w:val="90"/>
                <w:sz w:val="24"/>
                <w:szCs w:val="24"/>
                <w14:textFill>
                  <w14:solidFill>
                    <w14:schemeClr w14:val="tx1"/>
                  </w14:solidFill>
                </w14:textFill>
              </w:rPr>
            </w:pPr>
            <w:r>
              <w:rPr>
                <w:rFonts w:hint="eastAsia" w:ascii="宋体" w:hAnsi="宋体" w:eastAsia="宋体" w:cs="宋体"/>
                <w:b/>
                <w:bCs w:val="0"/>
                <w:color w:val="000000" w:themeColor="text1"/>
                <w:w w:val="90"/>
                <w:sz w:val="24"/>
                <w:szCs w:val="24"/>
                <w14:textFill>
                  <w14:solidFill>
                    <w14:schemeClr w14:val="tx1"/>
                  </w14:solidFill>
                </w14:textFill>
              </w:rPr>
              <w:t>1.资产质量</w:t>
            </w:r>
          </w:p>
        </w:tc>
        <w:tc>
          <w:tcPr>
            <w:tcW w:w="5986" w:type="dxa"/>
            <w:noWrap w:val="0"/>
            <w:vAlign w:val="center"/>
          </w:tcPr>
          <w:p w14:paraId="779F25C6">
            <w:pPr>
              <w:spacing w:line="240" w:lineRule="auto"/>
              <w:rPr>
                <w:rFonts w:hint="eastAsia" w:ascii="宋体" w:hAnsi="宋体" w:eastAsia="宋体" w:cs="宋体"/>
                <w:b/>
                <w:bCs w:val="0"/>
                <w:color w:val="000000" w:themeColor="text1"/>
                <w:w w:val="9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根据投标银行不良资产率（按不良率最低的开始排名）排名评分。排名第一得</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5</w:t>
            </w:r>
            <w:r>
              <w:rPr>
                <w:rFonts w:hint="eastAsia" w:ascii="宋体" w:hAnsi="宋体" w:eastAsia="宋体" w:cs="宋体"/>
                <w:b/>
                <w:bCs w:val="0"/>
                <w:color w:val="000000" w:themeColor="text1"/>
                <w:kern w:val="0"/>
                <w:sz w:val="24"/>
                <w:szCs w:val="24"/>
                <w14:textFill>
                  <w14:solidFill>
                    <w14:schemeClr w14:val="tx1"/>
                  </w14:solidFill>
                </w14:textFill>
              </w:rPr>
              <w:t>分，其余投标银行排名每降低一名相应递减0.</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1</w:t>
            </w:r>
            <w:r>
              <w:rPr>
                <w:rFonts w:hint="eastAsia" w:ascii="宋体" w:hAnsi="宋体" w:eastAsia="宋体" w:cs="宋体"/>
                <w:b/>
                <w:bCs w:val="0"/>
                <w:color w:val="000000" w:themeColor="text1"/>
                <w:kern w:val="0"/>
                <w:sz w:val="24"/>
                <w:szCs w:val="24"/>
                <w14:textFill>
                  <w14:solidFill>
                    <w14:schemeClr w14:val="tx1"/>
                  </w14:solidFill>
                </w14:textFill>
              </w:rPr>
              <w:t>分，减完为止。（以苍南县银保监组提供的</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2023</w:t>
            </w:r>
            <w:r>
              <w:rPr>
                <w:rFonts w:hint="eastAsia" w:ascii="宋体" w:hAnsi="宋体" w:eastAsia="宋体" w:cs="宋体"/>
                <w:b/>
                <w:bCs w:val="0"/>
                <w:color w:val="000000" w:themeColor="text1"/>
                <w:kern w:val="0"/>
                <w:sz w:val="24"/>
                <w:szCs w:val="24"/>
                <w14:textFill>
                  <w14:solidFill>
                    <w14:schemeClr w14:val="tx1"/>
                  </w14:solidFill>
                </w14:textFill>
              </w:rPr>
              <w:t>年度数据为准，由投标银行自行出具的证明文件为准，否则不得分。）</w:t>
            </w:r>
          </w:p>
        </w:tc>
        <w:tc>
          <w:tcPr>
            <w:tcW w:w="1120" w:type="dxa"/>
            <w:noWrap w:val="0"/>
            <w:vAlign w:val="center"/>
          </w:tcPr>
          <w:p w14:paraId="126BB439">
            <w:pPr>
              <w:snapToGrid w:val="0"/>
              <w:jc w:val="center"/>
              <w:rPr>
                <w:rFonts w:hint="eastAsia" w:ascii="宋体" w:hAnsi="宋体" w:eastAsia="宋体" w:cs="宋体"/>
                <w:b/>
                <w:bCs w:val="0"/>
                <w:color w:val="000000" w:themeColor="text1"/>
                <w:w w:val="90"/>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5</w:t>
            </w:r>
          </w:p>
        </w:tc>
      </w:tr>
      <w:tr w14:paraId="3953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321" w:type="dxa"/>
            <w:vMerge w:val="continue"/>
            <w:noWrap w:val="0"/>
            <w:vAlign w:val="center"/>
          </w:tcPr>
          <w:p w14:paraId="381700DD">
            <w:pPr>
              <w:jc w:val="center"/>
              <w:rPr>
                <w:rFonts w:hint="eastAsia" w:ascii="宋体" w:hAnsi="宋体" w:eastAsia="宋体" w:cs="宋体"/>
                <w:b/>
                <w:bCs w:val="0"/>
                <w:color w:val="000000" w:themeColor="text1"/>
                <w:w w:val="90"/>
                <w:sz w:val="24"/>
                <w:szCs w:val="24"/>
                <w14:textFill>
                  <w14:solidFill>
                    <w14:schemeClr w14:val="tx1"/>
                  </w14:solidFill>
                </w14:textFill>
              </w:rPr>
            </w:pPr>
          </w:p>
        </w:tc>
        <w:tc>
          <w:tcPr>
            <w:tcW w:w="1432" w:type="dxa"/>
            <w:noWrap w:val="0"/>
            <w:vAlign w:val="center"/>
          </w:tcPr>
          <w:p w14:paraId="02BA7CC5">
            <w:pPr>
              <w:snapToGrid w:val="0"/>
              <w:spacing w:line="240" w:lineRule="auto"/>
              <w:jc w:val="center"/>
              <w:rPr>
                <w:rFonts w:hint="eastAsia" w:ascii="宋体" w:hAnsi="宋体" w:eastAsia="宋体" w:cs="宋体"/>
                <w:b/>
                <w:bCs w:val="0"/>
                <w:color w:val="000000" w:themeColor="text1"/>
                <w:w w:val="90"/>
                <w:sz w:val="24"/>
                <w:szCs w:val="24"/>
                <w14:textFill>
                  <w14:solidFill>
                    <w14:schemeClr w14:val="tx1"/>
                  </w14:solidFill>
                </w14:textFill>
              </w:rPr>
            </w:pPr>
            <w:r>
              <w:rPr>
                <w:rFonts w:hint="eastAsia" w:ascii="宋体" w:hAnsi="宋体" w:eastAsia="宋体" w:cs="宋体"/>
                <w:b/>
                <w:bCs w:val="0"/>
                <w:color w:val="000000" w:themeColor="text1"/>
                <w:w w:val="90"/>
                <w:sz w:val="24"/>
                <w:szCs w:val="24"/>
                <w14:textFill>
                  <w14:solidFill>
                    <w14:schemeClr w14:val="tx1"/>
                  </w14:solidFill>
                </w14:textFill>
              </w:rPr>
              <w:t>2.运营状况</w:t>
            </w:r>
          </w:p>
        </w:tc>
        <w:tc>
          <w:tcPr>
            <w:tcW w:w="5986" w:type="dxa"/>
            <w:noWrap w:val="0"/>
            <w:vAlign w:val="center"/>
          </w:tcPr>
          <w:p w14:paraId="404B684D">
            <w:pPr>
              <w:spacing w:line="240" w:lineRule="auto"/>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根据投标银行利润总额排名评分，从高到低。排名第一得</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10</w:t>
            </w:r>
            <w:r>
              <w:rPr>
                <w:rFonts w:hint="eastAsia" w:ascii="宋体" w:hAnsi="宋体" w:eastAsia="宋体" w:cs="宋体"/>
                <w:b/>
                <w:bCs w:val="0"/>
                <w:color w:val="000000" w:themeColor="text1"/>
                <w:kern w:val="0"/>
                <w:sz w:val="24"/>
                <w:szCs w:val="24"/>
                <w14:textFill>
                  <w14:solidFill>
                    <w14:schemeClr w14:val="tx1"/>
                  </w14:solidFill>
                </w14:textFill>
              </w:rPr>
              <w:t>分，其余投标银行排名每降低一名相应递减0.</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5</w:t>
            </w:r>
            <w:r>
              <w:rPr>
                <w:rFonts w:hint="eastAsia" w:ascii="宋体" w:hAnsi="宋体" w:eastAsia="宋体" w:cs="宋体"/>
                <w:b/>
                <w:bCs w:val="0"/>
                <w:color w:val="000000" w:themeColor="text1"/>
                <w:kern w:val="0"/>
                <w:sz w:val="24"/>
                <w:szCs w:val="24"/>
                <w14:textFill>
                  <w14:solidFill>
                    <w14:schemeClr w14:val="tx1"/>
                  </w14:solidFill>
                </w14:textFill>
              </w:rPr>
              <w:t>分，减完为止。（注：1.以各投标银行</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2023</w:t>
            </w:r>
            <w:r>
              <w:rPr>
                <w:rFonts w:hint="eastAsia" w:ascii="宋体" w:hAnsi="宋体" w:eastAsia="宋体" w:cs="宋体"/>
                <w:b/>
                <w:bCs w:val="0"/>
                <w:color w:val="000000" w:themeColor="text1"/>
                <w:kern w:val="0"/>
                <w:sz w:val="24"/>
                <w:szCs w:val="24"/>
                <w14:textFill>
                  <w14:solidFill>
                    <w14:schemeClr w14:val="tx1"/>
                  </w14:solidFill>
                </w14:textFill>
              </w:rPr>
              <w:t>年度财务报表为准；2.未提供或负值不得分；3.由投标银行自行提供财务报表的证明文件为准及承诺书（承诺书格式附后），否则不得分。）</w:t>
            </w:r>
          </w:p>
        </w:tc>
        <w:tc>
          <w:tcPr>
            <w:tcW w:w="1120" w:type="dxa"/>
            <w:noWrap w:val="0"/>
            <w:vAlign w:val="center"/>
          </w:tcPr>
          <w:p w14:paraId="43420D4C">
            <w:pPr>
              <w:snapToGrid w:val="0"/>
              <w:jc w:val="center"/>
              <w:rPr>
                <w:rFonts w:hint="default" w:ascii="宋体" w:hAnsi="宋体" w:eastAsia="宋体" w:cs="宋体"/>
                <w:b/>
                <w:bCs w:val="0"/>
                <w:color w:val="000000" w:themeColor="text1"/>
                <w:w w:val="90"/>
                <w:sz w:val="24"/>
                <w:szCs w:val="24"/>
                <w:lang w:val="en-US"/>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10</w:t>
            </w:r>
          </w:p>
        </w:tc>
      </w:tr>
      <w:tr w14:paraId="79B4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321" w:type="dxa"/>
            <w:vMerge w:val="continue"/>
            <w:noWrap w:val="0"/>
            <w:vAlign w:val="center"/>
          </w:tcPr>
          <w:p w14:paraId="7420B783">
            <w:pPr>
              <w:jc w:val="center"/>
              <w:rPr>
                <w:rFonts w:hint="eastAsia" w:ascii="宋体" w:hAnsi="宋体" w:eastAsia="宋体" w:cs="宋体"/>
                <w:b/>
                <w:bCs w:val="0"/>
                <w:color w:val="000000" w:themeColor="text1"/>
                <w:w w:val="90"/>
                <w:sz w:val="24"/>
                <w:szCs w:val="24"/>
                <w14:textFill>
                  <w14:solidFill>
                    <w14:schemeClr w14:val="tx1"/>
                  </w14:solidFill>
                </w14:textFill>
              </w:rPr>
            </w:pPr>
          </w:p>
        </w:tc>
        <w:tc>
          <w:tcPr>
            <w:tcW w:w="1432" w:type="dxa"/>
            <w:noWrap w:val="0"/>
            <w:vAlign w:val="center"/>
          </w:tcPr>
          <w:p w14:paraId="1D5AB903">
            <w:pPr>
              <w:snapToGrid w:val="0"/>
              <w:spacing w:line="240" w:lineRule="auto"/>
              <w:jc w:val="center"/>
              <w:rPr>
                <w:rFonts w:hint="eastAsia" w:ascii="宋体" w:hAnsi="宋体" w:eastAsia="宋体" w:cs="宋体"/>
                <w:b/>
                <w:bCs w:val="0"/>
                <w:color w:val="000000" w:themeColor="text1"/>
                <w:w w:val="90"/>
                <w:sz w:val="24"/>
                <w:szCs w:val="24"/>
                <w14:textFill>
                  <w14:solidFill>
                    <w14:schemeClr w14:val="tx1"/>
                  </w14:solidFill>
                </w14:textFill>
              </w:rPr>
            </w:pPr>
            <w:r>
              <w:rPr>
                <w:rFonts w:hint="eastAsia" w:ascii="宋体" w:hAnsi="宋体" w:eastAsia="宋体" w:cs="宋体"/>
                <w:b/>
                <w:bCs w:val="0"/>
                <w:color w:val="000000" w:themeColor="text1"/>
                <w:w w:val="90"/>
                <w:sz w:val="24"/>
                <w:szCs w:val="24"/>
                <w14:textFill>
                  <w14:solidFill>
                    <w14:schemeClr w14:val="tx1"/>
                  </w14:solidFill>
                </w14:textFill>
              </w:rPr>
              <w:t>3.存款余额</w:t>
            </w:r>
          </w:p>
        </w:tc>
        <w:tc>
          <w:tcPr>
            <w:tcW w:w="5986" w:type="dxa"/>
            <w:noWrap w:val="0"/>
            <w:vAlign w:val="center"/>
          </w:tcPr>
          <w:p w14:paraId="28422E1E">
            <w:pPr>
              <w:spacing w:line="240" w:lineRule="auto"/>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根据投标银行</w:t>
            </w:r>
            <w:r>
              <w:rPr>
                <w:rFonts w:hint="eastAsia" w:ascii="宋体" w:hAnsi="宋体" w:eastAsia="宋体" w:cs="宋体"/>
                <w:b/>
                <w:bCs w:val="0"/>
                <w:color w:val="000000" w:themeColor="text1"/>
                <w:kern w:val="0"/>
                <w:sz w:val="24"/>
                <w:szCs w:val="24"/>
                <w:lang w:eastAsia="zh-CN"/>
                <w14:textFill>
                  <w14:solidFill>
                    <w14:schemeClr w14:val="tx1"/>
                  </w14:solidFill>
                </w14:textFill>
              </w:rPr>
              <w:t>存</w:t>
            </w:r>
            <w:r>
              <w:rPr>
                <w:rFonts w:hint="eastAsia" w:ascii="宋体" w:hAnsi="宋体" w:eastAsia="宋体" w:cs="宋体"/>
                <w:b/>
                <w:bCs w:val="0"/>
                <w:color w:val="000000" w:themeColor="text1"/>
                <w:kern w:val="0"/>
                <w:sz w:val="24"/>
                <w:szCs w:val="24"/>
                <w14:textFill>
                  <w14:solidFill>
                    <w14:schemeClr w14:val="tx1"/>
                  </w14:solidFill>
                </w14:textFill>
              </w:rPr>
              <w:t>款余额排名评分。</w:t>
            </w:r>
            <w:r>
              <w:rPr>
                <w:rFonts w:hint="eastAsia" w:ascii="宋体" w:hAnsi="宋体" w:eastAsia="宋体" w:cs="宋体"/>
                <w:b/>
                <w:bCs w:val="0"/>
                <w:color w:val="000000" w:themeColor="text1"/>
                <w:kern w:val="0"/>
                <w:sz w:val="24"/>
                <w:szCs w:val="24"/>
                <w:lang w:eastAsia="zh-CN"/>
                <w14:textFill>
                  <w14:solidFill>
                    <w14:schemeClr w14:val="tx1"/>
                  </w14:solidFill>
                </w14:textFill>
              </w:rPr>
              <w:t>存</w:t>
            </w:r>
            <w:r>
              <w:rPr>
                <w:rFonts w:hint="eastAsia" w:ascii="宋体" w:hAnsi="宋体" w:eastAsia="宋体" w:cs="宋体"/>
                <w:b/>
                <w:bCs w:val="0"/>
                <w:color w:val="000000" w:themeColor="text1"/>
                <w:kern w:val="0"/>
                <w:sz w:val="24"/>
                <w:szCs w:val="24"/>
                <w14:textFill>
                  <w14:solidFill>
                    <w14:schemeClr w14:val="tx1"/>
                  </w14:solidFill>
                </w14:textFill>
              </w:rPr>
              <w:t>款余额最高得排名第一得</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9</w:t>
            </w:r>
            <w:r>
              <w:rPr>
                <w:rFonts w:hint="eastAsia" w:ascii="宋体" w:hAnsi="宋体" w:eastAsia="宋体" w:cs="宋体"/>
                <w:b/>
                <w:bCs w:val="0"/>
                <w:color w:val="000000" w:themeColor="text1"/>
                <w:kern w:val="0"/>
                <w:sz w:val="24"/>
                <w:szCs w:val="24"/>
                <w14:textFill>
                  <w14:solidFill>
                    <w14:schemeClr w14:val="tx1"/>
                  </w14:solidFill>
                </w14:textFill>
              </w:rPr>
              <w:t>分，其余投标银行排名每降低一名相应递减0.</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5</w:t>
            </w:r>
            <w:r>
              <w:rPr>
                <w:rFonts w:hint="eastAsia" w:ascii="宋体" w:hAnsi="宋体" w:eastAsia="宋体" w:cs="宋体"/>
                <w:b/>
                <w:bCs w:val="0"/>
                <w:color w:val="000000" w:themeColor="text1"/>
                <w:kern w:val="0"/>
                <w:sz w:val="24"/>
                <w:szCs w:val="24"/>
                <w14:textFill>
                  <w14:solidFill>
                    <w14:schemeClr w14:val="tx1"/>
                  </w14:solidFill>
                </w14:textFill>
              </w:rPr>
              <w:t xml:space="preserve">分，减完为止。                             </w:t>
            </w:r>
          </w:p>
          <w:p w14:paraId="1DA9C735">
            <w:pPr>
              <w:spacing w:line="240" w:lineRule="auto"/>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(以人民银行提供的</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2023</w:t>
            </w:r>
            <w:r>
              <w:rPr>
                <w:rFonts w:hint="eastAsia" w:ascii="宋体" w:hAnsi="宋体" w:eastAsia="宋体" w:cs="宋体"/>
                <w:b/>
                <w:bCs w:val="0"/>
                <w:color w:val="000000" w:themeColor="text1"/>
                <w:kern w:val="0"/>
                <w:sz w:val="24"/>
                <w:szCs w:val="24"/>
                <w14:textFill>
                  <w14:solidFill>
                    <w14:schemeClr w14:val="tx1"/>
                  </w14:solidFill>
                </w14:textFill>
              </w:rPr>
              <w:t>年12月底</w:t>
            </w:r>
            <w:r>
              <w:rPr>
                <w:rFonts w:hint="eastAsia" w:ascii="宋体" w:hAnsi="宋体" w:eastAsia="宋体" w:cs="宋体"/>
                <w:b/>
                <w:bCs w:val="0"/>
                <w:color w:val="000000" w:themeColor="text1"/>
                <w:kern w:val="0"/>
                <w:sz w:val="24"/>
                <w:szCs w:val="24"/>
                <w:lang w:eastAsia="zh-CN"/>
                <w14:textFill>
                  <w14:solidFill>
                    <w14:schemeClr w14:val="tx1"/>
                  </w14:solidFill>
                </w14:textFill>
              </w:rPr>
              <w:t>存</w:t>
            </w:r>
            <w:r>
              <w:rPr>
                <w:rFonts w:hint="eastAsia" w:ascii="宋体" w:hAnsi="宋体" w:eastAsia="宋体" w:cs="宋体"/>
                <w:b/>
                <w:bCs w:val="0"/>
                <w:color w:val="000000" w:themeColor="text1"/>
                <w:kern w:val="0"/>
                <w:sz w:val="24"/>
                <w:szCs w:val="24"/>
                <w14:textFill>
                  <w14:solidFill>
                    <w14:schemeClr w14:val="tx1"/>
                  </w14:solidFill>
                </w14:textFill>
              </w:rPr>
              <w:t>款余额为准，由投标银行自行提供人行苍南支行出具的证明文件为准，否则不得分。)</w:t>
            </w:r>
          </w:p>
        </w:tc>
        <w:tc>
          <w:tcPr>
            <w:tcW w:w="1120" w:type="dxa"/>
            <w:noWrap w:val="0"/>
            <w:vAlign w:val="center"/>
          </w:tcPr>
          <w:p w14:paraId="76896440">
            <w:pPr>
              <w:snapToGrid w:val="0"/>
              <w:jc w:val="center"/>
              <w:rPr>
                <w:rFonts w:hint="eastAsia" w:ascii="宋体" w:hAnsi="宋体" w:eastAsia="宋体" w:cs="宋体"/>
                <w:b/>
                <w:bCs w:val="0"/>
                <w:color w:val="000000" w:themeColor="text1"/>
                <w:w w:val="90"/>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9</w:t>
            </w:r>
          </w:p>
        </w:tc>
      </w:tr>
      <w:tr w14:paraId="1426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321" w:type="dxa"/>
            <w:vMerge w:val="continue"/>
            <w:noWrap w:val="0"/>
            <w:vAlign w:val="center"/>
          </w:tcPr>
          <w:p w14:paraId="372764E6">
            <w:pPr>
              <w:jc w:val="center"/>
              <w:rPr>
                <w:rFonts w:hint="eastAsia" w:ascii="宋体" w:hAnsi="宋体" w:eastAsia="宋体" w:cs="宋体"/>
                <w:b/>
                <w:bCs w:val="0"/>
                <w:color w:val="000000" w:themeColor="text1"/>
                <w:w w:val="90"/>
                <w:sz w:val="24"/>
                <w:szCs w:val="24"/>
                <w14:textFill>
                  <w14:solidFill>
                    <w14:schemeClr w14:val="tx1"/>
                  </w14:solidFill>
                </w14:textFill>
              </w:rPr>
            </w:pPr>
          </w:p>
        </w:tc>
        <w:tc>
          <w:tcPr>
            <w:tcW w:w="1432" w:type="dxa"/>
            <w:noWrap w:val="0"/>
            <w:vAlign w:val="center"/>
          </w:tcPr>
          <w:p w14:paraId="0EF5BF3A">
            <w:pPr>
              <w:snapToGrid w:val="0"/>
              <w:spacing w:line="240" w:lineRule="auto"/>
              <w:jc w:val="center"/>
              <w:rPr>
                <w:rFonts w:hint="eastAsia" w:ascii="宋体" w:hAnsi="宋体" w:eastAsia="宋体" w:cs="宋体"/>
                <w:b/>
                <w:bCs w:val="0"/>
                <w:color w:val="000000" w:themeColor="text1"/>
                <w:w w:val="90"/>
                <w:sz w:val="24"/>
                <w:szCs w:val="24"/>
                <w14:textFill>
                  <w14:solidFill>
                    <w14:schemeClr w14:val="tx1"/>
                  </w14:solidFill>
                </w14:textFill>
              </w:rPr>
            </w:pPr>
            <w:r>
              <w:rPr>
                <w:rFonts w:hint="eastAsia" w:ascii="宋体" w:hAnsi="宋体" w:eastAsia="宋体" w:cs="宋体"/>
                <w:b/>
                <w:bCs w:val="0"/>
                <w:color w:val="000000" w:themeColor="text1"/>
                <w:w w:val="90"/>
                <w:sz w:val="24"/>
                <w:szCs w:val="24"/>
                <w14:textFill>
                  <w14:solidFill>
                    <w14:schemeClr w14:val="tx1"/>
                  </w14:solidFill>
                </w14:textFill>
              </w:rPr>
              <w:t>4.贷款余额</w:t>
            </w:r>
          </w:p>
        </w:tc>
        <w:tc>
          <w:tcPr>
            <w:tcW w:w="5986" w:type="dxa"/>
            <w:noWrap w:val="0"/>
            <w:vAlign w:val="top"/>
          </w:tcPr>
          <w:p w14:paraId="1A3088EE">
            <w:pPr>
              <w:spacing w:line="240" w:lineRule="auto"/>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根据投标银行贷款余额排名评分。贷款余额最高得排名第一得</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9</w:t>
            </w:r>
            <w:r>
              <w:rPr>
                <w:rFonts w:hint="eastAsia" w:ascii="宋体" w:hAnsi="宋体" w:eastAsia="宋体" w:cs="宋体"/>
                <w:b/>
                <w:bCs w:val="0"/>
                <w:color w:val="000000" w:themeColor="text1"/>
                <w:kern w:val="0"/>
                <w:sz w:val="24"/>
                <w:szCs w:val="24"/>
                <w14:textFill>
                  <w14:solidFill>
                    <w14:schemeClr w14:val="tx1"/>
                  </w14:solidFill>
                </w14:textFill>
              </w:rPr>
              <w:t>分，其余投标银行排名每降低一名相应递减0.</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5</w:t>
            </w:r>
            <w:r>
              <w:rPr>
                <w:rFonts w:hint="eastAsia" w:ascii="宋体" w:hAnsi="宋体" w:eastAsia="宋体" w:cs="宋体"/>
                <w:b/>
                <w:bCs w:val="0"/>
                <w:color w:val="000000" w:themeColor="text1"/>
                <w:kern w:val="0"/>
                <w:sz w:val="24"/>
                <w:szCs w:val="24"/>
                <w14:textFill>
                  <w14:solidFill>
                    <w14:schemeClr w14:val="tx1"/>
                  </w14:solidFill>
                </w14:textFill>
              </w:rPr>
              <w:t xml:space="preserve">分，减完为止。                             </w:t>
            </w:r>
          </w:p>
          <w:p w14:paraId="260D4524">
            <w:pPr>
              <w:spacing w:line="240" w:lineRule="auto"/>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(以人民银行提供的</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2023</w:t>
            </w:r>
            <w:r>
              <w:rPr>
                <w:rFonts w:hint="eastAsia" w:ascii="宋体" w:hAnsi="宋体" w:eastAsia="宋体" w:cs="宋体"/>
                <w:b/>
                <w:bCs w:val="0"/>
                <w:color w:val="000000" w:themeColor="text1"/>
                <w:kern w:val="0"/>
                <w:sz w:val="24"/>
                <w:szCs w:val="24"/>
                <w14:textFill>
                  <w14:solidFill>
                    <w14:schemeClr w14:val="tx1"/>
                  </w14:solidFill>
                </w14:textFill>
              </w:rPr>
              <w:t>年12月底贷款余额为准，由投标银行自行提供人行苍南支行出具的证明文件为准，否则不得分。)</w:t>
            </w:r>
          </w:p>
        </w:tc>
        <w:tc>
          <w:tcPr>
            <w:tcW w:w="1120" w:type="dxa"/>
            <w:noWrap w:val="0"/>
            <w:vAlign w:val="center"/>
          </w:tcPr>
          <w:p w14:paraId="23A84236">
            <w:pPr>
              <w:snapToGrid w:val="0"/>
              <w:jc w:val="center"/>
              <w:rPr>
                <w:rFonts w:hint="eastAsia" w:ascii="宋体" w:hAnsi="宋体" w:eastAsia="宋体" w:cs="宋体"/>
                <w:b/>
                <w:bCs w:val="0"/>
                <w:color w:val="000000" w:themeColor="text1"/>
                <w:w w:val="90"/>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9</w:t>
            </w:r>
          </w:p>
        </w:tc>
      </w:tr>
      <w:tr w14:paraId="3C29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321" w:type="dxa"/>
            <w:vMerge w:val="continue"/>
            <w:noWrap w:val="0"/>
            <w:vAlign w:val="center"/>
          </w:tcPr>
          <w:p w14:paraId="625B97F6">
            <w:pPr>
              <w:jc w:val="center"/>
              <w:rPr>
                <w:rFonts w:hint="eastAsia" w:ascii="宋体" w:hAnsi="宋体" w:eastAsia="宋体" w:cs="宋体"/>
                <w:b/>
                <w:bCs w:val="0"/>
                <w:color w:val="000000" w:themeColor="text1"/>
                <w:w w:val="90"/>
                <w:sz w:val="24"/>
                <w:szCs w:val="24"/>
                <w14:textFill>
                  <w14:solidFill>
                    <w14:schemeClr w14:val="tx1"/>
                  </w14:solidFill>
                </w14:textFill>
              </w:rPr>
            </w:pPr>
          </w:p>
        </w:tc>
        <w:tc>
          <w:tcPr>
            <w:tcW w:w="1432" w:type="dxa"/>
            <w:noWrap w:val="0"/>
            <w:vAlign w:val="center"/>
          </w:tcPr>
          <w:p w14:paraId="008A9D9F">
            <w:pPr>
              <w:snapToGrid w:val="0"/>
              <w:spacing w:line="240" w:lineRule="auto"/>
              <w:jc w:val="center"/>
              <w:rPr>
                <w:rFonts w:hint="eastAsia" w:ascii="宋体" w:hAnsi="宋体" w:eastAsia="宋体" w:cs="宋体"/>
                <w:b/>
                <w:bCs w:val="0"/>
                <w:color w:val="000000" w:themeColor="text1"/>
                <w:w w:val="90"/>
                <w:sz w:val="24"/>
                <w:szCs w:val="24"/>
                <w14:textFill>
                  <w14:solidFill>
                    <w14:schemeClr w14:val="tx1"/>
                  </w14:solidFill>
                </w14:textFill>
              </w:rPr>
            </w:pPr>
            <w:r>
              <w:rPr>
                <w:rFonts w:hint="eastAsia" w:ascii="宋体" w:hAnsi="宋体" w:eastAsia="宋体" w:cs="宋体"/>
                <w:b/>
                <w:bCs w:val="0"/>
                <w:color w:val="000000" w:themeColor="text1"/>
                <w:w w:val="90"/>
                <w:sz w:val="24"/>
                <w:szCs w:val="24"/>
                <w14:textFill>
                  <w14:solidFill>
                    <w14:schemeClr w14:val="tx1"/>
                  </w14:solidFill>
                </w14:textFill>
              </w:rPr>
              <w:t>5.内控水平</w:t>
            </w:r>
          </w:p>
        </w:tc>
        <w:tc>
          <w:tcPr>
            <w:tcW w:w="5986" w:type="dxa"/>
            <w:noWrap w:val="0"/>
            <w:vAlign w:val="top"/>
          </w:tcPr>
          <w:p w14:paraId="740B9E3F">
            <w:pPr>
              <w:spacing w:line="240" w:lineRule="auto"/>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根据投标人提供的内控水平相关数据及方案，评委根据承诺的实用性、可行性进行打分。</w:t>
            </w:r>
          </w:p>
        </w:tc>
        <w:tc>
          <w:tcPr>
            <w:tcW w:w="1120" w:type="dxa"/>
            <w:noWrap w:val="0"/>
            <w:vAlign w:val="center"/>
          </w:tcPr>
          <w:p w14:paraId="353C7C42">
            <w:pPr>
              <w:snapToGrid w:val="0"/>
              <w:jc w:val="center"/>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2</w:t>
            </w:r>
          </w:p>
        </w:tc>
      </w:tr>
      <w:tr w14:paraId="0164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321" w:type="dxa"/>
            <w:vMerge w:val="restart"/>
            <w:noWrap w:val="0"/>
            <w:vAlign w:val="center"/>
          </w:tcPr>
          <w:p w14:paraId="074F9AB4">
            <w:pPr>
              <w:jc w:val="center"/>
              <w:rPr>
                <w:rFonts w:hint="eastAsia" w:ascii="宋体" w:hAnsi="宋体" w:eastAsia="宋体" w:cs="宋体"/>
                <w:b/>
                <w:bCs w:val="0"/>
                <w:color w:val="000000" w:themeColor="text1"/>
                <w:w w:val="9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经济贡献度指标</w:t>
            </w:r>
            <w:r>
              <w:rPr>
                <w:rFonts w:hint="eastAsia" w:ascii="宋体" w:hAnsi="宋体" w:eastAsia="宋体" w:cs="宋体"/>
                <w:b/>
                <w:bCs w:val="0"/>
                <w:color w:val="000000" w:themeColor="text1"/>
                <w:kern w:val="0"/>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35</w:t>
            </w:r>
            <w:r>
              <w:rPr>
                <w:rFonts w:hint="eastAsia" w:ascii="宋体" w:hAnsi="宋体" w:eastAsia="宋体" w:cs="宋体"/>
                <w:b/>
                <w:bCs w:val="0"/>
                <w:color w:val="000000" w:themeColor="text1"/>
                <w:sz w:val="24"/>
                <w:szCs w:val="24"/>
                <w14:textFill>
                  <w14:solidFill>
                    <w14:schemeClr w14:val="tx1"/>
                  </w14:solidFill>
                </w14:textFill>
              </w:rPr>
              <w:t>分)</w:t>
            </w:r>
          </w:p>
        </w:tc>
        <w:tc>
          <w:tcPr>
            <w:tcW w:w="1432" w:type="dxa"/>
            <w:noWrap w:val="0"/>
            <w:vAlign w:val="center"/>
          </w:tcPr>
          <w:p w14:paraId="44F7D55D">
            <w:pPr>
              <w:spacing w:line="240" w:lineRule="auto"/>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14:textFill>
                  <w14:solidFill>
                    <w14:schemeClr w14:val="tx1"/>
                  </w14:solidFill>
                </w14:textFill>
              </w:rPr>
              <w:t>1.</w:t>
            </w:r>
            <w:r>
              <w:rPr>
                <w:rFonts w:hint="eastAsia" w:ascii="宋体" w:hAnsi="宋体" w:eastAsia="宋体" w:cs="宋体"/>
                <w:b/>
                <w:bCs w:val="0"/>
                <w:color w:val="000000" w:themeColor="text1"/>
                <w:kern w:val="0"/>
                <w:sz w:val="24"/>
                <w:szCs w:val="24"/>
                <w14:textFill>
                  <w14:solidFill>
                    <w14:schemeClr w14:val="tx1"/>
                  </w14:solidFill>
                </w14:textFill>
              </w:rPr>
              <w:t>纳税情况</w:t>
            </w:r>
          </w:p>
        </w:tc>
        <w:tc>
          <w:tcPr>
            <w:tcW w:w="5986" w:type="dxa"/>
            <w:noWrap w:val="0"/>
            <w:vAlign w:val="center"/>
          </w:tcPr>
          <w:p w14:paraId="3AC02D4A">
            <w:pPr>
              <w:spacing w:line="240" w:lineRule="auto"/>
              <w:rPr>
                <w:rFonts w:hint="eastAsia"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14:textFill>
                  <w14:solidFill>
                    <w14:schemeClr w14:val="tx1"/>
                  </w14:solidFill>
                </w14:textFill>
              </w:rPr>
              <w:t>以各投标银行在苍南地区各分支机构2023年年度纳税情况作为计分依据，纳税总额最高得排名第一得10分，其余投标银行排名每降低一名相应递减0.5分，减完为止。</w:t>
            </w:r>
          </w:p>
          <w:p w14:paraId="2A21AFD6">
            <w:pPr>
              <w:spacing w:line="240" w:lineRule="auto"/>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14:textFill>
                  <w14:solidFill>
                    <w14:schemeClr w14:val="tx1"/>
                  </w14:solidFill>
                </w14:textFill>
              </w:rPr>
              <w:t>注:以各投标银行2023年度完税证明(不含个税)为准，由投标银行自行提供证明资料。</w:t>
            </w:r>
          </w:p>
        </w:tc>
        <w:tc>
          <w:tcPr>
            <w:tcW w:w="1120" w:type="dxa"/>
            <w:noWrap w:val="0"/>
            <w:vAlign w:val="center"/>
          </w:tcPr>
          <w:p w14:paraId="31CDC298">
            <w:pPr>
              <w:spacing w:line="240" w:lineRule="auto"/>
              <w:rPr>
                <w:rFonts w:hint="eastAsia"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14:textFill>
                  <w14:solidFill>
                    <w14:schemeClr w14:val="tx1"/>
                  </w14:solidFill>
                </w14:textFill>
              </w:rPr>
              <w:t>10</w:t>
            </w:r>
          </w:p>
        </w:tc>
      </w:tr>
      <w:tr w14:paraId="13CD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321" w:type="dxa"/>
            <w:vMerge w:val="continue"/>
            <w:noWrap w:val="0"/>
            <w:vAlign w:val="center"/>
          </w:tcPr>
          <w:p w14:paraId="64361465">
            <w:pPr>
              <w:jc w:val="center"/>
              <w:rPr>
                <w:rFonts w:hint="eastAsia" w:ascii="宋体" w:hAnsi="宋体" w:eastAsia="宋体" w:cs="宋体"/>
                <w:b/>
                <w:bCs w:val="0"/>
                <w:color w:val="000000" w:themeColor="text1"/>
                <w:kern w:val="0"/>
                <w:sz w:val="24"/>
                <w:szCs w:val="24"/>
                <w14:textFill>
                  <w14:solidFill>
                    <w14:schemeClr w14:val="tx1"/>
                  </w14:solidFill>
                </w14:textFill>
              </w:rPr>
            </w:pPr>
          </w:p>
        </w:tc>
        <w:tc>
          <w:tcPr>
            <w:tcW w:w="1432" w:type="dxa"/>
            <w:noWrap w:val="0"/>
            <w:vAlign w:val="center"/>
          </w:tcPr>
          <w:p w14:paraId="17D73F55">
            <w:pPr>
              <w:snapToGrid w:val="0"/>
              <w:spacing w:line="240" w:lineRule="auto"/>
              <w:jc w:val="center"/>
              <w:rPr>
                <w:rFonts w:hint="eastAsia" w:ascii="宋体" w:hAnsi="宋体" w:eastAsia="宋体" w:cs="宋体"/>
                <w:b/>
                <w:bCs w:val="0"/>
                <w:color w:val="000000" w:themeColor="text1"/>
                <w:w w:val="90"/>
                <w:sz w:val="24"/>
                <w:szCs w:val="24"/>
                <w14:textFill>
                  <w14:solidFill>
                    <w14:schemeClr w14:val="tx1"/>
                  </w14:solidFill>
                </w14:textFill>
              </w:rPr>
            </w:pPr>
            <w:r>
              <w:rPr>
                <w:rFonts w:hint="eastAsia" w:ascii="宋体" w:hAnsi="宋体" w:eastAsia="宋体" w:cs="宋体"/>
                <w:b/>
                <w:bCs w:val="0"/>
                <w:color w:val="000000" w:themeColor="text1"/>
                <w:w w:val="90"/>
                <w:sz w:val="24"/>
                <w:szCs w:val="24"/>
                <w:lang w:val="en-US" w:eastAsia="zh-CN"/>
                <w14:textFill>
                  <w14:solidFill>
                    <w14:schemeClr w14:val="tx1"/>
                  </w14:solidFill>
                </w14:textFill>
              </w:rPr>
              <w:t>2.</w:t>
            </w:r>
            <w:r>
              <w:rPr>
                <w:rFonts w:hint="eastAsia" w:ascii="宋体" w:hAnsi="宋体" w:eastAsia="宋体" w:cs="宋体"/>
                <w:b/>
                <w:bCs w:val="0"/>
                <w:color w:val="000000" w:themeColor="text1"/>
                <w:w w:val="90"/>
                <w:sz w:val="24"/>
                <w:szCs w:val="24"/>
                <w:lang w:eastAsia="zh-CN"/>
                <w14:textFill>
                  <w14:solidFill>
                    <w14:schemeClr w14:val="tx1"/>
                  </w14:solidFill>
                </w14:textFill>
              </w:rPr>
              <w:t>国有融资支持力度</w:t>
            </w:r>
          </w:p>
        </w:tc>
        <w:tc>
          <w:tcPr>
            <w:tcW w:w="5986" w:type="dxa"/>
            <w:noWrap w:val="0"/>
            <w:vAlign w:val="center"/>
          </w:tcPr>
          <w:p w14:paraId="34027451">
            <w:pPr>
              <w:spacing w:line="240" w:lineRule="auto"/>
              <w:rPr>
                <w:rFonts w:hint="eastAsia"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14:textFill>
                  <w14:solidFill>
                    <w14:schemeClr w14:val="tx1"/>
                  </w14:solidFill>
                </w14:textFill>
              </w:rPr>
              <w:t>以根据投标银行对苍南县国有企业融资支持力度情况作为计分依据，2024年6月底融资余额</w:t>
            </w:r>
            <w:r>
              <w:rPr>
                <w:rFonts w:hint="eastAsia" w:ascii="宋体" w:hAnsi="宋体" w:eastAsia="宋体" w:cs="宋体"/>
                <w:b/>
                <w:bCs w:val="0"/>
                <w:color w:val="000000" w:themeColor="text1"/>
                <w:kern w:val="0"/>
                <w:sz w:val="24"/>
                <w:szCs w:val="24"/>
                <w14:textFill>
                  <w14:solidFill>
                    <w14:schemeClr w14:val="tx1"/>
                  </w14:solidFill>
                </w14:textFill>
              </w:rPr>
              <w:t>最高得排名第一得</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5</w:t>
            </w:r>
            <w:r>
              <w:rPr>
                <w:rFonts w:hint="eastAsia" w:ascii="宋体" w:hAnsi="宋体" w:eastAsia="宋体" w:cs="宋体"/>
                <w:b/>
                <w:bCs w:val="0"/>
                <w:color w:val="000000" w:themeColor="text1"/>
                <w:kern w:val="0"/>
                <w:sz w:val="24"/>
                <w:szCs w:val="24"/>
                <w14:textFill>
                  <w14:solidFill>
                    <w14:schemeClr w14:val="tx1"/>
                  </w14:solidFill>
                </w14:textFill>
              </w:rPr>
              <w:t>分，其余投标银行排名每降低一名相应递减0.</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1</w:t>
            </w:r>
            <w:r>
              <w:rPr>
                <w:rFonts w:hint="eastAsia" w:ascii="宋体" w:hAnsi="宋体" w:eastAsia="宋体" w:cs="宋体"/>
                <w:b/>
                <w:bCs w:val="0"/>
                <w:color w:val="000000" w:themeColor="text1"/>
                <w:kern w:val="0"/>
                <w:sz w:val="24"/>
                <w:szCs w:val="24"/>
                <w14:textFill>
                  <w14:solidFill>
                    <w14:schemeClr w14:val="tx1"/>
                  </w14:solidFill>
                </w14:textFill>
              </w:rPr>
              <w:t>分，减完为止。</w:t>
            </w:r>
          </w:p>
          <w:p w14:paraId="10A7B49D">
            <w:pPr>
              <w:spacing w:line="240" w:lineRule="auto"/>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14:textFill>
                  <w14:solidFill>
                    <w14:schemeClr w14:val="tx1"/>
                  </w14:solidFill>
                </w14:textFill>
              </w:rPr>
              <w:t>注:投标人须出具相关证明文件，否则不得分。</w:t>
            </w:r>
          </w:p>
        </w:tc>
        <w:tc>
          <w:tcPr>
            <w:tcW w:w="1120" w:type="dxa"/>
            <w:noWrap w:val="0"/>
            <w:vAlign w:val="center"/>
          </w:tcPr>
          <w:p w14:paraId="2DA66B7D">
            <w:pPr>
              <w:spacing w:line="240" w:lineRule="auto"/>
              <w:rPr>
                <w:rFonts w:hint="eastAsia" w:ascii="宋体" w:hAnsi="宋体" w:eastAsia="宋体" w:cs="宋体"/>
                <w:b/>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14:textFill>
                  <w14:solidFill>
                    <w14:schemeClr w14:val="tx1"/>
                  </w14:solidFill>
                </w14:textFill>
              </w:rPr>
              <w:t>5</w:t>
            </w:r>
          </w:p>
        </w:tc>
      </w:tr>
      <w:tr w14:paraId="51DE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321" w:type="dxa"/>
            <w:vMerge w:val="continue"/>
            <w:noWrap w:val="0"/>
            <w:vAlign w:val="center"/>
          </w:tcPr>
          <w:p w14:paraId="31F5669B">
            <w:pPr>
              <w:jc w:val="center"/>
              <w:rPr>
                <w:rFonts w:hint="eastAsia" w:ascii="宋体" w:hAnsi="宋体" w:eastAsia="宋体" w:cs="宋体"/>
                <w:b/>
                <w:bCs w:val="0"/>
                <w:color w:val="000000" w:themeColor="text1"/>
                <w:kern w:val="0"/>
                <w:sz w:val="24"/>
                <w:szCs w:val="24"/>
                <w14:textFill>
                  <w14:solidFill>
                    <w14:schemeClr w14:val="tx1"/>
                  </w14:solidFill>
                </w14:textFill>
              </w:rPr>
            </w:pPr>
          </w:p>
        </w:tc>
        <w:tc>
          <w:tcPr>
            <w:tcW w:w="1432" w:type="dxa"/>
            <w:shd w:val="clear" w:color="auto" w:fill="auto"/>
            <w:noWrap w:val="0"/>
            <w:vAlign w:val="center"/>
          </w:tcPr>
          <w:p w14:paraId="5CB66D8E">
            <w:pPr>
              <w:snapToGrid w:val="0"/>
              <w:spacing w:line="240" w:lineRule="auto"/>
              <w:jc w:val="center"/>
              <w:rPr>
                <w:rFonts w:hint="eastAsia" w:ascii="宋体" w:hAnsi="宋体" w:eastAsia="宋体" w:cs="宋体"/>
                <w:b/>
                <w:bCs w:val="0"/>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w w:val="90"/>
                <w:sz w:val="24"/>
                <w:szCs w:val="24"/>
                <w:lang w:val="en-US" w:eastAsia="zh-CN"/>
                <w14:textFill>
                  <w14:solidFill>
                    <w14:schemeClr w14:val="tx1"/>
                  </w14:solidFill>
                </w14:textFill>
              </w:rPr>
              <w:t>3.支持地方经济发展</w:t>
            </w:r>
          </w:p>
        </w:tc>
        <w:tc>
          <w:tcPr>
            <w:tcW w:w="5986" w:type="dxa"/>
            <w:shd w:val="clear" w:color="auto" w:fill="auto"/>
            <w:noWrap w:val="0"/>
            <w:vAlign w:val="center"/>
          </w:tcPr>
          <w:p w14:paraId="749B481A">
            <w:pPr>
              <w:snapToGrid w:val="0"/>
              <w:jc w:val="both"/>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根据“2023 年苍南县鼓励和支持金融业发展改革与创新业绩考核评分表”，得分从高到低排名。排名第一得20分，其余投标银行排名每降低一名相应递减0.5分，减完为止。</w:t>
            </w:r>
          </w:p>
          <w:p w14:paraId="1DB32BE7">
            <w:pPr>
              <w:snapToGrid w:val="0"/>
              <w:jc w:val="both"/>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注：由投标银行自行提供苍南县金融办出具的证明文件为准，否则不得分。</w:t>
            </w:r>
          </w:p>
        </w:tc>
        <w:tc>
          <w:tcPr>
            <w:tcW w:w="1120" w:type="dxa"/>
            <w:shd w:val="clear" w:color="auto" w:fill="auto"/>
            <w:noWrap w:val="0"/>
            <w:vAlign w:val="center"/>
          </w:tcPr>
          <w:p w14:paraId="17AF962C">
            <w:pPr>
              <w:snapToGrid w:val="0"/>
              <w:jc w:val="both"/>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20</w:t>
            </w:r>
          </w:p>
        </w:tc>
      </w:tr>
      <w:tr w14:paraId="3DE4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321" w:type="dxa"/>
            <w:vMerge w:val="restart"/>
            <w:noWrap w:val="0"/>
            <w:vAlign w:val="center"/>
          </w:tcPr>
          <w:p w14:paraId="703BE005">
            <w:pPr>
              <w:jc w:val="center"/>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bidi="ar"/>
                <w14:textFill>
                  <w14:solidFill>
                    <w14:schemeClr w14:val="tx1"/>
                  </w14:solidFill>
                </w14:textFill>
              </w:rPr>
              <w:t>银行服务水平指标（1</w:t>
            </w: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0</w:t>
            </w:r>
            <w:r>
              <w:rPr>
                <w:rFonts w:hint="eastAsia" w:ascii="宋体" w:hAnsi="宋体" w:eastAsia="宋体" w:cs="宋体"/>
                <w:b/>
                <w:bCs w:val="0"/>
                <w:color w:val="000000" w:themeColor="text1"/>
                <w:kern w:val="0"/>
                <w:sz w:val="24"/>
                <w:szCs w:val="24"/>
                <w:lang w:bidi="ar"/>
                <w14:textFill>
                  <w14:solidFill>
                    <w14:schemeClr w14:val="tx1"/>
                  </w14:solidFill>
                </w14:textFill>
              </w:rPr>
              <w:t>分）</w:t>
            </w:r>
          </w:p>
        </w:tc>
        <w:tc>
          <w:tcPr>
            <w:tcW w:w="1432" w:type="dxa"/>
            <w:shd w:val="clear" w:color="auto" w:fill="auto"/>
            <w:noWrap w:val="0"/>
            <w:vAlign w:val="center"/>
          </w:tcPr>
          <w:p w14:paraId="511FD3C4">
            <w:pPr>
              <w:spacing w:line="240" w:lineRule="auto"/>
              <w:rPr>
                <w:rFonts w:hint="eastAsia" w:ascii="宋体" w:hAnsi="宋体" w:eastAsia="宋体" w:cs="宋体"/>
                <w:b/>
                <w:bCs w:val="0"/>
                <w:color w:val="000000" w:themeColor="text1"/>
                <w:w w:val="90"/>
                <w:sz w:val="24"/>
                <w:szCs w:val="24"/>
                <w:lang w:val="en-US" w:eastAsia="zh-CN"/>
                <w14:textFill>
                  <w14:solidFill>
                    <w14:schemeClr w14:val="tx1"/>
                  </w14:solidFill>
                </w14:textFill>
              </w:rPr>
            </w:pPr>
            <w:r>
              <w:rPr>
                <w:rFonts w:hint="eastAsia" w:ascii="宋体" w:hAnsi="宋体" w:eastAsia="宋体" w:cs="宋体"/>
                <w:b/>
                <w:bCs w:val="0"/>
                <w:color w:val="000000" w:themeColor="text1"/>
                <w:w w:val="90"/>
                <w:sz w:val="24"/>
                <w:szCs w:val="24"/>
                <w:lang w:val="en-US" w:eastAsia="zh-CN"/>
                <w14:textFill>
                  <w14:solidFill>
                    <w14:schemeClr w14:val="tx1"/>
                  </w14:solidFill>
                </w14:textFill>
              </w:rPr>
              <w:t>1.对账服务承诺</w:t>
            </w:r>
          </w:p>
        </w:tc>
        <w:tc>
          <w:tcPr>
            <w:tcW w:w="5986" w:type="dxa"/>
            <w:shd w:val="clear" w:color="auto" w:fill="auto"/>
            <w:noWrap w:val="0"/>
            <w:vAlign w:val="center"/>
          </w:tcPr>
          <w:p w14:paraId="5F039541">
            <w:pPr>
              <w:spacing w:line="240" w:lineRule="auto"/>
              <w:rPr>
                <w:rFonts w:hint="eastAsia" w:ascii="宋体" w:hAnsi="宋体" w:eastAsia="宋体" w:cs="宋体"/>
                <w:b/>
                <w:bCs w:val="0"/>
                <w:color w:val="000000" w:themeColor="text1"/>
                <w:w w:val="90"/>
                <w:sz w:val="24"/>
                <w:szCs w:val="24"/>
                <w:lang w:val="en-US" w:eastAsia="zh-CN"/>
                <w14:textFill>
                  <w14:solidFill>
                    <w14:schemeClr w14:val="tx1"/>
                  </w14:solidFill>
                </w14:textFill>
              </w:rPr>
            </w:pPr>
            <w:r>
              <w:rPr>
                <w:rFonts w:hint="eastAsia" w:ascii="宋体" w:hAnsi="宋体" w:eastAsia="宋体" w:cs="宋体"/>
                <w:b/>
                <w:bCs w:val="0"/>
                <w:color w:val="000000" w:themeColor="text1"/>
                <w:w w:val="90"/>
                <w:sz w:val="24"/>
                <w:szCs w:val="24"/>
                <w:lang w:val="en-US" w:eastAsia="zh-CN"/>
                <w14:textFill>
                  <w14:solidFill>
                    <w14:schemeClr w14:val="tx1"/>
                  </w14:solidFill>
                </w14:textFill>
              </w:rPr>
              <w:t>承诺每月5日前及时送达对账单(或提供网上对账服务)的得3.5分，未承诺的不分。</w:t>
            </w:r>
          </w:p>
        </w:tc>
        <w:tc>
          <w:tcPr>
            <w:tcW w:w="1120" w:type="dxa"/>
            <w:shd w:val="clear" w:color="auto" w:fill="auto"/>
            <w:noWrap w:val="0"/>
            <w:vAlign w:val="center"/>
          </w:tcPr>
          <w:p w14:paraId="0CD7955A">
            <w:pPr>
              <w:spacing w:line="240" w:lineRule="auto"/>
              <w:rPr>
                <w:rFonts w:hint="eastAsia" w:ascii="宋体" w:hAnsi="宋体" w:eastAsia="宋体" w:cs="宋体"/>
                <w:b/>
                <w:bCs w:val="0"/>
                <w:color w:val="000000" w:themeColor="text1"/>
                <w:w w:val="90"/>
                <w:sz w:val="24"/>
                <w:szCs w:val="24"/>
                <w:lang w:val="en-US" w:eastAsia="zh-CN"/>
                <w14:textFill>
                  <w14:solidFill>
                    <w14:schemeClr w14:val="tx1"/>
                  </w14:solidFill>
                </w14:textFill>
              </w:rPr>
            </w:pPr>
            <w:r>
              <w:rPr>
                <w:rFonts w:hint="eastAsia" w:ascii="宋体" w:hAnsi="宋体" w:eastAsia="宋体" w:cs="宋体"/>
                <w:b/>
                <w:bCs w:val="0"/>
                <w:color w:val="000000" w:themeColor="text1"/>
                <w:w w:val="90"/>
                <w:sz w:val="24"/>
                <w:szCs w:val="24"/>
                <w:lang w:val="en-US" w:eastAsia="zh-CN"/>
                <w14:textFill>
                  <w14:solidFill>
                    <w14:schemeClr w14:val="tx1"/>
                  </w14:solidFill>
                </w14:textFill>
              </w:rPr>
              <w:t>3.5</w:t>
            </w:r>
          </w:p>
        </w:tc>
      </w:tr>
      <w:tr w14:paraId="35DC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321" w:type="dxa"/>
            <w:vMerge w:val="continue"/>
            <w:noWrap w:val="0"/>
            <w:vAlign w:val="center"/>
          </w:tcPr>
          <w:p w14:paraId="052546BA">
            <w:pPr>
              <w:jc w:val="center"/>
              <w:rPr>
                <w:rFonts w:hint="eastAsia" w:ascii="宋体" w:hAnsi="宋体" w:eastAsia="宋体" w:cs="宋体"/>
                <w:b/>
                <w:bCs w:val="0"/>
                <w:color w:val="000000" w:themeColor="text1"/>
                <w:kern w:val="0"/>
                <w:sz w:val="24"/>
                <w:szCs w:val="24"/>
                <w:lang w:bidi="ar"/>
                <w14:textFill>
                  <w14:solidFill>
                    <w14:schemeClr w14:val="tx1"/>
                  </w14:solidFill>
                </w14:textFill>
              </w:rPr>
            </w:pPr>
          </w:p>
        </w:tc>
        <w:tc>
          <w:tcPr>
            <w:tcW w:w="1432" w:type="dxa"/>
            <w:shd w:val="clear" w:color="auto" w:fill="auto"/>
            <w:noWrap w:val="0"/>
            <w:vAlign w:val="center"/>
          </w:tcPr>
          <w:p w14:paraId="6012DCD1">
            <w:pPr>
              <w:spacing w:line="240" w:lineRule="auto"/>
              <w:rPr>
                <w:rFonts w:hint="eastAsia" w:ascii="宋体" w:hAnsi="宋体" w:eastAsia="宋体" w:cs="宋体"/>
                <w:b/>
                <w:bCs w:val="0"/>
                <w:color w:val="000000" w:themeColor="text1"/>
                <w:w w:val="90"/>
                <w:sz w:val="24"/>
                <w:szCs w:val="24"/>
                <w:lang w:val="en-US" w:eastAsia="zh-CN"/>
                <w14:textFill>
                  <w14:solidFill>
                    <w14:schemeClr w14:val="tx1"/>
                  </w14:solidFill>
                </w14:textFill>
              </w:rPr>
            </w:pPr>
            <w:r>
              <w:rPr>
                <w:rFonts w:hint="eastAsia" w:ascii="宋体" w:hAnsi="宋体" w:eastAsia="宋体" w:cs="宋体"/>
                <w:b/>
                <w:bCs w:val="0"/>
                <w:color w:val="000000" w:themeColor="text1"/>
                <w:w w:val="90"/>
                <w:sz w:val="24"/>
                <w:szCs w:val="24"/>
                <w:lang w:val="en-US" w:eastAsia="zh-CN"/>
                <w14:textFill>
                  <w14:solidFill>
                    <w14:schemeClr w14:val="tx1"/>
                  </w14:solidFill>
                </w14:textFill>
              </w:rPr>
              <w:t>2.承诺对账率</w:t>
            </w:r>
          </w:p>
        </w:tc>
        <w:tc>
          <w:tcPr>
            <w:tcW w:w="5986" w:type="dxa"/>
            <w:shd w:val="clear" w:color="auto" w:fill="auto"/>
            <w:noWrap w:val="0"/>
            <w:vAlign w:val="center"/>
          </w:tcPr>
          <w:p w14:paraId="2D663CBB">
            <w:pPr>
              <w:spacing w:line="240" w:lineRule="auto"/>
              <w:rPr>
                <w:rFonts w:hint="eastAsia" w:ascii="宋体" w:hAnsi="宋体" w:eastAsia="宋体" w:cs="宋体"/>
                <w:b/>
                <w:bCs w:val="0"/>
                <w:color w:val="000000" w:themeColor="text1"/>
                <w:w w:val="90"/>
                <w:sz w:val="24"/>
                <w:szCs w:val="24"/>
                <w:lang w:val="en-US" w:eastAsia="zh-CN"/>
                <w14:textFill>
                  <w14:solidFill>
                    <w14:schemeClr w14:val="tx1"/>
                  </w14:solidFill>
                </w14:textFill>
              </w:rPr>
            </w:pPr>
            <w:r>
              <w:rPr>
                <w:rFonts w:hint="eastAsia" w:ascii="宋体" w:hAnsi="宋体" w:eastAsia="宋体" w:cs="宋体"/>
                <w:b/>
                <w:bCs w:val="0"/>
                <w:color w:val="000000" w:themeColor="text1"/>
                <w:w w:val="90"/>
                <w:sz w:val="24"/>
                <w:szCs w:val="24"/>
                <w:lang w:val="en-US" w:eastAsia="zh-CN"/>
                <w14:textFill>
                  <w14:solidFill>
                    <w14:schemeClr w14:val="tx1"/>
                  </w14:solidFill>
                </w14:textFill>
              </w:rPr>
              <w:t>承诺对账率为100%的得3.5分，低于100%或未承诺的不得分。</w:t>
            </w:r>
          </w:p>
        </w:tc>
        <w:tc>
          <w:tcPr>
            <w:tcW w:w="1120" w:type="dxa"/>
            <w:shd w:val="clear" w:color="auto" w:fill="auto"/>
            <w:noWrap w:val="0"/>
            <w:vAlign w:val="center"/>
          </w:tcPr>
          <w:p w14:paraId="64672AA9">
            <w:pPr>
              <w:spacing w:line="240" w:lineRule="auto"/>
              <w:rPr>
                <w:rFonts w:hint="eastAsia" w:ascii="宋体" w:hAnsi="宋体" w:eastAsia="宋体" w:cs="宋体"/>
                <w:b/>
                <w:bCs w:val="0"/>
                <w:color w:val="000000" w:themeColor="text1"/>
                <w:w w:val="90"/>
                <w:sz w:val="24"/>
                <w:szCs w:val="24"/>
                <w:lang w:val="en-US" w:eastAsia="zh-CN"/>
                <w14:textFill>
                  <w14:solidFill>
                    <w14:schemeClr w14:val="tx1"/>
                  </w14:solidFill>
                </w14:textFill>
              </w:rPr>
            </w:pPr>
            <w:r>
              <w:rPr>
                <w:rFonts w:hint="eastAsia" w:ascii="宋体" w:hAnsi="宋体" w:eastAsia="宋体" w:cs="宋体"/>
                <w:b/>
                <w:bCs w:val="0"/>
                <w:color w:val="000000" w:themeColor="text1"/>
                <w:w w:val="90"/>
                <w:sz w:val="24"/>
                <w:szCs w:val="24"/>
                <w:lang w:val="en-US" w:eastAsia="zh-CN"/>
                <w14:textFill>
                  <w14:solidFill>
                    <w14:schemeClr w14:val="tx1"/>
                  </w14:solidFill>
                </w14:textFill>
              </w:rPr>
              <w:t>3.5</w:t>
            </w:r>
          </w:p>
        </w:tc>
      </w:tr>
      <w:tr w14:paraId="7686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21" w:type="dxa"/>
            <w:vMerge w:val="continue"/>
            <w:noWrap w:val="0"/>
            <w:vAlign w:val="center"/>
          </w:tcPr>
          <w:p w14:paraId="3AF5DA63">
            <w:pPr>
              <w:jc w:val="center"/>
              <w:rPr>
                <w:rFonts w:hint="eastAsia" w:ascii="宋体" w:hAnsi="宋体" w:eastAsia="宋体" w:cs="宋体"/>
                <w:b/>
                <w:bCs w:val="0"/>
                <w:color w:val="000000" w:themeColor="text1"/>
                <w:kern w:val="0"/>
                <w:sz w:val="24"/>
                <w:szCs w:val="24"/>
                <w14:textFill>
                  <w14:solidFill>
                    <w14:schemeClr w14:val="tx1"/>
                  </w14:solidFill>
                </w14:textFill>
              </w:rPr>
            </w:pPr>
          </w:p>
        </w:tc>
        <w:tc>
          <w:tcPr>
            <w:tcW w:w="1432" w:type="dxa"/>
            <w:noWrap w:val="0"/>
            <w:vAlign w:val="center"/>
          </w:tcPr>
          <w:p w14:paraId="25E155C5">
            <w:pPr>
              <w:spacing w:line="240" w:lineRule="auto"/>
              <w:rPr>
                <w:rFonts w:hint="eastAsia" w:ascii="宋体" w:hAnsi="宋体" w:eastAsia="宋体" w:cs="宋体"/>
                <w:b/>
                <w:bCs w:val="0"/>
                <w:color w:val="000000" w:themeColor="text1"/>
                <w:w w:val="90"/>
                <w:sz w:val="24"/>
                <w:szCs w:val="24"/>
                <w:lang w:eastAsia="zh-CN"/>
                <w14:textFill>
                  <w14:solidFill>
                    <w14:schemeClr w14:val="tx1"/>
                  </w14:solidFill>
                </w14:textFill>
              </w:rPr>
            </w:pPr>
            <w:r>
              <w:rPr>
                <w:rFonts w:hint="eastAsia" w:ascii="宋体" w:hAnsi="宋体" w:eastAsia="宋体" w:cs="宋体"/>
                <w:b/>
                <w:bCs w:val="0"/>
                <w:color w:val="000000" w:themeColor="text1"/>
                <w:w w:val="90"/>
                <w:sz w:val="24"/>
                <w:szCs w:val="24"/>
                <w:lang w:val="en-US" w:eastAsia="zh-CN"/>
                <w14:textFill>
                  <w14:solidFill>
                    <w14:schemeClr w14:val="tx1"/>
                  </w14:solidFill>
                </w14:textFill>
              </w:rPr>
              <w:t>3.</w:t>
            </w:r>
            <w:r>
              <w:rPr>
                <w:rFonts w:hint="eastAsia" w:ascii="宋体" w:hAnsi="宋体" w:eastAsia="宋体" w:cs="宋体"/>
                <w:b/>
                <w:bCs w:val="0"/>
                <w:color w:val="000000" w:themeColor="text1"/>
                <w:w w:val="90"/>
                <w:sz w:val="24"/>
                <w:szCs w:val="24"/>
                <w:lang w:eastAsia="zh-CN"/>
                <w14:textFill>
                  <w14:solidFill>
                    <w14:schemeClr w14:val="tx1"/>
                  </w14:solidFill>
                </w14:textFill>
              </w:rPr>
              <w:t>服务水平</w:t>
            </w:r>
          </w:p>
        </w:tc>
        <w:tc>
          <w:tcPr>
            <w:tcW w:w="5986" w:type="dxa"/>
            <w:noWrap w:val="0"/>
            <w:vAlign w:val="center"/>
          </w:tcPr>
          <w:p w14:paraId="33482063">
            <w:pPr>
              <w:spacing w:line="240" w:lineRule="auto"/>
              <w:rPr>
                <w:rFonts w:hint="eastAsia" w:ascii="宋体" w:hAnsi="宋体" w:eastAsia="宋体" w:cs="宋体"/>
                <w:b/>
                <w:bCs w:val="0"/>
                <w:color w:val="000000" w:themeColor="text1"/>
                <w:w w:val="90"/>
                <w:sz w:val="24"/>
                <w:szCs w:val="24"/>
                <w:lang w:eastAsia="zh-CN"/>
                <w14:textFill>
                  <w14:solidFill>
                    <w14:schemeClr w14:val="tx1"/>
                  </w14:solidFill>
                </w14:textFill>
              </w:rPr>
            </w:pPr>
            <w:r>
              <w:rPr>
                <w:rFonts w:hint="eastAsia" w:ascii="宋体" w:hAnsi="宋体" w:eastAsia="宋体" w:cs="宋体"/>
                <w:b/>
                <w:bCs w:val="0"/>
                <w:color w:val="000000" w:themeColor="text1"/>
                <w:w w:val="90"/>
                <w:sz w:val="24"/>
                <w:szCs w:val="24"/>
                <w:lang w:eastAsia="zh-CN"/>
                <w14:textFill>
                  <w14:solidFill>
                    <w14:schemeClr w14:val="tx1"/>
                  </w14:solidFill>
                </w14:textFill>
              </w:rPr>
              <w:t>投标银行承诺其它有利于招标人且具有实质意义上的服务</w:t>
            </w:r>
            <w:r>
              <w:rPr>
                <w:rFonts w:hint="eastAsia" w:ascii="宋体" w:hAnsi="宋体" w:eastAsia="宋体" w:cs="宋体"/>
                <w:b/>
                <w:bCs w:val="0"/>
                <w:color w:val="000000" w:themeColor="text1"/>
                <w:w w:val="90"/>
                <w:sz w:val="24"/>
                <w:szCs w:val="24"/>
                <w:lang w:val="zh-CN" w:eastAsia="zh-CN"/>
                <w14:textFill>
                  <w14:solidFill>
                    <w14:schemeClr w14:val="tx1"/>
                  </w14:solidFill>
                </w14:textFill>
              </w:rPr>
              <w:t>承诺</w:t>
            </w:r>
            <w:r>
              <w:rPr>
                <w:rFonts w:hint="eastAsia" w:ascii="宋体" w:hAnsi="宋体" w:eastAsia="宋体" w:cs="宋体"/>
                <w:b/>
                <w:bCs w:val="0"/>
                <w:color w:val="000000" w:themeColor="text1"/>
                <w:w w:val="90"/>
                <w:sz w:val="24"/>
                <w:szCs w:val="24"/>
                <w:lang w:eastAsia="zh-CN"/>
                <w14:textFill>
                  <w14:solidFill>
                    <w14:schemeClr w14:val="tx1"/>
                  </w14:solidFill>
                </w14:textFill>
              </w:rPr>
              <w:t>和服务水平情况</w:t>
            </w:r>
            <w:r>
              <w:rPr>
                <w:rFonts w:hint="eastAsia" w:ascii="宋体" w:hAnsi="宋体" w:eastAsia="宋体" w:cs="宋体"/>
                <w:b/>
                <w:bCs w:val="0"/>
                <w:color w:val="000000" w:themeColor="text1"/>
                <w:w w:val="90"/>
                <w:sz w:val="24"/>
                <w:szCs w:val="24"/>
                <w:lang w:val="zh-CN" w:eastAsia="zh-CN"/>
                <w14:textFill>
                  <w14:solidFill>
                    <w14:schemeClr w14:val="tx1"/>
                  </w14:solidFill>
                </w14:textFill>
              </w:rPr>
              <w:t>，</w:t>
            </w:r>
            <w:r>
              <w:rPr>
                <w:rFonts w:hint="eastAsia" w:ascii="宋体" w:hAnsi="宋体" w:eastAsia="宋体" w:cs="宋体"/>
                <w:b/>
                <w:bCs w:val="0"/>
                <w:color w:val="000000" w:themeColor="text1"/>
                <w:w w:val="90"/>
                <w:sz w:val="24"/>
                <w:szCs w:val="24"/>
                <w:lang w:eastAsia="zh-CN"/>
                <w14:textFill>
                  <w14:solidFill>
                    <w14:schemeClr w14:val="tx1"/>
                  </w14:solidFill>
                </w14:textFill>
              </w:rPr>
              <w:t>评委根据承诺的实用性、可行性在0-3分范围内</w:t>
            </w:r>
            <w:r>
              <w:rPr>
                <w:rFonts w:hint="eastAsia" w:ascii="宋体" w:hAnsi="宋体" w:eastAsia="宋体" w:cs="宋体"/>
                <w:b/>
                <w:bCs w:val="0"/>
                <w:color w:val="000000" w:themeColor="text1"/>
                <w:w w:val="90"/>
                <w:sz w:val="24"/>
                <w:szCs w:val="24"/>
                <w:lang w:val="en-US" w:eastAsia="zh-CN"/>
                <w14:textFill>
                  <w14:solidFill>
                    <w14:schemeClr w14:val="tx1"/>
                  </w14:solidFill>
                </w14:textFill>
              </w:rPr>
              <w:t>进行</w:t>
            </w:r>
            <w:r>
              <w:rPr>
                <w:rFonts w:hint="eastAsia" w:ascii="宋体" w:hAnsi="宋体" w:eastAsia="宋体" w:cs="宋体"/>
                <w:b/>
                <w:bCs w:val="0"/>
                <w:color w:val="000000" w:themeColor="text1"/>
                <w:w w:val="90"/>
                <w:sz w:val="24"/>
                <w:szCs w:val="24"/>
                <w:lang w:eastAsia="zh-CN"/>
                <w14:textFill>
                  <w14:solidFill>
                    <w14:schemeClr w14:val="tx1"/>
                  </w14:solidFill>
                </w14:textFill>
              </w:rPr>
              <w:t>打分。</w:t>
            </w:r>
          </w:p>
        </w:tc>
        <w:tc>
          <w:tcPr>
            <w:tcW w:w="1120" w:type="dxa"/>
            <w:noWrap w:val="0"/>
            <w:vAlign w:val="center"/>
          </w:tcPr>
          <w:p w14:paraId="182E94DC">
            <w:pPr>
              <w:spacing w:line="240" w:lineRule="auto"/>
              <w:rPr>
                <w:rFonts w:hint="eastAsia" w:ascii="宋体" w:hAnsi="宋体" w:eastAsia="宋体" w:cs="宋体"/>
                <w:b/>
                <w:bCs w:val="0"/>
                <w:color w:val="000000" w:themeColor="text1"/>
                <w:w w:val="90"/>
                <w:sz w:val="24"/>
                <w:szCs w:val="24"/>
                <w:lang w:val="en-US" w:eastAsia="zh-CN"/>
                <w14:textFill>
                  <w14:solidFill>
                    <w14:schemeClr w14:val="tx1"/>
                  </w14:solidFill>
                </w14:textFill>
              </w:rPr>
            </w:pPr>
            <w:r>
              <w:rPr>
                <w:rFonts w:hint="eastAsia" w:ascii="宋体" w:hAnsi="宋体" w:eastAsia="宋体" w:cs="宋体"/>
                <w:b/>
                <w:bCs w:val="0"/>
                <w:color w:val="000000" w:themeColor="text1"/>
                <w:w w:val="90"/>
                <w:sz w:val="24"/>
                <w:szCs w:val="24"/>
                <w:lang w:val="en-US" w:eastAsia="zh-CN"/>
                <w14:textFill>
                  <w14:solidFill>
                    <w14:schemeClr w14:val="tx1"/>
                  </w14:solidFill>
                </w14:textFill>
              </w:rPr>
              <w:t>3</w:t>
            </w:r>
          </w:p>
        </w:tc>
      </w:tr>
      <w:tr w14:paraId="44D3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21" w:type="dxa"/>
            <w:noWrap w:val="0"/>
            <w:vAlign w:val="center"/>
          </w:tcPr>
          <w:p w14:paraId="723DC4B6">
            <w:pPr>
              <w:snapToGrid w:val="0"/>
              <w:spacing w:line="240" w:lineRule="auto"/>
              <w:jc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利率水平指标</w:t>
            </w:r>
          </w:p>
          <w:p w14:paraId="17C0D9D6">
            <w:pPr>
              <w:spacing w:line="240" w:lineRule="auto"/>
              <w:jc w:val="center"/>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2</w:t>
            </w:r>
            <w:r>
              <w:rPr>
                <w:rFonts w:hint="eastAsia" w:ascii="宋体" w:hAnsi="宋体" w:eastAsia="宋体" w:cs="宋体"/>
                <w:b/>
                <w:bCs w:val="0"/>
                <w:color w:val="000000" w:themeColor="text1"/>
                <w:sz w:val="24"/>
                <w:szCs w:val="24"/>
                <w14:textFill>
                  <w14:solidFill>
                    <w14:schemeClr w14:val="tx1"/>
                  </w14:solidFill>
                </w14:textFill>
              </w:rPr>
              <w:t>0分)</w:t>
            </w:r>
          </w:p>
        </w:tc>
        <w:tc>
          <w:tcPr>
            <w:tcW w:w="1432" w:type="dxa"/>
            <w:noWrap w:val="0"/>
            <w:vAlign w:val="center"/>
          </w:tcPr>
          <w:p w14:paraId="6221E676">
            <w:pPr>
              <w:spacing w:line="240" w:lineRule="auto"/>
              <w:rPr>
                <w:rFonts w:hint="eastAsia" w:ascii="宋体" w:hAnsi="宋体" w:eastAsia="宋体" w:cs="宋体"/>
                <w:b/>
                <w:bCs w:val="0"/>
                <w:color w:val="000000" w:themeColor="text1"/>
                <w:w w:val="90"/>
                <w:sz w:val="24"/>
                <w:szCs w:val="24"/>
                <w:lang w:eastAsia="zh-CN"/>
                <w14:textFill>
                  <w14:solidFill>
                    <w14:schemeClr w14:val="tx1"/>
                  </w14:solidFill>
                </w14:textFill>
              </w:rPr>
            </w:pPr>
            <w:r>
              <w:rPr>
                <w:rFonts w:hint="eastAsia" w:ascii="宋体" w:hAnsi="宋体" w:eastAsia="宋体" w:cs="宋体"/>
                <w:b/>
                <w:bCs w:val="0"/>
                <w:color w:val="000000" w:themeColor="text1"/>
                <w:w w:val="90"/>
                <w:sz w:val="24"/>
                <w:szCs w:val="24"/>
                <w:lang w:val="en-US" w:eastAsia="zh-CN"/>
                <w14:textFill>
                  <w14:solidFill>
                    <w14:schemeClr w14:val="tx1"/>
                  </w14:solidFill>
                </w14:textFill>
              </w:rPr>
              <w:t>1.</w:t>
            </w:r>
            <w:r>
              <w:rPr>
                <w:rFonts w:hint="eastAsia" w:ascii="宋体" w:hAnsi="宋体" w:eastAsia="宋体" w:cs="宋体"/>
                <w:b/>
                <w:bCs w:val="0"/>
                <w:color w:val="000000" w:themeColor="text1"/>
                <w:w w:val="90"/>
                <w:sz w:val="24"/>
                <w:szCs w:val="24"/>
                <w:lang w:eastAsia="zh-CN"/>
                <w14:textFill>
                  <w14:solidFill>
                    <w14:schemeClr w14:val="tx1"/>
                  </w14:solidFill>
                </w14:textFill>
              </w:rPr>
              <w:t>利率报价</w:t>
            </w:r>
          </w:p>
        </w:tc>
        <w:tc>
          <w:tcPr>
            <w:tcW w:w="5986" w:type="dxa"/>
            <w:noWrap w:val="0"/>
            <w:vAlign w:val="center"/>
          </w:tcPr>
          <w:p w14:paraId="5D9B7606">
            <w:pPr>
              <w:spacing w:line="240" w:lineRule="auto"/>
              <w:rPr>
                <w:rFonts w:hint="eastAsia" w:ascii="宋体" w:hAnsi="宋体" w:eastAsia="宋体" w:cs="宋体"/>
                <w:b/>
                <w:bCs w:val="0"/>
                <w:color w:val="000000" w:themeColor="text1"/>
                <w:w w:val="90"/>
                <w:sz w:val="24"/>
                <w:szCs w:val="24"/>
                <w:lang w:eastAsia="zh-CN"/>
                <w14:textFill>
                  <w14:solidFill>
                    <w14:schemeClr w14:val="tx1"/>
                  </w14:solidFill>
                </w14:textFill>
              </w:rPr>
            </w:pPr>
            <w:r>
              <w:rPr>
                <w:rFonts w:hint="eastAsia" w:ascii="宋体" w:hAnsi="宋体" w:eastAsia="宋体" w:cs="宋体"/>
                <w:b/>
                <w:bCs w:val="0"/>
                <w:color w:val="000000" w:themeColor="text1"/>
                <w:w w:val="90"/>
                <w:sz w:val="24"/>
                <w:szCs w:val="24"/>
                <w:lang w:eastAsia="zh-CN"/>
                <w14:textFill>
                  <w14:solidFill>
                    <w14:schemeClr w14:val="tx1"/>
                  </w14:solidFill>
                </w14:textFill>
              </w:rPr>
              <w:t>投标银行承诺定期存款利率情况评分，承诺的定期存款年利率比基准利率上浮最高者得</w:t>
            </w:r>
            <w:r>
              <w:rPr>
                <w:rFonts w:hint="eastAsia" w:ascii="宋体" w:hAnsi="宋体" w:eastAsia="宋体" w:cs="宋体"/>
                <w:b/>
                <w:bCs w:val="0"/>
                <w:color w:val="000000" w:themeColor="text1"/>
                <w:w w:val="90"/>
                <w:sz w:val="24"/>
                <w:szCs w:val="24"/>
                <w:lang w:val="en-US" w:eastAsia="zh-CN"/>
                <w14:textFill>
                  <w14:solidFill>
                    <w14:schemeClr w14:val="tx1"/>
                  </w14:solidFill>
                </w14:textFill>
              </w:rPr>
              <w:t>2</w:t>
            </w:r>
            <w:r>
              <w:rPr>
                <w:rFonts w:hint="eastAsia" w:ascii="宋体" w:hAnsi="宋体" w:eastAsia="宋体" w:cs="宋体"/>
                <w:b/>
                <w:bCs w:val="0"/>
                <w:color w:val="000000" w:themeColor="text1"/>
                <w:w w:val="90"/>
                <w:sz w:val="24"/>
                <w:szCs w:val="24"/>
                <w:lang w:eastAsia="zh-CN"/>
                <w14:textFill>
                  <w14:solidFill>
                    <w14:schemeClr w14:val="tx1"/>
                  </w14:solidFill>
                </w14:textFill>
              </w:rPr>
              <w:t>0分，其他竞标银行得分计算如下：利率相比最高者每少一个BP减0.</w:t>
            </w:r>
            <w:r>
              <w:rPr>
                <w:rFonts w:hint="eastAsia" w:ascii="宋体" w:hAnsi="宋体" w:eastAsia="宋体" w:cs="宋体"/>
                <w:b/>
                <w:bCs w:val="0"/>
                <w:color w:val="000000" w:themeColor="text1"/>
                <w:w w:val="90"/>
                <w:sz w:val="24"/>
                <w:szCs w:val="24"/>
                <w:lang w:val="en-US" w:eastAsia="zh-CN"/>
                <w14:textFill>
                  <w14:solidFill>
                    <w14:schemeClr w14:val="tx1"/>
                  </w14:solidFill>
                </w14:textFill>
              </w:rPr>
              <w:t>1</w:t>
            </w:r>
            <w:r>
              <w:rPr>
                <w:rFonts w:hint="eastAsia" w:ascii="宋体" w:hAnsi="宋体" w:eastAsia="宋体" w:cs="宋体"/>
                <w:b/>
                <w:bCs w:val="0"/>
                <w:color w:val="000000" w:themeColor="text1"/>
                <w:w w:val="90"/>
                <w:sz w:val="24"/>
                <w:szCs w:val="24"/>
                <w:lang w:eastAsia="zh-CN"/>
                <w14:textFill>
                  <w14:solidFill>
                    <w14:schemeClr w14:val="tx1"/>
                  </w14:solidFill>
                </w14:textFill>
              </w:rPr>
              <w:t>分。</w:t>
            </w:r>
          </w:p>
        </w:tc>
        <w:tc>
          <w:tcPr>
            <w:tcW w:w="1120" w:type="dxa"/>
            <w:noWrap w:val="0"/>
            <w:vAlign w:val="center"/>
          </w:tcPr>
          <w:p w14:paraId="4BB680C6">
            <w:pPr>
              <w:spacing w:line="240" w:lineRule="auto"/>
              <w:rPr>
                <w:rFonts w:hint="eastAsia" w:ascii="宋体" w:hAnsi="宋体" w:eastAsia="宋体" w:cs="宋体"/>
                <w:b/>
                <w:bCs w:val="0"/>
                <w:color w:val="000000" w:themeColor="text1"/>
                <w:w w:val="90"/>
                <w:sz w:val="24"/>
                <w:szCs w:val="24"/>
                <w:lang w:val="en-US" w:eastAsia="zh-CN"/>
                <w14:textFill>
                  <w14:solidFill>
                    <w14:schemeClr w14:val="tx1"/>
                  </w14:solidFill>
                </w14:textFill>
              </w:rPr>
            </w:pPr>
            <w:r>
              <w:rPr>
                <w:rFonts w:hint="eastAsia" w:ascii="宋体" w:hAnsi="宋体" w:eastAsia="宋体" w:cs="宋体"/>
                <w:b/>
                <w:bCs w:val="0"/>
                <w:color w:val="000000" w:themeColor="text1"/>
                <w:w w:val="90"/>
                <w:sz w:val="24"/>
                <w:szCs w:val="24"/>
                <w:lang w:val="en-US" w:eastAsia="zh-CN"/>
                <w14:textFill>
                  <w14:solidFill>
                    <w14:schemeClr w14:val="tx1"/>
                  </w14:solidFill>
                </w14:textFill>
              </w:rPr>
              <w:t>20</w:t>
            </w:r>
          </w:p>
        </w:tc>
      </w:tr>
      <w:tr w14:paraId="3AFC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39" w:type="dxa"/>
            <w:gridSpan w:val="3"/>
            <w:noWrap w:val="0"/>
            <w:vAlign w:val="center"/>
          </w:tcPr>
          <w:p w14:paraId="3FF9A976">
            <w:pPr>
              <w:spacing w:line="240" w:lineRule="auto"/>
              <w:jc w:val="center"/>
              <w:rPr>
                <w:rFonts w:hint="eastAsia" w:ascii="宋体" w:hAnsi="宋体" w:eastAsia="宋体" w:cs="宋体"/>
                <w:b/>
                <w:bCs w:val="0"/>
                <w:color w:val="000000" w:themeColor="text1"/>
                <w:w w:val="90"/>
                <w:sz w:val="24"/>
                <w:szCs w:val="24"/>
                <w14:textFill>
                  <w14:solidFill>
                    <w14:schemeClr w14:val="tx1"/>
                  </w14:solidFill>
                </w14:textFill>
              </w:rPr>
            </w:pPr>
            <w:r>
              <w:rPr>
                <w:rFonts w:hint="eastAsia" w:ascii="宋体" w:hAnsi="宋体" w:eastAsia="宋体" w:cs="宋体"/>
                <w:b/>
                <w:bCs w:val="0"/>
                <w:color w:val="000000" w:themeColor="text1"/>
                <w:w w:val="90"/>
                <w:sz w:val="24"/>
                <w:szCs w:val="24"/>
                <w14:textFill>
                  <w14:solidFill>
                    <w14:schemeClr w14:val="tx1"/>
                  </w14:solidFill>
                </w14:textFill>
              </w:rPr>
              <w:t>合计</w:t>
            </w:r>
          </w:p>
        </w:tc>
        <w:tc>
          <w:tcPr>
            <w:tcW w:w="1120" w:type="dxa"/>
            <w:noWrap w:val="0"/>
            <w:vAlign w:val="center"/>
          </w:tcPr>
          <w:p w14:paraId="60C7B911">
            <w:pPr>
              <w:spacing w:line="240" w:lineRule="auto"/>
              <w:jc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100分</w:t>
            </w:r>
          </w:p>
        </w:tc>
      </w:tr>
    </w:tbl>
    <w:p w14:paraId="51A9B4B3">
      <w:pPr>
        <w:pStyle w:val="37"/>
        <w:spacing w:before="0" w:after="0"/>
        <w:jc w:val="both"/>
        <w:rPr>
          <w:rFonts w:ascii="宋体" w:hAnsi="宋体" w:eastAsia="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备注：</w:t>
      </w:r>
      <w:bookmarkStart w:id="105" w:name="_Toc16381"/>
      <w:bookmarkStart w:id="106" w:name="_Toc15226"/>
      <w:bookmarkStart w:id="107" w:name="_Toc452032125"/>
      <w:bookmarkStart w:id="108" w:name="_Toc424164165"/>
      <w:bookmarkStart w:id="109" w:name="_Toc13793"/>
      <w:bookmarkStart w:id="110" w:name="_Toc440162798"/>
      <w:bookmarkStart w:id="111" w:name="_Toc4261"/>
      <w:bookmarkStart w:id="112" w:name="_Toc446950615"/>
      <w:bookmarkStart w:id="113" w:name="_Toc30100"/>
      <w:r>
        <w:rPr>
          <w:rFonts w:hint="eastAsia" w:ascii="宋体" w:hAnsi="宋体" w:eastAsia="宋体" w:cs="宋体"/>
          <w:b w:val="0"/>
          <w:bCs w:val="0"/>
          <w:color w:val="000000" w:themeColor="text1"/>
          <w:sz w:val="24"/>
          <w:szCs w:val="24"/>
          <w14:textFill>
            <w14:solidFill>
              <w14:schemeClr w14:val="tx1"/>
            </w14:solidFill>
          </w14:textFill>
        </w:rPr>
        <w:t>评标委员会按有效标中按各投标人的最终得分（即商务标得分及资信标得分之和）由高到低进行排名，最终得分最高的为第一名，以此类推；综合得分第一名投标人确定为标段一中标候选人、综合得分第二名投标人确定为标段二中标候选人、综合得分第</w:t>
      </w:r>
      <w:r>
        <w:rPr>
          <w:rFonts w:hint="eastAsia" w:ascii="宋体" w:hAnsi="宋体" w:eastAsia="宋体" w:cs="宋体"/>
          <w:b w:val="0"/>
          <w:bCs w:val="0"/>
          <w:color w:val="000000" w:themeColor="text1"/>
          <w:sz w:val="24"/>
          <w:szCs w:val="24"/>
          <w:lang w:val="en-US" w:eastAsia="zh-CN"/>
          <w14:textFill>
            <w14:solidFill>
              <w14:schemeClr w14:val="tx1"/>
            </w14:solidFill>
          </w14:textFill>
        </w:rPr>
        <w:t>三</w:t>
      </w:r>
      <w:r>
        <w:rPr>
          <w:rFonts w:hint="eastAsia" w:ascii="宋体" w:hAnsi="宋体" w:eastAsia="宋体" w:cs="宋体"/>
          <w:b w:val="0"/>
          <w:bCs w:val="0"/>
          <w:color w:val="000000" w:themeColor="text1"/>
          <w:sz w:val="24"/>
          <w:szCs w:val="24"/>
          <w14:textFill>
            <w14:solidFill>
              <w14:schemeClr w14:val="tx1"/>
            </w14:solidFill>
          </w14:textFill>
        </w:rPr>
        <w:t>名投标人确定为标段</w:t>
      </w:r>
      <w:r>
        <w:rPr>
          <w:rFonts w:hint="eastAsia" w:ascii="宋体" w:hAnsi="宋体" w:eastAsia="宋体" w:cs="宋体"/>
          <w:b w:val="0"/>
          <w:bCs w:val="0"/>
          <w:color w:val="000000" w:themeColor="text1"/>
          <w:sz w:val="24"/>
          <w:szCs w:val="24"/>
          <w:lang w:eastAsia="zh-CN"/>
          <w14:textFill>
            <w14:solidFill>
              <w14:schemeClr w14:val="tx1"/>
            </w14:solidFill>
          </w14:textFill>
        </w:rPr>
        <w:t>三</w:t>
      </w:r>
      <w:r>
        <w:rPr>
          <w:rFonts w:hint="eastAsia" w:ascii="宋体" w:hAnsi="宋体" w:eastAsia="宋体" w:cs="宋体"/>
          <w:b w:val="0"/>
          <w:bCs w:val="0"/>
          <w:color w:val="000000" w:themeColor="text1"/>
          <w:sz w:val="24"/>
          <w:szCs w:val="24"/>
          <w14:textFill>
            <w14:solidFill>
              <w14:schemeClr w14:val="tx1"/>
            </w14:solidFill>
          </w14:textFill>
        </w:rPr>
        <w:t>中标候选人（最终得分相同的，商务标得分高者优先；商务标得分，资信标得分也相同的，以随机方式确定优先者）。如发现中标人资格无效或其放弃中标资格，则按本次评标的得分排序结果依次替补。</w:t>
      </w:r>
    </w:p>
    <w:p w14:paraId="6C259F01">
      <w:pPr>
        <w:pStyle w:val="37"/>
        <w:numPr>
          <w:ilvl w:val="0"/>
          <w:numId w:val="6"/>
        </w:numPr>
        <w:spacing w:after="0"/>
      </w:pPr>
      <w:r>
        <w:rPr>
          <w:rFonts w:hint="eastAsia" w:hAnsi="宋体" w:eastAsia="宋体" w:cs="宋体"/>
          <w:b w:val="0"/>
          <w:bCs w:val="0"/>
          <w:sz w:val="24"/>
          <w:szCs w:val="24"/>
        </w:rPr>
        <w:br w:type="page"/>
      </w:r>
      <w:r>
        <w:rPr>
          <w:rFonts w:hint="eastAsia"/>
        </w:rPr>
        <w:t>合同主要条款</w:t>
      </w:r>
      <w:bookmarkEnd w:id="105"/>
      <w:bookmarkEnd w:id="106"/>
      <w:bookmarkEnd w:id="107"/>
      <w:bookmarkEnd w:id="108"/>
      <w:bookmarkEnd w:id="109"/>
      <w:bookmarkEnd w:id="110"/>
      <w:bookmarkEnd w:id="111"/>
      <w:bookmarkEnd w:id="112"/>
      <w:bookmarkEnd w:id="113"/>
    </w:p>
    <w:p w14:paraId="27EBC5F4">
      <w:pPr>
        <w:jc w:val="center"/>
        <w:rPr>
          <w:rFonts w:ascii="华文中宋" w:hAnsi="华文中宋" w:eastAsia="华文中宋"/>
          <w:b/>
          <w:color w:val="000000"/>
          <w:kern w:val="0"/>
          <w:sz w:val="32"/>
          <w:szCs w:val="28"/>
        </w:rPr>
      </w:pPr>
      <w:r>
        <w:rPr>
          <w:rFonts w:hint="eastAsia" w:ascii="华文中宋" w:hAnsi="华文中宋" w:eastAsia="华文中宋"/>
          <w:b/>
          <w:color w:val="000000"/>
          <w:kern w:val="0"/>
          <w:sz w:val="32"/>
          <w:szCs w:val="28"/>
        </w:rPr>
        <w:t>（本合同样式供参考）</w:t>
      </w:r>
    </w:p>
    <w:p w14:paraId="27191F8B">
      <w:pPr>
        <w:jc w:val="left"/>
        <w:rPr>
          <w:rFonts w:ascii="仿宋" w:hAnsi="仿宋" w:cs="仿宋"/>
          <w:b/>
          <w:color w:val="000000"/>
          <w:kern w:val="0"/>
        </w:rPr>
      </w:pPr>
      <w:r>
        <w:rPr>
          <w:rFonts w:hint="eastAsia" w:ascii="仿宋" w:hAnsi="仿宋" w:cs="仿宋"/>
          <w:b/>
          <w:color w:val="000000"/>
          <w:kern w:val="0"/>
        </w:rPr>
        <w:t>合同编号：</w:t>
      </w:r>
      <w:r>
        <w:rPr>
          <w:rFonts w:hint="eastAsia" w:ascii="仿宋" w:hAnsi="仿宋" w:cs="仿宋"/>
          <w:b/>
          <w:color w:val="000000"/>
          <w:kern w:val="0"/>
          <w:u w:val="single"/>
        </w:rPr>
        <w:t xml:space="preserve">                 </w:t>
      </w:r>
    </w:p>
    <w:p w14:paraId="2A8CAD04">
      <w:pPr>
        <w:jc w:val="center"/>
        <w:rPr>
          <w:rFonts w:ascii="仿宋" w:hAnsi="仿宋" w:cs="仿宋"/>
          <w:b/>
          <w:color w:val="000000"/>
          <w:kern w:val="0"/>
        </w:rPr>
      </w:pPr>
    </w:p>
    <w:p w14:paraId="65BB2A78">
      <w:pPr>
        <w:ind w:firstLine="482" w:firstLineChars="200"/>
        <w:rPr>
          <w:rFonts w:ascii="仿宋" w:hAnsi="仿宋" w:cs="仿宋"/>
          <w:b/>
          <w:color w:val="000000"/>
          <w:kern w:val="0"/>
          <w:u w:val="single"/>
        </w:rPr>
      </w:pPr>
      <w:bookmarkStart w:id="114" w:name="_Toc6274"/>
      <w:bookmarkStart w:id="115" w:name="_Toc1450"/>
      <w:bookmarkStart w:id="116" w:name="_Toc446950616"/>
      <w:bookmarkStart w:id="117" w:name="_Toc424164166"/>
      <w:bookmarkStart w:id="118" w:name="_Toc440162799"/>
      <w:bookmarkStart w:id="119" w:name="_Toc452032126"/>
      <w:bookmarkStart w:id="120" w:name="_Toc3990"/>
      <w:r>
        <w:rPr>
          <w:rFonts w:hint="eastAsia" w:ascii="仿宋" w:hAnsi="仿宋" w:cs="仿宋"/>
          <w:b/>
          <w:color w:val="000000"/>
          <w:kern w:val="0"/>
        </w:rPr>
        <w:t>甲方：</w:t>
      </w:r>
      <w:r>
        <w:rPr>
          <w:rFonts w:hint="eastAsia" w:ascii="仿宋" w:hAnsi="仿宋" w:cs="仿宋"/>
          <w:color w:val="000000"/>
          <w:kern w:val="0"/>
          <w:u w:val="single"/>
        </w:rPr>
        <w:t xml:space="preserve">苍南县人民法院             </w:t>
      </w:r>
    </w:p>
    <w:p w14:paraId="13579BBD">
      <w:pPr>
        <w:ind w:firstLine="482" w:firstLineChars="200"/>
        <w:rPr>
          <w:rFonts w:ascii="仿宋" w:hAnsi="仿宋" w:cs="仿宋"/>
          <w:color w:val="000000"/>
          <w:kern w:val="0"/>
          <w:u w:val="single"/>
        </w:rPr>
      </w:pPr>
      <w:r>
        <w:rPr>
          <w:rFonts w:hint="eastAsia" w:ascii="仿宋" w:hAnsi="仿宋" w:cs="仿宋"/>
          <w:b/>
          <w:color w:val="000000"/>
          <w:kern w:val="0"/>
        </w:rPr>
        <w:t>乙方：</w:t>
      </w:r>
      <w:r>
        <w:rPr>
          <w:rFonts w:hint="eastAsia" w:ascii="仿宋" w:hAnsi="仿宋" w:cs="仿宋"/>
          <w:color w:val="000000"/>
          <w:kern w:val="0"/>
          <w:u w:val="single"/>
        </w:rPr>
        <w:t xml:space="preserve">                           </w:t>
      </w:r>
    </w:p>
    <w:p w14:paraId="1E7A0CD2">
      <w:pPr>
        <w:rPr>
          <w:rFonts w:ascii="仿宋" w:hAnsi="仿宋" w:cs="仿宋"/>
          <w:color w:val="000000"/>
          <w:kern w:val="0"/>
        </w:rPr>
      </w:pPr>
      <w:r>
        <w:rPr>
          <w:rFonts w:hint="eastAsia" w:ascii="仿宋" w:hAnsi="仿宋" w:cs="仿宋"/>
          <w:color w:val="000000"/>
          <w:kern w:val="0"/>
        </w:rPr>
        <w:t>甲、乙双方根据</w:t>
      </w:r>
      <w:r>
        <w:rPr>
          <w:rFonts w:hint="eastAsia" w:ascii="仿宋" w:hAnsi="仿宋" w:cs="Arial"/>
          <w:color w:val="000000"/>
          <w:kern w:val="0"/>
          <w:sz w:val="28"/>
          <w:lang w:eastAsia="zh-CN"/>
        </w:rPr>
        <w:t>苍南</w:t>
      </w:r>
      <w:r>
        <w:rPr>
          <w:rFonts w:hint="eastAsia" w:ascii="仿宋" w:hAnsi="仿宋" w:cs="仿宋"/>
          <w:color w:val="000000"/>
          <w:kern w:val="0"/>
          <w:lang w:eastAsia="zh-CN"/>
        </w:rPr>
        <w:t>县人民法院2025年度公款竞争性存放</w:t>
      </w:r>
      <w:r>
        <w:rPr>
          <w:rFonts w:hint="eastAsia" w:ascii="仿宋" w:hAnsi="仿宋" w:cs="仿宋"/>
          <w:color w:val="000000"/>
          <w:kern w:val="0"/>
        </w:rPr>
        <w:t>项目（项目编号：苍产告字【202</w:t>
      </w:r>
      <w:r>
        <w:rPr>
          <w:rFonts w:hint="eastAsia" w:ascii="仿宋" w:hAnsi="仿宋" w:cs="仿宋"/>
          <w:color w:val="000000"/>
          <w:kern w:val="0"/>
          <w:lang w:val="en-US" w:eastAsia="zh-CN"/>
        </w:rPr>
        <w:t>5</w:t>
      </w:r>
      <w:r>
        <w:rPr>
          <w:rFonts w:hint="eastAsia" w:ascii="仿宋" w:hAnsi="仿宋" w:cs="仿宋"/>
          <w:color w:val="000000"/>
          <w:kern w:val="0"/>
        </w:rPr>
        <w:t>】</w:t>
      </w:r>
      <w:r>
        <w:rPr>
          <w:rFonts w:hint="eastAsia" w:ascii="仿宋" w:hAnsi="仿宋" w:cs="仿宋"/>
          <w:color w:val="000000"/>
          <w:kern w:val="0"/>
          <w:lang w:val="en-US" w:eastAsia="zh-CN"/>
        </w:rPr>
        <w:t xml:space="preserve">   </w:t>
      </w:r>
      <w:r>
        <w:rPr>
          <w:rFonts w:hint="eastAsia" w:ascii="仿宋" w:hAnsi="仿宋" w:cs="仿宋"/>
          <w:color w:val="000000"/>
          <w:kern w:val="0"/>
        </w:rPr>
        <w:t>号）的招标结果和《苍南县县级预算单位公款竞争性存放管理暂行办法》(苍政办〔2019〕7号)等公款存放相关规定，签署本合同。</w:t>
      </w:r>
    </w:p>
    <w:p w14:paraId="7CC548F8">
      <w:pPr>
        <w:ind w:firstLine="482" w:firstLineChars="200"/>
        <w:rPr>
          <w:rFonts w:ascii="仿宋" w:hAnsi="仿宋" w:cs="仿宋"/>
          <w:color w:val="000000"/>
          <w:kern w:val="0"/>
          <w:u w:val="single"/>
        </w:rPr>
      </w:pPr>
      <w:r>
        <w:rPr>
          <w:rFonts w:hint="eastAsia" w:ascii="仿宋" w:hAnsi="仿宋" w:cs="仿宋"/>
          <w:b/>
          <w:color w:val="000000"/>
          <w:kern w:val="0"/>
        </w:rPr>
        <w:t>一、服务内</w:t>
      </w:r>
      <w:r>
        <w:rPr>
          <w:rFonts w:hint="eastAsia" w:ascii="仿宋" w:hAnsi="仿宋" w:cs="仿宋"/>
          <w:color w:val="000000"/>
          <w:kern w:val="0"/>
        </w:rPr>
        <w:t>容：</w:t>
      </w:r>
      <w:r>
        <w:rPr>
          <w:rFonts w:hint="eastAsia" w:ascii="仿宋" w:hAnsi="仿宋" w:cs="仿宋"/>
          <w:color w:val="000000"/>
          <w:kern w:val="0"/>
          <w:lang w:eastAsia="zh-CN"/>
        </w:rPr>
        <w:t>公款竞争性存放</w:t>
      </w:r>
    </w:p>
    <w:p w14:paraId="7D83E1EE">
      <w:pPr>
        <w:ind w:firstLine="482" w:firstLineChars="200"/>
        <w:rPr>
          <w:rFonts w:ascii="仿宋" w:hAnsi="仿宋" w:cs="仿宋"/>
          <w:b/>
          <w:color w:val="000000"/>
          <w:kern w:val="0"/>
        </w:rPr>
      </w:pPr>
      <w:r>
        <w:rPr>
          <w:rFonts w:hint="eastAsia" w:ascii="仿宋" w:hAnsi="仿宋" w:cs="仿宋"/>
          <w:b/>
          <w:color w:val="000000"/>
          <w:kern w:val="0"/>
        </w:rPr>
        <w:t>二、乙方承诺甲方定期存款基准利率基础上</w:t>
      </w:r>
      <w:r>
        <w:rPr>
          <w:rFonts w:hint="eastAsia" w:ascii="Arial" w:hAnsi="新宋体" w:cs="Arial"/>
          <w:color w:val="000000"/>
          <w:sz w:val="22"/>
          <w:szCs w:val="22"/>
          <w:u w:val="single"/>
        </w:rPr>
        <w:t xml:space="preserve">     </w:t>
      </w:r>
      <w:r>
        <w:rPr>
          <w:rFonts w:hint="eastAsia" w:ascii="仿宋" w:hAnsi="仿宋" w:cs="仿宋"/>
          <w:b/>
          <w:color w:val="000000"/>
          <w:kern w:val="0"/>
        </w:rPr>
        <w:t>BP（或法定最高上限）。</w:t>
      </w:r>
    </w:p>
    <w:p w14:paraId="12B0603E">
      <w:pPr>
        <w:ind w:firstLine="482" w:firstLineChars="200"/>
        <w:rPr>
          <w:rFonts w:ascii="仿宋" w:hAnsi="仿宋" w:cs="仿宋"/>
          <w:b/>
          <w:color w:val="000000"/>
          <w:kern w:val="0"/>
        </w:rPr>
      </w:pPr>
      <w:r>
        <w:rPr>
          <w:rFonts w:hint="eastAsia" w:ascii="仿宋" w:hAnsi="仿宋" w:cs="仿宋"/>
          <w:b/>
          <w:color w:val="000000"/>
          <w:kern w:val="0"/>
        </w:rPr>
        <w:t>三、乙方提供的服务主要包括以下内容：</w:t>
      </w:r>
    </w:p>
    <w:p w14:paraId="687D3E7E">
      <w:pPr>
        <w:ind w:firstLine="463" w:firstLineChars="193"/>
        <w:rPr>
          <w:rFonts w:ascii="仿宋" w:hAnsi="仿宋" w:cs="仿宋"/>
        </w:rPr>
      </w:pPr>
      <w:r>
        <w:rPr>
          <w:rFonts w:hint="eastAsia" w:ascii="仿宋" w:hAnsi="仿宋" w:cs="仿宋"/>
        </w:rPr>
        <w:t>1、招标人单位账户开户及日常资金收付结算服务、账户对账服务、年检服务、网银操作、安全保障等在内的一切配套基本服务。</w:t>
      </w:r>
    </w:p>
    <w:p w14:paraId="0E73048B">
      <w:pPr>
        <w:ind w:firstLine="463" w:firstLineChars="193"/>
        <w:rPr>
          <w:rFonts w:ascii="仿宋" w:hAnsi="仿宋" w:cs="仿宋"/>
        </w:rPr>
      </w:pPr>
      <w:r>
        <w:rPr>
          <w:rFonts w:hint="eastAsia" w:ascii="仿宋" w:hAnsi="仿宋" w:cs="仿宋"/>
        </w:rPr>
        <w:t>2、接纳银行支票、汇票、本票或者金融机构、担保机构出具的保函等所有非现金形式的支付业务。</w:t>
      </w:r>
    </w:p>
    <w:p w14:paraId="19E83170">
      <w:pPr>
        <w:ind w:firstLine="463" w:firstLineChars="193"/>
        <w:rPr>
          <w:rFonts w:ascii="仿宋" w:hAnsi="仿宋" w:cs="仿宋"/>
        </w:rPr>
      </w:pPr>
      <w:r>
        <w:rPr>
          <w:rFonts w:hint="eastAsia" w:ascii="仿宋" w:hAnsi="仿宋" w:cs="仿宋"/>
        </w:rPr>
        <w:t>3、接受从所有银行帐户提交的支付信息，并支持网上、柜面、自助终端等多种支付方式。</w:t>
      </w:r>
    </w:p>
    <w:p w14:paraId="6E1ACD4B">
      <w:pPr>
        <w:ind w:firstLine="463" w:firstLineChars="193"/>
        <w:rPr>
          <w:rFonts w:ascii="仿宋" w:hAnsi="仿宋" w:cs="仿宋"/>
        </w:rPr>
      </w:pPr>
      <w:r>
        <w:rPr>
          <w:rFonts w:hint="eastAsia" w:ascii="仿宋" w:hAnsi="仿宋" w:cs="仿宋"/>
        </w:rPr>
        <w:t>4、应具备提供境内的施工单位的诚信记录；具备验证施工单位银行保函真伪的功能。</w:t>
      </w:r>
    </w:p>
    <w:p w14:paraId="63BC4C4D">
      <w:pPr>
        <w:ind w:firstLine="463" w:firstLineChars="193"/>
        <w:rPr>
          <w:rFonts w:ascii="仿宋" w:hAnsi="仿宋" w:cs="仿宋"/>
        </w:rPr>
      </w:pPr>
      <w:r>
        <w:rPr>
          <w:rFonts w:hint="eastAsia" w:ascii="仿宋" w:hAnsi="仿宋" w:cs="仿宋"/>
        </w:rPr>
        <w:t>5、应采取与专户相关联的信息技术，并具备保密和解密功能。</w:t>
      </w:r>
    </w:p>
    <w:p w14:paraId="0362CD35">
      <w:pPr>
        <w:ind w:firstLine="463" w:firstLineChars="193"/>
        <w:rPr>
          <w:rFonts w:ascii="仿宋" w:hAnsi="仿宋" w:cs="仿宋"/>
        </w:rPr>
      </w:pPr>
      <w:r>
        <w:rPr>
          <w:rFonts w:hint="eastAsia" w:ascii="仿宋" w:hAnsi="仿宋" w:cs="仿宋"/>
        </w:rPr>
        <w:t>6、应向招标人提供网上实时更新的专户明细信息查询方式（区别解密段、保密段信息设置）。</w:t>
      </w:r>
    </w:p>
    <w:p w14:paraId="3C67399A">
      <w:pPr>
        <w:ind w:firstLine="463" w:firstLineChars="193"/>
        <w:rPr>
          <w:rFonts w:ascii="仿宋" w:hAnsi="仿宋" w:cs="仿宋"/>
        </w:rPr>
      </w:pPr>
      <w:r>
        <w:rPr>
          <w:rFonts w:hint="eastAsia" w:ascii="仿宋" w:hAnsi="仿宋" w:cs="仿宋"/>
        </w:rPr>
        <w:t>7、应向招标人提供便捷的数据导入导出模式。</w:t>
      </w:r>
    </w:p>
    <w:p w14:paraId="09B53142">
      <w:pPr>
        <w:ind w:firstLine="463" w:firstLineChars="193"/>
        <w:rPr>
          <w:rFonts w:ascii="仿宋" w:hAnsi="仿宋" w:cs="仿宋"/>
        </w:rPr>
      </w:pPr>
      <w:r>
        <w:rPr>
          <w:rFonts w:hint="eastAsia" w:ascii="仿宋" w:hAnsi="仿宋" w:cs="仿宋"/>
        </w:rPr>
        <w:t>8、应提供贷款支持、服务费用减免等银行服务优惠措施。</w:t>
      </w:r>
    </w:p>
    <w:p w14:paraId="4C5DA371">
      <w:pPr>
        <w:ind w:firstLine="463" w:firstLineChars="193"/>
        <w:rPr>
          <w:rFonts w:ascii="仿宋" w:hAnsi="仿宋" w:cs="仿宋"/>
        </w:rPr>
      </w:pPr>
      <w:r>
        <w:rPr>
          <w:rFonts w:hint="eastAsia" w:ascii="仿宋" w:hAnsi="仿宋" w:cs="仿宋"/>
        </w:rPr>
        <w:t>9、提供以往财政服务履约情况、提供储户风险保障方案以及拟派提供服务的支行及客户经理服务方案（如：回单送达、年检年审、资金证明开具、取退还保证金支票等上门服务工作）等。</w:t>
      </w:r>
    </w:p>
    <w:p w14:paraId="0A14B5A8">
      <w:pPr>
        <w:ind w:firstLine="463" w:firstLineChars="193"/>
        <w:rPr>
          <w:rFonts w:ascii="仿宋" w:hAnsi="仿宋" w:cs="仿宋"/>
        </w:rPr>
      </w:pPr>
      <w:r>
        <w:rPr>
          <w:rFonts w:hint="eastAsia" w:ascii="仿宋" w:hAnsi="仿宋" w:cs="仿宋"/>
        </w:rPr>
        <w:t>10、能为招标人提供便捷服务。</w:t>
      </w:r>
    </w:p>
    <w:p w14:paraId="335FD09F">
      <w:pPr>
        <w:ind w:firstLine="463" w:firstLineChars="193"/>
        <w:rPr>
          <w:rFonts w:ascii="仿宋" w:hAnsi="仿宋" w:cs="仿宋"/>
        </w:rPr>
      </w:pPr>
      <w:r>
        <w:rPr>
          <w:rFonts w:hint="eastAsia" w:ascii="仿宋" w:hAnsi="仿宋" w:cs="仿宋"/>
        </w:rPr>
        <w:t>11、及时、无偿向招标人提供保密及解锁、对账服务、分账核算、各类查询、原路退款、电话咨询、网上银行服务等，不得提出本协议书内容之外的任何附加条件。</w:t>
      </w:r>
    </w:p>
    <w:p w14:paraId="45142F4B">
      <w:pPr>
        <w:ind w:firstLine="463" w:firstLineChars="193"/>
        <w:rPr>
          <w:rFonts w:ascii="仿宋" w:hAnsi="仿宋" w:cs="仿宋"/>
        </w:rPr>
      </w:pPr>
      <w:r>
        <w:rPr>
          <w:rFonts w:hint="eastAsia" w:ascii="仿宋" w:hAnsi="仿宋" w:cs="仿宋"/>
        </w:rPr>
        <w:t>12、指定针对本项目资金性质的风险保障方案。</w:t>
      </w:r>
    </w:p>
    <w:p w14:paraId="6B094CBE">
      <w:pPr>
        <w:ind w:firstLine="463" w:firstLineChars="193"/>
        <w:rPr>
          <w:rFonts w:ascii="仿宋" w:hAnsi="仿宋" w:cs="仿宋"/>
        </w:rPr>
      </w:pPr>
      <w:r>
        <w:rPr>
          <w:rFonts w:hint="eastAsia" w:ascii="仿宋" w:hAnsi="仿宋" w:cs="仿宋"/>
        </w:rPr>
        <w:t>13、合同期内招标人提出的一切有关账户管理的服务。</w:t>
      </w:r>
    </w:p>
    <w:p w14:paraId="7052E9F1">
      <w:pPr>
        <w:ind w:firstLine="463" w:firstLineChars="193"/>
        <w:rPr>
          <w:rFonts w:ascii="仿宋" w:hAnsi="仿宋" w:cs="仿宋"/>
        </w:rPr>
      </w:pPr>
      <w:r>
        <w:rPr>
          <w:rFonts w:hint="eastAsia" w:ascii="仿宋" w:hAnsi="仿宋" w:cs="仿宋"/>
        </w:rPr>
        <w:t>14、投标银行指定服务机构必须是公款最终的存放网点,不得随意转移</w:t>
      </w:r>
      <w:r>
        <w:rPr>
          <w:rFonts w:hint="eastAsia" w:ascii="仿宋" w:hAnsi="仿宋" w:cs="仿宋"/>
          <w:b/>
          <w:bCs/>
        </w:rPr>
        <w:t>（投标银行应在投标文件中指明指定服务机构名称</w:t>
      </w:r>
      <w:r>
        <w:rPr>
          <w:rFonts w:hint="eastAsia" w:ascii="仿宋" w:hAnsi="仿宋" w:cs="仿宋"/>
        </w:rPr>
        <w:t>）。</w:t>
      </w:r>
    </w:p>
    <w:p w14:paraId="6861D7F9">
      <w:pPr>
        <w:ind w:firstLine="463" w:firstLineChars="193"/>
        <w:rPr>
          <w:rFonts w:ascii="仿宋" w:hAnsi="仿宋" w:cs="仿宋"/>
        </w:rPr>
      </w:pPr>
      <w:r>
        <w:rPr>
          <w:rFonts w:hint="eastAsia" w:ascii="仿宋" w:hAnsi="仿宋" w:cs="仿宋"/>
        </w:rPr>
        <w:t>15、</w:t>
      </w:r>
      <w:r>
        <w:rPr>
          <w:rFonts w:hint="eastAsia" w:ascii="仿宋" w:hAnsi="仿宋" w:cs="仿宋"/>
          <w:b/>
          <w:bCs/>
        </w:rPr>
        <w:t>招标人可以根据实际需求将每个标段的中标金额划分成多个存单存入乙方指定办理定期存款的分支机构。</w:t>
      </w:r>
    </w:p>
    <w:p w14:paraId="78AA428A">
      <w:pPr>
        <w:ind w:firstLine="482" w:firstLineChars="200"/>
        <w:rPr>
          <w:rFonts w:ascii="仿宋" w:hAnsi="仿宋" w:cs="仿宋"/>
          <w:b/>
        </w:rPr>
      </w:pPr>
      <w:r>
        <w:rPr>
          <w:rFonts w:hint="eastAsia" w:ascii="仿宋" w:hAnsi="仿宋" w:cs="仿宋"/>
          <w:b/>
        </w:rPr>
        <w:t>五、乙方出现以下情形之一的，甲方有权提前收回存放公款（即协议终止条件）：</w:t>
      </w:r>
    </w:p>
    <w:p w14:paraId="08834E8F">
      <w:pPr>
        <w:ind w:firstLine="463" w:firstLineChars="193"/>
        <w:rPr>
          <w:rFonts w:ascii="仿宋" w:hAnsi="仿宋" w:cs="仿宋"/>
        </w:rPr>
      </w:pPr>
      <w:r>
        <w:rPr>
          <w:rFonts w:hint="eastAsia" w:ascii="仿宋" w:hAnsi="仿宋" w:cs="仿宋"/>
        </w:rPr>
        <w:t>（1）出现资金安全事故、重大违法违规情况或财务恶化；</w:t>
      </w:r>
    </w:p>
    <w:p w14:paraId="3B867A30">
      <w:pPr>
        <w:ind w:firstLine="463" w:firstLineChars="193"/>
        <w:rPr>
          <w:rFonts w:ascii="仿宋" w:hAnsi="仿宋" w:cs="仿宋"/>
        </w:rPr>
      </w:pPr>
      <w:r>
        <w:rPr>
          <w:rFonts w:hint="eastAsia" w:ascii="仿宋" w:hAnsi="仿宋" w:cs="仿宋"/>
        </w:rPr>
        <w:t>（2）监管评级降低，监管部门认为存在较大运营风险；</w:t>
      </w:r>
    </w:p>
    <w:p w14:paraId="0F49F3F2">
      <w:pPr>
        <w:ind w:firstLine="463" w:firstLineChars="193"/>
        <w:rPr>
          <w:rFonts w:ascii="仿宋" w:hAnsi="仿宋" w:cs="仿宋"/>
        </w:rPr>
      </w:pPr>
      <w:r>
        <w:rPr>
          <w:rFonts w:hint="eastAsia" w:ascii="仿宋" w:hAnsi="仿宋" w:cs="仿宋"/>
        </w:rPr>
        <w:t>（3）进行严重不正当投标；</w:t>
      </w:r>
    </w:p>
    <w:p w14:paraId="46B79AE6">
      <w:pPr>
        <w:ind w:firstLine="463" w:firstLineChars="193"/>
        <w:rPr>
          <w:rFonts w:ascii="仿宋" w:hAnsi="仿宋" w:cs="仿宋"/>
        </w:rPr>
      </w:pPr>
      <w:r>
        <w:rPr>
          <w:rFonts w:hint="eastAsia" w:ascii="仿宋" w:hAnsi="仿宋" w:cs="仿宋"/>
        </w:rPr>
        <w:t>（4）未按照中标协议承诺履行相应的责任和义务；</w:t>
      </w:r>
    </w:p>
    <w:p w14:paraId="6E66A071">
      <w:pPr>
        <w:ind w:firstLine="463" w:firstLineChars="193"/>
        <w:rPr>
          <w:rFonts w:ascii="仿宋" w:hAnsi="仿宋" w:cs="仿宋"/>
        </w:rPr>
      </w:pPr>
      <w:r>
        <w:rPr>
          <w:rFonts w:hint="eastAsia" w:ascii="仿宋" w:hAnsi="仿宋" w:cs="仿宋"/>
        </w:rPr>
        <w:t>（5）擅自降低服务条件和服务内容的；</w:t>
      </w:r>
    </w:p>
    <w:p w14:paraId="3ED9A055">
      <w:pPr>
        <w:ind w:firstLine="463" w:firstLineChars="193"/>
        <w:rPr>
          <w:rFonts w:ascii="仿宋" w:hAnsi="仿宋" w:cs="仿宋"/>
          <w:b/>
          <w:color w:val="000000"/>
          <w:kern w:val="0"/>
          <w:u w:val="single"/>
        </w:rPr>
      </w:pPr>
      <w:r>
        <w:rPr>
          <w:rFonts w:hint="eastAsia" w:ascii="仿宋" w:hAnsi="仿宋" w:cs="仿宋"/>
        </w:rPr>
        <w:t>（6）出现银行挤兑、存款被盗或其他可能妨害公款安全的情形。</w:t>
      </w:r>
    </w:p>
    <w:p w14:paraId="55B6389B">
      <w:pPr>
        <w:ind w:firstLine="482" w:firstLineChars="200"/>
        <w:rPr>
          <w:rFonts w:ascii="仿宋" w:hAnsi="仿宋" w:cs="仿宋"/>
          <w:b/>
          <w:color w:val="000000"/>
          <w:kern w:val="0"/>
        </w:rPr>
      </w:pPr>
      <w:r>
        <w:rPr>
          <w:rFonts w:hint="eastAsia" w:ascii="仿宋" w:hAnsi="仿宋" w:cs="仿宋"/>
          <w:b/>
          <w:color w:val="000000"/>
          <w:kern w:val="0"/>
        </w:rPr>
        <w:t>六、违约责任</w:t>
      </w:r>
    </w:p>
    <w:p w14:paraId="17B1EEA5">
      <w:pPr>
        <w:ind w:firstLine="463" w:firstLineChars="193"/>
        <w:rPr>
          <w:rFonts w:ascii="仿宋" w:hAnsi="仿宋" w:cs="仿宋"/>
        </w:rPr>
      </w:pPr>
      <w:r>
        <w:rPr>
          <w:rFonts w:hint="eastAsia" w:ascii="仿宋" w:hAnsi="仿宋" w:cs="仿宋"/>
        </w:rPr>
        <w:t>1、双方要严格按协议履约。</w:t>
      </w:r>
    </w:p>
    <w:p w14:paraId="6AD02B9A">
      <w:pPr>
        <w:ind w:firstLine="463" w:firstLineChars="193"/>
        <w:rPr>
          <w:rFonts w:ascii="仿宋" w:hAnsi="仿宋" w:cs="仿宋"/>
        </w:rPr>
      </w:pPr>
      <w:r>
        <w:rPr>
          <w:rFonts w:hint="eastAsia" w:ascii="仿宋" w:hAnsi="仿宋" w:cs="仿宋"/>
        </w:rPr>
        <w:t>2、如发现乙方违反招投标文件和协议的有关规定，甲方有权根据招标文件和相应的法律法规要求对乙方进行处罚，并有权提前终止协议书。</w:t>
      </w:r>
    </w:p>
    <w:p w14:paraId="7C43C5E8">
      <w:pPr>
        <w:ind w:firstLine="48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七、提前支取</w:t>
      </w:r>
    </w:p>
    <w:p w14:paraId="5E63760A">
      <w:pPr>
        <w:ind w:firstLine="480" w:firstLineChars="200"/>
        <w:rPr>
          <w:rFonts w:ascii="仿宋" w:hAnsi="仿宋" w:cs="仿宋"/>
          <w:bCs/>
          <w:color w:val="000000" w:themeColor="text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甲方有权在到期日前提前支取定期存款（</w:t>
      </w:r>
      <w:r>
        <w:rPr>
          <w:rFonts w:hint="eastAsia" w:ascii="仿宋" w:hAnsi="仿宋" w:cs="仿宋"/>
          <w:bCs/>
          <w:color w:val="000000" w:themeColor="text1"/>
          <w14:textFill>
            <w14:solidFill>
              <w14:schemeClr w14:val="tx1"/>
            </w14:solidFill>
          </w14:textFill>
        </w:rPr>
        <w:t>注：甲方会在各个标段中均衡支取）</w:t>
      </w:r>
      <w:r>
        <w:rPr>
          <w:rFonts w:hint="eastAsia" w:ascii="宋体" w:hAnsi="宋体" w:cs="宋体"/>
          <w:bCs/>
          <w:color w:val="000000" w:themeColor="text1"/>
          <w:kern w:val="0"/>
          <w:szCs w:val="21"/>
          <w14:textFill>
            <w14:solidFill>
              <w14:schemeClr w14:val="tx1"/>
            </w14:solidFill>
          </w14:textFill>
        </w:rPr>
        <w:t>甲方至少提前1个工作日通知乙方，乙方收到甲方的通知之日起，1日内办理相关手续将提取款划转到指定账户。提前支取存单金额按</w:t>
      </w:r>
      <w:r>
        <w:rPr>
          <w:rFonts w:hint="eastAsia" w:ascii="宋体" w:hAnsi="宋体" w:cs="宋体"/>
          <w:bCs/>
          <w:color w:val="000000" w:themeColor="text1"/>
          <w:kern w:val="0"/>
          <w:szCs w:val="21"/>
          <w:u w:val="single"/>
          <w14:textFill>
            <w14:solidFill>
              <w14:schemeClr w14:val="tx1"/>
            </w14:solidFill>
          </w14:textFill>
        </w:rPr>
        <w:t>人行活期利率</w:t>
      </w:r>
      <w:r>
        <w:rPr>
          <w:rFonts w:hint="eastAsia" w:ascii="宋体" w:hAnsi="宋体" w:cs="宋体"/>
          <w:bCs/>
          <w:color w:val="000000" w:themeColor="text1"/>
          <w:kern w:val="0"/>
          <w:szCs w:val="21"/>
          <w14:textFill>
            <w14:solidFill>
              <w14:schemeClr w14:val="tx1"/>
            </w14:solidFill>
          </w14:textFill>
        </w:rPr>
        <w:t>计付利息，存续金额仍按原起息日、期限及存款利率计付利息。</w:t>
      </w:r>
    </w:p>
    <w:p w14:paraId="5F420E39">
      <w:pPr>
        <w:ind w:firstLine="433"/>
        <w:rPr>
          <w:rFonts w:ascii="仿宋" w:hAnsi="仿宋" w:cs="仿宋"/>
          <w:b/>
        </w:rPr>
      </w:pPr>
      <w:r>
        <w:rPr>
          <w:rFonts w:hint="eastAsia" w:ascii="仿宋" w:hAnsi="仿宋" w:cs="仿宋"/>
          <w:b/>
        </w:rPr>
        <w:t>八、本协议如发生纠纷，甲、乙应当及时协商解决。</w:t>
      </w:r>
    </w:p>
    <w:p w14:paraId="5A72E0AB">
      <w:pPr>
        <w:ind w:firstLine="433"/>
        <w:rPr>
          <w:rFonts w:ascii="仿宋" w:hAnsi="仿宋" w:cs="仿宋"/>
          <w:b/>
        </w:rPr>
      </w:pPr>
      <w:r>
        <w:rPr>
          <w:rFonts w:hint="eastAsia" w:ascii="仿宋" w:hAnsi="仿宋" w:cs="仿宋"/>
          <w:b/>
        </w:rPr>
        <w:t>九、协议履行期内甲乙双方均不得随意变更或解除协议。协议书若有未尽事宜，需经双方共同协商，作出补充规定，补充规定与本协议书有同等法律效力。</w:t>
      </w:r>
    </w:p>
    <w:p w14:paraId="632058D2">
      <w:pPr>
        <w:ind w:firstLine="433"/>
        <w:rPr>
          <w:rFonts w:ascii="仿宋" w:hAnsi="仿宋" w:cs="仿宋"/>
        </w:rPr>
      </w:pPr>
      <w:r>
        <w:rPr>
          <w:rFonts w:hint="eastAsia" w:ascii="仿宋" w:hAnsi="仿宋" w:cs="仿宋"/>
          <w:b/>
        </w:rPr>
        <w:t>十、招标文件、投标文件及评标过程中形成的文字资料、询标纪要均作为本协议的组成部分，具有同等效力。</w:t>
      </w:r>
    </w:p>
    <w:p w14:paraId="463ED837">
      <w:pPr>
        <w:rPr>
          <w:rFonts w:ascii="仿宋" w:hAnsi="仿宋" w:cs="仿宋"/>
          <w:b/>
          <w:color w:val="000000"/>
          <w:kern w:val="0"/>
        </w:rPr>
      </w:pPr>
      <w:r>
        <w:rPr>
          <w:rFonts w:hint="eastAsia" w:ascii="仿宋" w:hAnsi="仿宋" w:cs="仿宋"/>
          <w:b/>
          <w:color w:val="000000"/>
          <w:kern w:val="0"/>
        </w:rPr>
        <w:t>十一、合同生效及其它</w:t>
      </w:r>
    </w:p>
    <w:p w14:paraId="021EE27F">
      <w:pPr>
        <w:ind w:firstLine="463" w:firstLineChars="193"/>
        <w:rPr>
          <w:rFonts w:ascii="仿宋" w:hAnsi="仿宋" w:cs="仿宋"/>
          <w:b/>
          <w:color w:val="000000"/>
          <w:kern w:val="0"/>
        </w:rPr>
      </w:pPr>
      <w:r>
        <w:rPr>
          <w:rFonts w:hint="eastAsia" w:ascii="仿宋" w:hAnsi="仿宋" w:cs="仿宋"/>
          <w:color w:val="000000"/>
          <w:kern w:val="0"/>
        </w:rPr>
        <w:t>1、合同经双方法定代表人或授权委托代理人签字并加盖单位公章后生效。</w:t>
      </w:r>
    </w:p>
    <w:p w14:paraId="4503973F">
      <w:pPr>
        <w:ind w:firstLine="463" w:firstLineChars="193"/>
        <w:rPr>
          <w:rFonts w:ascii="仿宋" w:hAnsi="仿宋" w:cs="仿宋"/>
          <w:color w:val="000000"/>
          <w:kern w:val="0"/>
        </w:rPr>
      </w:pPr>
      <w:r>
        <w:rPr>
          <w:rFonts w:hint="eastAsia" w:ascii="仿宋" w:hAnsi="仿宋" w:cs="仿宋"/>
          <w:color w:val="000000"/>
          <w:kern w:val="0"/>
        </w:rPr>
        <w:t>2、本合同未尽事宜，遵照《合同法》有关条文执行。</w:t>
      </w:r>
    </w:p>
    <w:p w14:paraId="7FF0A887">
      <w:pPr>
        <w:ind w:firstLine="463" w:firstLineChars="193"/>
        <w:rPr>
          <w:rFonts w:ascii="仿宋" w:hAnsi="仿宋" w:cs="仿宋"/>
          <w:color w:val="000000"/>
          <w:kern w:val="0"/>
        </w:rPr>
      </w:pPr>
      <w:r>
        <w:rPr>
          <w:rFonts w:hint="eastAsia" w:ascii="仿宋" w:hAnsi="仿宋" w:cs="仿宋"/>
          <w:color w:val="000000"/>
          <w:kern w:val="0"/>
        </w:rPr>
        <w:t>3、本合同正本一式</w:t>
      </w:r>
      <w:r>
        <w:rPr>
          <w:rFonts w:hint="eastAsia" w:ascii="仿宋" w:hAnsi="仿宋" w:cs="仿宋"/>
          <w:color w:val="000000"/>
          <w:kern w:val="0"/>
          <w:u w:val="single"/>
        </w:rPr>
        <w:t xml:space="preserve">   </w:t>
      </w:r>
      <w:r>
        <w:rPr>
          <w:rFonts w:hint="eastAsia" w:ascii="仿宋" w:hAnsi="仿宋" w:cs="仿宋"/>
          <w:color w:val="000000"/>
          <w:kern w:val="0"/>
        </w:rPr>
        <w:t>份，具有同等法律效力，甲乙双方各执</w:t>
      </w:r>
      <w:r>
        <w:rPr>
          <w:rFonts w:hint="eastAsia" w:ascii="仿宋" w:hAnsi="仿宋" w:cs="仿宋"/>
          <w:color w:val="000000"/>
          <w:kern w:val="0"/>
          <w:u w:val="single"/>
        </w:rPr>
        <w:t xml:space="preserve">   </w:t>
      </w:r>
      <w:r>
        <w:rPr>
          <w:rFonts w:hint="eastAsia" w:ascii="仿宋" w:hAnsi="仿宋" w:cs="仿宋"/>
          <w:color w:val="000000"/>
          <w:kern w:val="0"/>
        </w:rPr>
        <w:t>份；副本</w:t>
      </w:r>
      <w:r>
        <w:rPr>
          <w:rFonts w:hint="eastAsia" w:ascii="仿宋" w:hAnsi="仿宋" w:cs="仿宋"/>
          <w:color w:val="000000"/>
          <w:kern w:val="0"/>
          <w:u w:val="single"/>
        </w:rPr>
        <w:t>△</w:t>
      </w:r>
      <w:r>
        <w:rPr>
          <w:rFonts w:hint="eastAsia" w:ascii="仿宋" w:hAnsi="仿宋" w:cs="仿宋"/>
          <w:color w:val="000000"/>
          <w:kern w:val="0"/>
        </w:rPr>
        <w:t>份，(用途)。</w:t>
      </w:r>
    </w:p>
    <w:p w14:paraId="4C6422A8">
      <w:pPr>
        <w:ind w:firstLine="460" w:firstLineChars="192"/>
        <w:rPr>
          <w:rFonts w:ascii="仿宋" w:hAnsi="仿宋" w:cs="仿宋"/>
          <w:color w:val="000000"/>
          <w:kern w:val="0"/>
        </w:rPr>
      </w:pPr>
    </w:p>
    <w:tbl>
      <w:tblPr>
        <w:tblStyle w:val="39"/>
        <w:tblW w:w="0" w:type="auto"/>
        <w:tblInd w:w="0" w:type="dxa"/>
        <w:tblLayout w:type="fixed"/>
        <w:tblCellMar>
          <w:top w:w="0" w:type="dxa"/>
          <w:left w:w="108" w:type="dxa"/>
          <w:bottom w:w="0" w:type="dxa"/>
          <w:right w:w="108" w:type="dxa"/>
        </w:tblCellMar>
      </w:tblPr>
      <w:tblGrid>
        <w:gridCol w:w="4519"/>
        <w:gridCol w:w="4520"/>
      </w:tblGrid>
      <w:tr w14:paraId="09E09D97">
        <w:tblPrEx>
          <w:tblCellMar>
            <w:top w:w="0" w:type="dxa"/>
            <w:left w:w="108" w:type="dxa"/>
            <w:bottom w:w="0" w:type="dxa"/>
            <w:right w:w="108" w:type="dxa"/>
          </w:tblCellMar>
        </w:tblPrEx>
        <w:trPr>
          <w:trHeight w:val="454" w:hRule="atLeast"/>
        </w:trPr>
        <w:tc>
          <w:tcPr>
            <w:tcW w:w="4519" w:type="dxa"/>
            <w:vAlign w:val="center"/>
          </w:tcPr>
          <w:p w14:paraId="08CE99DA">
            <w:pPr>
              <w:jc w:val="left"/>
              <w:rPr>
                <w:rFonts w:ascii="仿宋" w:hAnsi="仿宋" w:cs="仿宋"/>
              </w:rPr>
            </w:pPr>
            <w:r>
              <w:rPr>
                <w:rFonts w:hint="eastAsia" w:ascii="仿宋" w:hAnsi="仿宋" w:cs="仿宋"/>
              </w:rPr>
              <w:t>甲方（盖章）：</w:t>
            </w:r>
          </w:p>
        </w:tc>
        <w:tc>
          <w:tcPr>
            <w:tcW w:w="4520" w:type="dxa"/>
            <w:vAlign w:val="center"/>
          </w:tcPr>
          <w:p w14:paraId="6DCB366A">
            <w:pPr>
              <w:jc w:val="left"/>
              <w:rPr>
                <w:rFonts w:ascii="仿宋" w:hAnsi="仿宋" w:cs="仿宋"/>
              </w:rPr>
            </w:pPr>
            <w:r>
              <w:rPr>
                <w:rFonts w:hint="eastAsia" w:ascii="仿宋" w:hAnsi="仿宋" w:cs="仿宋"/>
              </w:rPr>
              <w:t>乙方（盖章）：</w:t>
            </w:r>
          </w:p>
        </w:tc>
      </w:tr>
      <w:tr w14:paraId="18670720">
        <w:tblPrEx>
          <w:tblCellMar>
            <w:top w:w="0" w:type="dxa"/>
            <w:left w:w="108" w:type="dxa"/>
            <w:bottom w:w="0" w:type="dxa"/>
            <w:right w:w="108" w:type="dxa"/>
          </w:tblCellMar>
        </w:tblPrEx>
        <w:trPr>
          <w:trHeight w:val="454" w:hRule="atLeast"/>
        </w:trPr>
        <w:tc>
          <w:tcPr>
            <w:tcW w:w="4519" w:type="dxa"/>
            <w:vAlign w:val="center"/>
          </w:tcPr>
          <w:p w14:paraId="1CC4C325">
            <w:pPr>
              <w:jc w:val="left"/>
              <w:rPr>
                <w:rFonts w:ascii="仿宋" w:hAnsi="仿宋" w:cs="仿宋"/>
              </w:rPr>
            </w:pPr>
            <w:r>
              <w:rPr>
                <w:rFonts w:hint="eastAsia" w:ascii="仿宋" w:hAnsi="仿宋" w:cs="仿宋"/>
              </w:rPr>
              <w:t>地址：</w:t>
            </w:r>
          </w:p>
        </w:tc>
        <w:tc>
          <w:tcPr>
            <w:tcW w:w="4520" w:type="dxa"/>
            <w:vAlign w:val="center"/>
          </w:tcPr>
          <w:p w14:paraId="11486AFD">
            <w:pPr>
              <w:jc w:val="left"/>
              <w:rPr>
                <w:rFonts w:ascii="仿宋" w:hAnsi="仿宋" w:cs="仿宋"/>
              </w:rPr>
            </w:pPr>
            <w:r>
              <w:rPr>
                <w:rFonts w:hint="eastAsia" w:ascii="仿宋" w:hAnsi="仿宋" w:cs="仿宋"/>
              </w:rPr>
              <w:t>地址：</w:t>
            </w:r>
          </w:p>
        </w:tc>
      </w:tr>
      <w:tr w14:paraId="560E9A28">
        <w:tblPrEx>
          <w:tblCellMar>
            <w:top w:w="0" w:type="dxa"/>
            <w:left w:w="108" w:type="dxa"/>
            <w:bottom w:w="0" w:type="dxa"/>
            <w:right w:w="108" w:type="dxa"/>
          </w:tblCellMar>
        </w:tblPrEx>
        <w:trPr>
          <w:trHeight w:val="454" w:hRule="atLeast"/>
        </w:trPr>
        <w:tc>
          <w:tcPr>
            <w:tcW w:w="4519" w:type="dxa"/>
            <w:vAlign w:val="center"/>
          </w:tcPr>
          <w:p w14:paraId="1F238DC2">
            <w:pPr>
              <w:jc w:val="left"/>
              <w:rPr>
                <w:rFonts w:ascii="仿宋" w:hAnsi="仿宋" w:cs="仿宋"/>
              </w:rPr>
            </w:pPr>
            <w:r>
              <w:rPr>
                <w:rFonts w:hint="eastAsia" w:ascii="仿宋" w:hAnsi="仿宋" w:cs="仿宋"/>
              </w:rPr>
              <w:t>法定代表人（签字或盖章）：</w:t>
            </w:r>
          </w:p>
        </w:tc>
        <w:tc>
          <w:tcPr>
            <w:tcW w:w="4520" w:type="dxa"/>
            <w:vAlign w:val="center"/>
          </w:tcPr>
          <w:p w14:paraId="30E72FCF">
            <w:pPr>
              <w:jc w:val="left"/>
              <w:rPr>
                <w:rFonts w:ascii="仿宋" w:hAnsi="仿宋" w:cs="仿宋"/>
              </w:rPr>
            </w:pPr>
            <w:r>
              <w:rPr>
                <w:rFonts w:hint="eastAsia" w:ascii="仿宋" w:hAnsi="仿宋" w:cs="仿宋"/>
              </w:rPr>
              <w:t>法定代表人（签字或盖章）：</w:t>
            </w:r>
          </w:p>
        </w:tc>
      </w:tr>
      <w:tr w14:paraId="795B6225">
        <w:tblPrEx>
          <w:tblCellMar>
            <w:top w:w="0" w:type="dxa"/>
            <w:left w:w="108" w:type="dxa"/>
            <w:bottom w:w="0" w:type="dxa"/>
            <w:right w:w="108" w:type="dxa"/>
          </w:tblCellMar>
        </w:tblPrEx>
        <w:trPr>
          <w:trHeight w:val="454" w:hRule="atLeast"/>
        </w:trPr>
        <w:tc>
          <w:tcPr>
            <w:tcW w:w="4519" w:type="dxa"/>
            <w:vAlign w:val="center"/>
          </w:tcPr>
          <w:p w14:paraId="20518FDF">
            <w:pPr>
              <w:jc w:val="left"/>
              <w:rPr>
                <w:rFonts w:ascii="仿宋" w:hAnsi="仿宋" w:cs="仿宋"/>
              </w:rPr>
            </w:pPr>
            <w:r>
              <w:rPr>
                <w:rFonts w:hint="eastAsia" w:ascii="仿宋" w:hAnsi="仿宋" w:cs="仿宋"/>
              </w:rPr>
              <w:t>电话：</w:t>
            </w:r>
          </w:p>
        </w:tc>
        <w:tc>
          <w:tcPr>
            <w:tcW w:w="4520" w:type="dxa"/>
            <w:vAlign w:val="center"/>
          </w:tcPr>
          <w:p w14:paraId="0C1616A1">
            <w:pPr>
              <w:jc w:val="left"/>
              <w:rPr>
                <w:rFonts w:ascii="仿宋" w:hAnsi="仿宋" w:cs="仿宋"/>
              </w:rPr>
            </w:pPr>
            <w:r>
              <w:rPr>
                <w:rFonts w:hint="eastAsia" w:ascii="仿宋" w:hAnsi="仿宋" w:cs="仿宋"/>
              </w:rPr>
              <w:t>电话：</w:t>
            </w:r>
          </w:p>
        </w:tc>
      </w:tr>
      <w:tr w14:paraId="3C5682D8">
        <w:tblPrEx>
          <w:tblCellMar>
            <w:top w:w="0" w:type="dxa"/>
            <w:left w:w="108" w:type="dxa"/>
            <w:bottom w:w="0" w:type="dxa"/>
            <w:right w:w="108" w:type="dxa"/>
          </w:tblCellMar>
        </w:tblPrEx>
        <w:trPr>
          <w:trHeight w:val="454" w:hRule="atLeast"/>
        </w:trPr>
        <w:tc>
          <w:tcPr>
            <w:tcW w:w="4519" w:type="dxa"/>
            <w:vAlign w:val="center"/>
          </w:tcPr>
          <w:p w14:paraId="1F7EFA9D">
            <w:pPr>
              <w:jc w:val="left"/>
              <w:rPr>
                <w:rFonts w:ascii="Arial" w:hAnsi="Arial" w:cs="Arial"/>
                <w:sz w:val="22"/>
                <w:szCs w:val="22"/>
              </w:rPr>
            </w:pPr>
            <w:r>
              <w:rPr>
                <w:rFonts w:ascii="Arial" w:hAnsi="新宋体" w:cs="Arial"/>
                <w:sz w:val="22"/>
                <w:szCs w:val="22"/>
              </w:rPr>
              <w:t>签订日期：</w:t>
            </w:r>
            <w:r>
              <w:rPr>
                <w:rFonts w:hint="eastAsia" w:ascii="Arial" w:hAnsi="新宋体" w:cs="Arial"/>
                <w:sz w:val="22"/>
                <w:szCs w:val="22"/>
              </w:rPr>
              <w:t xml:space="preserve">      年   月   日</w:t>
            </w:r>
          </w:p>
        </w:tc>
        <w:tc>
          <w:tcPr>
            <w:tcW w:w="4520" w:type="dxa"/>
            <w:vAlign w:val="center"/>
          </w:tcPr>
          <w:p w14:paraId="3A7734E8">
            <w:pPr>
              <w:jc w:val="left"/>
              <w:rPr>
                <w:rFonts w:ascii="Arial" w:hAnsi="Arial" w:cs="Arial"/>
                <w:sz w:val="22"/>
                <w:szCs w:val="22"/>
              </w:rPr>
            </w:pPr>
            <w:r>
              <w:rPr>
                <w:rFonts w:ascii="Arial" w:hAnsi="新宋体" w:cs="Arial"/>
                <w:sz w:val="22"/>
                <w:szCs w:val="22"/>
              </w:rPr>
              <w:t>签订日期：</w:t>
            </w:r>
            <w:r>
              <w:rPr>
                <w:rFonts w:hint="eastAsia" w:ascii="Arial" w:hAnsi="新宋体" w:cs="Arial"/>
                <w:sz w:val="22"/>
                <w:szCs w:val="22"/>
              </w:rPr>
              <w:t xml:space="preserve">      年   月   日</w:t>
            </w:r>
          </w:p>
        </w:tc>
      </w:tr>
      <w:tr w14:paraId="1D101231">
        <w:tblPrEx>
          <w:tblCellMar>
            <w:top w:w="0" w:type="dxa"/>
            <w:left w:w="108" w:type="dxa"/>
            <w:bottom w:w="0" w:type="dxa"/>
            <w:right w:w="108" w:type="dxa"/>
          </w:tblCellMar>
        </w:tblPrEx>
        <w:trPr>
          <w:trHeight w:val="454" w:hRule="atLeast"/>
        </w:trPr>
        <w:tc>
          <w:tcPr>
            <w:tcW w:w="4519" w:type="dxa"/>
            <w:vAlign w:val="center"/>
          </w:tcPr>
          <w:p w14:paraId="6450328D">
            <w:pPr>
              <w:jc w:val="left"/>
              <w:rPr>
                <w:rFonts w:ascii="Arial" w:hAnsi="Arial" w:cs="Arial"/>
                <w:sz w:val="22"/>
                <w:szCs w:val="22"/>
              </w:rPr>
            </w:pPr>
            <w:r>
              <w:rPr>
                <w:rFonts w:ascii="Arial" w:hAnsi="新宋体" w:cs="Arial"/>
                <w:sz w:val="22"/>
                <w:szCs w:val="22"/>
              </w:rPr>
              <w:t>签订地点：</w:t>
            </w:r>
          </w:p>
        </w:tc>
        <w:tc>
          <w:tcPr>
            <w:tcW w:w="4520" w:type="dxa"/>
            <w:vAlign w:val="center"/>
          </w:tcPr>
          <w:p w14:paraId="27CAC9DF">
            <w:pPr>
              <w:jc w:val="left"/>
              <w:rPr>
                <w:rFonts w:ascii="Arial" w:hAnsi="Arial" w:cs="Arial"/>
                <w:sz w:val="22"/>
                <w:szCs w:val="22"/>
              </w:rPr>
            </w:pPr>
            <w:r>
              <w:rPr>
                <w:rFonts w:ascii="Arial" w:hAnsi="新宋体" w:cs="Arial"/>
                <w:sz w:val="22"/>
                <w:szCs w:val="22"/>
              </w:rPr>
              <w:t>签订地点：</w:t>
            </w:r>
          </w:p>
        </w:tc>
      </w:tr>
    </w:tbl>
    <w:p w14:paraId="67BBFABE">
      <w:pPr>
        <w:rPr>
          <w:sz w:val="40"/>
          <w:szCs w:val="48"/>
        </w:rPr>
      </w:pPr>
      <w:r>
        <w:rPr>
          <w:rFonts w:hint="eastAsia"/>
          <w:sz w:val="40"/>
          <w:szCs w:val="48"/>
        </w:rPr>
        <w:br w:type="page"/>
      </w:r>
    </w:p>
    <w:p w14:paraId="062CAEE4">
      <w:pPr>
        <w:jc w:val="center"/>
      </w:pPr>
      <w:r>
        <w:rPr>
          <w:rFonts w:hint="eastAsia"/>
          <w:sz w:val="40"/>
          <w:szCs w:val="48"/>
        </w:rPr>
        <w:t>廉政承诺书</w:t>
      </w:r>
    </w:p>
    <w:p w14:paraId="7897AD4F">
      <w:pPr>
        <w:rPr>
          <w:sz w:val="28"/>
          <w:szCs w:val="36"/>
          <w:u w:val="single"/>
        </w:rPr>
      </w:pPr>
    </w:p>
    <w:p w14:paraId="41C2A9AF">
      <w:pPr>
        <w:rPr>
          <w:rFonts w:ascii="宋体" w:hAnsi="宋体" w:eastAsia="宋体" w:cs="宋体"/>
          <w:sz w:val="28"/>
          <w:szCs w:val="36"/>
        </w:rPr>
      </w:pPr>
      <w:r>
        <w:rPr>
          <w:rFonts w:hint="eastAsia" w:ascii="宋体" w:hAnsi="宋体" w:eastAsia="宋体" w:cs="宋体"/>
          <w:sz w:val="28"/>
          <w:szCs w:val="36"/>
          <w:u w:val="single"/>
        </w:rPr>
        <w:t xml:space="preserve">                   </w:t>
      </w:r>
      <w:r>
        <w:rPr>
          <w:rFonts w:hint="eastAsia" w:ascii="宋体" w:hAnsi="宋体" w:eastAsia="宋体" w:cs="宋体"/>
          <w:sz w:val="28"/>
          <w:szCs w:val="36"/>
        </w:rPr>
        <w:t>部门(单位):</w:t>
      </w:r>
    </w:p>
    <w:p w14:paraId="07BEEAF8">
      <w:pPr>
        <w:ind w:firstLine="560" w:firstLineChars="200"/>
        <w:rPr>
          <w:rFonts w:ascii="宋体" w:hAnsi="宋体" w:eastAsia="宋体" w:cs="宋体"/>
          <w:sz w:val="28"/>
          <w:szCs w:val="36"/>
        </w:rPr>
      </w:pPr>
      <w:r>
        <w:rPr>
          <w:rFonts w:hint="eastAsia" w:ascii="宋体" w:hAnsi="宋体" w:eastAsia="宋体" w:cs="宋体"/>
          <w:sz w:val="28"/>
          <w:szCs w:val="36"/>
        </w:rPr>
        <w:t>根据《财政部关于进一步加强财政部门和预算单位资金存放管理的指导意见》(财库[2017]76号)、《浙江省财政厅关于印发浙江省省级行政事业单位公款竞争性存放管理办法的通知》（浙财预执〔2021〕7号）、《苍南县县级预算单位公款竞争性存放管理暂行办法》（苍政办〔2019〕7号）相关规定，现就本行参加贵单位</w:t>
      </w:r>
      <w:r>
        <w:rPr>
          <w:rFonts w:hint="eastAsia" w:ascii="宋体" w:hAnsi="宋体" w:eastAsia="宋体" w:cs="宋体"/>
          <w:sz w:val="28"/>
          <w:szCs w:val="36"/>
          <w:u w:val="single"/>
        </w:rPr>
        <w:t xml:space="preserve">        </w:t>
      </w:r>
      <w:r>
        <w:rPr>
          <w:rFonts w:hint="eastAsia" w:ascii="宋体" w:hAnsi="宋体" w:eastAsia="宋体" w:cs="宋体"/>
          <w:sz w:val="28"/>
          <w:szCs w:val="36"/>
        </w:rPr>
        <w:t>年第</w:t>
      </w:r>
      <w:r>
        <w:rPr>
          <w:rFonts w:hint="eastAsia" w:ascii="宋体" w:hAnsi="宋体" w:eastAsia="宋体" w:cs="宋体"/>
          <w:sz w:val="28"/>
          <w:szCs w:val="36"/>
          <w:u w:val="single"/>
        </w:rPr>
        <w:t xml:space="preserve">     </w:t>
      </w:r>
      <w:r>
        <w:rPr>
          <w:rFonts w:hint="eastAsia" w:ascii="宋体" w:hAnsi="宋体" w:eastAsia="宋体" w:cs="宋体"/>
          <w:sz w:val="28"/>
          <w:szCs w:val="36"/>
        </w:rPr>
        <w:t>期公款竞争性存放作出如下承诺：</w:t>
      </w:r>
    </w:p>
    <w:p w14:paraId="33513E93">
      <w:pPr>
        <w:numPr>
          <w:ilvl w:val="0"/>
          <w:numId w:val="7"/>
        </w:numPr>
        <w:rPr>
          <w:rFonts w:ascii="宋体" w:hAnsi="宋体" w:eastAsia="宋体" w:cs="宋体"/>
          <w:sz w:val="28"/>
          <w:szCs w:val="36"/>
        </w:rPr>
      </w:pPr>
      <w:r>
        <w:rPr>
          <w:rFonts w:hint="eastAsia" w:ascii="宋体" w:hAnsi="宋体" w:eastAsia="宋体" w:cs="宋体"/>
          <w:sz w:val="28"/>
          <w:szCs w:val="36"/>
        </w:rPr>
        <w:t>不向贵单位负责公款存放管理的领导及相关人员进行利益输送；</w:t>
      </w:r>
    </w:p>
    <w:p w14:paraId="29C0D607">
      <w:pPr>
        <w:rPr>
          <w:rFonts w:ascii="宋体" w:hAnsi="宋体" w:eastAsia="宋体" w:cs="宋体"/>
          <w:sz w:val="28"/>
          <w:szCs w:val="36"/>
        </w:rPr>
      </w:pPr>
      <w:r>
        <w:rPr>
          <w:rFonts w:hint="eastAsia" w:ascii="宋体" w:hAnsi="宋体" w:eastAsia="宋体" w:cs="宋体"/>
          <w:sz w:val="28"/>
          <w:szCs w:val="36"/>
        </w:rPr>
        <w:t>2、不将公款存放与贵单位负责公款存放管理的领导及相关人员在本行的配偶、子女及其配偶和其他直接利益相关人员的业绩、收入、晋升等利益挂钩；</w:t>
      </w:r>
    </w:p>
    <w:p w14:paraId="4E8091E3">
      <w:pPr>
        <w:rPr>
          <w:rFonts w:ascii="宋体" w:hAnsi="宋体" w:eastAsia="宋体" w:cs="宋体"/>
          <w:sz w:val="28"/>
          <w:szCs w:val="36"/>
        </w:rPr>
      </w:pPr>
      <w:r>
        <w:rPr>
          <w:rFonts w:hint="eastAsia" w:ascii="宋体" w:hAnsi="宋体" w:eastAsia="宋体" w:cs="宋体"/>
          <w:sz w:val="28"/>
          <w:szCs w:val="36"/>
        </w:rPr>
        <w:t>3、严格执行利益回避制度，贵单位负责公款竞争性存放相关人员的配偶、子女及其配偶和其他直接利益相关人员为本行工作人员的，不参与公款竞争性存放工作；</w:t>
      </w:r>
    </w:p>
    <w:p w14:paraId="2A455196">
      <w:pPr>
        <w:rPr>
          <w:rFonts w:ascii="宋体" w:hAnsi="宋体" w:eastAsia="宋体" w:cs="宋体"/>
          <w:sz w:val="28"/>
          <w:szCs w:val="36"/>
        </w:rPr>
      </w:pPr>
      <w:r>
        <w:rPr>
          <w:rFonts w:hint="eastAsia" w:ascii="宋体" w:hAnsi="宋体" w:eastAsia="宋体" w:cs="宋体"/>
          <w:sz w:val="28"/>
          <w:szCs w:val="36"/>
        </w:rPr>
        <w:t>4、不发生除，上述行为之外的其他任何利益输送行为。</w:t>
      </w:r>
    </w:p>
    <w:p w14:paraId="69CB5E6C">
      <w:pPr>
        <w:ind w:firstLine="560" w:firstLineChars="200"/>
        <w:rPr>
          <w:rFonts w:ascii="宋体" w:hAnsi="宋体" w:eastAsia="宋体" w:cs="宋体"/>
          <w:sz w:val="28"/>
          <w:szCs w:val="36"/>
        </w:rPr>
      </w:pPr>
      <w:r>
        <w:rPr>
          <w:rFonts w:hint="eastAsia" w:ascii="宋体" w:hAnsi="宋体" w:eastAsia="宋体" w:cs="宋体"/>
          <w:sz w:val="28"/>
          <w:szCs w:val="36"/>
        </w:rPr>
        <w:t>未遵守以上承诺的，本行自愿接受财政部门通报和处理，承担相应的一切后果。</w:t>
      </w:r>
    </w:p>
    <w:p w14:paraId="7C8783D1">
      <w:pPr>
        <w:rPr>
          <w:rFonts w:ascii="宋体" w:hAnsi="宋体" w:eastAsia="宋体" w:cs="宋体"/>
          <w:sz w:val="28"/>
          <w:szCs w:val="36"/>
        </w:rPr>
      </w:pPr>
    </w:p>
    <w:p w14:paraId="0B122CA8">
      <w:pPr>
        <w:ind w:left="4469" w:leftChars="1862" w:firstLine="1400" w:firstLineChars="500"/>
        <w:rPr>
          <w:rFonts w:ascii="宋体" w:hAnsi="宋体" w:eastAsia="宋体" w:cs="宋体"/>
          <w:sz w:val="28"/>
          <w:szCs w:val="36"/>
        </w:rPr>
      </w:pPr>
      <w:r>
        <w:rPr>
          <w:rFonts w:hint="eastAsia" w:ascii="宋体" w:hAnsi="宋体" w:eastAsia="宋体" w:cs="宋体"/>
          <w:sz w:val="28"/>
          <w:szCs w:val="36"/>
          <w:u w:val="single"/>
        </w:rPr>
        <w:t xml:space="preserve">           </w:t>
      </w:r>
      <w:r>
        <w:rPr>
          <w:rFonts w:hint="eastAsia" w:ascii="宋体" w:hAnsi="宋体" w:eastAsia="宋体" w:cs="宋体"/>
          <w:sz w:val="28"/>
          <w:szCs w:val="36"/>
        </w:rPr>
        <w:t xml:space="preserve">银行（公章）  </w:t>
      </w:r>
    </w:p>
    <w:p w14:paraId="0E5A01DE">
      <w:pPr>
        <w:pStyle w:val="37"/>
        <w:spacing w:before="0" w:after="0"/>
        <w:jc w:val="right"/>
        <w:sectPr>
          <w:headerReference r:id="rId7" w:type="default"/>
          <w:footerReference r:id="rId8" w:type="default"/>
          <w:pgSz w:w="11906" w:h="16838"/>
          <w:pgMar w:top="1440" w:right="1418" w:bottom="1440" w:left="1559" w:header="851" w:footer="992" w:gutter="0"/>
          <w:pgNumType w:fmt="numberInDash"/>
          <w:cols w:space="720" w:num="1"/>
          <w:docGrid w:linePitch="312" w:charSpace="0"/>
        </w:sectPr>
      </w:pPr>
      <w:r>
        <w:rPr>
          <w:rFonts w:hint="eastAsia" w:ascii="宋体" w:hAnsi="宋体" w:eastAsia="宋体" w:cs="宋体"/>
          <w:sz w:val="28"/>
          <w:szCs w:val="36"/>
          <w:u w:val="single"/>
        </w:rPr>
        <w:t xml:space="preserve">         </w:t>
      </w:r>
      <w:r>
        <w:rPr>
          <w:rFonts w:hint="eastAsia" w:ascii="宋体" w:hAnsi="宋体" w:eastAsia="宋体" w:cs="宋体"/>
          <w:sz w:val="28"/>
          <w:szCs w:val="36"/>
        </w:rPr>
        <w:t>年</w:t>
      </w:r>
      <w:r>
        <w:rPr>
          <w:rFonts w:hint="eastAsia" w:ascii="宋体" w:hAnsi="宋体" w:eastAsia="宋体" w:cs="宋体"/>
          <w:sz w:val="28"/>
          <w:szCs w:val="36"/>
          <w:u w:val="single"/>
        </w:rPr>
        <w:t xml:space="preserve">   </w:t>
      </w:r>
      <w:r>
        <w:rPr>
          <w:rFonts w:hint="eastAsia" w:ascii="宋体" w:hAnsi="宋体" w:eastAsia="宋体" w:cs="宋体"/>
          <w:sz w:val="28"/>
          <w:szCs w:val="36"/>
        </w:rPr>
        <w:t>月</w:t>
      </w:r>
      <w:r>
        <w:rPr>
          <w:rFonts w:hint="eastAsia" w:ascii="宋体" w:hAnsi="宋体" w:eastAsia="宋体" w:cs="宋体"/>
          <w:sz w:val="28"/>
          <w:szCs w:val="36"/>
          <w:u w:val="single"/>
        </w:rPr>
        <w:t xml:space="preserve">   </w:t>
      </w:r>
      <w:r>
        <w:rPr>
          <w:rFonts w:hint="eastAsia" w:ascii="宋体" w:hAnsi="宋体" w:eastAsia="宋体" w:cs="宋体"/>
          <w:sz w:val="28"/>
          <w:szCs w:val="36"/>
        </w:rPr>
        <w:t>日</w:t>
      </w:r>
    </w:p>
    <w:p w14:paraId="1F8BF739">
      <w:pPr>
        <w:pStyle w:val="37"/>
        <w:spacing w:beforeLines="200" w:after="0"/>
      </w:pPr>
      <w:bookmarkStart w:id="121" w:name="_Toc30912"/>
      <w:bookmarkStart w:id="122" w:name="_Toc10968"/>
      <w:r>
        <w:rPr>
          <w:rFonts w:hint="eastAsia"/>
        </w:rPr>
        <w:t>第六章</w:t>
      </w:r>
      <w:r>
        <w:t xml:space="preserve"> </w:t>
      </w:r>
      <w:r>
        <w:rPr>
          <w:rFonts w:hint="eastAsia"/>
        </w:rPr>
        <w:t>投标文件格式</w:t>
      </w:r>
      <w:bookmarkEnd w:id="114"/>
      <w:bookmarkEnd w:id="115"/>
      <w:bookmarkEnd w:id="116"/>
      <w:bookmarkEnd w:id="117"/>
      <w:bookmarkEnd w:id="118"/>
      <w:bookmarkEnd w:id="119"/>
      <w:bookmarkEnd w:id="120"/>
      <w:bookmarkEnd w:id="121"/>
      <w:bookmarkEnd w:id="122"/>
    </w:p>
    <w:p w14:paraId="00A96989">
      <w:pPr>
        <w:rPr>
          <w:rFonts w:ascii="Arial" w:hAnsi="新宋体" w:cs="Arial"/>
          <w:b/>
          <w:color w:val="000000"/>
          <w:sz w:val="22"/>
          <w:szCs w:val="22"/>
          <w:u w:val="single"/>
        </w:rPr>
      </w:pPr>
    </w:p>
    <w:p w14:paraId="2C13A042">
      <w:pPr>
        <w:ind w:firstLine="424" w:firstLineChars="192"/>
        <w:rPr>
          <w:rFonts w:ascii="Arial" w:hAnsi="新宋体" w:cs="Arial"/>
          <w:b/>
          <w:color w:val="000000"/>
          <w:sz w:val="22"/>
          <w:szCs w:val="22"/>
          <w:u w:val="single"/>
        </w:rPr>
      </w:pPr>
      <w:r>
        <w:rPr>
          <w:rFonts w:ascii="Arial" w:hAnsi="新宋体" w:cs="Arial"/>
          <w:b/>
          <w:color w:val="000000"/>
          <w:sz w:val="22"/>
          <w:szCs w:val="22"/>
        </w:rPr>
        <w:t>重要提示：</w:t>
      </w:r>
    </w:p>
    <w:p w14:paraId="32EA826F">
      <w:pPr>
        <w:ind w:firstLine="424" w:firstLineChars="192"/>
        <w:rPr>
          <w:rFonts w:ascii="Arial" w:hAnsi="新宋体" w:cs="Arial"/>
          <w:b/>
          <w:color w:val="0000FF"/>
          <w:sz w:val="22"/>
          <w:szCs w:val="22"/>
          <w:u w:val="single"/>
        </w:rPr>
      </w:pPr>
      <w:r>
        <w:rPr>
          <w:rFonts w:hint="eastAsia" w:ascii="Arial" w:hAnsi="新宋体" w:cs="Arial"/>
          <w:b/>
          <w:color w:val="0000FF"/>
          <w:sz w:val="22"/>
          <w:szCs w:val="22"/>
        </w:rPr>
        <w:t>①</w:t>
      </w:r>
      <w:r>
        <w:rPr>
          <w:rFonts w:ascii="Arial" w:hAnsi="新宋体" w:cs="Arial"/>
          <w:b/>
          <w:color w:val="0000FF"/>
          <w:sz w:val="22"/>
          <w:szCs w:val="22"/>
          <w:u w:val="single"/>
        </w:rPr>
        <w:t>《招标文件》提供格式的，投标银行</w:t>
      </w:r>
      <w:r>
        <w:rPr>
          <w:rFonts w:hint="eastAsia" w:ascii="Arial" w:hAnsi="新宋体" w:cs="Arial"/>
          <w:b/>
          <w:color w:val="0000FF"/>
          <w:sz w:val="22"/>
          <w:szCs w:val="22"/>
          <w:u w:val="single"/>
        </w:rPr>
        <w:t>应参</w:t>
      </w:r>
      <w:r>
        <w:rPr>
          <w:rFonts w:ascii="Arial" w:hAnsi="新宋体" w:cs="Arial"/>
          <w:b/>
          <w:color w:val="0000FF"/>
          <w:sz w:val="22"/>
          <w:szCs w:val="22"/>
          <w:u w:val="single"/>
        </w:rPr>
        <w:t>照格式制作</w:t>
      </w:r>
      <w:r>
        <w:rPr>
          <w:rFonts w:hint="eastAsia" w:ascii="Arial" w:hAnsi="新宋体" w:cs="Arial"/>
          <w:b/>
          <w:color w:val="0000FF"/>
          <w:sz w:val="22"/>
          <w:szCs w:val="22"/>
          <w:u w:val="single"/>
        </w:rPr>
        <w:t>，在指定位置加盖投标银行公章并由法定代表人或其授权代表签署（签字或盖章）</w:t>
      </w:r>
      <w:r>
        <w:rPr>
          <w:rFonts w:hint="eastAsia" w:ascii="Arial" w:hAnsi="新宋体" w:cs="Arial"/>
          <w:b/>
          <w:color w:val="0000FF"/>
          <w:sz w:val="22"/>
          <w:szCs w:val="22"/>
        </w:rPr>
        <w:t>；</w:t>
      </w:r>
    </w:p>
    <w:p w14:paraId="3FBBA5DE">
      <w:pPr>
        <w:ind w:firstLine="424" w:firstLineChars="192"/>
        <w:rPr>
          <w:rFonts w:ascii="Arial" w:hAnsi="新宋体" w:cs="Arial"/>
          <w:b/>
          <w:color w:val="0000FF"/>
          <w:sz w:val="22"/>
          <w:szCs w:val="22"/>
          <w:u w:val="single"/>
        </w:rPr>
      </w:pPr>
      <w:r>
        <w:rPr>
          <w:rFonts w:hint="eastAsia" w:ascii="Arial" w:hAnsi="新宋体" w:cs="Arial"/>
          <w:b/>
          <w:color w:val="0000FF"/>
          <w:sz w:val="22"/>
          <w:szCs w:val="22"/>
        </w:rPr>
        <w:t>②</w:t>
      </w:r>
      <w:r>
        <w:rPr>
          <w:rFonts w:ascii="Arial" w:hAnsi="新宋体" w:cs="Arial"/>
          <w:b/>
          <w:color w:val="0000FF"/>
          <w:sz w:val="22"/>
          <w:szCs w:val="22"/>
          <w:u w:val="single"/>
        </w:rPr>
        <w:t>《招标文件》未提供格式的，请各投标单位自行拟定格式</w:t>
      </w:r>
      <w:r>
        <w:rPr>
          <w:rFonts w:hint="eastAsia" w:ascii="Arial" w:hAnsi="新宋体" w:cs="Arial"/>
          <w:b/>
          <w:color w:val="0000FF"/>
          <w:sz w:val="22"/>
          <w:szCs w:val="22"/>
          <w:u w:val="single"/>
        </w:rPr>
        <w:t>，加盖公章并由法定代表人或其授权代表签署（签字或盖章）</w:t>
      </w:r>
      <w:r>
        <w:rPr>
          <w:rFonts w:hint="eastAsia" w:ascii="Arial" w:hAnsi="新宋体" w:cs="Arial"/>
          <w:b/>
          <w:color w:val="0000FF"/>
          <w:sz w:val="22"/>
          <w:szCs w:val="22"/>
        </w:rPr>
        <w:t>；</w:t>
      </w:r>
    </w:p>
    <w:p w14:paraId="754F1B5A">
      <w:pPr>
        <w:ind w:firstLine="424" w:firstLineChars="192"/>
        <w:rPr>
          <w:rFonts w:ascii="Arial" w:hAnsi="新宋体" w:cs="Arial"/>
          <w:b/>
          <w:color w:val="000000"/>
          <w:sz w:val="22"/>
          <w:szCs w:val="22"/>
          <w:u w:val="single"/>
        </w:rPr>
      </w:pPr>
      <w:r>
        <w:rPr>
          <w:rFonts w:hint="eastAsia" w:ascii="Arial" w:hAnsi="新宋体" w:cs="Arial"/>
          <w:b/>
          <w:color w:val="0000FF"/>
          <w:sz w:val="22"/>
          <w:szCs w:val="22"/>
        </w:rPr>
        <w:t>③</w:t>
      </w:r>
      <w:r>
        <w:rPr>
          <w:rFonts w:hint="eastAsia" w:ascii="Arial" w:hAnsi="新宋体" w:cs="Arial"/>
          <w:b/>
          <w:color w:val="0000FF"/>
          <w:sz w:val="22"/>
          <w:szCs w:val="22"/>
          <w:u w:val="single"/>
        </w:rPr>
        <w:t>投标银行资格、业绩、许可证书等其他要求提供复印件的证明材料应加盖投标银行公章，否则视为未提供</w:t>
      </w:r>
      <w:r>
        <w:rPr>
          <w:rFonts w:hint="eastAsia" w:ascii="Arial" w:hAnsi="新宋体" w:cs="Arial"/>
          <w:b/>
          <w:color w:val="0000FF"/>
          <w:sz w:val="22"/>
          <w:szCs w:val="22"/>
        </w:rPr>
        <w:t>。</w:t>
      </w:r>
    </w:p>
    <w:p w14:paraId="3B13BB37">
      <w:pPr>
        <w:ind w:firstLine="424" w:firstLineChars="192"/>
        <w:rPr>
          <w:rFonts w:ascii="Arial" w:hAnsi="新宋体" w:cs="Arial"/>
          <w:b/>
          <w:color w:val="000000"/>
          <w:sz w:val="22"/>
          <w:szCs w:val="22"/>
          <w:u w:val="single"/>
        </w:rPr>
      </w:pPr>
    </w:p>
    <w:p w14:paraId="3CF68D89">
      <w:pPr>
        <w:ind w:firstLine="424" w:firstLineChars="192"/>
        <w:rPr>
          <w:rFonts w:ascii="Arial" w:hAnsi="新宋体" w:cs="Arial"/>
          <w:b/>
          <w:color w:val="000000"/>
          <w:sz w:val="22"/>
          <w:szCs w:val="22"/>
          <w:u w:val="single"/>
        </w:rPr>
      </w:pPr>
    </w:p>
    <w:p w14:paraId="747751B0">
      <w:pPr>
        <w:pStyle w:val="6"/>
      </w:pPr>
      <w:r>
        <w:rPr>
          <w:rFonts w:ascii="Arial" w:hAnsi="新宋体" w:eastAsia="新宋体" w:cs="Arial"/>
          <w:color w:val="000000"/>
          <w:sz w:val="22"/>
          <w:szCs w:val="22"/>
        </w:rPr>
        <w:br w:type="page"/>
      </w:r>
      <w:bookmarkStart w:id="123" w:name="_Toc21498"/>
      <w:bookmarkStart w:id="124" w:name="_Toc3458"/>
      <w:bookmarkStart w:id="125" w:name="_Toc452032127"/>
      <w:bookmarkStart w:id="126" w:name="_Toc31789"/>
      <w:r>
        <w:rPr>
          <w:rFonts w:hint="eastAsia"/>
        </w:rPr>
        <w:t>格式1、“投标文件”封面</w:t>
      </w:r>
      <w:bookmarkEnd w:id="123"/>
      <w:bookmarkEnd w:id="124"/>
      <w:bookmarkEnd w:id="125"/>
      <w:bookmarkEnd w:id="126"/>
    </w:p>
    <w:p w14:paraId="19E4C1F4">
      <w:pPr>
        <w:jc w:val="right"/>
        <w:rPr>
          <w:rFonts w:ascii="Arial" w:hAnsi="Arial" w:cs="Arial"/>
          <w:b/>
          <w:color w:val="000000"/>
          <w:sz w:val="32"/>
          <w:szCs w:val="22"/>
        </w:rPr>
      </w:pPr>
    </w:p>
    <w:p w14:paraId="3F5E7AEB">
      <w:pPr>
        <w:spacing w:line="276" w:lineRule="auto"/>
        <w:jc w:val="center"/>
        <w:rPr>
          <w:rFonts w:hint="eastAsia" w:ascii="华文中宋" w:hAnsi="华文中宋" w:eastAsia="华文中宋" w:cs="Arial"/>
          <w:b/>
          <w:color w:val="000000"/>
          <w:w w:val="90"/>
          <w:sz w:val="160"/>
          <w:szCs w:val="22"/>
          <w:lang w:eastAsia="zh-CN"/>
        </w:rPr>
      </w:pPr>
      <w:r>
        <w:rPr>
          <w:rFonts w:hint="eastAsia" w:ascii="华文中宋" w:hAnsi="华文中宋" w:eastAsia="华文中宋" w:cs="Arial"/>
          <w:b/>
          <w:color w:val="000000"/>
          <w:w w:val="90"/>
          <w:sz w:val="56"/>
          <w:szCs w:val="22"/>
          <w:lang w:eastAsia="zh-CN"/>
        </w:rPr>
        <w:t>苍南县人民法院2025年度公款竞争性存放项目</w:t>
      </w:r>
    </w:p>
    <w:p w14:paraId="185AE647">
      <w:pPr>
        <w:jc w:val="center"/>
        <w:rPr>
          <w:rFonts w:ascii="Arial" w:hAnsi="Arial" w:cs="Arial"/>
          <w:b/>
          <w:color w:val="000000"/>
          <w:sz w:val="52"/>
          <w:szCs w:val="22"/>
        </w:rPr>
      </w:pPr>
    </w:p>
    <w:p w14:paraId="6D13392A">
      <w:pPr>
        <w:spacing w:line="276" w:lineRule="auto"/>
        <w:jc w:val="center"/>
        <w:rPr>
          <w:rFonts w:ascii="华文中宋" w:hAnsi="华文中宋" w:eastAsia="华文中宋" w:cs="Arial"/>
          <w:color w:val="000000"/>
          <w:sz w:val="96"/>
          <w:szCs w:val="22"/>
        </w:rPr>
      </w:pPr>
      <w:r>
        <w:rPr>
          <w:rFonts w:hint="eastAsia" w:ascii="华文中宋" w:hAnsi="华文中宋" w:eastAsia="华文中宋" w:cs="Arial"/>
          <w:color w:val="000000"/>
          <w:sz w:val="96"/>
          <w:szCs w:val="22"/>
        </w:rPr>
        <w:t>投</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件</w:t>
      </w:r>
    </w:p>
    <w:tbl>
      <w:tblPr>
        <w:tblStyle w:val="39"/>
        <w:tblpPr w:leftFromText="180" w:rightFromText="180" w:vertAnchor="text" w:horzAnchor="margin" w:tblpXSpec="center" w:tblpY="643"/>
        <w:tblW w:w="0" w:type="auto"/>
        <w:tblInd w:w="0" w:type="dxa"/>
        <w:tblLayout w:type="fixed"/>
        <w:tblCellMar>
          <w:top w:w="0" w:type="dxa"/>
          <w:left w:w="108" w:type="dxa"/>
          <w:bottom w:w="0" w:type="dxa"/>
          <w:right w:w="108" w:type="dxa"/>
        </w:tblCellMar>
      </w:tblPr>
      <w:tblGrid>
        <w:gridCol w:w="7797"/>
      </w:tblGrid>
      <w:tr w14:paraId="0E1DF1E3">
        <w:tblPrEx>
          <w:tblCellMar>
            <w:top w:w="0" w:type="dxa"/>
            <w:left w:w="108" w:type="dxa"/>
            <w:bottom w:w="0" w:type="dxa"/>
            <w:right w:w="108" w:type="dxa"/>
          </w:tblCellMar>
        </w:tblPrEx>
        <w:trPr>
          <w:trHeight w:val="680" w:hRule="atLeast"/>
        </w:trPr>
        <w:tc>
          <w:tcPr>
            <w:tcW w:w="7797" w:type="dxa"/>
            <w:vAlign w:val="center"/>
          </w:tcPr>
          <w:p w14:paraId="63C64E39">
            <w:pPr>
              <w:rPr>
                <w:rFonts w:ascii="华文中宋" w:hAnsi="华文中宋" w:eastAsia="华文中宋"/>
                <w:sz w:val="28"/>
                <w:szCs w:val="28"/>
              </w:rPr>
            </w:pPr>
            <w:r>
              <w:rPr>
                <w:rFonts w:hint="eastAsia" w:ascii="华文中宋" w:hAnsi="华文中宋" w:eastAsia="华文中宋"/>
                <w:sz w:val="28"/>
                <w:szCs w:val="28"/>
              </w:rPr>
              <w:t>项目编号：</w:t>
            </w:r>
            <w:r>
              <w:rPr>
                <w:rFonts w:hint="eastAsia" w:ascii="华文中宋" w:hAnsi="华文中宋" w:eastAsia="华文中宋"/>
                <w:sz w:val="28"/>
                <w:szCs w:val="28"/>
                <w:u w:val="single"/>
                <w:lang w:eastAsia="zh-CN"/>
              </w:rPr>
              <w:t>苍产告字[2025]1号</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tc>
      </w:tr>
      <w:tr w14:paraId="6D04FEF7">
        <w:tblPrEx>
          <w:tblCellMar>
            <w:top w:w="0" w:type="dxa"/>
            <w:left w:w="108" w:type="dxa"/>
            <w:bottom w:w="0" w:type="dxa"/>
            <w:right w:w="108" w:type="dxa"/>
          </w:tblCellMar>
        </w:tblPrEx>
        <w:trPr>
          <w:trHeight w:val="680" w:hRule="atLeast"/>
        </w:trPr>
        <w:tc>
          <w:tcPr>
            <w:tcW w:w="7797" w:type="dxa"/>
            <w:vAlign w:val="center"/>
          </w:tcPr>
          <w:p w14:paraId="4D7F494B">
            <w:pPr>
              <w:rPr>
                <w:rFonts w:ascii="华文中宋" w:hAnsi="华文中宋" w:eastAsia="华文中宋"/>
                <w:sz w:val="28"/>
                <w:szCs w:val="28"/>
              </w:rPr>
            </w:pPr>
            <w:r>
              <w:rPr>
                <w:rFonts w:hint="eastAsia" w:ascii="华文中宋" w:hAnsi="华文中宋" w:eastAsia="华文中宋"/>
                <w:sz w:val="28"/>
                <w:szCs w:val="28"/>
              </w:rPr>
              <w:t>投标银行名称（盖章）：</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tc>
      </w:tr>
      <w:tr w14:paraId="24F857F7">
        <w:tblPrEx>
          <w:tblCellMar>
            <w:top w:w="0" w:type="dxa"/>
            <w:left w:w="108" w:type="dxa"/>
            <w:bottom w:w="0" w:type="dxa"/>
            <w:right w:w="108" w:type="dxa"/>
          </w:tblCellMar>
        </w:tblPrEx>
        <w:trPr>
          <w:trHeight w:val="680" w:hRule="atLeast"/>
        </w:trPr>
        <w:tc>
          <w:tcPr>
            <w:tcW w:w="7797" w:type="dxa"/>
            <w:vAlign w:val="center"/>
          </w:tcPr>
          <w:p w14:paraId="3BC93A4B">
            <w:pPr>
              <w:rPr>
                <w:rFonts w:ascii="华文中宋" w:hAnsi="华文中宋" w:eastAsia="华文中宋"/>
                <w:sz w:val="28"/>
                <w:szCs w:val="28"/>
              </w:rPr>
            </w:pPr>
            <w:r>
              <w:rPr>
                <w:rFonts w:hint="eastAsia" w:ascii="华文中宋" w:hAnsi="华文中宋" w:eastAsia="华文中宋"/>
                <w:sz w:val="28"/>
                <w:szCs w:val="28"/>
              </w:rPr>
              <w:t>地址：</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tc>
      </w:tr>
      <w:tr w14:paraId="40F615E1">
        <w:tblPrEx>
          <w:tblCellMar>
            <w:top w:w="0" w:type="dxa"/>
            <w:left w:w="108" w:type="dxa"/>
            <w:bottom w:w="0" w:type="dxa"/>
            <w:right w:w="108" w:type="dxa"/>
          </w:tblCellMar>
        </w:tblPrEx>
        <w:trPr>
          <w:trHeight w:val="680" w:hRule="atLeast"/>
        </w:trPr>
        <w:tc>
          <w:tcPr>
            <w:tcW w:w="7797" w:type="dxa"/>
            <w:vAlign w:val="center"/>
          </w:tcPr>
          <w:p w14:paraId="021E2C5D">
            <w:pPr>
              <w:rPr>
                <w:rFonts w:ascii="华文中宋" w:hAnsi="华文中宋" w:eastAsia="华文中宋"/>
                <w:sz w:val="28"/>
                <w:szCs w:val="28"/>
              </w:rPr>
            </w:pPr>
            <w:r>
              <w:rPr>
                <w:rFonts w:hint="eastAsia" w:ascii="华文中宋" w:hAnsi="华文中宋" w:eastAsia="华文中宋"/>
                <w:sz w:val="28"/>
                <w:szCs w:val="28"/>
              </w:rPr>
              <w:t>联系人：</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tc>
      </w:tr>
      <w:tr w14:paraId="31C58EA9">
        <w:tblPrEx>
          <w:tblCellMar>
            <w:top w:w="0" w:type="dxa"/>
            <w:left w:w="108" w:type="dxa"/>
            <w:bottom w:w="0" w:type="dxa"/>
            <w:right w:w="108" w:type="dxa"/>
          </w:tblCellMar>
        </w:tblPrEx>
        <w:trPr>
          <w:trHeight w:val="680" w:hRule="atLeast"/>
        </w:trPr>
        <w:tc>
          <w:tcPr>
            <w:tcW w:w="7797" w:type="dxa"/>
            <w:vAlign w:val="center"/>
          </w:tcPr>
          <w:p w14:paraId="15437CE9">
            <w:pPr>
              <w:rPr>
                <w:rFonts w:ascii="华文中宋" w:hAnsi="华文中宋" w:eastAsia="华文中宋"/>
                <w:sz w:val="28"/>
                <w:szCs w:val="28"/>
              </w:rPr>
            </w:pPr>
            <w:r>
              <w:rPr>
                <w:rFonts w:hint="eastAsia" w:ascii="华文中宋" w:hAnsi="华文中宋" w:eastAsia="华文中宋"/>
                <w:sz w:val="28"/>
                <w:szCs w:val="28"/>
              </w:rPr>
              <w:t>日期：</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tc>
      </w:tr>
      <w:tr w14:paraId="2BF41741">
        <w:tblPrEx>
          <w:tblCellMar>
            <w:top w:w="0" w:type="dxa"/>
            <w:left w:w="108" w:type="dxa"/>
            <w:bottom w:w="0" w:type="dxa"/>
            <w:right w:w="108" w:type="dxa"/>
          </w:tblCellMar>
        </w:tblPrEx>
        <w:trPr>
          <w:trHeight w:val="335" w:hRule="atLeast"/>
        </w:trPr>
        <w:tc>
          <w:tcPr>
            <w:tcW w:w="7797" w:type="dxa"/>
            <w:vAlign w:val="center"/>
          </w:tcPr>
          <w:p w14:paraId="7363578D">
            <w:pPr>
              <w:rPr>
                <w:rFonts w:ascii="华文中宋" w:hAnsi="华文中宋" w:eastAsia="华文中宋"/>
                <w:sz w:val="28"/>
                <w:szCs w:val="28"/>
              </w:rPr>
            </w:pPr>
          </w:p>
        </w:tc>
      </w:tr>
      <w:tr w14:paraId="0EBD2AD8">
        <w:tblPrEx>
          <w:tblCellMar>
            <w:top w:w="0" w:type="dxa"/>
            <w:left w:w="108" w:type="dxa"/>
            <w:bottom w:w="0" w:type="dxa"/>
            <w:right w:w="108" w:type="dxa"/>
          </w:tblCellMar>
        </w:tblPrEx>
        <w:trPr>
          <w:trHeight w:val="680" w:hRule="atLeast"/>
        </w:trPr>
        <w:tc>
          <w:tcPr>
            <w:tcW w:w="7797" w:type="dxa"/>
            <w:vAlign w:val="center"/>
          </w:tcPr>
          <w:p w14:paraId="1B4496F7">
            <w:pPr>
              <w:jc w:val="center"/>
              <w:rPr>
                <w:rFonts w:ascii="华文中宋" w:hAnsi="华文中宋" w:eastAsia="华文中宋"/>
                <w:b/>
                <w:sz w:val="28"/>
                <w:szCs w:val="28"/>
              </w:rPr>
            </w:pPr>
            <w:r>
              <w:rPr>
                <w:rFonts w:hint="eastAsia" w:ascii="华文中宋" w:hAnsi="华文中宋" w:eastAsia="华文中宋"/>
                <w:b/>
                <w:sz w:val="28"/>
                <w:szCs w:val="28"/>
              </w:rPr>
              <w:t>开标前不得启封</w:t>
            </w:r>
          </w:p>
        </w:tc>
      </w:tr>
    </w:tbl>
    <w:p w14:paraId="2D95AD99">
      <w:pPr>
        <w:jc w:val="center"/>
        <w:rPr>
          <w:rFonts w:ascii="华文中宋" w:hAnsi="华文中宋" w:eastAsia="华文中宋" w:cs="Arial"/>
          <w:b/>
          <w:color w:val="000000"/>
          <w:sz w:val="52"/>
          <w:szCs w:val="22"/>
        </w:rPr>
      </w:pPr>
    </w:p>
    <w:p w14:paraId="08E5F73C"/>
    <w:p w14:paraId="5CD1AE1A">
      <w:pPr>
        <w:pStyle w:val="6"/>
      </w:pPr>
      <w:r>
        <w:rPr>
          <w:color w:val="000000"/>
        </w:rPr>
        <w:br w:type="page"/>
      </w:r>
      <w:bookmarkStart w:id="127" w:name="_Toc2009"/>
      <w:bookmarkStart w:id="128" w:name="_Toc452032128"/>
      <w:bookmarkStart w:id="129" w:name="_Toc21804"/>
      <w:bookmarkStart w:id="130" w:name="_Toc2521"/>
      <w:r>
        <w:rPr>
          <w:rFonts w:hint="eastAsia"/>
        </w:rPr>
        <w:t>格式2、关于投标文件所有内容真实可靠的声明书</w:t>
      </w:r>
      <w:bookmarkEnd w:id="127"/>
      <w:bookmarkEnd w:id="128"/>
      <w:bookmarkEnd w:id="129"/>
      <w:bookmarkEnd w:id="130"/>
    </w:p>
    <w:p w14:paraId="2B521EDB">
      <w:pPr>
        <w:rPr>
          <w:color w:val="000000"/>
        </w:rPr>
      </w:pPr>
    </w:p>
    <w:p w14:paraId="42F94BD5">
      <w:pPr>
        <w:jc w:val="center"/>
        <w:rPr>
          <w:rFonts w:ascii="华文中宋" w:hAnsi="华文中宋" w:eastAsia="华文中宋" w:cs="Arial"/>
          <w:b/>
          <w:color w:val="000000"/>
          <w:kern w:val="0"/>
          <w:sz w:val="36"/>
          <w:szCs w:val="32"/>
        </w:rPr>
      </w:pPr>
    </w:p>
    <w:p w14:paraId="39DEE244">
      <w:pPr>
        <w:jc w:val="center"/>
        <w:rPr>
          <w:rFonts w:ascii="华文中宋" w:hAnsi="华文中宋" w:eastAsia="华文中宋" w:cs="Arial"/>
          <w:b/>
          <w:color w:val="000000"/>
          <w:kern w:val="0"/>
          <w:sz w:val="36"/>
          <w:szCs w:val="32"/>
        </w:rPr>
      </w:pPr>
      <w:r>
        <w:rPr>
          <w:rFonts w:hint="eastAsia" w:ascii="华文中宋" w:hAnsi="华文中宋" w:eastAsia="华文中宋" w:cs="Arial"/>
          <w:b/>
          <w:color w:val="000000"/>
          <w:kern w:val="0"/>
          <w:sz w:val="36"/>
          <w:szCs w:val="32"/>
        </w:rPr>
        <w:t>关于投标文件所有内容真实可靠的书面声明</w:t>
      </w:r>
    </w:p>
    <w:p w14:paraId="30DD08BF">
      <w:pPr>
        <w:rPr>
          <w:rFonts w:ascii="Arial" w:hAnsi="新宋体" w:cs="Arial"/>
          <w:b/>
          <w:color w:val="000000"/>
          <w:kern w:val="0"/>
          <w:szCs w:val="28"/>
          <w:u w:val="single"/>
        </w:rPr>
      </w:pPr>
    </w:p>
    <w:p w14:paraId="650A6414">
      <w:pPr>
        <w:rPr>
          <w:rFonts w:ascii="华文中宋" w:hAnsi="华文中宋" w:eastAsia="华文中宋" w:cs="Arial"/>
          <w:b/>
          <w:color w:val="000000"/>
          <w:kern w:val="0"/>
          <w:sz w:val="28"/>
          <w:szCs w:val="28"/>
          <w:u w:val="single"/>
        </w:rPr>
      </w:pPr>
      <w:r>
        <w:rPr>
          <w:rFonts w:hint="eastAsia" w:ascii="华文中宋" w:hAnsi="华文中宋" w:eastAsia="华文中宋" w:cs="Arial"/>
          <w:b/>
          <w:color w:val="000000"/>
          <w:w w:val="90"/>
          <w:kern w:val="0"/>
          <w:szCs w:val="22"/>
          <w:u w:val="single"/>
        </w:rPr>
        <w:t>苍南县人民法院、杭州华旗招标代理有限公司</w:t>
      </w:r>
    </w:p>
    <w:p w14:paraId="447E3482">
      <w:pPr>
        <w:rPr>
          <w:rFonts w:ascii="华文中宋" w:hAnsi="华文中宋" w:eastAsia="华文中宋" w:cs="Arial"/>
          <w:color w:val="000000"/>
          <w:kern w:val="0"/>
          <w:sz w:val="28"/>
          <w:szCs w:val="28"/>
        </w:rPr>
      </w:pPr>
    </w:p>
    <w:p w14:paraId="03BF5E68">
      <w:pPr>
        <w:ind w:firstLine="480" w:firstLineChars="200"/>
        <w:rPr>
          <w:rFonts w:ascii="华文中宋" w:hAnsi="华文中宋" w:eastAsia="华文中宋" w:cs="Arial"/>
          <w:color w:val="000000"/>
          <w:kern w:val="0"/>
          <w:szCs w:val="22"/>
        </w:rPr>
      </w:pPr>
      <w:r>
        <w:rPr>
          <w:rFonts w:hint="eastAsia" w:ascii="华文中宋" w:hAnsi="华文中宋" w:eastAsia="华文中宋" w:cs="Arial"/>
          <w:color w:val="000000"/>
          <w:kern w:val="0"/>
          <w:szCs w:val="22"/>
        </w:rPr>
        <w:t>我单位郑重声明，我公司参加</w:t>
      </w:r>
      <w:r>
        <w:rPr>
          <w:rFonts w:hint="eastAsia" w:ascii="华文中宋" w:hAnsi="华文中宋" w:eastAsia="华文中宋" w:cs="Arial"/>
          <w:b/>
          <w:color w:val="000000"/>
          <w:kern w:val="0"/>
          <w:szCs w:val="22"/>
          <w:u w:val="single"/>
          <w:lang w:eastAsia="zh-CN"/>
        </w:rPr>
        <w:t>苍南县人民法院2025年度公款竞争性存放项目</w:t>
      </w:r>
      <w:r>
        <w:rPr>
          <w:rFonts w:hint="eastAsia" w:ascii="华文中宋" w:hAnsi="华文中宋" w:eastAsia="华文中宋" w:cs="Arial"/>
          <w:b/>
          <w:color w:val="000000"/>
          <w:kern w:val="0"/>
          <w:szCs w:val="22"/>
          <w:u w:val="single"/>
        </w:rPr>
        <w:t>（招标编号：</w:t>
      </w:r>
      <w:r>
        <w:rPr>
          <w:rFonts w:hint="eastAsia" w:ascii="华文中宋" w:hAnsi="华文中宋" w:eastAsia="华文中宋" w:cs="Arial"/>
          <w:b/>
          <w:color w:val="000000"/>
          <w:kern w:val="0"/>
          <w:szCs w:val="22"/>
          <w:u w:val="single"/>
          <w:lang w:eastAsia="zh-CN"/>
        </w:rPr>
        <w:t>苍产告字[2025]1号</w:t>
      </w:r>
      <w:r>
        <w:rPr>
          <w:rFonts w:hint="eastAsia" w:ascii="华文中宋" w:hAnsi="华文中宋" w:eastAsia="华文中宋" w:cs="Arial"/>
          <w:b/>
          <w:color w:val="000000"/>
          <w:kern w:val="0"/>
          <w:szCs w:val="22"/>
          <w:u w:val="single"/>
        </w:rPr>
        <w:t>）</w:t>
      </w:r>
      <w:r>
        <w:rPr>
          <w:rFonts w:hint="eastAsia" w:ascii="华文中宋" w:hAnsi="华文中宋" w:eastAsia="华文中宋" w:cs="Arial"/>
          <w:color w:val="000000"/>
          <w:kern w:val="0"/>
          <w:szCs w:val="22"/>
        </w:rPr>
        <w:t>活动中所提交的投标文件所有内容真实、可靠，不存在虚假、造假行为。如有违反，愿承担一切责任。</w:t>
      </w:r>
    </w:p>
    <w:p w14:paraId="0F87119A">
      <w:pPr>
        <w:ind w:firstLine="480" w:firstLineChars="200"/>
        <w:rPr>
          <w:rFonts w:ascii="华文中宋" w:hAnsi="华文中宋" w:eastAsia="华文中宋" w:cs="Arial"/>
          <w:color w:val="000000"/>
          <w:kern w:val="0"/>
          <w:szCs w:val="22"/>
        </w:rPr>
      </w:pPr>
    </w:p>
    <w:p w14:paraId="701CC892">
      <w:pPr>
        <w:ind w:firstLine="480" w:firstLineChars="200"/>
        <w:rPr>
          <w:rFonts w:ascii="华文中宋" w:hAnsi="华文中宋" w:eastAsia="华文中宋" w:cs="Arial"/>
          <w:color w:val="000000"/>
          <w:kern w:val="0"/>
          <w:sz w:val="22"/>
          <w:szCs w:val="22"/>
        </w:rPr>
      </w:pPr>
      <w:r>
        <w:rPr>
          <w:rFonts w:hint="eastAsia" w:ascii="华文中宋" w:hAnsi="华文中宋" w:eastAsia="华文中宋" w:cs="Arial"/>
          <w:color w:val="000000"/>
          <w:kern w:val="0"/>
          <w:szCs w:val="22"/>
        </w:rPr>
        <w:t>特此声明</w:t>
      </w:r>
    </w:p>
    <w:p w14:paraId="475F356E">
      <w:pPr>
        <w:ind w:firstLine="480" w:firstLineChars="200"/>
        <w:rPr>
          <w:rFonts w:ascii="Arial" w:hAnsi="新宋体" w:cs="Arial"/>
          <w:color w:val="000000"/>
          <w:kern w:val="0"/>
          <w:szCs w:val="22"/>
        </w:rPr>
      </w:pPr>
    </w:p>
    <w:p w14:paraId="3B358B72">
      <w:pPr>
        <w:ind w:firstLine="480" w:firstLineChars="200"/>
        <w:rPr>
          <w:rFonts w:ascii="Arial" w:hAnsi="新宋体" w:cs="Arial"/>
          <w:color w:val="000000"/>
          <w:kern w:val="0"/>
          <w:szCs w:val="22"/>
        </w:rPr>
      </w:pPr>
    </w:p>
    <w:p w14:paraId="524DC9CD">
      <w:pPr>
        <w:ind w:firstLine="480" w:firstLineChars="200"/>
        <w:rPr>
          <w:rFonts w:ascii="Arial" w:hAnsi="新宋体" w:cs="Arial"/>
          <w:color w:val="000000"/>
          <w:kern w:val="0"/>
          <w:szCs w:val="22"/>
        </w:rPr>
      </w:pPr>
    </w:p>
    <w:p w14:paraId="7CE06B59">
      <w:pPr>
        <w:snapToGrid w:val="0"/>
        <w:rPr>
          <w:rFonts w:ascii="华文中宋" w:hAnsi="华文中宋" w:eastAsia="华文中宋" w:cs="Arial"/>
          <w:color w:val="000000"/>
          <w:szCs w:val="22"/>
        </w:rPr>
      </w:pPr>
      <w:r>
        <w:rPr>
          <w:rFonts w:hint="eastAsia" w:ascii="华文中宋" w:hAnsi="华文中宋" w:eastAsia="华文中宋" w:cs="Arial"/>
          <w:color w:val="000000"/>
          <w:szCs w:val="22"/>
        </w:rPr>
        <w:t>投标银行名称（盖章）：</w:t>
      </w:r>
      <w:r>
        <w:rPr>
          <w:rFonts w:hint="eastAsia" w:ascii="华文中宋" w:hAnsi="华文中宋" w:eastAsia="华文中宋" w:cs="Arial"/>
          <w:color w:val="000000"/>
          <w:szCs w:val="22"/>
          <w:u w:val="single"/>
        </w:rPr>
        <w:t xml:space="preserve">                            </w:t>
      </w:r>
    </w:p>
    <w:p w14:paraId="54903980">
      <w:pPr>
        <w:snapToGrid w:val="0"/>
        <w:rPr>
          <w:rFonts w:ascii="华文中宋" w:hAnsi="华文中宋" w:eastAsia="华文中宋" w:cs="Arial"/>
          <w:color w:val="000000"/>
          <w:szCs w:val="22"/>
        </w:rPr>
      </w:pPr>
      <w:r>
        <w:rPr>
          <w:rFonts w:hint="eastAsia" w:ascii="华文中宋" w:hAnsi="华文中宋" w:eastAsia="华文中宋" w:cs="Arial"/>
          <w:color w:val="000000"/>
          <w:szCs w:val="22"/>
        </w:rPr>
        <w:t>法定代表人或其授权代表（签字或盖章）：</w:t>
      </w:r>
      <w:r>
        <w:rPr>
          <w:rFonts w:hint="eastAsia" w:ascii="华文中宋" w:hAnsi="华文中宋" w:eastAsia="华文中宋" w:cs="Arial"/>
          <w:color w:val="000000"/>
          <w:szCs w:val="22"/>
          <w:u w:val="single"/>
        </w:rPr>
        <w:t xml:space="preserve">                </w:t>
      </w:r>
    </w:p>
    <w:p w14:paraId="286475A8">
      <w:pPr>
        <w:rPr>
          <w:rFonts w:ascii="Arial" w:hAnsi="Arial" w:cs="Arial"/>
          <w:color w:val="000000"/>
          <w:sz w:val="22"/>
          <w:szCs w:val="22"/>
          <w:u w:val="single"/>
        </w:rPr>
      </w:pPr>
      <w:r>
        <w:rPr>
          <w:rFonts w:hint="eastAsia" w:ascii="华文中宋" w:hAnsi="华文中宋" w:eastAsia="华文中宋" w:cs="Arial"/>
          <w:color w:val="000000"/>
          <w:szCs w:val="22"/>
        </w:rPr>
        <w:t>日期：</w:t>
      </w:r>
      <w:r>
        <w:rPr>
          <w:rFonts w:hint="eastAsia" w:ascii="华文中宋" w:hAnsi="华文中宋" w:eastAsia="华文中宋" w:cs="Arial"/>
          <w:color w:val="000000"/>
          <w:szCs w:val="22"/>
          <w:u w:val="single"/>
        </w:rPr>
        <w:t xml:space="preserve">                                         </w:t>
      </w:r>
    </w:p>
    <w:p w14:paraId="69840E03">
      <w:pPr>
        <w:rPr>
          <w:rFonts w:ascii="Arial" w:hAnsi="Arial" w:cs="Arial"/>
          <w:color w:val="000000"/>
          <w:sz w:val="22"/>
          <w:szCs w:val="22"/>
          <w:u w:val="single"/>
        </w:rPr>
      </w:pPr>
    </w:p>
    <w:p w14:paraId="2E7EA9E4">
      <w:pPr>
        <w:pStyle w:val="6"/>
      </w:pPr>
      <w:r>
        <w:rPr>
          <w:rFonts w:ascii="Arial" w:hAnsi="Arial" w:cs="Arial"/>
          <w:color w:val="000000"/>
          <w:sz w:val="22"/>
          <w:szCs w:val="22"/>
          <w:u w:val="single"/>
        </w:rPr>
        <w:br w:type="page"/>
      </w:r>
      <w:bookmarkStart w:id="131" w:name="_Toc2601"/>
      <w:bookmarkStart w:id="132" w:name="_Toc452032129"/>
      <w:bookmarkStart w:id="133" w:name="_Toc24457"/>
      <w:bookmarkStart w:id="134" w:name="_Toc25776"/>
      <w:r>
        <w:rPr>
          <w:rFonts w:hint="eastAsia"/>
        </w:rPr>
        <w:t>格式3、投标函</w:t>
      </w:r>
      <w:bookmarkEnd w:id="131"/>
      <w:bookmarkEnd w:id="132"/>
      <w:bookmarkEnd w:id="133"/>
      <w:bookmarkEnd w:id="134"/>
    </w:p>
    <w:p w14:paraId="423CFC6E">
      <w:pPr>
        <w:jc w:val="center"/>
        <w:rPr>
          <w:rFonts w:ascii="华文中宋" w:hAnsi="华文中宋" w:eastAsia="华文中宋"/>
          <w:b/>
          <w:color w:val="000000"/>
          <w:sz w:val="44"/>
          <w:szCs w:val="44"/>
        </w:rPr>
      </w:pPr>
      <w:r>
        <w:rPr>
          <w:rFonts w:ascii="华文中宋" w:hAnsi="华文中宋" w:eastAsia="华文中宋"/>
          <w:b/>
          <w:color w:val="000000"/>
          <w:sz w:val="44"/>
          <w:szCs w:val="44"/>
        </w:rPr>
        <w:t>投标函</w:t>
      </w:r>
    </w:p>
    <w:p w14:paraId="77BF61C6">
      <w:pPr>
        <w:rPr>
          <w:rFonts w:ascii="宋体" w:hAnsi="宋体" w:eastAsia="宋体" w:cs="Arial"/>
          <w:color w:val="000000"/>
          <w:w w:val="90"/>
          <w:kern w:val="0"/>
          <w:sz w:val="22"/>
          <w:szCs w:val="22"/>
        </w:rPr>
      </w:pPr>
      <w:r>
        <w:rPr>
          <w:rFonts w:hint="eastAsia" w:ascii="宋体" w:hAnsi="宋体" w:eastAsia="宋体" w:cs="Arial"/>
          <w:b/>
          <w:color w:val="000000"/>
          <w:w w:val="90"/>
          <w:kern w:val="0"/>
          <w:sz w:val="22"/>
          <w:szCs w:val="22"/>
          <w:u w:val="single"/>
        </w:rPr>
        <w:t>苍南县人民法院、杭州华旗招标代理有限公司</w:t>
      </w:r>
      <w:r>
        <w:rPr>
          <w:rFonts w:ascii="宋体" w:hAnsi="宋体" w:eastAsia="宋体" w:cs="Arial"/>
          <w:b/>
          <w:color w:val="000000"/>
          <w:w w:val="90"/>
          <w:kern w:val="0"/>
          <w:sz w:val="22"/>
          <w:szCs w:val="22"/>
        </w:rPr>
        <w:t>：</w:t>
      </w:r>
    </w:p>
    <w:p w14:paraId="0816058A">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根据贵方为</w:t>
      </w:r>
      <w:r>
        <w:rPr>
          <w:rFonts w:hint="eastAsia" w:ascii="宋体" w:hAnsi="宋体" w:eastAsia="宋体" w:cs="Arial"/>
          <w:b/>
          <w:color w:val="000000"/>
          <w:w w:val="90"/>
          <w:kern w:val="0"/>
          <w:sz w:val="22"/>
          <w:szCs w:val="22"/>
          <w:u w:val="single"/>
          <w:lang w:eastAsia="zh-CN"/>
        </w:rPr>
        <w:t>苍南县人民法院2025年度公款竞争性存放项目</w:t>
      </w:r>
      <w:r>
        <w:rPr>
          <w:rFonts w:ascii="宋体" w:hAnsi="宋体" w:eastAsia="宋体" w:cs="Arial"/>
          <w:color w:val="000000"/>
          <w:w w:val="90"/>
          <w:kern w:val="0"/>
          <w:sz w:val="22"/>
          <w:szCs w:val="22"/>
        </w:rPr>
        <w:t>的</w:t>
      </w:r>
      <w:r>
        <w:rPr>
          <w:rFonts w:hint="eastAsia" w:ascii="宋体" w:hAnsi="宋体" w:eastAsia="宋体" w:cs="Arial"/>
          <w:color w:val="000000"/>
          <w:w w:val="90"/>
          <w:kern w:val="0"/>
          <w:sz w:val="22"/>
          <w:szCs w:val="22"/>
        </w:rPr>
        <w:t>招标</w:t>
      </w:r>
      <w:r>
        <w:rPr>
          <w:rFonts w:ascii="宋体" w:hAnsi="宋体" w:eastAsia="宋体" w:cs="Arial"/>
          <w:color w:val="000000"/>
          <w:w w:val="90"/>
          <w:kern w:val="0"/>
          <w:sz w:val="22"/>
          <w:szCs w:val="22"/>
        </w:rPr>
        <w:t>公告（项目编号：</w:t>
      </w:r>
      <w:r>
        <w:rPr>
          <w:rFonts w:hint="eastAsia" w:ascii="宋体" w:hAnsi="宋体" w:eastAsia="宋体" w:cs="Arial"/>
          <w:b/>
          <w:color w:val="000000"/>
          <w:w w:val="90"/>
          <w:kern w:val="0"/>
          <w:sz w:val="22"/>
          <w:szCs w:val="22"/>
          <w:u w:val="single"/>
          <w:lang w:eastAsia="zh-CN"/>
        </w:rPr>
        <w:t>苍产告字[2025]1号</w:t>
      </w:r>
      <w:r>
        <w:rPr>
          <w:rFonts w:ascii="宋体" w:hAnsi="宋体" w:eastAsia="宋体" w:cs="Arial"/>
          <w:color w:val="000000"/>
          <w:w w:val="90"/>
          <w:kern w:val="0"/>
          <w:sz w:val="22"/>
          <w:szCs w:val="22"/>
        </w:rPr>
        <w:t>），</w:t>
      </w:r>
      <w:r>
        <w:rPr>
          <w:rFonts w:hint="eastAsia" w:ascii="宋体" w:hAnsi="宋体" w:eastAsia="宋体" w:cs="Arial"/>
          <w:color w:val="000000"/>
          <w:w w:val="90"/>
          <w:kern w:val="0"/>
          <w:sz w:val="22"/>
          <w:szCs w:val="22"/>
        </w:rPr>
        <w:t>我方</w:t>
      </w:r>
      <w:r>
        <w:rPr>
          <w:rFonts w:ascii="宋体" w:hAnsi="宋体" w:eastAsia="宋体" w:cs="Arial"/>
          <w:color w:val="000000"/>
          <w:w w:val="90"/>
          <w:kern w:val="0"/>
          <w:sz w:val="22"/>
          <w:szCs w:val="22"/>
        </w:rPr>
        <w:t>签字代表____________（全名）经正式授权并代表投标银行________________（投标银行名称）参与本次项目的投标，同时按《招标文件》要求提交投标文件。</w:t>
      </w:r>
      <w:r>
        <w:rPr>
          <w:rFonts w:ascii="宋体" w:hAnsi="宋体" w:eastAsia="宋体" w:cs="Arial"/>
          <w:b/>
          <w:color w:val="000000"/>
          <w:w w:val="90"/>
          <w:kern w:val="0"/>
          <w:sz w:val="22"/>
          <w:szCs w:val="22"/>
        </w:rPr>
        <w:t>据此函，签字代表宣布同意如下：</w:t>
      </w:r>
    </w:p>
    <w:p w14:paraId="6FFE7553">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1、我方已详细</w:t>
      </w:r>
      <w:r>
        <w:rPr>
          <w:rFonts w:hint="eastAsia" w:ascii="宋体" w:hAnsi="宋体" w:eastAsia="宋体" w:cs="Arial"/>
          <w:color w:val="000000"/>
          <w:w w:val="90"/>
          <w:kern w:val="0"/>
          <w:sz w:val="22"/>
          <w:szCs w:val="22"/>
        </w:rPr>
        <w:t>阅读</w:t>
      </w:r>
      <w:r>
        <w:rPr>
          <w:rFonts w:ascii="宋体" w:hAnsi="宋体" w:eastAsia="宋体" w:cs="Arial"/>
          <w:color w:val="000000"/>
          <w:w w:val="90"/>
          <w:kern w:val="0"/>
          <w:sz w:val="22"/>
          <w:szCs w:val="22"/>
        </w:rPr>
        <w:t>全部《招标文件》，包括</w:t>
      </w:r>
      <w:r>
        <w:rPr>
          <w:rFonts w:hint="eastAsia" w:ascii="宋体" w:hAnsi="宋体" w:eastAsia="宋体" w:cs="Arial"/>
          <w:color w:val="000000"/>
          <w:w w:val="90"/>
          <w:kern w:val="0"/>
          <w:sz w:val="22"/>
          <w:szCs w:val="22"/>
        </w:rPr>
        <w:t>补充（更正）</w:t>
      </w:r>
      <w:r>
        <w:rPr>
          <w:rFonts w:ascii="宋体" w:hAnsi="宋体" w:eastAsia="宋体" w:cs="Arial"/>
          <w:color w:val="000000"/>
          <w:w w:val="90"/>
          <w:kern w:val="0"/>
          <w:sz w:val="22"/>
          <w:szCs w:val="22"/>
        </w:rPr>
        <w:t>文件（如有）以及全部参考资料和有关附件，我方已经了解对于《招标文件》、</w:t>
      </w:r>
      <w:r>
        <w:rPr>
          <w:rFonts w:hint="eastAsia" w:ascii="宋体" w:hAnsi="宋体" w:eastAsia="宋体" w:cs="Arial"/>
          <w:color w:val="000000"/>
          <w:w w:val="90"/>
          <w:kern w:val="0"/>
          <w:sz w:val="22"/>
          <w:szCs w:val="22"/>
        </w:rPr>
        <w:t>招标</w:t>
      </w:r>
      <w:r>
        <w:rPr>
          <w:rFonts w:ascii="宋体" w:hAnsi="宋体" w:eastAsia="宋体" w:cs="Arial"/>
          <w:color w:val="000000"/>
          <w:w w:val="90"/>
          <w:kern w:val="0"/>
          <w:sz w:val="22"/>
          <w:szCs w:val="22"/>
        </w:rPr>
        <w:t>过程、</w:t>
      </w:r>
      <w:r>
        <w:rPr>
          <w:rFonts w:hint="eastAsia" w:ascii="宋体" w:hAnsi="宋体" w:eastAsia="宋体" w:cs="Arial"/>
          <w:color w:val="000000"/>
          <w:w w:val="90"/>
          <w:kern w:val="0"/>
          <w:sz w:val="22"/>
          <w:szCs w:val="22"/>
        </w:rPr>
        <w:t>招标</w:t>
      </w:r>
      <w:r>
        <w:rPr>
          <w:rFonts w:ascii="宋体" w:hAnsi="宋体" w:eastAsia="宋体" w:cs="Arial"/>
          <w:color w:val="000000"/>
          <w:w w:val="90"/>
          <w:kern w:val="0"/>
          <w:sz w:val="22"/>
          <w:szCs w:val="22"/>
        </w:rPr>
        <w:t>结果有依法进行询问、质疑、投诉的权利及相关渠道和要求。</w:t>
      </w:r>
    </w:p>
    <w:p w14:paraId="3702A185">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2、我方向贵方提交的所有《投标文件》、资料都是准确和真实的；</w:t>
      </w:r>
    </w:p>
    <w:p w14:paraId="142B39AC">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3、我方不是</w:t>
      </w:r>
      <w:r>
        <w:rPr>
          <w:rFonts w:hint="eastAsia" w:ascii="宋体" w:hAnsi="宋体" w:eastAsia="宋体" w:cs="Arial"/>
          <w:color w:val="000000"/>
          <w:w w:val="90"/>
          <w:kern w:val="0"/>
          <w:sz w:val="22"/>
          <w:szCs w:val="22"/>
        </w:rPr>
        <w:t>招标人</w:t>
      </w:r>
      <w:r>
        <w:rPr>
          <w:rFonts w:ascii="宋体" w:hAnsi="宋体" w:eastAsia="宋体" w:cs="Arial"/>
          <w:color w:val="000000"/>
          <w:w w:val="90"/>
          <w:kern w:val="0"/>
          <w:sz w:val="22"/>
          <w:szCs w:val="22"/>
        </w:rPr>
        <w:t>的附属机构；在获知本项目</w:t>
      </w:r>
      <w:r>
        <w:rPr>
          <w:rFonts w:hint="eastAsia" w:ascii="宋体" w:hAnsi="宋体" w:eastAsia="宋体" w:cs="Arial"/>
          <w:color w:val="000000"/>
          <w:w w:val="90"/>
          <w:kern w:val="0"/>
          <w:sz w:val="22"/>
          <w:szCs w:val="22"/>
        </w:rPr>
        <w:t>招标</w:t>
      </w:r>
      <w:r>
        <w:rPr>
          <w:rFonts w:ascii="宋体" w:hAnsi="宋体" w:eastAsia="宋体" w:cs="Arial"/>
          <w:color w:val="000000"/>
          <w:w w:val="90"/>
          <w:kern w:val="0"/>
          <w:sz w:val="22"/>
          <w:szCs w:val="22"/>
        </w:rPr>
        <w:t>信息后，与</w:t>
      </w:r>
      <w:r>
        <w:rPr>
          <w:rFonts w:hint="eastAsia" w:ascii="宋体" w:hAnsi="宋体" w:eastAsia="宋体" w:cs="Arial"/>
          <w:color w:val="000000"/>
          <w:w w:val="90"/>
          <w:kern w:val="0"/>
          <w:sz w:val="22"/>
          <w:szCs w:val="22"/>
        </w:rPr>
        <w:t>招标人</w:t>
      </w:r>
      <w:r>
        <w:rPr>
          <w:rFonts w:ascii="宋体" w:hAnsi="宋体" w:eastAsia="宋体" w:cs="Arial"/>
          <w:color w:val="000000"/>
          <w:w w:val="90"/>
          <w:kern w:val="0"/>
          <w:sz w:val="22"/>
          <w:szCs w:val="22"/>
        </w:rPr>
        <w:t>聘请的为此项目提供咨询服务的公司及其附属机构没有任何</w:t>
      </w:r>
      <w:r>
        <w:rPr>
          <w:rFonts w:hint="eastAsia" w:ascii="宋体" w:hAnsi="宋体" w:eastAsia="宋体" w:cs="Arial"/>
          <w:color w:val="000000"/>
          <w:w w:val="90"/>
          <w:kern w:val="0"/>
          <w:sz w:val="22"/>
          <w:szCs w:val="22"/>
        </w:rPr>
        <w:t>关系；</w:t>
      </w:r>
    </w:p>
    <w:p w14:paraId="2F0BB7F5">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4、我方在投标之前已经与贵方进行了充分的沟通，完全理解并接受《招标文件》的各项规定和要求，对《招标文件》的合理性、合法性不再有异议；</w:t>
      </w:r>
    </w:p>
    <w:p w14:paraId="3EF53416">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5、我方将按《招标文件》的规定履行合同责任和义务；</w:t>
      </w:r>
    </w:p>
    <w:p w14:paraId="45D5F9C9">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6、我方此次报价以我方《投标一览表》所列为准；</w:t>
      </w:r>
    </w:p>
    <w:p w14:paraId="6F828457">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7、本投标</w:t>
      </w:r>
      <w:r>
        <w:rPr>
          <w:rFonts w:hint="eastAsia" w:ascii="宋体" w:hAnsi="宋体" w:eastAsia="宋体" w:cs="Arial"/>
          <w:color w:val="000000"/>
          <w:w w:val="90"/>
          <w:kern w:val="0"/>
          <w:sz w:val="22"/>
          <w:szCs w:val="22"/>
        </w:rPr>
        <w:t>文件</w:t>
      </w:r>
      <w:r>
        <w:rPr>
          <w:rFonts w:ascii="宋体" w:hAnsi="宋体" w:eastAsia="宋体" w:cs="Arial"/>
          <w:color w:val="000000"/>
          <w:w w:val="90"/>
          <w:kern w:val="0"/>
          <w:sz w:val="22"/>
          <w:szCs w:val="22"/>
        </w:rPr>
        <w:t>有效期</w:t>
      </w:r>
      <w:r>
        <w:rPr>
          <w:rFonts w:hint="eastAsia" w:ascii="宋体" w:hAnsi="宋体" w:eastAsia="宋体" w:cs="Arial"/>
          <w:color w:val="000000"/>
          <w:w w:val="90"/>
          <w:kern w:val="0"/>
          <w:sz w:val="22"/>
          <w:szCs w:val="22"/>
        </w:rPr>
        <w:t>为</w:t>
      </w:r>
      <w:r>
        <w:rPr>
          <w:rFonts w:ascii="宋体" w:hAnsi="宋体" w:eastAsia="宋体" w:cs="Arial"/>
          <w:color w:val="000000"/>
          <w:w w:val="90"/>
          <w:kern w:val="0"/>
          <w:sz w:val="22"/>
          <w:szCs w:val="22"/>
        </w:rPr>
        <w:t>自投标截止之日起</w:t>
      </w:r>
      <w:r>
        <w:rPr>
          <w:rFonts w:ascii="宋体" w:hAnsi="宋体" w:eastAsia="宋体" w:cs="Arial"/>
          <w:color w:val="000000"/>
          <w:w w:val="90"/>
          <w:kern w:val="0"/>
          <w:sz w:val="22"/>
          <w:szCs w:val="22"/>
          <w:u w:val="single"/>
        </w:rPr>
        <w:t xml:space="preserve"> </w:t>
      </w:r>
      <w:r>
        <w:rPr>
          <w:rFonts w:hint="eastAsia" w:ascii="宋体" w:hAnsi="宋体" w:eastAsia="宋体" w:cs="Arial"/>
          <w:color w:val="000000"/>
          <w:w w:val="90"/>
          <w:kern w:val="0"/>
          <w:sz w:val="22"/>
          <w:szCs w:val="22"/>
          <w:u w:val="single"/>
        </w:rPr>
        <w:t>6</w:t>
      </w:r>
      <w:r>
        <w:rPr>
          <w:rFonts w:ascii="宋体" w:hAnsi="宋体" w:eastAsia="宋体" w:cs="Arial"/>
          <w:color w:val="000000"/>
          <w:w w:val="90"/>
          <w:kern w:val="0"/>
          <w:sz w:val="22"/>
          <w:szCs w:val="22"/>
          <w:u w:val="single"/>
        </w:rPr>
        <w:t>0个</w:t>
      </w:r>
      <w:r>
        <w:rPr>
          <w:rFonts w:ascii="宋体" w:hAnsi="宋体" w:eastAsia="宋体" w:cs="Arial"/>
          <w:color w:val="000000"/>
          <w:w w:val="90"/>
          <w:kern w:val="0"/>
          <w:sz w:val="22"/>
          <w:szCs w:val="22"/>
        </w:rPr>
        <w:t>日历日。</w:t>
      </w:r>
    </w:p>
    <w:p w14:paraId="07415AE4">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8、如中标</w:t>
      </w:r>
      <w:r>
        <w:rPr>
          <w:rFonts w:hint="eastAsia" w:ascii="宋体" w:hAnsi="宋体" w:eastAsia="宋体" w:cs="Arial"/>
          <w:color w:val="000000"/>
          <w:w w:val="90"/>
          <w:kern w:val="0"/>
          <w:sz w:val="22"/>
          <w:szCs w:val="22"/>
        </w:rPr>
        <w:t>（成交）</w:t>
      </w:r>
      <w:r>
        <w:rPr>
          <w:rFonts w:ascii="宋体" w:hAnsi="宋体" w:eastAsia="宋体" w:cs="Arial"/>
          <w:color w:val="000000"/>
          <w:w w:val="90"/>
          <w:kern w:val="0"/>
          <w:sz w:val="22"/>
          <w:szCs w:val="22"/>
        </w:rPr>
        <w:t>，本《投标文件》至本项目合同履行完毕止均保持有效，</w:t>
      </w:r>
      <w:r>
        <w:rPr>
          <w:rFonts w:hint="eastAsia" w:ascii="宋体" w:hAnsi="宋体" w:eastAsia="宋体" w:cs="Arial"/>
          <w:color w:val="000000"/>
          <w:w w:val="90"/>
          <w:kern w:val="0"/>
          <w:sz w:val="22"/>
          <w:szCs w:val="22"/>
        </w:rPr>
        <w:t>我方</w:t>
      </w:r>
      <w:r>
        <w:rPr>
          <w:rFonts w:ascii="宋体" w:hAnsi="宋体" w:eastAsia="宋体" w:cs="Arial"/>
          <w:color w:val="000000"/>
          <w:w w:val="90"/>
          <w:kern w:val="0"/>
          <w:sz w:val="22"/>
          <w:szCs w:val="22"/>
        </w:rPr>
        <w:t>将按《招标文件》</w:t>
      </w:r>
      <w:r>
        <w:rPr>
          <w:rFonts w:hint="eastAsia" w:ascii="宋体" w:hAnsi="宋体" w:eastAsia="宋体" w:cs="Arial"/>
          <w:color w:val="000000"/>
          <w:w w:val="90"/>
          <w:kern w:val="0"/>
          <w:sz w:val="22"/>
          <w:szCs w:val="22"/>
        </w:rPr>
        <w:t>、投标文件承诺以及根据《浙江省财政厅关于印发浙江省省级行政事业单位公款竞争性存放管理办法的通知》（浙财预执〔2021〕7号）、《苍南县县级预算单位公款竞争性存放管理暂行办法》（苍政办〔2019〕7号）公款存放相关规定履行合同责任和义务。</w:t>
      </w:r>
    </w:p>
    <w:p w14:paraId="458D4705">
      <w:pPr>
        <w:ind w:firstLine="380" w:firstLineChars="192"/>
        <w:rPr>
          <w:rFonts w:ascii="宋体" w:hAnsi="宋体" w:eastAsia="宋体" w:cs="Arial"/>
          <w:color w:val="000000"/>
          <w:w w:val="90"/>
          <w:kern w:val="0"/>
          <w:sz w:val="22"/>
          <w:szCs w:val="22"/>
        </w:rPr>
      </w:pPr>
      <w:r>
        <w:rPr>
          <w:rFonts w:ascii="宋体" w:hAnsi="宋体" w:eastAsia="宋体" w:cs="Arial"/>
          <w:color w:val="000000"/>
          <w:w w:val="90"/>
          <w:kern w:val="0"/>
          <w:sz w:val="22"/>
          <w:szCs w:val="22"/>
        </w:rPr>
        <w:t>9、我方同意按照贵方要求提供与投标有关的一切数据或资料。</w:t>
      </w:r>
    </w:p>
    <w:p w14:paraId="6E4A9FC5">
      <w:pPr>
        <w:ind w:firstLine="380" w:firstLineChars="192"/>
        <w:rPr>
          <w:rFonts w:ascii="Arial" w:hAnsi="Arial" w:cs="Arial"/>
          <w:color w:val="000000"/>
          <w:w w:val="90"/>
          <w:kern w:val="0"/>
          <w:sz w:val="22"/>
          <w:szCs w:val="22"/>
          <w:u w:val="single"/>
        </w:rPr>
      </w:pPr>
      <w:r>
        <w:rPr>
          <w:rFonts w:ascii="Arial" w:hAnsi="新宋体" w:cs="Arial"/>
          <w:color w:val="000000"/>
          <w:w w:val="90"/>
          <w:kern w:val="0"/>
          <w:sz w:val="22"/>
          <w:szCs w:val="22"/>
        </w:rPr>
        <w:t>投标银行名称（公章）：</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p>
    <w:p w14:paraId="1E0F2186">
      <w:pPr>
        <w:ind w:firstLine="380" w:firstLineChars="192"/>
        <w:rPr>
          <w:rFonts w:ascii="Arial" w:hAnsi="Arial" w:cs="Arial"/>
          <w:color w:val="000000"/>
          <w:w w:val="90"/>
          <w:kern w:val="0"/>
          <w:sz w:val="22"/>
          <w:szCs w:val="22"/>
          <w:u w:val="single"/>
        </w:rPr>
      </w:pPr>
      <w:r>
        <w:rPr>
          <w:rFonts w:hint="eastAsia" w:ascii="Arial" w:hAnsi="新宋体" w:cs="Arial"/>
          <w:color w:val="000000"/>
          <w:w w:val="90"/>
          <w:kern w:val="0"/>
          <w:sz w:val="22"/>
          <w:szCs w:val="22"/>
        </w:rPr>
        <w:t>法定代表人</w:t>
      </w:r>
      <w:r>
        <w:rPr>
          <w:rFonts w:ascii="Arial" w:hAnsi="新宋体" w:cs="Arial"/>
          <w:color w:val="000000"/>
          <w:w w:val="90"/>
          <w:kern w:val="0"/>
          <w:sz w:val="22"/>
          <w:szCs w:val="22"/>
        </w:rPr>
        <w:t>或授权代表姓名：</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r>
        <w:rPr>
          <w:rFonts w:ascii="Arial" w:hAnsi="Arial" w:cs="Arial"/>
          <w:color w:val="000000"/>
          <w:w w:val="90"/>
          <w:kern w:val="0"/>
          <w:sz w:val="22"/>
          <w:szCs w:val="22"/>
        </w:rPr>
        <w:t xml:space="preserve"> </w:t>
      </w:r>
      <w:r>
        <w:rPr>
          <w:rFonts w:ascii="Arial" w:hAnsi="新宋体" w:cs="Arial"/>
          <w:color w:val="000000"/>
          <w:w w:val="90"/>
          <w:kern w:val="0"/>
          <w:sz w:val="22"/>
          <w:szCs w:val="22"/>
        </w:rPr>
        <w:t>职务：</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p>
    <w:p w14:paraId="66B311FF">
      <w:pPr>
        <w:ind w:firstLine="380" w:firstLineChars="192"/>
        <w:rPr>
          <w:rFonts w:ascii="Arial" w:hAnsi="Arial" w:cs="Arial"/>
          <w:color w:val="000000"/>
          <w:w w:val="90"/>
          <w:kern w:val="0"/>
          <w:sz w:val="22"/>
          <w:szCs w:val="22"/>
          <w:u w:val="single"/>
        </w:rPr>
      </w:pPr>
      <w:r>
        <w:rPr>
          <w:rFonts w:hint="eastAsia" w:ascii="Arial" w:hAnsi="新宋体" w:cs="Arial"/>
          <w:color w:val="000000"/>
          <w:w w:val="90"/>
          <w:kern w:val="0"/>
          <w:sz w:val="22"/>
          <w:szCs w:val="22"/>
        </w:rPr>
        <w:t>法定代表人</w:t>
      </w:r>
      <w:r>
        <w:rPr>
          <w:rFonts w:ascii="Arial" w:hAnsi="新宋体" w:cs="Arial"/>
          <w:color w:val="000000"/>
          <w:w w:val="90"/>
          <w:kern w:val="0"/>
          <w:sz w:val="22"/>
          <w:szCs w:val="22"/>
        </w:rPr>
        <w:t>或授权代表签字（或盖章）：</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rPr>
        <w:t xml:space="preserve"> </w:t>
      </w:r>
      <w:r>
        <w:rPr>
          <w:rFonts w:hint="eastAsia" w:ascii="Arial" w:hAnsi="新宋体" w:cs="Arial"/>
          <w:color w:val="000000"/>
          <w:w w:val="90"/>
          <w:kern w:val="0"/>
          <w:sz w:val="22"/>
          <w:szCs w:val="22"/>
        </w:rPr>
        <w:t>法定代表人</w:t>
      </w:r>
      <w:r>
        <w:rPr>
          <w:rFonts w:ascii="Arial" w:hAnsi="新宋体" w:cs="Arial"/>
          <w:color w:val="000000"/>
          <w:w w:val="90"/>
          <w:kern w:val="0"/>
          <w:sz w:val="22"/>
          <w:szCs w:val="22"/>
        </w:rPr>
        <w:t>或授权代表手机号码：</w:t>
      </w:r>
      <w:r>
        <w:rPr>
          <w:rFonts w:ascii="Arial" w:hAnsi="Arial" w:cs="Arial"/>
          <w:color w:val="000000"/>
          <w:w w:val="90"/>
          <w:kern w:val="0"/>
          <w:sz w:val="22"/>
          <w:szCs w:val="22"/>
          <w:u w:val="single"/>
        </w:rPr>
        <w:t xml:space="preserve">          </w:t>
      </w:r>
    </w:p>
    <w:p w14:paraId="781CF9F6">
      <w:pPr>
        <w:ind w:firstLine="380" w:firstLineChars="192"/>
        <w:rPr>
          <w:rFonts w:ascii="Arial" w:hAnsi="Arial" w:cs="Arial"/>
          <w:color w:val="000000"/>
          <w:w w:val="90"/>
          <w:kern w:val="0"/>
          <w:sz w:val="22"/>
          <w:szCs w:val="22"/>
          <w:u w:val="single"/>
        </w:rPr>
      </w:pPr>
      <w:r>
        <w:rPr>
          <w:rFonts w:ascii="Arial" w:hAnsi="新宋体" w:cs="Arial"/>
          <w:color w:val="000000"/>
          <w:w w:val="90"/>
          <w:kern w:val="0"/>
          <w:sz w:val="22"/>
          <w:szCs w:val="22"/>
        </w:rPr>
        <w:t>单位地址：</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r>
        <w:rPr>
          <w:rFonts w:ascii="Arial" w:hAnsi="Arial" w:cs="Arial"/>
          <w:color w:val="000000"/>
          <w:w w:val="90"/>
          <w:kern w:val="0"/>
          <w:sz w:val="22"/>
          <w:szCs w:val="22"/>
        </w:rPr>
        <w:t xml:space="preserve"> </w:t>
      </w:r>
      <w:r>
        <w:rPr>
          <w:rFonts w:ascii="Arial" w:hAnsi="新宋体" w:cs="Arial"/>
          <w:color w:val="000000"/>
          <w:w w:val="90"/>
          <w:kern w:val="0"/>
          <w:sz w:val="22"/>
          <w:szCs w:val="22"/>
        </w:rPr>
        <w:t>邮编：</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p>
    <w:p w14:paraId="1A9EB61B">
      <w:pPr>
        <w:ind w:firstLine="380" w:firstLineChars="192"/>
        <w:rPr>
          <w:rFonts w:ascii="Arial" w:hAnsi="Arial" w:cs="Arial"/>
          <w:color w:val="000000"/>
          <w:w w:val="90"/>
          <w:kern w:val="0"/>
          <w:sz w:val="22"/>
          <w:szCs w:val="22"/>
          <w:u w:val="single"/>
        </w:rPr>
      </w:pPr>
      <w:r>
        <w:rPr>
          <w:rFonts w:ascii="Arial" w:hAnsi="新宋体" w:cs="Arial"/>
          <w:color w:val="000000"/>
          <w:w w:val="90"/>
          <w:kern w:val="0"/>
          <w:sz w:val="22"/>
          <w:szCs w:val="22"/>
        </w:rPr>
        <w:t>单位电话：</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r>
        <w:rPr>
          <w:rFonts w:ascii="Arial" w:hAnsi="Arial" w:cs="Arial"/>
          <w:color w:val="000000"/>
          <w:w w:val="90"/>
          <w:kern w:val="0"/>
          <w:sz w:val="22"/>
          <w:szCs w:val="22"/>
        </w:rPr>
        <w:t xml:space="preserve"> </w:t>
      </w:r>
      <w:r>
        <w:rPr>
          <w:rFonts w:ascii="Arial" w:hAnsi="新宋体" w:cs="Arial"/>
          <w:color w:val="000000"/>
          <w:w w:val="90"/>
          <w:kern w:val="0"/>
          <w:sz w:val="22"/>
          <w:szCs w:val="22"/>
        </w:rPr>
        <w:t>单位传真：</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r>
        <w:rPr>
          <w:rFonts w:hint="eastAsia" w:ascii="Arial" w:hAnsi="Arial" w:cs="Arial"/>
          <w:color w:val="000000"/>
          <w:w w:val="90"/>
          <w:kern w:val="0"/>
          <w:sz w:val="22"/>
          <w:szCs w:val="22"/>
          <w:u w:val="single"/>
        </w:rPr>
        <w:t xml:space="preserve">  </w:t>
      </w:r>
      <w:r>
        <w:rPr>
          <w:rFonts w:ascii="Arial" w:hAnsi="Arial" w:cs="Arial"/>
          <w:color w:val="000000"/>
          <w:w w:val="90"/>
          <w:kern w:val="0"/>
          <w:sz w:val="22"/>
          <w:szCs w:val="22"/>
          <w:u w:val="single"/>
        </w:rPr>
        <w:t xml:space="preserve"> </w:t>
      </w:r>
    </w:p>
    <w:p w14:paraId="11C7E6FE">
      <w:pPr>
        <w:ind w:firstLine="283" w:firstLineChars="143"/>
        <w:jc w:val="left"/>
        <w:rPr>
          <w:rFonts w:ascii="Arial" w:hAnsi="Arial" w:cs="Arial"/>
          <w:color w:val="000000"/>
          <w:w w:val="90"/>
          <w:kern w:val="0"/>
          <w:sz w:val="22"/>
          <w:szCs w:val="22"/>
        </w:rPr>
      </w:pPr>
      <w:r>
        <w:rPr>
          <w:rFonts w:hint="eastAsia" w:ascii="Arial" w:hAnsi="新宋体" w:cs="Arial"/>
          <w:color w:val="000000"/>
          <w:w w:val="90"/>
          <w:kern w:val="0"/>
          <w:sz w:val="22"/>
          <w:szCs w:val="22"/>
        </w:rPr>
        <w:t xml:space="preserve"> </w:t>
      </w:r>
      <w:r>
        <w:rPr>
          <w:rFonts w:ascii="Arial" w:hAnsi="新宋体" w:cs="Arial"/>
          <w:color w:val="000000"/>
          <w:w w:val="90"/>
          <w:kern w:val="0"/>
          <w:sz w:val="22"/>
          <w:szCs w:val="22"/>
        </w:rPr>
        <w:t>日</w:t>
      </w:r>
      <w:r>
        <w:rPr>
          <w:rFonts w:hint="eastAsia" w:ascii="Arial" w:hAnsi="新宋体" w:cs="Arial"/>
          <w:color w:val="000000"/>
          <w:w w:val="90"/>
          <w:kern w:val="0"/>
          <w:sz w:val="22"/>
          <w:szCs w:val="22"/>
        </w:rPr>
        <w:t xml:space="preserve">    </w:t>
      </w:r>
      <w:r>
        <w:rPr>
          <w:rFonts w:ascii="Arial" w:hAnsi="新宋体" w:cs="Arial"/>
          <w:color w:val="000000"/>
          <w:w w:val="90"/>
          <w:kern w:val="0"/>
          <w:sz w:val="22"/>
          <w:szCs w:val="22"/>
        </w:rPr>
        <w:t>期：</w:t>
      </w:r>
      <w:r>
        <w:rPr>
          <w:rFonts w:ascii="Arial" w:hAnsi="Arial" w:cs="Arial"/>
          <w:color w:val="000000"/>
          <w:w w:val="90"/>
          <w:kern w:val="0"/>
          <w:sz w:val="22"/>
          <w:szCs w:val="22"/>
        </w:rPr>
        <w:t xml:space="preserve">      </w:t>
      </w:r>
      <w:r>
        <w:rPr>
          <w:rFonts w:ascii="Arial" w:hAnsi="新宋体" w:cs="Arial"/>
          <w:color w:val="000000"/>
          <w:w w:val="90"/>
          <w:kern w:val="0"/>
          <w:sz w:val="22"/>
          <w:szCs w:val="22"/>
        </w:rPr>
        <w:t>年</w:t>
      </w:r>
      <w:r>
        <w:rPr>
          <w:rFonts w:ascii="Arial" w:hAnsi="Arial" w:cs="Arial"/>
          <w:color w:val="000000"/>
          <w:w w:val="90"/>
          <w:kern w:val="0"/>
          <w:sz w:val="22"/>
          <w:szCs w:val="22"/>
        </w:rPr>
        <w:t xml:space="preserve">    </w:t>
      </w:r>
      <w:r>
        <w:rPr>
          <w:rFonts w:ascii="Arial" w:hAnsi="新宋体" w:cs="Arial"/>
          <w:color w:val="000000"/>
          <w:w w:val="90"/>
          <w:kern w:val="0"/>
          <w:sz w:val="22"/>
          <w:szCs w:val="22"/>
        </w:rPr>
        <w:t>月</w:t>
      </w:r>
      <w:r>
        <w:rPr>
          <w:rFonts w:ascii="Arial" w:hAnsi="Arial" w:cs="Arial"/>
          <w:color w:val="000000"/>
          <w:w w:val="90"/>
          <w:kern w:val="0"/>
          <w:sz w:val="22"/>
          <w:szCs w:val="22"/>
        </w:rPr>
        <w:t xml:space="preserve">    </w:t>
      </w:r>
      <w:r>
        <w:rPr>
          <w:rFonts w:ascii="Arial" w:hAnsi="新宋体" w:cs="Arial"/>
          <w:color w:val="000000"/>
          <w:w w:val="90"/>
          <w:kern w:val="0"/>
          <w:sz w:val="22"/>
          <w:szCs w:val="22"/>
        </w:rPr>
        <w:t>日</w:t>
      </w:r>
    </w:p>
    <w:p w14:paraId="5E54F3DA">
      <w:pPr>
        <w:pStyle w:val="6"/>
      </w:pPr>
      <w:r>
        <w:br w:type="page"/>
      </w:r>
      <w:bookmarkStart w:id="135" w:name="_Toc452032131"/>
      <w:bookmarkStart w:id="136" w:name="_Toc27668"/>
      <w:bookmarkStart w:id="137" w:name="_Toc2512"/>
      <w:bookmarkStart w:id="138" w:name="_Toc28206"/>
      <w:r>
        <w:rPr>
          <w:rFonts w:hint="eastAsia"/>
        </w:rPr>
        <w:t>格式4、法定代表人（或负责人）授权委托书</w:t>
      </w:r>
      <w:bookmarkEnd w:id="135"/>
      <w:bookmarkEnd w:id="136"/>
      <w:bookmarkEnd w:id="137"/>
      <w:bookmarkEnd w:id="138"/>
    </w:p>
    <w:p w14:paraId="3F19C4CB">
      <w:pPr>
        <w:jc w:val="center"/>
        <w:rPr>
          <w:rFonts w:ascii="华文中宋" w:hAnsi="华文中宋" w:eastAsia="华文中宋"/>
          <w:b/>
          <w:color w:val="000000"/>
          <w:sz w:val="44"/>
          <w:szCs w:val="44"/>
        </w:rPr>
      </w:pPr>
      <w:r>
        <w:rPr>
          <w:rFonts w:ascii="华文中宋" w:hAnsi="华文中宋" w:eastAsia="华文中宋"/>
          <w:b/>
          <w:color w:val="000000"/>
          <w:sz w:val="44"/>
          <w:szCs w:val="44"/>
        </w:rPr>
        <w:t>法定代表人</w:t>
      </w:r>
      <w:r>
        <w:rPr>
          <w:rFonts w:hint="eastAsia" w:ascii="华文中宋" w:hAnsi="华文中宋" w:eastAsia="华文中宋"/>
          <w:b/>
          <w:color w:val="000000"/>
          <w:sz w:val="44"/>
          <w:szCs w:val="44"/>
        </w:rPr>
        <w:t>（或负责人）</w:t>
      </w:r>
      <w:r>
        <w:rPr>
          <w:rFonts w:ascii="华文中宋" w:hAnsi="华文中宋" w:eastAsia="华文中宋"/>
          <w:b/>
          <w:color w:val="000000"/>
          <w:sz w:val="44"/>
          <w:szCs w:val="44"/>
        </w:rPr>
        <w:t>授权委托书</w:t>
      </w:r>
    </w:p>
    <w:p w14:paraId="6E7C3401">
      <w:pPr>
        <w:rPr>
          <w:rFonts w:ascii="Arial" w:hAnsi="Arial" w:cs="Arial"/>
          <w:b/>
          <w:color w:val="000000"/>
          <w:kern w:val="0"/>
          <w:sz w:val="22"/>
          <w:szCs w:val="22"/>
          <w:u w:val="single"/>
        </w:rPr>
      </w:pPr>
      <w:r>
        <w:rPr>
          <w:rFonts w:hint="eastAsia" w:ascii="Arial" w:hAnsi="新宋体" w:cs="Arial"/>
          <w:b/>
          <w:color w:val="000000"/>
          <w:w w:val="90"/>
          <w:kern w:val="0"/>
          <w:sz w:val="22"/>
          <w:szCs w:val="22"/>
          <w:u w:val="single"/>
        </w:rPr>
        <w:t>苍南县人民法院、</w:t>
      </w:r>
      <w:r>
        <w:rPr>
          <w:rFonts w:hint="eastAsia" w:ascii="Arial" w:hAnsi="新宋体" w:cs="Arial"/>
          <w:b/>
          <w:color w:val="000000"/>
          <w:kern w:val="0"/>
          <w:sz w:val="22"/>
          <w:szCs w:val="22"/>
          <w:u w:val="single"/>
        </w:rPr>
        <w:t>杭州华旗招标代理有限公司</w:t>
      </w:r>
      <w:r>
        <w:rPr>
          <w:rFonts w:ascii="Arial" w:hAnsi="新宋体" w:cs="Arial"/>
          <w:b/>
          <w:color w:val="000000"/>
          <w:kern w:val="0"/>
          <w:sz w:val="22"/>
          <w:szCs w:val="22"/>
        </w:rPr>
        <w:t>：</w:t>
      </w:r>
    </w:p>
    <w:p w14:paraId="1AAC1074">
      <w:pPr>
        <w:rPr>
          <w:rFonts w:ascii="Arial" w:hAnsi="Arial" w:cs="Arial"/>
          <w:color w:val="000000"/>
          <w:kern w:val="0"/>
          <w:sz w:val="22"/>
          <w:szCs w:val="22"/>
        </w:rPr>
      </w:pPr>
    </w:p>
    <w:p w14:paraId="521E2874">
      <w:pPr>
        <w:ind w:firstLine="440" w:firstLineChars="200"/>
        <w:rPr>
          <w:rFonts w:ascii="Arial" w:hAnsi="Arial" w:cs="Arial"/>
          <w:color w:val="000000"/>
          <w:kern w:val="0"/>
          <w:sz w:val="22"/>
          <w:szCs w:val="22"/>
        </w:rPr>
      </w:pPr>
      <w:r>
        <w:rPr>
          <w:rFonts w:ascii="Arial" w:hAnsi="新宋体" w:cs="Arial"/>
          <w:color w:val="000000"/>
          <w:kern w:val="0"/>
          <w:sz w:val="22"/>
          <w:szCs w:val="22"/>
        </w:rPr>
        <w:t>我</w:t>
      </w:r>
      <w:r>
        <w:rPr>
          <w:rFonts w:ascii="Arial" w:hAnsi="Arial" w:cs="Arial"/>
          <w:color w:val="000000"/>
          <w:kern w:val="0"/>
          <w:sz w:val="22"/>
          <w:szCs w:val="22"/>
          <w:u w:val="single"/>
        </w:rPr>
        <w:t xml:space="preserve">     </w:t>
      </w:r>
      <w:r>
        <w:rPr>
          <w:rFonts w:ascii="Arial" w:hAnsi="新宋体" w:cs="Arial"/>
          <w:color w:val="000000"/>
          <w:kern w:val="0"/>
          <w:sz w:val="22"/>
          <w:szCs w:val="22"/>
          <w:u w:val="single"/>
        </w:rPr>
        <w:t>（姓名）</w:t>
      </w:r>
      <w:r>
        <w:rPr>
          <w:rFonts w:ascii="Arial" w:hAnsi="Arial" w:cs="Arial"/>
          <w:color w:val="000000"/>
          <w:kern w:val="0"/>
          <w:sz w:val="22"/>
          <w:szCs w:val="22"/>
          <w:u w:val="single"/>
        </w:rPr>
        <w:t xml:space="preserve">    </w:t>
      </w:r>
      <w:r>
        <w:rPr>
          <w:rFonts w:ascii="Arial" w:hAnsi="新宋体" w:cs="Arial"/>
          <w:color w:val="000000"/>
          <w:kern w:val="0"/>
          <w:sz w:val="22"/>
          <w:szCs w:val="22"/>
        </w:rPr>
        <w:t>系</w:t>
      </w:r>
      <w:r>
        <w:rPr>
          <w:rFonts w:ascii="Arial" w:hAnsi="Arial" w:cs="Arial"/>
          <w:color w:val="000000"/>
          <w:kern w:val="0"/>
          <w:sz w:val="22"/>
          <w:szCs w:val="22"/>
          <w:u w:val="single"/>
        </w:rPr>
        <w:t xml:space="preserve">   </w:t>
      </w:r>
      <w:r>
        <w:rPr>
          <w:rFonts w:ascii="Arial" w:hAnsi="新宋体" w:cs="Arial"/>
          <w:color w:val="000000"/>
          <w:kern w:val="0"/>
          <w:sz w:val="22"/>
          <w:szCs w:val="22"/>
          <w:u w:val="single"/>
        </w:rPr>
        <w:t>（投标银行名称）</w:t>
      </w:r>
      <w:r>
        <w:rPr>
          <w:rFonts w:ascii="Arial" w:hAnsi="Arial" w:cs="Arial"/>
          <w:color w:val="000000"/>
          <w:kern w:val="0"/>
          <w:sz w:val="22"/>
          <w:szCs w:val="22"/>
          <w:u w:val="single"/>
        </w:rPr>
        <w:t xml:space="preserve">       </w:t>
      </w:r>
      <w:r>
        <w:rPr>
          <w:rFonts w:ascii="Arial" w:hAnsi="新宋体" w:cs="Arial"/>
          <w:color w:val="000000"/>
          <w:kern w:val="0"/>
          <w:sz w:val="22"/>
          <w:szCs w:val="22"/>
        </w:rPr>
        <w:t>的法定代表人，现授权委托本单位在职职工</w:t>
      </w:r>
      <w:r>
        <w:rPr>
          <w:rFonts w:ascii="Arial" w:hAnsi="Arial" w:cs="Arial"/>
          <w:color w:val="000000"/>
          <w:kern w:val="0"/>
          <w:sz w:val="22"/>
          <w:szCs w:val="22"/>
          <w:u w:val="single"/>
        </w:rPr>
        <w:t xml:space="preserve">   </w:t>
      </w:r>
      <w:r>
        <w:rPr>
          <w:rFonts w:ascii="Arial" w:hAnsi="新宋体" w:cs="Arial"/>
          <w:color w:val="000000"/>
          <w:kern w:val="0"/>
          <w:sz w:val="22"/>
          <w:szCs w:val="22"/>
          <w:u w:val="single"/>
        </w:rPr>
        <w:t>（姓名）</w:t>
      </w:r>
      <w:r>
        <w:rPr>
          <w:rFonts w:ascii="Arial" w:hAnsi="Arial" w:cs="Arial"/>
          <w:color w:val="000000"/>
          <w:kern w:val="0"/>
          <w:sz w:val="22"/>
          <w:szCs w:val="22"/>
          <w:u w:val="single"/>
        </w:rPr>
        <w:t xml:space="preserve"> </w:t>
      </w:r>
      <w:r>
        <w:rPr>
          <w:rFonts w:hint="eastAsia" w:ascii="Arial" w:hAnsi="Arial" w:cs="Arial"/>
          <w:color w:val="000000"/>
          <w:kern w:val="0"/>
          <w:sz w:val="22"/>
          <w:szCs w:val="22"/>
          <w:u w:val="single"/>
        </w:rPr>
        <w:t xml:space="preserve"> </w:t>
      </w:r>
      <w:r>
        <w:rPr>
          <w:rFonts w:ascii="Arial" w:hAnsi="Arial" w:cs="Arial"/>
          <w:color w:val="000000"/>
          <w:kern w:val="0"/>
          <w:sz w:val="22"/>
          <w:szCs w:val="22"/>
          <w:u w:val="single"/>
        </w:rPr>
        <w:t xml:space="preserve">  </w:t>
      </w:r>
      <w:r>
        <w:rPr>
          <w:rFonts w:ascii="Arial" w:hAnsi="新宋体" w:cs="Arial"/>
          <w:color w:val="000000"/>
          <w:kern w:val="0"/>
          <w:sz w:val="22"/>
          <w:szCs w:val="22"/>
        </w:rPr>
        <w:t>以我方的名义参加</w:t>
      </w:r>
      <w:r>
        <w:rPr>
          <w:rFonts w:ascii="Arial" w:hAnsi="Arial" w:cs="Arial"/>
          <w:color w:val="000000"/>
          <w:kern w:val="0"/>
          <w:sz w:val="22"/>
          <w:szCs w:val="22"/>
        </w:rPr>
        <w:t xml:space="preserve"> </w:t>
      </w:r>
      <w:r>
        <w:rPr>
          <w:rFonts w:hint="eastAsia" w:ascii="Arial" w:hAnsi="新宋体" w:cs="Arial"/>
          <w:b/>
          <w:color w:val="000000"/>
          <w:kern w:val="0"/>
          <w:sz w:val="22"/>
          <w:szCs w:val="22"/>
          <w:u w:val="single"/>
          <w:lang w:eastAsia="zh-CN"/>
        </w:rPr>
        <w:t>苍南县人民法院2025年度公款竞争性存放项目</w:t>
      </w:r>
      <w:r>
        <w:rPr>
          <w:rFonts w:ascii="Arial" w:hAnsi="新宋体" w:cs="Arial"/>
          <w:b/>
          <w:color w:val="000000"/>
          <w:kern w:val="0"/>
          <w:sz w:val="22"/>
          <w:szCs w:val="22"/>
          <w:u w:val="single"/>
        </w:rPr>
        <w:t>（项目编号：</w:t>
      </w:r>
      <w:r>
        <w:rPr>
          <w:rFonts w:hint="eastAsia" w:ascii="Arial" w:hAnsi="新宋体" w:cs="Arial"/>
          <w:b/>
          <w:color w:val="000000"/>
          <w:kern w:val="0"/>
          <w:sz w:val="22"/>
          <w:szCs w:val="22"/>
          <w:u w:val="single"/>
          <w:lang w:eastAsia="zh-CN"/>
        </w:rPr>
        <w:t>苍产告字[2025]1号</w:t>
      </w:r>
      <w:r>
        <w:rPr>
          <w:rFonts w:ascii="Arial" w:hAnsi="新宋体" w:cs="Arial"/>
          <w:b/>
          <w:color w:val="000000"/>
          <w:kern w:val="0"/>
          <w:sz w:val="22"/>
          <w:szCs w:val="22"/>
          <w:u w:val="single"/>
        </w:rPr>
        <w:t>）</w:t>
      </w:r>
      <w:r>
        <w:rPr>
          <w:rFonts w:ascii="Arial" w:hAnsi="新宋体" w:cs="Arial"/>
          <w:color w:val="000000"/>
          <w:kern w:val="0"/>
          <w:sz w:val="22"/>
          <w:szCs w:val="22"/>
        </w:rPr>
        <w:t>的投标活动，并代表我方全权办理针对上述项目的投标、开标、评标、签约等具体事务和签署相关文件。</w:t>
      </w:r>
    </w:p>
    <w:p w14:paraId="79213645">
      <w:pPr>
        <w:ind w:firstLine="440" w:firstLineChars="200"/>
        <w:rPr>
          <w:rFonts w:ascii="Arial" w:hAnsi="Arial" w:cs="Arial"/>
          <w:color w:val="000000"/>
          <w:kern w:val="0"/>
          <w:sz w:val="22"/>
          <w:szCs w:val="22"/>
        </w:rPr>
      </w:pPr>
      <w:r>
        <w:rPr>
          <w:rFonts w:ascii="Arial" w:hAnsi="新宋体" w:cs="Arial"/>
          <w:color w:val="000000"/>
          <w:kern w:val="0"/>
          <w:sz w:val="22"/>
          <w:szCs w:val="22"/>
        </w:rPr>
        <w:t>我方对被授权人的签名负全部责任。</w:t>
      </w:r>
    </w:p>
    <w:p w14:paraId="7FB2FBA9">
      <w:pPr>
        <w:ind w:firstLine="440" w:firstLineChars="200"/>
        <w:rPr>
          <w:rFonts w:ascii="Arial" w:hAnsi="Arial" w:cs="Arial"/>
          <w:color w:val="000000"/>
          <w:kern w:val="0"/>
          <w:sz w:val="22"/>
          <w:szCs w:val="22"/>
        </w:rPr>
      </w:pPr>
      <w:r>
        <w:rPr>
          <w:rFonts w:ascii="Arial" w:hAnsi="新宋体" w:cs="Arial"/>
          <w:color w:val="000000"/>
          <w:kern w:val="0"/>
          <w:sz w:val="22"/>
          <w:szCs w:val="22"/>
        </w:rPr>
        <w:t>在撤销授权的书面通知以前，本授权书一直有效。被授权人在授权书有效期内签署的所有文件不因授权的撤销而失效。</w:t>
      </w:r>
    </w:p>
    <w:p w14:paraId="5760F629">
      <w:pPr>
        <w:ind w:firstLine="440" w:firstLineChars="200"/>
        <w:rPr>
          <w:rFonts w:ascii="Arial" w:hAnsi="Arial" w:cs="Arial"/>
          <w:color w:val="000000"/>
          <w:kern w:val="0"/>
          <w:sz w:val="22"/>
          <w:szCs w:val="22"/>
        </w:rPr>
      </w:pPr>
      <w:r>
        <w:rPr>
          <w:rFonts w:ascii="Arial" w:hAnsi="新宋体" w:cs="Arial"/>
          <w:color w:val="000000"/>
          <w:kern w:val="0"/>
          <w:sz w:val="22"/>
          <w:szCs w:val="22"/>
        </w:rPr>
        <w:t>被授权人无转委托权，特此委托。</w:t>
      </w:r>
    </w:p>
    <w:tbl>
      <w:tblPr>
        <w:tblStyle w:val="39"/>
        <w:tblW w:w="0" w:type="auto"/>
        <w:tblInd w:w="108"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37"/>
      </w:tblGrid>
      <w:tr w14:paraId="07BCCEC2">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2417" w:hRule="atLeast"/>
        </w:trPr>
        <w:tc>
          <w:tcPr>
            <w:tcW w:w="9037" w:type="dxa"/>
            <w:tcBorders>
              <w:top w:val="dotDash" w:color="BFBFBF" w:sz="4" w:space="0"/>
              <w:left w:val="dotDash" w:color="BFBFBF" w:sz="4" w:space="0"/>
              <w:bottom w:val="dotDash" w:color="BFBFBF" w:sz="4" w:space="0"/>
              <w:right w:val="dotDash" w:color="BFBFBF" w:sz="4" w:space="0"/>
            </w:tcBorders>
            <w:vAlign w:val="center"/>
          </w:tcPr>
          <w:p w14:paraId="4CD3A01A">
            <w:pPr>
              <w:jc w:val="center"/>
              <w:rPr>
                <w:rFonts w:ascii="Arial" w:hAnsi="Arial" w:cs="Arial"/>
                <w:i/>
                <w:color w:val="FF0000"/>
                <w:kern w:val="0"/>
                <w:sz w:val="28"/>
                <w:szCs w:val="22"/>
              </w:rPr>
            </w:pPr>
            <w:r>
              <w:rPr>
                <w:rFonts w:hint="eastAsia" w:ascii="Arial" w:hAnsi="Arial" w:cs="Arial"/>
                <w:i/>
                <w:color w:val="FF0000"/>
                <w:kern w:val="0"/>
                <w:sz w:val="28"/>
                <w:szCs w:val="22"/>
              </w:rPr>
              <w:t>法定代表人身份证扫描件或复印件（正反面均须提供）</w:t>
            </w:r>
          </w:p>
        </w:tc>
      </w:tr>
      <w:tr w14:paraId="44B99167">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2417" w:hRule="atLeast"/>
        </w:trPr>
        <w:tc>
          <w:tcPr>
            <w:tcW w:w="9037" w:type="dxa"/>
            <w:tcBorders>
              <w:top w:val="dotDash" w:color="BFBFBF" w:sz="4" w:space="0"/>
              <w:left w:val="dotDash" w:color="BFBFBF" w:sz="4" w:space="0"/>
              <w:bottom w:val="dotDash" w:color="BFBFBF" w:sz="4" w:space="0"/>
              <w:right w:val="dotDash" w:color="BFBFBF" w:sz="4" w:space="0"/>
            </w:tcBorders>
            <w:vAlign w:val="center"/>
          </w:tcPr>
          <w:p w14:paraId="56061202">
            <w:pPr>
              <w:jc w:val="center"/>
              <w:rPr>
                <w:rFonts w:ascii="Arial" w:hAnsi="Arial" w:cs="Arial"/>
                <w:i/>
                <w:color w:val="FF0000"/>
                <w:kern w:val="0"/>
                <w:sz w:val="28"/>
                <w:szCs w:val="22"/>
              </w:rPr>
            </w:pPr>
            <w:r>
              <w:rPr>
                <w:rFonts w:hint="eastAsia" w:ascii="Arial" w:hAnsi="Arial" w:cs="Arial"/>
                <w:i/>
                <w:color w:val="FF0000"/>
                <w:kern w:val="0"/>
                <w:sz w:val="28"/>
                <w:szCs w:val="22"/>
              </w:rPr>
              <w:t>被授权人（授权代表）身份证扫描件或复印件（正反面均须提供）</w:t>
            </w:r>
          </w:p>
        </w:tc>
      </w:tr>
    </w:tbl>
    <w:p w14:paraId="7480316E">
      <w:pPr>
        <w:rPr>
          <w:rFonts w:ascii="Arial" w:hAnsi="Arial" w:cs="Arial"/>
          <w:color w:val="000000"/>
          <w:kern w:val="0"/>
          <w:sz w:val="22"/>
          <w:szCs w:val="22"/>
          <w:u w:val="single"/>
        </w:rPr>
      </w:pPr>
      <w:r>
        <w:rPr>
          <w:rFonts w:ascii="Arial" w:hAnsi="新宋体" w:cs="Arial"/>
          <w:color w:val="000000"/>
          <w:kern w:val="0"/>
          <w:sz w:val="22"/>
          <w:szCs w:val="22"/>
        </w:rPr>
        <w:t>法定代表人签名（或盖章）：</w:t>
      </w:r>
      <w:r>
        <w:rPr>
          <w:rFonts w:ascii="Arial" w:hAnsi="Arial" w:cs="Arial"/>
          <w:color w:val="000000"/>
          <w:kern w:val="0"/>
          <w:sz w:val="22"/>
          <w:szCs w:val="22"/>
          <w:u w:val="single"/>
        </w:rPr>
        <w:t xml:space="preserve">                     </w:t>
      </w:r>
    </w:p>
    <w:p w14:paraId="15D34784">
      <w:pPr>
        <w:rPr>
          <w:rFonts w:ascii="Arial" w:hAnsi="Arial" w:cs="Arial"/>
          <w:color w:val="000000"/>
          <w:kern w:val="0"/>
          <w:sz w:val="22"/>
          <w:szCs w:val="22"/>
        </w:rPr>
      </w:pPr>
      <w:r>
        <w:rPr>
          <w:rFonts w:ascii="Arial" w:hAnsi="新宋体" w:cs="Arial"/>
          <w:color w:val="000000"/>
          <w:kern w:val="0"/>
          <w:sz w:val="22"/>
          <w:szCs w:val="22"/>
        </w:rPr>
        <w:t>职务：</w:t>
      </w:r>
      <w:r>
        <w:rPr>
          <w:rFonts w:ascii="Arial" w:hAnsi="Arial" w:cs="Arial"/>
          <w:color w:val="000000"/>
          <w:kern w:val="0"/>
          <w:sz w:val="22"/>
          <w:szCs w:val="22"/>
          <w:u w:val="single"/>
        </w:rPr>
        <w:t xml:space="preserve">                       </w:t>
      </w:r>
    </w:p>
    <w:p w14:paraId="1A817543">
      <w:pPr>
        <w:rPr>
          <w:rFonts w:ascii="Arial" w:hAnsi="Arial" w:cs="Arial"/>
          <w:color w:val="000000"/>
          <w:kern w:val="0"/>
          <w:sz w:val="22"/>
          <w:szCs w:val="22"/>
          <w:u w:val="single"/>
        </w:rPr>
      </w:pPr>
      <w:r>
        <w:rPr>
          <w:rFonts w:ascii="Arial" w:hAnsi="新宋体" w:cs="Arial"/>
          <w:color w:val="000000"/>
          <w:kern w:val="0"/>
          <w:sz w:val="22"/>
          <w:szCs w:val="22"/>
        </w:rPr>
        <w:t>被授权人身份证号码：</w:t>
      </w:r>
      <w:r>
        <w:rPr>
          <w:rFonts w:ascii="Arial" w:hAnsi="Arial" w:cs="Arial"/>
          <w:color w:val="000000"/>
          <w:kern w:val="0"/>
          <w:sz w:val="22"/>
          <w:szCs w:val="22"/>
          <w:u w:val="single"/>
        </w:rPr>
        <w:t xml:space="preserve">                             </w:t>
      </w:r>
    </w:p>
    <w:p w14:paraId="54A41199">
      <w:pPr>
        <w:rPr>
          <w:rFonts w:ascii="Arial" w:hAnsi="Arial" w:cs="Arial"/>
          <w:color w:val="000000"/>
          <w:kern w:val="0"/>
          <w:sz w:val="22"/>
          <w:szCs w:val="22"/>
        </w:rPr>
      </w:pPr>
      <w:r>
        <w:rPr>
          <w:rFonts w:ascii="Arial" w:hAnsi="新宋体" w:cs="Arial"/>
          <w:color w:val="000000"/>
          <w:kern w:val="0"/>
          <w:sz w:val="22"/>
          <w:szCs w:val="22"/>
        </w:rPr>
        <w:t>投标银行</w:t>
      </w:r>
      <w:r>
        <w:rPr>
          <w:rFonts w:hint="eastAsia" w:ascii="Arial" w:hAnsi="新宋体" w:cs="Arial"/>
          <w:color w:val="000000"/>
          <w:kern w:val="0"/>
          <w:sz w:val="22"/>
          <w:szCs w:val="22"/>
        </w:rPr>
        <w:t>（</w:t>
      </w:r>
      <w:r>
        <w:rPr>
          <w:rFonts w:ascii="Arial" w:hAnsi="新宋体" w:cs="Arial"/>
          <w:color w:val="000000"/>
          <w:kern w:val="0"/>
          <w:sz w:val="22"/>
          <w:szCs w:val="22"/>
        </w:rPr>
        <w:t>公章</w:t>
      </w:r>
      <w:r>
        <w:rPr>
          <w:rFonts w:hint="eastAsia" w:ascii="Arial" w:hAnsi="新宋体" w:cs="Arial"/>
          <w:color w:val="000000"/>
          <w:kern w:val="0"/>
          <w:sz w:val="22"/>
          <w:szCs w:val="22"/>
        </w:rPr>
        <w:t>）</w:t>
      </w:r>
      <w:r>
        <w:rPr>
          <w:rFonts w:ascii="Arial" w:hAnsi="新宋体" w:cs="Arial"/>
          <w:color w:val="000000"/>
          <w:kern w:val="0"/>
          <w:sz w:val="22"/>
          <w:szCs w:val="22"/>
        </w:rPr>
        <w:t>：</w:t>
      </w:r>
      <w:r>
        <w:rPr>
          <w:rFonts w:ascii="Arial" w:hAnsi="Arial" w:cs="Arial"/>
          <w:color w:val="000000"/>
          <w:kern w:val="0"/>
          <w:sz w:val="22"/>
          <w:szCs w:val="22"/>
          <w:u w:val="single"/>
        </w:rPr>
        <w:t xml:space="preserve">                                     </w:t>
      </w:r>
    </w:p>
    <w:p w14:paraId="188E6FC2">
      <w:pPr>
        <w:rPr>
          <w:rFonts w:ascii="Arial" w:hAnsi="新宋体" w:cs="Arial"/>
          <w:color w:val="000000"/>
          <w:kern w:val="0"/>
          <w:sz w:val="22"/>
          <w:szCs w:val="22"/>
        </w:rPr>
      </w:pPr>
      <w:r>
        <w:rPr>
          <w:rFonts w:ascii="Arial" w:hAnsi="新宋体" w:cs="Arial"/>
          <w:color w:val="000000"/>
          <w:kern w:val="0"/>
          <w:sz w:val="22"/>
          <w:szCs w:val="22"/>
        </w:rPr>
        <w:t>时</w:t>
      </w:r>
      <w:r>
        <w:rPr>
          <w:rFonts w:ascii="Arial" w:hAnsi="Arial" w:cs="Arial"/>
          <w:color w:val="000000"/>
          <w:kern w:val="0"/>
          <w:sz w:val="22"/>
          <w:szCs w:val="22"/>
        </w:rPr>
        <w:t xml:space="preserve">      </w:t>
      </w:r>
      <w:r>
        <w:rPr>
          <w:rFonts w:ascii="Arial" w:hAnsi="新宋体" w:cs="Arial"/>
          <w:color w:val="000000"/>
          <w:kern w:val="0"/>
          <w:sz w:val="22"/>
          <w:szCs w:val="22"/>
        </w:rPr>
        <w:t>间：</w:t>
      </w:r>
      <w:r>
        <w:rPr>
          <w:rFonts w:ascii="Arial" w:hAnsi="Arial" w:cs="Arial"/>
          <w:color w:val="000000"/>
          <w:kern w:val="0"/>
          <w:sz w:val="22"/>
          <w:szCs w:val="22"/>
          <w:u w:val="single"/>
        </w:rPr>
        <w:t xml:space="preserve">        </w:t>
      </w:r>
      <w:r>
        <w:rPr>
          <w:rFonts w:ascii="Arial" w:hAnsi="新宋体" w:cs="Arial"/>
          <w:color w:val="000000"/>
          <w:kern w:val="0"/>
          <w:sz w:val="22"/>
          <w:szCs w:val="22"/>
        </w:rPr>
        <w:t>年</w:t>
      </w:r>
      <w:r>
        <w:rPr>
          <w:rFonts w:ascii="Arial" w:hAnsi="Arial" w:cs="Arial"/>
          <w:color w:val="000000"/>
          <w:kern w:val="0"/>
          <w:sz w:val="22"/>
          <w:szCs w:val="22"/>
          <w:u w:val="single"/>
        </w:rPr>
        <w:t xml:space="preserve">     </w:t>
      </w:r>
      <w:r>
        <w:rPr>
          <w:rFonts w:ascii="Arial" w:hAnsi="新宋体" w:cs="Arial"/>
          <w:color w:val="000000"/>
          <w:kern w:val="0"/>
          <w:sz w:val="22"/>
          <w:szCs w:val="22"/>
        </w:rPr>
        <w:t>月</w:t>
      </w:r>
      <w:r>
        <w:rPr>
          <w:rFonts w:ascii="Arial" w:hAnsi="Arial" w:cs="Arial"/>
          <w:color w:val="000000"/>
          <w:kern w:val="0"/>
          <w:sz w:val="22"/>
          <w:szCs w:val="22"/>
          <w:u w:val="single"/>
        </w:rPr>
        <w:t xml:space="preserve">     </w:t>
      </w:r>
      <w:r>
        <w:rPr>
          <w:rFonts w:ascii="Arial" w:hAnsi="新宋体" w:cs="Arial"/>
          <w:color w:val="000000"/>
          <w:kern w:val="0"/>
          <w:sz w:val="22"/>
          <w:szCs w:val="22"/>
        </w:rPr>
        <w:t>日</w:t>
      </w:r>
    </w:p>
    <w:p w14:paraId="2860C634">
      <w:pPr>
        <w:pStyle w:val="6"/>
      </w:pPr>
      <w:r>
        <w:rPr>
          <w:rFonts w:ascii="Arial" w:hAnsi="新宋体" w:cs="Arial"/>
          <w:color w:val="000000"/>
          <w:sz w:val="22"/>
          <w:szCs w:val="22"/>
        </w:rPr>
        <w:br w:type="page"/>
      </w:r>
      <w:bookmarkStart w:id="139" w:name="_Toc17820"/>
      <w:bookmarkStart w:id="140" w:name="_Toc30164"/>
      <w:bookmarkStart w:id="141" w:name="_Toc18640"/>
      <w:bookmarkStart w:id="142" w:name="_Toc452032133"/>
      <w:r>
        <w:rPr>
          <w:rFonts w:hint="eastAsia"/>
        </w:rPr>
        <w:t>格式5、投标一览表</w:t>
      </w:r>
      <w:bookmarkEnd w:id="139"/>
      <w:bookmarkEnd w:id="140"/>
      <w:bookmarkEnd w:id="141"/>
      <w:bookmarkEnd w:id="142"/>
    </w:p>
    <w:p w14:paraId="5804CAE0">
      <w:pPr>
        <w:jc w:val="center"/>
        <w:rPr>
          <w:rFonts w:ascii="华文中宋" w:hAnsi="华文中宋" w:eastAsia="华文中宋"/>
          <w:b/>
          <w:color w:val="000000"/>
          <w:kern w:val="0"/>
          <w:sz w:val="44"/>
          <w:szCs w:val="22"/>
        </w:rPr>
      </w:pPr>
      <w:r>
        <w:rPr>
          <w:rFonts w:hint="eastAsia" w:ascii="华文中宋" w:hAnsi="华文中宋" w:eastAsia="华文中宋"/>
          <w:b/>
          <w:color w:val="000000"/>
          <w:kern w:val="0"/>
          <w:sz w:val="44"/>
          <w:szCs w:val="22"/>
        </w:rPr>
        <w:t>投标一览表</w:t>
      </w:r>
    </w:p>
    <w:p w14:paraId="5E4BCD40">
      <w:pPr>
        <w:rPr>
          <w:rFonts w:hint="eastAsia" w:ascii="Arial" w:hAnsi="Arial" w:eastAsia="仿宋" w:cs="Arial"/>
          <w:b/>
          <w:color w:val="000000"/>
          <w:sz w:val="22"/>
          <w:szCs w:val="22"/>
          <w:lang w:eastAsia="zh-CN"/>
        </w:rPr>
      </w:pPr>
      <w:r>
        <w:rPr>
          <w:rFonts w:hint="eastAsia" w:ascii="Arial" w:hAnsi="新宋体" w:cs="Arial"/>
          <w:b/>
          <w:color w:val="000000"/>
          <w:sz w:val="22"/>
          <w:szCs w:val="22"/>
        </w:rPr>
        <w:t>项目</w:t>
      </w:r>
      <w:r>
        <w:rPr>
          <w:rFonts w:ascii="Arial" w:hAnsi="新宋体" w:cs="Arial"/>
          <w:b/>
          <w:color w:val="000000"/>
          <w:sz w:val="22"/>
          <w:szCs w:val="22"/>
        </w:rPr>
        <w:t>名称：</w:t>
      </w:r>
      <w:r>
        <w:rPr>
          <w:rFonts w:hint="eastAsia" w:ascii="Arial" w:hAnsi="Arial" w:cs="Arial"/>
          <w:b/>
          <w:color w:val="000000"/>
          <w:sz w:val="22"/>
          <w:szCs w:val="22"/>
          <w:u w:val="single"/>
          <w:lang w:eastAsia="zh-CN"/>
        </w:rPr>
        <w:t>苍南县人民法院2025年度公款竞争性存放项目</w:t>
      </w:r>
    </w:p>
    <w:p w14:paraId="6451C0DC">
      <w:pPr>
        <w:rPr>
          <w:rFonts w:hint="eastAsia" w:ascii="新宋体" w:hAnsi="新宋体" w:eastAsia="仿宋" w:cs="Arial"/>
          <w:b/>
          <w:color w:val="000000"/>
          <w:sz w:val="22"/>
          <w:szCs w:val="22"/>
          <w:u w:val="single"/>
          <w:lang w:eastAsia="zh-CN"/>
        </w:rPr>
      </w:pPr>
      <w:r>
        <w:rPr>
          <w:rFonts w:ascii="Arial" w:hAnsi="新宋体" w:cs="Arial"/>
          <w:b/>
          <w:color w:val="000000"/>
          <w:sz w:val="22"/>
          <w:szCs w:val="22"/>
        </w:rPr>
        <w:t>项目编号：</w:t>
      </w:r>
      <w:r>
        <w:rPr>
          <w:rFonts w:hint="eastAsia" w:ascii="华文中宋" w:hAnsi="华文中宋" w:eastAsia="华文中宋" w:cs="Arial"/>
          <w:b/>
          <w:color w:val="000000"/>
          <w:kern w:val="0"/>
          <w:sz w:val="22"/>
          <w:szCs w:val="22"/>
          <w:u w:val="single"/>
          <w:lang w:eastAsia="zh-CN"/>
        </w:rPr>
        <w:t>苍产告字[2025]1号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7230"/>
      </w:tblGrid>
      <w:tr w14:paraId="1378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20" w:type="dxa"/>
            <w:vAlign w:val="center"/>
          </w:tcPr>
          <w:p w14:paraId="67D8F199">
            <w:pPr>
              <w:jc w:val="center"/>
              <w:rPr>
                <w:rFonts w:ascii="Arial" w:hAnsi="Arial" w:cs="Arial"/>
                <w:b/>
                <w:color w:val="000000"/>
                <w:sz w:val="22"/>
                <w:szCs w:val="22"/>
              </w:rPr>
            </w:pPr>
            <w:r>
              <w:rPr>
                <w:rFonts w:ascii="Arial" w:hAnsi="新宋体" w:cs="Arial"/>
                <w:b/>
                <w:color w:val="000000"/>
                <w:sz w:val="22"/>
                <w:szCs w:val="22"/>
              </w:rPr>
              <w:t>项目名称</w:t>
            </w:r>
          </w:p>
        </w:tc>
        <w:tc>
          <w:tcPr>
            <w:tcW w:w="7230" w:type="dxa"/>
            <w:vAlign w:val="center"/>
          </w:tcPr>
          <w:p w14:paraId="7CA21E61">
            <w:pPr>
              <w:jc w:val="left"/>
              <w:rPr>
                <w:rFonts w:hint="eastAsia" w:ascii="Arial" w:hAnsi="Arial" w:eastAsia="仿宋" w:cs="Arial"/>
                <w:color w:val="000000"/>
                <w:sz w:val="22"/>
                <w:szCs w:val="22"/>
                <w:lang w:eastAsia="zh-CN"/>
              </w:rPr>
            </w:pPr>
            <w:r>
              <w:rPr>
                <w:rFonts w:hint="eastAsia" w:ascii="Arial" w:hAnsi="新宋体" w:cs="Arial"/>
                <w:color w:val="000000"/>
                <w:sz w:val="22"/>
                <w:szCs w:val="22"/>
                <w:lang w:eastAsia="zh-CN"/>
              </w:rPr>
              <w:t>苍南县人民法院2025年度公款竞争性存放项目</w:t>
            </w:r>
          </w:p>
        </w:tc>
      </w:tr>
      <w:tr w14:paraId="5E25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720" w:type="dxa"/>
            <w:vAlign w:val="center"/>
          </w:tcPr>
          <w:p w14:paraId="238E3B07">
            <w:pPr>
              <w:jc w:val="center"/>
              <w:rPr>
                <w:rFonts w:ascii="Arial" w:hAnsi="新宋体" w:cs="Arial"/>
                <w:b/>
                <w:color w:val="000000"/>
                <w:sz w:val="22"/>
                <w:szCs w:val="22"/>
              </w:rPr>
            </w:pPr>
            <w:r>
              <w:rPr>
                <w:rFonts w:hint="eastAsia" w:ascii="Arial" w:hAnsi="新宋体" w:cs="Arial"/>
                <w:b/>
                <w:color w:val="000000"/>
                <w:sz w:val="22"/>
                <w:szCs w:val="22"/>
              </w:rPr>
              <w:t>投标报价</w:t>
            </w:r>
          </w:p>
        </w:tc>
        <w:tc>
          <w:tcPr>
            <w:tcW w:w="7230" w:type="dxa"/>
            <w:vAlign w:val="center"/>
          </w:tcPr>
          <w:p w14:paraId="12DBEEFA">
            <w:pPr>
              <w:jc w:val="left"/>
              <w:rPr>
                <w:rFonts w:ascii="Arial" w:hAnsi="新宋体" w:cs="Arial"/>
                <w:i/>
                <w:color w:val="FF0000"/>
                <w:w w:val="90"/>
                <w:kern w:val="0"/>
                <w:sz w:val="22"/>
                <w:szCs w:val="22"/>
                <w:u w:val="single"/>
              </w:rPr>
            </w:pPr>
            <w:r>
              <w:rPr>
                <w:rFonts w:hint="eastAsia" w:ascii="宋体" w:hAnsi="宋体"/>
              </w:rPr>
              <w:t>定期存款利率为央行存款基准利率基础上</w:t>
            </w:r>
            <w:r>
              <w:rPr>
                <w:rFonts w:hint="eastAsia" w:ascii="Arial" w:hAnsi="新宋体" w:cs="Arial"/>
                <w:color w:val="000000"/>
                <w:sz w:val="22"/>
                <w:szCs w:val="22"/>
                <w:u w:val="single"/>
              </w:rPr>
              <w:t xml:space="preserve">     </w:t>
            </w:r>
            <w:r>
              <w:rPr>
                <w:rFonts w:hint="eastAsia" w:ascii="微软雅黑" w:hAnsi="微软雅黑" w:eastAsia="微软雅黑" w:cs="微软雅黑"/>
                <w:color w:val="333333"/>
                <w:shd w:val="clear" w:color="auto" w:fill="FFFFFF"/>
              </w:rPr>
              <w:t>BP</w:t>
            </w:r>
            <w:r>
              <w:rPr>
                <w:rFonts w:hint="eastAsia" w:ascii="宋体" w:hAnsi="宋体"/>
              </w:rPr>
              <w:t>（如遇央行调整存款利率，存款利率同步调整。）</w:t>
            </w:r>
          </w:p>
        </w:tc>
      </w:tr>
    </w:tbl>
    <w:p w14:paraId="0BBB23E4">
      <w:pPr>
        <w:rPr>
          <w:rFonts w:ascii="Arial" w:hAnsi="Arial" w:cs="Arial"/>
          <w:color w:val="000000"/>
          <w:kern w:val="0"/>
          <w:sz w:val="22"/>
          <w:szCs w:val="22"/>
        </w:rPr>
      </w:pPr>
      <w:r>
        <w:rPr>
          <w:rFonts w:ascii="Arial" w:hAnsi="新宋体" w:cs="Arial"/>
          <w:b/>
          <w:color w:val="000000"/>
          <w:kern w:val="0"/>
          <w:sz w:val="22"/>
          <w:szCs w:val="22"/>
          <w:u w:val="single"/>
        </w:rPr>
        <w:t>注：报价一经涂改，应在涂改处加盖单位公章或者由法定代表人或授权委托人签字或盖章，否则其投标作无效标处理。</w:t>
      </w:r>
    </w:p>
    <w:p w14:paraId="750081F5">
      <w:pPr>
        <w:rPr>
          <w:rFonts w:ascii="Arial" w:hAnsi="新宋体" w:cs="Arial"/>
          <w:color w:val="000000"/>
          <w:kern w:val="0"/>
          <w:sz w:val="22"/>
          <w:szCs w:val="22"/>
        </w:rPr>
      </w:pPr>
    </w:p>
    <w:p w14:paraId="51F06D93">
      <w:pPr>
        <w:rPr>
          <w:rFonts w:ascii="Arial" w:hAnsi="新宋体" w:cs="Arial"/>
          <w:color w:val="000000"/>
          <w:kern w:val="0"/>
          <w:sz w:val="22"/>
          <w:szCs w:val="22"/>
        </w:rPr>
      </w:pPr>
    </w:p>
    <w:p w14:paraId="5F5FBC7C">
      <w:pPr>
        <w:snapToGrid w:val="0"/>
        <w:rPr>
          <w:rFonts w:ascii="Arial" w:hAnsi="Arial" w:cs="Arial"/>
          <w:color w:val="000000"/>
          <w:sz w:val="22"/>
          <w:szCs w:val="22"/>
        </w:rPr>
      </w:pPr>
      <w:r>
        <w:rPr>
          <w:rFonts w:hint="eastAsia" w:ascii="Arial" w:hAnsi="Arial" w:cs="Arial"/>
          <w:color w:val="000000"/>
          <w:sz w:val="22"/>
          <w:szCs w:val="22"/>
        </w:rPr>
        <w:t>投标银行名称（盖章）：</w:t>
      </w:r>
      <w:r>
        <w:rPr>
          <w:rFonts w:hint="eastAsia" w:ascii="Arial" w:hAnsi="Arial" w:cs="Arial"/>
          <w:color w:val="000000"/>
          <w:sz w:val="22"/>
          <w:szCs w:val="22"/>
          <w:u w:val="single"/>
        </w:rPr>
        <w:t xml:space="preserve">                            </w:t>
      </w:r>
    </w:p>
    <w:p w14:paraId="0FD22751">
      <w:pPr>
        <w:snapToGrid w:val="0"/>
        <w:rPr>
          <w:rFonts w:ascii="Arial" w:hAnsi="Arial" w:cs="Arial"/>
          <w:color w:val="000000"/>
          <w:sz w:val="22"/>
          <w:szCs w:val="22"/>
        </w:rPr>
      </w:pPr>
      <w:r>
        <w:rPr>
          <w:rFonts w:hint="eastAsia" w:ascii="Arial" w:hAnsi="Arial" w:cs="Arial"/>
          <w:color w:val="000000"/>
          <w:sz w:val="22"/>
          <w:szCs w:val="22"/>
        </w:rPr>
        <w:t>法定代表人或其授权代表（签字或盖章）：</w:t>
      </w:r>
      <w:r>
        <w:rPr>
          <w:rFonts w:hint="eastAsia" w:ascii="Arial" w:hAnsi="Arial" w:cs="Arial"/>
          <w:color w:val="000000"/>
          <w:sz w:val="22"/>
          <w:szCs w:val="22"/>
          <w:u w:val="single"/>
        </w:rPr>
        <w:t xml:space="preserve">                </w:t>
      </w:r>
    </w:p>
    <w:p w14:paraId="5BD6B6E4">
      <w:r>
        <w:rPr>
          <w:rFonts w:hint="eastAsia"/>
        </w:rPr>
        <w:t xml:space="preserve">日期：                                         </w:t>
      </w:r>
    </w:p>
    <w:p w14:paraId="6CA4E1BE">
      <w:pPr>
        <w:pStyle w:val="6"/>
      </w:pPr>
      <w:r>
        <w:rPr>
          <w:rFonts w:ascii="Arial" w:hAnsi="Arial" w:eastAsia="新宋体" w:cs="Arial"/>
          <w:color w:val="000000"/>
          <w:sz w:val="22"/>
          <w:szCs w:val="22"/>
          <w:u w:val="single"/>
        </w:rPr>
        <w:br w:type="page"/>
      </w:r>
      <w:bookmarkStart w:id="143" w:name="_Toc25712"/>
      <w:bookmarkStart w:id="144" w:name="_Toc11824"/>
      <w:bookmarkStart w:id="145" w:name="_Toc6200"/>
      <w:bookmarkStart w:id="146" w:name="_Toc452032134"/>
      <w:r>
        <w:rPr>
          <w:rFonts w:hint="eastAsia"/>
        </w:rPr>
        <w:t>格式6、营业执照</w:t>
      </w:r>
      <w:bookmarkEnd w:id="143"/>
      <w:bookmarkEnd w:id="144"/>
      <w:bookmarkEnd w:id="145"/>
      <w:bookmarkEnd w:id="146"/>
    </w:p>
    <w:p w14:paraId="58D91229">
      <w:pPr>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营业执照</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2E41E7D7">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4B91856B">
            <w:pPr>
              <w:jc w:val="center"/>
              <w:rPr>
                <w:rFonts w:ascii="Arial" w:hAnsi="新宋体" w:cs="Arial"/>
                <w:i/>
                <w:color w:val="FF0000"/>
                <w:szCs w:val="21"/>
              </w:rPr>
            </w:pPr>
            <w:r>
              <w:rPr>
                <w:rFonts w:hint="eastAsia" w:ascii="Arial" w:hAnsi="Arial" w:cs="Arial"/>
                <w:i/>
                <w:color w:val="000000"/>
                <w:kern w:val="0"/>
                <w:sz w:val="28"/>
                <w:szCs w:val="22"/>
              </w:rPr>
              <w:t>投标银行营业执照复印件（加盖投标银行公章）</w:t>
            </w:r>
          </w:p>
        </w:tc>
      </w:tr>
    </w:tbl>
    <w:p w14:paraId="6AE39179">
      <w:pPr>
        <w:rPr>
          <w:rFonts w:ascii="Arial" w:hAnsi="Arial" w:cs="Arial"/>
          <w:i/>
          <w:color w:val="000000"/>
          <w:sz w:val="22"/>
          <w:szCs w:val="22"/>
        </w:rPr>
      </w:pPr>
    </w:p>
    <w:p w14:paraId="0E3311A0">
      <w:pPr>
        <w:rPr>
          <w:rFonts w:ascii="Arial" w:hAnsi="Arial" w:cs="Arial"/>
          <w:i/>
          <w:color w:val="000000"/>
          <w:sz w:val="22"/>
          <w:szCs w:val="22"/>
        </w:rPr>
      </w:pPr>
    </w:p>
    <w:p w14:paraId="09052D8B">
      <w:pPr>
        <w:pStyle w:val="6"/>
      </w:pPr>
      <w:r>
        <w:rPr>
          <w:rFonts w:ascii="Arial" w:hAnsi="Arial" w:eastAsia="新宋体" w:cs="Arial"/>
          <w:color w:val="000000"/>
          <w:sz w:val="22"/>
          <w:szCs w:val="22"/>
          <w:u w:val="single"/>
        </w:rPr>
        <w:br w:type="page"/>
      </w:r>
      <w:bookmarkStart w:id="147" w:name="_Toc15833"/>
      <w:bookmarkStart w:id="148" w:name="_Toc22957"/>
      <w:bookmarkStart w:id="149" w:name="_Toc452032136"/>
      <w:bookmarkStart w:id="150" w:name="_Toc31827"/>
      <w:r>
        <w:rPr>
          <w:rFonts w:hint="eastAsia"/>
        </w:rPr>
        <w:t>格式7、中华人民共和国金融许可证</w:t>
      </w:r>
      <w:bookmarkEnd w:id="147"/>
      <w:bookmarkEnd w:id="148"/>
      <w:bookmarkEnd w:id="149"/>
      <w:bookmarkEnd w:id="150"/>
    </w:p>
    <w:p w14:paraId="0E6D92B4">
      <w:pPr>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中华人民共和国金融许可证</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021086F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273D64AA">
            <w:pPr>
              <w:jc w:val="center"/>
              <w:rPr>
                <w:rFonts w:ascii="Arial" w:hAnsi="新宋体" w:cs="Arial"/>
                <w:i/>
                <w:color w:val="FF0000"/>
                <w:szCs w:val="21"/>
              </w:rPr>
            </w:pPr>
            <w:r>
              <w:rPr>
                <w:rFonts w:hint="eastAsia" w:ascii="Arial" w:hAnsi="Arial" w:cs="Arial"/>
                <w:i/>
                <w:color w:val="FF0000"/>
                <w:kern w:val="0"/>
                <w:sz w:val="28"/>
                <w:szCs w:val="22"/>
              </w:rPr>
              <w:t>提供总机构中华人民共和国金融许可证</w:t>
            </w:r>
            <w:r>
              <w:rPr>
                <w:rFonts w:hint="eastAsia" w:ascii="Arial" w:hAnsi="Arial" w:cs="Arial"/>
                <w:i/>
                <w:color w:val="000000"/>
                <w:kern w:val="0"/>
                <w:sz w:val="28"/>
                <w:szCs w:val="22"/>
              </w:rPr>
              <w:t>（加盖投标银行公章）</w:t>
            </w:r>
          </w:p>
        </w:tc>
      </w:tr>
    </w:tbl>
    <w:p w14:paraId="105A0092">
      <w:pPr>
        <w:pStyle w:val="6"/>
      </w:pPr>
      <w:r>
        <w:rPr>
          <w:rFonts w:ascii="Arial" w:hAnsi="Arial" w:cs="Arial"/>
          <w:i/>
          <w:color w:val="000000"/>
          <w:sz w:val="22"/>
          <w:szCs w:val="22"/>
        </w:rPr>
        <w:br w:type="page"/>
      </w:r>
      <w:bookmarkStart w:id="151" w:name="_Toc8499"/>
      <w:bookmarkStart w:id="152" w:name="_Toc30706"/>
      <w:bookmarkStart w:id="153" w:name="_Toc11154"/>
      <w:bookmarkStart w:id="154" w:name="_Toc452032137"/>
      <w:r>
        <w:rPr>
          <w:rFonts w:hint="eastAsia"/>
        </w:rPr>
        <w:t>格式8、中国人民银行苍南县支行上年度综合评价证明材料</w:t>
      </w:r>
      <w:bookmarkEnd w:id="151"/>
      <w:bookmarkEnd w:id="152"/>
      <w:bookmarkEnd w:id="153"/>
      <w:bookmarkEnd w:id="154"/>
    </w:p>
    <w:p w14:paraId="68D47138">
      <w:pPr>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中国人民银行苍南县支行上年度综合评价证明材料</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6EA34E86">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079" w:hRule="atLeast"/>
        </w:trPr>
        <w:tc>
          <w:tcPr>
            <w:tcW w:w="9145" w:type="dxa"/>
            <w:vAlign w:val="center"/>
          </w:tcPr>
          <w:p w14:paraId="0B1B03B4">
            <w:pPr>
              <w:jc w:val="center"/>
              <w:rPr>
                <w:rFonts w:ascii="Arial" w:hAnsi="新宋体" w:cs="Arial"/>
                <w:i/>
                <w:color w:val="FF0000"/>
                <w:szCs w:val="21"/>
              </w:rPr>
            </w:pPr>
            <w:r>
              <w:rPr>
                <w:rFonts w:hint="eastAsia" w:ascii="Arial" w:hAnsi="Arial" w:cs="Arial"/>
                <w:i/>
                <w:color w:val="000000"/>
                <w:kern w:val="0"/>
                <w:sz w:val="28"/>
                <w:szCs w:val="22"/>
              </w:rPr>
              <w:t>（加盖投标银行公章）</w:t>
            </w:r>
          </w:p>
        </w:tc>
      </w:tr>
    </w:tbl>
    <w:p w14:paraId="210E4227"/>
    <w:p w14:paraId="33E75A8E">
      <w:pPr>
        <w:snapToGrid w:val="0"/>
        <w:rPr>
          <w:rFonts w:ascii="Arial" w:hAnsi="Arial" w:cs="Arial"/>
          <w:color w:val="000000"/>
          <w:sz w:val="22"/>
          <w:szCs w:val="22"/>
          <w:u w:val="single"/>
        </w:rPr>
      </w:pPr>
    </w:p>
    <w:p w14:paraId="0AF7F1C2">
      <w:pPr>
        <w:pStyle w:val="6"/>
      </w:pPr>
      <w:r>
        <w:rPr>
          <w:rFonts w:ascii="Arial" w:hAnsi="Arial" w:cs="Arial"/>
          <w:color w:val="000000"/>
          <w:sz w:val="22"/>
          <w:szCs w:val="22"/>
          <w:u w:val="single"/>
        </w:rPr>
        <w:br w:type="page"/>
      </w:r>
      <w:bookmarkStart w:id="155" w:name="_Toc452032139"/>
      <w:bookmarkStart w:id="156" w:name="_Toc8642"/>
      <w:bookmarkStart w:id="157" w:name="_Toc825"/>
      <w:bookmarkStart w:id="158" w:name="_Toc11980"/>
      <w:r>
        <w:rPr>
          <w:rFonts w:hint="eastAsia"/>
        </w:rPr>
        <w:t>格式9、</w:t>
      </w:r>
      <w:r>
        <w:rPr>
          <w:rFonts w:hint="eastAsia"/>
          <w:szCs w:val="22"/>
        </w:rPr>
        <w:t>近三年内未发生金融风险及重大违约违法违纪声明</w:t>
      </w:r>
      <w:bookmarkEnd w:id="155"/>
      <w:bookmarkEnd w:id="156"/>
      <w:bookmarkEnd w:id="157"/>
      <w:bookmarkEnd w:id="158"/>
    </w:p>
    <w:p w14:paraId="53C431CD">
      <w:pPr>
        <w:ind w:firstLine="389"/>
        <w:rPr>
          <w:color w:val="000000"/>
        </w:rPr>
      </w:pPr>
    </w:p>
    <w:p w14:paraId="50B178E1">
      <w:pPr>
        <w:widowControl/>
        <w:jc w:val="center"/>
        <w:rPr>
          <w:rFonts w:ascii="华文中宋" w:hAnsi="华文中宋" w:eastAsia="华文中宋" w:cs="Arial"/>
          <w:b/>
          <w:color w:val="000000"/>
          <w:w w:val="80"/>
          <w:kern w:val="0"/>
          <w:sz w:val="44"/>
          <w:szCs w:val="44"/>
        </w:rPr>
      </w:pPr>
      <w:r>
        <w:rPr>
          <w:rFonts w:hint="eastAsia" w:ascii="华文中宋" w:hAnsi="华文中宋" w:eastAsia="华文中宋" w:cs="Arial"/>
          <w:b/>
          <w:color w:val="000000"/>
          <w:w w:val="80"/>
          <w:kern w:val="0"/>
          <w:sz w:val="44"/>
          <w:szCs w:val="44"/>
        </w:rPr>
        <w:t>近三年内未发生金融风险及重大违约违法违纪事件声明</w:t>
      </w:r>
    </w:p>
    <w:p w14:paraId="75F6CA0F">
      <w:pPr>
        <w:widowControl/>
        <w:jc w:val="center"/>
        <w:rPr>
          <w:rFonts w:ascii="华文中宋" w:hAnsi="华文中宋" w:eastAsia="华文中宋" w:cs="Arial"/>
          <w:b/>
          <w:color w:val="000000"/>
          <w:w w:val="80"/>
          <w:kern w:val="0"/>
          <w:sz w:val="28"/>
          <w:szCs w:val="44"/>
        </w:rPr>
      </w:pPr>
    </w:p>
    <w:p w14:paraId="28E1C5C9">
      <w:pPr>
        <w:rPr>
          <w:rFonts w:ascii="新宋体" w:hAnsi="新宋体" w:cs="Arial"/>
          <w:color w:val="000000"/>
          <w:sz w:val="22"/>
          <w:szCs w:val="22"/>
        </w:rPr>
      </w:pPr>
      <w:r>
        <w:rPr>
          <w:rFonts w:hint="eastAsia" w:ascii="华文中宋" w:hAnsi="华文中宋" w:eastAsia="华文中宋" w:cs="Arial"/>
          <w:b/>
          <w:color w:val="000000"/>
          <w:w w:val="90"/>
          <w:kern w:val="0"/>
          <w:u w:val="single"/>
        </w:rPr>
        <w:t>苍南县人民法院、杭州华旗招标代理有限公司：</w:t>
      </w:r>
    </w:p>
    <w:p w14:paraId="3176B9A5">
      <w:pPr>
        <w:rPr>
          <w:rFonts w:ascii="华文中宋" w:hAnsi="华文中宋" w:eastAsia="华文中宋" w:cs="Arial"/>
          <w:color w:val="000000"/>
          <w:u w:val="single"/>
        </w:rPr>
      </w:pPr>
    </w:p>
    <w:p w14:paraId="5B17A0A3">
      <w:pPr>
        <w:ind w:firstLine="470" w:firstLineChars="196"/>
        <w:rPr>
          <w:rFonts w:ascii="华文中宋" w:hAnsi="华文中宋" w:eastAsia="华文中宋" w:cs="Arial"/>
          <w:color w:val="000000"/>
          <w:kern w:val="0"/>
        </w:rPr>
      </w:pPr>
      <w:r>
        <w:rPr>
          <w:rFonts w:hint="eastAsia" w:ascii="华文中宋" w:hAnsi="华文中宋" w:eastAsia="华文中宋" w:cs="Arial"/>
          <w:color w:val="000000"/>
        </w:rPr>
        <w:t>我方</w:t>
      </w:r>
      <w:r>
        <w:rPr>
          <w:rFonts w:ascii="华文中宋" w:hAnsi="华文中宋" w:eastAsia="华文中宋" w:cs="Arial"/>
          <w:color w:val="000000"/>
          <w:u w:val="single"/>
        </w:rPr>
        <w:t xml:space="preserve">        </w:t>
      </w:r>
      <w:r>
        <w:rPr>
          <w:rFonts w:hint="eastAsia" w:ascii="华文中宋" w:hAnsi="华文中宋" w:eastAsia="华文中宋" w:cs="Arial"/>
          <w:color w:val="000000"/>
          <w:u w:val="single"/>
        </w:rPr>
        <w:t>（投标银行名称）</w:t>
      </w:r>
      <w:r>
        <w:rPr>
          <w:rFonts w:ascii="华文中宋" w:hAnsi="华文中宋" w:eastAsia="华文中宋" w:cs="Arial"/>
          <w:color w:val="000000"/>
          <w:u w:val="single"/>
        </w:rPr>
        <w:t xml:space="preserve">             </w:t>
      </w:r>
      <w:r>
        <w:rPr>
          <w:rFonts w:hint="eastAsia" w:ascii="华文中宋" w:hAnsi="华文中宋" w:eastAsia="华文中宋" w:cs="Arial"/>
          <w:color w:val="000000"/>
        </w:rPr>
        <w:t>在参加本项目投标活动前三年内，未发生金融风险、重大违约、违法违纪行为</w:t>
      </w:r>
      <w:r>
        <w:rPr>
          <w:rFonts w:hint="eastAsia" w:ascii="华文中宋" w:hAnsi="华文中宋" w:eastAsia="华文中宋" w:cs="Arial"/>
          <w:color w:val="000000"/>
          <w:kern w:val="0"/>
        </w:rPr>
        <w:t>。如有虚假，招标人可取消我方任何资格（投标/谈判</w:t>
      </w:r>
      <w:r>
        <w:rPr>
          <w:rFonts w:ascii="华文中宋" w:hAnsi="华文中宋" w:eastAsia="华文中宋" w:cs="Arial"/>
          <w:color w:val="000000"/>
          <w:kern w:val="0"/>
        </w:rPr>
        <w:t>/</w:t>
      </w:r>
      <w:r>
        <w:rPr>
          <w:rFonts w:hint="eastAsia" w:ascii="华文中宋" w:hAnsi="华文中宋" w:eastAsia="华文中宋" w:cs="Arial"/>
          <w:color w:val="000000"/>
          <w:kern w:val="0"/>
        </w:rPr>
        <w:t>中标（成交）</w:t>
      </w:r>
      <w:r>
        <w:rPr>
          <w:rFonts w:ascii="华文中宋" w:hAnsi="华文中宋" w:eastAsia="华文中宋" w:cs="Arial"/>
          <w:color w:val="000000"/>
          <w:kern w:val="0"/>
        </w:rPr>
        <w:t>/</w:t>
      </w:r>
      <w:r>
        <w:rPr>
          <w:rFonts w:hint="eastAsia" w:ascii="华文中宋" w:hAnsi="华文中宋" w:eastAsia="华文中宋" w:cs="Arial"/>
          <w:color w:val="000000"/>
          <w:kern w:val="0"/>
        </w:rPr>
        <w:t>签订合同），我方对此无任何异议。</w:t>
      </w:r>
    </w:p>
    <w:p w14:paraId="45FE89D4">
      <w:pPr>
        <w:ind w:firstLine="470" w:firstLineChars="196"/>
        <w:rPr>
          <w:rFonts w:ascii="华文中宋" w:hAnsi="华文中宋" w:eastAsia="华文中宋" w:cs="Arial"/>
          <w:color w:val="000000"/>
          <w:kern w:val="0"/>
        </w:rPr>
      </w:pPr>
    </w:p>
    <w:p w14:paraId="45830618">
      <w:pPr>
        <w:ind w:firstLine="480" w:firstLineChars="200"/>
        <w:rPr>
          <w:rFonts w:ascii="华文中宋" w:hAnsi="华文中宋" w:eastAsia="华文中宋" w:cs="Arial"/>
          <w:color w:val="000000"/>
        </w:rPr>
      </w:pPr>
      <w:r>
        <w:rPr>
          <w:rFonts w:hint="eastAsia" w:ascii="华文中宋" w:hAnsi="华文中宋" w:eastAsia="华文中宋" w:cs="Arial"/>
          <w:color w:val="000000"/>
        </w:rPr>
        <w:t>特此声明</w:t>
      </w:r>
    </w:p>
    <w:p w14:paraId="5DA9023E">
      <w:pPr>
        <w:rPr>
          <w:rFonts w:ascii="华文中宋" w:hAnsi="华文中宋" w:eastAsia="华文中宋" w:cs="Arial"/>
          <w:color w:val="000000"/>
        </w:rPr>
      </w:pPr>
    </w:p>
    <w:p w14:paraId="1A1E3C29">
      <w:pPr>
        <w:snapToGrid w:val="0"/>
        <w:rPr>
          <w:rFonts w:ascii="华文中宋" w:hAnsi="华文中宋" w:eastAsia="华文中宋" w:cs="Arial"/>
          <w:color w:val="000000"/>
        </w:rPr>
      </w:pPr>
      <w:r>
        <w:rPr>
          <w:rFonts w:hint="eastAsia" w:ascii="华文中宋" w:hAnsi="华文中宋" w:eastAsia="华文中宋" w:cs="Arial"/>
          <w:color w:val="000000"/>
        </w:rPr>
        <w:t>投标银行名称（盖章）：</w:t>
      </w:r>
      <w:r>
        <w:rPr>
          <w:rFonts w:hint="eastAsia" w:ascii="华文中宋" w:hAnsi="华文中宋" w:eastAsia="华文中宋" w:cs="Arial"/>
          <w:color w:val="000000"/>
          <w:u w:val="single"/>
        </w:rPr>
        <w:t xml:space="preserve">                            </w:t>
      </w:r>
    </w:p>
    <w:p w14:paraId="2F3412D0">
      <w:pPr>
        <w:snapToGrid w:val="0"/>
        <w:rPr>
          <w:rFonts w:ascii="华文中宋" w:hAnsi="华文中宋" w:eastAsia="华文中宋" w:cs="Arial"/>
          <w:color w:val="000000"/>
        </w:rPr>
      </w:pPr>
      <w:r>
        <w:rPr>
          <w:rFonts w:hint="eastAsia" w:ascii="华文中宋" w:hAnsi="华文中宋" w:eastAsia="华文中宋" w:cs="Arial"/>
          <w:color w:val="000000"/>
        </w:rPr>
        <w:t>法定代表人或其授权代表（签字或盖章）：</w:t>
      </w:r>
      <w:r>
        <w:rPr>
          <w:rFonts w:hint="eastAsia" w:ascii="华文中宋" w:hAnsi="华文中宋" w:eastAsia="华文中宋" w:cs="Arial"/>
          <w:color w:val="000000"/>
          <w:u w:val="single"/>
        </w:rPr>
        <w:t xml:space="preserve">                </w:t>
      </w:r>
    </w:p>
    <w:p w14:paraId="23571A58">
      <w:pPr>
        <w:rPr>
          <w:rFonts w:ascii="华文中宋" w:hAnsi="华文中宋" w:eastAsia="华文中宋" w:cs="Arial"/>
          <w:color w:val="000000"/>
          <w:u w:val="single"/>
        </w:rPr>
      </w:pPr>
      <w:r>
        <w:rPr>
          <w:rFonts w:hint="eastAsia" w:ascii="华文中宋" w:hAnsi="华文中宋" w:eastAsia="华文中宋" w:cs="Arial"/>
          <w:color w:val="000000"/>
        </w:rPr>
        <w:t>日期：</w:t>
      </w:r>
      <w:r>
        <w:rPr>
          <w:rFonts w:hint="eastAsia" w:ascii="华文中宋" w:hAnsi="华文中宋" w:eastAsia="华文中宋" w:cs="Arial"/>
          <w:color w:val="000000"/>
          <w:u w:val="single"/>
        </w:rPr>
        <w:t xml:space="preserve">                                         </w:t>
      </w:r>
    </w:p>
    <w:p w14:paraId="346B9595">
      <w:pPr>
        <w:pStyle w:val="6"/>
      </w:pPr>
      <w:r>
        <w:rPr>
          <w:rFonts w:cs="Arial"/>
          <w:color w:val="000000"/>
          <w:sz w:val="24"/>
          <w:u w:val="single"/>
        </w:rPr>
        <w:br w:type="page"/>
      </w:r>
      <w:bookmarkStart w:id="159" w:name="_Toc16123"/>
      <w:bookmarkStart w:id="160" w:name="_Toc15117"/>
      <w:bookmarkStart w:id="161" w:name="_Toc452032140"/>
      <w:bookmarkStart w:id="162" w:name="_Toc12313"/>
      <w:r>
        <w:rPr>
          <w:rFonts w:hint="eastAsia"/>
        </w:rPr>
        <w:t>格式10、</w:t>
      </w:r>
      <w:r>
        <w:rPr>
          <w:rFonts w:hint="eastAsia"/>
          <w:szCs w:val="22"/>
        </w:rPr>
        <w:t>关于财务稳健的书面声明</w:t>
      </w:r>
      <w:bookmarkEnd w:id="159"/>
      <w:bookmarkEnd w:id="160"/>
      <w:bookmarkEnd w:id="161"/>
      <w:bookmarkEnd w:id="162"/>
    </w:p>
    <w:p w14:paraId="28FE9EC4">
      <w:pPr>
        <w:ind w:firstLine="389"/>
        <w:rPr>
          <w:color w:val="000000"/>
        </w:rPr>
      </w:pPr>
    </w:p>
    <w:p w14:paraId="7BB3A8FD">
      <w:pPr>
        <w:widowControl/>
        <w:jc w:val="center"/>
        <w:rPr>
          <w:rFonts w:ascii="华文中宋" w:hAnsi="华文中宋" w:eastAsia="华文中宋" w:cs="Arial"/>
          <w:b/>
          <w:color w:val="000000"/>
          <w:w w:val="80"/>
          <w:kern w:val="0"/>
          <w:sz w:val="44"/>
          <w:szCs w:val="44"/>
        </w:rPr>
      </w:pPr>
      <w:r>
        <w:rPr>
          <w:rFonts w:hint="eastAsia" w:ascii="华文中宋" w:hAnsi="华文中宋" w:eastAsia="华文中宋" w:cs="Arial"/>
          <w:b/>
          <w:color w:val="000000"/>
          <w:w w:val="80"/>
          <w:kern w:val="0"/>
          <w:sz w:val="44"/>
          <w:szCs w:val="44"/>
        </w:rPr>
        <w:t>关于财务稳健的书面声明</w:t>
      </w:r>
    </w:p>
    <w:p w14:paraId="54E105FE">
      <w:pPr>
        <w:widowControl/>
        <w:jc w:val="center"/>
        <w:rPr>
          <w:rFonts w:ascii="华文中宋" w:hAnsi="华文中宋" w:eastAsia="华文中宋" w:cs="Arial"/>
          <w:b/>
          <w:color w:val="000000"/>
          <w:w w:val="80"/>
          <w:kern w:val="0"/>
          <w:sz w:val="28"/>
          <w:szCs w:val="44"/>
        </w:rPr>
      </w:pPr>
    </w:p>
    <w:p w14:paraId="1E3653CD">
      <w:pPr>
        <w:rPr>
          <w:rFonts w:ascii="新宋体" w:hAnsi="新宋体" w:cs="Arial"/>
          <w:color w:val="000000"/>
          <w:sz w:val="22"/>
          <w:szCs w:val="22"/>
        </w:rPr>
      </w:pPr>
      <w:r>
        <w:rPr>
          <w:rFonts w:hint="eastAsia" w:ascii="华文中宋" w:hAnsi="华文中宋" w:eastAsia="华文中宋" w:cs="Arial"/>
          <w:b/>
          <w:color w:val="000000"/>
          <w:w w:val="90"/>
          <w:kern w:val="0"/>
          <w:u w:val="single"/>
        </w:rPr>
        <w:t>苍南县人民法院、杭州华旗招标代理有限公司：</w:t>
      </w:r>
    </w:p>
    <w:p w14:paraId="7E0473B6">
      <w:pPr>
        <w:rPr>
          <w:rFonts w:ascii="华文中宋" w:hAnsi="华文中宋" w:eastAsia="华文中宋" w:cs="Arial"/>
          <w:color w:val="000000"/>
          <w:u w:val="single"/>
        </w:rPr>
      </w:pPr>
    </w:p>
    <w:p w14:paraId="43489129">
      <w:pPr>
        <w:ind w:firstLine="470" w:firstLineChars="196"/>
        <w:rPr>
          <w:rFonts w:ascii="华文中宋" w:hAnsi="华文中宋" w:eastAsia="华文中宋" w:cs="Arial"/>
          <w:color w:val="000000"/>
          <w:kern w:val="0"/>
        </w:rPr>
      </w:pPr>
      <w:r>
        <w:rPr>
          <w:rFonts w:hint="eastAsia" w:ascii="华文中宋" w:hAnsi="华文中宋" w:eastAsia="华文中宋" w:cs="Arial"/>
          <w:color w:val="000000"/>
        </w:rPr>
        <w:t>我方</w:t>
      </w:r>
      <w:r>
        <w:rPr>
          <w:rFonts w:ascii="华文中宋" w:hAnsi="华文中宋" w:eastAsia="华文中宋" w:cs="Arial"/>
          <w:color w:val="000000"/>
          <w:u w:val="single"/>
        </w:rPr>
        <w:t xml:space="preserve">        </w:t>
      </w:r>
      <w:r>
        <w:rPr>
          <w:rFonts w:hint="eastAsia" w:ascii="华文中宋" w:hAnsi="华文中宋" w:eastAsia="华文中宋" w:cs="Arial"/>
          <w:color w:val="000000"/>
          <w:u w:val="single"/>
        </w:rPr>
        <w:t>（投标银行名称）</w:t>
      </w:r>
      <w:r>
        <w:rPr>
          <w:rFonts w:ascii="华文中宋" w:hAnsi="华文中宋" w:eastAsia="华文中宋" w:cs="Arial"/>
          <w:color w:val="000000"/>
          <w:u w:val="single"/>
        </w:rPr>
        <w:t xml:space="preserve">             </w:t>
      </w:r>
      <w:r>
        <w:rPr>
          <w:rFonts w:hint="eastAsia" w:ascii="华文中宋" w:hAnsi="华文中宋" w:eastAsia="华文中宋" w:cs="Arial"/>
          <w:color w:val="000000"/>
        </w:rPr>
        <w:t>目前各项财务指标正常，财务稳健，资金充足率、不良贷款率、拨备覆盖率、流动性覆盖率、流动性比例等指标均达到监管标准。</w:t>
      </w:r>
      <w:r>
        <w:rPr>
          <w:rFonts w:hint="eastAsia" w:ascii="华文中宋" w:hAnsi="华文中宋" w:eastAsia="华文中宋" w:cs="Arial"/>
          <w:color w:val="000000"/>
          <w:kern w:val="0"/>
        </w:rPr>
        <w:t>如有虚假，招标人可取消我方任何资格（投标/谈判</w:t>
      </w:r>
      <w:r>
        <w:rPr>
          <w:rFonts w:ascii="华文中宋" w:hAnsi="华文中宋" w:eastAsia="华文中宋" w:cs="Arial"/>
          <w:color w:val="000000"/>
          <w:kern w:val="0"/>
        </w:rPr>
        <w:t>/</w:t>
      </w:r>
      <w:r>
        <w:rPr>
          <w:rFonts w:hint="eastAsia" w:ascii="华文中宋" w:hAnsi="华文中宋" w:eastAsia="华文中宋" w:cs="Arial"/>
          <w:color w:val="000000"/>
          <w:kern w:val="0"/>
        </w:rPr>
        <w:t>中标（成交）</w:t>
      </w:r>
      <w:r>
        <w:rPr>
          <w:rFonts w:ascii="华文中宋" w:hAnsi="华文中宋" w:eastAsia="华文中宋" w:cs="Arial"/>
          <w:color w:val="000000"/>
          <w:kern w:val="0"/>
        </w:rPr>
        <w:t>/</w:t>
      </w:r>
      <w:r>
        <w:rPr>
          <w:rFonts w:hint="eastAsia" w:ascii="华文中宋" w:hAnsi="华文中宋" w:eastAsia="华文中宋" w:cs="Arial"/>
          <w:color w:val="000000"/>
          <w:kern w:val="0"/>
        </w:rPr>
        <w:t>签订合同），我方对此无任何异议。</w:t>
      </w:r>
    </w:p>
    <w:p w14:paraId="5BADDCD0">
      <w:pPr>
        <w:ind w:firstLine="470" w:firstLineChars="196"/>
        <w:rPr>
          <w:rFonts w:ascii="华文中宋" w:hAnsi="华文中宋" w:eastAsia="华文中宋" w:cs="Arial"/>
          <w:color w:val="000000"/>
          <w:kern w:val="0"/>
        </w:rPr>
      </w:pPr>
    </w:p>
    <w:p w14:paraId="46E65CE9">
      <w:pPr>
        <w:ind w:firstLine="480" w:firstLineChars="200"/>
        <w:rPr>
          <w:rFonts w:ascii="华文中宋" w:hAnsi="华文中宋" w:eastAsia="华文中宋" w:cs="Arial"/>
          <w:color w:val="000000"/>
        </w:rPr>
      </w:pPr>
      <w:r>
        <w:rPr>
          <w:rFonts w:hint="eastAsia" w:ascii="华文中宋" w:hAnsi="华文中宋" w:eastAsia="华文中宋" w:cs="Arial"/>
          <w:color w:val="000000"/>
        </w:rPr>
        <w:t>特此声明</w:t>
      </w:r>
    </w:p>
    <w:p w14:paraId="6330AB54">
      <w:pPr>
        <w:rPr>
          <w:rFonts w:ascii="华文中宋" w:hAnsi="华文中宋" w:eastAsia="华文中宋" w:cs="Arial"/>
          <w:color w:val="000000"/>
        </w:rPr>
      </w:pPr>
    </w:p>
    <w:p w14:paraId="06FEA83A">
      <w:pPr>
        <w:snapToGrid w:val="0"/>
        <w:rPr>
          <w:rFonts w:ascii="华文中宋" w:hAnsi="华文中宋" w:eastAsia="华文中宋" w:cs="Arial"/>
          <w:color w:val="000000"/>
        </w:rPr>
      </w:pPr>
      <w:r>
        <w:rPr>
          <w:rFonts w:hint="eastAsia" w:ascii="华文中宋" w:hAnsi="华文中宋" w:eastAsia="华文中宋" w:cs="Arial"/>
          <w:color w:val="000000"/>
        </w:rPr>
        <w:t>投标银行名称（盖章）：</w:t>
      </w:r>
      <w:r>
        <w:rPr>
          <w:rFonts w:hint="eastAsia" w:ascii="华文中宋" w:hAnsi="华文中宋" w:eastAsia="华文中宋" w:cs="Arial"/>
          <w:color w:val="000000"/>
          <w:u w:val="single"/>
        </w:rPr>
        <w:t xml:space="preserve">                            </w:t>
      </w:r>
    </w:p>
    <w:p w14:paraId="7F6B8382">
      <w:pPr>
        <w:snapToGrid w:val="0"/>
        <w:rPr>
          <w:rFonts w:ascii="华文中宋" w:hAnsi="华文中宋" w:eastAsia="华文中宋" w:cs="Arial"/>
          <w:color w:val="000000"/>
        </w:rPr>
      </w:pPr>
      <w:r>
        <w:rPr>
          <w:rFonts w:hint="eastAsia" w:ascii="华文中宋" w:hAnsi="华文中宋" w:eastAsia="华文中宋" w:cs="Arial"/>
          <w:color w:val="000000"/>
        </w:rPr>
        <w:t>法定代表人或其授权代表（签字或盖章）：</w:t>
      </w:r>
      <w:r>
        <w:rPr>
          <w:rFonts w:hint="eastAsia" w:ascii="华文中宋" w:hAnsi="华文中宋" w:eastAsia="华文中宋" w:cs="Arial"/>
          <w:color w:val="000000"/>
          <w:u w:val="single"/>
        </w:rPr>
        <w:t xml:space="preserve">                </w:t>
      </w:r>
    </w:p>
    <w:p w14:paraId="36640680">
      <w:pPr>
        <w:rPr>
          <w:rFonts w:ascii="Arial" w:hAnsi="Arial" w:cs="Arial"/>
          <w:color w:val="000000"/>
          <w:sz w:val="22"/>
          <w:szCs w:val="22"/>
          <w:u w:val="single"/>
        </w:rPr>
      </w:pPr>
      <w:r>
        <w:rPr>
          <w:rFonts w:hint="eastAsia" w:ascii="华文中宋" w:hAnsi="华文中宋" w:eastAsia="华文中宋" w:cs="Arial"/>
          <w:color w:val="000000"/>
        </w:rPr>
        <w:t>日期：</w:t>
      </w:r>
      <w:r>
        <w:rPr>
          <w:rFonts w:hint="eastAsia" w:ascii="华文中宋" w:hAnsi="华文中宋" w:eastAsia="华文中宋" w:cs="Arial"/>
          <w:color w:val="000000"/>
          <w:u w:val="single"/>
        </w:rPr>
        <w:t xml:space="preserve">                                         </w:t>
      </w:r>
    </w:p>
    <w:p w14:paraId="2640E92E">
      <w:pPr>
        <w:pStyle w:val="6"/>
      </w:pPr>
      <w:r>
        <w:rPr>
          <w:rFonts w:ascii="Arial" w:hAnsi="Arial" w:cs="Arial"/>
          <w:color w:val="000000"/>
          <w:sz w:val="22"/>
          <w:szCs w:val="22"/>
          <w:u w:val="single"/>
        </w:rPr>
        <w:br w:type="page"/>
      </w:r>
      <w:bookmarkStart w:id="163" w:name="_Toc30718"/>
      <w:bookmarkStart w:id="164" w:name="_Toc7601"/>
      <w:bookmarkStart w:id="165" w:name="_Toc13492"/>
      <w:bookmarkStart w:id="166" w:name="_Toc452032141"/>
      <w:r>
        <w:rPr>
          <w:rFonts w:hint="eastAsia"/>
        </w:rPr>
        <w:t>格式11、其他证书等材料</w:t>
      </w:r>
      <w:bookmarkEnd w:id="163"/>
      <w:bookmarkEnd w:id="164"/>
      <w:bookmarkEnd w:id="165"/>
      <w:bookmarkEnd w:id="166"/>
    </w:p>
    <w:p w14:paraId="69B45051">
      <w:pPr>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其他证书等材料</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3945A814">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1006" w:hRule="atLeast"/>
        </w:trPr>
        <w:tc>
          <w:tcPr>
            <w:tcW w:w="9145" w:type="dxa"/>
            <w:vAlign w:val="center"/>
          </w:tcPr>
          <w:p w14:paraId="79A3A639">
            <w:pPr>
              <w:jc w:val="center"/>
              <w:rPr>
                <w:rFonts w:ascii="Arial" w:hAnsi="新宋体" w:cs="Arial"/>
                <w:i/>
                <w:color w:val="FF0000"/>
                <w:szCs w:val="21"/>
              </w:rPr>
            </w:pPr>
            <w:r>
              <w:rPr>
                <w:rFonts w:hint="eastAsia" w:ascii="Arial" w:hAnsi="Arial" w:cs="Arial"/>
                <w:i/>
                <w:color w:val="FF0000"/>
                <w:kern w:val="0"/>
                <w:sz w:val="28"/>
                <w:szCs w:val="22"/>
              </w:rPr>
              <w:t>投标银行其他资质、资格、许可证书以及技术资信评审中要求提供的其他材料</w:t>
            </w:r>
            <w:r>
              <w:rPr>
                <w:rFonts w:hint="eastAsia" w:ascii="Arial" w:hAnsi="Arial" w:cs="Arial"/>
                <w:i/>
                <w:color w:val="000000"/>
                <w:kern w:val="0"/>
                <w:sz w:val="28"/>
                <w:szCs w:val="22"/>
              </w:rPr>
              <w:t>（加盖投标银行公章）</w:t>
            </w:r>
          </w:p>
        </w:tc>
      </w:tr>
    </w:tbl>
    <w:p w14:paraId="52BA7059">
      <w:pPr>
        <w:rPr>
          <w:rFonts w:ascii="Arial" w:hAnsi="Arial" w:cs="Arial"/>
          <w:color w:val="000000"/>
          <w:sz w:val="22"/>
          <w:szCs w:val="22"/>
          <w:u w:val="single"/>
        </w:rPr>
      </w:pPr>
    </w:p>
    <w:p w14:paraId="769D3B4F">
      <w:pPr>
        <w:pStyle w:val="6"/>
      </w:pPr>
      <w:r>
        <w:rPr>
          <w:rFonts w:ascii="Arial" w:hAnsi="Arial" w:cs="Arial"/>
          <w:color w:val="000000"/>
          <w:sz w:val="22"/>
          <w:szCs w:val="22"/>
          <w:u w:val="single"/>
        </w:rPr>
        <w:br w:type="page"/>
      </w:r>
      <w:bookmarkStart w:id="167" w:name="_Toc12603"/>
      <w:bookmarkStart w:id="168" w:name="_Toc452032142"/>
      <w:bookmarkStart w:id="169" w:name="_Toc20608"/>
      <w:bookmarkStart w:id="170" w:name="_Toc3140"/>
      <w:r>
        <w:rPr>
          <w:rFonts w:hint="eastAsia"/>
        </w:rPr>
        <w:t>格式12、投标银行情况介绍</w:t>
      </w:r>
      <w:bookmarkEnd w:id="167"/>
      <w:bookmarkEnd w:id="168"/>
      <w:bookmarkEnd w:id="169"/>
      <w:bookmarkEnd w:id="170"/>
    </w:p>
    <w:p w14:paraId="28729CEE">
      <w:pPr>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投标银行情况介绍</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3791862">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1006" w:hRule="atLeast"/>
        </w:trPr>
        <w:tc>
          <w:tcPr>
            <w:tcW w:w="9145" w:type="dxa"/>
            <w:vAlign w:val="center"/>
          </w:tcPr>
          <w:p w14:paraId="582CF770">
            <w:pPr>
              <w:jc w:val="center"/>
              <w:rPr>
                <w:rFonts w:ascii="Arial" w:hAnsi="新宋体" w:cs="Arial"/>
                <w:i/>
                <w:color w:val="FF0000"/>
                <w:szCs w:val="21"/>
              </w:rPr>
            </w:pPr>
          </w:p>
        </w:tc>
      </w:tr>
    </w:tbl>
    <w:p w14:paraId="0A00FF64">
      <w:pPr>
        <w:rPr>
          <w:rFonts w:ascii="Arial" w:hAnsi="Arial" w:cs="Arial"/>
          <w:color w:val="000000"/>
          <w:sz w:val="22"/>
          <w:szCs w:val="22"/>
          <w:u w:val="single"/>
        </w:rPr>
      </w:pPr>
    </w:p>
    <w:p w14:paraId="07AE7681">
      <w:pPr>
        <w:pStyle w:val="6"/>
      </w:pPr>
      <w:r>
        <w:br w:type="page"/>
      </w:r>
      <w:bookmarkStart w:id="171" w:name="_Toc24163"/>
      <w:bookmarkStart w:id="172" w:name="_Toc3884"/>
      <w:bookmarkStart w:id="173" w:name="_Toc452032143"/>
      <w:bookmarkStart w:id="174" w:name="_Toc32134"/>
      <w:r>
        <w:rPr>
          <w:rFonts w:hint="eastAsia"/>
        </w:rPr>
        <w:t>格式</w:t>
      </w:r>
      <w:r>
        <w:t>1</w:t>
      </w:r>
      <w:r>
        <w:rPr>
          <w:rFonts w:hint="eastAsia"/>
        </w:rPr>
        <w:t>3、针对本项目的服务方案与承诺</w:t>
      </w:r>
      <w:bookmarkEnd w:id="171"/>
      <w:bookmarkEnd w:id="172"/>
      <w:bookmarkEnd w:id="173"/>
      <w:bookmarkEnd w:id="174"/>
    </w:p>
    <w:p w14:paraId="662ECB26">
      <w:pPr>
        <w:jc w:val="center"/>
        <w:rPr>
          <w:rFonts w:ascii="华文中宋" w:hAnsi="华文中宋" w:eastAsia="华文中宋"/>
          <w:b/>
          <w:color w:val="000000"/>
          <w:sz w:val="40"/>
        </w:rPr>
      </w:pPr>
      <w:r>
        <w:rPr>
          <w:rFonts w:hint="eastAsia" w:ascii="华文中宋" w:hAnsi="华文中宋" w:eastAsia="华文中宋"/>
          <w:b/>
          <w:color w:val="000000"/>
          <w:sz w:val="40"/>
        </w:rPr>
        <w:t>服务方案与承诺</w:t>
      </w:r>
    </w:p>
    <w:p w14:paraId="46C61FAE">
      <w:pPr>
        <w:rPr>
          <w:rFonts w:hint="eastAsia" w:ascii="Arial" w:hAnsi="Arial" w:eastAsia="仿宋" w:cs="Arial"/>
          <w:b/>
          <w:color w:val="000000"/>
          <w:sz w:val="22"/>
          <w:szCs w:val="22"/>
          <w:lang w:eastAsia="zh-CN"/>
        </w:rPr>
      </w:pPr>
      <w:r>
        <w:rPr>
          <w:rFonts w:hint="eastAsia" w:ascii="Arial" w:hAnsi="新宋体" w:cs="Arial"/>
          <w:b/>
          <w:color w:val="000000"/>
          <w:sz w:val="22"/>
          <w:szCs w:val="22"/>
        </w:rPr>
        <w:t>项目</w:t>
      </w:r>
      <w:r>
        <w:rPr>
          <w:rFonts w:ascii="Arial" w:hAnsi="新宋体" w:cs="Arial"/>
          <w:b/>
          <w:color w:val="000000"/>
          <w:sz w:val="22"/>
          <w:szCs w:val="22"/>
        </w:rPr>
        <w:t>名称：</w:t>
      </w:r>
      <w:r>
        <w:rPr>
          <w:rFonts w:hint="eastAsia" w:ascii="Arial" w:hAnsi="Arial" w:cs="Arial"/>
          <w:b/>
          <w:color w:val="000000"/>
          <w:sz w:val="22"/>
          <w:szCs w:val="22"/>
          <w:u w:val="single"/>
          <w:lang w:eastAsia="zh-CN"/>
        </w:rPr>
        <w:t>苍南县人民法院2025年度公款竞争性存放项目</w:t>
      </w:r>
    </w:p>
    <w:p w14:paraId="37226545">
      <w:pPr>
        <w:rPr>
          <w:rFonts w:hint="eastAsia" w:ascii="华文中宋" w:hAnsi="华文中宋" w:eastAsia="仿宋" w:cs="Arial"/>
          <w:b/>
          <w:color w:val="000000"/>
          <w:kern w:val="0"/>
          <w:sz w:val="22"/>
          <w:szCs w:val="22"/>
          <w:u w:val="single"/>
          <w:lang w:eastAsia="zh-CN"/>
        </w:rPr>
      </w:pPr>
      <w:r>
        <w:rPr>
          <w:rFonts w:ascii="Arial" w:hAnsi="新宋体" w:cs="Arial"/>
          <w:b/>
          <w:color w:val="000000"/>
          <w:sz w:val="22"/>
          <w:szCs w:val="22"/>
        </w:rPr>
        <w:t>项目编号：</w:t>
      </w:r>
      <w:r>
        <w:rPr>
          <w:rFonts w:hint="eastAsia" w:ascii="华文中宋" w:hAnsi="华文中宋" w:eastAsia="华文中宋" w:cs="Arial"/>
          <w:b/>
          <w:color w:val="000000"/>
          <w:kern w:val="0"/>
          <w:sz w:val="22"/>
          <w:szCs w:val="22"/>
          <w:u w:val="single"/>
          <w:lang w:eastAsia="zh-CN"/>
        </w:rPr>
        <w:t>苍产告字[2025]1号</w:t>
      </w:r>
    </w:p>
    <w:tbl>
      <w:tblPr>
        <w:tblStyle w:val="39"/>
        <w:tblW w:w="0" w:type="auto"/>
        <w:jc w:val="center"/>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725"/>
      </w:tblGrid>
      <w:tr w14:paraId="759CE551">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jc w:val="center"/>
        </w:trPr>
        <w:tc>
          <w:tcPr>
            <w:tcW w:w="8725" w:type="dxa"/>
            <w:vAlign w:val="center"/>
          </w:tcPr>
          <w:p w14:paraId="1CDA9A7D">
            <w:pPr>
              <w:jc w:val="center"/>
              <w:rPr>
                <w:rFonts w:ascii="Arial" w:hAnsi="新宋体" w:cs="Arial"/>
                <w:i/>
                <w:color w:val="FF0000"/>
                <w:szCs w:val="21"/>
              </w:rPr>
            </w:pPr>
          </w:p>
        </w:tc>
      </w:tr>
    </w:tbl>
    <w:p w14:paraId="7DE765F2">
      <w:pPr>
        <w:snapToGrid w:val="0"/>
        <w:rPr>
          <w:rFonts w:ascii="新宋体" w:hAnsi="新宋体" w:cs="Arial"/>
          <w:color w:val="000000"/>
          <w:sz w:val="22"/>
          <w:szCs w:val="22"/>
        </w:rPr>
      </w:pPr>
      <w:r>
        <w:rPr>
          <w:rFonts w:hint="eastAsia" w:ascii="新宋体" w:hAnsi="新宋体" w:cs="Arial"/>
          <w:color w:val="000000"/>
          <w:sz w:val="22"/>
          <w:szCs w:val="22"/>
        </w:rPr>
        <w:t>投标银行名称（盖章）：</w:t>
      </w:r>
      <w:r>
        <w:rPr>
          <w:rFonts w:hint="eastAsia" w:ascii="新宋体" w:hAnsi="新宋体" w:cs="Arial"/>
          <w:color w:val="000000"/>
          <w:sz w:val="22"/>
          <w:szCs w:val="22"/>
          <w:u w:val="single"/>
        </w:rPr>
        <w:t xml:space="preserve">                            </w:t>
      </w:r>
    </w:p>
    <w:p w14:paraId="69190438">
      <w:pPr>
        <w:snapToGrid w:val="0"/>
        <w:rPr>
          <w:rFonts w:ascii="新宋体" w:hAnsi="新宋体" w:cs="Arial"/>
          <w:color w:val="000000"/>
          <w:sz w:val="22"/>
          <w:szCs w:val="22"/>
        </w:rPr>
      </w:pPr>
      <w:r>
        <w:rPr>
          <w:rFonts w:hint="eastAsia" w:ascii="新宋体" w:hAnsi="新宋体" w:cs="Arial"/>
          <w:color w:val="000000"/>
          <w:sz w:val="22"/>
          <w:szCs w:val="22"/>
        </w:rPr>
        <w:t>法定代表人或其授权代表（签字或盖章）：</w:t>
      </w:r>
      <w:r>
        <w:rPr>
          <w:rFonts w:hint="eastAsia" w:ascii="新宋体" w:hAnsi="新宋体" w:cs="Arial"/>
          <w:color w:val="000000"/>
          <w:sz w:val="22"/>
          <w:szCs w:val="22"/>
          <w:u w:val="single"/>
        </w:rPr>
        <w:t xml:space="preserve">                </w:t>
      </w:r>
    </w:p>
    <w:p w14:paraId="36BA6B63">
      <w:pPr>
        <w:rPr>
          <w:u w:val="single"/>
        </w:rPr>
      </w:pPr>
      <w:r>
        <w:rPr>
          <w:rFonts w:hint="eastAsia"/>
        </w:rPr>
        <w:t>日期：</w:t>
      </w:r>
      <w:r>
        <w:rPr>
          <w:rFonts w:hint="eastAsia"/>
          <w:u w:val="single"/>
        </w:rPr>
        <w:t xml:space="preserve">                                         </w:t>
      </w:r>
    </w:p>
    <w:p w14:paraId="14E6F161">
      <w:pPr>
        <w:pStyle w:val="6"/>
      </w:pPr>
      <w:r>
        <w:br w:type="page"/>
      </w:r>
      <w:bookmarkStart w:id="175" w:name="_Toc452032144"/>
      <w:bookmarkStart w:id="176" w:name="_Toc18517"/>
      <w:bookmarkStart w:id="177" w:name="_Toc2480"/>
      <w:bookmarkStart w:id="178" w:name="_Toc2784"/>
      <w:r>
        <w:rPr>
          <w:rFonts w:hint="eastAsia"/>
        </w:rPr>
        <w:t>格式</w:t>
      </w:r>
      <w:r>
        <w:t>1</w:t>
      </w:r>
      <w:r>
        <w:rPr>
          <w:rFonts w:hint="eastAsia"/>
        </w:rPr>
        <w:t>4、指标说明</w:t>
      </w:r>
      <w:bookmarkEnd w:id="175"/>
      <w:bookmarkEnd w:id="176"/>
      <w:bookmarkEnd w:id="177"/>
      <w:bookmarkEnd w:id="178"/>
    </w:p>
    <w:p w14:paraId="36E074E2">
      <w:pPr>
        <w:jc w:val="center"/>
        <w:rPr>
          <w:rFonts w:ascii="华文中宋" w:hAnsi="华文中宋" w:eastAsia="华文中宋"/>
          <w:b/>
          <w:color w:val="000000"/>
          <w:sz w:val="40"/>
        </w:rPr>
      </w:pPr>
      <w:r>
        <w:rPr>
          <w:rFonts w:hint="eastAsia" w:ascii="华文中宋" w:hAnsi="华文中宋" w:eastAsia="华文中宋"/>
          <w:b/>
          <w:color w:val="000000"/>
          <w:sz w:val="40"/>
        </w:rPr>
        <w:t>指标说明</w:t>
      </w:r>
    </w:p>
    <w:p w14:paraId="0844A112">
      <w:pPr>
        <w:rPr>
          <w:rFonts w:hint="eastAsia" w:ascii="Arial" w:hAnsi="Arial" w:eastAsia="仿宋" w:cs="Arial"/>
          <w:b/>
          <w:color w:val="000000"/>
          <w:sz w:val="22"/>
          <w:szCs w:val="22"/>
          <w:lang w:eastAsia="zh-CN"/>
        </w:rPr>
      </w:pPr>
      <w:r>
        <w:rPr>
          <w:rFonts w:hint="eastAsia" w:ascii="Arial" w:hAnsi="新宋体" w:cs="Arial"/>
          <w:b/>
          <w:color w:val="000000"/>
          <w:sz w:val="22"/>
          <w:szCs w:val="22"/>
        </w:rPr>
        <w:t>项目</w:t>
      </w:r>
      <w:r>
        <w:rPr>
          <w:rFonts w:ascii="Arial" w:hAnsi="新宋体" w:cs="Arial"/>
          <w:b/>
          <w:color w:val="000000"/>
          <w:sz w:val="22"/>
          <w:szCs w:val="22"/>
        </w:rPr>
        <w:t>名称：</w:t>
      </w:r>
      <w:r>
        <w:rPr>
          <w:rFonts w:hint="eastAsia" w:ascii="Arial" w:hAnsi="Arial" w:cs="Arial"/>
          <w:b/>
          <w:color w:val="000000"/>
          <w:sz w:val="22"/>
          <w:szCs w:val="22"/>
          <w:u w:val="single"/>
          <w:lang w:eastAsia="zh-CN"/>
        </w:rPr>
        <w:t>苍南县人民法院2025年度公款竞争性存放项目</w:t>
      </w:r>
    </w:p>
    <w:p w14:paraId="098953AB">
      <w:pPr>
        <w:rPr>
          <w:rFonts w:hint="eastAsia" w:ascii="华文中宋" w:hAnsi="华文中宋" w:eastAsia="仿宋" w:cs="Arial"/>
          <w:b/>
          <w:color w:val="000000"/>
          <w:kern w:val="0"/>
          <w:sz w:val="22"/>
          <w:szCs w:val="22"/>
          <w:u w:val="single"/>
          <w:lang w:eastAsia="zh-CN"/>
        </w:rPr>
      </w:pPr>
      <w:r>
        <w:rPr>
          <w:rFonts w:ascii="Arial" w:hAnsi="新宋体" w:cs="Arial"/>
          <w:b/>
          <w:color w:val="000000"/>
          <w:sz w:val="22"/>
          <w:szCs w:val="22"/>
        </w:rPr>
        <w:t>项目编号：</w:t>
      </w:r>
      <w:r>
        <w:rPr>
          <w:rFonts w:hint="eastAsia" w:ascii="华文中宋" w:hAnsi="华文中宋" w:eastAsia="华文中宋" w:cs="Arial"/>
          <w:b/>
          <w:color w:val="000000"/>
          <w:kern w:val="0"/>
          <w:sz w:val="22"/>
          <w:szCs w:val="22"/>
          <w:u w:val="single"/>
          <w:lang w:eastAsia="zh-CN"/>
        </w:rPr>
        <w:t>苍产告字[2025]1号</w:t>
      </w:r>
    </w:p>
    <w:tbl>
      <w:tblPr>
        <w:tblStyle w:val="39"/>
        <w:tblW w:w="0" w:type="auto"/>
        <w:jc w:val="center"/>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739"/>
      </w:tblGrid>
      <w:tr w14:paraId="05D18A43">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jc w:val="center"/>
        </w:trPr>
        <w:tc>
          <w:tcPr>
            <w:tcW w:w="8739" w:type="dxa"/>
            <w:vAlign w:val="center"/>
          </w:tcPr>
          <w:p w14:paraId="4D87849D">
            <w:pPr>
              <w:jc w:val="center"/>
              <w:rPr>
                <w:rFonts w:ascii="Arial" w:hAnsi="新宋体" w:cs="Arial"/>
                <w:i/>
                <w:color w:val="FF0000"/>
                <w:szCs w:val="21"/>
              </w:rPr>
            </w:pPr>
            <w:r>
              <w:rPr>
                <w:rFonts w:hint="eastAsia" w:ascii="Arial" w:hAnsi="新宋体" w:cs="Arial"/>
                <w:color w:val="000000"/>
                <w:w w:val="90"/>
                <w:sz w:val="22"/>
                <w:szCs w:val="22"/>
              </w:rPr>
              <w:t>包括经营状况指标、服务水平指标、经济发展贡献指标、综合收益水平指标</w:t>
            </w:r>
          </w:p>
        </w:tc>
      </w:tr>
    </w:tbl>
    <w:p w14:paraId="5FE2A503">
      <w:pPr>
        <w:snapToGrid w:val="0"/>
        <w:rPr>
          <w:rFonts w:ascii="新宋体" w:hAnsi="新宋体" w:cs="Arial"/>
          <w:color w:val="000000"/>
          <w:sz w:val="22"/>
          <w:szCs w:val="22"/>
        </w:rPr>
      </w:pPr>
      <w:r>
        <w:rPr>
          <w:rFonts w:hint="eastAsia" w:ascii="新宋体" w:hAnsi="新宋体" w:cs="Arial"/>
          <w:color w:val="000000"/>
          <w:sz w:val="22"/>
          <w:szCs w:val="22"/>
        </w:rPr>
        <w:t>投标银行名称（盖章）：</w:t>
      </w:r>
      <w:r>
        <w:rPr>
          <w:rFonts w:hint="eastAsia" w:ascii="新宋体" w:hAnsi="新宋体" w:cs="Arial"/>
          <w:color w:val="000000"/>
          <w:sz w:val="22"/>
          <w:szCs w:val="22"/>
          <w:u w:val="single"/>
        </w:rPr>
        <w:t xml:space="preserve">                            </w:t>
      </w:r>
    </w:p>
    <w:p w14:paraId="6F651B9C">
      <w:pPr>
        <w:snapToGrid w:val="0"/>
        <w:rPr>
          <w:rFonts w:ascii="新宋体" w:hAnsi="新宋体" w:cs="Arial"/>
          <w:color w:val="000000"/>
          <w:sz w:val="22"/>
          <w:szCs w:val="22"/>
        </w:rPr>
      </w:pPr>
      <w:r>
        <w:rPr>
          <w:rFonts w:hint="eastAsia" w:ascii="新宋体" w:hAnsi="新宋体" w:cs="Arial"/>
          <w:color w:val="000000"/>
          <w:sz w:val="22"/>
          <w:szCs w:val="22"/>
        </w:rPr>
        <w:t>法定代表人或其授权代表（签字或盖章）：</w:t>
      </w:r>
      <w:r>
        <w:rPr>
          <w:rFonts w:hint="eastAsia" w:ascii="新宋体" w:hAnsi="新宋体" w:cs="Arial"/>
          <w:color w:val="000000"/>
          <w:sz w:val="22"/>
          <w:szCs w:val="22"/>
          <w:u w:val="single"/>
        </w:rPr>
        <w:t xml:space="preserve">                </w:t>
      </w:r>
    </w:p>
    <w:p w14:paraId="64229BE3">
      <w:pPr>
        <w:rPr>
          <w:u w:val="single"/>
        </w:rPr>
      </w:pPr>
      <w:r>
        <w:rPr>
          <w:rFonts w:hint="eastAsia"/>
        </w:rPr>
        <w:t>日期：</w:t>
      </w:r>
      <w:r>
        <w:rPr>
          <w:rFonts w:hint="eastAsia"/>
          <w:u w:val="single"/>
        </w:rPr>
        <w:t xml:space="preserve">                                         </w:t>
      </w:r>
    </w:p>
    <w:p w14:paraId="71A1D6B2">
      <w:pPr>
        <w:pStyle w:val="6"/>
      </w:pPr>
      <w:r>
        <w:rPr>
          <w:u w:val="single"/>
        </w:rPr>
        <w:br w:type="page"/>
      </w:r>
      <w:bookmarkStart w:id="179" w:name="_Toc31138"/>
      <w:bookmarkStart w:id="180" w:name="_Toc452032145"/>
      <w:bookmarkStart w:id="181" w:name="_Toc26975"/>
      <w:bookmarkStart w:id="182" w:name="_Toc18127"/>
      <w:r>
        <w:rPr>
          <w:rFonts w:hint="eastAsia"/>
        </w:rPr>
        <w:t>格式</w:t>
      </w:r>
      <w:r>
        <w:t>1</w:t>
      </w:r>
      <w:r>
        <w:rPr>
          <w:rFonts w:hint="eastAsia"/>
        </w:rPr>
        <w:t>5、优惠承诺</w:t>
      </w:r>
      <w:bookmarkEnd w:id="179"/>
      <w:bookmarkEnd w:id="180"/>
      <w:bookmarkEnd w:id="181"/>
      <w:bookmarkEnd w:id="182"/>
    </w:p>
    <w:p w14:paraId="7CEB9B4E">
      <w:pPr>
        <w:jc w:val="center"/>
        <w:rPr>
          <w:rFonts w:ascii="华文中宋" w:hAnsi="华文中宋" w:eastAsia="华文中宋"/>
          <w:b/>
          <w:color w:val="000000"/>
          <w:sz w:val="40"/>
        </w:rPr>
      </w:pPr>
      <w:r>
        <w:rPr>
          <w:rFonts w:hint="eastAsia" w:ascii="华文中宋" w:hAnsi="华文中宋" w:eastAsia="华文中宋"/>
          <w:b/>
          <w:color w:val="000000"/>
          <w:sz w:val="40"/>
        </w:rPr>
        <w:t>优惠承诺</w:t>
      </w:r>
    </w:p>
    <w:p w14:paraId="273FBB17">
      <w:pPr>
        <w:rPr>
          <w:rFonts w:hint="eastAsia" w:ascii="Arial" w:hAnsi="Arial" w:eastAsia="仿宋" w:cs="Arial"/>
          <w:b/>
          <w:color w:val="000000"/>
          <w:sz w:val="22"/>
          <w:szCs w:val="22"/>
          <w:lang w:eastAsia="zh-CN"/>
        </w:rPr>
      </w:pPr>
      <w:r>
        <w:rPr>
          <w:rFonts w:hint="eastAsia" w:ascii="Arial" w:hAnsi="新宋体" w:cs="Arial"/>
          <w:b/>
          <w:color w:val="000000"/>
          <w:sz w:val="22"/>
          <w:szCs w:val="22"/>
        </w:rPr>
        <w:t>项目</w:t>
      </w:r>
      <w:r>
        <w:rPr>
          <w:rFonts w:ascii="Arial" w:hAnsi="新宋体" w:cs="Arial"/>
          <w:b/>
          <w:color w:val="000000"/>
          <w:sz w:val="22"/>
          <w:szCs w:val="22"/>
        </w:rPr>
        <w:t>名称：</w:t>
      </w:r>
      <w:r>
        <w:rPr>
          <w:rFonts w:hint="eastAsia" w:ascii="Arial" w:hAnsi="Arial" w:cs="Arial"/>
          <w:b/>
          <w:color w:val="000000"/>
          <w:sz w:val="22"/>
          <w:szCs w:val="22"/>
          <w:u w:val="single"/>
          <w:lang w:eastAsia="zh-CN"/>
        </w:rPr>
        <w:t>苍南县人民法院2025年度公款竞争性存放项目</w:t>
      </w:r>
    </w:p>
    <w:p w14:paraId="27553EEC">
      <w:pPr>
        <w:rPr>
          <w:rFonts w:hint="eastAsia" w:ascii="华文中宋" w:hAnsi="华文中宋" w:eastAsia="仿宋" w:cs="Arial"/>
          <w:b/>
          <w:color w:val="000000"/>
          <w:kern w:val="0"/>
          <w:sz w:val="22"/>
          <w:szCs w:val="22"/>
          <w:u w:val="single"/>
          <w:lang w:eastAsia="zh-CN"/>
        </w:rPr>
      </w:pPr>
      <w:r>
        <w:rPr>
          <w:rFonts w:ascii="Arial" w:hAnsi="新宋体" w:cs="Arial"/>
          <w:b/>
          <w:color w:val="000000"/>
          <w:sz w:val="22"/>
          <w:szCs w:val="22"/>
        </w:rPr>
        <w:t>项目编号：</w:t>
      </w:r>
      <w:r>
        <w:rPr>
          <w:rFonts w:hint="eastAsia" w:ascii="华文中宋" w:hAnsi="华文中宋" w:eastAsia="华文中宋" w:cs="Arial"/>
          <w:b/>
          <w:color w:val="000000"/>
          <w:kern w:val="0"/>
          <w:sz w:val="22"/>
          <w:szCs w:val="22"/>
          <w:u w:val="single"/>
          <w:lang w:eastAsia="zh-CN"/>
        </w:rPr>
        <w:t>苍产告字[2025]1号</w:t>
      </w:r>
    </w:p>
    <w:tbl>
      <w:tblPr>
        <w:tblStyle w:val="39"/>
        <w:tblW w:w="0" w:type="auto"/>
        <w:jc w:val="center"/>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900"/>
      </w:tblGrid>
      <w:tr w14:paraId="29E9569B">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jc w:val="center"/>
        </w:trPr>
        <w:tc>
          <w:tcPr>
            <w:tcW w:w="8900" w:type="dxa"/>
            <w:vAlign w:val="center"/>
          </w:tcPr>
          <w:p w14:paraId="7C4CE088">
            <w:pPr>
              <w:jc w:val="center"/>
              <w:rPr>
                <w:rFonts w:ascii="Arial" w:hAnsi="新宋体" w:cs="Arial"/>
                <w:i/>
                <w:color w:val="FF0000"/>
                <w:szCs w:val="21"/>
              </w:rPr>
            </w:pPr>
          </w:p>
        </w:tc>
      </w:tr>
    </w:tbl>
    <w:p w14:paraId="31E9C9BF">
      <w:pPr>
        <w:snapToGrid w:val="0"/>
        <w:rPr>
          <w:rFonts w:ascii="新宋体" w:hAnsi="新宋体" w:cs="Arial"/>
          <w:color w:val="000000"/>
          <w:sz w:val="22"/>
          <w:szCs w:val="22"/>
        </w:rPr>
      </w:pPr>
      <w:r>
        <w:rPr>
          <w:rFonts w:hint="eastAsia" w:ascii="新宋体" w:hAnsi="新宋体" w:cs="Arial"/>
          <w:color w:val="000000"/>
          <w:sz w:val="22"/>
          <w:szCs w:val="22"/>
        </w:rPr>
        <w:t>投标银行名称（盖章）：</w:t>
      </w:r>
      <w:r>
        <w:rPr>
          <w:rFonts w:hint="eastAsia" w:ascii="新宋体" w:hAnsi="新宋体" w:cs="Arial"/>
          <w:color w:val="000000"/>
          <w:sz w:val="22"/>
          <w:szCs w:val="22"/>
          <w:u w:val="single"/>
        </w:rPr>
        <w:t xml:space="preserve">                            </w:t>
      </w:r>
    </w:p>
    <w:p w14:paraId="68D7DBEF">
      <w:pPr>
        <w:snapToGrid w:val="0"/>
        <w:rPr>
          <w:rFonts w:ascii="新宋体" w:hAnsi="新宋体" w:cs="Arial"/>
          <w:color w:val="000000"/>
          <w:sz w:val="22"/>
          <w:szCs w:val="22"/>
        </w:rPr>
      </w:pPr>
      <w:r>
        <w:rPr>
          <w:rFonts w:hint="eastAsia" w:ascii="新宋体" w:hAnsi="新宋体" w:cs="Arial"/>
          <w:color w:val="000000"/>
          <w:sz w:val="22"/>
          <w:szCs w:val="22"/>
        </w:rPr>
        <w:t>法定代表人或其授权代表（签字或盖章）：</w:t>
      </w:r>
      <w:r>
        <w:rPr>
          <w:rFonts w:hint="eastAsia" w:ascii="新宋体" w:hAnsi="新宋体" w:cs="Arial"/>
          <w:color w:val="000000"/>
          <w:sz w:val="22"/>
          <w:szCs w:val="22"/>
          <w:u w:val="single"/>
        </w:rPr>
        <w:t xml:space="preserve">                </w:t>
      </w:r>
    </w:p>
    <w:p w14:paraId="457EB6CD">
      <w:pPr>
        <w:rPr>
          <w:u w:val="single"/>
        </w:rPr>
      </w:pPr>
      <w:r>
        <w:rPr>
          <w:rFonts w:hint="eastAsia"/>
        </w:rPr>
        <w:t>日期：</w:t>
      </w:r>
      <w:r>
        <w:rPr>
          <w:rFonts w:hint="eastAsia"/>
          <w:u w:val="single"/>
        </w:rPr>
        <w:t xml:space="preserve">                                         </w:t>
      </w:r>
    </w:p>
    <w:p w14:paraId="73347B05">
      <w:pPr>
        <w:pStyle w:val="6"/>
      </w:pPr>
      <w:bookmarkStart w:id="183" w:name="_Toc24689"/>
      <w:bookmarkStart w:id="184" w:name="_Toc452032146"/>
      <w:bookmarkStart w:id="185" w:name="_Toc9809"/>
      <w:bookmarkStart w:id="186" w:name="_Toc23696"/>
      <w:r>
        <w:rPr>
          <w:rFonts w:hint="eastAsia"/>
        </w:rPr>
        <w:t>格式16、拟派项目团队组成情况</w:t>
      </w:r>
      <w:bookmarkEnd w:id="183"/>
      <w:bookmarkEnd w:id="184"/>
      <w:bookmarkEnd w:id="185"/>
      <w:bookmarkEnd w:id="186"/>
    </w:p>
    <w:p w14:paraId="7105221F">
      <w:pPr>
        <w:jc w:val="center"/>
        <w:rPr>
          <w:rFonts w:ascii="华文中宋" w:hAnsi="华文中宋" w:eastAsia="华文中宋"/>
          <w:b/>
          <w:color w:val="000000"/>
          <w:sz w:val="40"/>
        </w:rPr>
      </w:pPr>
      <w:r>
        <w:rPr>
          <w:rFonts w:hint="eastAsia" w:ascii="华文中宋" w:hAnsi="华文中宋" w:eastAsia="华文中宋"/>
          <w:b/>
          <w:color w:val="000000"/>
          <w:sz w:val="40"/>
        </w:rPr>
        <w:t>拟派项目团队组成情况</w:t>
      </w:r>
    </w:p>
    <w:p w14:paraId="5B7795D1">
      <w:pPr>
        <w:rPr>
          <w:rFonts w:hint="eastAsia" w:ascii="Arial" w:hAnsi="Arial" w:eastAsia="仿宋" w:cs="Arial"/>
          <w:b/>
          <w:color w:val="000000"/>
          <w:sz w:val="22"/>
          <w:szCs w:val="22"/>
          <w:lang w:eastAsia="zh-CN"/>
        </w:rPr>
      </w:pPr>
      <w:r>
        <w:rPr>
          <w:rFonts w:hint="eastAsia" w:ascii="Arial" w:hAnsi="新宋体" w:cs="Arial"/>
          <w:b/>
          <w:color w:val="000000"/>
          <w:sz w:val="22"/>
          <w:szCs w:val="22"/>
        </w:rPr>
        <w:t>项目</w:t>
      </w:r>
      <w:r>
        <w:rPr>
          <w:rFonts w:ascii="Arial" w:hAnsi="新宋体" w:cs="Arial"/>
          <w:b/>
          <w:color w:val="000000"/>
          <w:sz w:val="22"/>
          <w:szCs w:val="22"/>
        </w:rPr>
        <w:t>名称：</w:t>
      </w:r>
      <w:r>
        <w:rPr>
          <w:rFonts w:hint="eastAsia" w:ascii="Arial" w:hAnsi="Arial" w:cs="Arial"/>
          <w:b/>
          <w:color w:val="000000"/>
          <w:sz w:val="22"/>
          <w:szCs w:val="22"/>
          <w:u w:val="single"/>
          <w:lang w:eastAsia="zh-CN"/>
        </w:rPr>
        <w:t>苍南县人民法院2025年度公款竞争性存放项目</w:t>
      </w:r>
    </w:p>
    <w:p w14:paraId="1378DE71">
      <w:pPr>
        <w:rPr>
          <w:rFonts w:hint="eastAsia" w:ascii="华文中宋" w:hAnsi="华文中宋" w:eastAsia="仿宋" w:cs="Arial"/>
          <w:color w:val="000000"/>
          <w:kern w:val="0"/>
          <w:sz w:val="22"/>
          <w:szCs w:val="22"/>
          <w:u w:val="single"/>
          <w:lang w:eastAsia="zh-CN"/>
        </w:rPr>
      </w:pPr>
      <w:r>
        <w:rPr>
          <w:rFonts w:ascii="Arial" w:hAnsi="新宋体" w:cs="Arial"/>
          <w:b/>
          <w:color w:val="000000"/>
          <w:sz w:val="22"/>
          <w:szCs w:val="22"/>
        </w:rPr>
        <w:t>项目编号：</w:t>
      </w:r>
      <w:r>
        <w:rPr>
          <w:rFonts w:hint="eastAsia" w:ascii="华文中宋" w:hAnsi="华文中宋" w:eastAsia="华文中宋" w:cs="Arial"/>
          <w:b/>
          <w:color w:val="000000"/>
          <w:kern w:val="0"/>
          <w:sz w:val="22"/>
          <w:szCs w:val="22"/>
          <w:u w:val="single"/>
          <w:lang w:eastAsia="zh-CN"/>
        </w:rPr>
        <w:t>苍产告字[2025]1号</w:t>
      </w:r>
    </w:p>
    <w:tbl>
      <w:tblPr>
        <w:tblStyle w:val="39"/>
        <w:tblW w:w="8950"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538"/>
        <w:gridCol w:w="1380"/>
        <w:gridCol w:w="1701"/>
        <w:gridCol w:w="1769"/>
        <w:gridCol w:w="1500"/>
      </w:tblGrid>
      <w:tr w14:paraId="2A80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092D9205">
            <w:pPr>
              <w:spacing w:line="240" w:lineRule="auto"/>
              <w:jc w:val="center"/>
              <w:rPr>
                <w:rFonts w:ascii="Arial" w:hAnsi="Arial" w:cs="Arial"/>
                <w:b/>
                <w:color w:val="000000"/>
                <w:w w:val="90"/>
                <w:sz w:val="22"/>
                <w:szCs w:val="22"/>
              </w:rPr>
            </w:pPr>
            <w:r>
              <w:rPr>
                <w:rFonts w:ascii="Arial" w:hAnsi="新宋体" w:cs="Arial"/>
                <w:b/>
                <w:color w:val="000000"/>
                <w:w w:val="90"/>
                <w:sz w:val="22"/>
                <w:szCs w:val="22"/>
              </w:rPr>
              <w:t>序号</w:t>
            </w:r>
          </w:p>
        </w:tc>
        <w:tc>
          <w:tcPr>
            <w:tcW w:w="1538" w:type="dxa"/>
            <w:vAlign w:val="center"/>
          </w:tcPr>
          <w:p w14:paraId="15716C30">
            <w:pPr>
              <w:spacing w:line="240" w:lineRule="auto"/>
              <w:jc w:val="center"/>
              <w:rPr>
                <w:rFonts w:ascii="Arial" w:hAnsi="Arial" w:cs="Arial"/>
                <w:b/>
                <w:color w:val="000000"/>
                <w:w w:val="90"/>
                <w:sz w:val="22"/>
                <w:szCs w:val="22"/>
              </w:rPr>
            </w:pPr>
            <w:r>
              <w:rPr>
                <w:rFonts w:ascii="Arial" w:hAnsi="新宋体" w:cs="Arial"/>
                <w:b/>
                <w:color w:val="000000"/>
                <w:w w:val="90"/>
                <w:sz w:val="22"/>
                <w:szCs w:val="22"/>
              </w:rPr>
              <w:t>姓名</w:t>
            </w:r>
          </w:p>
        </w:tc>
        <w:tc>
          <w:tcPr>
            <w:tcW w:w="1380" w:type="dxa"/>
            <w:vAlign w:val="center"/>
          </w:tcPr>
          <w:p w14:paraId="16775EE7">
            <w:pPr>
              <w:spacing w:line="240" w:lineRule="auto"/>
              <w:jc w:val="center"/>
              <w:rPr>
                <w:rFonts w:ascii="Arial" w:hAnsi="Arial" w:cs="Arial"/>
                <w:b/>
                <w:color w:val="000000"/>
                <w:w w:val="90"/>
                <w:sz w:val="22"/>
                <w:szCs w:val="22"/>
              </w:rPr>
            </w:pPr>
            <w:r>
              <w:rPr>
                <w:rFonts w:hint="eastAsia" w:ascii="Arial" w:hAnsi="Arial" w:cs="Arial"/>
                <w:b/>
                <w:color w:val="000000"/>
                <w:w w:val="90"/>
                <w:sz w:val="22"/>
                <w:szCs w:val="22"/>
              </w:rPr>
              <w:t>职务职称</w:t>
            </w:r>
          </w:p>
        </w:tc>
        <w:tc>
          <w:tcPr>
            <w:tcW w:w="1701" w:type="dxa"/>
            <w:vAlign w:val="center"/>
          </w:tcPr>
          <w:p w14:paraId="0C386A77">
            <w:pPr>
              <w:spacing w:line="240" w:lineRule="auto"/>
              <w:jc w:val="center"/>
              <w:rPr>
                <w:rFonts w:ascii="Arial" w:hAnsi="Arial" w:cs="Arial"/>
                <w:b/>
                <w:color w:val="000000"/>
                <w:w w:val="90"/>
                <w:sz w:val="22"/>
                <w:szCs w:val="22"/>
              </w:rPr>
            </w:pPr>
            <w:r>
              <w:rPr>
                <w:rFonts w:ascii="Arial" w:hAnsi="新宋体" w:cs="Arial"/>
                <w:b/>
                <w:color w:val="000000"/>
                <w:w w:val="90"/>
                <w:sz w:val="22"/>
                <w:szCs w:val="22"/>
              </w:rPr>
              <w:t>出生年月</w:t>
            </w:r>
          </w:p>
        </w:tc>
        <w:tc>
          <w:tcPr>
            <w:tcW w:w="1769" w:type="dxa"/>
            <w:vAlign w:val="center"/>
          </w:tcPr>
          <w:p w14:paraId="675A7A52">
            <w:pPr>
              <w:spacing w:line="240" w:lineRule="auto"/>
              <w:jc w:val="center"/>
              <w:rPr>
                <w:rFonts w:ascii="Arial" w:hAnsi="Arial" w:cs="Arial"/>
                <w:b/>
                <w:color w:val="000000"/>
                <w:w w:val="90"/>
                <w:sz w:val="22"/>
                <w:szCs w:val="22"/>
              </w:rPr>
            </w:pPr>
            <w:r>
              <w:rPr>
                <w:rFonts w:hint="eastAsia" w:ascii="Arial" w:hAnsi="新宋体" w:cs="Arial"/>
                <w:b/>
                <w:color w:val="000000"/>
                <w:w w:val="90"/>
                <w:sz w:val="22"/>
                <w:szCs w:val="22"/>
              </w:rPr>
              <w:t>拟任岗位</w:t>
            </w:r>
          </w:p>
        </w:tc>
        <w:tc>
          <w:tcPr>
            <w:tcW w:w="1500" w:type="dxa"/>
            <w:vAlign w:val="center"/>
          </w:tcPr>
          <w:p w14:paraId="3BCB91B6">
            <w:pPr>
              <w:spacing w:line="240" w:lineRule="auto"/>
              <w:jc w:val="center"/>
              <w:rPr>
                <w:rFonts w:ascii="Arial" w:hAnsi="Arial" w:cs="Arial"/>
                <w:b/>
                <w:color w:val="000000"/>
                <w:w w:val="90"/>
                <w:sz w:val="22"/>
                <w:szCs w:val="22"/>
              </w:rPr>
            </w:pPr>
            <w:r>
              <w:rPr>
                <w:rFonts w:ascii="Arial" w:hAnsi="新宋体" w:cs="Arial"/>
                <w:b/>
                <w:color w:val="000000"/>
                <w:w w:val="90"/>
                <w:sz w:val="22"/>
                <w:szCs w:val="22"/>
              </w:rPr>
              <w:t>工作年限</w:t>
            </w:r>
          </w:p>
        </w:tc>
      </w:tr>
      <w:tr w14:paraId="63A3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3DE9DA08">
            <w:pPr>
              <w:rPr>
                <w:rFonts w:ascii="Arial" w:hAnsi="新宋体" w:cs="Arial"/>
                <w:color w:val="000000"/>
                <w:w w:val="90"/>
                <w:sz w:val="22"/>
                <w:szCs w:val="22"/>
              </w:rPr>
            </w:pPr>
          </w:p>
        </w:tc>
        <w:tc>
          <w:tcPr>
            <w:tcW w:w="1538" w:type="dxa"/>
            <w:vAlign w:val="center"/>
          </w:tcPr>
          <w:p w14:paraId="51EE63C6">
            <w:pPr>
              <w:rPr>
                <w:rFonts w:ascii="Arial" w:hAnsi="新宋体" w:cs="Arial"/>
                <w:color w:val="000000"/>
                <w:w w:val="90"/>
                <w:sz w:val="22"/>
                <w:szCs w:val="22"/>
              </w:rPr>
            </w:pPr>
          </w:p>
        </w:tc>
        <w:tc>
          <w:tcPr>
            <w:tcW w:w="1380" w:type="dxa"/>
            <w:vAlign w:val="center"/>
          </w:tcPr>
          <w:p w14:paraId="28794137">
            <w:pPr>
              <w:rPr>
                <w:rFonts w:ascii="Arial" w:hAnsi="新宋体" w:cs="Arial"/>
                <w:color w:val="000000"/>
                <w:w w:val="90"/>
                <w:sz w:val="22"/>
                <w:szCs w:val="22"/>
              </w:rPr>
            </w:pPr>
          </w:p>
        </w:tc>
        <w:tc>
          <w:tcPr>
            <w:tcW w:w="1701" w:type="dxa"/>
            <w:vAlign w:val="center"/>
          </w:tcPr>
          <w:p w14:paraId="38ACCE14">
            <w:pPr>
              <w:rPr>
                <w:rFonts w:ascii="Arial" w:hAnsi="新宋体" w:cs="Arial"/>
                <w:color w:val="000000"/>
                <w:w w:val="90"/>
                <w:sz w:val="22"/>
                <w:szCs w:val="22"/>
              </w:rPr>
            </w:pPr>
          </w:p>
        </w:tc>
        <w:tc>
          <w:tcPr>
            <w:tcW w:w="1769" w:type="dxa"/>
            <w:vAlign w:val="center"/>
          </w:tcPr>
          <w:p w14:paraId="01B714E3">
            <w:pPr>
              <w:rPr>
                <w:rFonts w:ascii="Arial" w:hAnsi="新宋体" w:cs="Arial"/>
                <w:color w:val="000000"/>
                <w:w w:val="90"/>
                <w:sz w:val="22"/>
                <w:szCs w:val="22"/>
              </w:rPr>
            </w:pPr>
          </w:p>
        </w:tc>
        <w:tc>
          <w:tcPr>
            <w:tcW w:w="1500" w:type="dxa"/>
            <w:vAlign w:val="center"/>
          </w:tcPr>
          <w:p w14:paraId="7DC786F5">
            <w:pPr>
              <w:rPr>
                <w:rFonts w:ascii="Arial" w:hAnsi="新宋体" w:cs="Arial"/>
                <w:color w:val="000000"/>
                <w:w w:val="90"/>
                <w:sz w:val="22"/>
                <w:szCs w:val="22"/>
              </w:rPr>
            </w:pPr>
          </w:p>
        </w:tc>
      </w:tr>
      <w:tr w14:paraId="248F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622FC495">
            <w:pPr>
              <w:rPr>
                <w:rFonts w:ascii="Arial" w:hAnsi="新宋体" w:cs="Arial"/>
                <w:color w:val="000000"/>
                <w:w w:val="90"/>
                <w:sz w:val="22"/>
                <w:szCs w:val="22"/>
              </w:rPr>
            </w:pPr>
          </w:p>
        </w:tc>
        <w:tc>
          <w:tcPr>
            <w:tcW w:w="1538" w:type="dxa"/>
            <w:vAlign w:val="center"/>
          </w:tcPr>
          <w:p w14:paraId="1B43932C">
            <w:pPr>
              <w:rPr>
                <w:rFonts w:ascii="Arial" w:hAnsi="新宋体" w:cs="Arial"/>
                <w:color w:val="000000"/>
                <w:w w:val="90"/>
                <w:sz w:val="22"/>
                <w:szCs w:val="22"/>
              </w:rPr>
            </w:pPr>
          </w:p>
        </w:tc>
        <w:tc>
          <w:tcPr>
            <w:tcW w:w="1380" w:type="dxa"/>
            <w:vAlign w:val="center"/>
          </w:tcPr>
          <w:p w14:paraId="03BD5837">
            <w:pPr>
              <w:rPr>
                <w:rFonts w:ascii="Arial" w:hAnsi="新宋体" w:cs="Arial"/>
                <w:color w:val="000000"/>
                <w:w w:val="90"/>
                <w:sz w:val="22"/>
                <w:szCs w:val="22"/>
              </w:rPr>
            </w:pPr>
          </w:p>
        </w:tc>
        <w:tc>
          <w:tcPr>
            <w:tcW w:w="1701" w:type="dxa"/>
            <w:vAlign w:val="center"/>
          </w:tcPr>
          <w:p w14:paraId="5B2AD23C">
            <w:pPr>
              <w:rPr>
                <w:rFonts w:ascii="Arial" w:hAnsi="新宋体" w:cs="Arial"/>
                <w:color w:val="000000"/>
                <w:w w:val="90"/>
                <w:sz w:val="22"/>
                <w:szCs w:val="22"/>
              </w:rPr>
            </w:pPr>
          </w:p>
        </w:tc>
        <w:tc>
          <w:tcPr>
            <w:tcW w:w="1769" w:type="dxa"/>
            <w:vAlign w:val="center"/>
          </w:tcPr>
          <w:p w14:paraId="51557A45">
            <w:pPr>
              <w:rPr>
                <w:rFonts w:ascii="Arial" w:hAnsi="新宋体" w:cs="Arial"/>
                <w:color w:val="000000"/>
                <w:w w:val="90"/>
                <w:sz w:val="22"/>
                <w:szCs w:val="22"/>
              </w:rPr>
            </w:pPr>
          </w:p>
        </w:tc>
        <w:tc>
          <w:tcPr>
            <w:tcW w:w="1500" w:type="dxa"/>
            <w:vAlign w:val="center"/>
          </w:tcPr>
          <w:p w14:paraId="744A7AED">
            <w:pPr>
              <w:rPr>
                <w:rFonts w:ascii="Arial" w:hAnsi="新宋体" w:cs="Arial"/>
                <w:color w:val="000000"/>
                <w:w w:val="90"/>
                <w:sz w:val="22"/>
                <w:szCs w:val="22"/>
              </w:rPr>
            </w:pPr>
          </w:p>
        </w:tc>
      </w:tr>
      <w:tr w14:paraId="1458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0EF985C3">
            <w:pPr>
              <w:rPr>
                <w:rFonts w:ascii="Arial" w:hAnsi="新宋体" w:cs="Arial"/>
                <w:color w:val="000000"/>
                <w:w w:val="90"/>
                <w:sz w:val="22"/>
                <w:szCs w:val="22"/>
              </w:rPr>
            </w:pPr>
          </w:p>
        </w:tc>
        <w:tc>
          <w:tcPr>
            <w:tcW w:w="1538" w:type="dxa"/>
            <w:vAlign w:val="center"/>
          </w:tcPr>
          <w:p w14:paraId="0DE17ABE">
            <w:pPr>
              <w:rPr>
                <w:rFonts w:ascii="Arial" w:hAnsi="新宋体" w:cs="Arial"/>
                <w:color w:val="000000"/>
                <w:w w:val="90"/>
                <w:sz w:val="22"/>
                <w:szCs w:val="22"/>
              </w:rPr>
            </w:pPr>
          </w:p>
        </w:tc>
        <w:tc>
          <w:tcPr>
            <w:tcW w:w="1380" w:type="dxa"/>
            <w:vAlign w:val="center"/>
          </w:tcPr>
          <w:p w14:paraId="2E57D6DB">
            <w:pPr>
              <w:rPr>
                <w:rFonts w:ascii="Arial" w:hAnsi="新宋体" w:cs="Arial"/>
                <w:color w:val="000000"/>
                <w:w w:val="90"/>
                <w:sz w:val="22"/>
                <w:szCs w:val="22"/>
              </w:rPr>
            </w:pPr>
          </w:p>
        </w:tc>
        <w:tc>
          <w:tcPr>
            <w:tcW w:w="1701" w:type="dxa"/>
            <w:vAlign w:val="center"/>
          </w:tcPr>
          <w:p w14:paraId="5293EA79">
            <w:pPr>
              <w:rPr>
                <w:rFonts w:ascii="Arial" w:hAnsi="新宋体" w:cs="Arial"/>
                <w:color w:val="000000"/>
                <w:w w:val="90"/>
                <w:sz w:val="22"/>
                <w:szCs w:val="22"/>
              </w:rPr>
            </w:pPr>
          </w:p>
        </w:tc>
        <w:tc>
          <w:tcPr>
            <w:tcW w:w="1769" w:type="dxa"/>
            <w:vAlign w:val="center"/>
          </w:tcPr>
          <w:p w14:paraId="3FB77F0A">
            <w:pPr>
              <w:rPr>
                <w:rFonts w:ascii="Arial" w:hAnsi="新宋体" w:cs="Arial"/>
                <w:color w:val="000000"/>
                <w:w w:val="90"/>
                <w:sz w:val="22"/>
                <w:szCs w:val="22"/>
              </w:rPr>
            </w:pPr>
          </w:p>
        </w:tc>
        <w:tc>
          <w:tcPr>
            <w:tcW w:w="1500" w:type="dxa"/>
            <w:vAlign w:val="center"/>
          </w:tcPr>
          <w:p w14:paraId="11A43E53">
            <w:pPr>
              <w:rPr>
                <w:rFonts w:ascii="Arial" w:hAnsi="新宋体" w:cs="Arial"/>
                <w:color w:val="000000"/>
                <w:w w:val="90"/>
                <w:sz w:val="22"/>
                <w:szCs w:val="22"/>
              </w:rPr>
            </w:pPr>
          </w:p>
        </w:tc>
      </w:tr>
      <w:tr w14:paraId="64FA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238CD0E1">
            <w:pPr>
              <w:rPr>
                <w:rFonts w:ascii="Arial" w:hAnsi="新宋体" w:cs="Arial"/>
                <w:color w:val="000000"/>
                <w:w w:val="90"/>
                <w:sz w:val="22"/>
                <w:szCs w:val="22"/>
              </w:rPr>
            </w:pPr>
          </w:p>
        </w:tc>
        <w:tc>
          <w:tcPr>
            <w:tcW w:w="1538" w:type="dxa"/>
            <w:vAlign w:val="center"/>
          </w:tcPr>
          <w:p w14:paraId="7269F313">
            <w:pPr>
              <w:rPr>
                <w:rFonts w:ascii="Arial" w:hAnsi="新宋体" w:cs="Arial"/>
                <w:color w:val="000000"/>
                <w:w w:val="90"/>
                <w:sz w:val="22"/>
                <w:szCs w:val="22"/>
              </w:rPr>
            </w:pPr>
          </w:p>
        </w:tc>
        <w:tc>
          <w:tcPr>
            <w:tcW w:w="1380" w:type="dxa"/>
            <w:vAlign w:val="center"/>
          </w:tcPr>
          <w:p w14:paraId="17685868">
            <w:pPr>
              <w:rPr>
                <w:rFonts w:ascii="Arial" w:hAnsi="新宋体" w:cs="Arial"/>
                <w:color w:val="000000"/>
                <w:w w:val="90"/>
                <w:sz w:val="22"/>
                <w:szCs w:val="22"/>
              </w:rPr>
            </w:pPr>
          </w:p>
        </w:tc>
        <w:tc>
          <w:tcPr>
            <w:tcW w:w="1701" w:type="dxa"/>
            <w:vAlign w:val="center"/>
          </w:tcPr>
          <w:p w14:paraId="0EEB6CDC">
            <w:pPr>
              <w:rPr>
                <w:rFonts w:ascii="Arial" w:hAnsi="新宋体" w:cs="Arial"/>
                <w:color w:val="000000"/>
                <w:w w:val="90"/>
                <w:sz w:val="22"/>
                <w:szCs w:val="22"/>
              </w:rPr>
            </w:pPr>
          </w:p>
        </w:tc>
        <w:tc>
          <w:tcPr>
            <w:tcW w:w="1769" w:type="dxa"/>
            <w:vAlign w:val="center"/>
          </w:tcPr>
          <w:p w14:paraId="0CE88955">
            <w:pPr>
              <w:rPr>
                <w:rFonts w:ascii="Arial" w:hAnsi="新宋体" w:cs="Arial"/>
                <w:color w:val="000000"/>
                <w:w w:val="90"/>
                <w:sz w:val="22"/>
                <w:szCs w:val="22"/>
              </w:rPr>
            </w:pPr>
          </w:p>
        </w:tc>
        <w:tc>
          <w:tcPr>
            <w:tcW w:w="1500" w:type="dxa"/>
            <w:vAlign w:val="center"/>
          </w:tcPr>
          <w:p w14:paraId="72CDB9E8">
            <w:pPr>
              <w:rPr>
                <w:rFonts w:ascii="Arial" w:hAnsi="新宋体" w:cs="Arial"/>
                <w:color w:val="000000"/>
                <w:w w:val="90"/>
                <w:sz w:val="22"/>
                <w:szCs w:val="22"/>
              </w:rPr>
            </w:pPr>
          </w:p>
        </w:tc>
      </w:tr>
      <w:tr w14:paraId="0CEE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72BB18D8">
            <w:pPr>
              <w:rPr>
                <w:rFonts w:ascii="Arial" w:hAnsi="新宋体" w:cs="Arial"/>
                <w:color w:val="000000"/>
                <w:w w:val="90"/>
                <w:sz w:val="22"/>
                <w:szCs w:val="22"/>
              </w:rPr>
            </w:pPr>
          </w:p>
        </w:tc>
        <w:tc>
          <w:tcPr>
            <w:tcW w:w="1538" w:type="dxa"/>
            <w:vAlign w:val="center"/>
          </w:tcPr>
          <w:p w14:paraId="64CFD6D8">
            <w:pPr>
              <w:rPr>
                <w:rFonts w:ascii="Arial" w:hAnsi="新宋体" w:cs="Arial"/>
                <w:color w:val="000000"/>
                <w:w w:val="90"/>
                <w:sz w:val="22"/>
                <w:szCs w:val="22"/>
              </w:rPr>
            </w:pPr>
          </w:p>
        </w:tc>
        <w:tc>
          <w:tcPr>
            <w:tcW w:w="1380" w:type="dxa"/>
            <w:vAlign w:val="center"/>
          </w:tcPr>
          <w:p w14:paraId="5EBE6449">
            <w:pPr>
              <w:rPr>
                <w:rFonts w:ascii="Arial" w:hAnsi="新宋体" w:cs="Arial"/>
                <w:color w:val="000000"/>
                <w:w w:val="90"/>
                <w:sz w:val="22"/>
                <w:szCs w:val="22"/>
              </w:rPr>
            </w:pPr>
          </w:p>
        </w:tc>
        <w:tc>
          <w:tcPr>
            <w:tcW w:w="1701" w:type="dxa"/>
            <w:vAlign w:val="center"/>
          </w:tcPr>
          <w:p w14:paraId="3CED4BB0">
            <w:pPr>
              <w:rPr>
                <w:rFonts w:ascii="Arial" w:hAnsi="新宋体" w:cs="Arial"/>
                <w:color w:val="000000"/>
                <w:w w:val="90"/>
                <w:sz w:val="22"/>
                <w:szCs w:val="22"/>
              </w:rPr>
            </w:pPr>
          </w:p>
        </w:tc>
        <w:tc>
          <w:tcPr>
            <w:tcW w:w="1769" w:type="dxa"/>
            <w:vAlign w:val="center"/>
          </w:tcPr>
          <w:p w14:paraId="6B723A98">
            <w:pPr>
              <w:rPr>
                <w:rFonts w:ascii="Arial" w:hAnsi="新宋体" w:cs="Arial"/>
                <w:color w:val="000000"/>
                <w:w w:val="90"/>
                <w:sz w:val="22"/>
                <w:szCs w:val="22"/>
              </w:rPr>
            </w:pPr>
          </w:p>
        </w:tc>
        <w:tc>
          <w:tcPr>
            <w:tcW w:w="1500" w:type="dxa"/>
            <w:vAlign w:val="center"/>
          </w:tcPr>
          <w:p w14:paraId="2F6C4350">
            <w:pPr>
              <w:rPr>
                <w:rFonts w:ascii="Arial" w:hAnsi="新宋体" w:cs="Arial"/>
                <w:color w:val="000000"/>
                <w:w w:val="90"/>
                <w:sz w:val="22"/>
                <w:szCs w:val="22"/>
              </w:rPr>
            </w:pPr>
          </w:p>
        </w:tc>
      </w:tr>
      <w:tr w14:paraId="2109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0B43DC8A">
            <w:pPr>
              <w:rPr>
                <w:rFonts w:ascii="Arial" w:hAnsi="新宋体" w:cs="Arial"/>
                <w:color w:val="000000"/>
                <w:w w:val="90"/>
                <w:sz w:val="22"/>
                <w:szCs w:val="22"/>
              </w:rPr>
            </w:pPr>
          </w:p>
        </w:tc>
        <w:tc>
          <w:tcPr>
            <w:tcW w:w="1538" w:type="dxa"/>
            <w:vAlign w:val="center"/>
          </w:tcPr>
          <w:p w14:paraId="16155073">
            <w:pPr>
              <w:rPr>
                <w:rFonts w:ascii="Arial" w:hAnsi="新宋体" w:cs="Arial"/>
                <w:color w:val="000000"/>
                <w:w w:val="90"/>
                <w:sz w:val="22"/>
                <w:szCs w:val="22"/>
              </w:rPr>
            </w:pPr>
          </w:p>
        </w:tc>
        <w:tc>
          <w:tcPr>
            <w:tcW w:w="1380" w:type="dxa"/>
            <w:vAlign w:val="center"/>
          </w:tcPr>
          <w:p w14:paraId="04DDE161">
            <w:pPr>
              <w:rPr>
                <w:rFonts w:ascii="Arial" w:hAnsi="新宋体" w:cs="Arial"/>
                <w:color w:val="000000"/>
                <w:w w:val="90"/>
                <w:sz w:val="22"/>
                <w:szCs w:val="22"/>
              </w:rPr>
            </w:pPr>
          </w:p>
        </w:tc>
        <w:tc>
          <w:tcPr>
            <w:tcW w:w="1701" w:type="dxa"/>
            <w:vAlign w:val="center"/>
          </w:tcPr>
          <w:p w14:paraId="61BD3950">
            <w:pPr>
              <w:rPr>
                <w:rFonts w:ascii="Arial" w:hAnsi="新宋体" w:cs="Arial"/>
                <w:color w:val="000000"/>
                <w:w w:val="90"/>
                <w:sz w:val="22"/>
                <w:szCs w:val="22"/>
              </w:rPr>
            </w:pPr>
          </w:p>
        </w:tc>
        <w:tc>
          <w:tcPr>
            <w:tcW w:w="1769" w:type="dxa"/>
            <w:vAlign w:val="center"/>
          </w:tcPr>
          <w:p w14:paraId="502B06B4">
            <w:pPr>
              <w:rPr>
                <w:rFonts w:ascii="Arial" w:hAnsi="新宋体" w:cs="Arial"/>
                <w:color w:val="000000"/>
                <w:w w:val="90"/>
                <w:sz w:val="22"/>
                <w:szCs w:val="22"/>
              </w:rPr>
            </w:pPr>
          </w:p>
        </w:tc>
        <w:tc>
          <w:tcPr>
            <w:tcW w:w="1500" w:type="dxa"/>
            <w:vAlign w:val="center"/>
          </w:tcPr>
          <w:p w14:paraId="3D57668C">
            <w:pPr>
              <w:rPr>
                <w:rFonts w:ascii="Arial" w:hAnsi="新宋体" w:cs="Arial"/>
                <w:color w:val="000000"/>
                <w:w w:val="90"/>
                <w:sz w:val="22"/>
                <w:szCs w:val="22"/>
              </w:rPr>
            </w:pPr>
          </w:p>
        </w:tc>
      </w:tr>
      <w:tr w14:paraId="48B4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52F2C96F">
            <w:pPr>
              <w:rPr>
                <w:rFonts w:ascii="Arial" w:hAnsi="新宋体" w:cs="Arial"/>
                <w:color w:val="000000"/>
                <w:w w:val="90"/>
                <w:sz w:val="22"/>
                <w:szCs w:val="22"/>
              </w:rPr>
            </w:pPr>
          </w:p>
        </w:tc>
        <w:tc>
          <w:tcPr>
            <w:tcW w:w="1538" w:type="dxa"/>
            <w:vAlign w:val="center"/>
          </w:tcPr>
          <w:p w14:paraId="322E0096">
            <w:pPr>
              <w:rPr>
                <w:rFonts w:ascii="Arial" w:hAnsi="新宋体" w:cs="Arial"/>
                <w:color w:val="000000"/>
                <w:w w:val="90"/>
                <w:sz w:val="22"/>
                <w:szCs w:val="22"/>
              </w:rPr>
            </w:pPr>
          </w:p>
        </w:tc>
        <w:tc>
          <w:tcPr>
            <w:tcW w:w="1380" w:type="dxa"/>
            <w:vAlign w:val="center"/>
          </w:tcPr>
          <w:p w14:paraId="05EE8CE7">
            <w:pPr>
              <w:rPr>
                <w:rFonts w:ascii="Arial" w:hAnsi="新宋体" w:cs="Arial"/>
                <w:color w:val="000000"/>
                <w:w w:val="90"/>
                <w:sz w:val="22"/>
                <w:szCs w:val="22"/>
              </w:rPr>
            </w:pPr>
          </w:p>
        </w:tc>
        <w:tc>
          <w:tcPr>
            <w:tcW w:w="1701" w:type="dxa"/>
            <w:vAlign w:val="center"/>
          </w:tcPr>
          <w:p w14:paraId="043DE553">
            <w:pPr>
              <w:rPr>
                <w:rFonts w:ascii="Arial" w:hAnsi="新宋体" w:cs="Arial"/>
                <w:color w:val="000000"/>
                <w:w w:val="90"/>
                <w:sz w:val="22"/>
                <w:szCs w:val="22"/>
              </w:rPr>
            </w:pPr>
          </w:p>
        </w:tc>
        <w:tc>
          <w:tcPr>
            <w:tcW w:w="1769" w:type="dxa"/>
            <w:vAlign w:val="center"/>
          </w:tcPr>
          <w:p w14:paraId="7AE86355">
            <w:pPr>
              <w:rPr>
                <w:rFonts w:ascii="Arial" w:hAnsi="新宋体" w:cs="Arial"/>
                <w:color w:val="000000"/>
                <w:w w:val="90"/>
                <w:sz w:val="22"/>
                <w:szCs w:val="22"/>
              </w:rPr>
            </w:pPr>
          </w:p>
        </w:tc>
        <w:tc>
          <w:tcPr>
            <w:tcW w:w="1500" w:type="dxa"/>
            <w:vAlign w:val="center"/>
          </w:tcPr>
          <w:p w14:paraId="38D07E99">
            <w:pPr>
              <w:rPr>
                <w:rFonts w:ascii="Arial" w:hAnsi="新宋体" w:cs="Arial"/>
                <w:color w:val="000000"/>
                <w:w w:val="90"/>
                <w:sz w:val="22"/>
                <w:szCs w:val="22"/>
              </w:rPr>
            </w:pPr>
          </w:p>
        </w:tc>
      </w:tr>
      <w:tr w14:paraId="3A0B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1B583268">
            <w:pPr>
              <w:rPr>
                <w:rFonts w:ascii="Arial" w:hAnsi="新宋体" w:cs="Arial"/>
                <w:color w:val="000000"/>
                <w:w w:val="90"/>
                <w:sz w:val="22"/>
                <w:szCs w:val="22"/>
              </w:rPr>
            </w:pPr>
          </w:p>
        </w:tc>
        <w:tc>
          <w:tcPr>
            <w:tcW w:w="1538" w:type="dxa"/>
            <w:vAlign w:val="center"/>
          </w:tcPr>
          <w:p w14:paraId="796CCD62">
            <w:pPr>
              <w:rPr>
                <w:rFonts w:ascii="Arial" w:hAnsi="新宋体" w:cs="Arial"/>
                <w:color w:val="000000"/>
                <w:w w:val="90"/>
                <w:sz w:val="22"/>
                <w:szCs w:val="22"/>
              </w:rPr>
            </w:pPr>
          </w:p>
        </w:tc>
        <w:tc>
          <w:tcPr>
            <w:tcW w:w="1380" w:type="dxa"/>
            <w:vAlign w:val="center"/>
          </w:tcPr>
          <w:p w14:paraId="522CB262">
            <w:pPr>
              <w:rPr>
                <w:rFonts w:ascii="Arial" w:hAnsi="新宋体" w:cs="Arial"/>
                <w:color w:val="000000"/>
                <w:w w:val="90"/>
                <w:sz w:val="22"/>
                <w:szCs w:val="22"/>
              </w:rPr>
            </w:pPr>
          </w:p>
        </w:tc>
        <w:tc>
          <w:tcPr>
            <w:tcW w:w="1701" w:type="dxa"/>
            <w:vAlign w:val="center"/>
          </w:tcPr>
          <w:p w14:paraId="663E800A">
            <w:pPr>
              <w:rPr>
                <w:rFonts w:ascii="Arial" w:hAnsi="新宋体" w:cs="Arial"/>
                <w:color w:val="000000"/>
                <w:w w:val="90"/>
                <w:sz w:val="22"/>
                <w:szCs w:val="22"/>
              </w:rPr>
            </w:pPr>
          </w:p>
        </w:tc>
        <w:tc>
          <w:tcPr>
            <w:tcW w:w="1769" w:type="dxa"/>
            <w:vAlign w:val="center"/>
          </w:tcPr>
          <w:p w14:paraId="69A3A61C">
            <w:pPr>
              <w:rPr>
                <w:rFonts w:ascii="Arial" w:hAnsi="新宋体" w:cs="Arial"/>
                <w:color w:val="000000"/>
                <w:w w:val="90"/>
                <w:sz w:val="22"/>
                <w:szCs w:val="22"/>
              </w:rPr>
            </w:pPr>
          </w:p>
        </w:tc>
        <w:tc>
          <w:tcPr>
            <w:tcW w:w="1500" w:type="dxa"/>
            <w:vAlign w:val="center"/>
          </w:tcPr>
          <w:p w14:paraId="72F8AE0F">
            <w:pPr>
              <w:rPr>
                <w:rFonts w:ascii="Arial" w:hAnsi="新宋体" w:cs="Arial"/>
                <w:color w:val="000000"/>
                <w:w w:val="90"/>
                <w:sz w:val="22"/>
                <w:szCs w:val="22"/>
              </w:rPr>
            </w:pPr>
          </w:p>
        </w:tc>
      </w:tr>
      <w:tr w14:paraId="12A1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5330A6CC">
            <w:pPr>
              <w:rPr>
                <w:rFonts w:ascii="Arial" w:hAnsi="新宋体" w:cs="Arial"/>
                <w:color w:val="000000"/>
                <w:w w:val="90"/>
                <w:sz w:val="22"/>
                <w:szCs w:val="22"/>
              </w:rPr>
            </w:pPr>
          </w:p>
        </w:tc>
        <w:tc>
          <w:tcPr>
            <w:tcW w:w="1538" w:type="dxa"/>
            <w:vAlign w:val="center"/>
          </w:tcPr>
          <w:p w14:paraId="37EEE420">
            <w:pPr>
              <w:rPr>
                <w:rFonts w:ascii="Arial" w:hAnsi="新宋体" w:cs="Arial"/>
                <w:color w:val="000000"/>
                <w:w w:val="90"/>
                <w:sz w:val="22"/>
                <w:szCs w:val="22"/>
              </w:rPr>
            </w:pPr>
          </w:p>
        </w:tc>
        <w:tc>
          <w:tcPr>
            <w:tcW w:w="1380" w:type="dxa"/>
            <w:vAlign w:val="center"/>
          </w:tcPr>
          <w:p w14:paraId="138261F3">
            <w:pPr>
              <w:rPr>
                <w:rFonts w:ascii="Arial" w:hAnsi="新宋体" w:cs="Arial"/>
                <w:color w:val="000000"/>
                <w:w w:val="90"/>
                <w:sz w:val="22"/>
                <w:szCs w:val="22"/>
              </w:rPr>
            </w:pPr>
          </w:p>
        </w:tc>
        <w:tc>
          <w:tcPr>
            <w:tcW w:w="1701" w:type="dxa"/>
            <w:vAlign w:val="center"/>
          </w:tcPr>
          <w:p w14:paraId="1EE2F517">
            <w:pPr>
              <w:rPr>
                <w:rFonts w:ascii="Arial" w:hAnsi="新宋体" w:cs="Arial"/>
                <w:color w:val="000000"/>
                <w:w w:val="90"/>
                <w:sz w:val="22"/>
                <w:szCs w:val="22"/>
              </w:rPr>
            </w:pPr>
          </w:p>
        </w:tc>
        <w:tc>
          <w:tcPr>
            <w:tcW w:w="1769" w:type="dxa"/>
            <w:vAlign w:val="center"/>
          </w:tcPr>
          <w:p w14:paraId="61065235">
            <w:pPr>
              <w:rPr>
                <w:rFonts w:ascii="Arial" w:hAnsi="新宋体" w:cs="Arial"/>
                <w:color w:val="000000"/>
                <w:w w:val="90"/>
                <w:sz w:val="22"/>
                <w:szCs w:val="22"/>
              </w:rPr>
            </w:pPr>
          </w:p>
        </w:tc>
        <w:tc>
          <w:tcPr>
            <w:tcW w:w="1500" w:type="dxa"/>
            <w:vAlign w:val="center"/>
          </w:tcPr>
          <w:p w14:paraId="12CDE500">
            <w:pPr>
              <w:rPr>
                <w:rFonts w:ascii="Arial" w:hAnsi="新宋体" w:cs="Arial"/>
                <w:color w:val="000000"/>
                <w:w w:val="90"/>
                <w:sz w:val="22"/>
                <w:szCs w:val="22"/>
              </w:rPr>
            </w:pPr>
          </w:p>
        </w:tc>
      </w:tr>
      <w:tr w14:paraId="1723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7AC66146">
            <w:pPr>
              <w:rPr>
                <w:rFonts w:ascii="Arial" w:hAnsi="新宋体" w:cs="Arial"/>
                <w:color w:val="000000"/>
                <w:w w:val="90"/>
                <w:sz w:val="22"/>
                <w:szCs w:val="22"/>
              </w:rPr>
            </w:pPr>
          </w:p>
        </w:tc>
        <w:tc>
          <w:tcPr>
            <w:tcW w:w="1538" w:type="dxa"/>
            <w:vAlign w:val="center"/>
          </w:tcPr>
          <w:p w14:paraId="6E053789">
            <w:pPr>
              <w:rPr>
                <w:rFonts w:ascii="Arial" w:hAnsi="新宋体" w:cs="Arial"/>
                <w:color w:val="000000"/>
                <w:w w:val="90"/>
                <w:sz w:val="22"/>
                <w:szCs w:val="22"/>
              </w:rPr>
            </w:pPr>
          </w:p>
        </w:tc>
        <w:tc>
          <w:tcPr>
            <w:tcW w:w="1380" w:type="dxa"/>
            <w:vAlign w:val="center"/>
          </w:tcPr>
          <w:p w14:paraId="3C026CC2">
            <w:pPr>
              <w:rPr>
                <w:rFonts w:ascii="Arial" w:hAnsi="新宋体" w:cs="Arial"/>
                <w:color w:val="000000"/>
                <w:w w:val="90"/>
                <w:sz w:val="22"/>
                <w:szCs w:val="22"/>
              </w:rPr>
            </w:pPr>
          </w:p>
        </w:tc>
        <w:tc>
          <w:tcPr>
            <w:tcW w:w="1701" w:type="dxa"/>
            <w:vAlign w:val="center"/>
          </w:tcPr>
          <w:p w14:paraId="4B099839">
            <w:pPr>
              <w:rPr>
                <w:rFonts w:ascii="Arial" w:hAnsi="新宋体" w:cs="Arial"/>
                <w:color w:val="000000"/>
                <w:w w:val="90"/>
                <w:sz w:val="22"/>
                <w:szCs w:val="22"/>
              </w:rPr>
            </w:pPr>
          </w:p>
        </w:tc>
        <w:tc>
          <w:tcPr>
            <w:tcW w:w="1769" w:type="dxa"/>
            <w:vAlign w:val="center"/>
          </w:tcPr>
          <w:p w14:paraId="562707B9">
            <w:pPr>
              <w:rPr>
                <w:rFonts w:ascii="Arial" w:hAnsi="新宋体" w:cs="Arial"/>
                <w:color w:val="000000"/>
                <w:w w:val="90"/>
                <w:sz w:val="22"/>
                <w:szCs w:val="22"/>
              </w:rPr>
            </w:pPr>
          </w:p>
        </w:tc>
        <w:tc>
          <w:tcPr>
            <w:tcW w:w="1500" w:type="dxa"/>
            <w:vAlign w:val="center"/>
          </w:tcPr>
          <w:p w14:paraId="6F8D92BD">
            <w:pPr>
              <w:rPr>
                <w:rFonts w:ascii="Arial" w:hAnsi="新宋体" w:cs="Arial"/>
                <w:color w:val="000000"/>
                <w:w w:val="90"/>
                <w:sz w:val="22"/>
                <w:szCs w:val="22"/>
              </w:rPr>
            </w:pPr>
          </w:p>
        </w:tc>
      </w:tr>
      <w:tr w14:paraId="4631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39619C74">
            <w:pPr>
              <w:rPr>
                <w:rFonts w:ascii="Arial" w:hAnsi="新宋体" w:cs="Arial"/>
                <w:color w:val="000000"/>
                <w:w w:val="90"/>
                <w:sz w:val="22"/>
                <w:szCs w:val="22"/>
              </w:rPr>
            </w:pPr>
          </w:p>
        </w:tc>
        <w:tc>
          <w:tcPr>
            <w:tcW w:w="1538" w:type="dxa"/>
            <w:vAlign w:val="center"/>
          </w:tcPr>
          <w:p w14:paraId="12DF1FDC">
            <w:pPr>
              <w:rPr>
                <w:rFonts w:ascii="Arial" w:hAnsi="新宋体" w:cs="Arial"/>
                <w:color w:val="000000"/>
                <w:w w:val="90"/>
                <w:sz w:val="22"/>
                <w:szCs w:val="22"/>
              </w:rPr>
            </w:pPr>
          </w:p>
        </w:tc>
        <w:tc>
          <w:tcPr>
            <w:tcW w:w="1380" w:type="dxa"/>
            <w:vAlign w:val="center"/>
          </w:tcPr>
          <w:p w14:paraId="6CD6E027">
            <w:pPr>
              <w:rPr>
                <w:rFonts w:ascii="Arial" w:hAnsi="新宋体" w:cs="Arial"/>
                <w:color w:val="000000"/>
                <w:w w:val="90"/>
                <w:sz w:val="22"/>
                <w:szCs w:val="22"/>
              </w:rPr>
            </w:pPr>
          </w:p>
        </w:tc>
        <w:tc>
          <w:tcPr>
            <w:tcW w:w="1701" w:type="dxa"/>
            <w:vAlign w:val="center"/>
          </w:tcPr>
          <w:p w14:paraId="4963335B">
            <w:pPr>
              <w:rPr>
                <w:rFonts w:ascii="Arial" w:hAnsi="新宋体" w:cs="Arial"/>
                <w:color w:val="000000"/>
                <w:w w:val="90"/>
                <w:sz w:val="22"/>
                <w:szCs w:val="22"/>
              </w:rPr>
            </w:pPr>
          </w:p>
        </w:tc>
        <w:tc>
          <w:tcPr>
            <w:tcW w:w="1769" w:type="dxa"/>
            <w:vAlign w:val="center"/>
          </w:tcPr>
          <w:p w14:paraId="5CB6F4E4">
            <w:pPr>
              <w:rPr>
                <w:rFonts w:ascii="Arial" w:hAnsi="新宋体" w:cs="Arial"/>
                <w:color w:val="000000"/>
                <w:w w:val="90"/>
                <w:sz w:val="22"/>
                <w:szCs w:val="22"/>
              </w:rPr>
            </w:pPr>
          </w:p>
        </w:tc>
        <w:tc>
          <w:tcPr>
            <w:tcW w:w="1500" w:type="dxa"/>
            <w:vAlign w:val="center"/>
          </w:tcPr>
          <w:p w14:paraId="4152D830">
            <w:pPr>
              <w:rPr>
                <w:rFonts w:ascii="Arial" w:hAnsi="新宋体" w:cs="Arial"/>
                <w:color w:val="000000"/>
                <w:w w:val="90"/>
                <w:sz w:val="22"/>
                <w:szCs w:val="22"/>
              </w:rPr>
            </w:pPr>
          </w:p>
        </w:tc>
      </w:tr>
      <w:tr w14:paraId="3B8D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5FE3B2F2">
            <w:pPr>
              <w:rPr>
                <w:rFonts w:ascii="Arial" w:hAnsi="新宋体" w:cs="Arial"/>
                <w:color w:val="000000"/>
                <w:w w:val="90"/>
                <w:sz w:val="22"/>
                <w:szCs w:val="22"/>
              </w:rPr>
            </w:pPr>
          </w:p>
        </w:tc>
        <w:tc>
          <w:tcPr>
            <w:tcW w:w="1538" w:type="dxa"/>
            <w:vAlign w:val="center"/>
          </w:tcPr>
          <w:p w14:paraId="0E69C9E5">
            <w:pPr>
              <w:rPr>
                <w:rFonts w:ascii="Arial" w:hAnsi="新宋体" w:cs="Arial"/>
                <w:color w:val="000000"/>
                <w:w w:val="90"/>
                <w:sz w:val="22"/>
                <w:szCs w:val="22"/>
              </w:rPr>
            </w:pPr>
          </w:p>
        </w:tc>
        <w:tc>
          <w:tcPr>
            <w:tcW w:w="1380" w:type="dxa"/>
            <w:vAlign w:val="center"/>
          </w:tcPr>
          <w:p w14:paraId="4416F77C">
            <w:pPr>
              <w:rPr>
                <w:rFonts w:ascii="Arial" w:hAnsi="新宋体" w:cs="Arial"/>
                <w:color w:val="000000"/>
                <w:w w:val="90"/>
                <w:sz w:val="22"/>
                <w:szCs w:val="22"/>
              </w:rPr>
            </w:pPr>
          </w:p>
        </w:tc>
        <w:tc>
          <w:tcPr>
            <w:tcW w:w="1701" w:type="dxa"/>
            <w:vAlign w:val="center"/>
          </w:tcPr>
          <w:p w14:paraId="575A8DA7">
            <w:pPr>
              <w:rPr>
                <w:rFonts w:ascii="Arial" w:hAnsi="新宋体" w:cs="Arial"/>
                <w:color w:val="000000"/>
                <w:w w:val="90"/>
                <w:sz w:val="22"/>
                <w:szCs w:val="22"/>
              </w:rPr>
            </w:pPr>
          </w:p>
        </w:tc>
        <w:tc>
          <w:tcPr>
            <w:tcW w:w="1769" w:type="dxa"/>
            <w:vAlign w:val="center"/>
          </w:tcPr>
          <w:p w14:paraId="1922BF2B">
            <w:pPr>
              <w:rPr>
                <w:rFonts w:ascii="Arial" w:hAnsi="新宋体" w:cs="Arial"/>
                <w:color w:val="000000"/>
                <w:w w:val="90"/>
                <w:sz w:val="22"/>
                <w:szCs w:val="22"/>
              </w:rPr>
            </w:pPr>
          </w:p>
        </w:tc>
        <w:tc>
          <w:tcPr>
            <w:tcW w:w="1500" w:type="dxa"/>
            <w:vAlign w:val="center"/>
          </w:tcPr>
          <w:p w14:paraId="77C8DB3F">
            <w:pPr>
              <w:rPr>
                <w:rFonts w:ascii="Arial" w:hAnsi="新宋体" w:cs="Arial"/>
                <w:color w:val="000000"/>
                <w:w w:val="90"/>
                <w:sz w:val="22"/>
                <w:szCs w:val="22"/>
              </w:rPr>
            </w:pPr>
          </w:p>
        </w:tc>
      </w:tr>
      <w:tr w14:paraId="0888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77D76AE5">
            <w:pPr>
              <w:rPr>
                <w:rFonts w:ascii="Arial" w:hAnsi="新宋体" w:cs="Arial"/>
                <w:color w:val="000000"/>
                <w:w w:val="90"/>
                <w:sz w:val="22"/>
                <w:szCs w:val="22"/>
              </w:rPr>
            </w:pPr>
          </w:p>
        </w:tc>
        <w:tc>
          <w:tcPr>
            <w:tcW w:w="1538" w:type="dxa"/>
            <w:vAlign w:val="center"/>
          </w:tcPr>
          <w:p w14:paraId="19DD32F7">
            <w:pPr>
              <w:rPr>
                <w:rFonts w:ascii="Arial" w:hAnsi="新宋体" w:cs="Arial"/>
                <w:color w:val="000000"/>
                <w:w w:val="90"/>
                <w:sz w:val="22"/>
                <w:szCs w:val="22"/>
              </w:rPr>
            </w:pPr>
          </w:p>
        </w:tc>
        <w:tc>
          <w:tcPr>
            <w:tcW w:w="1380" w:type="dxa"/>
            <w:vAlign w:val="center"/>
          </w:tcPr>
          <w:p w14:paraId="03B25099">
            <w:pPr>
              <w:rPr>
                <w:rFonts w:ascii="Arial" w:hAnsi="新宋体" w:cs="Arial"/>
                <w:color w:val="000000"/>
                <w:w w:val="90"/>
                <w:sz w:val="22"/>
                <w:szCs w:val="22"/>
              </w:rPr>
            </w:pPr>
          </w:p>
        </w:tc>
        <w:tc>
          <w:tcPr>
            <w:tcW w:w="1701" w:type="dxa"/>
            <w:vAlign w:val="center"/>
          </w:tcPr>
          <w:p w14:paraId="2580237F">
            <w:pPr>
              <w:rPr>
                <w:rFonts w:ascii="Arial" w:hAnsi="新宋体" w:cs="Arial"/>
                <w:color w:val="000000"/>
                <w:w w:val="90"/>
                <w:sz w:val="22"/>
                <w:szCs w:val="22"/>
              </w:rPr>
            </w:pPr>
          </w:p>
        </w:tc>
        <w:tc>
          <w:tcPr>
            <w:tcW w:w="1769" w:type="dxa"/>
            <w:vAlign w:val="center"/>
          </w:tcPr>
          <w:p w14:paraId="7BBB580C">
            <w:pPr>
              <w:rPr>
                <w:rFonts w:ascii="Arial" w:hAnsi="新宋体" w:cs="Arial"/>
                <w:color w:val="000000"/>
                <w:w w:val="90"/>
                <w:sz w:val="22"/>
                <w:szCs w:val="22"/>
              </w:rPr>
            </w:pPr>
          </w:p>
        </w:tc>
        <w:tc>
          <w:tcPr>
            <w:tcW w:w="1500" w:type="dxa"/>
            <w:vAlign w:val="center"/>
          </w:tcPr>
          <w:p w14:paraId="39BEF175">
            <w:pPr>
              <w:rPr>
                <w:rFonts w:ascii="Arial" w:hAnsi="新宋体" w:cs="Arial"/>
                <w:color w:val="000000"/>
                <w:w w:val="90"/>
                <w:sz w:val="22"/>
                <w:szCs w:val="22"/>
              </w:rPr>
            </w:pPr>
          </w:p>
        </w:tc>
      </w:tr>
      <w:tr w14:paraId="12E3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7932361C">
            <w:pPr>
              <w:rPr>
                <w:rFonts w:ascii="Arial" w:hAnsi="新宋体" w:cs="Arial"/>
                <w:color w:val="000000"/>
                <w:w w:val="90"/>
                <w:sz w:val="22"/>
                <w:szCs w:val="22"/>
              </w:rPr>
            </w:pPr>
          </w:p>
        </w:tc>
        <w:tc>
          <w:tcPr>
            <w:tcW w:w="1538" w:type="dxa"/>
            <w:vAlign w:val="center"/>
          </w:tcPr>
          <w:p w14:paraId="4AB4B21A">
            <w:pPr>
              <w:rPr>
                <w:rFonts w:ascii="Arial" w:hAnsi="新宋体" w:cs="Arial"/>
                <w:color w:val="000000"/>
                <w:w w:val="90"/>
                <w:sz w:val="22"/>
                <w:szCs w:val="22"/>
              </w:rPr>
            </w:pPr>
          </w:p>
        </w:tc>
        <w:tc>
          <w:tcPr>
            <w:tcW w:w="1380" w:type="dxa"/>
            <w:vAlign w:val="center"/>
          </w:tcPr>
          <w:p w14:paraId="6110DCC5">
            <w:pPr>
              <w:rPr>
                <w:rFonts w:ascii="Arial" w:hAnsi="新宋体" w:cs="Arial"/>
                <w:color w:val="000000"/>
                <w:w w:val="90"/>
                <w:sz w:val="22"/>
                <w:szCs w:val="22"/>
              </w:rPr>
            </w:pPr>
          </w:p>
        </w:tc>
        <w:tc>
          <w:tcPr>
            <w:tcW w:w="1701" w:type="dxa"/>
            <w:vAlign w:val="center"/>
          </w:tcPr>
          <w:p w14:paraId="380AB838">
            <w:pPr>
              <w:rPr>
                <w:rFonts w:ascii="Arial" w:hAnsi="新宋体" w:cs="Arial"/>
                <w:color w:val="000000"/>
                <w:w w:val="90"/>
                <w:sz w:val="22"/>
                <w:szCs w:val="22"/>
              </w:rPr>
            </w:pPr>
          </w:p>
        </w:tc>
        <w:tc>
          <w:tcPr>
            <w:tcW w:w="1769" w:type="dxa"/>
            <w:vAlign w:val="center"/>
          </w:tcPr>
          <w:p w14:paraId="6082D4B4">
            <w:pPr>
              <w:rPr>
                <w:rFonts w:ascii="Arial" w:hAnsi="新宋体" w:cs="Arial"/>
                <w:color w:val="000000"/>
                <w:w w:val="90"/>
                <w:sz w:val="22"/>
                <w:szCs w:val="22"/>
              </w:rPr>
            </w:pPr>
          </w:p>
        </w:tc>
        <w:tc>
          <w:tcPr>
            <w:tcW w:w="1500" w:type="dxa"/>
            <w:vAlign w:val="center"/>
          </w:tcPr>
          <w:p w14:paraId="79B4BF25">
            <w:pPr>
              <w:rPr>
                <w:rFonts w:ascii="Arial" w:hAnsi="新宋体" w:cs="Arial"/>
                <w:color w:val="000000"/>
                <w:w w:val="90"/>
                <w:sz w:val="22"/>
                <w:szCs w:val="22"/>
              </w:rPr>
            </w:pPr>
          </w:p>
        </w:tc>
      </w:tr>
      <w:tr w14:paraId="59DE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196FA7BC">
            <w:pPr>
              <w:rPr>
                <w:rFonts w:ascii="Arial" w:hAnsi="新宋体" w:cs="Arial"/>
                <w:color w:val="000000"/>
                <w:w w:val="90"/>
                <w:sz w:val="22"/>
                <w:szCs w:val="22"/>
              </w:rPr>
            </w:pPr>
          </w:p>
        </w:tc>
        <w:tc>
          <w:tcPr>
            <w:tcW w:w="1538" w:type="dxa"/>
            <w:vAlign w:val="center"/>
          </w:tcPr>
          <w:p w14:paraId="18800D73">
            <w:pPr>
              <w:rPr>
                <w:rFonts w:ascii="Arial" w:hAnsi="新宋体" w:cs="Arial"/>
                <w:color w:val="000000"/>
                <w:w w:val="90"/>
                <w:sz w:val="22"/>
                <w:szCs w:val="22"/>
              </w:rPr>
            </w:pPr>
          </w:p>
        </w:tc>
        <w:tc>
          <w:tcPr>
            <w:tcW w:w="1380" w:type="dxa"/>
            <w:vAlign w:val="center"/>
          </w:tcPr>
          <w:p w14:paraId="6EA0A36F">
            <w:pPr>
              <w:rPr>
                <w:rFonts w:ascii="Arial" w:hAnsi="新宋体" w:cs="Arial"/>
                <w:color w:val="000000"/>
                <w:w w:val="90"/>
                <w:sz w:val="22"/>
                <w:szCs w:val="22"/>
              </w:rPr>
            </w:pPr>
          </w:p>
        </w:tc>
        <w:tc>
          <w:tcPr>
            <w:tcW w:w="1701" w:type="dxa"/>
            <w:vAlign w:val="center"/>
          </w:tcPr>
          <w:p w14:paraId="77FA869F">
            <w:pPr>
              <w:rPr>
                <w:rFonts w:ascii="Arial" w:hAnsi="新宋体" w:cs="Arial"/>
                <w:color w:val="000000"/>
                <w:w w:val="90"/>
                <w:sz w:val="22"/>
                <w:szCs w:val="22"/>
              </w:rPr>
            </w:pPr>
          </w:p>
        </w:tc>
        <w:tc>
          <w:tcPr>
            <w:tcW w:w="1769" w:type="dxa"/>
            <w:vAlign w:val="center"/>
          </w:tcPr>
          <w:p w14:paraId="06A63885">
            <w:pPr>
              <w:rPr>
                <w:rFonts w:ascii="Arial" w:hAnsi="新宋体" w:cs="Arial"/>
                <w:color w:val="000000"/>
                <w:w w:val="90"/>
                <w:sz w:val="22"/>
                <w:szCs w:val="22"/>
              </w:rPr>
            </w:pPr>
          </w:p>
        </w:tc>
        <w:tc>
          <w:tcPr>
            <w:tcW w:w="1500" w:type="dxa"/>
            <w:vAlign w:val="center"/>
          </w:tcPr>
          <w:p w14:paraId="63AEE56B">
            <w:pPr>
              <w:rPr>
                <w:rFonts w:ascii="Arial" w:hAnsi="新宋体" w:cs="Arial"/>
                <w:color w:val="000000"/>
                <w:w w:val="90"/>
                <w:sz w:val="22"/>
                <w:szCs w:val="22"/>
              </w:rPr>
            </w:pPr>
          </w:p>
        </w:tc>
      </w:tr>
      <w:tr w14:paraId="26AB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72F6798D">
            <w:pPr>
              <w:rPr>
                <w:rFonts w:ascii="Arial" w:hAnsi="新宋体" w:cs="Arial"/>
                <w:color w:val="000000"/>
                <w:w w:val="90"/>
                <w:sz w:val="22"/>
                <w:szCs w:val="22"/>
              </w:rPr>
            </w:pPr>
          </w:p>
        </w:tc>
        <w:tc>
          <w:tcPr>
            <w:tcW w:w="1538" w:type="dxa"/>
            <w:vAlign w:val="center"/>
          </w:tcPr>
          <w:p w14:paraId="3BBA5E10">
            <w:pPr>
              <w:rPr>
                <w:rFonts w:ascii="Arial" w:hAnsi="新宋体" w:cs="Arial"/>
                <w:color w:val="000000"/>
                <w:w w:val="90"/>
                <w:sz w:val="22"/>
                <w:szCs w:val="22"/>
              </w:rPr>
            </w:pPr>
          </w:p>
        </w:tc>
        <w:tc>
          <w:tcPr>
            <w:tcW w:w="1380" w:type="dxa"/>
            <w:vAlign w:val="center"/>
          </w:tcPr>
          <w:p w14:paraId="35C6D428">
            <w:pPr>
              <w:rPr>
                <w:rFonts w:ascii="Arial" w:hAnsi="新宋体" w:cs="Arial"/>
                <w:color w:val="000000"/>
                <w:w w:val="90"/>
                <w:sz w:val="22"/>
                <w:szCs w:val="22"/>
              </w:rPr>
            </w:pPr>
          </w:p>
        </w:tc>
        <w:tc>
          <w:tcPr>
            <w:tcW w:w="1701" w:type="dxa"/>
            <w:vAlign w:val="center"/>
          </w:tcPr>
          <w:p w14:paraId="63C98645">
            <w:pPr>
              <w:rPr>
                <w:rFonts w:ascii="Arial" w:hAnsi="新宋体" w:cs="Arial"/>
                <w:color w:val="000000"/>
                <w:w w:val="90"/>
                <w:sz w:val="22"/>
                <w:szCs w:val="22"/>
              </w:rPr>
            </w:pPr>
          </w:p>
        </w:tc>
        <w:tc>
          <w:tcPr>
            <w:tcW w:w="1769" w:type="dxa"/>
            <w:vAlign w:val="center"/>
          </w:tcPr>
          <w:p w14:paraId="6F2CCBFE">
            <w:pPr>
              <w:rPr>
                <w:rFonts w:ascii="Arial" w:hAnsi="新宋体" w:cs="Arial"/>
                <w:color w:val="000000"/>
                <w:w w:val="90"/>
                <w:sz w:val="22"/>
                <w:szCs w:val="22"/>
              </w:rPr>
            </w:pPr>
          </w:p>
        </w:tc>
        <w:tc>
          <w:tcPr>
            <w:tcW w:w="1500" w:type="dxa"/>
            <w:vAlign w:val="center"/>
          </w:tcPr>
          <w:p w14:paraId="0D0778DF">
            <w:pPr>
              <w:rPr>
                <w:rFonts w:ascii="Arial" w:hAnsi="新宋体" w:cs="Arial"/>
                <w:color w:val="000000"/>
                <w:w w:val="90"/>
                <w:sz w:val="22"/>
                <w:szCs w:val="22"/>
              </w:rPr>
            </w:pPr>
          </w:p>
        </w:tc>
      </w:tr>
      <w:tr w14:paraId="756C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2" w:type="dxa"/>
            <w:vAlign w:val="center"/>
          </w:tcPr>
          <w:p w14:paraId="76E296C5">
            <w:pPr>
              <w:rPr>
                <w:rFonts w:ascii="Arial" w:hAnsi="新宋体" w:cs="Arial"/>
                <w:color w:val="000000"/>
                <w:w w:val="90"/>
                <w:sz w:val="22"/>
                <w:szCs w:val="22"/>
              </w:rPr>
            </w:pPr>
          </w:p>
        </w:tc>
        <w:tc>
          <w:tcPr>
            <w:tcW w:w="1538" w:type="dxa"/>
            <w:vAlign w:val="center"/>
          </w:tcPr>
          <w:p w14:paraId="2EA7D2B3">
            <w:pPr>
              <w:rPr>
                <w:rFonts w:ascii="Arial" w:hAnsi="新宋体" w:cs="Arial"/>
                <w:color w:val="000000"/>
                <w:w w:val="90"/>
                <w:sz w:val="22"/>
                <w:szCs w:val="22"/>
              </w:rPr>
            </w:pPr>
          </w:p>
        </w:tc>
        <w:tc>
          <w:tcPr>
            <w:tcW w:w="1380" w:type="dxa"/>
            <w:vAlign w:val="center"/>
          </w:tcPr>
          <w:p w14:paraId="27496078">
            <w:pPr>
              <w:rPr>
                <w:rFonts w:ascii="Arial" w:hAnsi="新宋体" w:cs="Arial"/>
                <w:color w:val="000000"/>
                <w:w w:val="90"/>
                <w:sz w:val="22"/>
                <w:szCs w:val="22"/>
              </w:rPr>
            </w:pPr>
          </w:p>
        </w:tc>
        <w:tc>
          <w:tcPr>
            <w:tcW w:w="1701" w:type="dxa"/>
            <w:vAlign w:val="center"/>
          </w:tcPr>
          <w:p w14:paraId="764F49F7">
            <w:pPr>
              <w:rPr>
                <w:rFonts w:ascii="Arial" w:hAnsi="新宋体" w:cs="Arial"/>
                <w:color w:val="000000"/>
                <w:w w:val="90"/>
                <w:sz w:val="22"/>
                <w:szCs w:val="22"/>
              </w:rPr>
            </w:pPr>
          </w:p>
        </w:tc>
        <w:tc>
          <w:tcPr>
            <w:tcW w:w="1769" w:type="dxa"/>
            <w:vAlign w:val="center"/>
          </w:tcPr>
          <w:p w14:paraId="2C0CE708">
            <w:pPr>
              <w:rPr>
                <w:rFonts w:ascii="Arial" w:hAnsi="新宋体" w:cs="Arial"/>
                <w:color w:val="000000"/>
                <w:w w:val="90"/>
                <w:sz w:val="22"/>
                <w:szCs w:val="22"/>
              </w:rPr>
            </w:pPr>
          </w:p>
        </w:tc>
        <w:tc>
          <w:tcPr>
            <w:tcW w:w="1500" w:type="dxa"/>
            <w:vAlign w:val="center"/>
          </w:tcPr>
          <w:p w14:paraId="68DAD059">
            <w:pPr>
              <w:rPr>
                <w:rFonts w:ascii="Arial" w:hAnsi="新宋体" w:cs="Arial"/>
                <w:color w:val="000000"/>
                <w:w w:val="90"/>
                <w:sz w:val="22"/>
                <w:szCs w:val="22"/>
              </w:rPr>
            </w:pPr>
          </w:p>
        </w:tc>
      </w:tr>
    </w:tbl>
    <w:p w14:paraId="0DAB7D29">
      <w:pPr>
        <w:rPr>
          <w:rFonts w:ascii="华文中宋" w:hAnsi="华文中宋" w:eastAsia="华文中宋" w:cs="Arial"/>
          <w:color w:val="000000"/>
          <w:kern w:val="0"/>
          <w:sz w:val="22"/>
          <w:szCs w:val="22"/>
        </w:rPr>
      </w:pPr>
      <w:r>
        <w:rPr>
          <w:rFonts w:hint="eastAsia" w:ascii="华文中宋" w:hAnsi="华文中宋" w:eastAsia="华文中宋" w:cs="Arial"/>
          <w:color w:val="000000"/>
          <w:kern w:val="0"/>
          <w:sz w:val="22"/>
          <w:szCs w:val="22"/>
        </w:rPr>
        <w:t xml:space="preserve"> </w:t>
      </w:r>
    </w:p>
    <w:p w14:paraId="50F2FB37">
      <w:pPr>
        <w:snapToGrid w:val="0"/>
        <w:rPr>
          <w:rFonts w:ascii="Arial" w:hAnsi="Arial" w:cs="Arial"/>
          <w:color w:val="000000"/>
          <w:sz w:val="22"/>
          <w:szCs w:val="22"/>
        </w:rPr>
      </w:pPr>
    </w:p>
    <w:p w14:paraId="5DDDF19A">
      <w:pPr>
        <w:snapToGrid w:val="0"/>
        <w:rPr>
          <w:rFonts w:ascii="Arial" w:hAnsi="Arial" w:cs="Arial"/>
          <w:color w:val="000000"/>
          <w:sz w:val="22"/>
          <w:szCs w:val="22"/>
        </w:rPr>
      </w:pPr>
      <w:r>
        <w:rPr>
          <w:rFonts w:hint="eastAsia" w:ascii="Arial" w:hAnsi="Arial" w:cs="Arial"/>
          <w:color w:val="000000"/>
          <w:sz w:val="22"/>
          <w:szCs w:val="22"/>
        </w:rPr>
        <w:t>投标银行名称（盖章）：</w:t>
      </w:r>
      <w:r>
        <w:rPr>
          <w:rFonts w:hint="eastAsia" w:ascii="Arial" w:hAnsi="Arial" w:cs="Arial"/>
          <w:color w:val="000000"/>
          <w:sz w:val="22"/>
          <w:szCs w:val="22"/>
          <w:u w:val="single"/>
        </w:rPr>
        <w:t xml:space="preserve">                                </w:t>
      </w:r>
    </w:p>
    <w:p w14:paraId="3E919661">
      <w:pPr>
        <w:snapToGrid w:val="0"/>
        <w:rPr>
          <w:rFonts w:ascii="Arial" w:hAnsi="Arial" w:cs="Arial"/>
          <w:color w:val="000000"/>
          <w:sz w:val="22"/>
          <w:szCs w:val="22"/>
        </w:rPr>
      </w:pPr>
      <w:r>
        <w:rPr>
          <w:rFonts w:hint="eastAsia" w:ascii="Arial" w:hAnsi="Arial" w:cs="Arial"/>
          <w:color w:val="000000"/>
          <w:sz w:val="22"/>
          <w:szCs w:val="22"/>
        </w:rPr>
        <w:t>法定代表人或其授权代表（签字或盖章）：</w:t>
      </w:r>
      <w:r>
        <w:rPr>
          <w:rFonts w:hint="eastAsia" w:ascii="Arial" w:hAnsi="Arial" w:cs="Arial"/>
          <w:color w:val="000000"/>
          <w:sz w:val="22"/>
          <w:szCs w:val="22"/>
          <w:u w:val="single"/>
        </w:rPr>
        <w:t xml:space="preserve">                </w:t>
      </w:r>
    </w:p>
    <w:p w14:paraId="271E6780">
      <w:pPr>
        <w:jc w:val="left"/>
        <w:rPr>
          <w:color w:val="000000"/>
        </w:rPr>
      </w:pPr>
      <w:r>
        <w:rPr>
          <w:rFonts w:hint="eastAsia" w:ascii="Arial" w:hAnsi="Arial" w:cs="Arial"/>
          <w:color w:val="000000"/>
          <w:sz w:val="22"/>
          <w:szCs w:val="22"/>
        </w:rPr>
        <w:t>日期：</w:t>
      </w:r>
      <w:r>
        <w:rPr>
          <w:rFonts w:hint="eastAsia" w:ascii="Arial" w:hAnsi="Arial" w:cs="Arial"/>
          <w:color w:val="000000"/>
          <w:sz w:val="22"/>
          <w:szCs w:val="22"/>
          <w:u w:val="single"/>
        </w:rPr>
        <w:t xml:space="preserve">                                                </w:t>
      </w:r>
    </w:p>
    <w:sectPr>
      <w:headerReference r:id="rId9" w:type="default"/>
      <w:pgSz w:w="11906" w:h="16838"/>
      <w:pgMar w:top="1440" w:right="1418" w:bottom="1440" w:left="1559" w:header="851" w:footer="992"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细圆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E24F">
    <w:pPr>
      <w:pStyle w:val="28"/>
      <w:jc w:val="center"/>
    </w:pPr>
    <w:r>
      <w:rPr>
        <w:b/>
        <w:sz w:val="24"/>
        <w:szCs w:val="24"/>
      </w:rPr>
      <w:fldChar w:fldCharType="begin"/>
    </w:r>
    <w:r>
      <w:rPr>
        <w:rStyle w:val="44"/>
        <w:b/>
        <w:sz w:val="24"/>
        <w:szCs w:val="24"/>
      </w:rPr>
      <w:instrText xml:space="preserve"> PAGE </w:instrText>
    </w:r>
    <w:r>
      <w:rPr>
        <w:b/>
        <w:sz w:val="24"/>
        <w:szCs w:val="24"/>
      </w:rPr>
      <w:fldChar w:fldCharType="separate"/>
    </w:r>
    <w:r>
      <w:rPr>
        <w:rStyle w:val="44"/>
        <w:b/>
        <w:sz w:val="24"/>
        <w:szCs w:val="24"/>
      </w:rPr>
      <w:t>- 42 -</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8995D">
    <w:pPr>
      <w:pStyle w:val="29"/>
      <w:tabs>
        <w:tab w:val="left" w:pos="9000"/>
        <w:tab w:val="clear" w:pos="8306"/>
      </w:tabs>
      <w:jc w:val="both"/>
    </w:pPr>
    <w:r>
      <w:rPr>
        <w:rFonts w:hint="eastAsia"/>
      </w:rPr>
      <w:t xml:space="preserve">杭州华旗招标代理有限公司  Tel:0577-68810100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DFD2">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98B4E">
    <w:pPr>
      <w:pStyle w:val="29"/>
      <w:tabs>
        <w:tab w:val="left" w:pos="9000"/>
        <w:tab w:val="clear" w:pos="8306"/>
      </w:tabs>
      <w:jc w:val="right"/>
    </w:pP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47CD">
    <w:pPr>
      <w:pStyle w:val="29"/>
      <w:tabs>
        <w:tab w:val="left" w:pos="9000"/>
        <w:tab w:val="clear" w:pos="8306"/>
      </w:tabs>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D247F"/>
    <w:multiLevelType w:val="singleLevel"/>
    <w:tmpl w:val="ED8D247F"/>
    <w:lvl w:ilvl="0" w:tentative="0">
      <w:start w:val="1"/>
      <w:numFmt w:val="decimal"/>
      <w:pStyle w:val="14"/>
      <w:lvlText w:val="%1."/>
      <w:lvlJc w:val="left"/>
      <w:pPr>
        <w:tabs>
          <w:tab w:val="left" w:pos="360"/>
        </w:tabs>
        <w:ind w:left="360" w:hanging="360"/>
      </w:pPr>
    </w:lvl>
  </w:abstractNum>
  <w:abstractNum w:abstractNumId="1">
    <w:nsid w:val="FFFFFF7D"/>
    <w:multiLevelType w:val="singleLevel"/>
    <w:tmpl w:val="FFFFFF7D"/>
    <w:lvl w:ilvl="0" w:tentative="0">
      <w:start w:val="1"/>
      <w:numFmt w:val="decimal"/>
      <w:pStyle w:val="23"/>
      <w:lvlText w:val="%1."/>
      <w:lvlJc w:val="left"/>
      <w:pPr>
        <w:tabs>
          <w:tab w:val="left" w:pos="1620"/>
        </w:tabs>
        <w:ind w:left="1620" w:hanging="360"/>
      </w:pPr>
    </w:lvl>
  </w:abstractNum>
  <w:abstractNum w:abstractNumId="2">
    <w:nsid w:val="00000016"/>
    <w:multiLevelType w:val="multilevel"/>
    <w:tmpl w:val="00000016"/>
    <w:lvl w:ilvl="0" w:tentative="0">
      <w:start w:val="1"/>
      <w:numFmt w:val="decimal"/>
      <w:lvlText w:val="%1."/>
      <w:lvlJc w:val="left"/>
      <w:pPr>
        <w:tabs>
          <w:tab w:val="left" w:pos="425"/>
        </w:tabs>
        <w:ind w:left="425" w:hanging="425"/>
      </w:pPr>
      <w:rPr>
        <w:rFonts w:hint="default"/>
        <w:b/>
        <w:i w:val="0"/>
        <w:sz w:val="24"/>
      </w:rPr>
    </w:lvl>
    <w:lvl w:ilvl="1" w:tentative="0">
      <w:start w:val="1"/>
      <w:numFmt w:val="decimal"/>
      <w:lvlText w:val="%1.%2."/>
      <w:lvlJc w:val="left"/>
      <w:pPr>
        <w:tabs>
          <w:tab w:val="left" w:pos="882"/>
        </w:tabs>
        <w:ind w:left="882" w:hanging="567"/>
      </w:pPr>
      <w:rPr>
        <w:rFonts w:hint="default"/>
        <w:b w:val="0"/>
        <w:i w:val="0"/>
        <w:color w:val="000000"/>
        <w:sz w:val="21"/>
        <w:szCs w:val="24"/>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1347244"/>
    <w:multiLevelType w:val="singleLevel"/>
    <w:tmpl w:val="21347244"/>
    <w:lvl w:ilvl="0" w:tentative="0">
      <w:start w:val="5"/>
      <w:numFmt w:val="chineseCounting"/>
      <w:suff w:val="space"/>
      <w:lvlText w:val="第%1章"/>
      <w:lvlJc w:val="left"/>
      <w:rPr>
        <w:rFonts w:hint="eastAsia"/>
      </w:rPr>
    </w:lvl>
  </w:abstractNum>
  <w:abstractNum w:abstractNumId="4">
    <w:nsid w:val="5383AE80"/>
    <w:multiLevelType w:val="singleLevel"/>
    <w:tmpl w:val="5383AE80"/>
    <w:lvl w:ilvl="0" w:tentative="0">
      <w:start w:val="1"/>
      <w:numFmt w:val="decimal"/>
      <w:suff w:val="nothing"/>
      <w:lvlText w:val="（%1）"/>
      <w:lvlJc w:val="left"/>
    </w:lvl>
  </w:abstractNum>
  <w:abstractNum w:abstractNumId="5">
    <w:nsid w:val="638BF215"/>
    <w:multiLevelType w:val="singleLevel"/>
    <w:tmpl w:val="638BF215"/>
    <w:lvl w:ilvl="0" w:tentative="0">
      <w:start w:val="2"/>
      <w:numFmt w:val="chineseCounting"/>
      <w:suff w:val="space"/>
      <w:lvlText w:val="第%1章"/>
      <w:lvlJc w:val="left"/>
      <w:rPr>
        <w:rFonts w:hint="eastAsia"/>
      </w:rPr>
    </w:lvl>
  </w:abstractNum>
  <w:abstractNum w:abstractNumId="6">
    <w:nsid w:val="7519315D"/>
    <w:multiLevelType w:val="singleLevel"/>
    <w:tmpl w:val="7519315D"/>
    <w:lvl w:ilvl="0" w:tentative="0">
      <w:start w:val="1"/>
      <w:numFmt w:val="decimal"/>
      <w:suff w:val="nothing"/>
      <w:lvlText w:val="%1、"/>
      <w:lvlJc w:val="left"/>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MzAyZTY4MmUwMTVjZWU4NWE0YjMwYmQ2MDY0OGIifQ=="/>
  </w:docVars>
  <w:rsids>
    <w:rsidRoot w:val="00174C54"/>
    <w:rsid w:val="0000200E"/>
    <w:rsid w:val="00004470"/>
    <w:rsid w:val="00005E97"/>
    <w:rsid w:val="000063F9"/>
    <w:rsid w:val="00006C80"/>
    <w:rsid w:val="0001085C"/>
    <w:rsid w:val="00010A21"/>
    <w:rsid w:val="00015565"/>
    <w:rsid w:val="00016322"/>
    <w:rsid w:val="00016828"/>
    <w:rsid w:val="00017DBC"/>
    <w:rsid w:val="000202F7"/>
    <w:rsid w:val="000207F1"/>
    <w:rsid w:val="0002257A"/>
    <w:rsid w:val="00022D78"/>
    <w:rsid w:val="000246CD"/>
    <w:rsid w:val="00025EF2"/>
    <w:rsid w:val="0003015C"/>
    <w:rsid w:val="00030EAE"/>
    <w:rsid w:val="00031888"/>
    <w:rsid w:val="000345C2"/>
    <w:rsid w:val="0003583A"/>
    <w:rsid w:val="00035FCF"/>
    <w:rsid w:val="000361CF"/>
    <w:rsid w:val="000367F1"/>
    <w:rsid w:val="00037D29"/>
    <w:rsid w:val="00040A4D"/>
    <w:rsid w:val="00041693"/>
    <w:rsid w:val="000420A3"/>
    <w:rsid w:val="00042F8B"/>
    <w:rsid w:val="0004389D"/>
    <w:rsid w:val="0004434B"/>
    <w:rsid w:val="00044F04"/>
    <w:rsid w:val="00045447"/>
    <w:rsid w:val="0004662E"/>
    <w:rsid w:val="0004687E"/>
    <w:rsid w:val="00047119"/>
    <w:rsid w:val="000471F3"/>
    <w:rsid w:val="000509FE"/>
    <w:rsid w:val="00050DDE"/>
    <w:rsid w:val="00052B1E"/>
    <w:rsid w:val="000538DF"/>
    <w:rsid w:val="0005797E"/>
    <w:rsid w:val="00060487"/>
    <w:rsid w:val="00060F29"/>
    <w:rsid w:val="00062119"/>
    <w:rsid w:val="00065304"/>
    <w:rsid w:val="000656F4"/>
    <w:rsid w:val="00070EDF"/>
    <w:rsid w:val="000714D5"/>
    <w:rsid w:val="00073BE5"/>
    <w:rsid w:val="000744FD"/>
    <w:rsid w:val="0007484F"/>
    <w:rsid w:val="00074AD1"/>
    <w:rsid w:val="00074DDF"/>
    <w:rsid w:val="00075D64"/>
    <w:rsid w:val="00076E50"/>
    <w:rsid w:val="00077C5B"/>
    <w:rsid w:val="00077EA4"/>
    <w:rsid w:val="00077F9B"/>
    <w:rsid w:val="000803CD"/>
    <w:rsid w:val="00080603"/>
    <w:rsid w:val="00081B8F"/>
    <w:rsid w:val="00083FD2"/>
    <w:rsid w:val="0008742B"/>
    <w:rsid w:val="000909F9"/>
    <w:rsid w:val="00091AF6"/>
    <w:rsid w:val="000943E3"/>
    <w:rsid w:val="0009482F"/>
    <w:rsid w:val="00094973"/>
    <w:rsid w:val="0009499A"/>
    <w:rsid w:val="00094C88"/>
    <w:rsid w:val="00094C9B"/>
    <w:rsid w:val="00094E50"/>
    <w:rsid w:val="00094F14"/>
    <w:rsid w:val="00095EE0"/>
    <w:rsid w:val="0009602E"/>
    <w:rsid w:val="000A05A7"/>
    <w:rsid w:val="000A0642"/>
    <w:rsid w:val="000A097F"/>
    <w:rsid w:val="000A37BB"/>
    <w:rsid w:val="000A3EF5"/>
    <w:rsid w:val="000A559A"/>
    <w:rsid w:val="000A5E45"/>
    <w:rsid w:val="000A6373"/>
    <w:rsid w:val="000A65AB"/>
    <w:rsid w:val="000A717D"/>
    <w:rsid w:val="000B02A6"/>
    <w:rsid w:val="000B257A"/>
    <w:rsid w:val="000B27F0"/>
    <w:rsid w:val="000B42F6"/>
    <w:rsid w:val="000B4B2A"/>
    <w:rsid w:val="000B62B3"/>
    <w:rsid w:val="000C0197"/>
    <w:rsid w:val="000C0390"/>
    <w:rsid w:val="000C1640"/>
    <w:rsid w:val="000C229A"/>
    <w:rsid w:val="000C287C"/>
    <w:rsid w:val="000C3995"/>
    <w:rsid w:val="000C4001"/>
    <w:rsid w:val="000C4F6F"/>
    <w:rsid w:val="000C5267"/>
    <w:rsid w:val="000C5309"/>
    <w:rsid w:val="000C5395"/>
    <w:rsid w:val="000C54FC"/>
    <w:rsid w:val="000C767D"/>
    <w:rsid w:val="000D021C"/>
    <w:rsid w:val="000D08DF"/>
    <w:rsid w:val="000D0CF9"/>
    <w:rsid w:val="000D30CB"/>
    <w:rsid w:val="000D378E"/>
    <w:rsid w:val="000D3B38"/>
    <w:rsid w:val="000D432A"/>
    <w:rsid w:val="000D5FC2"/>
    <w:rsid w:val="000D64C3"/>
    <w:rsid w:val="000D665D"/>
    <w:rsid w:val="000D6C48"/>
    <w:rsid w:val="000E063A"/>
    <w:rsid w:val="000E075A"/>
    <w:rsid w:val="000E12DD"/>
    <w:rsid w:val="000E1336"/>
    <w:rsid w:val="000E186E"/>
    <w:rsid w:val="000E337E"/>
    <w:rsid w:val="000E363A"/>
    <w:rsid w:val="000E378F"/>
    <w:rsid w:val="000E3B77"/>
    <w:rsid w:val="000E44B6"/>
    <w:rsid w:val="000E4F04"/>
    <w:rsid w:val="000E7D20"/>
    <w:rsid w:val="000E7F35"/>
    <w:rsid w:val="000F0996"/>
    <w:rsid w:val="000F378B"/>
    <w:rsid w:val="000F4178"/>
    <w:rsid w:val="000F48D9"/>
    <w:rsid w:val="000F558C"/>
    <w:rsid w:val="000F59FD"/>
    <w:rsid w:val="000F5BE7"/>
    <w:rsid w:val="001000F4"/>
    <w:rsid w:val="00100194"/>
    <w:rsid w:val="00101CE8"/>
    <w:rsid w:val="001052A4"/>
    <w:rsid w:val="001063F4"/>
    <w:rsid w:val="0010657B"/>
    <w:rsid w:val="00106E1D"/>
    <w:rsid w:val="001108C4"/>
    <w:rsid w:val="001110C6"/>
    <w:rsid w:val="0011157F"/>
    <w:rsid w:val="00111AC8"/>
    <w:rsid w:val="00111E01"/>
    <w:rsid w:val="001128DB"/>
    <w:rsid w:val="00112E98"/>
    <w:rsid w:val="00114F69"/>
    <w:rsid w:val="00115220"/>
    <w:rsid w:val="001165DE"/>
    <w:rsid w:val="00116D68"/>
    <w:rsid w:val="00116E4A"/>
    <w:rsid w:val="00120144"/>
    <w:rsid w:val="00120147"/>
    <w:rsid w:val="0012041A"/>
    <w:rsid w:val="0012074C"/>
    <w:rsid w:val="0012153E"/>
    <w:rsid w:val="00121753"/>
    <w:rsid w:val="00121EDE"/>
    <w:rsid w:val="0012233A"/>
    <w:rsid w:val="00125FA2"/>
    <w:rsid w:val="001266E2"/>
    <w:rsid w:val="00126BD5"/>
    <w:rsid w:val="00126FDE"/>
    <w:rsid w:val="001300D6"/>
    <w:rsid w:val="00131199"/>
    <w:rsid w:val="00132C8F"/>
    <w:rsid w:val="001335BF"/>
    <w:rsid w:val="00134552"/>
    <w:rsid w:val="001346C1"/>
    <w:rsid w:val="00135A5E"/>
    <w:rsid w:val="00136522"/>
    <w:rsid w:val="00136D1F"/>
    <w:rsid w:val="0014108D"/>
    <w:rsid w:val="00141AE9"/>
    <w:rsid w:val="00142DC4"/>
    <w:rsid w:val="00146E56"/>
    <w:rsid w:val="001471F7"/>
    <w:rsid w:val="00150997"/>
    <w:rsid w:val="00152414"/>
    <w:rsid w:val="00152ED2"/>
    <w:rsid w:val="0015340B"/>
    <w:rsid w:val="00153BF2"/>
    <w:rsid w:val="00154005"/>
    <w:rsid w:val="0015418C"/>
    <w:rsid w:val="00154B19"/>
    <w:rsid w:val="00154D2E"/>
    <w:rsid w:val="0015774B"/>
    <w:rsid w:val="00160415"/>
    <w:rsid w:val="00160F77"/>
    <w:rsid w:val="0016122E"/>
    <w:rsid w:val="0016140C"/>
    <w:rsid w:val="001655AB"/>
    <w:rsid w:val="00167774"/>
    <w:rsid w:val="001711E8"/>
    <w:rsid w:val="0017132F"/>
    <w:rsid w:val="001713E6"/>
    <w:rsid w:val="00172134"/>
    <w:rsid w:val="001731AA"/>
    <w:rsid w:val="00174C54"/>
    <w:rsid w:val="00174DA3"/>
    <w:rsid w:val="00174EF6"/>
    <w:rsid w:val="00176B96"/>
    <w:rsid w:val="00177064"/>
    <w:rsid w:val="001811F8"/>
    <w:rsid w:val="00181343"/>
    <w:rsid w:val="00181A02"/>
    <w:rsid w:val="00181AFD"/>
    <w:rsid w:val="00181D04"/>
    <w:rsid w:val="00185475"/>
    <w:rsid w:val="001925C8"/>
    <w:rsid w:val="001932A8"/>
    <w:rsid w:val="00193A80"/>
    <w:rsid w:val="00197E2A"/>
    <w:rsid w:val="001A107E"/>
    <w:rsid w:val="001A12EF"/>
    <w:rsid w:val="001A198E"/>
    <w:rsid w:val="001A2237"/>
    <w:rsid w:val="001A22AD"/>
    <w:rsid w:val="001A4584"/>
    <w:rsid w:val="001A48B6"/>
    <w:rsid w:val="001A571F"/>
    <w:rsid w:val="001A5C51"/>
    <w:rsid w:val="001A673C"/>
    <w:rsid w:val="001B120C"/>
    <w:rsid w:val="001B13AA"/>
    <w:rsid w:val="001B5B78"/>
    <w:rsid w:val="001B6242"/>
    <w:rsid w:val="001B6813"/>
    <w:rsid w:val="001B7707"/>
    <w:rsid w:val="001C0785"/>
    <w:rsid w:val="001C0A92"/>
    <w:rsid w:val="001C0AC1"/>
    <w:rsid w:val="001C0B64"/>
    <w:rsid w:val="001C33EF"/>
    <w:rsid w:val="001C3D46"/>
    <w:rsid w:val="001C3F79"/>
    <w:rsid w:val="001C4E86"/>
    <w:rsid w:val="001C562A"/>
    <w:rsid w:val="001C57B7"/>
    <w:rsid w:val="001C77D1"/>
    <w:rsid w:val="001D05DC"/>
    <w:rsid w:val="001D0AE8"/>
    <w:rsid w:val="001D25AA"/>
    <w:rsid w:val="001D3A4C"/>
    <w:rsid w:val="001D6175"/>
    <w:rsid w:val="001D72C8"/>
    <w:rsid w:val="001E105A"/>
    <w:rsid w:val="001E23FE"/>
    <w:rsid w:val="001E312C"/>
    <w:rsid w:val="001E33FF"/>
    <w:rsid w:val="001E3DDE"/>
    <w:rsid w:val="001E4961"/>
    <w:rsid w:val="001E7478"/>
    <w:rsid w:val="001E7D3E"/>
    <w:rsid w:val="001F07FF"/>
    <w:rsid w:val="001F1191"/>
    <w:rsid w:val="001F53EE"/>
    <w:rsid w:val="001F5B71"/>
    <w:rsid w:val="001F613B"/>
    <w:rsid w:val="001F7E36"/>
    <w:rsid w:val="002002A5"/>
    <w:rsid w:val="00200C8D"/>
    <w:rsid w:val="00200D14"/>
    <w:rsid w:val="00203D29"/>
    <w:rsid w:val="00205F57"/>
    <w:rsid w:val="002070C6"/>
    <w:rsid w:val="002076B4"/>
    <w:rsid w:val="0021068D"/>
    <w:rsid w:val="00210760"/>
    <w:rsid w:val="00210F74"/>
    <w:rsid w:val="00211B7E"/>
    <w:rsid w:val="002138D6"/>
    <w:rsid w:val="002154C4"/>
    <w:rsid w:val="00216DDD"/>
    <w:rsid w:val="00217CFD"/>
    <w:rsid w:val="00220488"/>
    <w:rsid w:val="00221A94"/>
    <w:rsid w:val="00222814"/>
    <w:rsid w:val="00224882"/>
    <w:rsid w:val="00224906"/>
    <w:rsid w:val="00225306"/>
    <w:rsid w:val="00225780"/>
    <w:rsid w:val="0022618D"/>
    <w:rsid w:val="00226773"/>
    <w:rsid w:val="00226BD1"/>
    <w:rsid w:val="0023031E"/>
    <w:rsid w:val="00230FC8"/>
    <w:rsid w:val="0023124B"/>
    <w:rsid w:val="00231A33"/>
    <w:rsid w:val="00232009"/>
    <w:rsid w:val="00234FAF"/>
    <w:rsid w:val="002362DE"/>
    <w:rsid w:val="0023665F"/>
    <w:rsid w:val="00236925"/>
    <w:rsid w:val="0023739D"/>
    <w:rsid w:val="00240CD5"/>
    <w:rsid w:val="00242B2A"/>
    <w:rsid w:val="002430B2"/>
    <w:rsid w:val="0024377B"/>
    <w:rsid w:val="00244663"/>
    <w:rsid w:val="00244714"/>
    <w:rsid w:val="00244D54"/>
    <w:rsid w:val="00244D84"/>
    <w:rsid w:val="00245EF9"/>
    <w:rsid w:val="00246D7C"/>
    <w:rsid w:val="00247DAD"/>
    <w:rsid w:val="0025070C"/>
    <w:rsid w:val="00250FB6"/>
    <w:rsid w:val="00251848"/>
    <w:rsid w:val="00251B1B"/>
    <w:rsid w:val="00251E45"/>
    <w:rsid w:val="00251E75"/>
    <w:rsid w:val="00252C02"/>
    <w:rsid w:val="00253596"/>
    <w:rsid w:val="00255348"/>
    <w:rsid w:val="00256BA8"/>
    <w:rsid w:val="0025718D"/>
    <w:rsid w:val="00257C0F"/>
    <w:rsid w:val="00263146"/>
    <w:rsid w:val="00263C18"/>
    <w:rsid w:val="00264192"/>
    <w:rsid w:val="002663A3"/>
    <w:rsid w:val="002666F0"/>
    <w:rsid w:val="00267C84"/>
    <w:rsid w:val="00270385"/>
    <w:rsid w:val="002706F7"/>
    <w:rsid w:val="00270A26"/>
    <w:rsid w:val="00272A48"/>
    <w:rsid w:val="0027350F"/>
    <w:rsid w:val="0027371B"/>
    <w:rsid w:val="00274DB2"/>
    <w:rsid w:val="00274EEA"/>
    <w:rsid w:val="002758A2"/>
    <w:rsid w:val="0027633E"/>
    <w:rsid w:val="00276FA2"/>
    <w:rsid w:val="0028048A"/>
    <w:rsid w:val="002810D5"/>
    <w:rsid w:val="0028287D"/>
    <w:rsid w:val="00283393"/>
    <w:rsid w:val="00284542"/>
    <w:rsid w:val="00285473"/>
    <w:rsid w:val="002876CD"/>
    <w:rsid w:val="00290151"/>
    <w:rsid w:val="00290314"/>
    <w:rsid w:val="002908CF"/>
    <w:rsid w:val="002909D7"/>
    <w:rsid w:val="00293D66"/>
    <w:rsid w:val="00295523"/>
    <w:rsid w:val="00296AFB"/>
    <w:rsid w:val="00297FC2"/>
    <w:rsid w:val="002A0B0F"/>
    <w:rsid w:val="002A0DF2"/>
    <w:rsid w:val="002A1E88"/>
    <w:rsid w:val="002A234B"/>
    <w:rsid w:val="002A4791"/>
    <w:rsid w:val="002A620F"/>
    <w:rsid w:val="002A6A92"/>
    <w:rsid w:val="002A7D9F"/>
    <w:rsid w:val="002B0482"/>
    <w:rsid w:val="002B1D4A"/>
    <w:rsid w:val="002B1EE5"/>
    <w:rsid w:val="002B23ED"/>
    <w:rsid w:val="002B296E"/>
    <w:rsid w:val="002B359C"/>
    <w:rsid w:val="002B3A28"/>
    <w:rsid w:val="002B3C9B"/>
    <w:rsid w:val="002B55F9"/>
    <w:rsid w:val="002B563D"/>
    <w:rsid w:val="002B6314"/>
    <w:rsid w:val="002C0CF4"/>
    <w:rsid w:val="002C1775"/>
    <w:rsid w:val="002C1C1C"/>
    <w:rsid w:val="002C53EB"/>
    <w:rsid w:val="002C5435"/>
    <w:rsid w:val="002C5811"/>
    <w:rsid w:val="002C58DF"/>
    <w:rsid w:val="002C5FDA"/>
    <w:rsid w:val="002D14A9"/>
    <w:rsid w:val="002D15F0"/>
    <w:rsid w:val="002D29E9"/>
    <w:rsid w:val="002D2B9D"/>
    <w:rsid w:val="002D2BB1"/>
    <w:rsid w:val="002D34FB"/>
    <w:rsid w:val="002D37D2"/>
    <w:rsid w:val="002D4BBE"/>
    <w:rsid w:val="002D5795"/>
    <w:rsid w:val="002D6915"/>
    <w:rsid w:val="002D736A"/>
    <w:rsid w:val="002D763B"/>
    <w:rsid w:val="002D7822"/>
    <w:rsid w:val="002D78BA"/>
    <w:rsid w:val="002D792E"/>
    <w:rsid w:val="002E0FA7"/>
    <w:rsid w:val="002E27FF"/>
    <w:rsid w:val="002E4A2D"/>
    <w:rsid w:val="002E5174"/>
    <w:rsid w:val="002E5BCD"/>
    <w:rsid w:val="002E5D03"/>
    <w:rsid w:val="002F16E6"/>
    <w:rsid w:val="002F68BE"/>
    <w:rsid w:val="002F72BF"/>
    <w:rsid w:val="00300197"/>
    <w:rsid w:val="0030099F"/>
    <w:rsid w:val="003017EE"/>
    <w:rsid w:val="00301985"/>
    <w:rsid w:val="00301B96"/>
    <w:rsid w:val="00304D2E"/>
    <w:rsid w:val="00306868"/>
    <w:rsid w:val="00310F9F"/>
    <w:rsid w:val="00311A79"/>
    <w:rsid w:val="0031341C"/>
    <w:rsid w:val="00314F75"/>
    <w:rsid w:val="003164E3"/>
    <w:rsid w:val="003165EB"/>
    <w:rsid w:val="003172F5"/>
    <w:rsid w:val="003178C6"/>
    <w:rsid w:val="00320FB6"/>
    <w:rsid w:val="00321809"/>
    <w:rsid w:val="0032217A"/>
    <w:rsid w:val="003240D6"/>
    <w:rsid w:val="0032680D"/>
    <w:rsid w:val="00326CB9"/>
    <w:rsid w:val="003304A8"/>
    <w:rsid w:val="00330F89"/>
    <w:rsid w:val="00331D69"/>
    <w:rsid w:val="00334F16"/>
    <w:rsid w:val="00335655"/>
    <w:rsid w:val="00336687"/>
    <w:rsid w:val="003366CF"/>
    <w:rsid w:val="0033783F"/>
    <w:rsid w:val="00337930"/>
    <w:rsid w:val="00337B19"/>
    <w:rsid w:val="00341FF8"/>
    <w:rsid w:val="0034417D"/>
    <w:rsid w:val="00344B31"/>
    <w:rsid w:val="00345189"/>
    <w:rsid w:val="0034545B"/>
    <w:rsid w:val="0034578E"/>
    <w:rsid w:val="0034696C"/>
    <w:rsid w:val="00346F64"/>
    <w:rsid w:val="00347E20"/>
    <w:rsid w:val="00350750"/>
    <w:rsid w:val="00353E62"/>
    <w:rsid w:val="00354FF2"/>
    <w:rsid w:val="00360AEB"/>
    <w:rsid w:val="00361163"/>
    <w:rsid w:val="00361255"/>
    <w:rsid w:val="00361EAA"/>
    <w:rsid w:val="00363D1D"/>
    <w:rsid w:val="003642C2"/>
    <w:rsid w:val="00364486"/>
    <w:rsid w:val="003651C6"/>
    <w:rsid w:val="00365827"/>
    <w:rsid w:val="0036607B"/>
    <w:rsid w:val="00366BD2"/>
    <w:rsid w:val="00366E9A"/>
    <w:rsid w:val="003705ED"/>
    <w:rsid w:val="003720B1"/>
    <w:rsid w:val="0037222F"/>
    <w:rsid w:val="0037374E"/>
    <w:rsid w:val="00373E38"/>
    <w:rsid w:val="003765AC"/>
    <w:rsid w:val="00376685"/>
    <w:rsid w:val="00376895"/>
    <w:rsid w:val="00380776"/>
    <w:rsid w:val="003808FA"/>
    <w:rsid w:val="0038121F"/>
    <w:rsid w:val="003825D4"/>
    <w:rsid w:val="003832E8"/>
    <w:rsid w:val="00385F29"/>
    <w:rsid w:val="00386495"/>
    <w:rsid w:val="00386DCF"/>
    <w:rsid w:val="00386E7E"/>
    <w:rsid w:val="00392017"/>
    <w:rsid w:val="00393458"/>
    <w:rsid w:val="00393E21"/>
    <w:rsid w:val="003943B8"/>
    <w:rsid w:val="00397A8F"/>
    <w:rsid w:val="003A34F0"/>
    <w:rsid w:val="003A4D16"/>
    <w:rsid w:val="003A70FB"/>
    <w:rsid w:val="003B0105"/>
    <w:rsid w:val="003B07FC"/>
    <w:rsid w:val="003B1852"/>
    <w:rsid w:val="003B3287"/>
    <w:rsid w:val="003B3868"/>
    <w:rsid w:val="003B44F7"/>
    <w:rsid w:val="003B57DB"/>
    <w:rsid w:val="003B59C5"/>
    <w:rsid w:val="003B5CB5"/>
    <w:rsid w:val="003B65ED"/>
    <w:rsid w:val="003C0BF9"/>
    <w:rsid w:val="003C0E83"/>
    <w:rsid w:val="003C1C3B"/>
    <w:rsid w:val="003C213D"/>
    <w:rsid w:val="003C3A44"/>
    <w:rsid w:val="003C40BE"/>
    <w:rsid w:val="003C6BBC"/>
    <w:rsid w:val="003C6D23"/>
    <w:rsid w:val="003C7284"/>
    <w:rsid w:val="003C7F4C"/>
    <w:rsid w:val="003D019E"/>
    <w:rsid w:val="003D0CBF"/>
    <w:rsid w:val="003D0FA5"/>
    <w:rsid w:val="003D15D8"/>
    <w:rsid w:val="003D15DF"/>
    <w:rsid w:val="003D167C"/>
    <w:rsid w:val="003D2099"/>
    <w:rsid w:val="003D2C72"/>
    <w:rsid w:val="003D365E"/>
    <w:rsid w:val="003D5DC6"/>
    <w:rsid w:val="003D647B"/>
    <w:rsid w:val="003D6B79"/>
    <w:rsid w:val="003D7D95"/>
    <w:rsid w:val="003D7E0F"/>
    <w:rsid w:val="003E0827"/>
    <w:rsid w:val="003E0C5B"/>
    <w:rsid w:val="003E1B7E"/>
    <w:rsid w:val="003E2EF5"/>
    <w:rsid w:val="003E30E5"/>
    <w:rsid w:val="003E32B2"/>
    <w:rsid w:val="003E5C0B"/>
    <w:rsid w:val="003E70A0"/>
    <w:rsid w:val="003E78AC"/>
    <w:rsid w:val="003F2B05"/>
    <w:rsid w:val="003F3B2E"/>
    <w:rsid w:val="003F3D23"/>
    <w:rsid w:val="003F47A5"/>
    <w:rsid w:val="003F4FB7"/>
    <w:rsid w:val="003F59A1"/>
    <w:rsid w:val="003F59BC"/>
    <w:rsid w:val="003F7A3E"/>
    <w:rsid w:val="003F7AB7"/>
    <w:rsid w:val="0040200D"/>
    <w:rsid w:val="00403556"/>
    <w:rsid w:val="00403BF4"/>
    <w:rsid w:val="0040702F"/>
    <w:rsid w:val="00407CCF"/>
    <w:rsid w:val="004110D2"/>
    <w:rsid w:val="00411DA1"/>
    <w:rsid w:val="00411F31"/>
    <w:rsid w:val="004122D1"/>
    <w:rsid w:val="00414530"/>
    <w:rsid w:val="004148FA"/>
    <w:rsid w:val="00414F04"/>
    <w:rsid w:val="00420793"/>
    <w:rsid w:val="00423CEA"/>
    <w:rsid w:val="004248C8"/>
    <w:rsid w:val="00424BE1"/>
    <w:rsid w:val="00424E84"/>
    <w:rsid w:val="004254F6"/>
    <w:rsid w:val="00425A9D"/>
    <w:rsid w:val="00425DEB"/>
    <w:rsid w:val="004310D6"/>
    <w:rsid w:val="004313B7"/>
    <w:rsid w:val="004315A4"/>
    <w:rsid w:val="00432385"/>
    <w:rsid w:val="004325CE"/>
    <w:rsid w:val="00433723"/>
    <w:rsid w:val="00434078"/>
    <w:rsid w:val="0043486E"/>
    <w:rsid w:val="004349C5"/>
    <w:rsid w:val="00435159"/>
    <w:rsid w:val="00436FAA"/>
    <w:rsid w:val="00437F43"/>
    <w:rsid w:val="00440894"/>
    <w:rsid w:val="00440D1C"/>
    <w:rsid w:val="0044106C"/>
    <w:rsid w:val="004410F4"/>
    <w:rsid w:val="0044187D"/>
    <w:rsid w:val="0044342D"/>
    <w:rsid w:val="004439B5"/>
    <w:rsid w:val="00443FB7"/>
    <w:rsid w:val="004442C6"/>
    <w:rsid w:val="00444626"/>
    <w:rsid w:val="004468AB"/>
    <w:rsid w:val="00446A82"/>
    <w:rsid w:val="004476D8"/>
    <w:rsid w:val="00450F44"/>
    <w:rsid w:val="004513F2"/>
    <w:rsid w:val="0045140E"/>
    <w:rsid w:val="00452377"/>
    <w:rsid w:val="00454549"/>
    <w:rsid w:val="00455398"/>
    <w:rsid w:val="00455A98"/>
    <w:rsid w:val="00456BF3"/>
    <w:rsid w:val="00456E0C"/>
    <w:rsid w:val="00457FBD"/>
    <w:rsid w:val="00460BFD"/>
    <w:rsid w:val="00460CC4"/>
    <w:rsid w:val="00461706"/>
    <w:rsid w:val="00461FF6"/>
    <w:rsid w:val="00462291"/>
    <w:rsid w:val="00464115"/>
    <w:rsid w:val="00464249"/>
    <w:rsid w:val="00464E01"/>
    <w:rsid w:val="00464F72"/>
    <w:rsid w:val="00465082"/>
    <w:rsid w:val="004654C6"/>
    <w:rsid w:val="004661AD"/>
    <w:rsid w:val="00467D2D"/>
    <w:rsid w:val="00467E9B"/>
    <w:rsid w:val="00470BEA"/>
    <w:rsid w:val="00471F52"/>
    <w:rsid w:val="00471F92"/>
    <w:rsid w:val="00472565"/>
    <w:rsid w:val="00472842"/>
    <w:rsid w:val="00474E52"/>
    <w:rsid w:val="00475AEF"/>
    <w:rsid w:val="00475C2A"/>
    <w:rsid w:val="00476A75"/>
    <w:rsid w:val="00485E36"/>
    <w:rsid w:val="004901CB"/>
    <w:rsid w:val="004919C7"/>
    <w:rsid w:val="00491AC1"/>
    <w:rsid w:val="00491DD1"/>
    <w:rsid w:val="004923AE"/>
    <w:rsid w:val="004925DE"/>
    <w:rsid w:val="00493D6C"/>
    <w:rsid w:val="00494A94"/>
    <w:rsid w:val="0049583B"/>
    <w:rsid w:val="004A00B2"/>
    <w:rsid w:val="004A0832"/>
    <w:rsid w:val="004A13E4"/>
    <w:rsid w:val="004A244A"/>
    <w:rsid w:val="004A2AE1"/>
    <w:rsid w:val="004A2CFD"/>
    <w:rsid w:val="004A3E35"/>
    <w:rsid w:val="004A4908"/>
    <w:rsid w:val="004A57E5"/>
    <w:rsid w:val="004A5E52"/>
    <w:rsid w:val="004A6182"/>
    <w:rsid w:val="004B005E"/>
    <w:rsid w:val="004B05CE"/>
    <w:rsid w:val="004B158A"/>
    <w:rsid w:val="004B1DE7"/>
    <w:rsid w:val="004B46E0"/>
    <w:rsid w:val="004B48AE"/>
    <w:rsid w:val="004B4D8F"/>
    <w:rsid w:val="004B4FD7"/>
    <w:rsid w:val="004B573C"/>
    <w:rsid w:val="004B6DC8"/>
    <w:rsid w:val="004B7AD1"/>
    <w:rsid w:val="004B7BA5"/>
    <w:rsid w:val="004C0333"/>
    <w:rsid w:val="004C0662"/>
    <w:rsid w:val="004C0945"/>
    <w:rsid w:val="004C0BB3"/>
    <w:rsid w:val="004C21DC"/>
    <w:rsid w:val="004C4887"/>
    <w:rsid w:val="004C5422"/>
    <w:rsid w:val="004C57F4"/>
    <w:rsid w:val="004C5DB2"/>
    <w:rsid w:val="004C64B9"/>
    <w:rsid w:val="004C76D4"/>
    <w:rsid w:val="004D0A9D"/>
    <w:rsid w:val="004D15CA"/>
    <w:rsid w:val="004D20DC"/>
    <w:rsid w:val="004D213A"/>
    <w:rsid w:val="004D24E4"/>
    <w:rsid w:val="004D5B75"/>
    <w:rsid w:val="004D64AF"/>
    <w:rsid w:val="004D6E2E"/>
    <w:rsid w:val="004D7BB7"/>
    <w:rsid w:val="004E0C5B"/>
    <w:rsid w:val="004E2113"/>
    <w:rsid w:val="004E2A69"/>
    <w:rsid w:val="004E4407"/>
    <w:rsid w:val="004E5D65"/>
    <w:rsid w:val="004E6237"/>
    <w:rsid w:val="004E6328"/>
    <w:rsid w:val="004E6C6E"/>
    <w:rsid w:val="004F0C58"/>
    <w:rsid w:val="004F1B76"/>
    <w:rsid w:val="004F236D"/>
    <w:rsid w:val="004F45A2"/>
    <w:rsid w:val="004F498E"/>
    <w:rsid w:val="004F519A"/>
    <w:rsid w:val="004F59A1"/>
    <w:rsid w:val="004F61E6"/>
    <w:rsid w:val="004F68A8"/>
    <w:rsid w:val="004F6A4A"/>
    <w:rsid w:val="00500713"/>
    <w:rsid w:val="00500BAA"/>
    <w:rsid w:val="00501207"/>
    <w:rsid w:val="005015AD"/>
    <w:rsid w:val="00501667"/>
    <w:rsid w:val="00501BA1"/>
    <w:rsid w:val="00502161"/>
    <w:rsid w:val="0050224D"/>
    <w:rsid w:val="00502753"/>
    <w:rsid w:val="00502976"/>
    <w:rsid w:val="00502B13"/>
    <w:rsid w:val="00502E53"/>
    <w:rsid w:val="005030DC"/>
    <w:rsid w:val="00504088"/>
    <w:rsid w:val="0050708D"/>
    <w:rsid w:val="00507324"/>
    <w:rsid w:val="00507BAB"/>
    <w:rsid w:val="0051027E"/>
    <w:rsid w:val="005128BE"/>
    <w:rsid w:val="00512BA1"/>
    <w:rsid w:val="00513A67"/>
    <w:rsid w:val="00513E56"/>
    <w:rsid w:val="00514448"/>
    <w:rsid w:val="00514BA6"/>
    <w:rsid w:val="00514BE9"/>
    <w:rsid w:val="00515521"/>
    <w:rsid w:val="00515F20"/>
    <w:rsid w:val="005169B6"/>
    <w:rsid w:val="00516B77"/>
    <w:rsid w:val="005208DE"/>
    <w:rsid w:val="00520B10"/>
    <w:rsid w:val="00520E75"/>
    <w:rsid w:val="00521756"/>
    <w:rsid w:val="005224E0"/>
    <w:rsid w:val="00522724"/>
    <w:rsid w:val="00522D3F"/>
    <w:rsid w:val="005230C0"/>
    <w:rsid w:val="0052398C"/>
    <w:rsid w:val="00523A45"/>
    <w:rsid w:val="005241A3"/>
    <w:rsid w:val="005251E7"/>
    <w:rsid w:val="005263EE"/>
    <w:rsid w:val="0052667B"/>
    <w:rsid w:val="005271C5"/>
    <w:rsid w:val="00527A6F"/>
    <w:rsid w:val="005302EA"/>
    <w:rsid w:val="00530403"/>
    <w:rsid w:val="005309B6"/>
    <w:rsid w:val="005311A4"/>
    <w:rsid w:val="00531673"/>
    <w:rsid w:val="005351B8"/>
    <w:rsid w:val="005354CA"/>
    <w:rsid w:val="00535D3F"/>
    <w:rsid w:val="00537070"/>
    <w:rsid w:val="005371AF"/>
    <w:rsid w:val="00541702"/>
    <w:rsid w:val="005420E9"/>
    <w:rsid w:val="0054279B"/>
    <w:rsid w:val="00542FF5"/>
    <w:rsid w:val="00543598"/>
    <w:rsid w:val="0054440C"/>
    <w:rsid w:val="00544D06"/>
    <w:rsid w:val="00546399"/>
    <w:rsid w:val="00547031"/>
    <w:rsid w:val="005500FE"/>
    <w:rsid w:val="005503EA"/>
    <w:rsid w:val="00550BC2"/>
    <w:rsid w:val="00552EA7"/>
    <w:rsid w:val="00553ECB"/>
    <w:rsid w:val="0055602F"/>
    <w:rsid w:val="00556F5A"/>
    <w:rsid w:val="00557157"/>
    <w:rsid w:val="00560542"/>
    <w:rsid w:val="00560634"/>
    <w:rsid w:val="00562497"/>
    <w:rsid w:val="00563841"/>
    <w:rsid w:val="00564DF5"/>
    <w:rsid w:val="005658F4"/>
    <w:rsid w:val="00566413"/>
    <w:rsid w:val="005677F2"/>
    <w:rsid w:val="005701E7"/>
    <w:rsid w:val="00570351"/>
    <w:rsid w:val="0057207C"/>
    <w:rsid w:val="00572319"/>
    <w:rsid w:val="00572B62"/>
    <w:rsid w:val="00573475"/>
    <w:rsid w:val="005734EA"/>
    <w:rsid w:val="00574122"/>
    <w:rsid w:val="005756D5"/>
    <w:rsid w:val="0057637A"/>
    <w:rsid w:val="005805AA"/>
    <w:rsid w:val="0058092B"/>
    <w:rsid w:val="00582D1C"/>
    <w:rsid w:val="005841E6"/>
    <w:rsid w:val="00584242"/>
    <w:rsid w:val="00584DCF"/>
    <w:rsid w:val="00584DD9"/>
    <w:rsid w:val="00587406"/>
    <w:rsid w:val="005906B8"/>
    <w:rsid w:val="00591018"/>
    <w:rsid w:val="0059245F"/>
    <w:rsid w:val="005927FC"/>
    <w:rsid w:val="005928C6"/>
    <w:rsid w:val="00592D28"/>
    <w:rsid w:val="00593981"/>
    <w:rsid w:val="00594AB8"/>
    <w:rsid w:val="00594D79"/>
    <w:rsid w:val="00595892"/>
    <w:rsid w:val="005977C7"/>
    <w:rsid w:val="005A0B24"/>
    <w:rsid w:val="005A16F1"/>
    <w:rsid w:val="005A236B"/>
    <w:rsid w:val="005A2432"/>
    <w:rsid w:val="005A2818"/>
    <w:rsid w:val="005A33F4"/>
    <w:rsid w:val="005A5BEE"/>
    <w:rsid w:val="005A7203"/>
    <w:rsid w:val="005A73D1"/>
    <w:rsid w:val="005A779E"/>
    <w:rsid w:val="005B1DF7"/>
    <w:rsid w:val="005B28F3"/>
    <w:rsid w:val="005B3A76"/>
    <w:rsid w:val="005B3FBC"/>
    <w:rsid w:val="005B4125"/>
    <w:rsid w:val="005B58F3"/>
    <w:rsid w:val="005B61A3"/>
    <w:rsid w:val="005B6201"/>
    <w:rsid w:val="005B7826"/>
    <w:rsid w:val="005C041C"/>
    <w:rsid w:val="005C0BF9"/>
    <w:rsid w:val="005C2A06"/>
    <w:rsid w:val="005C41E9"/>
    <w:rsid w:val="005C4DCA"/>
    <w:rsid w:val="005C6960"/>
    <w:rsid w:val="005C6C0A"/>
    <w:rsid w:val="005C70F6"/>
    <w:rsid w:val="005D29FD"/>
    <w:rsid w:val="005D31DE"/>
    <w:rsid w:val="005D3D3B"/>
    <w:rsid w:val="005D4860"/>
    <w:rsid w:val="005D5046"/>
    <w:rsid w:val="005E02FA"/>
    <w:rsid w:val="005E0EF5"/>
    <w:rsid w:val="005E2A8F"/>
    <w:rsid w:val="005E4EC3"/>
    <w:rsid w:val="005E59F8"/>
    <w:rsid w:val="005E72FD"/>
    <w:rsid w:val="005E78CA"/>
    <w:rsid w:val="005F1076"/>
    <w:rsid w:val="005F22C8"/>
    <w:rsid w:val="005F2AA9"/>
    <w:rsid w:val="005F3841"/>
    <w:rsid w:val="005F3962"/>
    <w:rsid w:val="005F3B2F"/>
    <w:rsid w:val="005F474B"/>
    <w:rsid w:val="005F59EB"/>
    <w:rsid w:val="005F613F"/>
    <w:rsid w:val="005F647C"/>
    <w:rsid w:val="005F6552"/>
    <w:rsid w:val="005F698B"/>
    <w:rsid w:val="005F6ED4"/>
    <w:rsid w:val="005F7676"/>
    <w:rsid w:val="005F7C57"/>
    <w:rsid w:val="005F7FE3"/>
    <w:rsid w:val="006015D0"/>
    <w:rsid w:val="0060224A"/>
    <w:rsid w:val="00602825"/>
    <w:rsid w:val="00602BBF"/>
    <w:rsid w:val="006043E1"/>
    <w:rsid w:val="0060588A"/>
    <w:rsid w:val="00605A23"/>
    <w:rsid w:val="006101B6"/>
    <w:rsid w:val="006111DF"/>
    <w:rsid w:val="006113B1"/>
    <w:rsid w:val="0061269F"/>
    <w:rsid w:val="006131D3"/>
    <w:rsid w:val="00613C7A"/>
    <w:rsid w:val="00616C02"/>
    <w:rsid w:val="006176CE"/>
    <w:rsid w:val="00617C52"/>
    <w:rsid w:val="006200A6"/>
    <w:rsid w:val="0062058B"/>
    <w:rsid w:val="00620796"/>
    <w:rsid w:val="00620ACF"/>
    <w:rsid w:val="00622F8B"/>
    <w:rsid w:val="006242BA"/>
    <w:rsid w:val="0062553B"/>
    <w:rsid w:val="006257CC"/>
    <w:rsid w:val="0062590C"/>
    <w:rsid w:val="00626716"/>
    <w:rsid w:val="00627C17"/>
    <w:rsid w:val="00630489"/>
    <w:rsid w:val="006311C9"/>
    <w:rsid w:val="0063230C"/>
    <w:rsid w:val="00632784"/>
    <w:rsid w:val="00632BA5"/>
    <w:rsid w:val="00633253"/>
    <w:rsid w:val="00633863"/>
    <w:rsid w:val="00637692"/>
    <w:rsid w:val="006404CB"/>
    <w:rsid w:val="006412F5"/>
    <w:rsid w:val="00641414"/>
    <w:rsid w:val="006415BF"/>
    <w:rsid w:val="006417A8"/>
    <w:rsid w:val="006425BE"/>
    <w:rsid w:val="00642A9F"/>
    <w:rsid w:val="0064426B"/>
    <w:rsid w:val="006464EA"/>
    <w:rsid w:val="0065047D"/>
    <w:rsid w:val="0065222B"/>
    <w:rsid w:val="00652BFB"/>
    <w:rsid w:val="00654083"/>
    <w:rsid w:val="006548D1"/>
    <w:rsid w:val="00655BCC"/>
    <w:rsid w:val="00656BF3"/>
    <w:rsid w:val="006572C4"/>
    <w:rsid w:val="0066055F"/>
    <w:rsid w:val="00663070"/>
    <w:rsid w:val="00663459"/>
    <w:rsid w:val="00663D50"/>
    <w:rsid w:val="006645EE"/>
    <w:rsid w:val="0066624D"/>
    <w:rsid w:val="00666BBF"/>
    <w:rsid w:val="00666FDC"/>
    <w:rsid w:val="0067068B"/>
    <w:rsid w:val="00670BB2"/>
    <w:rsid w:val="00670F3E"/>
    <w:rsid w:val="00671E07"/>
    <w:rsid w:val="00671F0B"/>
    <w:rsid w:val="00673752"/>
    <w:rsid w:val="006739A4"/>
    <w:rsid w:val="00674F15"/>
    <w:rsid w:val="006758CE"/>
    <w:rsid w:val="00675E8D"/>
    <w:rsid w:val="006765D9"/>
    <w:rsid w:val="00677E1C"/>
    <w:rsid w:val="006801E2"/>
    <w:rsid w:val="006803CD"/>
    <w:rsid w:val="00681001"/>
    <w:rsid w:val="00681E03"/>
    <w:rsid w:val="00683D6B"/>
    <w:rsid w:val="00683FA3"/>
    <w:rsid w:val="0068497D"/>
    <w:rsid w:val="00684E28"/>
    <w:rsid w:val="006856A7"/>
    <w:rsid w:val="00685C78"/>
    <w:rsid w:val="00685C97"/>
    <w:rsid w:val="00685FD9"/>
    <w:rsid w:val="0068661D"/>
    <w:rsid w:val="00686AAD"/>
    <w:rsid w:val="00687915"/>
    <w:rsid w:val="00692B52"/>
    <w:rsid w:val="00697C7D"/>
    <w:rsid w:val="00697E84"/>
    <w:rsid w:val="006A00AA"/>
    <w:rsid w:val="006A0210"/>
    <w:rsid w:val="006A0AE2"/>
    <w:rsid w:val="006A1E30"/>
    <w:rsid w:val="006A4843"/>
    <w:rsid w:val="006A49C0"/>
    <w:rsid w:val="006A541F"/>
    <w:rsid w:val="006A5611"/>
    <w:rsid w:val="006A690A"/>
    <w:rsid w:val="006A7E6C"/>
    <w:rsid w:val="006B0AC3"/>
    <w:rsid w:val="006B1140"/>
    <w:rsid w:val="006B2BEB"/>
    <w:rsid w:val="006B3E64"/>
    <w:rsid w:val="006B604A"/>
    <w:rsid w:val="006B745E"/>
    <w:rsid w:val="006C2A05"/>
    <w:rsid w:val="006C3504"/>
    <w:rsid w:val="006C38CF"/>
    <w:rsid w:val="006C594A"/>
    <w:rsid w:val="006C5DC1"/>
    <w:rsid w:val="006C79B4"/>
    <w:rsid w:val="006D01CD"/>
    <w:rsid w:val="006D2025"/>
    <w:rsid w:val="006D30F3"/>
    <w:rsid w:val="006D33B7"/>
    <w:rsid w:val="006D6048"/>
    <w:rsid w:val="006D67DF"/>
    <w:rsid w:val="006E03F1"/>
    <w:rsid w:val="006E1599"/>
    <w:rsid w:val="006E2078"/>
    <w:rsid w:val="006E2741"/>
    <w:rsid w:val="006E3440"/>
    <w:rsid w:val="006E4125"/>
    <w:rsid w:val="006E48D8"/>
    <w:rsid w:val="006E5DE6"/>
    <w:rsid w:val="006E5E30"/>
    <w:rsid w:val="006E6CBE"/>
    <w:rsid w:val="006E70DA"/>
    <w:rsid w:val="006E714C"/>
    <w:rsid w:val="006E71FD"/>
    <w:rsid w:val="006E7796"/>
    <w:rsid w:val="006F16B9"/>
    <w:rsid w:val="006F1BE0"/>
    <w:rsid w:val="006F39AC"/>
    <w:rsid w:val="006F626E"/>
    <w:rsid w:val="006F634E"/>
    <w:rsid w:val="006F64B0"/>
    <w:rsid w:val="00700740"/>
    <w:rsid w:val="00702056"/>
    <w:rsid w:val="0070247B"/>
    <w:rsid w:val="0070264D"/>
    <w:rsid w:val="007041A1"/>
    <w:rsid w:val="00704CB3"/>
    <w:rsid w:val="00710172"/>
    <w:rsid w:val="00710333"/>
    <w:rsid w:val="00712742"/>
    <w:rsid w:val="00714237"/>
    <w:rsid w:val="00716AC7"/>
    <w:rsid w:val="00717950"/>
    <w:rsid w:val="00717AC3"/>
    <w:rsid w:val="007207AF"/>
    <w:rsid w:val="0072085B"/>
    <w:rsid w:val="00720F18"/>
    <w:rsid w:val="0072298D"/>
    <w:rsid w:val="0072451C"/>
    <w:rsid w:val="00724908"/>
    <w:rsid w:val="00726C9D"/>
    <w:rsid w:val="0073033B"/>
    <w:rsid w:val="007309CF"/>
    <w:rsid w:val="00732A9F"/>
    <w:rsid w:val="00733BA6"/>
    <w:rsid w:val="0073534B"/>
    <w:rsid w:val="00736AE4"/>
    <w:rsid w:val="00737A8F"/>
    <w:rsid w:val="0074039C"/>
    <w:rsid w:val="00740FA7"/>
    <w:rsid w:val="00741A21"/>
    <w:rsid w:val="00743307"/>
    <w:rsid w:val="00743E7F"/>
    <w:rsid w:val="0074496A"/>
    <w:rsid w:val="00746391"/>
    <w:rsid w:val="0075054D"/>
    <w:rsid w:val="00752550"/>
    <w:rsid w:val="00752B65"/>
    <w:rsid w:val="00753850"/>
    <w:rsid w:val="00753A2C"/>
    <w:rsid w:val="00754344"/>
    <w:rsid w:val="0075524B"/>
    <w:rsid w:val="007561B7"/>
    <w:rsid w:val="0075622B"/>
    <w:rsid w:val="007569BF"/>
    <w:rsid w:val="0076108F"/>
    <w:rsid w:val="007612C1"/>
    <w:rsid w:val="00762381"/>
    <w:rsid w:val="00765424"/>
    <w:rsid w:val="00765B40"/>
    <w:rsid w:val="00765E5F"/>
    <w:rsid w:val="0076625D"/>
    <w:rsid w:val="00767995"/>
    <w:rsid w:val="00767AD0"/>
    <w:rsid w:val="00767D0B"/>
    <w:rsid w:val="0077027A"/>
    <w:rsid w:val="00770800"/>
    <w:rsid w:val="00770945"/>
    <w:rsid w:val="007721D7"/>
    <w:rsid w:val="007727E6"/>
    <w:rsid w:val="00772C32"/>
    <w:rsid w:val="00773152"/>
    <w:rsid w:val="007732B1"/>
    <w:rsid w:val="00774481"/>
    <w:rsid w:val="00775E9C"/>
    <w:rsid w:val="00776F1F"/>
    <w:rsid w:val="00777212"/>
    <w:rsid w:val="007779CF"/>
    <w:rsid w:val="0078065F"/>
    <w:rsid w:val="00782B97"/>
    <w:rsid w:val="00783137"/>
    <w:rsid w:val="00784D57"/>
    <w:rsid w:val="00784EEC"/>
    <w:rsid w:val="007856D6"/>
    <w:rsid w:val="00785BEB"/>
    <w:rsid w:val="00785CA4"/>
    <w:rsid w:val="00785D90"/>
    <w:rsid w:val="00786CBC"/>
    <w:rsid w:val="00791B65"/>
    <w:rsid w:val="00792EE5"/>
    <w:rsid w:val="0079348B"/>
    <w:rsid w:val="00793D72"/>
    <w:rsid w:val="00796783"/>
    <w:rsid w:val="00796C78"/>
    <w:rsid w:val="00796E82"/>
    <w:rsid w:val="007974C8"/>
    <w:rsid w:val="00797581"/>
    <w:rsid w:val="00797717"/>
    <w:rsid w:val="007A0B7E"/>
    <w:rsid w:val="007A316B"/>
    <w:rsid w:val="007A3A97"/>
    <w:rsid w:val="007A46FA"/>
    <w:rsid w:val="007A64C4"/>
    <w:rsid w:val="007A6D37"/>
    <w:rsid w:val="007A768E"/>
    <w:rsid w:val="007B0D4D"/>
    <w:rsid w:val="007B1714"/>
    <w:rsid w:val="007B5028"/>
    <w:rsid w:val="007B5A29"/>
    <w:rsid w:val="007B6230"/>
    <w:rsid w:val="007B6783"/>
    <w:rsid w:val="007C1C1E"/>
    <w:rsid w:val="007C29C4"/>
    <w:rsid w:val="007C2B43"/>
    <w:rsid w:val="007C2C43"/>
    <w:rsid w:val="007C33F3"/>
    <w:rsid w:val="007C3C2B"/>
    <w:rsid w:val="007C4FF1"/>
    <w:rsid w:val="007C5205"/>
    <w:rsid w:val="007C5DA0"/>
    <w:rsid w:val="007C61AE"/>
    <w:rsid w:val="007C7854"/>
    <w:rsid w:val="007C7E50"/>
    <w:rsid w:val="007D0353"/>
    <w:rsid w:val="007D0EF0"/>
    <w:rsid w:val="007D159D"/>
    <w:rsid w:val="007D2AF9"/>
    <w:rsid w:val="007D3516"/>
    <w:rsid w:val="007D432C"/>
    <w:rsid w:val="007D5016"/>
    <w:rsid w:val="007D5E21"/>
    <w:rsid w:val="007D6B5F"/>
    <w:rsid w:val="007D6CCA"/>
    <w:rsid w:val="007D7378"/>
    <w:rsid w:val="007D777F"/>
    <w:rsid w:val="007E0559"/>
    <w:rsid w:val="007E06B1"/>
    <w:rsid w:val="007E0E7E"/>
    <w:rsid w:val="007E2DC2"/>
    <w:rsid w:val="007E4C75"/>
    <w:rsid w:val="007E4D03"/>
    <w:rsid w:val="007E50A2"/>
    <w:rsid w:val="007E7E30"/>
    <w:rsid w:val="007F0583"/>
    <w:rsid w:val="007F0736"/>
    <w:rsid w:val="007F1D18"/>
    <w:rsid w:val="007F27DA"/>
    <w:rsid w:val="007F28AC"/>
    <w:rsid w:val="007F2E4E"/>
    <w:rsid w:val="007F3763"/>
    <w:rsid w:val="007F5879"/>
    <w:rsid w:val="007F6016"/>
    <w:rsid w:val="007F68FE"/>
    <w:rsid w:val="007F6A60"/>
    <w:rsid w:val="007F74F3"/>
    <w:rsid w:val="007F78A3"/>
    <w:rsid w:val="007F7E30"/>
    <w:rsid w:val="007F7FB0"/>
    <w:rsid w:val="0080040D"/>
    <w:rsid w:val="00803399"/>
    <w:rsid w:val="0080581C"/>
    <w:rsid w:val="00807253"/>
    <w:rsid w:val="008105BF"/>
    <w:rsid w:val="00814524"/>
    <w:rsid w:val="00815A60"/>
    <w:rsid w:val="00821C81"/>
    <w:rsid w:val="00824585"/>
    <w:rsid w:val="00824750"/>
    <w:rsid w:val="00826615"/>
    <w:rsid w:val="0082683A"/>
    <w:rsid w:val="00827B0A"/>
    <w:rsid w:val="00830748"/>
    <w:rsid w:val="00833E45"/>
    <w:rsid w:val="008340DC"/>
    <w:rsid w:val="00834B30"/>
    <w:rsid w:val="00835E04"/>
    <w:rsid w:val="0083770E"/>
    <w:rsid w:val="00837C25"/>
    <w:rsid w:val="00842EB6"/>
    <w:rsid w:val="00846775"/>
    <w:rsid w:val="00846EC7"/>
    <w:rsid w:val="00846F4F"/>
    <w:rsid w:val="008500F9"/>
    <w:rsid w:val="00850FA9"/>
    <w:rsid w:val="0085111A"/>
    <w:rsid w:val="0085174C"/>
    <w:rsid w:val="00856312"/>
    <w:rsid w:val="008603EB"/>
    <w:rsid w:val="00860DA2"/>
    <w:rsid w:val="00861023"/>
    <w:rsid w:val="008610A4"/>
    <w:rsid w:val="008613A7"/>
    <w:rsid w:val="00861F7B"/>
    <w:rsid w:val="00864E07"/>
    <w:rsid w:val="008668CA"/>
    <w:rsid w:val="00866C93"/>
    <w:rsid w:val="00867F1D"/>
    <w:rsid w:val="008714A7"/>
    <w:rsid w:val="00871B17"/>
    <w:rsid w:val="00872FE9"/>
    <w:rsid w:val="00873494"/>
    <w:rsid w:val="00873613"/>
    <w:rsid w:val="008755F8"/>
    <w:rsid w:val="00880235"/>
    <w:rsid w:val="00880753"/>
    <w:rsid w:val="0088194C"/>
    <w:rsid w:val="00882332"/>
    <w:rsid w:val="008839DF"/>
    <w:rsid w:val="00884F44"/>
    <w:rsid w:val="00887662"/>
    <w:rsid w:val="00887899"/>
    <w:rsid w:val="00890899"/>
    <w:rsid w:val="0089094C"/>
    <w:rsid w:val="00890BBA"/>
    <w:rsid w:val="00890CD2"/>
    <w:rsid w:val="00891A0A"/>
    <w:rsid w:val="00891CAD"/>
    <w:rsid w:val="00892AA6"/>
    <w:rsid w:val="00892FCF"/>
    <w:rsid w:val="00893D8A"/>
    <w:rsid w:val="008944BD"/>
    <w:rsid w:val="00894958"/>
    <w:rsid w:val="00896002"/>
    <w:rsid w:val="00896E42"/>
    <w:rsid w:val="008A0060"/>
    <w:rsid w:val="008A065E"/>
    <w:rsid w:val="008A0753"/>
    <w:rsid w:val="008A2B05"/>
    <w:rsid w:val="008A4583"/>
    <w:rsid w:val="008A5966"/>
    <w:rsid w:val="008A60B6"/>
    <w:rsid w:val="008A6D10"/>
    <w:rsid w:val="008A7224"/>
    <w:rsid w:val="008A78F9"/>
    <w:rsid w:val="008B03C0"/>
    <w:rsid w:val="008B07B9"/>
    <w:rsid w:val="008B26C6"/>
    <w:rsid w:val="008B290F"/>
    <w:rsid w:val="008B43AA"/>
    <w:rsid w:val="008B61F9"/>
    <w:rsid w:val="008B6AE3"/>
    <w:rsid w:val="008C013A"/>
    <w:rsid w:val="008C01AC"/>
    <w:rsid w:val="008C1E73"/>
    <w:rsid w:val="008C1F01"/>
    <w:rsid w:val="008C1FC5"/>
    <w:rsid w:val="008C21C2"/>
    <w:rsid w:val="008C2AAE"/>
    <w:rsid w:val="008C6EC0"/>
    <w:rsid w:val="008D0781"/>
    <w:rsid w:val="008D1509"/>
    <w:rsid w:val="008D21B1"/>
    <w:rsid w:val="008D2527"/>
    <w:rsid w:val="008D3CEB"/>
    <w:rsid w:val="008D473B"/>
    <w:rsid w:val="008D5ACD"/>
    <w:rsid w:val="008D6318"/>
    <w:rsid w:val="008D7673"/>
    <w:rsid w:val="008D7C7A"/>
    <w:rsid w:val="008E02DA"/>
    <w:rsid w:val="008E306E"/>
    <w:rsid w:val="008F134F"/>
    <w:rsid w:val="008F2CA9"/>
    <w:rsid w:val="008F2DF9"/>
    <w:rsid w:val="008F45B7"/>
    <w:rsid w:val="008F57A2"/>
    <w:rsid w:val="008F73FE"/>
    <w:rsid w:val="00900EA1"/>
    <w:rsid w:val="00903F15"/>
    <w:rsid w:val="00905AF2"/>
    <w:rsid w:val="00906779"/>
    <w:rsid w:val="009068DC"/>
    <w:rsid w:val="009104FA"/>
    <w:rsid w:val="00914B51"/>
    <w:rsid w:val="009155C2"/>
    <w:rsid w:val="00915B23"/>
    <w:rsid w:val="00916494"/>
    <w:rsid w:val="00916805"/>
    <w:rsid w:val="00917DA6"/>
    <w:rsid w:val="00920FE1"/>
    <w:rsid w:val="0092113A"/>
    <w:rsid w:val="0092118B"/>
    <w:rsid w:val="009219B0"/>
    <w:rsid w:val="009221AB"/>
    <w:rsid w:val="009231DF"/>
    <w:rsid w:val="00924C77"/>
    <w:rsid w:val="009269D4"/>
    <w:rsid w:val="00935F5B"/>
    <w:rsid w:val="00936246"/>
    <w:rsid w:val="00937792"/>
    <w:rsid w:val="00941ABD"/>
    <w:rsid w:val="00943608"/>
    <w:rsid w:val="009448B0"/>
    <w:rsid w:val="0094574A"/>
    <w:rsid w:val="009477EE"/>
    <w:rsid w:val="00950715"/>
    <w:rsid w:val="00950A8E"/>
    <w:rsid w:val="00952237"/>
    <w:rsid w:val="00953353"/>
    <w:rsid w:val="00953D28"/>
    <w:rsid w:val="00954960"/>
    <w:rsid w:val="009554DB"/>
    <w:rsid w:val="009563B5"/>
    <w:rsid w:val="009577C6"/>
    <w:rsid w:val="00960187"/>
    <w:rsid w:val="009612DE"/>
    <w:rsid w:val="009633F6"/>
    <w:rsid w:val="00963803"/>
    <w:rsid w:val="00963E70"/>
    <w:rsid w:val="00965B56"/>
    <w:rsid w:val="009672A0"/>
    <w:rsid w:val="0097110D"/>
    <w:rsid w:val="00973858"/>
    <w:rsid w:val="0097477B"/>
    <w:rsid w:val="0097616F"/>
    <w:rsid w:val="00976D0D"/>
    <w:rsid w:val="009833E4"/>
    <w:rsid w:val="00983B01"/>
    <w:rsid w:val="00983DA8"/>
    <w:rsid w:val="009849A9"/>
    <w:rsid w:val="00985054"/>
    <w:rsid w:val="00990A99"/>
    <w:rsid w:val="00990D82"/>
    <w:rsid w:val="009929E7"/>
    <w:rsid w:val="00993D82"/>
    <w:rsid w:val="0099423A"/>
    <w:rsid w:val="00995561"/>
    <w:rsid w:val="00995955"/>
    <w:rsid w:val="00995A8F"/>
    <w:rsid w:val="00997B5F"/>
    <w:rsid w:val="00997E40"/>
    <w:rsid w:val="009A08B7"/>
    <w:rsid w:val="009A0E56"/>
    <w:rsid w:val="009A475C"/>
    <w:rsid w:val="009A4D82"/>
    <w:rsid w:val="009A5DE2"/>
    <w:rsid w:val="009A7A46"/>
    <w:rsid w:val="009B149C"/>
    <w:rsid w:val="009B599D"/>
    <w:rsid w:val="009B60D4"/>
    <w:rsid w:val="009B60F2"/>
    <w:rsid w:val="009B6E7C"/>
    <w:rsid w:val="009B6FE6"/>
    <w:rsid w:val="009B7AC6"/>
    <w:rsid w:val="009C0BAA"/>
    <w:rsid w:val="009C100A"/>
    <w:rsid w:val="009C165B"/>
    <w:rsid w:val="009C1FED"/>
    <w:rsid w:val="009C25C7"/>
    <w:rsid w:val="009C2C9B"/>
    <w:rsid w:val="009C2FFC"/>
    <w:rsid w:val="009C3069"/>
    <w:rsid w:val="009C36F6"/>
    <w:rsid w:val="009C3BDF"/>
    <w:rsid w:val="009C4204"/>
    <w:rsid w:val="009C52FA"/>
    <w:rsid w:val="009C57CD"/>
    <w:rsid w:val="009C6089"/>
    <w:rsid w:val="009C7C85"/>
    <w:rsid w:val="009C7FEF"/>
    <w:rsid w:val="009D04F0"/>
    <w:rsid w:val="009D11A8"/>
    <w:rsid w:val="009D454C"/>
    <w:rsid w:val="009D474E"/>
    <w:rsid w:val="009D56E3"/>
    <w:rsid w:val="009D5DD6"/>
    <w:rsid w:val="009D6727"/>
    <w:rsid w:val="009D7607"/>
    <w:rsid w:val="009D7A8A"/>
    <w:rsid w:val="009E00FE"/>
    <w:rsid w:val="009E023A"/>
    <w:rsid w:val="009E1FAE"/>
    <w:rsid w:val="009E452F"/>
    <w:rsid w:val="009E5368"/>
    <w:rsid w:val="009E680A"/>
    <w:rsid w:val="009E70D5"/>
    <w:rsid w:val="009E72E6"/>
    <w:rsid w:val="009E7A61"/>
    <w:rsid w:val="009F165D"/>
    <w:rsid w:val="009F58DE"/>
    <w:rsid w:val="009F5A18"/>
    <w:rsid w:val="009F7A8B"/>
    <w:rsid w:val="009F7C05"/>
    <w:rsid w:val="00A008A5"/>
    <w:rsid w:val="00A0149C"/>
    <w:rsid w:val="00A014D3"/>
    <w:rsid w:val="00A01C19"/>
    <w:rsid w:val="00A01D8D"/>
    <w:rsid w:val="00A028FF"/>
    <w:rsid w:val="00A045C2"/>
    <w:rsid w:val="00A04649"/>
    <w:rsid w:val="00A04AF6"/>
    <w:rsid w:val="00A05AA1"/>
    <w:rsid w:val="00A06405"/>
    <w:rsid w:val="00A067E6"/>
    <w:rsid w:val="00A07133"/>
    <w:rsid w:val="00A07483"/>
    <w:rsid w:val="00A12524"/>
    <w:rsid w:val="00A13EE0"/>
    <w:rsid w:val="00A1419F"/>
    <w:rsid w:val="00A143E4"/>
    <w:rsid w:val="00A14BED"/>
    <w:rsid w:val="00A16E59"/>
    <w:rsid w:val="00A20549"/>
    <w:rsid w:val="00A20D4B"/>
    <w:rsid w:val="00A22378"/>
    <w:rsid w:val="00A22469"/>
    <w:rsid w:val="00A22D73"/>
    <w:rsid w:val="00A269FD"/>
    <w:rsid w:val="00A27152"/>
    <w:rsid w:val="00A30DA9"/>
    <w:rsid w:val="00A33E18"/>
    <w:rsid w:val="00A3453F"/>
    <w:rsid w:val="00A35036"/>
    <w:rsid w:val="00A3614F"/>
    <w:rsid w:val="00A3621C"/>
    <w:rsid w:val="00A40D43"/>
    <w:rsid w:val="00A40F6D"/>
    <w:rsid w:val="00A412BF"/>
    <w:rsid w:val="00A412C2"/>
    <w:rsid w:val="00A44274"/>
    <w:rsid w:val="00A464B1"/>
    <w:rsid w:val="00A47398"/>
    <w:rsid w:val="00A50F27"/>
    <w:rsid w:val="00A527DE"/>
    <w:rsid w:val="00A52E8D"/>
    <w:rsid w:val="00A5332E"/>
    <w:rsid w:val="00A54EE2"/>
    <w:rsid w:val="00A557EC"/>
    <w:rsid w:val="00A55BF1"/>
    <w:rsid w:val="00A55D82"/>
    <w:rsid w:val="00A57689"/>
    <w:rsid w:val="00A57CB6"/>
    <w:rsid w:val="00A63982"/>
    <w:rsid w:val="00A662A3"/>
    <w:rsid w:val="00A668C1"/>
    <w:rsid w:val="00A706D4"/>
    <w:rsid w:val="00A70D28"/>
    <w:rsid w:val="00A7152D"/>
    <w:rsid w:val="00A72A88"/>
    <w:rsid w:val="00A72B95"/>
    <w:rsid w:val="00A7431B"/>
    <w:rsid w:val="00A77270"/>
    <w:rsid w:val="00A777D4"/>
    <w:rsid w:val="00A77DD6"/>
    <w:rsid w:val="00A80915"/>
    <w:rsid w:val="00A81B39"/>
    <w:rsid w:val="00A81DF0"/>
    <w:rsid w:val="00A82289"/>
    <w:rsid w:val="00A82922"/>
    <w:rsid w:val="00A862DE"/>
    <w:rsid w:val="00A86C3A"/>
    <w:rsid w:val="00A86FCB"/>
    <w:rsid w:val="00A90243"/>
    <w:rsid w:val="00A903F8"/>
    <w:rsid w:val="00A921F0"/>
    <w:rsid w:val="00A93493"/>
    <w:rsid w:val="00A951DB"/>
    <w:rsid w:val="00A96CEE"/>
    <w:rsid w:val="00A97ADF"/>
    <w:rsid w:val="00AA2401"/>
    <w:rsid w:val="00AA66CE"/>
    <w:rsid w:val="00AA6935"/>
    <w:rsid w:val="00AB0AB7"/>
    <w:rsid w:val="00AB17C5"/>
    <w:rsid w:val="00AB229C"/>
    <w:rsid w:val="00AB585C"/>
    <w:rsid w:val="00AB6B2F"/>
    <w:rsid w:val="00AB7512"/>
    <w:rsid w:val="00AB7C82"/>
    <w:rsid w:val="00AC0C32"/>
    <w:rsid w:val="00AC13FF"/>
    <w:rsid w:val="00AC2DC4"/>
    <w:rsid w:val="00AC37D7"/>
    <w:rsid w:val="00AC3D5E"/>
    <w:rsid w:val="00AC474A"/>
    <w:rsid w:val="00AC5E46"/>
    <w:rsid w:val="00AD0140"/>
    <w:rsid w:val="00AD3303"/>
    <w:rsid w:val="00AD3549"/>
    <w:rsid w:val="00AD374D"/>
    <w:rsid w:val="00AD4A9F"/>
    <w:rsid w:val="00AD4E3D"/>
    <w:rsid w:val="00AD681B"/>
    <w:rsid w:val="00AD6DFB"/>
    <w:rsid w:val="00AD6EDA"/>
    <w:rsid w:val="00AD7534"/>
    <w:rsid w:val="00AD78AB"/>
    <w:rsid w:val="00AD79B8"/>
    <w:rsid w:val="00AD7B1A"/>
    <w:rsid w:val="00AE06FD"/>
    <w:rsid w:val="00AE1A21"/>
    <w:rsid w:val="00AE3CEA"/>
    <w:rsid w:val="00AE41A0"/>
    <w:rsid w:val="00AE5F63"/>
    <w:rsid w:val="00AE6528"/>
    <w:rsid w:val="00AE6843"/>
    <w:rsid w:val="00AE7B9D"/>
    <w:rsid w:val="00AF0449"/>
    <w:rsid w:val="00AF17B0"/>
    <w:rsid w:val="00AF1E4A"/>
    <w:rsid w:val="00AF20AC"/>
    <w:rsid w:val="00AF25B3"/>
    <w:rsid w:val="00AF2C93"/>
    <w:rsid w:val="00AF2DF6"/>
    <w:rsid w:val="00AF2FE0"/>
    <w:rsid w:val="00AF302B"/>
    <w:rsid w:val="00AF4403"/>
    <w:rsid w:val="00AF4BEA"/>
    <w:rsid w:val="00AF4C75"/>
    <w:rsid w:val="00AF4F93"/>
    <w:rsid w:val="00AF6C13"/>
    <w:rsid w:val="00B0272F"/>
    <w:rsid w:val="00B03327"/>
    <w:rsid w:val="00B033EE"/>
    <w:rsid w:val="00B03B90"/>
    <w:rsid w:val="00B05E51"/>
    <w:rsid w:val="00B06619"/>
    <w:rsid w:val="00B0789C"/>
    <w:rsid w:val="00B07C0F"/>
    <w:rsid w:val="00B113D5"/>
    <w:rsid w:val="00B114B2"/>
    <w:rsid w:val="00B11582"/>
    <w:rsid w:val="00B1162D"/>
    <w:rsid w:val="00B12B54"/>
    <w:rsid w:val="00B12F4D"/>
    <w:rsid w:val="00B200DE"/>
    <w:rsid w:val="00B206A0"/>
    <w:rsid w:val="00B229D6"/>
    <w:rsid w:val="00B230E7"/>
    <w:rsid w:val="00B23DDE"/>
    <w:rsid w:val="00B25F81"/>
    <w:rsid w:val="00B262BD"/>
    <w:rsid w:val="00B26575"/>
    <w:rsid w:val="00B269C0"/>
    <w:rsid w:val="00B26A2C"/>
    <w:rsid w:val="00B30115"/>
    <w:rsid w:val="00B32D2C"/>
    <w:rsid w:val="00B33D7C"/>
    <w:rsid w:val="00B342F8"/>
    <w:rsid w:val="00B34382"/>
    <w:rsid w:val="00B365E3"/>
    <w:rsid w:val="00B36A20"/>
    <w:rsid w:val="00B403DF"/>
    <w:rsid w:val="00B41114"/>
    <w:rsid w:val="00B4145D"/>
    <w:rsid w:val="00B429C5"/>
    <w:rsid w:val="00B43301"/>
    <w:rsid w:val="00B458E8"/>
    <w:rsid w:val="00B4715E"/>
    <w:rsid w:val="00B503E4"/>
    <w:rsid w:val="00B51275"/>
    <w:rsid w:val="00B53481"/>
    <w:rsid w:val="00B53AC9"/>
    <w:rsid w:val="00B53C68"/>
    <w:rsid w:val="00B54609"/>
    <w:rsid w:val="00B546D1"/>
    <w:rsid w:val="00B553C2"/>
    <w:rsid w:val="00B57D7A"/>
    <w:rsid w:val="00B61613"/>
    <w:rsid w:val="00B639F9"/>
    <w:rsid w:val="00B64B03"/>
    <w:rsid w:val="00B65A0A"/>
    <w:rsid w:val="00B65D99"/>
    <w:rsid w:val="00B660DF"/>
    <w:rsid w:val="00B665BC"/>
    <w:rsid w:val="00B667DB"/>
    <w:rsid w:val="00B67E16"/>
    <w:rsid w:val="00B67F5A"/>
    <w:rsid w:val="00B71FCE"/>
    <w:rsid w:val="00B810AB"/>
    <w:rsid w:val="00B82679"/>
    <w:rsid w:val="00B82BDF"/>
    <w:rsid w:val="00B84FDC"/>
    <w:rsid w:val="00B86C0C"/>
    <w:rsid w:val="00B87026"/>
    <w:rsid w:val="00B87444"/>
    <w:rsid w:val="00B87579"/>
    <w:rsid w:val="00B87614"/>
    <w:rsid w:val="00B879D1"/>
    <w:rsid w:val="00B87E4C"/>
    <w:rsid w:val="00B90725"/>
    <w:rsid w:val="00B90919"/>
    <w:rsid w:val="00B90E18"/>
    <w:rsid w:val="00B91649"/>
    <w:rsid w:val="00B91787"/>
    <w:rsid w:val="00B925E7"/>
    <w:rsid w:val="00B94EFC"/>
    <w:rsid w:val="00B94F08"/>
    <w:rsid w:val="00B966F0"/>
    <w:rsid w:val="00B96F3E"/>
    <w:rsid w:val="00BA0AD8"/>
    <w:rsid w:val="00BA0CFA"/>
    <w:rsid w:val="00BA196C"/>
    <w:rsid w:val="00BA1D94"/>
    <w:rsid w:val="00BA1E06"/>
    <w:rsid w:val="00BA23A2"/>
    <w:rsid w:val="00BA2511"/>
    <w:rsid w:val="00BA4916"/>
    <w:rsid w:val="00BA4BC6"/>
    <w:rsid w:val="00BA66C5"/>
    <w:rsid w:val="00BA7357"/>
    <w:rsid w:val="00BA7815"/>
    <w:rsid w:val="00BB0DBC"/>
    <w:rsid w:val="00BB2966"/>
    <w:rsid w:val="00BB2BD6"/>
    <w:rsid w:val="00BB3939"/>
    <w:rsid w:val="00BC25A1"/>
    <w:rsid w:val="00BC2DB6"/>
    <w:rsid w:val="00BC4806"/>
    <w:rsid w:val="00BC4859"/>
    <w:rsid w:val="00BC4E8E"/>
    <w:rsid w:val="00BC7F24"/>
    <w:rsid w:val="00BD08D7"/>
    <w:rsid w:val="00BD1F69"/>
    <w:rsid w:val="00BD4985"/>
    <w:rsid w:val="00BD678E"/>
    <w:rsid w:val="00BD6B7E"/>
    <w:rsid w:val="00BD7E69"/>
    <w:rsid w:val="00BE2117"/>
    <w:rsid w:val="00BE3A29"/>
    <w:rsid w:val="00BE6F94"/>
    <w:rsid w:val="00BE7E69"/>
    <w:rsid w:val="00BF0667"/>
    <w:rsid w:val="00BF106C"/>
    <w:rsid w:val="00BF3A89"/>
    <w:rsid w:val="00BF3D0E"/>
    <w:rsid w:val="00BF3D12"/>
    <w:rsid w:val="00BF5B2B"/>
    <w:rsid w:val="00BF5D8D"/>
    <w:rsid w:val="00BF65BE"/>
    <w:rsid w:val="00BF6CBB"/>
    <w:rsid w:val="00C011DE"/>
    <w:rsid w:val="00C03DA5"/>
    <w:rsid w:val="00C04C28"/>
    <w:rsid w:val="00C0647E"/>
    <w:rsid w:val="00C07E1A"/>
    <w:rsid w:val="00C15C4A"/>
    <w:rsid w:val="00C168CB"/>
    <w:rsid w:val="00C1705A"/>
    <w:rsid w:val="00C20920"/>
    <w:rsid w:val="00C20FB2"/>
    <w:rsid w:val="00C213A0"/>
    <w:rsid w:val="00C21742"/>
    <w:rsid w:val="00C218A3"/>
    <w:rsid w:val="00C219F3"/>
    <w:rsid w:val="00C22180"/>
    <w:rsid w:val="00C226E3"/>
    <w:rsid w:val="00C2406C"/>
    <w:rsid w:val="00C268F4"/>
    <w:rsid w:val="00C271FA"/>
    <w:rsid w:val="00C27F24"/>
    <w:rsid w:val="00C3037A"/>
    <w:rsid w:val="00C3124A"/>
    <w:rsid w:val="00C32F6F"/>
    <w:rsid w:val="00C33A25"/>
    <w:rsid w:val="00C33AD0"/>
    <w:rsid w:val="00C34109"/>
    <w:rsid w:val="00C35003"/>
    <w:rsid w:val="00C36068"/>
    <w:rsid w:val="00C37A18"/>
    <w:rsid w:val="00C41ACC"/>
    <w:rsid w:val="00C41CCF"/>
    <w:rsid w:val="00C41E9F"/>
    <w:rsid w:val="00C4239F"/>
    <w:rsid w:val="00C4242D"/>
    <w:rsid w:val="00C425A6"/>
    <w:rsid w:val="00C43726"/>
    <w:rsid w:val="00C43FEC"/>
    <w:rsid w:val="00C4461F"/>
    <w:rsid w:val="00C44D44"/>
    <w:rsid w:val="00C46311"/>
    <w:rsid w:val="00C50D40"/>
    <w:rsid w:val="00C50E4C"/>
    <w:rsid w:val="00C50EA2"/>
    <w:rsid w:val="00C53465"/>
    <w:rsid w:val="00C559D1"/>
    <w:rsid w:val="00C55BCF"/>
    <w:rsid w:val="00C56C5C"/>
    <w:rsid w:val="00C57005"/>
    <w:rsid w:val="00C573AC"/>
    <w:rsid w:val="00C6339F"/>
    <w:rsid w:val="00C635B9"/>
    <w:rsid w:val="00C63BC1"/>
    <w:rsid w:val="00C63F94"/>
    <w:rsid w:val="00C659FC"/>
    <w:rsid w:val="00C65C81"/>
    <w:rsid w:val="00C71434"/>
    <w:rsid w:val="00C71B5A"/>
    <w:rsid w:val="00C74044"/>
    <w:rsid w:val="00C7637B"/>
    <w:rsid w:val="00C775AE"/>
    <w:rsid w:val="00C77ACA"/>
    <w:rsid w:val="00C82361"/>
    <w:rsid w:val="00C826C4"/>
    <w:rsid w:val="00C82797"/>
    <w:rsid w:val="00C84A0C"/>
    <w:rsid w:val="00C85198"/>
    <w:rsid w:val="00C85AF1"/>
    <w:rsid w:val="00C85DB6"/>
    <w:rsid w:val="00C872A8"/>
    <w:rsid w:val="00C90F85"/>
    <w:rsid w:val="00C9586D"/>
    <w:rsid w:val="00C9591E"/>
    <w:rsid w:val="00C96B64"/>
    <w:rsid w:val="00CA0335"/>
    <w:rsid w:val="00CA2C6A"/>
    <w:rsid w:val="00CA45DE"/>
    <w:rsid w:val="00CA57D2"/>
    <w:rsid w:val="00CB0F60"/>
    <w:rsid w:val="00CB1D40"/>
    <w:rsid w:val="00CB2F4D"/>
    <w:rsid w:val="00CB4459"/>
    <w:rsid w:val="00CB44C1"/>
    <w:rsid w:val="00CB4506"/>
    <w:rsid w:val="00CB5E27"/>
    <w:rsid w:val="00CB6CE3"/>
    <w:rsid w:val="00CB7997"/>
    <w:rsid w:val="00CC15AD"/>
    <w:rsid w:val="00CC4F1C"/>
    <w:rsid w:val="00CC52A1"/>
    <w:rsid w:val="00CC5508"/>
    <w:rsid w:val="00CC7DA8"/>
    <w:rsid w:val="00CD0F0F"/>
    <w:rsid w:val="00CD138C"/>
    <w:rsid w:val="00CD13C1"/>
    <w:rsid w:val="00CD2544"/>
    <w:rsid w:val="00CD64DF"/>
    <w:rsid w:val="00CD6A8B"/>
    <w:rsid w:val="00CD7ED3"/>
    <w:rsid w:val="00CE0D84"/>
    <w:rsid w:val="00CE1959"/>
    <w:rsid w:val="00CE1E23"/>
    <w:rsid w:val="00CE2043"/>
    <w:rsid w:val="00CE50BD"/>
    <w:rsid w:val="00CE6DF2"/>
    <w:rsid w:val="00CE7911"/>
    <w:rsid w:val="00CF09B5"/>
    <w:rsid w:val="00CF2182"/>
    <w:rsid w:val="00CF34EE"/>
    <w:rsid w:val="00CF3DB5"/>
    <w:rsid w:val="00CF431A"/>
    <w:rsid w:val="00CF76FB"/>
    <w:rsid w:val="00D02100"/>
    <w:rsid w:val="00D02182"/>
    <w:rsid w:val="00D024B9"/>
    <w:rsid w:val="00D0344F"/>
    <w:rsid w:val="00D04F8B"/>
    <w:rsid w:val="00D10683"/>
    <w:rsid w:val="00D12CDB"/>
    <w:rsid w:val="00D13E07"/>
    <w:rsid w:val="00D16137"/>
    <w:rsid w:val="00D16827"/>
    <w:rsid w:val="00D17A89"/>
    <w:rsid w:val="00D17CB7"/>
    <w:rsid w:val="00D2050F"/>
    <w:rsid w:val="00D213A5"/>
    <w:rsid w:val="00D21BDB"/>
    <w:rsid w:val="00D21D9C"/>
    <w:rsid w:val="00D229C5"/>
    <w:rsid w:val="00D24996"/>
    <w:rsid w:val="00D25760"/>
    <w:rsid w:val="00D25C45"/>
    <w:rsid w:val="00D27D81"/>
    <w:rsid w:val="00D3012D"/>
    <w:rsid w:val="00D31BBC"/>
    <w:rsid w:val="00D32BEA"/>
    <w:rsid w:val="00D34BB9"/>
    <w:rsid w:val="00D35819"/>
    <w:rsid w:val="00D3697A"/>
    <w:rsid w:val="00D37A9A"/>
    <w:rsid w:val="00D40985"/>
    <w:rsid w:val="00D419DB"/>
    <w:rsid w:val="00D43532"/>
    <w:rsid w:val="00D43C0B"/>
    <w:rsid w:val="00D43DA4"/>
    <w:rsid w:val="00D44C69"/>
    <w:rsid w:val="00D45A88"/>
    <w:rsid w:val="00D464F4"/>
    <w:rsid w:val="00D47148"/>
    <w:rsid w:val="00D50729"/>
    <w:rsid w:val="00D51DBA"/>
    <w:rsid w:val="00D522E9"/>
    <w:rsid w:val="00D543B4"/>
    <w:rsid w:val="00D553D2"/>
    <w:rsid w:val="00D55707"/>
    <w:rsid w:val="00D55BE0"/>
    <w:rsid w:val="00D55C18"/>
    <w:rsid w:val="00D56C89"/>
    <w:rsid w:val="00D570F5"/>
    <w:rsid w:val="00D60932"/>
    <w:rsid w:val="00D6152D"/>
    <w:rsid w:val="00D62480"/>
    <w:rsid w:val="00D62AC5"/>
    <w:rsid w:val="00D6424B"/>
    <w:rsid w:val="00D648A4"/>
    <w:rsid w:val="00D64C43"/>
    <w:rsid w:val="00D655EE"/>
    <w:rsid w:val="00D667C5"/>
    <w:rsid w:val="00D66802"/>
    <w:rsid w:val="00D66C73"/>
    <w:rsid w:val="00D67BC9"/>
    <w:rsid w:val="00D707A2"/>
    <w:rsid w:val="00D70AB5"/>
    <w:rsid w:val="00D72AB7"/>
    <w:rsid w:val="00D732D5"/>
    <w:rsid w:val="00D7331F"/>
    <w:rsid w:val="00D74C2E"/>
    <w:rsid w:val="00D74E62"/>
    <w:rsid w:val="00D75856"/>
    <w:rsid w:val="00D770ED"/>
    <w:rsid w:val="00D807C9"/>
    <w:rsid w:val="00D80947"/>
    <w:rsid w:val="00D80F54"/>
    <w:rsid w:val="00D80F6F"/>
    <w:rsid w:val="00D81300"/>
    <w:rsid w:val="00D81955"/>
    <w:rsid w:val="00D83267"/>
    <w:rsid w:val="00D83C44"/>
    <w:rsid w:val="00D87256"/>
    <w:rsid w:val="00D878A9"/>
    <w:rsid w:val="00D90A96"/>
    <w:rsid w:val="00D9112F"/>
    <w:rsid w:val="00D9169F"/>
    <w:rsid w:val="00D91AA6"/>
    <w:rsid w:val="00D91E94"/>
    <w:rsid w:val="00D924FD"/>
    <w:rsid w:val="00D925EF"/>
    <w:rsid w:val="00D94C6B"/>
    <w:rsid w:val="00D95AAB"/>
    <w:rsid w:val="00D96058"/>
    <w:rsid w:val="00D966B2"/>
    <w:rsid w:val="00D96AD3"/>
    <w:rsid w:val="00D97043"/>
    <w:rsid w:val="00D97164"/>
    <w:rsid w:val="00DA054F"/>
    <w:rsid w:val="00DA1AF5"/>
    <w:rsid w:val="00DA26D8"/>
    <w:rsid w:val="00DA2DAB"/>
    <w:rsid w:val="00DA2F74"/>
    <w:rsid w:val="00DA52DD"/>
    <w:rsid w:val="00DA5355"/>
    <w:rsid w:val="00DA5599"/>
    <w:rsid w:val="00DA5CA4"/>
    <w:rsid w:val="00DA67C6"/>
    <w:rsid w:val="00DA74BB"/>
    <w:rsid w:val="00DB0175"/>
    <w:rsid w:val="00DB0711"/>
    <w:rsid w:val="00DB17D1"/>
    <w:rsid w:val="00DB1F7A"/>
    <w:rsid w:val="00DB2393"/>
    <w:rsid w:val="00DB3739"/>
    <w:rsid w:val="00DB58C4"/>
    <w:rsid w:val="00DB5E93"/>
    <w:rsid w:val="00DB5EBD"/>
    <w:rsid w:val="00DB6238"/>
    <w:rsid w:val="00DB6536"/>
    <w:rsid w:val="00DB7B28"/>
    <w:rsid w:val="00DC03C9"/>
    <w:rsid w:val="00DC13DE"/>
    <w:rsid w:val="00DC18CE"/>
    <w:rsid w:val="00DC3503"/>
    <w:rsid w:val="00DC4ABF"/>
    <w:rsid w:val="00DC69DF"/>
    <w:rsid w:val="00DC6AE6"/>
    <w:rsid w:val="00DC6C0F"/>
    <w:rsid w:val="00DD0014"/>
    <w:rsid w:val="00DD00FA"/>
    <w:rsid w:val="00DD0B81"/>
    <w:rsid w:val="00DD14AE"/>
    <w:rsid w:val="00DD2486"/>
    <w:rsid w:val="00DD33E2"/>
    <w:rsid w:val="00DD4DCA"/>
    <w:rsid w:val="00DD52E3"/>
    <w:rsid w:val="00DD5BA7"/>
    <w:rsid w:val="00DE08BB"/>
    <w:rsid w:val="00DE0C3F"/>
    <w:rsid w:val="00DE26D5"/>
    <w:rsid w:val="00DE5193"/>
    <w:rsid w:val="00DE52FA"/>
    <w:rsid w:val="00DE5816"/>
    <w:rsid w:val="00DE6612"/>
    <w:rsid w:val="00DE671C"/>
    <w:rsid w:val="00DE7194"/>
    <w:rsid w:val="00DE721F"/>
    <w:rsid w:val="00DE732D"/>
    <w:rsid w:val="00DF054A"/>
    <w:rsid w:val="00DF0794"/>
    <w:rsid w:val="00DF2F15"/>
    <w:rsid w:val="00DF4D9A"/>
    <w:rsid w:val="00DF50FC"/>
    <w:rsid w:val="00DF66EF"/>
    <w:rsid w:val="00DF6885"/>
    <w:rsid w:val="00E00F58"/>
    <w:rsid w:val="00E01167"/>
    <w:rsid w:val="00E01D73"/>
    <w:rsid w:val="00E01DDD"/>
    <w:rsid w:val="00E02FC6"/>
    <w:rsid w:val="00E03BC9"/>
    <w:rsid w:val="00E03D3A"/>
    <w:rsid w:val="00E05979"/>
    <w:rsid w:val="00E05CC6"/>
    <w:rsid w:val="00E06C50"/>
    <w:rsid w:val="00E070FA"/>
    <w:rsid w:val="00E12986"/>
    <w:rsid w:val="00E131DF"/>
    <w:rsid w:val="00E147E4"/>
    <w:rsid w:val="00E16416"/>
    <w:rsid w:val="00E20807"/>
    <w:rsid w:val="00E20908"/>
    <w:rsid w:val="00E21A63"/>
    <w:rsid w:val="00E22182"/>
    <w:rsid w:val="00E235CD"/>
    <w:rsid w:val="00E23683"/>
    <w:rsid w:val="00E24DB5"/>
    <w:rsid w:val="00E25C1C"/>
    <w:rsid w:val="00E25EA2"/>
    <w:rsid w:val="00E2769A"/>
    <w:rsid w:val="00E31F47"/>
    <w:rsid w:val="00E327CB"/>
    <w:rsid w:val="00E33056"/>
    <w:rsid w:val="00E340A3"/>
    <w:rsid w:val="00E344F0"/>
    <w:rsid w:val="00E34FB2"/>
    <w:rsid w:val="00E376F6"/>
    <w:rsid w:val="00E4012E"/>
    <w:rsid w:val="00E42EED"/>
    <w:rsid w:val="00E43054"/>
    <w:rsid w:val="00E43210"/>
    <w:rsid w:val="00E433E4"/>
    <w:rsid w:val="00E43AC9"/>
    <w:rsid w:val="00E43AF9"/>
    <w:rsid w:val="00E43D55"/>
    <w:rsid w:val="00E4439C"/>
    <w:rsid w:val="00E458BE"/>
    <w:rsid w:val="00E45D5A"/>
    <w:rsid w:val="00E4641D"/>
    <w:rsid w:val="00E46827"/>
    <w:rsid w:val="00E46F63"/>
    <w:rsid w:val="00E4789A"/>
    <w:rsid w:val="00E47D46"/>
    <w:rsid w:val="00E502D3"/>
    <w:rsid w:val="00E50BE2"/>
    <w:rsid w:val="00E51F3C"/>
    <w:rsid w:val="00E520C2"/>
    <w:rsid w:val="00E524CC"/>
    <w:rsid w:val="00E527A4"/>
    <w:rsid w:val="00E52CF9"/>
    <w:rsid w:val="00E53157"/>
    <w:rsid w:val="00E540E0"/>
    <w:rsid w:val="00E55EEE"/>
    <w:rsid w:val="00E55F25"/>
    <w:rsid w:val="00E562E5"/>
    <w:rsid w:val="00E56E8B"/>
    <w:rsid w:val="00E574FD"/>
    <w:rsid w:val="00E601B0"/>
    <w:rsid w:val="00E60521"/>
    <w:rsid w:val="00E61920"/>
    <w:rsid w:val="00E61B90"/>
    <w:rsid w:val="00E62C7E"/>
    <w:rsid w:val="00E637A6"/>
    <w:rsid w:val="00E637C2"/>
    <w:rsid w:val="00E63A0A"/>
    <w:rsid w:val="00E64CA3"/>
    <w:rsid w:val="00E66D3F"/>
    <w:rsid w:val="00E674C8"/>
    <w:rsid w:val="00E6795F"/>
    <w:rsid w:val="00E67FBF"/>
    <w:rsid w:val="00E70A45"/>
    <w:rsid w:val="00E71DBA"/>
    <w:rsid w:val="00E7303A"/>
    <w:rsid w:val="00E74DD7"/>
    <w:rsid w:val="00E75279"/>
    <w:rsid w:val="00E7753A"/>
    <w:rsid w:val="00E77A3C"/>
    <w:rsid w:val="00E81DAE"/>
    <w:rsid w:val="00E824E2"/>
    <w:rsid w:val="00E84C43"/>
    <w:rsid w:val="00E857D9"/>
    <w:rsid w:val="00E864F1"/>
    <w:rsid w:val="00E87EFC"/>
    <w:rsid w:val="00E87F42"/>
    <w:rsid w:val="00E907A2"/>
    <w:rsid w:val="00E90CF8"/>
    <w:rsid w:val="00E91201"/>
    <w:rsid w:val="00E91D88"/>
    <w:rsid w:val="00E921E2"/>
    <w:rsid w:val="00E92DAD"/>
    <w:rsid w:val="00E9314E"/>
    <w:rsid w:val="00E94123"/>
    <w:rsid w:val="00E94A70"/>
    <w:rsid w:val="00E96379"/>
    <w:rsid w:val="00E964A3"/>
    <w:rsid w:val="00E972A0"/>
    <w:rsid w:val="00EA094E"/>
    <w:rsid w:val="00EA1298"/>
    <w:rsid w:val="00EA1C29"/>
    <w:rsid w:val="00EA1E5F"/>
    <w:rsid w:val="00EA2264"/>
    <w:rsid w:val="00EA2E20"/>
    <w:rsid w:val="00EA3885"/>
    <w:rsid w:val="00EA5FDA"/>
    <w:rsid w:val="00EA6694"/>
    <w:rsid w:val="00EA7153"/>
    <w:rsid w:val="00EB0737"/>
    <w:rsid w:val="00EB0DA8"/>
    <w:rsid w:val="00EB2CD9"/>
    <w:rsid w:val="00EB349D"/>
    <w:rsid w:val="00EB3EDC"/>
    <w:rsid w:val="00EB49BE"/>
    <w:rsid w:val="00EB4FC3"/>
    <w:rsid w:val="00EC0125"/>
    <w:rsid w:val="00EC02E4"/>
    <w:rsid w:val="00EC0538"/>
    <w:rsid w:val="00EC1B49"/>
    <w:rsid w:val="00EC225E"/>
    <w:rsid w:val="00EC23CC"/>
    <w:rsid w:val="00EC31F0"/>
    <w:rsid w:val="00EC4604"/>
    <w:rsid w:val="00EC4DCC"/>
    <w:rsid w:val="00EC4FA0"/>
    <w:rsid w:val="00EC5391"/>
    <w:rsid w:val="00EC5425"/>
    <w:rsid w:val="00EC5929"/>
    <w:rsid w:val="00EC6904"/>
    <w:rsid w:val="00ED06F0"/>
    <w:rsid w:val="00ED1C7C"/>
    <w:rsid w:val="00ED31DF"/>
    <w:rsid w:val="00ED3678"/>
    <w:rsid w:val="00ED4290"/>
    <w:rsid w:val="00ED6285"/>
    <w:rsid w:val="00ED6C46"/>
    <w:rsid w:val="00ED7589"/>
    <w:rsid w:val="00ED7C05"/>
    <w:rsid w:val="00EE093E"/>
    <w:rsid w:val="00EE1E7E"/>
    <w:rsid w:val="00EE4489"/>
    <w:rsid w:val="00EE5E9E"/>
    <w:rsid w:val="00EE6881"/>
    <w:rsid w:val="00EE6EAB"/>
    <w:rsid w:val="00EE75DE"/>
    <w:rsid w:val="00EF2266"/>
    <w:rsid w:val="00EF2850"/>
    <w:rsid w:val="00EF2D2B"/>
    <w:rsid w:val="00EF4E5F"/>
    <w:rsid w:val="00EF4FAF"/>
    <w:rsid w:val="00F0131F"/>
    <w:rsid w:val="00F01689"/>
    <w:rsid w:val="00F01D68"/>
    <w:rsid w:val="00F03939"/>
    <w:rsid w:val="00F058A2"/>
    <w:rsid w:val="00F066A0"/>
    <w:rsid w:val="00F129D8"/>
    <w:rsid w:val="00F13EE7"/>
    <w:rsid w:val="00F15DC2"/>
    <w:rsid w:val="00F206B1"/>
    <w:rsid w:val="00F21212"/>
    <w:rsid w:val="00F214BC"/>
    <w:rsid w:val="00F21857"/>
    <w:rsid w:val="00F2280C"/>
    <w:rsid w:val="00F25632"/>
    <w:rsid w:val="00F25FAB"/>
    <w:rsid w:val="00F2629A"/>
    <w:rsid w:val="00F27C99"/>
    <w:rsid w:val="00F30D46"/>
    <w:rsid w:val="00F32E0A"/>
    <w:rsid w:val="00F339EC"/>
    <w:rsid w:val="00F34CB1"/>
    <w:rsid w:val="00F34F07"/>
    <w:rsid w:val="00F367DC"/>
    <w:rsid w:val="00F36DF0"/>
    <w:rsid w:val="00F36F9C"/>
    <w:rsid w:val="00F40771"/>
    <w:rsid w:val="00F41968"/>
    <w:rsid w:val="00F43514"/>
    <w:rsid w:val="00F43A3F"/>
    <w:rsid w:val="00F4608E"/>
    <w:rsid w:val="00F464B4"/>
    <w:rsid w:val="00F46A5C"/>
    <w:rsid w:val="00F46CD7"/>
    <w:rsid w:val="00F47289"/>
    <w:rsid w:val="00F47296"/>
    <w:rsid w:val="00F54BF1"/>
    <w:rsid w:val="00F55EBB"/>
    <w:rsid w:val="00F5649F"/>
    <w:rsid w:val="00F574A6"/>
    <w:rsid w:val="00F57CA0"/>
    <w:rsid w:val="00F61DE4"/>
    <w:rsid w:val="00F643F4"/>
    <w:rsid w:val="00F64B01"/>
    <w:rsid w:val="00F65C02"/>
    <w:rsid w:val="00F65E55"/>
    <w:rsid w:val="00F67E5A"/>
    <w:rsid w:val="00F706F0"/>
    <w:rsid w:val="00F712BE"/>
    <w:rsid w:val="00F72CA9"/>
    <w:rsid w:val="00F7500D"/>
    <w:rsid w:val="00F757AD"/>
    <w:rsid w:val="00F768A3"/>
    <w:rsid w:val="00F77537"/>
    <w:rsid w:val="00F82820"/>
    <w:rsid w:val="00F82B81"/>
    <w:rsid w:val="00F82D67"/>
    <w:rsid w:val="00F83F3C"/>
    <w:rsid w:val="00F8474A"/>
    <w:rsid w:val="00F847CC"/>
    <w:rsid w:val="00F84B1A"/>
    <w:rsid w:val="00F87787"/>
    <w:rsid w:val="00F90488"/>
    <w:rsid w:val="00F91BCE"/>
    <w:rsid w:val="00F91C7B"/>
    <w:rsid w:val="00F94709"/>
    <w:rsid w:val="00F9592D"/>
    <w:rsid w:val="00F9648B"/>
    <w:rsid w:val="00F97D8E"/>
    <w:rsid w:val="00FA1F98"/>
    <w:rsid w:val="00FA3438"/>
    <w:rsid w:val="00FA35F9"/>
    <w:rsid w:val="00FA3B0A"/>
    <w:rsid w:val="00FA4C91"/>
    <w:rsid w:val="00FA55C2"/>
    <w:rsid w:val="00FA5C0E"/>
    <w:rsid w:val="00FA6B47"/>
    <w:rsid w:val="00FA6E39"/>
    <w:rsid w:val="00FA6F4F"/>
    <w:rsid w:val="00FA778A"/>
    <w:rsid w:val="00FB0899"/>
    <w:rsid w:val="00FB1311"/>
    <w:rsid w:val="00FB19A5"/>
    <w:rsid w:val="00FB2DFE"/>
    <w:rsid w:val="00FB3C7F"/>
    <w:rsid w:val="00FB49F3"/>
    <w:rsid w:val="00FB5811"/>
    <w:rsid w:val="00FC03AE"/>
    <w:rsid w:val="00FC09EE"/>
    <w:rsid w:val="00FC1984"/>
    <w:rsid w:val="00FC1DB4"/>
    <w:rsid w:val="00FC1F97"/>
    <w:rsid w:val="00FC2496"/>
    <w:rsid w:val="00FC3077"/>
    <w:rsid w:val="00FC334D"/>
    <w:rsid w:val="00FC4E69"/>
    <w:rsid w:val="00FC560F"/>
    <w:rsid w:val="00FC6553"/>
    <w:rsid w:val="00FC7DE8"/>
    <w:rsid w:val="00FD09A5"/>
    <w:rsid w:val="00FD1898"/>
    <w:rsid w:val="00FD3E17"/>
    <w:rsid w:val="00FD4EDC"/>
    <w:rsid w:val="00FD53AC"/>
    <w:rsid w:val="00FD6D95"/>
    <w:rsid w:val="00FD6E7F"/>
    <w:rsid w:val="00FD7400"/>
    <w:rsid w:val="00FD760A"/>
    <w:rsid w:val="00FD7755"/>
    <w:rsid w:val="00FE009B"/>
    <w:rsid w:val="00FE0186"/>
    <w:rsid w:val="00FE0E44"/>
    <w:rsid w:val="00FE0EE7"/>
    <w:rsid w:val="00FE1AAF"/>
    <w:rsid w:val="00FE3315"/>
    <w:rsid w:val="00FE452E"/>
    <w:rsid w:val="00FE5D21"/>
    <w:rsid w:val="00FE7498"/>
    <w:rsid w:val="00FE76A1"/>
    <w:rsid w:val="00FF2142"/>
    <w:rsid w:val="00FF4224"/>
    <w:rsid w:val="00FF4724"/>
    <w:rsid w:val="00FF64B1"/>
    <w:rsid w:val="00FF7765"/>
    <w:rsid w:val="014C0D26"/>
    <w:rsid w:val="017707C1"/>
    <w:rsid w:val="01BA61B0"/>
    <w:rsid w:val="01E3718B"/>
    <w:rsid w:val="02182ED7"/>
    <w:rsid w:val="02253D19"/>
    <w:rsid w:val="02E56D55"/>
    <w:rsid w:val="02FB6CDA"/>
    <w:rsid w:val="03BA123B"/>
    <w:rsid w:val="04F32BE0"/>
    <w:rsid w:val="04FF49BC"/>
    <w:rsid w:val="056B4785"/>
    <w:rsid w:val="05906F3C"/>
    <w:rsid w:val="05E57574"/>
    <w:rsid w:val="06A61A5C"/>
    <w:rsid w:val="07761B2D"/>
    <w:rsid w:val="07F67816"/>
    <w:rsid w:val="082A6E89"/>
    <w:rsid w:val="09C65F6B"/>
    <w:rsid w:val="0B0D5DD9"/>
    <w:rsid w:val="0B985065"/>
    <w:rsid w:val="0BD45552"/>
    <w:rsid w:val="0BD5345B"/>
    <w:rsid w:val="0CA657FF"/>
    <w:rsid w:val="0DF60C1B"/>
    <w:rsid w:val="105E1DCA"/>
    <w:rsid w:val="10DD2366"/>
    <w:rsid w:val="10FE773C"/>
    <w:rsid w:val="110B7E8A"/>
    <w:rsid w:val="11BD6376"/>
    <w:rsid w:val="11EA3C69"/>
    <w:rsid w:val="11EE7F5C"/>
    <w:rsid w:val="12827F22"/>
    <w:rsid w:val="13765CAF"/>
    <w:rsid w:val="13E860FD"/>
    <w:rsid w:val="14060B14"/>
    <w:rsid w:val="14237408"/>
    <w:rsid w:val="152109DD"/>
    <w:rsid w:val="15235E62"/>
    <w:rsid w:val="16610FE9"/>
    <w:rsid w:val="17F17FFA"/>
    <w:rsid w:val="17FB0961"/>
    <w:rsid w:val="1810596D"/>
    <w:rsid w:val="18757870"/>
    <w:rsid w:val="19332075"/>
    <w:rsid w:val="1A562397"/>
    <w:rsid w:val="1AE27C19"/>
    <w:rsid w:val="1B5737FE"/>
    <w:rsid w:val="1C406E5A"/>
    <w:rsid w:val="1CA5486C"/>
    <w:rsid w:val="1D360ABE"/>
    <w:rsid w:val="1D977017"/>
    <w:rsid w:val="1E344206"/>
    <w:rsid w:val="1E9F748D"/>
    <w:rsid w:val="1EE6381A"/>
    <w:rsid w:val="1EF60EAE"/>
    <w:rsid w:val="201B4CE7"/>
    <w:rsid w:val="20332B82"/>
    <w:rsid w:val="20675C0C"/>
    <w:rsid w:val="208E00C6"/>
    <w:rsid w:val="20D90F82"/>
    <w:rsid w:val="21DC778C"/>
    <w:rsid w:val="22C97354"/>
    <w:rsid w:val="23AF4B20"/>
    <w:rsid w:val="24553483"/>
    <w:rsid w:val="246845D8"/>
    <w:rsid w:val="248536CD"/>
    <w:rsid w:val="250A0E7E"/>
    <w:rsid w:val="253F4667"/>
    <w:rsid w:val="25440C67"/>
    <w:rsid w:val="25C5013E"/>
    <w:rsid w:val="26993FF3"/>
    <w:rsid w:val="26C31CF7"/>
    <w:rsid w:val="286B1703"/>
    <w:rsid w:val="28C330DB"/>
    <w:rsid w:val="2A375C92"/>
    <w:rsid w:val="2C2B0325"/>
    <w:rsid w:val="2C716E57"/>
    <w:rsid w:val="2CA451E4"/>
    <w:rsid w:val="2EE87F5E"/>
    <w:rsid w:val="2EF36989"/>
    <w:rsid w:val="2FFE110D"/>
    <w:rsid w:val="300C7328"/>
    <w:rsid w:val="30F06C49"/>
    <w:rsid w:val="313F5DD4"/>
    <w:rsid w:val="31BB1407"/>
    <w:rsid w:val="320C1861"/>
    <w:rsid w:val="32EF070B"/>
    <w:rsid w:val="32F6688C"/>
    <w:rsid w:val="33185FE3"/>
    <w:rsid w:val="33BE266F"/>
    <w:rsid w:val="344920B0"/>
    <w:rsid w:val="363C33EB"/>
    <w:rsid w:val="369E0ABB"/>
    <w:rsid w:val="36A77C9A"/>
    <w:rsid w:val="36A93B22"/>
    <w:rsid w:val="36D23A8F"/>
    <w:rsid w:val="37E25858"/>
    <w:rsid w:val="384D2ABA"/>
    <w:rsid w:val="38B642D0"/>
    <w:rsid w:val="3AAA7E69"/>
    <w:rsid w:val="3B21233D"/>
    <w:rsid w:val="3B325BA8"/>
    <w:rsid w:val="3E834CDC"/>
    <w:rsid w:val="3EAA11C5"/>
    <w:rsid w:val="3FD11958"/>
    <w:rsid w:val="4114068D"/>
    <w:rsid w:val="411E6FB6"/>
    <w:rsid w:val="415B71D0"/>
    <w:rsid w:val="41E20F2A"/>
    <w:rsid w:val="439D04A4"/>
    <w:rsid w:val="447C1F83"/>
    <w:rsid w:val="4509781F"/>
    <w:rsid w:val="453B44DF"/>
    <w:rsid w:val="453E1491"/>
    <w:rsid w:val="458A3EF4"/>
    <w:rsid w:val="45B86513"/>
    <w:rsid w:val="462C207A"/>
    <w:rsid w:val="463942EC"/>
    <w:rsid w:val="465224A8"/>
    <w:rsid w:val="478E4E7B"/>
    <w:rsid w:val="47C21CEE"/>
    <w:rsid w:val="48B848E1"/>
    <w:rsid w:val="48F177F8"/>
    <w:rsid w:val="4C86320C"/>
    <w:rsid w:val="4D420E97"/>
    <w:rsid w:val="4DAC603F"/>
    <w:rsid w:val="4E44456F"/>
    <w:rsid w:val="4F042C61"/>
    <w:rsid w:val="4F101AAA"/>
    <w:rsid w:val="4F2D3EE8"/>
    <w:rsid w:val="4F3A1585"/>
    <w:rsid w:val="4F3E537F"/>
    <w:rsid w:val="4F6826A0"/>
    <w:rsid w:val="503669C9"/>
    <w:rsid w:val="506F6A76"/>
    <w:rsid w:val="53AC47FA"/>
    <w:rsid w:val="5416738C"/>
    <w:rsid w:val="54217009"/>
    <w:rsid w:val="549D1655"/>
    <w:rsid w:val="554E4A4B"/>
    <w:rsid w:val="55844889"/>
    <w:rsid w:val="55FD0EF2"/>
    <w:rsid w:val="56201D44"/>
    <w:rsid w:val="569E64AA"/>
    <w:rsid w:val="56F304B3"/>
    <w:rsid w:val="57470700"/>
    <w:rsid w:val="5922534C"/>
    <w:rsid w:val="5A036AA5"/>
    <w:rsid w:val="5A12625C"/>
    <w:rsid w:val="5B423504"/>
    <w:rsid w:val="5C376787"/>
    <w:rsid w:val="5C4D3919"/>
    <w:rsid w:val="5CA63145"/>
    <w:rsid w:val="5D1A7027"/>
    <w:rsid w:val="5DBE1C7D"/>
    <w:rsid w:val="5ED660A9"/>
    <w:rsid w:val="5F1E5F5C"/>
    <w:rsid w:val="5F280413"/>
    <w:rsid w:val="5F44309B"/>
    <w:rsid w:val="5FA42829"/>
    <w:rsid w:val="61A70B20"/>
    <w:rsid w:val="62B92A90"/>
    <w:rsid w:val="63C37BF4"/>
    <w:rsid w:val="64A458D4"/>
    <w:rsid w:val="65A532E3"/>
    <w:rsid w:val="667D0DBB"/>
    <w:rsid w:val="667D5045"/>
    <w:rsid w:val="66F174BB"/>
    <w:rsid w:val="68A52481"/>
    <w:rsid w:val="68EA1E54"/>
    <w:rsid w:val="69055945"/>
    <w:rsid w:val="690855A0"/>
    <w:rsid w:val="6A7B1567"/>
    <w:rsid w:val="6AC02C0D"/>
    <w:rsid w:val="6AFE17D2"/>
    <w:rsid w:val="6B186F90"/>
    <w:rsid w:val="6BD31CC2"/>
    <w:rsid w:val="6BDB1969"/>
    <w:rsid w:val="6CF11B8B"/>
    <w:rsid w:val="6D3A0911"/>
    <w:rsid w:val="6DE210EC"/>
    <w:rsid w:val="6E2278CD"/>
    <w:rsid w:val="6E9D7522"/>
    <w:rsid w:val="6EAE7507"/>
    <w:rsid w:val="6F662416"/>
    <w:rsid w:val="70844422"/>
    <w:rsid w:val="71015D2D"/>
    <w:rsid w:val="714E262A"/>
    <w:rsid w:val="71800ECC"/>
    <w:rsid w:val="71CB160F"/>
    <w:rsid w:val="73793574"/>
    <w:rsid w:val="751C3C0C"/>
    <w:rsid w:val="755E4D6D"/>
    <w:rsid w:val="75B16735"/>
    <w:rsid w:val="76CC6099"/>
    <w:rsid w:val="76D05874"/>
    <w:rsid w:val="77AD699C"/>
    <w:rsid w:val="780F611E"/>
    <w:rsid w:val="78A91184"/>
    <w:rsid w:val="78CC2BEE"/>
    <w:rsid w:val="7A1A27F6"/>
    <w:rsid w:val="7A442B19"/>
    <w:rsid w:val="7B0973B2"/>
    <w:rsid w:val="7C0950F5"/>
    <w:rsid w:val="7C816FCE"/>
    <w:rsid w:val="7CFB3706"/>
    <w:rsid w:val="7DF85392"/>
    <w:rsid w:val="7F44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99"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5">
    <w:name w:val="heading 1"/>
    <w:basedOn w:val="1"/>
    <w:next w:val="1"/>
    <w:link w:val="51"/>
    <w:autoRedefine/>
    <w:qFormat/>
    <w:uiPriority w:val="0"/>
    <w:pPr>
      <w:keepNext/>
      <w:keepLines/>
      <w:spacing w:before="340" w:after="330"/>
      <w:jc w:val="center"/>
      <w:outlineLvl w:val="0"/>
    </w:pPr>
    <w:rPr>
      <w:rFonts w:eastAsia="华文中宋"/>
      <w:b/>
      <w:bCs/>
      <w:kern w:val="44"/>
      <w:sz w:val="44"/>
      <w:szCs w:val="44"/>
    </w:rPr>
  </w:style>
  <w:style w:type="paragraph" w:styleId="6">
    <w:name w:val="heading 2"/>
    <w:basedOn w:val="1"/>
    <w:next w:val="7"/>
    <w:link w:val="52"/>
    <w:autoRedefine/>
    <w:qFormat/>
    <w:uiPriority w:val="0"/>
    <w:pPr>
      <w:keepNext/>
      <w:keepLines/>
      <w:spacing w:before="260" w:after="260" w:line="240" w:lineRule="auto"/>
      <w:jc w:val="left"/>
      <w:outlineLvl w:val="1"/>
    </w:pPr>
    <w:rPr>
      <w:rFonts w:ascii="华文中宋" w:hAnsi="华文中宋" w:eastAsia="华文中宋"/>
      <w:b/>
      <w:bCs/>
      <w:kern w:val="0"/>
      <w:sz w:val="32"/>
      <w:szCs w:val="32"/>
    </w:rPr>
  </w:style>
  <w:style w:type="paragraph" w:styleId="8">
    <w:name w:val="heading 3"/>
    <w:basedOn w:val="1"/>
    <w:next w:val="1"/>
    <w:link w:val="54"/>
    <w:autoRedefine/>
    <w:qFormat/>
    <w:uiPriority w:val="0"/>
    <w:pPr>
      <w:keepNext/>
      <w:keepLines/>
      <w:spacing w:before="240" w:after="240" w:line="240" w:lineRule="auto"/>
      <w:jc w:val="left"/>
      <w:outlineLvl w:val="2"/>
    </w:pPr>
    <w:rPr>
      <w:rFonts w:ascii="华文中宋" w:hAnsi="华文中宋" w:eastAsia="华文中宋"/>
      <w:b/>
      <w:bCs/>
      <w:w w:val="90"/>
      <w:kern w:val="0"/>
      <w:sz w:val="28"/>
    </w:rPr>
  </w:style>
  <w:style w:type="paragraph" w:styleId="9">
    <w:name w:val="heading 4"/>
    <w:basedOn w:val="1"/>
    <w:next w:val="1"/>
    <w:link w:val="55"/>
    <w:autoRedefine/>
    <w:qFormat/>
    <w:uiPriority w:val="9"/>
    <w:pPr>
      <w:keepNext/>
      <w:keepLines/>
      <w:spacing w:before="160" w:after="170" w:line="240" w:lineRule="auto"/>
      <w:jc w:val="left"/>
      <w:outlineLvl w:val="3"/>
    </w:pPr>
    <w:rPr>
      <w:rFonts w:ascii="华文中宋" w:hAnsi="华文中宋" w:eastAsia="华文中宋"/>
      <w:b/>
      <w:bCs/>
      <w:color w:val="000000"/>
      <w:szCs w:val="28"/>
    </w:rPr>
  </w:style>
  <w:style w:type="paragraph" w:styleId="10">
    <w:name w:val="heading 5"/>
    <w:basedOn w:val="1"/>
    <w:next w:val="1"/>
    <w:link w:val="56"/>
    <w:autoRedefine/>
    <w:qFormat/>
    <w:uiPriority w:val="9"/>
    <w:pPr>
      <w:keepNext/>
      <w:keepLines/>
      <w:spacing w:before="120" w:after="120"/>
      <w:jc w:val="left"/>
      <w:outlineLvl w:val="4"/>
    </w:pPr>
    <w:rPr>
      <w:rFonts w:ascii="华文中宋" w:hAnsi="华文中宋" w:eastAsia="华文中宋"/>
      <w:b/>
      <w:bCs/>
      <w:kern w:val="0"/>
      <w:sz w:val="28"/>
      <w:szCs w:val="28"/>
    </w:rPr>
  </w:style>
  <w:style w:type="paragraph" w:styleId="11">
    <w:name w:val="heading 8"/>
    <w:basedOn w:val="1"/>
    <w:next w:val="1"/>
    <w:link w:val="57"/>
    <w:autoRedefine/>
    <w:qFormat/>
    <w:uiPriority w:val="0"/>
    <w:pPr>
      <w:keepNext/>
      <w:jc w:val="center"/>
      <w:outlineLvl w:val="7"/>
    </w:pPr>
    <w:rPr>
      <w:rFonts w:eastAsia="宋体"/>
      <w:b/>
      <w:bCs/>
      <w:color w:val="FFFFFF"/>
      <w:szCs w:val="18"/>
    </w:rPr>
  </w:style>
  <w:style w:type="paragraph" w:styleId="12">
    <w:name w:val="heading 9"/>
    <w:basedOn w:val="1"/>
    <w:next w:val="1"/>
    <w:link w:val="58"/>
    <w:autoRedefine/>
    <w:qFormat/>
    <w:uiPriority w:val="0"/>
    <w:pPr>
      <w:keepNext/>
      <w:outlineLvl w:val="8"/>
    </w:pPr>
    <w:rPr>
      <w:rFonts w:ascii="Arial" w:hAnsi="Arial" w:eastAsia="宋体"/>
      <w:b/>
      <w:bCs/>
      <w:color w:val="000000"/>
      <w:sz w:val="15"/>
      <w:szCs w:val="26"/>
    </w:rPr>
  </w:style>
  <w:style w:type="character" w:default="1" w:styleId="42">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420" w:firstLineChars="100"/>
    </w:pPr>
    <w:rPr>
      <w:rFonts w:ascii="Calibri" w:hAnsi="Calibri"/>
      <w:szCs w:val="24"/>
    </w:rPr>
  </w:style>
  <w:style w:type="paragraph" w:styleId="3">
    <w:name w:val="Body Text"/>
    <w:basedOn w:val="1"/>
    <w:next w:val="2"/>
    <w:link w:val="50"/>
    <w:autoRedefine/>
    <w:qFormat/>
    <w:uiPriority w:val="0"/>
    <w:pPr>
      <w:adjustRightInd w:val="0"/>
      <w:spacing w:line="315" w:lineRule="atLeast"/>
      <w:jc w:val="left"/>
    </w:pPr>
    <w:rPr>
      <w:rFonts w:ascii="仿宋_GB2312" w:eastAsia="仿宋_GB2312"/>
      <w:kern w:val="0"/>
      <w:sz w:val="28"/>
      <w:szCs w:val="20"/>
    </w:rPr>
  </w:style>
  <w:style w:type="paragraph" w:styleId="4">
    <w:name w:val="toc 6"/>
    <w:basedOn w:val="1"/>
    <w:next w:val="1"/>
    <w:autoRedefine/>
    <w:unhideWhenUsed/>
    <w:qFormat/>
    <w:uiPriority w:val="0"/>
    <w:pPr>
      <w:ind w:left="1050"/>
      <w:jc w:val="left"/>
    </w:pPr>
    <w:rPr>
      <w:rFonts w:ascii="Calibri" w:hAnsi="Calibri" w:cs="Calibri"/>
      <w:sz w:val="18"/>
      <w:szCs w:val="18"/>
    </w:rPr>
  </w:style>
  <w:style w:type="paragraph" w:styleId="7">
    <w:name w:val="Normal Indent"/>
    <w:basedOn w:val="1"/>
    <w:link w:val="53"/>
    <w:autoRedefine/>
    <w:qFormat/>
    <w:uiPriority w:val="99"/>
    <w:pPr>
      <w:ind w:firstLine="420" w:firstLineChars="200"/>
    </w:pPr>
    <w:rPr>
      <w:rFonts w:eastAsia="宋体"/>
      <w:szCs w:val="20"/>
    </w:rPr>
  </w:style>
  <w:style w:type="paragraph" w:styleId="13">
    <w:name w:val="toc 7"/>
    <w:basedOn w:val="1"/>
    <w:next w:val="1"/>
    <w:autoRedefine/>
    <w:unhideWhenUsed/>
    <w:qFormat/>
    <w:uiPriority w:val="0"/>
    <w:pPr>
      <w:ind w:left="1260"/>
      <w:jc w:val="left"/>
    </w:pPr>
    <w:rPr>
      <w:rFonts w:ascii="Calibri" w:hAnsi="Calibri" w:cs="Calibri"/>
      <w:sz w:val="18"/>
      <w:szCs w:val="18"/>
    </w:rPr>
  </w:style>
  <w:style w:type="paragraph" w:styleId="14">
    <w:name w:val="List Number"/>
    <w:basedOn w:val="1"/>
    <w:autoRedefine/>
    <w:unhideWhenUsed/>
    <w:qFormat/>
    <w:uiPriority w:val="99"/>
    <w:pPr>
      <w:numPr>
        <w:ilvl w:val="0"/>
        <w:numId w:val="1"/>
      </w:numPr>
    </w:pPr>
  </w:style>
  <w:style w:type="paragraph" w:styleId="15">
    <w:name w:val="Document Map"/>
    <w:basedOn w:val="1"/>
    <w:link w:val="59"/>
    <w:autoRedefine/>
    <w:unhideWhenUsed/>
    <w:qFormat/>
    <w:uiPriority w:val="0"/>
    <w:rPr>
      <w:rFonts w:ascii="宋体" w:eastAsia="宋体"/>
      <w:sz w:val="18"/>
      <w:szCs w:val="18"/>
    </w:rPr>
  </w:style>
  <w:style w:type="paragraph" w:styleId="16">
    <w:name w:val="annotation text"/>
    <w:basedOn w:val="1"/>
    <w:link w:val="60"/>
    <w:autoRedefine/>
    <w:unhideWhenUsed/>
    <w:qFormat/>
    <w:uiPriority w:val="99"/>
    <w:pPr>
      <w:jc w:val="left"/>
    </w:pPr>
    <w:rPr>
      <w:rFonts w:eastAsia="宋体"/>
    </w:rPr>
  </w:style>
  <w:style w:type="paragraph" w:styleId="17">
    <w:name w:val="Body Text Indent"/>
    <w:basedOn w:val="1"/>
    <w:next w:val="18"/>
    <w:link w:val="61"/>
    <w:autoRedefine/>
    <w:qFormat/>
    <w:uiPriority w:val="0"/>
    <w:pPr>
      <w:spacing w:before="120" w:after="120"/>
      <w:ind w:left="420" w:leftChars="200"/>
    </w:pPr>
    <w:rPr>
      <w:rFonts w:eastAsia="宋体"/>
      <w:szCs w:val="20"/>
    </w:rPr>
  </w:style>
  <w:style w:type="paragraph" w:styleId="18">
    <w:name w:val="Body Text First Indent 2"/>
    <w:basedOn w:val="17"/>
    <w:autoRedefine/>
    <w:unhideWhenUsed/>
    <w:qFormat/>
    <w:uiPriority w:val="99"/>
    <w:pPr>
      <w:ind w:firstLine="420" w:firstLineChars="200"/>
    </w:pPr>
  </w:style>
  <w:style w:type="paragraph" w:styleId="19">
    <w:name w:val="List 2"/>
    <w:basedOn w:val="1"/>
    <w:autoRedefine/>
    <w:unhideWhenUsed/>
    <w:qFormat/>
    <w:uiPriority w:val="99"/>
    <w:pPr>
      <w:ind w:left="100" w:leftChars="200" w:hanging="200" w:hangingChars="200"/>
      <w:contextualSpacing/>
    </w:pPr>
  </w:style>
  <w:style w:type="paragraph" w:styleId="20">
    <w:name w:val="toc 5"/>
    <w:basedOn w:val="1"/>
    <w:next w:val="1"/>
    <w:autoRedefine/>
    <w:unhideWhenUsed/>
    <w:qFormat/>
    <w:uiPriority w:val="0"/>
    <w:pPr>
      <w:ind w:left="840"/>
      <w:jc w:val="left"/>
    </w:pPr>
    <w:rPr>
      <w:rFonts w:ascii="Calibri" w:hAnsi="Calibri" w:cs="Calibri"/>
      <w:sz w:val="18"/>
      <w:szCs w:val="18"/>
    </w:rPr>
  </w:style>
  <w:style w:type="paragraph" w:styleId="21">
    <w:name w:val="toc 3"/>
    <w:basedOn w:val="1"/>
    <w:next w:val="1"/>
    <w:autoRedefine/>
    <w:unhideWhenUsed/>
    <w:qFormat/>
    <w:uiPriority w:val="39"/>
    <w:pPr>
      <w:ind w:left="420"/>
      <w:jc w:val="left"/>
    </w:pPr>
    <w:rPr>
      <w:rFonts w:ascii="Calibri" w:hAnsi="Calibri" w:cs="Calibri"/>
      <w:i/>
      <w:iCs/>
      <w:sz w:val="20"/>
      <w:szCs w:val="20"/>
    </w:rPr>
  </w:style>
  <w:style w:type="paragraph" w:styleId="22">
    <w:name w:val="Plain Text"/>
    <w:basedOn w:val="1"/>
    <w:link w:val="62"/>
    <w:autoRedefine/>
    <w:unhideWhenUsed/>
    <w:qFormat/>
    <w:uiPriority w:val="0"/>
    <w:rPr>
      <w:rFonts w:ascii="宋体" w:hAnsi="Courier New" w:eastAsia="宋体"/>
      <w:szCs w:val="20"/>
    </w:rPr>
  </w:style>
  <w:style w:type="paragraph" w:styleId="23">
    <w:name w:val="List Number 4"/>
    <w:basedOn w:val="1"/>
    <w:autoRedefine/>
    <w:qFormat/>
    <w:uiPriority w:val="0"/>
    <w:pPr>
      <w:numPr>
        <w:ilvl w:val="0"/>
        <w:numId w:val="2"/>
      </w:numPr>
      <w:tabs>
        <w:tab w:val="left" w:pos="840"/>
        <w:tab w:val="clear" w:pos="1620"/>
      </w:tabs>
      <w:autoSpaceDE w:val="0"/>
      <w:autoSpaceDN w:val="0"/>
      <w:adjustRightInd w:val="0"/>
      <w:spacing w:line="360" w:lineRule="atLeast"/>
      <w:ind w:left="840" w:hanging="420"/>
    </w:pPr>
    <w:rPr>
      <w:kern w:val="0"/>
    </w:rPr>
  </w:style>
  <w:style w:type="paragraph" w:styleId="24">
    <w:name w:val="toc 8"/>
    <w:basedOn w:val="1"/>
    <w:next w:val="1"/>
    <w:autoRedefine/>
    <w:unhideWhenUsed/>
    <w:qFormat/>
    <w:uiPriority w:val="0"/>
    <w:pPr>
      <w:ind w:left="1470"/>
      <w:jc w:val="left"/>
    </w:pPr>
    <w:rPr>
      <w:rFonts w:ascii="Calibri" w:hAnsi="Calibri" w:cs="Calibri"/>
      <w:sz w:val="18"/>
      <w:szCs w:val="18"/>
    </w:rPr>
  </w:style>
  <w:style w:type="paragraph" w:styleId="25">
    <w:name w:val="Date"/>
    <w:basedOn w:val="1"/>
    <w:next w:val="1"/>
    <w:link w:val="63"/>
    <w:autoRedefine/>
    <w:qFormat/>
    <w:uiPriority w:val="0"/>
    <w:pPr>
      <w:ind w:left="100" w:leftChars="2500"/>
    </w:pPr>
    <w:rPr>
      <w:rFonts w:eastAsia="宋体"/>
      <w:kern w:val="0"/>
      <w:sz w:val="20"/>
    </w:rPr>
  </w:style>
  <w:style w:type="paragraph" w:styleId="26">
    <w:name w:val="Body Text Indent 2"/>
    <w:basedOn w:val="1"/>
    <w:link w:val="64"/>
    <w:autoRedefine/>
    <w:unhideWhenUsed/>
    <w:qFormat/>
    <w:uiPriority w:val="99"/>
    <w:pPr>
      <w:spacing w:after="120" w:line="480" w:lineRule="auto"/>
      <w:ind w:left="420" w:leftChars="200"/>
    </w:pPr>
    <w:rPr>
      <w:rFonts w:eastAsia="宋体"/>
    </w:rPr>
  </w:style>
  <w:style w:type="paragraph" w:styleId="27">
    <w:name w:val="Balloon Text"/>
    <w:basedOn w:val="1"/>
    <w:link w:val="65"/>
    <w:autoRedefine/>
    <w:unhideWhenUsed/>
    <w:qFormat/>
    <w:uiPriority w:val="99"/>
    <w:rPr>
      <w:rFonts w:eastAsia="宋体"/>
      <w:kern w:val="0"/>
      <w:sz w:val="18"/>
      <w:szCs w:val="18"/>
    </w:rPr>
  </w:style>
  <w:style w:type="paragraph" w:styleId="28">
    <w:name w:val="footer"/>
    <w:basedOn w:val="1"/>
    <w:link w:val="66"/>
    <w:autoRedefine/>
    <w:qFormat/>
    <w:uiPriority w:val="0"/>
    <w:pPr>
      <w:tabs>
        <w:tab w:val="center" w:pos="4153"/>
        <w:tab w:val="right" w:pos="8306"/>
      </w:tabs>
      <w:snapToGrid w:val="0"/>
      <w:jc w:val="left"/>
    </w:pPr>
    <w:rPr>
      <w:rFonts w:eastAsia="宋体"/>
      <w:kern w:val="0"/>
      <w:sz w:val="18"/>
      <w:szCs w:val="18"/>
    </w:rPr>
  </w:style>
  <w:style w:type="paragraph" w:styleId="29">
    <w:name w:val="header"/>
    <w:basedOn w:val="1"/>
    <w:link w:val="67"/>
    <w:autoRedefine/>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30">
    <w:name w:val="toc 1"/>
    <w:basedOn w:val="1"/>
    <w:next w:val="1"/>
    <w:autoRedefine/>
    <w:qFormat/>
    <w:uiPriority w:val="39"/>
    <w:pPr>
      <w:spacing w:before="120" w:after="120"/>
      <w:jc w:val="left"/>
    </w:pPr>
    <w:rPr>
      <w:rFonts w:ascii="Calibri" w:hAnsi="Calibri" w:cs="Calibri"/>
      <w:b/>
      <w:bCs/>
      <w:caps/>
      <w:sz w:val="20"/>
      <w:szCs w:val="20"/>
    </w:rPr>
  </w:style>
  <w:style w:type="paragraph" w:styleId="31">
    <w:name w:val="toc 4"/>
    <w:basedOn w:val="1"/>
    <w:next w:val="1"/>
    <w:autoRedefine/>
    <w:unhideWhenUsed/>
    <w:qFormat/>
    <w:uiPriority w:val="0"/>
    <w:pPr>
      <w:ind w:left="630"/>
      <w:jc w:val="left"/>
    </w:pPr>
    <w:rPr>
      <w:rFonts w:ascii="Calibri" w:hAnsi="Calibri" w:cs="Calibri"/>
      <w:sz w:val="18"/>
      <w:szCs w:val="18"/>
    </w:rPr>
  </w:style>
  <w:style w:type="paragraph" w:styleId="32">
    <w:name w:val="footnote text"/>
    <w:basedOn w:val="1"/>
    <w:link w:val="68"/>
    <w:autoRedefine/>
    <w:unhideWhenUsed/>
    <w:qFormat/>
    <w:uiPriority w:val="99"/>
    <w:pPr>
      <w:snapToGrid w:val="0"/>
      <w:spacing w:line="240" w:lineRule="auto"/>
      <w:jc w:val="left"/>
    </w:pPr>
    <w:rPr>
      <w:rFonts w:eastAsia="宋体"/>
      <w:sz w:val="18"/>
      <w:szCs w:val="18"/>
    </w:rPr>
  </w:style>
  <w:style w:type="paragraph" w:styleId="33">
    <w:name w:val="Body Text Indent 3"/>
    <w:basedOn w:val="1"/>
    <w:link w:val="69"/>
    <w:autoRedefine/>
    <w:qFormat/>
    <w:uiPriority w:val="0"/>
    <w:pPr>
      <w:autoSpaceDE w:val="0"/>
      <w:autoSpaceDN w:val="0"/>
      <w:adjustRightInd w:val="0"/>
      <w:spacing w:line="480" w:lineRule="exact"/>
      <w:ind w:left="539" w:firstLine="538" w:firstLineChars="224"/>
      <w:outlineLvl w:val="0"/>
    </w:pPr>
    <w:rPr>
      <w:rFonts w:ascii="方正细圆简体" w:eastAsia="方正细圆简体"/>
    </w:rPr>
  </w:style>
  <w:style w:type="paragraph" w:styleId="34">
    <w:name w:val="toc 2"/>
    <w:basedOn w:val="1"/>
    <w:next w:val="1"/>
    <w:autoRedefine/>
    <w:unhideWhenUsed/>
    <w:qFormat/>
    <w:uiPriority w:val="39"/>
    <w:pPr>
      <w:tabs>
        <w:tab w:val="right" w:leader="dot" w:pos="8931"/>
      </w:tabs>
      <w:spacing w:line="276" w:lineRule="auto"/>
      <w:ind w:left="851"/>
      <w:jc w:val="left"/>
    </w:pPr>
    <w:rPr>
      <w:rFonts w:ascii="Calibri" w:hAnsi="Calibri" w:cs="Calibri"/>
      <w:smallCaps/>
      <w:sz w:val="20"/>
      <w:szCs w:val="20"/>
    </w:rPr>
  </w:style>
  <w:style w:type="paragraph" w:styleId="35">
    <w:name w:val="toc 9"/>
    <w:basedOn w:val="1"/>
    <w:next w:val="1"/>
    <w:autoRedefine/>
    <w:unhideWhenUsed/>
    <w:qFormat/>
    <w:uiPriority w:val="0"/>
    <w:pPr>
      <w:ind w:left="1680"/>
      <w:jc w:val="left"/>
    </w:pPr>
    <w:rPr>
      <w:rFonts w:ascii="Calibri" w:hAnsi="Calibri" w:cs="Calibri"/>
      <w:sz w:val="18"/>
      <w:szCs w:val="18"/>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rPr>
  </w:style>
  <w:style w:type="paragraph" w:styleId="37">
    <w:name w:val="Title"/>
    <w:basedOn w:val="1"/>
    <w:next w:val="1"/>
    <w:link w:val="70"/>
    <w:autoRedefine/>
    <w:qFormat/>
    <w:uiPriority w:val="0"/>
    <w:pPr>
      <w:spacing w:before="480" w:after="300"/>
      <w:jc w:val="center"/>
      <w:outlineLvl w:val="0"/>
    </w:pPr>
    <w:rPr>
      <w:rFonts w:ascii="Cambria" w:hAnsi="Cambria" w:eastAsia="华文中宋"/>
      <w:b/>
      <w:bCs/>
      <w:sz w:val="44"/>
      <w:szCs w:val="32"/>
    </w:rPr>
  </w:style>
  <w:style w:type="paragraph" w:styleId="38">
    <w:name w:val="annotation subject"/>
    <w:basedOn w:val="16"/>
    <w:next w:val="16"/>
    <w:link w:val="71"/>
    <w:autoRedefine/>
    <w:unhideWhenUsed/>
    <w:qFormat/>
    <w:uiPriority w:val="99"/>
    <w:rPr>
      <w:b/>
      <w:bCs/>
    </w:rPr>
  </w:style>
  <w:style w:type="table" w:styleId="40">
    <w:name w:val="Table Grid"/>
    <w:basedOn w:val="3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Table Elegant"/>
    <w:basedOn w:val="39"/>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autoRedefine/>
    <w:qFormat/>
    <w:uiPriority w:val="22"/>
    <w:rPr>
      <w:b/>
    </w:rPr>
  </w:style>
  <w:style w:type="character" w:styleId="44">
    <w:name w:val="page number"/>
    <w:basedOn w:val="42"/>
    <w:autoRedefine/>
    <w:qFormat/>
    <w:uiPriority w:val="0"/>
  </w:style>
  <w:style w:type="character" w:styleId="45">
    <w:name w:val="FollowedHyperlink"/>
    <w:basedOn w:val="42"/>
    <w:autoRedefine/>
    <w:qFormat/>
    <w:uiPriority w:val="0"/>
    <w:rPr>
      <w:color w:val="333333"/>
      <w:u w:val="none"/>
    </w:rPr>
  </w:style>
  <w:style w:type="character" w:styleId="46">
    <w:name w:val="Emphasis"/>
    <w:basedOn w:val="42"/>
    <w:autoRedefine/>
    <w:qFormat/>
    <w:uiPriority w:val="20"/>
    <w:rPr>
      <w:i/>
      <w:iCs/>
    </w:rPr>
  </w:style>
  <w:style w:type="character" w:styleId="47">
    <w:name w:val="Hyperlink"/>
    <w:basedOn w:val="42"/>
    <w:autoRedefine/>
    <w:unhideWhenUsed/>
    <w:qFormat/>
    <w:uiPriority w:val="99"/>
    <w:rPr>
      <w:color w:val="333333"/>
      <w:u w:val="none"/>
    </w:rPr>
  </w:style>
  <w:style w:type="character" w:styleId="48">
    <w:name w:val="annotation reference"/>
    <w:autoRedefine/>
    <w:qFormat/>
    <w:uiPriority w:val="99"/>
    <w:rPr>
      <w:sz w:val="21"/>
      <w:szCs w:val="21"/>
    </w:rPr>
  </w:style>
  <w:style w:type="character" w:styleId="49">
    <w:name w:val="footnote reference"/>
    <w:basedOn w:val="42"/>
    <w:autoRedefine/>
    <w:unhideWhenUsed/>
    <w:qFormat/>
    <w:uiPriority w:val="99"/>
    <w:rPr>
      <w:vertAlign w:val="superscript"/>
    </w:rPr>
  </w:style>
  <w:style w:type="character" w:customStyle="1" w:styleId="50">
    <w:name w:val="正文文本 字符"/>
    <w:link w:val="3"/>
    <w:autoRedefine/>
    <w:qFormat/>
    <w:uiPriority w:val="0"/>
    <w:rPr>
      <w:rFonts w:ascii="仿宋_GB2312" w:hAnsi="Times New Roman" w:eastAsia="仿宋_GB2312" w:cs="Times New Roman"/>
      <w:kern w:val="0"/>
      <w:sz w:val="28"/>
      <w:szCs w:val="20"/>
    </w:rPr>
  </w:style>
  <w:style w:type="character" w:customStyle="1" w:styleId="51">
    <w:name w:val="标题 1 字符"/>
    <w:link w:val="5"/>
    <w:autoRedefine/>
    <w:qFormat/>
    <w:uiPriority w:val="0"/>
    <w:rPr>
      <w:rFonts w:ascii="Times New Roman" w:hAnsi="Times New Roman" w:eastAsia="华文中宋"/>
      <w:b/>
      <w:bCs/>
      <w:kern w:val="44"/>
      <w:sz w:val="44"/>
      <w:szCs w:val="44"/>
    </w:rPr>
  </w:style>
  <w:style w:type="character" w:customStyle="1" w:styleId="52">
    <w:name w:val="标题 2 字符"/>
    <w:link w:val="6"/>
    <w:autoRedefine/>
    <w:qFormat/>
    <w:uiPriority w:val="0"/>
    <w:rPr>
      <w:rFonts w:ascii="华文中宋" w:hAnsi="华文中宋" w:eastAsia="华文中宋"/>
      <w:b/>
      <w:bCs/>
      <w:sz w:val="32"/>
      <w:szCs w:val="32"/>
    </w:rPr>
  </w:style>
  <w:style w:type="character" w:customStyle="1" w:styleId="53">
    <w:name w:val="正文缩进 字符"/>
    <w:link w:val="7"/>
    <w:autoRedefine/>
    <w:qFormat/>
    <w:uiPriority w:val="99"/>
    <w:rPr>
      <w:rFonts w:ascii="Times New Roman" w:hAnsi="Times New Roman"/>
      <w:kern w:val="2"/>
      <w:sz w:val="21"/>
    </w:rPr>
  </w:style>
  <w:style w:type="character" w:customStyle="1" w:styleId="54">
    <w:name w:val="标题 3 字符"/>
    <w:link w:val="8"/>
    <w:autoRedefine/>
    <w:qFormat/>
    <w:uiPriority w:val="0"/>
    <w:rPr>
      <w:rFonts w:ascii="华文中宋" w:hAnsi="华文中宋" w:eastAsia="华文中宋"/>
      <w:b/>
      <w:bCs/>
      <w:w w:val="90"/>
      <w:sz w:val="28"/>
      <w:szCs w:val="24"/>
    </w:rPr>
  </w:style>
  <w:style w:type="character" w:customStyle="1" w:styleId="55">
    <w:name w:val="标题 4 字符"/>
    <w:link w:val="9"/>
    <w:autoRedefine/>
    <w:qFormat/>
    <w:uiPriority w:val="9"/>
    <w:rPr>
      <w:rFonts w:ascii="华文中宋" w:hAnsi="华文中宋" w:eastAsia="华文中宋"/>
      <w:b/>
      <w:bCs/>
      <w:color w:val="000000"/>
      <w:kern w:val="2"/>
      <w:sz w:val="24"/>
      <w:szCs w:val="28"/>
    </w:rPr>
  </w:style>
  <w:style w:type="character" w:customStyle="1" w:styleId="56">
    <w:name w:val="标题 5 字符"/>
    <w:link w:val="10"/>
    <w:autoRedefine/>
    <w:qFormat/>
    <w:uiPriority w:val="9"/>
    <w:rPr>
      <w:rFonts w:ascii="华文中宋" w:hAnsi="华文中宋" w:eastAsia="华文中宋"/>
      <w:b/>
      <w:bCs/>
      <w:sz w:val="28"/>
      <w:szCs w:val="28"/>
    </w:rPr>
  </w:style>
  <w:style w:type="character" w:customStyle="1" w:styleId="57">
    <w:name w:val="标题 8 字符"/>
    <w:link w:val="11"/>
    <w:autoRedefine/>
    <w:qFormat/>
    <w:uiPriority w:val="0"/>
    <w:rPr>
      <w:rFonts w:ascii="Times New Roman" w:hAnsi="Times New Roman"/>
      <w:b/>
      <w:bCs/>
      <w:color w:val="FFFFFF"/>
      <w:kern w:val="2"/>
      <w:sz w:val="21"/>
      <w:szCs w:val="18"/>
    </w:rPr>
  </w:style>
  <w:style w:type="character" w:customStyle="1" w:styleId="58">
    <w:name w:val="标题 9 字符"/>
    <w:link w:val="12"/>
    <w:autoRedefine/>
    <w:qFormat/>
    <w:uiPriority w:val="0"/>
    <w:rPr>
      <w:rFonts w:ascii="Arial" w:hAnsi="Arial" w:cs="Arial"/>
      <w:b/>
      <w:bCs/>
      <w:color w:val="000000"/>
      <w:kern w:val="2"/>
      <w:sz w:val="15"/>
      <w:szCs w:val="26"/>
    </w:rPr>
  </w:style>
  <w:style w:type="character" w:customStyle="1" w:styleId="59">
    <w:name w:val="文档结构图 字符"/>
    <w:link w:val="15"/>
    <w:autoRedefine/>
    <w:qFormat/>
    <w:uiPriority w:val="0"/>
    <w:rPr>
      <w:rFonts w:ascii="宋体" w:hAnsi="Times New Roman"/>
      <w:kern w:val="2"/>
      <w:sz w:val="18"/>
      <w:szCs w:val="18"/>
    </w:rPr>
  </w:style>
  <w:style w:type="character" w:customStyle="1" w:styleId="60">
    <w:name w:val="批注文字 字符"/>
    <w:link w:val="16"/>
    <w:autoRedefine/>
    <w:qFormat/>
    <w:uiPriority w:val="99"/>
    <w:rPr>
      <w:rFonts w:ascii="Times New Roman" w:hAnsi="Times New Roman"/>
      <w:kern w:val="2"/>
      <w:sz w:val="21"/>
      <w:szCs w:val="24"/>
    </w:rPr>
  </w:style>
  <w:style w:type="character" w:customStyle="1" w:styleId="61">
    <w:name w:val="正文文本缩进 字符"/>
    <w:link w:val="17"/>
    <w:autoRedefine/>
    <w:qFormat/>
    <w:uiPriority w:val="0"/>
    <w:rPr>
      <w:rFonts w:ascii="Times New Roman" w:hAnsi="Times New Roman"/>
      <w:kern w:val="2"/>
      <w:sz w:val="24"/>
    </w:rPr>
  </w:style>
  <w:style w:type="character" w:customStyle="1" w:styleId="62">
    <w:name w:val="纯文本 字符"/>
    <w:link w:val="22"/>
    <w:autoRedefine/>
    <w:semiHidden/>
    <w:qFormat/>
    <w:locked/>
    <w:uiPriority w:val="0"/>
    <w:rPr>
      <w:rFonts w:ascii="宋体" w:hAnsi="Courier New"/>
      <w:kern w:val="2"/>
      <w:sz w:val="21"/>
    </w:rPr>
  </w:style>
  <w:style w:type="character" w:customStyle="1" w:styleId="63">
    <w:name w:val="日期 字符"/>
    <w:link w:val="25"/>
    <w:autoRedefine/>
    <w:qFormat/>
    <w:uiPriority w:val="0"/>
    <w:rPr>
      <w:rFonts w:ascii="Times New Roman" w:hAnsi="Times New Roman" w:eastAsia="宋体" w:cs="Times New Roman"/>
      <w:szCs w:val="24"/>
    </w:rPr>
  </w:style>
  <w:style w:type="character" w:customStyle="1" w:styleId="64">
    <w:name w:val="正文文本缩进 2 字符"/>
    <w:link w:val="26"/>
    <w:autoRedefine/>
    <w:semiHidden/>
    <w:qFormat/>
    <w:uiPriority w:val="99"/>
    <w:rPr>
      <w:rFonts w:ascii="Times New Roman" w:hAnsi="Times New Roman"/>
      <w:kern w:val="2"/>
      <w:sz w:val="21"/>
      <w:szCs w:val="24"/>
    </w:rPr>
  </w:style>
  <w:style w:type="character" w:customStyle="1" w:styleId="65">
    <w:name w:val="批注框文本 字符"/>
    <w:link w:val="27"/>
    <w:autoRedefine/>
    <w:qFormat/>
    <w:uiPriority w:val="99"/>
    <w:rPr>
      <w:rFonts w:ascii="Times New Roman" w:hAnsi="Times New Roman" w:eastAsia="宋体" w:cs="Times New Roman"/>
      <w:sz w:val="18"/>
      <w:szCs w:val="18"/>
    </w:rPr>
  </w:style>
  <w:style w:type="character" w:customStyle="1" w:styleId="66">
    <w:name w:val="页脚 字符"/>
    <w:link w:val="28"/>
    <w:autoRedefine/>
    <w:qFormat/>
    <w:uiPriority w:val="0"/>
    <w:rPr>
      <w:rFonts w:ascii="Times New Roman" w:hAnsi="Times New Roman" w:eastAsia="宋体" w:cs="Times New Roman"/>
      <w:sz w:val="18"/>
      <w:szCs w:val="18"/>
    </w:rPr>
  </w:style>
  <w:style w:type="character" w:customStyle="1" w:styleId="67">
    <w:name w:val="页眉 字符"/>
    <w:link w:val="29"/>
    <w:autoRedefine/>
    <w:qFormat/>
    <w:uiPriority w:val="99"/>
    <w:rPr>
      <w:rFonts w:ascii="Times New Roman" w:hAnsi="Times New Roman" w:eastAsia="宋体" w:cs="Times New Roman"/>
      <w:sz w:val="18"/>
      <w:szCs w:val="18"/>
    </w:rPr>
  </w:style>
  <w:style w:type="character" w:customStyle="1" w:styleId="68">
    <w:name w:val="脚注文本 字符"/>
    <w:basedOn w:val="42"/>
    <w:link w:val="32"/>
    <w:autoRedefine/>
    <w:qFormat/>
    <w:uiPriority w:val="99"/>
    <w:rPr>
      <w:rFonts w:ascii="Times New Roman" w:hAnsi="Times New Roman"/>
      <w:kern w:val="2"/>
      <w:sz w:val="18"/>
      <w:szCs w:val="18"/>
    </w:rPr>
  </w:style>
  <w:style w:type="character" w:customStyle="1" w:styleId="69">
    <w:name w:val="正文文本缩进 3 字符"/>
    <w:link w:val="33"/>
    <w:autoRedefine/>
    <w:qFormat/>
    <w:uiPriority w:val="0"/>
    <w:rPr>
      <w:rFonts w:ascii="方正细圆简体" w:hAnsi="Times New Roman" w:eastAsia="方正细圆简体"/>
      <w:kern w:val="2"/>
      <w:sz w:val="24"/>
      <w:szCs w:val="24"/>
    </w:rPr>
  </w:style>
  <w:style w:type="character" w:customStyle="1" w:styleId="70">
    <w:name w:val="标题 字符"/>
    <w:link w:val="37"/>
    <w:autoRedefine/>
    <w:qFormat/>
    <w:uiPriority w:val="0"/>
    <w:rPr>
      <w:rFonts w:ascii="Cambria" w:hAnsi="Cambria" w:eastAsia="华文中宋"/>
      <w:b/>
      <w:bCs/>
      <w:kern w:val="2"/>
      <w:sz w:val="44"/>
      <w:szCs w:val="32"/>
    </w:rPr>
  </w:style>
  <w:style w:type="character" w:customStyle="1" w:styleId="71">
    <w:name w:val="批注主题 字符"/>
    <w:link w:val="38"/>
    <w:autoRedefine/>
    <w:qFormat/>
    <w:uiPriority w:val="99"/>
    <w:rPr>
      <w:rFonts w:ascii="Times New Roman" w:hAnsi="Times New Roman"/>
      <w:b/>
      <w:bCs/>
      <w:kern w:val="2"/>
      <w:sz w:val="21"/>
      <w:szCs w:val="24"/>
    </w:rPr>
  </w:style>
  <w:style w:type="character" w:customStyle="1" w:styleId="72">
    <w:name w:val="标题3 Char"/>
    <w:link w:val="73"/>
    <w:autoRedefine/>
    <w:qFormat/>
    <w:uiPriority w:val="0"/>
    <w:rPr>
      <w:rFonts w:ascii="宋体" w:hAnsi="宋体" w:eastAsia="华文中宋" w:cs="Arial"/>
      <w:b/>
      <w:sz w:val="24"/>
      <w:szCs w:val="24"/>
    </w:rPr>
  </w:style>
  <w:style w:type="paragraph" w:customStyle="1" w:styleId="73">
    <w:name w:val="标题3"/>
    <w:basedOn w:val="1"/>
    <w:next w:val="1"/>
    <w:link w:val="72"/>
    <w:autoRedefine/>
    <w:qFormat/>
    <w:uiPriority w:val="0"/>
    <w:pPr>
      <w:widowControl/>
      <w:jc w:val="left"/>
    </w:pPr>
    <w:rPr>
      <w:rFonts w:ascii="宋体" w:hAnsi="宋体" w:eastAsia="华文中宋"/>
      <w:b/>
      <w:kern w:val="0"/>
    </w:rPr>
  </w:style>
  <w:style w:type="character" w:customStyle="1" w:styleId="74">
    <w:name w:val="段 Char"/>
    <w:link w:val="75"/>
    <w:autoRedefine/>
    <w:qFormat/>
    <w:uiPriority w:val="0"/>
    <w:rPr>
      <w:rFonts w:ascii="宋体" w:hAnsi="Times New Roman"/>
      <w:sz w:val="21"/>
      <w:lang w:bidi="ar-SA"/>
    </w:rPr>
  </w:style>
  <w:style w:type="paragraph" w:customStyle="1" w:styleId="75">
    <w:name w:val="段"/>
    <w:link w:val="7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6">
    <w:name w:val="一级条标题 Char"/>
    <w:link w:val="77"/>
    <w:autoRedefine/>
    <w:qFormat/>
    <w:uiPriority w:val="0"/>
    <w:rPr>
      <w:rFonts w:ascii="黑体" w:hAnsi="Times New Roman" w:eastAsia="黑体"/>
      <w:sz w:val="21"/>
    </w:rPr>
  </w:style>
  <w:style w:type="paragraph" w:customStyle="1" w:styleId="77">
    <w:name w:val="一级条标题"/>
    <w:basedOn w:val="1"/>
    <w:next w:val="75"/>
    <w:link w:val="76"/>
    <w:autoRedefine/>
    <w:qFormat/>
    <w:uiPriority w:val="0"/>
    <w:pPr>
      <w:widowControl/>
      <w:tabs>
        <w:tab w:val="left" w:pos="1200"/>
      </w:tabs>
      <w:ind w:left="1200" w:hanging="420"/>
      <w:outlineLvl w:val="2"/>
    </w:pPr>
    <w:rPr>
      <w:rFonts w:ascii="黑体" w:eastAsia="黑体"/>
      <w:kern w:val="0"/>
      <w:szCs w:val="20"/>
    </w:rPr>
  </w:style>
  <w:style w:type="character" w:customStyle="1" w:styleId="78">
    <w:name w:val="批注引用4"/>
    <w:autoRedefine/>
    <w:qFormat/>
    <w:uiPriority w:val="0"/>
    <w:rPr>
      <w:sz w:val="21"/>
      <w:szCs w:val="21"/>
    </w:rPr>
  </w:style>
  <w:style w:type="character" w:customStyle="1" w:styleId="79">
    <w:name w:val="lf3"/>
    <w:basedOn w:val="42"/>
    <w:autoRedefine/>
    <w:qFormat/>
    <w:uiPriority w:val="0"/>
  </w:style>
  <w:style w:type="character" w:customStyle="1" w:styleId="80">
    <w:name w:val="批注引用6"/>
    <w:basedOn w:val="42"/>
    <w:autoRedefine/>
    <w:qFormat/>
    <w:uiPriority w:val="0"/>
    <w:rPr>
      <w:sz w:val="21"/>
      <w:szCs w:val="21"/>
    </w:rPr>
  </w:style>
  <w:style w:type="character" w:customStyle="1" w:styleId="81">
    <w:name w:val="批注引用2"/>
    <w:basedOn w:val="42"/>
    <w:autoRedefine/>
    <w:qFormat/>
    <w:uiPriority w:val="0"/>
    <w:rPr>
      <w:sz w:val="21"/>
      <w:szCs w:val="21"/>
    </w:rPr>
  </w:style>
  <w:style w:type="character" w:customStyle="1" w:styleId="82">
    <w:name w:val="批注引用1"/>
    <w:autoRedefine/>
    <w:qFormat/>
    <w:uiPriority w:val="0"/>
    <w:rPr>
      <w:sz w:val="21"/>
      <w:szCs w:val="21"/>
    </w:rPr>
  </w:style>
  <w:style w:type="character" w:customStyle="1" w:styleId="83">
    <w:name w:val="正文首缩两字 Char1"/>
    <w:basedOn w:val="42"/>
    <w:link w:val="84"/>
    <w:autoRedefine/>
    <w:qFormat/>
    <w:uiPriority w:val="0"/>
    <w:rPr>
      <w:rFonts w:ascii="Verdana" w:hAnsi="Verdana"/>
      <w:sz w:val="24"/>
      <w:szCs w:val="24"/>
    </w:rPr>
  </w:style>
  <w:style w:type="paragraph" w:customStyle="1" w:styleId="84">
    <w:name w:val="正文首缩两字"/>
    <w:basedOn w:val="1"/>
    <w:link w:val="83"/>
    <w:autoRedefine/>
    <w:qFormat/>
    <w:uiPriority w:val="0"/>
    <w:pPr>
      <w:ind w:firstLine="200" w:firstLineChars="200"/>
    </w:pPr>
    <w:rPr>
      <w:rFonts w:ascii="Verdana" w:hAnsi="Verdana" w:eastAsia="宋体"/>
      <w:kern w:val="0"/>
    </w:rPr>
  </w:style>
  <w:style w:type="character" w:customStyle="1" w:styleId="85">
    <w:name w:val="批注引用11"/>
    <w:autoRedefine/>
    <w:qFormat/>
    <w:uiPriority w:val="0"/>
    <w:rPr>
      <w:rFonts w:cs="Times New Roman"/>
      <w:sz w:val="21"/>
      <w:szCs w:val="21"/>
    </w:rPr>
  </w:style>
  <w:style w:type="character" w:customStyle="1" w:styleId="86">
    <w:name w:val="列表段落 字符"/>
    <w:link w:val="87"/>
    <w:autoRedefine/>
    <w:qFormat/>
    <w:uiPriority w:val="0"/>
    <w:rPr>
      <w:kern w:val="2"/>
      <w:sz w:val="21"/>
      <w:szCs w:val="22"/>
    </w:rPr>
  </w:style>
  <w:style w:type="paragraph" w:styleId="87">
    <w:name w:val="List Paragraph"/>
    <w:basedOn w:val="1"/>
    <w:link w:val="86"/>
    <w:autoRedefine/>
    <w:qFormat/>
    <w:uiPriority w:val="0"/>
    <w:pPr>
      <w:ind w:firstLine="420" w:firstLineChars="200"/>
    </w:pPr>
    <w:rPr>
      <w:rFonts w:ascii="Calibri" w:hAnsi="Calibri" w:eastAsia="宋体"/>
      <w:szCs w:val="22"/>
    </w:rPr>
  </w:style>
  <w:style w:type="character" w:customStyle="1" w:styleId="88">
    <w:name w:val="批注引用3"/>
    <w:autoRedefine/>
    <w:qFormat/>
    <w:uiPriority w:val="0"/>
    <w:rPr>
      <w:rFonts w:cs="Times New Roman"/>
      <w:sz w:val="21"/>
      <w:szCs w:val="21"/>
    </w:rPr>
  </w:style>
  <w:style w:type="character" w:customStyle="1" w:styleId="89">
    <w:name w:val="样式1 Char Char"/>
    <w:link w:val="90"/>
    <w:autoRedefine/>
    <w:qFormat/>
    <w:uiPriority w:val="0"/>
    <w:rPr>
      <w:rFonts w:ascii="Arial" w:hAnsi="Arial"/>
      <w:kern w:val="2"/>
      <w:sz w:val="21"/>
      <w:szCs w:val="24"/>
    </w:rPr>
  </w:style>
  <w:style w:type="paragraph" w:customStyle="1" w:styleId="90">
    <w:name w:val="样式1"/>
    <w:basedOn w:val="1"/>
    <w:link w:val="89"/>
    <w:autoRedefine/>
    <w:qFormat/>
    <w:uiPriority w:val="0"/>
    <w:pPr>
      <w:spacing w:line="360" w:lineRule="exact"/>
      <w:ind w:firstLine="200" w:firstLineChars="200"/>
    </w:pPr>
    <w:rPr>
      <w:rFonts w:ascii="Arial" w:hAnsi="Arial" w:eastAsia="宋体"/>
    </w:rPr>
  </w:style>
  <w:style w:type="character" w:customStyle="1" w:styleId="91">
    <w:name w:val="自定义正文 Char"/>
    <w:link w:val="92"/>
    <w:autoRedefine/>
    <w:qFormat/>
    <w:uiPriority w:val="0"/>
    <w:rPr>
      <w:kern w:val="2"/>
      <w:sz w:val="24"/>
    </w:rPr>
  </w:style>
  <w:style w:type="paragraph" w:customStyle="1" w:styleId="92">
    <w:name w:val="自定义正文"/>
    <w:basedOn w:val="1"/>
    <w:link w:val="91"/>
    <w:autoRedefine/>
    <w:qFormat/>
    <w:uiPriority w:val="0"/>
    <w:pPr>
      <w:spacing w:afterLines="50"/>
      <w:ind w:firstLine="200" w:firstLineChars="200"/>
      <w:jc w:val="left"/>
    </w:pPr>
    <w:rPr>
      <w:rFonts w:ascii="Calibri" w:hAnsi="Calibri" w:eastAsia="宋体"/>
      <w:szCs w:val="20"/>
    </w:rPr>
  </w:style>
  <w:style w:type="character" w:customStyle="1" w:styleId="93">
    <w:name w:val="font21"/>
    <w:autoRedefine/>
    <w:qFormat/>
    <w:uiPriority w:val="0"/>
    <w:rPr>
      <w:rFonts w:hint="eastAsia" w:ascii="宋体" w:hAnsi="宋体" w:eastAsia="宋体" w:cs="宋体"/>
      <w:color w:val="000000"/>
      <w:sz w:val="20"/>
      <w:szCs w:val="20"/>
      <w:u w:val="none"/>
    </w:rPr>
  </w:style>
  <w:style w:type="character" w:customStyle="1" w:styleId="94">
    <w:name w:val="style15"/>
    <w:basedOn w:val="42"/>
    <w:autoRedefine/>
    <w:qFormat/>
    <w:uiPriority w:val="0"/>
  </w:style>
  <w:style w:type="character" w:customStyle="1" w:styleId="95">
    <w:name w:val="font31"/>
    <w:autoRedefine/>
    <w:qFormat/>
    <w:uiPriority w:val="0"/>
    <w:rPr>
      <w:rFonts w:hint="eastAsia" w:ascii="宋体" w:hAnsi="宋体" w:eastAsia="宋体" w:cs="宋体"/>
      <w:color w:val="FF0000"/>
      <w:sz w:val="20"/>
      <w:szCs w:val="20"/>
      <w:u w:val="none"/>
    </w:rPr>
  </w:style>
  <w:style w:type="character" w:customStyle="1" w:styleId="96">
    <w:name w:val="SANGFOR_6_正文 Char"/>
    <w:link w:val="97"/>
    <w:autoRedefine/>
    <w:qFormat/>
    <w:locked/>
    <w:uiPriority w:val="0"/>
    <w:rPr>
      <w:rFonts w:ascii="宋体" w:hAnsi="宋体"/>
      <w:sz w:val="28"/>
      <w:szCs w:val="28"/>
    </w:rPr>
  </w:style>
  <w:style w:type="paragraph" w:customStyle="1" w:styleId="97">
    <w:name w:val="SANGFOR_6_正文"/>
    <w:basedOn w:val="1"/>
    <w:link w:val="96"/>
    <w:autoRedefine/>
    <w:qFormat/>
    <w:uiPriority w:val="0"/>
    <w:pPr>
      <w:ind w:left="420"/>
      <w:jc w:val="left"/>
    </w:pPr>
    <w:rPr>
      <w:rFonts w:ascii="宋体" w:hAnsi="宋体" w:eastAsia="宋体"/>
      <w:kern w:val="0"/>
      <w:sz w:val="28"/>
      <w:szCs w:val="28"/>
    </w:rPr>
  </w:style>
  <w:style w:type="character" w:customStyle="1" w:styleId="98">
    <w:name w:val="纯文本 Char"/>
    <w:autoRedefine/>
    <w:qFormat/>
    <w:uiPriority w:val="0"/>
    <w:rPr>
      <w:rFonts w:ascii="宋体" w:hAnsi="Courier New" w:cs="Courier New"/>
      <w:kern w:val="2"/>
      <w:sz w:val="21"/>
      <w:szCs w:val="21"/>
    </w:rPr>
  </w:style>
  <w:style w:type="character" w:customStyle="1" w:styleId="99">
    <w:name w:val="列出段落 字符"/>
    <w:qFormat/>
    <w:uiPriority w:val="0"/>
    <w:rPr>
      <w:rFonts w:ascii="Calibri" w:hAnsi="Calibri" w:eastAsia="宋体" w:cs="Times New Roman"/>
      <w:kern w:val="0"/>
      <w:sz w:val="20"/>
      <w:szCs w:val="20"/>
    </w:rPr>
  </w:style>
  <w:style w:type="character" w:customStyle="1" w:styleId="100">
    <w:name w:val="16"/>
    <w:autoRedefine/>
    <w:qFormat/>
    <w:uiPriority w:val="0"/>
    <w:rPr>
      <w:rFonts w:hint="default" w:ascii="Calibri" w:hAnsi="Calibri"/>
      <w:sz w:val="21"/>
      <w:szCs w:val="21"/>
    </w:rPr>
  </w:style>
  <w:style w:type="character" w:customStyle="1" w:styleId="101">
    <w:name w:val="font61"/>
    <w:autoRedefine/>
    <w:qFormat/>
    <w:uiPriority w:val="0"/>
    <w:rPr>
      <w:rFonts w:ascii="Arial" w:hAnsi="Arial" w:cs="Arial"/>
      <w:color w:val="000000"/>
      <w:sz w:val="20"/>
      <w:szCs w:val="20"/>
      <w:u w:val="none"/>
    </w:rPr>
  </w:style>
  <w:style w:type="character" w:customStyle="1" w:styleId="102">
    <w:name w:val="正文2 Char"/>
    <w:link w:val="103"/>
    <w:autoRedefine/>
    <w:qFormat/>
    <w:uiPriority w:val="0"/>
    <w:rPr>
      <w:kern w:val="2"/>
      <w:sz w:val="24"/>
    </w:rPr>
  </w:style>
  <w:style w:type="paragraph" w:customStyle="1" w:styleId="103">
    <w:name w:val="正文2"/>
    <w:basedOn w:val="1"/>
    <w:link w:val="102"/>
    <w:autoRedefine/>
    <w:qFormat/>
    <w:uiPriority w:val="0"/>
    <w:pPr>
      <w:spacing w:before="156"/>
      <w:ind w:firstLine="510" w:firstLineChars="200"/>
    </w:pPr>
    <w:rPr>
      <w:rFonts w:ascii="Calibri" w:hAnsi="Calibri" w:eastAsia="宋体"/>
      <w:szCs w:val="20"/>
    </w:rPr>
  </w:style>
  <w:style w:type="character" w:customStyle="1" w:styleId="104">
    <w:name w:val="批注引用5"/>
    <w:autoRedefine/>
    <w:qFormat/>
    <w:uiPriority w:val="0"/>
    <w:rPr>
      <w:sz w:val="21"/>
      <w:szCs w:val="21"/>
    </w:rPr>
  </w:style>
  <w:style w:type="character" w:customStyle="1" w:styleId="105">
    <w:name w:val="样式 样式 正文首行缩进 + 首行缩进:  2 字符 + 首行缩进:  2 字符 Char"/>
    <w:link w:val="106"/>
    <w:qFormat/>
    <w:uiPriority w:val="0"/>
    <w:rPr>
      <w:rFonts w:cs="宋体"/>
      <w:kern w:val="2"/>
      <w:sz w:val="24"/>
    </w:rPr>
  </w:style>
  <w:style w:type="paragraph" w:customStyle="1" w:styleId="106">
    <w:name w:val="样式 样式 正文首行缩进 + 首行缩进:  2 字符 + 首行缩进:  2 字符"/>
    <w:basedOn w:val="1"/>
    <w:link w:val="105"/>
    <w:autoRedefine/>
    <w:qFormat/>
    <w:uiPriority w:val="0"/>
    <w:pPr>
      <w:spacing w:line="440" w:lineRule="exact"/>
      <w:ind w:firstLine="200" w:firstLineChars="200"/>
    </w:pPr>
    <w:rPr>
      <w:rFonts w:ascii="Calibri" w:hAnsi="Calibri" w:eastAsia="宋体"/>
      <w:szCs w:val="20"/>
    </w:rPr>
  </w:style>
  <w:style w:type="character" w:customStyle="1" w:styleId="107">
    <w:name w:val="15"/>
    <w:autoRedefine/>
    <w:qFormat/>
    <w:uiPriority w:val="0"/>
    <w:rPr>
      <w:rFonts w:hint="default" w:ascii="Calibri" w:hAnsi="Calibri"/>
      <w:sz w:val="18"/>
      <w:szCs w:val="18"/>
    </w:rPr>
  </w:style>
  <w:style w:type="character" w:customStyle="1" w:styleId="108">
    <w:name w:val="font71"/>
    <w:qFormat/>
    <w:uiPriority w:val="0"/>
    <w:rPr>
      <w:rFonts w:hint="default" w:ascii="Times New Roman" w:hAnsi="Times New Roman" w:eastAsia="楷体_GB2312" w:cs="Times New Roman"/>
      <w:sz w:val="28"/>
      <w:szCs w:val="24"/>
    </w:rPr>
  </w:style>
  <w:style w:type="character" w:customStyle="1" w:styleId="109">
    <w:name w:val="g1"/>
    <w:autoRedefine/>
    <w:qFormat/>
    <w:uiPriority w:val="0"/>
    <w:rPr>
      <w:color w:val="008000"/>
    </w:rPr>
  </w:style>
  <w:style w:type="character" w:customStyle="1" w:styleId="110">
    <w:name w:val="textnormchn1"/>
    <w:basedOn w:val="42"/>
    <w:qFormat/>
    <w:uiPriority w:val="0"/>
  </w:style>
  <w:style w:type="character" w:customStyle="1" w:styleId="111">
    <w:name w:val="font121"/>
    <w:autoRedefine/>
    <w:qFormat/>
    <w:uiPriority w:val="0"/>
    <w:rPr>
      <w:rFonts w:hint="default" w:ascii="???" w:hAnsi="???"/>
      <w:color w:val="333333"/>
      <w:sz w:val="18"/>
      <w:szCs w:val="18"/>
      <w:u w:val="none"/>
    </w:rPr>
  </w:style>
  <w:style w:type="character" w:customStyle="1" w:styleId="112">
    <w:name w:val="17"/>
    <w:autoRedefine/>
    <w:qFormat/>
    <w:uiPriority w:val="0"/>
    <w:rPr>
      <w:rFonts w:hint="default" w:ascii="Calibri" w:hAnsi="Calibri"/>
      <w:sz w:val="21"/>
      <w:szCs w:val="21"/>
    </w:rPr>
  </w:style>
  <w:style w:type="character" w:customStyle="1" w:styleId="113">
    <w:name w:val="Char Char7"/>
    <w:autoRedefine/>
    <w:qFormat/>
    <w:uiPriority w:val="0"/>
    <w:rPr>
      <w:rFonts w:ascii="Cambria" w:hAnsi="Cambria" w:eastAsia="仿宋_GB2312"/>
      <w:b/>
      <w:bCs/>
      <w:kern w:val="2"/>
      <w:sz w:val="24"/>
      <w:szCs w:val="28"/>
      <w:lang w:bidi="ar-SA"/>
    </w:rPr>
  </w:style>
  <w:style w:type="character" w:customStyle="1" w:styleId="114">
    <w:name w:val="bsharetext"/>
    <w:basedOn w:val="42"/>
    <w:autoRedefine/>
    <w:qFormat/>
    <w:uiPriority w:val="0"/>
  </w:style>
  <w:style w:type="character" w:customStyle="1" w:styleId="115">
    <w:name w:val="批注引用51"/>
    <w:basedOn w:val="42"/>
    <w:autoRedefine/>
    <w:qFormat/>
    <w:uiPriority w:val="0"/>
    <w:rPr>
      <w:sz w:val="21"/>
      <w:szCs w:val="21"/>
    </w:rPr>
  </w:style>
  <w:style w:type="character" w:customStyle="1" w:styleId="116">
    <w:name w:val="apple-converted-space"/>
    <w:basedOn w:val="42"/>
    <w:autoRedefine/>
    <w:qFormat/>
    <w:uiPriority w:val="0"/>
  </w:style>
  <w:style w:type="paragraph" w:customStyle="1" w:styleId="117">
    <w:name w:val="Char3 Char Char 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118">
    <w:name w:val="p0"/>
    <w:basedOn w:val="1"/>
    <w:qFormat/>
    <w:uiPriority w:val="0"/>
    <w:pPr>
      <w:widowControl/>
      <w:spacing w:before="100" w:beforeAutospacing="1" w:after="100" w:afterAutospacing="1"/>
      <w:jc w:val="left"/>
    </w:pPr>
    <w:rPr>
      <w:rFonts w:ascii="宋体" w:hAnsi="宋体" w:cs="宋体"/>
      <w:kern w:val="0"/>
    </w:rPr>
  </w:style>
  <w:style w:type="paragraph" w:customStyle="1" w:styleId="119">
    <w:name w:val="msolistparagraph"/>
    <w:basedOn w:val="1"/>
    <w:autoRedefine/>
    <w:qFormat/>
    <w:uiPriority w:val="0"/>
    <w:pPr>
      <w:ind w:firstLine="420" w:firstLineChars="200"/>
    </w:pPr>
    <w:rPr>
      <w:szCs w:val="20"/>
    </w:rPr>
  </w:style>
  <w:style w:type="paragraph" w:customStyle="1" w:styleId="120">
    <w:name w:val="_Style 2"/>
    <w:basedOn w:val="1"/>
    <w:autoRedefine/>
    <w:qFormat/>
    <w:uiPriority w:val="34"/>
    <w:pPr>
      <w:ind w:firstLine="420" w:firstLineChars="200"/>
    </w:pPr>
  </w:style>
  <w:style w:type="paragraph" w:customStyle="1" w:styleId="121">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122">
    <w:name w:val="p21"/>
    <w:basedOn w:val="1"/>
    <w:autoRedefine/>
    <w:qFormat/>
    <w:uiPriority w:val="0"/>
    <w:pPr>
      <w:widowControl/>
      <w:ind w:firstLine="420"/>
    </w:pPr>
    <w:rPr>
      <w:rFonts w:cs="宋体"/>
      <w:kern w:val="0"/>
      <w:szCs w:val="21"/>
    </w:rPr>
  </w:style>
  <w:style w:type="paragraph" w:customStyle="1" w:styleId="123">
    <w:name w:val="content"/>
    <w:basedOn w:val="1"/>
    <w:autoRedefine/>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124">
    <w:name w:val="说明书3级标题"/>
    <w:basedOn w:val="1"/>
    <w:next w:val="1"/>
    <w:autoRedefine/>
    <w:qFormat/>
    <w:uiPriority w:val="0"/>
    <w:pPr>
      <w:tabs>
        <w:tab w:val="left" w:pos="1572"/>
      </w:tabs>
      <w:ind w:left="1572" w:hanging="720"/>
    </w:pPr>
    <w:rPr>
      <w:rFonts w:eastAsia="黑体"/>
    </w:rPr>
  </w:style>
  <w:style w:type="paragraph" w:customStyle="1" w:styleId="125">
    <w:name w:val="列出段落1"/>
    <w:basedOn w:val="1"/>
    <w:autoRedefine/>
    <w:qFormat/>
    <w:uiPriority w:val="34"/>
    <w:pPr>
      <w:ind w:firstLine="420" w:firstLineChars="200"/>
    </w:pPr>
    <w:rPr>
      <w:szCs w:val="20"/>
    </w:rPr>
  </w:style>
  <w:style w:type="paragraph" w:customStyle="1" w:styleId="126">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27">
    <w:name w:val="Char Char Char Char"/>
    <w:basedOn w:val="15"/>
    <w:autoRedefine/>
    <w:qFormat/>
    <w:uiPriority w:val="0"/>
    <w:pPr>
      <w:shd w:val="clear" w:color="auto" w:fill="000080"/>
      <w:adjustRightInd w:val="0"/>
      <w:snapToGrid w:val="0"/>
    </w:pPr>
    <w:rPr>
      <w:rFonts w:ascii="Times New Roman"/>
      <w:sz w:val="21"/>
      <w:szCs w:val="24"/>
    </w:rPr>
  </w:style>
  <w:style w:type="paragraph" w:customStyle="1" w:styleId="128">
    <w:name w:val="newp"/>
    <w:basedOn w:val="1"/>
    <w:autoRedefine/>
    <w:qFormat/>
    <w:uiPriority w:val="0"/>
    <w:pPr>
      <w:widowControl/>
      <w:spacing w:before="100" w:beforeAutospacing="1" w:after="100" w:afterAutospacing="1" w:line="240" w:lineRule="auto"/>
      <w:jc w:val="left"/>
    </w:pPr>
    <w:rPr>
      <w:rFonts w:ascii="宋体" w:hAnsi="宋体" w:eastAsia="宋体" w:cs="宋体"/>
      <w:kern w:val="0"/>
    </w:rPr>
  </w:style>
  <w:style w:type="paragraph" w:customStyle="1" w:styleId="129">
    <w:name w:val="普通(网站)1"/>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30">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31">
    <w:name w:val="样式 宋体 小四 黑色 行距: 1.5 倍行距1"/>
    <w:basedOn w:val="1"/>
    <w:autoRedefine/>
    <w:qFormat/>
    <w:uiPriority w:val="0"/>
    <w:pPr>
      <w:ind w:firstLine="480" w:firstLineChars="200"/>
    </w:pPr>
    <w:rPr>
      <w:rFonts w:ascii="宋体" w:hAnsi="宋体" w:cs="宋体"/>
      <w:color w:val="000000"/>
      <w:kern w:val="0"/>
      <w:szCs w:val="20"/>
    </w:rPr>
  </w:style>
  <w:style w:type="paragraph" w:customStyle="1" w:styleId="132">
    <w:name w:val="a2"/>
    <w:basedOn w:val="1"/>
    <w:autoRedefine/>
    <w:qFormat/>
    <w:uiPriority w:val="0"/>
    <w:pPr>
      <w:widowControl/>
      <w:spacing w:before="100" w:beforeAutospacing="1" w:after="100" w:afterAutospacing="1"/>
      <w:jc w:val="left"/>
    </w:pPr>
    <w:rPr>
      <w:rFonts w:ascii="Arial Unicode MS" w:hAnsi="Arial Unicode MS"/>
      <w:kern w:val="0"/>
    </w:rPr>
  </w:style>
  <w:style w:type="character" w:customStyle="1" w:styleId="133">
    <w:name w:val="bookmark-item"/>
    <w:basedOn w:val="4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385</Words>
  <Characters>427</Characters>
  <Lines>144</Lines>
  <Paragraphs>40</Paragraphs>
  <TotalTime>42</TotalTime>
  <ScaleCrop>false</ScaleCrop>
  <LinksUpToDate>false</LinksUpToDate>
  <CharactersWithSpaces>490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2016-07-11T20:15:00Z</dcterms:created>
  <dc:creator>谢武剑-浙江省成套招标代理有限公司</dc:creator>
  <cp:lastModifiedBy>韩玲建</cp:lastModifiedBy>
  <cp:lastPrinted>2023-01-19T01:44:00Z</cp:lastPrinted>
  <dcterms:modified xsi:type="dcterms:W3CDTF">2025-02-08T06:58:16Z</dcterms:modified>
  <dc:title>杭州市拱墅区政府采购</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D91DD323FC6B40F89BD98BCE9C800B99</vt:lpwstr>
  </property>
  <property fmtid="{D5CDD505-2E9C-101B-9397-08002B2CF9AE}" pid="4" name="KSOTemplateDocerSaveRecord">
    <vt:lpwstr>eyJoZGlkIjoiZjNkMzAyZTY4MmUwMTVjZWU4NWE0YjMwYmQ2MDY0OGIiLCJ1c2VySWQiOiI4Mjg1NzQzNTEifQ==</vt:lpwstr>
  </property>
</Properties>
</file>