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B26213">
      <w:pPr>
        <w:pStyle w:val="6"/>
        <w:shd w:val="clear" w:color="auto" w:fill="FFFFFF"/>
        <w:spacing w:before="0" w:after="0" w:line="240" w:lineRule="auto"/>
        <w:ind w:left="2850" w:leftChars="500" w:hanging="1800" w:hangingChars="500"/>
        <w:jc w:val="left"/>
        <w:rPr>
          <w:rFonts w:ascii="仿宋_GB2312" w:eastAsia="仿宋_GB2312"/>
          <w:b w:val="0"/>
          <w:color w:val="auto"/>
          <w:sz w:val="36"/>
          <w:szCs w:val="36"/>
          <w:highlight w:val="none"/>
        </w:rPr>
      </w:pPr>
    </w:p>
    <w:p w14:paraId="39CC191E">
      <w:pPr>
        <w:pStyle w:val="6"/>
        <w:shd w:val="clear" w:color="auto" w:fill="FFFFFF"/>
        <w:spacing w:before="0" w:after="0" w:line="240" w:lineRule="auto"/>
        <w:jc w:val="center"/>
        <w:rPr>
          <w:rFonts w:hint="eastAsia" w:ascii="宋体" w:hAnsi="宋体" w:eastAsia="宋体" w:cs="宋体"/>
          <w:bCs w:val="0"/>
          <w:color w:val="auto"/>
          <w:sz w:val="52"/>
          <w:szCs w:val="52"/>
          <w:highlight w:val="none"/>
          <w:lang w:eastAsia="zh-CN"/>
        </w:rPr>
      </w:pPr>
    </w:p>
    <w:p w14:paraId="07BFD40D">
      <w:pPr>
        <w:pStyle w:val="6"/>
        <w:shd w:val="clear" w:color="auto" w:fill="FFFFFF"/>
        <w:spacing w:before="0" w:after="0" w:line="240" w:lineRule="auto"/>
        <w:jc w:val="center"/>
        <w:rPr>
          <w:rFonts w:hint="eastAsia" w:ascii="宋体" w:hAnsi="宋体" w:eastAsia="宋体" w:cs="宋体"/>
          <w:b w:val="0"/>
          <w:color w:val="auto"/>
          <w:sz w:val="28"/>
          <w:szCs w:val="28"/>
          <w:highlight w:val="none"/>
          <w:lang w:eastAsia="zh-CN"/>
        </w:rPr>
      </w:pPr>
      <w:r>
        <w:rPr>
          <w:rFonts w:hint="eastAsia" w:ascii="宋体" w:hAnsi="宋体" w:eastAsia="宋体" w:cs="宋体"/>
          <w:bCs w:val="0"/>
          <w:color w:val="auto"/>
          <w:sz w:val="52"/>
          <w:szCs w:val="52"/>
          <w:highlight w:val="none"/>
          <w:lang w:eastAsia="zh-CN"/>
        </w:rPr>
        <w:t>衢州市衢江区住房和城乡建设局2025年第一期物业两金竞争性存放项目</w:t>
      </w:r>
    </w:p>
    <w:p w14:paraId="5B3E8153">
      <w:pPr>
        <w:pStyle w:val="6"/>
        <w:shd w:val="clear" w:color="auto" w:fill="FFFFFF"/>
        <w:spacing w:before="0" w:after="0" w:line="500" w:lineRule="exact"/>
        <w:ind w:left="2486" w:leftChars="1184"/>
        <w:jc w:val="left"/>
        <w:rPr>
          <w:rFonts w:ascii="宋体" w:hAnsi="宋体" w:eastAsia="宋体" w:cs="宋体"/>
          <w:b w:val="0"/>
          <w:color w:val="auto"/>
          <w:sz w:val="36"/>
          <w:szCs w:val="36"/>
          <w:highlight w:val="none"/>
        </w:rPr>
      </w:pPr>
    </w:p>
    <w:p w14:paraId="043B3F61">
      <w:pPr>
        <w:pStyle w:val="6"/>
        <w:shd w:val="clear" w:color="auto" w:fill="FFFFFF"/>
        <w:spacing w:before="0" w:after="0" w:line="500" w:lineRule="exact"/>
        <w:ind w:left="2486" w:leftChars="1184"/>
        <w:jc w:val="left"/>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项目编号：</w:t>
      </w:r>
      <w:r>
        <w:rPr>
          <w:rFonts w:hint="eastAsia" w:ascii="宋体" w:hAnsi="宋体" w:eastAsia="宋体" w:cs="宋体"/>
          <w:b/>
          <w:bCs w:val="0"/>
          <w:color w:val="auto"/>
          <w:sz w:val="36"/>
          <w:szCs w:val="36"/>
          <w:highlight w:val="none"/>
          <w:lang w:eastAsia="zh-CN"/>
        </w:rPr>
        <w:t>JWCG20250102</w:t>
      </w:r>
    </w:p>
    <w:p w14:paraId="3CCA8ABE">
      <w:pPr>
        <w:spacing w:before="600" w:beforeLines="250"/>
        <w:jc w:val="center"/>
        <w:rPr>
          <w:rFonts w:ascii="宋体" w:hAnsi="宋体" w:cs="宋体"/>
          <w:b/>
          <w:color w:val="auto"/>
          <w:sz w:val="72"/>
          <w:szCs w:val="72"/>
          <w:highlight w:val="none"/>
        </w:rPr>
      </w:pPr>
    </w:p>
    <w:p w14:paraId="7F8C72F3">
      <w:pPr>
        <w:spacing w:before="600" w:beforeLines="250"/>
        <w:jc w:val="center"/>
        <w:rPr>
          <w:rFonts w:ascii="宋体" w:hAnsi="宋体" w:cs="宋体"/>
          <w:b/>
          <w:color w:val="auto"/>
          <w:sz w:val="72"/>
          <w:szCs w:val="72"/>
          <w:highlight w:val="none"/>
        </w:rPr>
      </w:pPr>
      <w:r>
        <w:rPr>
          <w:rFonts w:hint="eastAsia" w:ascii="宋体" w:hAnsi="宋体" w:cs="宋体"/>
          <w:b/>
          <w:color w:val="auto"/>
          <w:sz w:val="90"/>
          <w:szCs w:val="90"/>
          <w:highlight w:val="none"/>
        </w:rPr>
        <w:t>招标文件</w:t>
      </w:r>
    </w:p>
    <w:p w14:paraId="09A5C126">
      <w:pPr>
        <w:pStyle w:val="6"/>
        <w:shd w:val="clear" w:color="auto" w:fill="FFFFFF"/>
        <w:spacing w:before="0" w:after="0" w:line="500" w:lineRule="exact"/>
        <w:ind w:left="2486" w:leftChars="1184"/>
        <w:jc w:val="left"/>
        <w:rPr>
          <w:rFonts w:ascii="宋体" w:hAnsi="宋体" w:eastAsia="宋体" w:cs="宋体"/>
          <w:b w:val="0"/>
          <w:color w:val="auto"/>
          <w:sz w:val="36"/>
          <w:szCs w:val="36"/>
          <w:highlight w:val="none"/>
        </w:rPr>
      </w:pPr>
      <w:bookmarkStart w:id="0" w:name="_Toc24708462"/>
    </w:p>
    <w:bookmarkEnd w:id="0"/>
    <w:p w14:paraId="0450C1DD">
      <w:pPr>
        <w:jc w:val="center"/>
        <w:rPr>
          <w:rFonts w:ascii="宋体" w:hAnsi="宋体" w:cs="宋体"/>
          <w:color w:val="auto"/>
          <w:sz w:val="28"/>
          <w:szCs w:val="28"/>
          <w:highlight w:val="none"/>
        </w:rPr>
      </w:pPr>
    </w:p>
    <w:p w14:paraId="0AFD7D23">
      <w:pPr>
        <w:rPr>
          <w:rFonts w:ascii="宋体" w:hAnsi="宋体" w:cs="宋体"/>
          <w:color w:val="auto"/>
          <w:sz w:val="28"/>
          <w:szCs w:val="28"/>
          <w:highlight w:val="none"/>
        </w:rPr>
      </w:pPr>
    </w:p>
    <w:p w14:paraId="5FC41BF6">
      <w:pPr>
        <w:rPr>
          <w:rFonts w:ascii="宋体" w:hAnsi="宋体" w:cs="宋体"/>
          <w:color w:val="auto"/>
          <w:sz w:val="28"/>
          <w:szCs w:val="28"/>
          <w:highlight w:val="none"/>
        </w:rPr>
      </w:pPr>
    </w:p>
    <w:p w14:paraId="6AA2A39B">
      <w:pPr>
        <w:rPr>
          <w:rFonts w:ascii="宋体" w:hAnsi="宋体" w:cs="宋体"/>
          <w:color w:val="auto"/>
          <w:sz w:val="28"/>
          <w:szCs w:val="28"/>
          <w:highlight w:val="none"/>
        </w:rPr>
      </w:pPr>
    </w:p>
    <w:p w14:paraId="6AD61D2E">
      <w:pPr>
        <w:pStyle w:val="61"/>
        <w:rPr>
          <w:color w:val="auto"/>
          <w:highlight w:val="none"/>
        </w:rPr>
      </w:pPr>
    </w:p>
    <w:p w14:paraId="7727D42A">
      <w:pPr>
        <w:pStyle w:val="6"/>
        <w:shd w:val="clear" w:color="auto" w:fill="FFFFFF"/>
        <w:spacing w:before="0" w:after="0" w:line="500" w:lineRule="exact"/>
        <w:ind w:left="2850" w:leftChars="500" w:hanging="1800" w:hangingChars="500"/>
        <w:jc w:val="left"/>
        <w:rPr>
          <w:rFonts w:ascii="宋体" w:hAnsi="宋体" w:eastAsia="宋体" w:cs="宋体"/>
          <w:b w:val="0"/>
          <w:color w:val="auto"/>
          <w:sz w:val="36"/>
          <w:szCs w:val="36"/>
          <w:highlight w:val="none"/>
        </w:rPr>
      </w:pPr>
      <w:bookmarkStart w:id="1" w:name="_Toc24708461"/>
    </w:p>
    <w:p w14:paraId="00E0F70D">
      <w:pPr>
        <w:rPr>
          <w:color w:val="auto"/>
          <w:highlight w:val="none"/>
        </w:rPr>
      </w:pPr>
    </w:p>
    <w:bookmarkEnd w:id="1"/>
    <w:p w14:paraId="2076ACE5">
      <w:pPr>
        <w:spacing w:line="500" w:lineRule="exact"/>
        <w:ind w:firstLine="964" w:firstLineChars="3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招标人：</w:t>
      </w:r>
      <w:r>
        <w:rPr>
          <w:rFonts w:hint="eastAsia" w:ascii="宋体" w:hAnsi="宋体" w:eastAsia="宋体" w:cs="宋体"/>
          <w:b/>
          <w:bCs/>
          <w:color w:val="auto"/>
          <w:sz w:val="32"/>
          <w:szCs w:val="32"/>
          <w:highlight w:val="none"/>
          <w:lang w:eastAsia="zh-CN"/>
        </w:rPr>
        <w:t>衢州市衢江区住房和城乡建设局</w:t>
      </w:r>
    </w:p>
    <w:p w14:paraId="223A6AFF">
      <w:pPr>
        <w:rPr>
          <w:rFonts w:hint="eastAsia" w:ascii="宋体" w:hAnsi="宋体" w:eastAsia="宋体" w:cs="宋体"/>
          <w:b/>
          <w:bCs/>
          <w:color w:val="auto"/>
          <w:sz w:val="32"/>
          <w:szCs w:val="32"/>
          <w:highlight w:val="none"/>
        </w:rPr>
      </w:pPr>
    </w:p>
    <w:p w14:paraId="09C5FB8A">
      <w:pPr>
        <w:ind w:firstLine="964" w:firstLineChars="3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招标代理机构：</w:t>
      </w:r>
      <w:r>
        <w:rPr>
          <w:rFonts w:hint="eastAsia" w:ascii="宋体" w:hAnsi="宋体" w:cs="宋体"/>
          <w:b/>
          <w:bCs/>
          <w:color w:val="auto"/>
          <w:sz w:val="32"/>
          <w:szCs w:val="32"/>
          <w:highlight w:val="none"/>
          <w:lang w:eastAsia="zh-CN"/>
        </w:rPr>
        <w:t>东方经纬项目管理有限公司</w:t>
      </w:r>
    </w:p>
    <w:p w14:paraId="3A3A365D">
      <w:pPr>
        <w:jc w:val="center"/>
        <w:rPr>
          <w:rFonts w:ascii="宋体" w:hAnsi="宋体" w:cs="宋体"/>
          <w:b/>
          <w:bCs/>
          <w:color w:val="auto"/>
          <w:sz w:val="32"/>
          <w:szCs w:val="32"/>
          <w:highlight w:val="none"/>
        </w:rPr>
      </w:pPr>
    </w:p>
    <w:p w14:paraId="0A51A699">
      <w:pPr>
        <w:jc w:val="center"/>
        <w:rPr>
          <w:rFonts w:ascii="宋体" w:hAnsi="宋体" w:cs="宋体"/>
          <w:b/>
          <w:bCs/>
          <w:color w:val="auto"/>
          <w:sz w:val="32"/>
          <w:szCs w:val="32"/>
          <w:highlight w:val="none"/>
        </w:rPr>
        <w:sectPr>
          <w:headerReference r:id="rId3" w:type="default"/>
          <w:footerReference r:id="rId4" w:type="default"/>
          <w:pgSz w:w="11906" w:h="16838"/>
          <w:pgMar w:top="1417" w:right="1417" w:bottom="1134" w:left="1417" w:header="1020" w:footer="794" w:gutter="397"/>
          <w:pgBorders w:zOrder="back">
            <w:top w:val="double" w:color="auto" w:sz="4" w:space="1"/>
            <w:left w:val="none" w:sz="0" w:space="0"/>
            <w:bottom w:val="double" w:color="auto" w:sz="4" w:space="1"/>
            <w:right w:val="none" w:sz="0" w:space="0"/>
          </w:pgBorders>
          <w:cols w:space="720" w:num="1"/>
          <w:docGrid w:linePitch="312" w:charSpace="0"/>
        </w:sect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一</w:t>
      </w:r>
      <w:r>
        <w:rPr>
          <w:rFonts w:hint="eastAsia" w:ascii="宋体" w:hAnsi="宋体" w:cs="宋体"/>
          <w:b/>
          <w:bCs/>
          <w:color w:val="auto"/>
          <w:sz w:val="32"/>
          <w:szCs w:val="32"/>
          <w:highlight w:val="none"/>
        </w:rPr>
        <w:t>月</w:t>
      </w:r>
    </w:p>
    <w:p w14:paraId="4C64891E">
      <w:pPr>
        <w:snapToGrid w:val="0"/>
        <w:jc w:val="center"/>
        <w:rPr>
          <w:rFonts w:ascii="宋体" w:hAnsi="宋体" w:cs="宋体"/>
          <w:b/>
          <w:color w:val="auto"/>
          <w:sz w:val="28"/>
          <w:szCs w:val="28"/>
          <w:highlight w:val="none"/>
        </w:rPr>
      </w:pPr>
      <w:bookmarkStart w:id="2" w:name="_Toc354401488"/>
      <w:bookmarkStart w:id="3" w:name="_Toc322352981"/>
      <w:bookmarkStart w:id="4" w:name="_Toc350256312"/>
      <w:r>
        <w:rPr>
          <w:rFonts w:hint="eastAsia" w:ascii="宋体" w:hAnsi="宋体" w:cs="宋体"/>
          <w:b/>
          <w:color w:val="auto"/>
          <w:sz w:val="40"/>
          <w:szCs w:val="32"/>
          <w:highlight w:val="none"/>
        </w:rPr>
        <w:t>目 录</w:t>
      </w:r>
    </w:p>
    <w:p w14:paraId="2F523BA3">
      <w:pPr>
        <w:pStyle w:val="53"/>
        <w:tabs>
          <w:tab w:val="right" w:leader="dot" w:pos="9118"/>
        </w:tabs>
        <w:ind w:left="0" w:leftChars="0" w:firstLine="0" w:firstLineChars="0"/>
        <w:rPr>
          <w:rFonts w:hint="eastAsia" w:ascii="宋体" w:hAnsi="宋体" w:eastAsia="宋体" w:cs="宋体"/>
          <w:color w:val="auto"/>
          <w:sz w:val="36"/>
          <w:szCs w:val="36"/>
          <w:highlight w:val="none"/>
        </w:rPr>
      </w:pPr>
    </w:p>
    <w:p w14:paraId="3A1B3B59">
      <w:pPr>
        <w:pStyle w:val="53"/>
        <w:tabs>
          <w:tab w:val="right" w:leader="dot" w:pos="9118"/>
        </w:tabs>
        <w:ind w:left="0" w:leftChars="0" w:firstLine="0" w:firstLineChars="0"/>
        <w:rPr>
          <w:rFonts w:ascii="宋体" w:hAnsi="宋体" w:eastAsia="宋体" w:cs="宋体"/>
          <w:color w:val="auto"/>
          <w:kern w:val="0"/>
          <w:sz w:val="24"/>
          <w:szCs w:val="24"/>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TOC \o "1-3" \h \z \u </w:instrText>
      </w:r>
      <w:r>
        <w:rPr>
          <w:rFonts w:hint="eastAsia" w:ascii="宋体" w:hAnsi="宋体" w:eastAsia="宋体" w:cs="宋体"/>
          <w:color w:val="auto"/>
          <w:sz w:val="36"/>
          <w:szCs w:val="36"/>
          <w:highlight w:val="none"/>
        </w:rPr>
        <w:fldChar w:fldCharType="separate"/>
      </w:r>
      <w:r>
        <w:rPr>
          <w:color w:val="auto"/>
          <w:sz w:val="40"/>
          <w:szCs w:val="22"/>
          <w:highlight w:val="none"/>
        </w:rPr>
        <w:fldChar w:fldCharType="begin"/>
      </w:r>
      <w:r>
        <w:rPr>
          <w:color w:val="auto"/>
          <w:sz w:val="40"/>
          <w:szCs w:val="22"/>
          <w:highlight w:val="none"/>
        </w:rPr>
        <w:instrText xml:space="preserve"> HYPERLINK \l "_Toc24708463" </w:instrText>
      </w:r>
      <w:r>
        <w:rPr>
          <w:color w:val="auto"/>
          <w:sz w:val="40"/>
          <w:szCs w:val="22"/>
          <w:highlight w:val="none"/>
        </w:rPr>
        <w:fldChar w:fldCharType="separate"/>
      </w:r>
      <w:r>
        <w:rPr>
          <w:rFonts w:hint="eastAsia" w:ascii="宋体" w:hAnsi="宋体" w:eastAsia="宋体" w:cs="宋体"/>
          <w:color w:val="auto"/>
          <w:kern w:val="0"/>
          <w:sz w:val="24"/>
          <w:szCs w:val="24"/>
          <w:highlight w:val="none"/>
        </w:rPr>
        <w:t>第一章  招标公告</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fldChar w:fldCharType="end"/>
      </w:r>
    </w:p>
    <w:p w14:paraId="6412F143">
      <w:pPr>
        <w:pStyle w:val="42"/>
        <w:tabs>
          <w:tab w:val="right" w:leader="dot" w:pos="9118"/>
        </w:tabs>
        <w:spacing w:line="440" w:lineRule="exact"/>
        <w:jc w:val="left"/>
        <w:rPr>
          <w:rFonts w:ascii="宋体" w:hAnsi="宋体" w:eastAsia="宋体" w:cs="宋体"/>
          <w:color w:val="auto"/>
          <w:kern w:val="0"/>
          <w:sz w:val="24"/>
          <w:szCs w:val="24"/>
          <w:highlight w:val="none"/>
        </w:rPr>
      </w:pPr>
      <w:r>
        <w:rPr>
          <w:color w:val="auto"/>
          <w:sz w:val="40"/>
          <w:szCs w:val="22"/>
          <w:highlight w:val="none"/>
        </w:rPr>
        <w:fldChar w:fldCharType="begin"/>
      </w:r>
      <w:r>
        <w:rPr>
          <w:color w:val="auto"/>
          <w:sz w:val="40"/>
          <w:szCs w:val="22"/>
          <w:highlight w:val="none"/>
        </w:rPr>
        <w:instrText xml:space="preserve"> HYPERLINK \l "_Toc24708464" </w:instrText>
      </w:r>
      <w:r>
        <w:rPr>
          <w:color w:val="auto"/>
          <w:sz w:val="40"/>
          <w:szCs w:val="22"/>
          <w:highlight w:val="none"/>
        </w:rPr>
        <w:fldChar w:fldCharType="separate"/>
      </w:r>
      <w:r>
        <w:rPr>
          <w:rFonts w:hint="eastAsia" w:ascii="宋体" w:hAnsi="宋体" w:eastAsia="宋体" w:cs="宋体"/>
          <w:color w:val="auto"/>
          <w:kern w:val="0"/>
          <w:sz w:val="24"/>
          <w:szCs w:val="24"/>
          <w:highlight w:val="none"/>
        </w:rPr>
        <w:t>第二章  投标须知前附表及投标须知</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fldChar w:fldCharType="end"/>
      </w:r>
    </w:p>
    <w:p w14:paraId="2ECECDF6">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"_Toc24708465"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一、 投标须知前附表</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PAGEREF _Toc24708465 \h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fldChar w:fldCharType="end"/>
      </w:r>
    </w:p>
    <w:p w14:paraId="48AD0E95">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"_Toc24708466"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二、 投标须知</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fldChar w:fldCharType="end"/>
      </w:r>
    </w:p>
    <w:p w14:paraId="4DA78BC9">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"_Toc24708467"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三、 招标文件说明</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PAGEREF _Toc24708467 \h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fldChar w:fldCharType="end"/>
      </w:r>
    </w:p>
    <w:p w14:paraId="71F44A95">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"_Toc24708468"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四、 投标文件的编制</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fldChar w:fldCharType="end"/>
      </w:r>
    </w:p>
    <w:p w14:paraId="257CCA02">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"_Toc24708469"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五、 投标保证金</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PAGEREF _Toc24708469 \h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fldChar w:fldCharType="end"/>
      </w:r>
    </w:p>
    <w:p w14:paraId="6491B4F4">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"_Toc24708471"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六、 投标文件的签署及规定</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PAGEREF _Toc24708471 \h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fldChar w:fldCharType="end"/>
      </w:r>
    </w:p>
    <w:p w14:paraId="19284D37">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"_Toc24708472"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七、 投标文件的递交</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PAGEREF _Toc24708472 \h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fldChar w:fldCharType="end"/>
      </w:r>
    </w:p>
    <w:p w14:paraId="3D4CF20E">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"_Toc24708473"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八、 投标无效的情形</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PAGEREF _Toc24708473 \h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fldChar w:fldCharType="end"/>
      </w:r>
    </w:p>
    <w:p w14:paraId="7FE389B8">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"_Toc24708474"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九、 串通投标的情形</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0</w:t>
      </w:r>
    </w:p>
    <w:p w14:paraId="03EB14CB">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"_Toc24708475"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十、 废标的情形</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PAGEREF _Toc24708475 \h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fldChar w:fldCharType="end"/>
      </w:r>
    </w:p>
    <w:p w14:paraId="50DC28F7">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"_Toc24708476"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十一、 开标和评标</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PAGEREF _Toc24708476 \h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fldChar w:fldCharType="end"/>
      </w:r>
    </w:p>
    <w:p w14:paraId="0D50B99F">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"_Toc24708477"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十二、 授予合同</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PAGEREF _Toc24708477 \h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fldChar w:fldCharType="end"/>
      </w:r>
    </w:p>
    <w:p w14:paraId="3E094C6E">
      <w:pPr>
        <w:pStyle w:val="53"/>
        <w:tabs>
          <w:tab w:val="right" w:leader="dot" w:pos="9118"/>
        </w:tabs>
        <w:spacing w:line="440" w:lineRule="exact"/>
        <w:ind w:left="0" w:leftChars="0" w:firstLine="0" w:firstLineChars="0"/>
        <w:rPr>
          <w:rFonts w:ascii="宋体" w:hAnsi="宋体" w:eastAsia="宋体" w:cs="宋体"/>
          <w:color w:val="auto"/>
          <w:kern w:val="0"/>
          <w:sz w:val="24"/>
          <w:szCs w:val="24"/>
          <w:highlight w:val="none"/>
        </w:rPr>
      </w:pPr>
      <w:r>
        <w:rPr>
          <w:color w:val="auto"/>
          <w:sz w:val="22"/>
          <w:szCs w:val="22"/>
          <w:highlight w:val="none"/>
        </w:rPr>
        <w:fldChar w:fldCharType="begin"/>
      </w:r>
      <w:r>
        <w:rPr>
          <w:color w:val="auto"/>
          <w:sz w:val="22"/>
          <w:szCs w:val="22"/>
          <w:highlight w:val="none"/>
        </w:rPr>
        <w:instrText xml:space="preserve"> HYPERLINK \l "_Toc24708478" </w:instrText>
      </w:r>
      <w:r>
        <w:rPr>
          <w:color w:val="auto"/>
          <w:sz w:val="22"/>
          <w:szCs w:val="22"/>
          <w:highlight w:val="none"/>
        </w:rPr>
        <w:fldChar w:fldCharType="separate"/>
      </w:r>
      <w:r>
        <w:rPr>
          <w:rFonts w:hint="eastAsia" w:ascii="宋体" w:hAnsi="宋体" w:eastAsia="宋体" w:cs="宋体"/>
          <w:color w:val="auto"/>
          <w:kern w:val="0"/>
          <w:sz w:val="24"/>
          <w:szCs w:val="24"/>
          <w:highlight w:val="none"/>
        </w:rPr>
        <w:t>十三、 解释权</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12</w:t>
      </w:r>
    </w:p>
    <w:p w14:paraId="1E2FA5BE">
      <w:pPr>
        <w:pStyle w:val="42"/>
        <w:tabs>
          <w:tab w:val="right" w:leader="dot" w:pos="9118"/>
        </w:tabs>
        <w:spacing w:line="440" w:lineRule="exact"/>
        <w:jc w:val="left"/>
        <w:rPr>
          <w:rFonts w:ascii="宋体" w:hAnsi="宋体" w:eastAsia="宋体" w:cs="宋体"/>
          <w:color w:val="auto"/>
          <w:kern w:val="0"/>
          <w:sz w:val="24"/>
          <w:szCs w:val="24"/>
          <w:highlight w:val="none"/>
        </w:rPr>
      </w:pPr>
      <w:r>
        <w:rPr>
          <w:color w:val="auto"/>
          <w:sz w:val="40"/>
          <w:szCs w:val="22"/>
          <w:highlight w:val="none"/>
        </w:rPr>
        <w:fldChar w:fldCharType="begin"/>
      </w:r>
      <w:r>
        <w:rPr>
          <w:color w:val="auto"/>
          <w:sz w:val="40"/>
          <w:szCs w:val="22"/>
          <w:highlight w:val="none"/>
        </w:rPr>
        <w:instrText xml:space="preserve"> HYPERLINK \l "_Toc24708479" </w:instrText>
      </w:r>
      <w:r>
        <w:rPr>
          <w:color w:val="auto"/>
          <w:sz w:val="40"/>
          <w:szCs w:val="22"/>
          <w:highlight w:val="none"/>
        </w:rPr>
        <w:fldChar w:fldCharType="separate"/>
      </w:r>
      <w:r>
        <w:rPr>
          <w:rFonts w:hint="eastAsia" w:ascii="宋体" w:hAnsi="宋体" w:eastAsia="宋体" w:cs="宋体"/>
          <w:color w:val="auto"/>
          <w:kern w:val="0"/>
          <w:sz w:val="24"/>
          <w:szCs w:val="24"/>
          <w:highlight w:val="none"/>
        </w:rPr>
        <w:t>第三章  招标内容及要求</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PAGEREF _Toc24708479 \h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fldChar w:fldCharType="end"/>
      </w:r>
    </w:p>
    <w:p w14:paraId="7D991D17">
      <w:pPr>
        <w:pStyle w:val="42"/>
        <w:tabs>
          <w:tab w:val="right" w:leader="dot" w:pos="9118"/>
        </w:tabs>
        <w:spacing w:line="440" w:lineRule="exact"/>
        <w:jc w:val="left"/>
        <w:rPr>
          <w:rFonts w:ascii="宋体" w:hAnsi="宋体" w:eastAsia="宋体" w:cs="宋体"/>
          <w:color w:val="auto"/>
          <w:kern w:val="0"/>
          <w:sz w:val="24"/>
          <w:szCs w:val="24"/>
          <w:highlight w:val="none"/>
        </w:rPr>
      </w:pPr>
      <w:r>
        <w:rPr>
          <w:color w:val="auto"/>
          <w:sz w:val="40"/>
          <w:szCs w:val="22"/>
          <w:highlight w:val="none"/>
        </w:rPr>
        <w:fldChar w:fldCharType="begin"/>
      </w:r>
      <w:r>
        <w:rPr>
          <w:color w:val="auto"/>
          <w:sz w:val="40"/>
          <w:szCs w:val="22"/>
          <w:highlight w:val="none"/>
        </w:rPr>
        <w:instrText xml:space="preserve"> HYPERLINK \l "_Toc24708480" </w:instrText>
      </w:r>
      <w:r>
        <w:rPr>
          <w:color w:val="auto"/>
          <w:sz w:val="40"/>
          <w:szCs w:val="22"/>
          <w:highlight w:val="none"/>
        </w:rPr>
        <w:fldChar w:fldCharType="separate"/>
      </w:r>
      <w:r>
        <w:rPr>
          <w:rFonts w:hint="eastAsia" w:ascii="宋体" w:hAnsi="宋体" w:eastAsia="宋体" w:cs="宋体"/>
          <w:color w:val="auto"/>
          <w:kern w:val="0"/>
          <w:sz w:val="24"/>
          <w:szCs w:val="24"/>
          <w:highlight w:val="none"/>
        </w:rPr>
        <w:t>第四章  合同文本</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4</w:t>
      </w:r>
    </w:p>
    <w:p w14:paraId="4868E64E">
      <w:pPr>
        <w:pStyle w:val="42"/>
        <w:tabs>
          <w:tab w:val="right" w:leader="dot" w:pos="9118"/>
        </w:tabs>
        <w:spacing w:line="440" w:lineRule="exact"/>
        <w:jc w:val="left"/>
        <w:rPr>
          <w:rFonts w:ascii="宋体" w:hAnsi="宋体" w:eastAsia="宋体" w:cs="宋体"/>
          <w:color w:val="auto"/>
          <w:kern w:val="0"/>
          <w:sz w:val="24"/>
          <w:szCs w:val="24"/>
          <w:highlight w:val="none"/>
        </w:rPr>
      </w:pPr>
      <w:r>
        <w:rPr>
          <w:color w:val="auto"/>
          <w:sz w:val="40"/>
          <w:szCs w:val="22"/>
          <w:highlight w:val="none"/>
        </w:rPr>
        <w:fldChar w:fldCharType="begin"/>
      </w:r>
      <w:r>
        <w:rPr>
          <w:color w:val="auto"/>
          <w:sz w:val="40"/>
          <w:szCs w:val="22"/>
          <w:highlight w:val="none"/>
        </w:rPr>
        <w:instrText xml:space="preserve"> HYPERLINK \l "_Toc24708485" </w:instrText>
      </w:r>
      <w:r>
        <w:rPr>
          <w:color w:val="auto"/>
          <w:sz w:val="40"/>
          <w:szCs w:val="22"/>
          <w:highlight w:val="none"/>
        </w:rPr>
        <w:fldChar w:fldCharType="separate"/>
      </w:r>
      <w:r>
        <w:rPr>
          <w:rFonts w:hint="eastAsia" w:ascii="宋体" w:hAnsi="宋体" w:eastAsia="宋体" w:cs="宋体"/>
          <w:color w:val="auto"/>
          <w:kern w:val="0"/>
          <w:sz w:val="24"/>
          <w:szCs w:val="24"/>
          <w:highlight w:val="none"/>
        </w:rPr>
        <w:t>第五章  应提交的有关格式范例</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PAGEREF _Toc24708485 \h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fldChar w:fldCharType="end"/>
      </w:r>
    </w:p>
    <w:p w14:paraId="76263BA5">
      <w:pPr>
        <w:pStyle w:val="42"/>
        <w:tabs>
          <w:tab w:val="right" w:leader="dot" w:pos="9118"/>
        </w:tabs>
        <w:spacing w:line="440" w:lineRule="exact"/>
        <w:jc w:val="left"/>
        <w:rPr>
          <w:rFonts w:hint="eastAsia" w:ascii="宋体" w:hAnsi="宋体" w:eastAsia="宋体" w:cs="宋体"/>
          <w:color w:val="auto"/>
          <w:kern w:val="0"/>
          <w:sz w:val="24"/>
          <w:szCs w:val="24"/>
          <w:highlight w:val="none"/>
        </w:rPr>
      </w:pPr>
      <w:r>
        <w:rPr>
          <w:rFonts w:hint="eastAsia" w:ascii="宋体" w:hAnsi="宋体" w:cs="宋体"/>
          <w:color w:val="auto"/>
          <w:sz w:val="36"/>
          <w:szCs w:val="36"/>
          <w:highlight w:val="none"/>
        </w:rPr>
        <w:fldChar w:fldCharType="end"/>
      </w:r>
      <w:bookmarkEnd w:id="2"/>
      <w:bookmarkEnd w:id="3"/>
      <w:bookmarkEnd w:id="4"/>
      <w:bookmarkStart w:id="5" w:name="_Toc354491895"/>
      <w:bookmarkStart w:id="6" w:name="_Toc356371429"/>
      <w:bookmarkStart w:id="7" w:name="_Toc24708463"/>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\l "_Toc24708485"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第六章  应提交的有关格式范例</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9</w:t>
      </w:r>
    </w:p>
    <w:p w14:paraId="427535FD">
      <w:pPr>
        <w:snapToGrid w:val="0"/>
        <w:spacing w:line="440" w:lineRule="exact"/>
        <w:outlineLvl w:val="0"/>
        <w:rPr>
          <w:rFonts w:ascii="宋体" w:hAnsi="宋体" w:cs="宋体"/>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1020" w:footer="992" w:gutter="284"/>
          <w:pgBorders w:zOrder="back">
            <w:top w:val="double" w:color="auto" w:sz="4" w:space="1"/>
            <w:left w:val="none" w:sz="0" w:space="0"/>
            <w:bottom w:val="double" w:color="auto" w:sz="4" w:space="1"/>
            <w:right w:val="none" w:sz="0" w:space="0"/>
          </w:pgBorders>
          <w:cols w:space="720" w:num="1"/>
        </w:sectPr>
      </w:pPr>
    </w:p>
    <w:p w14:paraId="1932FF20">
      <w:pPr>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8"/>
          <w:szCs w:val="28"/>
          <w:highlight w:val="none"/>
        </w:rPr>
        <w:t xml:space="preserve">第一章  </w:t>
      </w:r>
      <w:bookmarkEnd w:id="5"/>
      <w:r>
        <w:rPr>
          <w:rFonts w:hint="eastAsia" w:ascii="宋体" w:hAnsi="宋体" w:cs="宋体"/>
          <w:b/>
          <w:color w:val="auto"/>
          <w:sz w:val="28"/>
          <w:szCs w:val="28"/>
          <w:highlight w:val="none"/>
        </w:rPr>
        <w:t>招标公告</w:t>
      </w:r>
      <w:bookmarkEnd w:id="6"/>
      <w:bookmarkEnd w:id="7"/>
    </w:p>
    <w:p w14:paraId="2AF7B186">
      <w:pPr>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（非政府采购）</w:t>
      </w:r>
    </w:p>
    <w:p w14:paraId="6CAB8BB2">
      <w:pPr>
        <w:keepNext w:val="0"/>
        <w:keepLines w:val="0"/>
        <w:pageBreakBefore w:val="0"/>
        <w:widowControl w:val="0"/>
        <w:kinsoku/>
        <w:wordWrap/>
        <w:overflowPunct/>
        <w:topLinePunct w:val="0"/>
        <w:autoSpaceDE/>
        <w:autoSpaceDN/>
        <w:bidi w:val="0"/>
        <w:spacing w:line="42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财政部关于进一步加强财政部门和预算单位资金存放管理的指导意见》（财库〔2017〕76号）、《浙江省财政厅关于印发浙江省财政专户资金存放管理实施办法的通知》（浙财预执〔2017〕86号）、《衢江区区级财政专户资金存放管理实施办法》（衢江政办发〔2020〕48号）、《衢江区区级行政事业单位公款竞争性存放管理办法的通知》（衢江区政办发〔2021〕20号）等规定，</w:t>
      </w:r>
      <w:r>
        <w:rPr>
          <w:rFonts w:hint="eastAsia" w:ascii="宋体" w:hAnsi="宋体" w:cs="宋体"/>
          <w:color w:val="auto"/>
          <w:sz w:val="22"/>
          <w:szCs w:val="22"/>
          <w:highlight w:val="none"/>
          <w:lang w:val="en-US" w:eastAsia="zh-CN"/>
        </w:rPr>
        <w:t>东方经纬项目管理有限公司</w:t>
      </w:r>
      <w:r>
        <w:rPr>
          <w:rFonts w:hint="eastAsia" w:ascii="宋体" w:hAnsi="宋体" w:eastAsia="宋体" w:cs="宋体"/>
          <w:color w:val="auto"/>
          <w:sz w:val="22"/>
          <w:szCs w:val="22"/>
          <w:highlight w:val="none"/>
          <w:lang w:val="en-US" w:eastAsia="zh-CN"/>
        </w:rPr>
        <w:t>受衢州市衢江区住房和城乡建设局委托，就</w:t>
      </w:r>
      <w:r>
        <w:rPr>
          <w:rFonts w:hint="eastAsia" w:ascii="宋体" w:hAnsi="宋体" w:cs="宋体"/>
          <w:color w:val="auto"/>
          <w:sz w:val="22"/>
          <w:szCs w:val="22"/>
          <w:highlight w:val="none"/>
          <w:lang w:val="en-US" w:eastAsia="zh-CN"/>
        </w:rPr>
        <w:t>衢州市衢江区住房和城乡建设局2025年第一期物业两金竞争性存放项目</w:t>
      </w:r>
      <w:r>
        <w:rPr>
          <w:rFonts w:hint="eastAsia" w:ascii="宋体" w:hAnsi="宋体" w:eastAsia="宋体" w:cs="宋体"/>
          <w:color w:val="auto"/>
          <w:sz w:val="22"/>
          <w:szCs w:val="22"/>
          <w:highlight w:val="none"/>
          <w:lang w:val="en-US" w:eastAsia="zh-CN"/>
        </w:rPr>
        <w:t>进行公开招标，欢迎符合条件的银行机构前来投标。</w:t>
      </w:r>
    </w:p>
    <w:p w14:paraId="770E5D45">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一、</w:t>
      </w:r>
      <w:r>
        <w:rPr>
          <w:rFonts w:hint="eastAsia" w:ascii="宋体" w:hAnsi="宋体" w:eastAsia="宋体" w:cs="宋体"/>
          <w:b/>
          <w:bCs/>
          <w:color w:val="auto"/>
          <w:sz w:val="22"/>
          <w:szCs w:val="22"/>
          <w:highlight w:val="none"/>
        </w:rPr>
        <w:t>项目编号：</w:t>
      </w:r>
      <w:r>
        <w:rPr>
          <w:rFonts w:hint="eastAsia" w:ascii="宋体" w:hAnsi="宋体" w:cs="宋体"/>
          <w:color w:val="auto"/>
          <w:sz w:val="22"/>
          <w:szCs w:val="22"/>
          <w:highlight w:val="none"/>
          <w:lang w:eastAsia="zh-CN"/>
        </w:rPr>
        <w:t>JWCG20250102</w:t>
      </w:r>
    </w:p>
    <w:p w14:paraId="0EE074BA">
      <w:pPr>
        <w:keepNext w:val="0"/>
        <w:keepLines w:val="0"/>
        <w:pageBreakBefore w:val="0"/>
        <w:widowControl w:val="0"/>
        <w:kinsoku/>
        <w:wordWrap/>
        <w:overflowPunct/>
        <w:topLinePunct w:val="0"/>
        <w:autoSpaceDE/>
        <w:autoSpaceDN/>
        <w:bidi w:val="0"/>
        <w:snapToGrid w:val="0"/>
        <w:spacing w:line="42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二、项目名称：</w:t>
      </w:r>
      <w:r>
        <w:rPr>
          <w:rFonts w:hint="eastAsia" w:ascii="宋体" w:hAnsi="宋体" w:cs="宋体"/>
          <w:color w:val="auto"/>
          <w:sz w:val="22"/>
          <w:szCs w:val="22"/>
          <w:highlight w:val="none"/>
          <w:lang w:eastAsia="zh-CN"/>
        </w:rPr>
        <w:t>衢州市衢江区住房和城乡建设局2025年第一期物业两金竞争性存放项目</w:t>
      </w:r>
    </w:p>
    <w:p w14:paraId="238AD074">
      <w:pPr>
        <w:keepNext w:val="0"/>
        <w:keepLines w:val="0"/>
        <w:pageBreakBefore w:val="0"/>
        <w:widowControl w:val="0"/>
        <w:kinsoku/>
        <w:wordWrap/>
        <w:overflowPunct/>
        <w:topLinePunct w:val="0"/>
        <w:autoSpaceDE/>
        <w:autoSpaceDN/>
        <w:bidi w:val="0"/>
        <w:snapToGrid w:val="0"/>
        <w:spacing w:line="42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三、招标项目概况：</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754"/>
        <w:gridCol w:w="1182"/>
        <w:gridCol w:w="1400"/>
        <w:gridCol w:w="1592"/>
        <w:gridCol w:w="3031"/>
      </w:tblGrid>
      <w:tr w14:paraId="3E88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pct"/>
            <w:vAlign w:val="center"/>
          </w:tcPr>
          <w:p w14:paraId="6AB5E810">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招标内容</w:t>
            </w:r>
          </w:p>
        </w:tc>
        <w:tc>
          <w:tcPr>
            <w:tcW w:w="394" w:type="pct"/>
            <w:vAlign w:val="center"/>
          </w:tcPr>
          <w:p w14:paraId="4CC63ED2">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单位</w:t>
            </w:r>
          </w:p>
        </w:tc>
        <w:tc>
          <w:tcPr>
            <w:tcW w:w="618" w:type="pct"/>
            <w:vAlign w:val="center"/>
          </w:tcPr>
          <w:p w14:paraId="7AD97C97">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银行数量</w:t>
            </w:r>
          </w:p>
        </w:tc>
        <w:tc>
          <w:tcPr>
            <w:tcW w:w="732" w:type="pct"/>
            <w:vAlign w:val="center"/>
          </w:tcPr>
          <w:p w14:paraId="79FD1128">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招标规模</w:t>
            </w:r>
          </w:p>
          <w:p w14:paraId="2C58B46C">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（万元）</w:t>
            </w:r>
          </w:p>
        </w:tc>
        <w:tc>
          <w:tcPr>
            <w:tcW w:w="832" w:type="pct"/>
            <w:vAlign w:val="center"/>
          </w:tcPr>
          <w:p w14:paraId="4A3BD394">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定期存款期限</w:t>
            </w:r>
          </w:p>
        </w:tc>
        <w:tc>
          <w:tcPr>
            <w:tcW w:w="1584" w:type="pct"/>
            <w:vAlign w:val="center"/>
          </w:tcPr>
          <w:p w14:paraId="6A5225B8">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资金分配</w:t>
            </w:r>
          </w:p>
        </w:tc>
      </w:tr>
      <w:tr w14:paraId="63FC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38" w:type="pct"/>
            <w:vAlign w:val="center"/>
          </w:tcPr>
          <w:p w14:paraId="1DC725ED">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default"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标项一</w:t>
            </w:r>
          </w:p>
        </w:tc>
        <w:tc>
          <w:tcPr>
            <w:tcW w:w="394" w:type="pct"/>
            <w:vAlign w:val="center"/>
          </w:tcPr>
          <w:p w14:paraId="17C17315">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家</w:t>
            </w:r>
          </w:p>
        </w:tc>
        <w:tc>
          <w:tcPr>
            <w:tcW w:w="618" w:type="pct"/>
            <w:vAlign w:val="center"/>
          </w:tcPr>
          <w:p w14:paraId="64407851">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4</w:t>
            </w:r>
          </w:p>
        </w:tc>
        <w:tc>
          <w:tcPr>
            <w:tcW w:w="732" w:type="pct"/>
            <w:vAlign w:val="center"/>
          </w:tcPr>
          <w:p w14:paraId="2E30F4CD">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default"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5300</w:t>
            </w:r>
          </w:p>
        </w:tc>
        <w:tc>
          <w:tcPr>
            <w:tcW w:w="832" w:type="pct"/>
            <w:vAlign w:val="center"/>
          </w:tcPr>
          <w:p w14:paraId="105415A6">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3年</w:t>
            </w:r>
          </w:p>
        </w:tc>
        <w:tc>
          <w:tcPr>
            <w:tcW w:w="1584" w:type="pct"/>
            <w:vAlign w:val="center"/>
          </w:tcPr>
          <w:p w14:paraId="73F40709">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4"/>
                <w:szCs w:val="24"/>
                <w:highlight w:val="none"/>
                <w:lang w:val="en-US" w:eastAsia="zh-CN" w:bidi="ar-SA"/>
              </w:rPr>
              <w:t>按照第1至第4名各占资金总量的45%、30%、15%、10%的比例存放。</w:t>
            </w:r>
          </w:p>
        </w:tc>
      </w:tr>
      <w:tr w14:paraId="6274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38" w:type="pct"/>
            <w:vAlign w:val="center"/>
          </w:tcPr>
          <w:p w14:paraId="30570937">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default"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标项二</w:t>
            </w:r>
          </w:p>
        </w:tc>
        <w:tc>
          <w:tcPr>
            <w:tcW w:w="394" w:type="pct"/>
            <w:vAlign w:val="center"/>
          </w:tcPr>
          <w:p w14:paraId="02434E1B">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家</w:t>
            </w:r>
          </w:p>
        </w:tc>
        <w:tc>
          <w:tcPr>
            <w:tcW w:w="618" w:type="pct"/>
            <w:vAlign w:val="center"/>
          </w:tcPr>
          <w:p w14:paraId="71F83203">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4</w:t>
            </w:r>
          </w:p>
        </w:tc>
        <w:tc>
          <w:tcPr>
            <w:tcW w:w="732" w:type="pct"/>
            <w:vAlign w:val="center"/>
          </w:tcPr>
          <w:p w14:paraId="3F00EC15">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default"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1600</w:t>
            </w:r>
          </w:p>
        </w:tc>
        <w:tc>
          <w:tcPr>
            <w:tcW w:w="832" w:type="pct"/>
            <w:vAlign w:val="center"/>
          </w:tcPr>
          <w:p w14:paraId="62F2A5DB">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default"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1年</w:t>
            </w:r>
          </w:p>
        </w:tc>
        <w:tc>
          <w:tcPr>
            <w:tcW w:w="1584" w:type="pct"/>
            <w:vAlign w:val="center"/>
          </w:tcPr>
          <w:p w14:paraId="777E3590">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4"/>
                <w:szCs w:val="24"/>
                <w:highlight w:val="none"/>
                <w:lang w:val="en-US" w:eastAsia="zh-CN" w:bidi="ar-SA"/>
              </w:rPr>
              <w:t>按照第1至第4名各占资金总量的45%、30%、15%、10%的比例存放。</w:t>
            </w:r>
          </w:p>
        </w:tc>
      </w:tr>
    </w:tbl>
    <w:p w14:paraId="79C0180A">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2" w:firstLineChars="20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四、投标人资格要求:</w:t>
      </w:r>
    </w:p>
    <w:p w14:paraId="76359849">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在中华人民共和国境内依法设立的国有商业银行、股份制商业银行、邮政储蓄银行、城市商业银行、农村信用合作联社、农村商业银行、农村合作银行</w:t>
      </w:r>
      <w:r>
        <w:rPr>
          <w:rFonts w:hint="eastAsia" w:ascii="宋体" w:hAnsi="宋体" w:eastAsia="宋体" w:cs="宋体"/>
          <w:color w:val="auto"/>
          <w:kern w:val="0"/>
          <w:sz w:val="22"/>
          <w:szCs w:val="22"/>
          <w:highlight w:val="none"/>
          <w:lang w:val="en-US" w:eastAsia="zh-CN"/>
        </w:rPr>
        <w:t>及政策性银行</w:t>
      </w:r>
      <w:r>
        <w:rPr>
          <w:rFonts w:hint="eastAsia" w:ascii="宋体" w:hAnsi="宋体" w:eastAsia="宋体" w:cs="宋体"/>
          <w:color w:val="auto"/>
          <w:kern w:val="0"/>
          <w:sz w:val="22"/>
          <w:szCs w:val="22"/>
          <w:highlight w:val="none"/>
        </w:rPr>
        <w:t>，每家银行有且只能有一个主体参与投标</w:t>
      </w:r>
      <w:r>
        <w:rPr>
          <w:rFonts w:hint="eastAsia" w:ascii="宋体" w:hAnsi="宋体" w:eastAsia="宋体" w:cs="宋体"/>
          <w:color w:val="auto"/>
          <w:kern w:val="0"/>
          <w:sz w:val="22"/>
          <w:szCs w:val="22"/>
          <w:highlight w:val="none"/>
          <w:lang w:eastAsia="zh-CN"/>
        </w:rPr>
        <w:t>，银行</w:t>
      </w:r>
      <w:r>
        <w:rPr>
          <w:rFonts w:hint="eastAsia" w:ascii="宋体" w:hAnsi="宋体" w:eastAsia="宋体" w:cs="宋体"/>
          <w:color w:val="auto"/>
          <w:kern w:val="0"/>
          <w:sz w:val="22"/>
          <w:szCs w:val="22"/>
          <w:highlight w:val="none"/>
        </w:rPr>
        <w:t>参与投标应同时具备以下条件：</w:t>
      </w:r>
    </w:p>
    <w:p w14:paraId="136BA8F4">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1.在衢江区设有分支机构；</w:t>
      </w:r>
    </w:p>
    <w:p w14:paraId="35A633D0">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2.依法开展经营活动，近3年内在经营活动中无重大违法违规记录及重大违约事件；</w:t>
      </w:r>
    </w:p>
    <w:p w14:paraId="5261AE6B">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4"/>
          <w:szCs w:val="24"/>
          <w:highlight w:val="none"/>
          <w:lang w:val="en-US" w:eastAsia="zh-CN"/>
        </w:rPr>
        <w:t>纳入监管评级的银行，人民银行2023年度综合评价应达到B级及以上（支行以市分行综合评价为准；新设立的银行因未参与评级的，当年暂不作要求；</w:t>
      </w:r>
      <w:r>
        <w:rPr>
          <w:rFonts w:hint="eastAsia" w:ascii="宋体" w:hAnsi="宋体" w:eastAsia="宋体" w:cs="宋体"/>
          <w:color w:val="auto"/>
          <w:sz w:val="24"/>
          <w:szCs w:val="24"/>
          <w:highlight w:val="none"/>
          <w:shd w:val="clear" w:color="auto" w:fill="auto"/>
          <w:lang w:val="en-US" w:eastAsia="zh-CN"/>
        </w:rPr>
        <w:t>若2023年度综合评价结果未出，则以上一年度评价结果为准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2"/>
          <w:szCs w:val="22"/>
          <w:highlight w:val="none"/>
          <w:lang w:val="en-US" w:eastAsia="zh-CN"/>
        </w:rPr>
        <w:t>；</w:t>
      </w:r>
    </w:p>
    <w:p w14:paraId="69FC8370">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本项目谢绝联合体投标，投标机构与最终资金存放的网点一致，不得转移。</w:t>
      </w:r>
    </w:p>
    <w:p w14:paraId="481F7807">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2"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lang w:eastAsia="zh-CN"/>
        </w:rPr>
        <w:t>报名时间、地点、招标文件获取方式等</w:t>
      </w:r>
    </w:p>
    <w:p w14:paraId="3349EFD3">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报名</w:t>
      </w:r>
      <w:r>
        <w:rPr>
          <w:rFonts w:hint="eastAsia" w:ascii="宋体" w:hAnsi="宋体" w:eastAsia="宋体" w:cs="宋体"/>
          <w:color w:val="auto"/>
          <w:sz w:val="22"/>
          <w:szCs w:val="22"/>
          <w:highlight w:val="none"/>
          <w:lang w:eastAsia="zh-CN"/>
        </w:rPr>
        <w:t>时间：202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日至202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w:t>
      </w:r>
      <w:r>
        <w:rPr>
          <w:rFonts w:hint="eastAsia" w:ascii="宋体" w:hAnsi="宋体" w:cs="宋体"/>
          <w:color w:val="auto"/>
          <w:sz w:val="22"/>
          <w:szCs w:val="22"/>
          <w:highlight w:val="none"/>
          <w:lang w:val="en-US" w:eastAsia="zh-CN"/>
        </w:rPr>
        <w:t>20</w:t>
      </w:r>
      <w:r>
        <w:rPr>
          <w:rFonts w:hint="eastAsia" w:ascii="宋体" w:hAnsi="宋体" w:eastAsia="宋体" w:cs="宋体"/>
          <w:color w:val="auto"/>
          <w:sz w:val="22"/>
          <w:szCs w:val="22"/>
          <w:highlight w:val="none"/>
          <w:lang w:eastAsia="zh-CN"/>
        </w:rPr>
        <w:t>日，每天上午00:00至12:00，下午12:00至23:59（北京时间）</w:t>
      </w:r>
    </w:p>
    <w:p w14:paraId="15010F0D">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报名方式：本项目实行网上报名，不接受现</w:t>
      </w:r>
      <w:r>
        <w:rPr>
          <w:rFonts w:hint="eastAsia" w:ascii="宋体" w:hAnsi="宋体" w:eastAsia="宋体" w:cs="宋体"/>
          <w:color w:val="auto"/>
          <w:sz w:val="22"/>
          <w:szCs w:val="22"/>
          <w:highlight w:val="none"/>
          <w:lang w:eastAsia="zh-CN"/>
        </w:rPr>
        <w:t>场报名。投标人登录“政采云”平台（http://login.zcygov.cn）进入公款竞争性存放招标系统（以下简称“招标系统”），在竞标项目内按规定进行报名。第一步：选择本期招标项目，第二步：填写报名信息。报名成功后联系人会收到短信通知，逾期报名视为未报名。</w:t>
      </w:r>
    </w:p>
    <w:p w14:paraId="5414D4E1">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bookmarkStart w:id="8" w:name="_Toc35393632"/>
      <w:bookmarkStart w:id="9" w:name="_Toc35393801"/>
      <w:bookmarkStart w:id="10" w:name="_Toc28359015"/>
      <w:bookmarkStart w:id="11" w:name="_Toc28359092"/>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招标文件获取方式及地址：线上获取。</w:t>
      </w:r>
    </w:p>
    <w:p w14:paraId="598CE589">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2" w:firstLineChars="20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六、</w:t>
      </w:r>
      <w:bookmarkEnd w:id="8"/>
      <w:bookmarkEnd w:id="9"/>
      <w:bookmarkEnd w:id="10"/>
      <w:bookmarkEnd w:id="11"/>
      <w:r>
        <w:rPr>
          <w:rFonts w:hint="eastAsia" w:ascii="宋体" w:hAnsi="宋体" w:eastAsia="宋体" w:cs="宋体"/>
          <w:b/>
          <w:bCs/>
          <w:color w:val="auto"/>
          <w:sz w:val="22"/>
          <w:szCs w:val="22"/>
          <w:highlight w:val="none"/>
          <w:lang w:eastAsia="zh-CN"/>
        </w:rPr>
        <w:t>投标文件提交（上传）</w:t>
      </w:r>
    </w:p>
    <w:p w14:paraId="685EA133">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截止时间：</w:t>
      </w:r>
      <w:r>
        <w:rPr>
          <w:rFonts w:hint="eastAsia" w:ascii="宋体" w:hAnsi="宋体" w:eastAsia="宋体" w:cs="宋体"/>
          <w:color w:val="auto"/>
          <w:sz w:val="22"/>
          <w:szCs w:val="22"/>
          <w:highlight w:val="none"/>
          <w:lang w:eastAsia="zh-CN"/>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w:t>
      </w:r>
      <w:r>
        <w:rPr>
          <w:rFonts w:hint="eastAsia" w:ascii="宋体" w:hAnsi="宋体" w:cs="宋体"/>
          <w:color w:val="auto"/>
          <w:sz w:val="22"/>
          <w:szCs w:val="22"/>
          <w:highlight w:val="none"/>
          <w:lang w:val="en-US" w:eastAsia="zh-CN"/>
        </w:rPr>
        <w:t>20</w:t>
      </w:r>
      <w:r>
        <w:rPr>
          <w:rFonts w:hint="eastAsia" w:ascii="宋体" w:hAnsi="宋体" w:eastAsia="宋体" w:cs="宋体"/>
          <w:color w:val="auto"/>
          <w:sz w:val="22"/>
          <w:szCs w:val="22"/>
          <w:highlight w:val="none"/>
          <w:lang w:eastAsia="zh-CN"/>
        </w:rPr>
        <w:t>日</w:t>
      </w:r>
      <w:r>
        <w:rPr>
          <w:rFonts w:hint="eastAsia" w:ascii="宋体" w:hAnsi="宋体" w:cs="宋体"/>
          <w:color w:val="auto"/>
          <w:sz w:val="22"/>
          <w:szCs w:val="22"/>
          <w:highlight w:val="none"/>
          <w:lang w:val="en-US" w:eastAsia="zh-CN"/>
        </w:rPr>
        <w:t>09</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lang w:eastAsia="zh-CN"/>
        </w:rPr>
        <w:t>（北京时间）前将电子投标文件通过“政采云电子投标客户端”上传至政采云平台，逾期上传的将予以拒收。</w:t>
      </w:r>
    </w:p>
    <w:p w14:paraId="279451D5">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地点：“政府采购云平台（http://login.zcygov.cn）”在线提交（上传）。</w:t>
      </w:r>
    </w:p>
    <w:p w14:paraId="547FE1A9">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2" w:firstLineChars="200"/>
        <w:rPr>
          <w:rFonts w:hint="eastAsia" w:ascii="宋体" w:hAnsi="宋体" w:eastAsia="宋体" w:cs="宋体"/>
          <w:b/>
          <w:bCs/>
          <w:color w:val="auto"/>
          <w:sz w:val="22"/>
          <w:szCs w:val="22"/>
          <w:highlight w:val="none"/>
          <w:lang w:eastAsia="zh-CN"/>
        </w:rPr>
      </w:pPr>
      <w:bookmarkStart w:id="12" w:name="_Toc28359093"/>
      <w:bookmarkStart w:id="13" w:name="_Toc28359016"/>
      <w:bookmarkStart w:id="14" w:name="_Toc35393802"/>
      <w:bookmarkStart w:id="15" w:name="_Toc35393633"/>
      <w:r>
        <w:rPr>
          <w:rFonts w:hint="eastAsia" w:ascii="宋体" w:hAnsi="宋体" w:eastAsia="宋体" w:cs="宋体"/>
          <w:b/>
          <w:bCs/>
          <w:color w:val="auto"/>
          <w:sz w:val="22"/>
          <w:szCs w:val="22"/>
          <w:highlight w:val="none"/>
          <w:lang w:eastAsia="zh-CN"/>
        </w:rPr>
        <w:t>七、</w:t>
      </w:r>
      <w:bookmarkEnd w:id="12"/>
      <w:bookmarkEnd w:id="13"/>
      <w:bookmarkEnd w:id="14"/>
      <w:bookmarkEnd w:id="15"/>
      <w:r>
        <w:rPr>
          <w:rFonts w:hint="eastAsia" w:ascii="宋体" w:hAnsi="宋体" w:eastAsia="宋体" w:cs="宋体"/>
          <w:b/>
          <w:bCs/>
          <w:color w:val="auto"/>
          <w:sz w:val="22"/>
          <w:szCs w:val="22"/>
          <w:highlight w:val="none"/>
          <w:lang w:eastAsia="zh-CN"/>
        </w:rPr>
        <w:t>投标文件开启</w:t>
      </w:r>
    </w:p>
    <w:p w14:paraId="63E3BF09">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开标时间：</w:t>
      </w:r>
      <w:r>
        <w:rPr>
          <w:rFonts w:hint="eastAsia" w:ascii="宋体" w:hAnsi="宋体" w:eastAsia="宋体" w:cs="宋体"/>
          <w:color w:val="auto"/>
          <w:sz w:val="22"/>
          <w:szCs w:val="22"/>
          <w:highlight w:val="none"/>
          <w:lang w:eastAsia="zh-CN"/>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ascii="宋体" w:hAnsi="宋体" w:cs="宋体"/>
          <w:color w:val="auto"/>
          <w:sz w:val="22"/>
          <w:szCs w:val="22"/>
          <w:highlight w:val="none"/>
          <w:lang w:val="en-US" w:eastAsia="zh-CN"/>
        </w:rPr>
        <w:t xml:space="preserve"> 1</w:t>
      </w:r>
      <w:r>
        <w:rPr>
          <w:rFonts w:hint="eastAsia" w:ascii="宋体" w:hAnsi="宋体" w:eastAsia="宋体" w:cs="宋体"/>
          <w:color w:val="auto"/>
          <w:sz w:val="22"/>
          <w:szCs w:val="22"/>
          <w:highlight w:val="none"/>
          <w:lang w:eastAsia="zh-CN"/>
        </w:rPr>
        <w:t>月</w:t>
      </w:r>
      <w:r>
        <w:rPr>
          <w:rFonts w:hint="eastAsia" w:ascii="宋体" w:hAnsi="宋体" w:cs="宋体"/>
          <w:color w:val="auto"/>
          <w:sz w:val="22"/>
          <w:szCs w:val="22"/>
          <w:highlight w:val="none"/>
          <w:lang w:val="en-US" w:eastAsia="zh-CN"/>
        </w:rPr>
        <w:t xml:space="preserve"> 20</w:t>
      </w:r>
      <w:r>
        <w:rPr>
          <w:rFonts w:hint="eastAsia" w:ascii="宋体" w:hAnsi="宋体" w:eastAsia="宋体" w:cs="宋体"/>
          <w:color w:val="auto"/>
          <w:sz w:val="22"/>
          <w:szCs w:val="22"/>
          <w:highlight w:val="none"/>
          <w:lang w:eastAsia="zh-CN"/>
        </w:rPr>
        <w:t>日</w:t>
      </w:r>
      <w:r>
        <w:rPr>
          <w:rFonts w:hint="eastAsia" w:ascii="宋体" w:hAnsi="宋体" w:cs="宋体"/>
          <w:color w:val="auto"/>
          <w:sz w:val="22"/>
          <w:szCs w:val="22"/>
          <w:highlight w:val="none"/>
          <w:lang w:val="en-US" w:eastAsia="zh-CN"/>
        </w:rPr>
        <w:t>09</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lang w:eastAsia="zh-CN"/>
        </w:rPr>
        <w:t>（北京时间）</w:t>
      </w:r>
    </w:p>
    <w:p w14:paraId="4BA6B922">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地点：</w:t>
      </w:r>
      <w:r>
        <w:rPr>
          <w:rFonts w:hint="eastAsia" w:ascii="宋体" w:hAnsi="宋体" w:eastAsia="宋体" w:cs="宋体"/>
          <w:color w:val="auto"/>
          <w:sz w:val="22"/>
          <w:szCs w:val="22"/>
          <w:highlight w:val="none"/>
          <w:lang w:val="en-US" w:eastAsia="zh-CN"/>
        </w:rPr>
        <w:t>衢州市衢江区公共资源交易中心</w:t>
      </w:r>
      <w:r>
        <w:rPr>
          <w:rFonts w:hint="eastAsia" w:ascii="宋体" w:hAnsi="宋体" w:cs="宋体"/>
          <w:color w:val="auto"/>
          <w:sz w:val="22"/>
          <w:szCs w:val="22"/>
          <w:highlight w:val="none"/>
          <w:lang w:val="en-US" w:eastAsia="zh-CN"/>
        </w:rPr>
        <w:t xml:space="preserve"> 1</w:t>
      </w:r>
      <w:r>
        <w:rPr>
          <w:rFonts w:hint="eastAsia" w:ascii="宋体" w:hAnsi="宋体" w:eastAsia="宋体" w:cs="宋体"/>
          <w:color w:val="auto"/>
          <w:sz w:val="22"/>
          <w:szCs w:val="22"/>
          <w:highlight w:val="none"/>
          <w:lang w:val="en-US" w:eastAsia="zh-CN"/>
        </w:rPr>
        <w:t>号评标厅（衢州市衢江区振兴东路268号</w:t>
      </w:r>
      <w:r>
        <w:rPr>
          <w:rFonts w:hint="eastAsia" w:ascii="宋体" w:hAnsi="宋体" w:cs="宋体"/>
          <w:color w:val="auto"/>
          <w:sz w:val="22"/>
          <w:szCs w:val="22"/>
          <w:highlight w:val="none"/>
          <w:lang w:val="en-US" w:eastAsia="zh-CN"/>
        </w:rPr>
        <w:t>五</w:t>
      </w:r>
      <w:r>
        <w:rPr>
          <w:rFonts w:hint="eastAsia" w:ascii="宋体" w:hAnsi="宋体" w:eastAsia="宋体" w:cs="宋体"/>
          <w:color w:val="auto"/>
          <w:sz w:val="22"/>
          <w:szCs w:val="22"/>
          <w:highlight w:val="none"/>
          <w:lang w:val="en-US" w:eastAsia="zh-CN"/>
        </w:rPr>
        <w:t>楼）同时在</w:t>
      </w:r>
      <w:r>
        <w:rPr>
          <w:rFonts w:hint="eastAsia" w:ascii="宋体" w:hAnsi="宋体" w:eastAsia="宋体" w:cs="宋体"/>
          <w:color w:val="auto"/>
          <w:sz w:val="22"/>
          <w:szCs w:val="22"/>
          <w:highlight w:val="none"/>
          <w:lang w:eastAsia="zh-CN"/>
        </w:rPr>
        <w:t>“政府采购云平台（http://login.zcygov.cn）”在线开、评标。</w:t>
      </w:r>
    </w:p>
    <w:p w14:paraId="3092327A">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本项目实行网上电子开评标，投标人代表无需到达开标现场。</w:t>
      </w:r>
    </w:p>
    <w:p w14:paraId="6B62E63F">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2"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八、公告发布媒体</w:t>
      </w:r>
    </w:p>
    <w:p w14:paraId="208268CF">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浙江政府采购网（https://zfcg.czt.zj.gov.cn/）--非政府招标公告--公款竞争性存放公告栏，衢江区政务网（www.qjq.gov.cn）。</w:t>
      </w:r>
    </w:p>
    <w:p w14:paraId="7567E37D">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2"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九、质疑和投诉</w:t>
      </w:r>
    </w:p>
    <w:p w14:paraId="682321CA">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本项目公告期限为</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个工作日，投标人认为招标文件使自己的权益受到损害的，</w:t>
      </w:r>
      <w:r>
        <w:rPr>
          <w:rFonts w:hint="eastAsia" w:ascii="宋体" w:hAnsi="宋体" w:eastAsia="宋体" w:cs="宋体"/>
          <w:color w:val="auto"/>
          <w:sz w:val="22"/>
          <w:szCs w:val="22"/>
          <w:highlight w:val="none"/>
          <w:lang w:val="zh-CN" w:eastAsia="zh-CN"/>
        </w:rPr>
        <w:t>可以自获取招标文件之日或者招标公告期限届满之日（公告期限届满后获取招标文件的，以公告期限届满之日为准）起</w:t>
      </w:r>
      <w:r>
        <w:rPr>
          <w:rFonts w:hint="eastAsia" w:ascii="宋体" w:hAnsi="宋体" w:eastAsia="宋体" w:cs="宋体"/>
          <w:color w:val="auto"/>
          <w:sz w:val="22"/>
          <w:szCs w:val="22"/>
          <w:highlight w:val="none"/>
          <w:lang w:val="en-US" w:eastAsia="zh-CN"/>
        </w:rPr>
        <w:t>2个工作日</w:t>
      </w:r>
      <w:r>
        <w:rPr>
          <w:rFonts w:hint="eastAsia" w:ascii="宋体" w:hAnsi="宋体" w:eastAsia="宋体" w:cs="宋体"/>
          <w:color w:val="auto"/>
          <w:sz w:val="22"/>
          <w:szCs w:val="22"/>
          <w:highlight w:val="none"/>
          <w:lang w:val="zh-CN" w:eastAsia="zh-CN"/>
        </w:rPr>
        <w:t>内，</w:t>
      </w:r>
      <w:r>
        <w:rPr>
          <w:rFonts w:hint="eastAsia" w:ascii="宋体" w:hAnsi="宋体" w:eastAsia="宋体" w:cs="宋体"/>
          <w:color w:val="auto"/>
          <w:sz w:val="22"/>
          <w:szCs w:val="22"/>
          <w:highlight w:val="none"/>
          <w:lang w:eastAsia="zh-CN"/>
        </w:rPr>
        <w:t>以书面形式向招标人和招标代理机构提出质疑。质疑投标人对招标人、招标代理机构的答复不满意或者招标人、招标代理机构未在规定的时间内作出答复的，可以在答复期满后</w:t>
      </w:r>
      <w:r>
        <w:rPr>
          <w:rFonts w:hint="eastAsia" w:ascii="宋体" w:hAnsi="宋体" w:eastAsia="宋体" w:cs="宋体"/>
          <w:color w:val="auto"/>
          <w:sz w:val="22"/>
          <w:szCs w:val="22"/>
          <w:highlight w:val="none"/>
          <w:lang w:val="en-US" w:eastAsia="zh-CN"/>
        </w:rPr>
        <w:t>2个工作日</w:t>
      </w:r>
      <w:r>
        <w:rPr>
          <w:rFonts w:hint="eastAsia" w:ascii="宋体" w:hAnsi="宋体" w:eastAsia="宋体" w:cs="宋体"/>
          <w:color w:val="auto"/>
          <w:sz w:val="22"/>
          <w:szCs w:val="22"/>
          <w:highlight w:val="none"/>
          <w:lang w:eastAsia="zh-CN"/>
        </w:rPr>
        <w:t>内向行政主管部门和同级纪检、监察部门投诉。</w:t>
      </w:r>
    </w:p>
    <w:p w14:paraId="77A23DDD">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十、联系方式</w:t>
      </w:r>
    </w:p>
    <w:p w14:paraId="2C601428">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招标人：衢州市衢江区住房和城乡建设局</w:t>
      </w:r>
    </w:p>
    <w:p w14:paraId="250E3CF6">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联系人：王女士     联系电话： 0570-2298659</w:t>
      </w:r>
      <w:r>
        <w:rPr>
          <w:rFonts w:hint="eastAsia" w:ascii="宋体" w:hAnsi="宋体" w:eastAsia="宋体" w:cs="宋体"/>
          <w:color w:val="auto"/>
          <w:sz w:val="22"/>
          <w:szCs w:val="22"/>
          <w:highlight w:val="none"/>
          <w:lang w:eastAsia="zh-CN"/>
        </w:rPr>
        <w:t xml:space="preserve">   </w:t>
      </w:r>
    </w:p>
    <w:p w14:paraId="07FDCC54">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地点：衢江区</w:t>
      </w:r>
      <w:r>
        <w:rPr>
          <w:rFonts w:hint="eastAsia" w:ascii="宋体" w:hAnsi="宋体" w:eastAsia="宋体" w:cs="宋体"/>
          <w:color w:val="auto"/>
          <w:sz w:val="22"/>
          <w:szCs w:val="22"/>
          <w:highlight w:val="none"/>
          <w:lang w:val="en-US" w:eastAsia="zh-CN"/>
        </w:rPr>
        <w:t>仙岩路32</w:t>
      </w:r>
      <w:r>
        <w:rPr>
          <w:rFonts w:hint="eastAsia" w:ascii="宋体" w:hAnsi="宋体" w:eastAsia="宋体" w:cs="宋体"/>
          <w:color w:val="auto"/>
          <w:sz w:val="22"/>
          <w:szCs w:val="22"/>
          <w:highlight w:val="none"/>
          <w:lang w:eastAsia="zh-CN"/>
        </w:rPr>
        <w:t xml:space="preserve">号 </w:t>
      </w:r>
    </w:p>
    <w:p w14:paraId="0AA837F3">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招标代理机构名称：</w:t>
      </w:r>
      <w:r>
        <w:rPr>
          <w:rFonts w:hint="eastAsia" w:ascii="宋体" w:hAnsi="宋体" w:cs="宋体"/>
          <w:color w:val="auto"/>
          <w:sz w:val="22"/>
          <w:szCs w:val="22"/>
          <w:highlight w:val="none"/>
          <w:lang w:eastAsia="zh-CN"/>
        </w:rPr>
        <w:t>东方经纬项目管理有限公司</w:t>
      </w:r>
    </w:p>
    <w:p w14:paraId="4C8F314D">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项目联系人：</w:t>
      </w:r>
      <w:r>
        <w:rPr>
          <w:rFonts w:hint="eastAsia" w:ascii="宋体" w:hAnsi="宋体" w:cs="宋体"/>
          <w:color w:val="auto"/>
          <w:sz w:val="22"/>
          <w:szCs w:val="22"/>
          <w:highlight w:val="none"/>
          <w:lang w:eastAsia="zh-CN"/>
        </w:rPr>
        <w:t>翁女士</w:t>
      </w:r>
      <w:r>
        <w:rPr>
          <w:rFonts w:hint="eastAsia" w:ascii="宋体" w:hAnsi="宋体" w:eastAsia="宋体" w:cs="宋体"/>
          <w:color w:val="auto"/>
          <w:sz w:val="22"/>
          <w:szCs w:val="22"/>
          <w:highlight w:val="none"/>
          <w:lang w:eastAsia="zh-CN"/>
        </w:rPr>
        <w:t>；   联系电话：</w:t>
      </w:r>
      <w:r>
        <w:rPr>
          <w:rFonts w:hint="eastAsia" w:ascii="宋体" w:hAnsi="宋体" w:cs="宋体"/>
          <w:color w:val="auto"/>
          <w:sz w:val="22"/>
          <w:szCs w:val="22"/>
          <w:highlight w:val="none"/>
          <w:lang w:eastAsia="zh-CN"/>
        </w:rPr>
        <w:t>0570-2292799</w:t>
      </w:r>
    </w:p>
    <w:p w14:paraId="5C54B824">
      <w:pPr>
        <w:keepNext w:val="0"/>
        <w:keepLines w:val="0"/>
        <w:pageBreakBefore w:val="0"/>
        <w:widowControl w:val="0"/>
        <w:numPr>
          <w:ilvl w:val="0"/>
          <w:numId w:val="0"/>
        </w:numPr>
        <w:kinsoku/>
        <w:wordWrap/>
        <w:overflowPunct/>
        <w:topLinePunct w:val="0"/>
        <w:autoSpaceDE/>
        <w:autoSpaceDN/>
        <w:bidi w:val="0"/>
        <w:snapToGrid w:val="0"/>
        <w:spacing w:line="42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地点：</w:t>
      </w:r>
      <w:r>
        <w:rPr>
          <w:rFonts w:hint="eastAsia" w:ascii="宋体" w:hAnsi="宋体" w:cs="宋体"/>
          <w:color w:val="auto"/>
          <w:sz w:val="22"/>
          <w:szCs w:val="22"/>
          <w:highlight w:val="none"/>
          <w:lang w:eastAsia="zh-CN"/>
        </w:rPr>
        <w:t>衢江区东迹大道国金大厦1107、1108室</w:t>
      </w:r>
    </w:p>
    <w:p w14:paraId="73406928">
      <w:pPr>
        <w:keepNext w:val="0"/>
        <w:keepLines w:val="0"/>
        <w:pageBreakBefore w:val="0"/>
        <w:widowControl w:val="0"/>
        <w:kinsoku/>
        <w:wordWrap/>
        <w:overflowPunct/>
        <w:topLinePunct w:val="0"/>
        <w:autoSpaceDE/>
        <w:autoSpaceDN/>
        <w:bidi w:val="0"/>
        <w:snapToGrid w:val="0"/>
        <w:spacing w:line="420" w:lineRule="exact"/>
        <w:ind w:left="4299" w:leftChars="266" w:hanging="3740" w:hangingChars="17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2D24D18">
      <w:pPr>
        <w:keepNext w:val="0"/>
        <w:keepLines w:val="0"/>
        <w:pageBreakBefore w:val="0"/>
        <w:widowControl w:val="0"/>
        <w:kinsoku/>
        <w:wordWrap/>
        <w:overflowPunct/>
        <w:topLinePunct w:val="0"/>
        <w:autoSpaceDE/>
        <w:autoSpaceDN/>
        <w:bidi w:val="0"/>
        <w:snapToGrid w:val="0"/>
        <w:spacing w:line="420" w:lineRule="exact"/>
        <w:ind w:left="4299" w:leftChars="266" w:hanging="3740" w:hangingChars="170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衢州市衢江区住房和城乡建设局</w:t>
      </w:r>
    </w:p>
    <w:p w14:paraId="7081C091">
      <w:pPr>
        <w:keepNext w:val="0"/>
        <w:keepLines w:val="0"/>
        <w:pageBreakBefore w:val="0"/>
        <w:widowControl w:val="0"/>
        <w:kinsoku/>
        <w:wordWrap/>
        <w:overflowPunct/>
        <w:topLinePunct w:val="0"/>
        <w:autoSpaceDE/>
        <w:autoSpaceDN/>
        <w:bidi w:val="0"/>
        <w:snapToGrid w:val="0"/>
        <w:spacing w:line="420" w:lineRule="exact"/>
        <w:ind w:left="4299" w:leftChars="266" w:hanging="3740" w:hangingChars="1700"/>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东方经纬项目管理有限公司</w:t>
      </w:r>
    </w:p>
    <w:p w14:paraId="6F734103">
      <w:pPr>
        <w:keepNext w:val="0"/>
        <w:keepLines w:val="0"/>
        <w:pageBreakBefore w:val="0"/>
        <w:widowControl w:val="0"/>
        <w:kinsoku/>
        <w:wordWrap/>
        <w:overflowPunct/>
        <w:topLinePunct w:val="0"/>
        <w:autoSpaceDE/>
        <w:autoSpaceDN/>
        <w:bidi w:val="0"/>
        <w:snapToGrid w:val="0"/>
        <w:spacing w:line="420" w:lineRule="exact"/>
        <w:ind w:right="-531" w:rightChars="-25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 xml:space="preserve">10 </w:t>
      </w:r>
      <w:r>
        <w:rPr>
          <w:rFonts w:hint="eastAsia" w:ascii="宋体" w:hAnsi="宋体" w:eastAsia="宋体" w:cs="宋体"/>
          <w:color w:val="auto"/>
          <w:sz w:val="22"/>
          <w:szCs w:val="22"/>
          <w:highlight w:val="none"/>
        </w:rPr>
        <w:t>日</w:t>
      </w:r>
    </w:p>
    <w:p w14:paraId="59181CC8">
      <w:pPr>
        <w:numPr>
          <w:ilvl w:val="0"/>
          <w:numId w:val="14"/>
        </w:numPr>
        <w:snapToGrid w:val="0"/>
        <w:spacing w:before="120" w:beforeLines="50" w:after="120" w:afterLines="50" w:line="288" w:lineRule="exact"/>
        <w:ind w:firstLine="1760"/>
        <w:outlineLvl w:val="0"/>
        <w:rPr>
          <w:rFonts w:hint="eastAsia" w:ascii="宋体" w:hAnsi="宋体" w:cs="宋体"/>
          <w:b/>
          <w:color w:val="auto"/>
          <w:sz w:val="32"/>
          <w:szCs w:val="32"/>
          <w:highlight w:val="none"/>
        </w:rPr>
      </w:pPr>
      <w:bookmarkStart w:id="16" w:name="_Toc322352982"/>
      <w:bookmarkStart w:id="17" w:name="_Toc354491896"/>
      <w:bookmarkStart w:id="18" w:name="_Toc356371430"/>
      <w:r>
        <w:rPr>
          <w:rFonts w:ascii="仿宋_GB2312" w:hAnsi="宋体" w:eastAsia="仿宋_GB2312" w:cs="宋体"/>
          <w:b/>
          <w:color w:val="auto"/>
          <w:sz w:val="32"/>
          <w:szCs w:val="32"/>
          <w:highlight w:val="none"/>
        </w:rPr>
        <w:br w:type="page"/>
      </w:r>
      <w:bookmarkStart w:id="19" w:name="_Toc24708464"/>
      <w:r>
        <w:rPr>
          <w:rFonts w:hint="eastAsia" w:ascii="宋体" w:hAnsi="宋体" w:cs="宋体"/>
          <w:b/>
          <w:color w:val="auto"/>
          <w:sz w:val="32"/>
          <w:szCs w:val="32"/>
          <w:highlight w:val="none"/>
        </w:rPr>
        <w:t xml:space="preserve"> 投标</w:t>
      </w:r>
      <w:bookmarkEnd w:id="16"/>
      <w:bookmarkEnd w:id="17"/>
      <w:r>
        <w:rPr>
          <w:rFonts w:hint="eastAsia" w:ascii="宋体" w:hAnsi="宋体" w:cs="宋体"/>
          <w:b/>
          <w:color w:val="auto"/>
          <w:sz w:val="32"/>
          <w:szCs w:val="32"/>
          <w:highlight w:val="none"/>
        </w:rPr>
        <w:t>须知前附表及投标须知</w:t>
      </w:r>
      <w:bookmarkEnd w:id="18"/>
      <w:bookmarkEnd w:id="19"/>
      <w:bookmarkStart w:id="20" w:name="_Toc356371431"/>
      <w:bookmarkStart w:id="21" w:name="_Toc24708465"/>
    </w:p>
    <w:p w14:paraId="2FF6150F">
      <w:pPr>
        <w:numPr>
          <w:ilvl w:val="0"/>
          <w:numId w:val="0"/>
        </w:numPr>
        <w:snapToGrid w:val="0"/>
        <w:spacing w:before="120" w:beforeLines="50" w:after="120" w:afterLines="50" w:line="288" w:lineRule="exact"/>
        <w:outlineLvl w:val="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eastAsia="zh-CN"/>
        </w:rPr>
        <w:t>一、</w:t>
      </w:r>
      <w:r>
        <w:rPr>
          <w:rFonts w:hint="eastAsia" w:asciiTheme="minorEastAsia" w:hAnsiTheme="minorEastAsia" w:eastAsiaTheme="minorEastAsia" w:cstheme="minorEastAsia"/>
          <w:b/>
          <w:color w:val="auto"/>
          <w:sz w:val="22"/>
          <w:szCs w:val="22"/>
          <w:highlight w:val="none"/>
        </w:rPr>
        <w:t>投标须知前附表</w:t>
      </w:r>
      <w:bookmarkEnd w:id="20"/>
      <w:bookmarkEnd w:id="21"/>
    </w:p>
    <w:tbl>
      <w:tblPr>
        <w:tblStyle w:val="62"/>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800"/>
        <w:gridCol w:w="7463"/>
      </w:tblGrid>
      <w:tr w14:paraId="7AB7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14:paraId="348129D4">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bookmarkStart w:id="22" w:name="_Toc24708466"/>
            <w:bookmarkStart w:id="23" w:name="_Toc356371433"/>
            <w:r>
              <w:rPr>
                <w:rFonts w:hint="eastAsia" w:asciiTheme="minorEastAsia" w:hAnsiTheme="minorEastAsia" w:eastAsiaTheme="minorEastAsia" w:cstheme="minorEastAsia"/>
                <w:b w:val="0"/>
                <w:bCs w:val="0"/>
                <w:color w:val="auto"/>
                <w:kern w:val="0"/>
                <w:sz w:val="22"/>
                <w:szCs w:val="22"/>
                <w:highlight w:val="none"/>
                <w:lang w:val="en-US" w:eastAsia="zh-CN" w:bidi="ar-SA"/>
              </w:rPr>
              <w:t>序号</w:t>
            </w:r>
          </w:p>
        </w:tc>
        <w:tc>
          <w:tcPr>
            <w:tcW w:w="1800" w:type="dxa"/>
            <w:vAlign w:val="center"/>
          </w:tcPr>
          <w:p w14:paraId="01DFC9CB">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firstLine="440" w:firstLineChars="20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内容</w:t>
            </w:r>
          </w:p>
        </w:tc>
        <w:tc>
          <w:tcPr>
            <w:tcW w:w="7463" w:type="dxa"/>
            <w:vAlign w:val="center"/>
          </w:tcPr>
          <w:p w14:paraId="12D56D46">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说明与要求</w:t>
            </w:r>
          </w:p>
        </w:tc>
      </w:tr>
      <w:tr w14:paraId="37BD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14:paraId="065937AE">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1</w:t>
            </w:r>
          </w:p>
        </w:tc>
        <w:tc>
          <w:tcPr>
            <w:tcW w:w="1800" w:type="dxa"/>
            <w:vAlign w:val="center"/>
          </w:tcPr>
          <w:p w14:paraId="4F9A64CB">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招标人</w:t>
            </w:r>
          </w:p>
        </w:tc>
        <w:tc>
          <w:tcPr>
            <w:tcW w:w="7463" w:type="dxa"/>
            <w:vAlign w:val="center"/>
          </w:tcPr>
          <w:p w14:paraId="43AEF088">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衢州市衢江区住房和城乡建设局</w:t>
            </w:r>
          </w:p>
        </w:tc>
      </w:tr>
      <w:tr w14:paraId="4D3B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14:paraId="36B333A4">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2</w:t>
            </w:r>
          </w:p>
        </w:tc>
        <w:tc>
          <w:tcPr>
            <w:tcW w:w="1800" w:type="dxa"/>
            <w:vAlign w:val="center"/>
          </w:tcPr>
          <w:p w14:paraId="790335E8">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项目名称</w:t>
            </w:r>
          </w:p>
        </w:tc>
        <w:tc>
          <w:tcPr>
            <w:tcW w:w="7463" w:type="dxa"/>
            <w:vAlign w:val="center"/>
          </w:tcPr>
          <w:p w14:paraId="6854A9E7">
            <w:pPr>
              <w:pStyle w:val="4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eastAsia="zh-CN"/>
              </w:rPr>
              <w:t>衢州市衢江区住房和城乡建设局2025年第一期物业两金竞争性存放项目</w:t>
            </w:r>
          </w:p>
        </w:tc>
      </w:tr>
      <w:tr w14:paraId="501D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14:paraId="7B4AC10D">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3</w:t>
            </w:r>
          </w:p>
        </w:tc>
        <w:tc>
          <w:tcPr>
            <w:tcW w:w="1800" w:type="dxa"/>
            <w:vAlign w:val="center"/>
          </w:tcPr>
          <w:p w14:paraId="7B12ECB8">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资金总额</w:t>
            </w:r>
          </w:p>
        </w:tc>
        <w:tc>
          <w:tcPr>
            <w:tcW w:w="7463" w:type="dxa"/>
            <w:vAlign w:val="center"/>
          </w:tcPr>
          <w:p w14:paraId="66B522F4">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both"/>
              <w:textAlignment w:val="auto"/>
              <w:rPr>
                <w:rFonts w:hint="default"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人民币 6900万元，其中</w:t>
            </w:r>
            <w:bookmarkStart w:id="81" w:name="_GoBack"/>
            <w:bookmarkEnd w:id="81"/>
            <w:r>
              <w:rPr>
                <w:rFonts w:hint="eastAsia" w:asciiTheme="minorEastAsia" w:hAnsiTheme="minorEastAsia" w:eastAsiaTheme="minorEastAsia" w:cstheme="minorEastAsia"/>
                <w:b w:val="0"/>
                <w:bCs w:val="0"/>
                <w:color w:val="auto"/>
                <w:kern w:val="0"/>
                <w:sz w:val="22"/>
                <w:szCs w:val="22"/>
                <w:highlight w:val="none"/>
                <w:lang w:val="en-US" w:eastAsia="zh-CN" w:bidi="ar-SA"/>
              </w:rPr>
              <w:t>标项一：5300万元，标项二：1600万元。</w:t>
            </w:r>
          </w:p>
        </w:tc>
      </w:tr>
      <w:tr w14:paraId="21D1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14:paraId="774B87FF">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4</w:t>
            </w:r>
          </w:p>
        </w:tc>
        <w:tc>
          <w:tcPr>
            <w:tcW w:w="1800" w:type="dxa"/>
            <w:vAlign w:val="center"/>
          </w:tcPr>
          <w:p w14:paraId="52C93E8F">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投标有效期</w:t>
            </w:r>
          </w:p>
        </w:tc>
        <w:tc>
          <w:tcPr>
            <w:tcW w:w="7463" w:type="dxa"/>
            <w:vAlign w:val="center"/>
          </w:tcPr>
          <w:p w14:paraId="6D78A6E8">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投标文件递交截止之日</w:t>
            </w:r>
            <w:r>
              <w:rPr>
                <w:rFonts w:hint="eastAsia" w:asciiTheme="minorEastAsia" w:hAnsiTheme="minorEastAsia" w:eastAsiaTheme="minorEastAsia" w:cstheme="minorEastAsia"/>
                <w:b w:val="0"/>
                <w:bCs w:val="0"/>
                <w:color w:val="auto"/>
                <w:kern w:val="0"/>
                <w:sz w:val="22"/>
                <w:szCs w:val="22"/>
                <w:highlight w:val="none"/>
                <w:shd w:val="clear" w:color="auto" w:fill="auto"/>
                <w:lang w:val="en-US" w:eastAsia="zh-CN" w:bidi="ar-SA"/>
              </w:rPr>
              <w:t>起90天</w:t>
            </w:r>
          </w:p>
        </w:tc>
      </w:tr>
      <w:tr w14:paraId="56F0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14:paraId="3AF5057B">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5</w:t>
            </w:r>
          </w:p>
        </w:tc>
        <w:tc>
          <w:tcPr>
            <w:tcW w:w="1800" w:type="dxa"/>
            <w:vAlign w:val="center"/>
          </w:tcPr>
          <w:p w14:paraId="4BA8FD90">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招标服务期</w:t>
            </w:r>
          </w:p>
        </w:tc>
        <w:tc>
          <w:tcPr>
            <w:tcW w:w="7463" w:type="dxa"/>
            <w:vAlign w:val="center"/>
          </w:tcPr>
          <w:p w14:paraId="7C22B26C">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both"/>
              <w:textAlignment w:val="auto"/>
              <w:rPr>
                <w:rFonts w:hint="default"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标项一：3年；标项二：1年。</w:t>
            </w:r>
          </w:p>
        </w:tc>
      </w:tr>
      <w:tr w14:paraId="5C8B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14:paraId="1DE5E594">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5</w:t>
            </w:r>
          </w:p>
        </w:tc>
        <w:tc>
          <w:tcPr>
            <w:tcW w:w="1800" w:type="dxa"/>
            <w:vAlign w:val="center"/>
          </w:tcPr>
          <w:p w14:paraId="58004171">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投标保证金</w:t>
            </w:r>
          </w:p>
        </w:tc>
        <w:tc>
          <w:tcPr>
            <w:tcW w:w="7463" w:type="dxa"/>
            <w:vAlign w:val="center"/>
          </w:tcPr>
          <w:p w14:paraId="545C3913">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本项目不收取投标保证金</w:t>
            </w:r>
          </w:p>
        </w:tc>
      </w:tr>
      <w:tr w14:paraId="3CEF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89" w:type="dxa"/>
            <w:vAlign w:val="center"/>
          </w:tcPr>
          <w:p w14:paraId="26E82C26">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6</w:t>
            </w:r>
          </w:p>
        </w:tc>
        <w:tc>
          <w:tcPr>
            <w:tcW w:w="1800" w:type="dxa"/>
            <w:vAlign w:val="center"/>
          </w:tcPr>
          <w:p w14:paraId="58AA45D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投标文件份数</w:t>
            </w:r>
          </w:p>
        </w:tc>
        <w:tc>
          <w:tcPr>
            <w:tcW w:w="7463" w:type="dxa"/>
            <w:vAlign w:val="center"/>
          </w:tcPr>
          <w:p w14:paraId="301C3889">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00" w:lineRule="exact"/>
              <w:ind w:left="0" w:right="0" w:rightChars="0"/>
              <w:jc w:val="both"/>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Style w:val="300"/>
                <w:rFonts w:hint="eastAsia" w:asciiTheme="minorEastAsia" w:hAnsiTheme="minorEastAsia" w:eastAsiaTheme="minorEastAsia" w:cstheme="minorEastAsia"/>
                <w:color w:val="auto"/>
                <w:sz w:val="22"/>
                <w:szCs w:val="22"/>
                <w:highlight w:val="none"/>
                <w:lang w:val="zh-CN"/>
              </w:rPr>
              <w:t>“电子投标文件”：在线上传，递交一份。</w:t>
            </w:r>
            <w:r>
              <w:rPr>
                <w:rFonts w:hint="eastAsia" w:asciiTheme="minorEastAsia" w:hAnsiTheme="minorEastAsia" w:eastAsiaTheme="minorEastAsia" w:cstheme="minorEastAsia"/>
                <w:b w:val="0"/>
                <w:bCs w:val="0"/>
                <w:color w:val="auto"/>
                <w:kern w:val="0"/>
                <w:sz w:val="22"/>
                <w:szCs w:val="22"/>
                <w:highlight w:val="none"/>
                <w:lang w:val="en-US" w:eastAsia="zh-CN" w:bidi="ar-SA"/>
              </w:rPr>
              <w:t>如中标，中标投标人需根据招标人要求提供纸质投标文件至少肆份。</w:t>
            </w:r>
          </w:p>
        </w:tc>
      </w:tr>
      <w:tr w14:paraId="255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89" w:type="dxa"/>
            <w:vAlign w:val="center"/>
          </w:tcPr>
          <w:p w14:paraId="2E19993F">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7</w:t>
            </w:r>
          </w:p>
        </w:tc>
        <w:tc>
          <w:tcPr>
            <w:tcW w:w="1800" w:type="dxa"/>
            <w:vAlign w:val="center"/>
          </w:tcPr>
          <w:p w14:paraId="3988B90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投标文件的签字或盖章要求</w:t>
            </w:r>
          </w:p>
        </w:tc>
        <w:tc>
          <w:tcPr>
            <w:tcW w:w="7463" w:type="dxa"/>
            <w:vAlign w:val="center"/>
          </w:tcPr>
          <w:p w14:paraId="5F8A1AD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1.按“投标文件格式”中提供的格式进行签字盖章；</w:t>
            </w:r>
          </w:p>
          <w:p w14:paraId="212A2F8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2.投标文件的签章：公章须使用电子签章或加盖公章，法定代表人和授权代表签字或盖章可书面签字或盖章后扫描至电子投标文件中上传。</w:t>
            </w:r>
          </w:p>
          <w:p w14:paraId="741B8C3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3.开标后，相关信息记录确认、澄清说明、回复等内容及电子签章或者签章后上传的相关文件，均认可。</w:t>
            </w:r>
          </w:p>
          <w:p w14:paraId="587DFE2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lang w:val="zh-CN"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4.电子签章操作指南详见《投标人项目采购-电子招投标操作指南》。系统要求进行电子签章的，按系统要求签章。</w:t>
            </w:r>
          </w:p>
        </w:tc>
      </w:tr>
      <w:tr w14:paraId="7D7B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89" w:type="dxa"/>
            <w:vAlign w:val="center"/>
          </w:tcPr>
          <w:p w14:paraId="577C5983">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8</w:t>
            </w:r>
          </w:p>
        </w:tc>
        <w:tc>
          <w:tcPr>
            <w:tcW w:w="1800" w:type="dxa"/>
            <w:vAlign w:val="center"/>
          </w:tcPr>
          <w:p w14:paraId="21D1E5BD">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投标文件截止时间及开标时间</w:t>
            </w:r>
          </w:p>
        </w:tc>
        <w:tc>
          <w:tcPr>
            <w:tcW w:w="7463" w:type="dxa"/>
            <w:vAlign w:val="center"/>
          </w:tcPr>
          <w:p w14:paraId="7B73753C">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详见公告（北京时间）</w:t>
            </w:r>
          </w:p>
        </w:tc>
      </w:tr>
      <w:tr w14:paraId="5F97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89" w:type="dxa"/>
            <w:vAlign w:val="center"/>
          </w:tcPr>
          <w:p w14:paraId="00292973">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9</w:t>
            </w:r>
          </w:p>
        </w:tc>
        <w:tc>
          <w:tcPr>
            <w:tcW w:w="1800" w:type="dxa"/>
            <w:vAlign w:val="center"/>
          </w:tcPr>
          <w:p w14:paraId="20879CF5">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开标地点</w:t>
            </w:r>
          </w:p>
        </w:tc>
        <w:tc>
          <w:tcPr>
            <w:tcW w:w="7463" w:type="dxa"/>
            <w:vAlign w:val="center"/>
          </w:tcPr>
          <w:p w14:paraId="10A5307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2"/>
                <w:szCs w:val="22"/>
                <w:highlight w:val="none"/>
                <w:shd w:val="clear" w:color="auto" w:fill="auto"/>
                <w:lang w:val="en-US" w:eastAsia="zh-CN" w:bidi="ar-SA"/>
              </w:rPr>
              <w:t>衢州市衢江区公共资源交易中心评标厅（衢州市衢江区振兴东路268号五楼）及</w:t>
            </w:r>
            <w:r>
              <w:rPr>
                <w:rFonts w:hint="eastAsia" w:asciiTheme="minorEastAsia" w:hAnsiTheme="minorEastAsia" w:eastAsiaTheme="minorEastAsia" w:cstheme="minorEastAsia"/>
                <w:color w:val="auto"/>
                <w:sz w:val="22"/>
                <w:szCs w:val="22"/>
                <w:highlight w:val="none"/>
              </w:rPr>
              <w:t>“政府采购云平台</w:t>
            </w:r>
            <w:r>
              <w:rPr>
                <w:rFonts w:hint="eastAsia" w:asciiTheme="minorEastAsia" w:hAnsiTheme="minorEastAsia" w:eastAsiaTheme="minorEastAsia" w:cstheme="minorEastAsia"/>
                <w:color w:val="auto"/>
                <w:sz w:val="22"/>
                <w:szCs w:val="22"/>
                <w:highlight w:val="none"/>
                <w:lang w:eastAsia="zh-CN"/>
              </w:rPr>
              <w:t>（http://login.zcygov.cn）</w:t>
            </w:r>
            <w:r>
              <w:rPr>
                <w:rFonts w:hint="eastAsia" w:asciiTheme="minorEastAsia" w:hAnsiTheme="minorEastAsia" w:eastAsiaTheme="minorEastAsia" w:cstheme="minorEastAsia"/>
                <w:color w:val="auto"/>
                <w:sz w:val="22"/>
                <w:szCs w:val="22"/>
                <w:highlight w:val="none"/>
              </w:rPr>
              <w:t>”在</w:t>
            </w:r>
            <w:r>
              <w:rPr>
                <w:rFonts w:hint="eastAsia" w:asciiTheme="minorEastAsia" w:hAnsiTheme="minorEastAsia" w:eastAsiaTheme="minorEastAsia" w:cstheme="minorEastAsia"/>
                <w:color w:val="auto"/>
                <w:sz w:val="22"/>
                <w:szCs w:val="22"/>
                <w:highlight w:val="none"/>
              </w:rPr>
              <w:t>线开、评标</w:t>
            </w:r>
            <w:r>
              <w:rPr>
                <w:rFonts w:hint="eastAsia" w:asciiTheme="minorEastAsia" w:hAnsiTheme="minorEastAsia" w:eastAsiaTheme="minorEastAsia" w:cstheme="minorEastAsia"/>
                <w:color w:val="auto"/>
                <w:sz w:val="22"/>
                <w:szCs w:val="22"/>
                <w:highlight w:val="none"/>
                <w:lang w:eastAsia="zh-CN"/>
              </w:rPr>
              <w:t>。</w:t>
            </w:r>
          </w:p>
        </w:tc>
      </w:tr>
      <w:tr w14:paraId="2310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89" w:type="dxa"/>
            <w:vAlign w:val="center"/>
          </w:tcPr>
          <w:p w14:paraId="15DA6AFA">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10</w:t>
            </w:r>
          </w:p>
        </w:tc>
        <w:tc>
          <w:tcPr>
            <w:tcW w:w="1800" w:type="dxa"/>
            <w:vAlign w:val="center"/>
          </w:tcPr>
          <w:p w14:paraId="0E3B61DE">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签订合同</w:t>
            </w:r>
          </w:p>
        </w:tc>
        <w:tc>
          <w:tcPr>
            <w:tcW w:w="7463" w:type="dxa"/>
            <w:vAlign w:val="center"/>
          </w:tcPr>
          <w:p w14:paraId="7E3AC9E5">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2"/>
                <w:szCs w:val="22"/>
                <w:highlight w:val="none"/>
                <w:shd w:val="clear" w:color="auto" w:fill="auto"/>
                <w:lang w:val="en-US" w:eastAsia="zh-CN" w:bidi="ar-SA"/>
              </w:rPr>
              <w:t>中标通知书发出后15个工作日内签订合同。</w:t>
            </w:r>
          </w:p>
        </w:tc>
      </w:tr>
      <w:tr w14:paraId="61FC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89" w:type="dxa"/>
            <w:vAlign w:val="center"/>
          </w:tcPr>
          <w:p w14:paraId="5DBD07E8">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11</w:t>
            </w:r>
          </w:p>
        </w:tc>
        <w:tc>
          <w:tcPr>
            <w:tcW w:w="1800" w:type="dxa"/>
            <w:vAlign w:val="center"/>
          </w:tcPr>
          <w:p w14:paraId="28F5F3B5">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联合体投标</w:t>
            </w:r>
          </w:p>
        </w:tc>
        <w:tc>
          <w:tcPr>
            <w:tcW w:w="7463" w:type="dxa"/>
            <w:vAlign w:val="center"/>
          </w:tcPr>
          <w:p w14:paraId="69ADE91F">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2"/>
                <w:szCs w:val="22"/>
                <w:highlight w:val="none"/>
                <w:shd w:val="clear" w:color="auto" w:fill="auto"/>
                <w:lang w:val="en-US" w:eastAsia="zh-CN" w:bidi="ar-SA"/>
              </w:rPr>
              <w:t>本项目谢绝联合体投标。</w:t>
            </w:r>
          </w:p>
        </w:tc>
      </w:tr>
      <w:tr w14:paraId="29FC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89" w:type="dxa"/>
            <w:vAlign w:val="center"/>
          </w:tcPr>
          <w:p w14:paraId="7B8D36FA">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12</w:t>
            </w:r>
          </w:p>
        </w:tc>
        <w:tc>
          <w:tcPr>
            <w:tcW w:w="1800" w:type="dxa"/>
            <w:vAlign w:val="center"/>
          </w:tcPr>
          <w:p w14:paraId="11BE45BF">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联系人</w:t>
            </w:r>
          </w:p>
        </w:tc>
        <w:tc>
          <w:tcPr>
            <w:tcW w:w="7463" w:type="dxa"/>
            <w:vAlign w:val="center"/>
          </w:tcPr>
          <w:p w14:paraId="6F0180BB">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shd w:val="clear" w:color="auto" w:fill="auto"/>
                <w:lang w:val="zh-CN" w:eastAsia="zh-CN" w:bidi="ar-SA"/>
              </w:rPr>
            </w:pPr>
            <w:r>
              <w:rPr>
                <w:rFonts w:hint="eastAsia" w:asciiTheme="minorEastAsia" w:hAnsiTheme="minorEastAsia" w:eastAsiaTheme="minorEastAsia" w:cstheme="minorEastAsia"/>
                <w:color w:val="auto"/>
                <w:sz w:val="22"/>
                <w:szCs w:val="22"/>
                <w:highlight w:val="none"/>
                <w:lang w:eastAsia="zh-CN"/>
              </w:rPr>
              <w:t>翁女士</w:t>
            </w:r>
          </w:p>
        </w:tc>
      </w:tr>
      <w:tr w14:paraId="55D4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89" w:type="dxa"/>
            <w:vAlign w:val="center"/>
          </w:tcPr>
          <w:p w14:paraId="1CEE8B13">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13</w:t>
            </w:r>
          </w:p>
        </w:tc>
        <w:tc>
          <w:tcPr>
            <w:tcW w:w="1800" w:type="dxa"/>
            <w:vAlign w:val="center"/>
          </w:tcPr>
          <w:p w14:paraId="1EA0B7DA">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联系电话（传真）</w:t>
            </w:r>
          </w:p>
        </w:tc>
        <w:tc>
          <w:tcPr>
            <w:tcW w:w="7463" w:type="dxa"/>
            <w:vAlign w:val="center"/>
          </w:tcPr>
          <w:p w14:paraId="267FD33A">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shd w:val="clear" w:color="auto" w:fill="auto"/>
                <w:lang w:val="zh-CN" w:eastAsia="zh-CN" w:bidi="ar-SA"/>
              </w:rPr>
            </w:pPr>
            <w:r>
              <w:rPr>
                <w:rFonts w:hint="eastAsia" w:asciiTheme="minorEastAsia" w:hAnsiTheme="minorEastAsia" w:eastAsiaTheme="minorEastAsia" w:cstheme="minorEastAsia"/>
                <w:b w:val="0"/>
                <w:bCs w:val="0"/>
                <w:color w:val="auto"/>
                <w:kern w:val="0"/>
                <w:sz w:val="22"/>
                <w:szCs w:val="22"/>
                <w:highlight w:val="none"/>
                <w:shd w:val="clear" w:color="auto" w:fill="auto"/>
                <w:lang w:val="en-US" w:eastAsia="zh-CN" w:bidi="ar-SA"/>
              </w:rPr>
              <w:t>0570-2292799;</w:t>
            </w:r>
          </w:p>
        </w:tc>
      </w:tr>
      <w:tr w14:paraId="0860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vAlign w:val="center"/>
          </w:tcPr>
          <w:p w14:paraId="6BA993AA">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14</w:t>
            </w:r>
          </w:p>
        </w:tc>
        <w:tc>
          <w:tcPr>
            <w:tcW w:w="1800" w:type="dxa"/>
            <w:vAlign w:val="center"/>
          </w:tcPr>
          <w:p w14:paraId="040D491F">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bidi="ar-SA"/>
              </w:rPr>
              <w:t>招标公告，更正公告，中标公示发布网址</w:t>
            </w:r>
          </w:p>
        </w:tc>
        <w:tc>
          <w:tcPr>
            <w:tcW w:w="7463" w:type="dxa"/>
            <w:vAlign w:val="center"/>
          </w:tcPr>
          <w:p w14:paraId="2A07604C">
            <w:pPr>
              <w:pStyle w:val="3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both"/>
              <w:textAlignment w:val="auto"/>
              <w:rPr>
                <w:rFonts w:hint="eastAsia" w:asciiTheme="minorEastAsia" w:hAnsiTheme="minorEastAsia" w:eastAsiaTheme="minorEastAsia" w:cstheme="minorEastAsia"/>
                <w:b w:val="0"/>
                <w:bCs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0"/>
                <w:sz w:val="22"/>
                <w:szCs w:val="22"/>
                <w:highlight w:val="none"/>
                <w:shd w:val="clear" w:color="auto" w:fill="auto"/>
                <w:lang w:val="en-US" w:eastAsia="zh-CN" w:bidi="ar-SA"/>
              </w:rPr>
              <w:t>浙江政府采购网（https://zfcg.czt.zj.gov.cn/）--非政府招标公告--公款竞争性存放公告栏，衢江区政务网（www.qjq.gov.cn）。</w:t>
            </w:r>
          </w:p>
        </w:tc>
      </w:tr>
      <w:bookmarkEnd w:id="22"/>
      <w:bookmarkEnd w:id="23"/>
    </w:tbl>
    <w:p w14:paraId="4BA62AB6">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2" w:firstLineChars="200"/>
        <w:textAlignment w:val="auto"/>
        <w:rPr>
          <w:rFonts w:hint="eastAsia" w:asciiTheme="minorEastAsia" w:hAnsiTheme="minorEastAsia" w:eastAsiaTheme="minorEastAsia" w:cstheme="minorEastAsia"/>
          <w:b/>
          <w:bCs/>
          <w:color w:val="auto"/>
          <w:sz w:val="22"/>
          <w:szCs w:val="22"/>
          <w:highlight w:val="none"/>
          <w:lang w:val="en-US" w:eastAsia="zh-CN"/>
        </w:rPr>
      </w:pPr>
      <w:bookmarkStart w:id="24" w:name="_Toc350256314"/>
      <w:bookmarkStart w:id="25" w:name="_Toc322352983"/>
      <w:bookmarkStart w:id="26" w:name="_Toc24708479"/>
      <w:bookmarkStart w:id="27" w:name="_Toc354401531"/>
      <w:r>
        <w:rPr>
          <w:rFonts w:hint="eastAsia" w:asciiTheme="minorEastAsia" w:hAnsiTheme="minorEastAsia" w:eastAsiaTheme="minorEastAsia" w:cstheme="minorEastAsia"/>
          <w:b/>
          <w:bCs/>
          <w:color w:val="auto"/>
          <w:sz w:val="22"/>
          <w:szCs w:val="22"/>
          <w:highlight w:val="none"/>
          <w:lang w:val="en-US" w:eastAsia="zh-CN"/>
        </w:rPr>
        <w:t>二、投标须知</w:t>
      </w:r>
    </w:p>
    <w:p w14:paraId="3EA90E5F">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1.适用范围</w:t>
      </w:r>
    </w:p>
    <w:p w14:paraId="10DF5543">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本招标文件仅适用于本次招标项目的招标、投标、评标、定标、验收、合同履约、付款等行为（法律、法规另有规定的，从其规定）。</w:t>
      </w:r>
    </w:p>
    <w:p w14:paraId="4650BF5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2.定义</w:t>
      </w:r>
    </w:p>
    <w:p w14:paraId="282DF05E">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1）“招标代理机构”系指组织本次招标的</w:t>
      </w:r>
      <w:r>
        <w:rPr>
          <w:rFonts w:hint="eastAsia" w:asciiTheme="minorEastAsia" w:hAnsiTheme="minorEastAsia" w:eastAsiaTheme="minorEastAsia" w:cstheme="minorEastAsia"/>
          <w:color w:val="auto"/>
          <w:sz w:val="22"/>
          <w:szCs w:val="22"/>
          <w:highlight w:val="none"/>
          <w:lang w:eastAsia="zh-CN"/>
        </w:rPr>
        <w:t>东方经纬项目管理有限公司</w:t>
      </w:r>
      <w:r>
        <w:rPr>
          <w:rFonts w:hint="eastAsia" w:asciiTheme="minorEastAsia" w:hAnsiTheme="minorEastAsia" w:eastAsiaTheme="minorEastAsia" w:cstheme="minorEastAsia"/>
          <w:color w:val="auto"/>
          <w:sz w:val="22"/>
          <w:szCs w:val="22"/>
          <w:highlight w:val="none"/>
          <w:lang w:val="en-US" w:eastAsia="zh-CN"/>
        </w:rPr>
        <w:t>。</w:t>
      </w:r>
    </w:p>
    <w:p w14:paraId="09E81CE5">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 xml:space="preserve">2）“招标人”系指提出本次招标的委托单位：衢州市衢江区住房和城乡建设局 </w:t>
      </w:r>
    </w:p>
    <w:p w14:paraId="3DA0EA4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3）“投标人”系指向招标代理机构提交投标文件的银行。</w:t>
      </w:r>
    </w:p>
    <w:p w14:paraId="1B90C928">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4）“▲”系指实质性要求条款。</w:t>
      </w:r>
    </w:p>
    <w:p w14:paraId="0B8C17D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3.投标费用</w:t>
      </w:r>
    </w:p>
    <w:p w14:paraId="33F14735">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不论投标结果如何，投标人均应自行承担所有与投标有关的全部费用，代理费由中标单位按2000元/家支付给代理公司，共计8000元。</w:t>
      </w:r>
    </w:p>
    <w:p w14:paraId="4BC1225F">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4.招标方式</w:t>
      </w:r>
    </w:p>
    <w:p w14:paraId="5AF887B3">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本次招标采用公开招标方式进行。</w:t>
      </w:r>
    </w:p>
    <w:p w14:paraId="69C1760E">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5.投标委托</w:t>
      </w:r>
    </w:p>
    <w:p w14:paraId="0767EFED">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投标人代表需提供有效身份证件。如投标人代表不是法定代表人（负责人），须有法定代表人（负责人）出具的授权委托书（详见格式）。</w:t>
      </w:r>
    </w:p>
    <w:p w14:paraId="2F2032B8">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6.联合体投标</w:t>
      </w:r>
    </w:p>
    <w:p w14:paraId="3893C71D">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本项目不接受联合体投标。</w:t>
      </w:r>
    </w:p>
    <w:p w14:paraId="611782A3">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7.转包与分包</w:t>
      </w:r>
    </w:p>
    <w:p w14:paraId="67EC6F09">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本项目不允许转包、分包。</w:t>
      </w:r>
    </w:p>
    <w:p w14:paraId="3F66D6F2">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2" w:firstLineChars="200"/>
        <w:textAlignment w:val="auto"/>
        <w:rPr>
          <w:rFonts w:hint="eastAsia" w:asciiTheme="minorEastAsia" w:hAnsiTheme="minorEastAsia" w:eastAsiaTheme="minorEastAsia" w:cstheme="minorEastAsia"/>
          <w:b/>
          <w:bCs/>
          <w:color w:val="auto"/>
          <w:sz w:val="22"/>
          <w:szCs w:val="22"/>
          <w:highlight w:val="none"/>
          <w:lang w:val="en-US" w:eastAsia="zh-CN"/>
        </w:rPr>
      </w:pPr>
      <w:bookmarkStart w:id="28" w:name="_Toc24708467"/>
      <w:bookmarkStart w:id="29" w:name="_Toc356371434"/>
      <w:r>
        <w:rPr>
          <w:rFonts w:hint="eastAsia" w:asciiTheme="minorEastAsia" w:hAnsiTheme="minorEastAsia" w:eastAsiaTheme="minorEastAsia" w:cstheme="minorEastAsia"/>
          <w:b/>
          <w:bCs/>
          <w:color w:val="auto"/>
          <w:sz w:val="22"/>
          <w:szCs w:val="22"/>
          <w:highlight w:val="none"/>
          <w:lang w:val="en-US" w:eastAsia="zh-CN"/>
        </w:rPr>
        <w:t>三.招标文件说明</w:t>
      </w:r>
      <w:bookmarkEnd w:id="28"/>
      <w:bookmarkEnd w:id="29"/>
    </w:p>
    <w:p w14:paraId="51A599B3">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8.招标文件的组成</w:t>
      </w:r>
    </w:p>
    <w:p w14:paraId="563A26A3">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8.1招标公告；</w:t>
      </w:r>
    </w:p>
    <w:p w14:paraId="787F17D8">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8.2投标须知前附表及投标须知；</w:t>
      </w:r>
    </w:p>
    <w:p w14:paraId="3626E5B6">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8.3招标内容及要求；</w:t>
      </w:r>
    </w:p>
    <w:p w14:paraId="2F73F92B">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8.4合同文本；</w:t>
      </w:r>
    </w:p>
    <w:p w14:paraId="0B78FE3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8.5应提交的有关格式范例；</w:t>
      </w:r>
    </w:p>
    <w:p w14:paraId="588774BC">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8.6评标办法及开标程序。</w:t>
      </w:r>
    </w:p>
    <w:p w14:paraId="3B72513F">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8.7本项目招标文件的澄清、答复、修改、补充的内容（如有）</w:t>
      </w:r>
    </w:p>
    <w:p w14:paraId="73599BD1">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9.招标文件的澄清及修改</w:t>
      </w:r>
    </w:p>
    <w:p w14:paraId="24F785AC">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bookmarkStart w:id="30" w:name="_Toc356371435"/>
      <w:bookmarkStart w:id="31" w:name="_Toc24708468"/>
      <w:r>
        <w:rPr>
          <w:rFonts w:hint="eastAsia" w:asciiTheme="minorEastAsia" w:hAnsiTheme="minorEastAsia" w:eastAsiaTheme="minorEastAsia" w:cstheme="minorEastAsia"/>
          <w:color w:val="auto"/>
          <w:sz w:val="22"/>
          <w:szCs w:val="22"/>
          <w:highlight w:val="none"/>
          <w:lang w:val="en-US" w:eastAsia="zh-CN"/>
        </w:rPr>
        <w:t>9.1招标人或者招标代理机构可以对已发出的招标文件进行必要的澄清或者修改。澄清或者修改的内容在原公告发布媒体上以补充（更正）公告形式通知所有获取招标文件的潜在投标人。澄清或者修改的内容作为招标文件的补充和组成部分，对所有投标人均有约束力。澄清或者修改的内容可能影响投标文件编制且发出时间距投标截止时间不足5个工作日的，将顺延投标截止时间。</w:t>
      </w:r>
    </w:p>
    <w:p w14:paraId="1B10D988">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9.2投标人应认真阅读本招标文件，发现其中有误或有不合理要求的，投标人应当在自知道或者应当知道其合法权益受到损害之日起2个工作日内提出质疑。对招标公告信息（含投标人资格条件）提出质疑的，质疑期限自招标公告期限届满之日起计算。针对同一招标程序环节的质疑，投标人应在法定期限内一次性提出（即针对同一招标程序环节的质疑招标人或招标代理机构仅受理一次）。</w:t>
      </w:r>
    </w:p>
    <w:p w14:paraId="004695BF">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9.3.招标文件澄清、答复、修改、补充的内容为招标文件的组成部分。当招标文件与招标文件的答复、澄清、修改、补充通知就同一内容的表述不一致时，以最后发出的书面文件为准。</w:t>
      </w:r>
    </w:p>
    <w:p w14:paraId="4BD83750">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2" w:firstLineChars="200"/>
        <w:textAlignment w:val="auto"/>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四、投标文件的编制</w:t>
      </w:r>
      <w:bookmarkEnd w:id="30"/>
      <w:bookmarkEnd w:id="31"/>
    </w:p>
    <w:p w14:paraId="28CFD224">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10.投标人应认真阅读招标文件中所有的事项、格式、条款和用户需求等。如果投标人没有按照招标文件要求和规定编制投标文件及提交全部资料，或者投标没有对招标文件中各方面作出实质性响应，其风险由投标人承担。</w:t>
      </w:r>
    </w:p>
    <w:p w14:paraId="6CECBB01">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 xml:space="preserve">11. 投标文件的组成 </w:t>
      </w:r>
    </w:p>
    <w:p w14:paraId="3BE7C420">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11.1.投标人向招标人递交的投标文件包括但不限于以下内容：</w:t>
      </w:r>
    </w:p>
    <w:p w14:paraId="1568F298">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11.1.1▲投标函；</w:t>
      </w:r>
    </w:p>
    <w:p w14:paraId="3F176C25">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11.1.2▲有效的投标人《企业法人营业执照》扫描件；</w:t>
      </w:r>
    </w:p>
    <w:p w14:paraId="1385C0FC">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11.1.3▲</w:t>
      </w:r>
      <w:r>
        <w:rPr>
          <w:rFonts w:hint="eastAsia" w:ascii="宋体" w:hAnsi="宋体" w:eastAsia="宋体" w:cs="宋体"/>
          <w:color w:val="auto"/>
          <w:sz w:val="24"/>
          <w:szCs w:val="24"/>
          <w:highlight w:val="none"/>
          <w:shd w:val="clear" w:color="auto" w:fill="auto"/>
          <w:lang w:val="en-US" w:eastAsia="zh-CN"/>
        </w:rPr>
        <w:t>提供人民银</w:t>
      </w:r>
      <w:r>
        <w:rPr>
          <w:rFonts w:hint="eastAsia" w:ascii="宋体" w:hAnsi="宋体" w:eastAsia="宋体" w:cs="宋体"/>
          <w:color w:val="auto"/>
          <w:sz w:val="24"/>
          <w:szCs w:val="24"/>
          <w:highlight w:val="none"/>
          <w:shd w:val="clear" w:color="auto" w:fill="auto"/>
          <w:lang w:val="en-US" w:eastAsia="zh-CN"/>
        </w:rPr>
        <w:t>行2023年度综合评价应达到B级及以上证件（若2023年度综合评价结果未出，则以上一年度评价结果为准）</w:t>
      </w:r>
      <w:r>
        <w:rPr>
          <w:rFonts w:hint="eastAsia" w:asciiTheme="minorEastAsia" w:hAnsiTheme="minorEastAsia" w:eastAsiaTheme="minorEastAsia" w:cstheme="minorEastAsia"/>
          <w:color w:val="auto"/>
          <w:sz w:val="22"/>
          <w:szCs w:val="22"/>
          <w:highlight w:val="none"/>
          <w:lang w:val="en-US" w:eastAsia="zh-CN"/>
        </w:rPr>
        <w:t>；</w:t>
      </w:r>
    </w:p>
    <w:p w14:paraId="58A967E8">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11.1.4 分支机构参与投标的，须提供总机构（总公司）的授权书或者房屋产权证明或其他有效财产证明复印件；</w:t>
      </w:r>
    </w:p>
    <w:p w14:paraId="6C84B362">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 xml:space="preserve">11.1.5▲ </w:t>
      </w:r>
      <w:r>
        <w:rPr>
          <w:rFonts w:hint="eastAsia" w:ascii="宋体" w:hAnsi="宋体" w:eastAsia="宋体" w:cs="宋体"/>
          <w:color w:val="auto"/>
          <w:sz w:val="24"/>
          <w:szCs w:val="24"/>
          <w:highlight w:val="none"/>
          <w:shd w:val="clear" w:color="auto" w:fill="auto"/>
          <w:lang w:val="en-US" w:eastAsia="zh-CN"/>
        </w:rPr>
        <w:t>法定代表人（负责人）授权委托书及身份证书扫描件，如法定代表人(负责人）直接参加投标并对相应文件签字的，只需提供其身份证扫描件正反面；（见格式）</w:t>
      </w:r>
      <w:r>
        <w:rPr>
          <w:rFonts w:hint="eastAsia" w:asciiTheme="minorEastAsia" w:hAnsiTheme="minorEastAsia" w:eastAsiaTheme="minorEastAsia" w:cstheme="minorEastAsia"/>
          <w:color w:val="auto"/>
          <w:sz w:val="22"/>
          <w:szCs w:val="22"/>
          <w:highlight w:val="none"/>
          <w:lang w:val="en-US" w:eastAsia="zh-CN"/>
        </w:rPr>
        <w:t xml:space="preserve"> </w:t>
      </w:r>
    </w:p>
    <w:p w14:paraId="41B97DAD">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11.1.6▲ 无重大违法违规及违约记录声明；（见格式）</w:t>
      </w:r>
    </w:p>
    <w:p w14:paraId="1F05D12B">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11.1.7▲ 金融许可证扫描件；</w:t>
      </w:r>
    </w:p>
    <w:p w14:paraId="714C7F23">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11.1.8▲ 报价一览表；</w:t>
      </w:r>
    </w:p>
    <w:p w14:paraId="1E0A2DED">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11.1.9  廉政承诺书</w:t>
      </w:r>
    </w:p>
    <w:p w14:paraId="2A29F2D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11.1.10 中标承诺书</w:t>
      </w:r>
    </w:p>
    <w:p w14:paraId="7A29C310">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11.1.11投标人认为需要提供的其他证明材料。</w:t>
      </w:r>
    </w:p>
    <w:p w14:paraId="143D2AB1">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 xml:space="preserve">12.投标文件内容填写说明 </w:t>
      </w:r>
    </w:p>
    <w:p w14:paraId="61F6D380">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12.1投标人应在认真阅读招标文件所有内容的基础上，按照招标文件的要求编制完整的投标文件。投标文件应按照招标文件中规定的统一格式填写，严格按照规定的顺序装订成册并编制目录，混乱的编排导致投标文件被误读或招标人查找不到有效文件是投标人的风险。投标人必须保证投标文件所提供的全部资料真实可靠，并接受招标人对其中任何资料进一步审查的要求。</w:t>
      </w:r>
    </w:p>
    <w:p w14:paraId="7C9D06E4">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12.2《报价一览表》为在开标仪式上唱标的内容，要求按格式填写、统一规范，不得自行增减内容。</w:t>
      </w:r>
    </w:p>
    <w:p w14:paraId="40654107">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12.3投标文件须对招标文件中的内容做出实质性的和完整的响应，否则其投标将被拒绝。如果投标文件填报的内容资料不详，或没有提供招标文件中所要求的全部资料及数据，将会导致投标被拒绝。</w:t>
      </w:r>
    </w:p>
    <w:p w14:paraId="26F81399">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12.4投标文件不得涂改和增删，如有错漏必须修改，修改处须由授权代表签字或盖章。</w:t>
      </w:r>
    </w:p>
    <w:p w14:paraId="29846300">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12.5由于字迹模糊或表达不清引起的后果由投标人负责。</w:t>
      </w:r>
    </w:p>
    <w:p w14:paraId="6447F569">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13.投标报价</w:t>
      </w:r>
    </w:p>
    <w:p w14:paraId="0C93C9E5">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13.1投标报价应按招标文件中相关附表格式填写。</w:t>
      </w:r>
    </w:p>
    <w:p w14:paraId="440840FB">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13.2投标文件只允许有一个报价，有选择的或有条件的报价将不予接受。</w:t>
      </w:r>
    </w:p>
    <w:p w14:paraId="24CB5CC9">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14.投标有效期</w:t>
      </w:r>
    </w:p>
    <w:p w14:paraId="3857351E">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14.1▲投标文件从投标文件递交截止之日起，有效期为90天；</w:t>
      </w:r>
    </w:p>
    <w:p w14:paraId="18D635D1">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14.2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701FA540">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2" w:firstLineChars="200"/>
        <w:textAlignment w:val="auto"/>
        <w:rPr>
          <w:rFonts w:hint="eastAsia" w:asciiTheme="minorEastAsia" w:hAnsiTheme="minorEastAsia" w:eastAsiaTheme="minorEastAsia" w:cstheme="minorEastAsia"/>
          <w:b/>
          <w:bCs/>
          <w:color w:val="auto"/>
          <w:sz w:val="22"/>
          <w:szCs w:val="22"/>
          <w:highlight w:val="none"/>
          <w:lang w:val="en-US" w:eastAsia="zh-CN"/>
        </w:rPr>
      </w:pPr>
      <w:bookmarkStart w:id="32" w:name="_Toc24708469"/>
      <w:bookmarkStart w:id="33" w:name="_Toc356371436"/>
      <w:r>
        <w:rPr>
          <w:rFonts w:hint="eastAsia" w:asciiTheme="minorEastAsia" w:hAnsiTheme="minorEastAsia" w:eastAsiaTheme="minorEastAsia" w:cstheme="minorEastAsia"/>
          <w:b/>
          <w:bCs/>
          <w:color w:val="auto"/>
          <w:sz w:val="22"/>
          <w:szCs w:val="22"/>
          <w:highlight w:val="none"/>
          <w:lang w:val="en-US" w:eastAsia="zh-CN"/>
        </w:rPr>
        <w:t>五、投标保证金</w:t>
      </w:r>
      <w:bookmarkEnd w:id="32"/>
      <w:bookmarkEnd w:id="33"/>
    </w:p>
    <w:p w14:paraId="1D5C1B11">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bookmarkStart w:id="34" w:name="_Toc24708470"/>
      <w:r>
        <w:rPr>
          <w:rFonts w:hint="eastAsia" w:asciiTheme="minorEastAsia" w:hAnsiTheme="minorEastAsia" w:eastAsiaTheme="minorEastAsia" w:cstheme="minorEastAsia"/>
          <w:color w:val="auto"/>
          <w:sz w:val="22"/>
          <w:szCs w:val="22"/>
          <w:highlight w:val="none"/>
          <w:lang w:val="en-US" w:eastAsia="zh-CN"/>
        </w:rPr>
        <w:t>15. 本项目不收取投标保证金。</w:t>
      </w:r>
      <w:bookmarkEnd w:id="34"/>
    </w:p>
    <w:p w14:paraId="53483ECB">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2" w:firstLineChars="200"/>
        <w:textAlignment w:val="auto"/>
        <w:rPr>
          <w:rFonts w:hint="eastAsia" w:asciiTheme="minorEastAsia" w:hAnsiTheme="minorEastAsia" w:eastAsiaTheme="minorEastAsia" w:cstheme="minorEastAsia"/>
          <w:b/>
          <w:bCs/>
          <w:color w:val="auto"/>
          <w:sz w:val="22"/>
          <w:szCs w:val="22"/>
          <w:highlight w:val="none"/>
          <w:lang w:val="en-US" w:eastAsia="zh-CN"/>
        </w:rPr>
      </w:pPr>
      <w:bookmarkStart w:id="35" w:name="_Toc24708471"/>
      <w:r>
        <w:rPr>
          <w:rFonts w:hint="eastAsia" w:asciiTheme="minorEastAsia" w:hAnsiTheme="minorEastAsia" w:eastAsiaTheme="minorEastAsia" w:cstheme="minorEastAsia"/>
          <w:b/>
          <w:bCs/>
          <w:color w:val="auto"/>
          <w:sz w:val="22"/>
          <w:szCs w:val="22"/>
          <w:highlight w:val="none"/>
          <w:lang w:val="en-US" w:eastAsia="zh-CN"/>
        </w:rPr>
        <w:t>六、</w:t>
      </w:r>
      <w:bookmarkEnd w:id="35"/>
      <w:r>
        <w:rPr>
          <w:rFonts w:hint="eastAsia" w:asciiTheme="minorEastAsia" w:hAnsiTheme="minorEastAsia" w:eastAsiaTheme="minorEastAsia" w:cstheme="minorEastAsia"/>
          <w:b/>
          <w:bCs/>
          <w:color w:val="auto"/>
          <w:sz w:val="22"/>
          <w:szCs w:val="22"/>
          <w:highlight w:val="none"/>
          <w:lang w:val="zh-CN" w:eastAsia="zh-CN"/>
        </w:rPr>
        <w:t>投标文件的编制、签署、份数</w:t>
      </w:r>
    </w:p>
    <w:p w14:paraId="4B1AF321">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16.1本项目通过“政府采购云平台（www.zcygov.cn）”实行在线投标响应（电子投标）。投标人应通过“政采云电子交易客户端”，并按照本招标文件和“政府采购云平台”的要求编制并投标文件。</w:t>
      </w:r>
    </w:p>
    <w:p w14:paraId="69F70BBB">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16.2投标人应当按照本章节“投标文件组成”规定的内容及顺序在“政采云电子交易客户端”编制投标文件。</w:t>
      </w:r>
    </w:p>
    <w:p w14:paraId="1B19D12B">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 xml:space="preserve">16.3 </w:t>
      </w:r>
      <w:r>
        <w:rPr>
          <w:rFonts w:hint="eastAsia" w:asciiTheme="minorEastAsia" w:hAnsiTheme="minorEastAsia" w:eastAsiaTheme="minorEastAsia" w:cstheme="minorEastAsia"/>
          <w:color w:val="auto"/>
          <w:sz w:val="22"/>
          <w:szCs w:val="22"/>
          <w:highlight w:val="none"/>
          <w:lang w:eastAsia="zh-CN"/>
        </w:rPr>
        <w:t>签</w:t>
      </w:r>
      <w:r>
        <w:rPr>
          <w:rFonts w:hint="eastAsia" w:asciiTheme="minorEastAsia" w:hAnsiTheme="minorEastAsia" w:eastAsiaTheme="minorEastAsia" w:cstheme="minorEastAsia"/>
          <w:color w:val="auto"/>
          <w:sz w:val="22"/>
          <w:szCs w:val="22"/>
          <w:highlight w:val="none"/>
          <w:lang w:val="zh-CN" w:eastAsia="zh-CN"/>
        </w:rPr>
        <w:t>署</w:t>
      </w:r>
      <w:r>
        <w:rPr>
          <w:rFonts w:hint="eastAsia" w:asciiTheme="minorEastAsia" w:hAnsiTheme="minorEastAsia" w:eastAsiaTheme="minorEastAsia" w:cstheme="minorEastAsia"/>
          <w:color w:val="auto"/>
          <w:sz w:val="22"/>
          <w:szCs w:val="22"/>
          <w:highlight w:val="none"/>
          <w:lang w:eastAsia="zh-CN"/>
        </w:rPr>
        <w:t>：</w:t>
      </w:r>
    </w:p>
    <w:p w14:paraId="23024B2C">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16.3.1按“投标文件格式”中提供的格式进行签字盖章；</w:t>
      </w:r>
    </w:p>
    <w:p w14:paraId="03D48135">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16.3.2投标文件的签章：公章须使用电子签章或加盖公章，法定代表人和授权代表签字或盖章可书面签字或盖章后扫描至电子投标文件中上传。</w:t>
      </w:r>
    </w:p>
    <w:p w14:paraId="475710B1">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16.3.3开标后，相关信息记录确认、澄清说明、回复等内容及电子签章或者签章后上传的相关文件，均认可；</w:t>
      </w:r>
    </w:p>
    <w:p w14:paraId="5E563B3D">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16.3.4电子签章操作指南详见《投标人项目采购-电子招投标操作指南》。系统要求进行电子签章的，按系统要求签章。</w:t>
      </w:r>
    </w:p>
    <w:p w14:paraId="0FE631BD">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16.4</w:t>
      </w:r>
      <w:r>
        <w:rPr>
          <w:rFonts w:hint="eastAsia" w:asciiTheme="minorEastAsia" w:hAnsiTheme="minorEastAsia" w:eastAsiaTheme="minorEastAsia" w:cstheme="minorEastAsia"/>
          <w:color w:val="auto"/>
          <w:sz w:val="22"/>
          <w:szCs w:val="22"/>
          <w:highlight w:val="none"/>
          <w:lang w:eastAsia="zh-CN"/>
        </w:rPr>
        <w:t>份数：</w:t>
      </w:r>
    </w:p>
    <w:p w14:paraId="420061B6">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16.4.1</w:t>
      </w:r>
      <w:r>
        <w:rPr>
          <w:rFonts w:hint="eastAsia" w:asciiTheme="minorEastAsia" w:hAnsiTheme="minorEastAsia" w:eastAsiaTheme="minorEastAsia" w:cstheme="minorEastAsia"/>
          <w:color w:val="auto"/>
          <w:sz w:val="22"/>
          <w:szCs w:val="22"/>
          <w:highlight w:val="none"/>
          <w:lang w:val="zh-CN" w:eastAsia="zh-CN"/>
        </w:rPr>
        <w:t>“电子投标文件”：在线上传，递交一份。</w:t>
      </w:r>
    </w:p>
    <w:p w14:paraId="6E964980">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16.4.2</w:t>
      </w:r>
      <w:r>
        <w:rPr>
          <w:rFonts w:hint="eastAsia" w:asciiTheme="minorEastAsia" w:hAnsiTheme="minorEastAsia" w:eastAsiaTheme="minorEastAsia" w:cstheme="minorEastAsia"/>
          <w:color w:val="auto"/>
          <w:sz w:val="22"/>
          <w:szCs w:val="22"/>
          <w:highlight w:val="none"/>
          <w:lang w:val="zh-CN" w:eastAsia="zh-CN"/>
        </w:rPr>
        <w:t>中标通知书发出后，中标人应当向招标代理机构提供纸质投标文件一式四份，用于招标项目文件存档。</w:t>
      </w:r>
    </w:p>
    <w:p w14:paraId="2840604E">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2" w:firstLineChars="200"/>
        <w:textAlignment w:val="auto"/>
        <w:rPr>
          <w:rFonts w:hint="eastAsia" w:asciiTheme="minorEastAsia" w:hAnsiTheme="minorEastAsia" w:eastAsiaTheme="minorEastAsia" w:cstheme="minorEastAsia"/>
          <w:b/>
          <w:bCs/>
          <w:color w:val="auto"/>
          <w:sz w:val="22"/>
          <w:szCs w:val="22"/>
          <w:highlight w:val="none"/>
          <w:lang w:val="en-US" w:eastAsia="zh-CN"/>
        </w:rPr>
      </w:pPr>
      <w:bookmarkStart w:id="36" w:name="_Toc356371437"/>
      <w:bookmarkStart w:id="37" w:name="_Toc24708472"/>
      <w:r>
        <w:rPr>
          <w:rFonts w:hint="eastAsia" w:asciiTheme="minorEastAsia" w:hAnsiTheme="minorEastAsia" w:eastAsiaTheme="minorEastAsia" w:cstheme="minorEastAsia"/>
          <w:b/>
          <w:bCs/>
          <w:color w:val="auto"/>
          <w:sz w:val="22"/>
          <w:szCs w:val="22"/>
          <w:highlight w:val="none"/>
          <w:lang w:val="en-US" w:eastAsia="zh-CN"/>
        </w:rPr>
        <w:t>七、投标文件的递交</w:t>
      </w:r>
      <w:bookmarkEnd w:id="36"/>
      <w:bookmarkEnd w:id="37"/>
    </w:p>
    <w:p w14:paraId="13DD0F68">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bookmarkStart w:id="38" w:name="_Toc356371438"/>
      <w:bookmarkStart w:id="39" w:name="_Toc24708473"/>
      <w:r>
        <w:rPr>
          <w:rFonts w:hint="eastAsia" w:asciiTheme="minorEastAsia" w:hAnsiTheme="minorEastAsia" w:eastAsiaTheme="minorEastAsia" w:cstheme="minorEastAsia"/>
          <w:color w:val="auto"/>
          <w:sz w:val="22"/>
          <w:szCs w:val="22"/>
          <w:highlight w:val="none"/>
          <w:lang w:val="en-US" w:eastAsia="zh-CN"/>
        </w:rPr>
        <w:t>17.</w:t>
      </w:r>
      <w:r>
        <w:rPr>
          <w:rFonts w:hint="eastAsia" w:asciiTheme="minorEastAsia" w:hAnsiTheme="minorEastAsia" w:eastAsiaTheme="minorEastAsia" w:cstheme="minorEastAsia"/>
          <w:color w:val="auto"/>
          <w:sz w:val="22"/>
          <w:szCs w:val="22"/>
          <w:highlight w:val="none"/>
          <w:lang w:eastAsia="zh-CN"/>
        </w:rPr>
        <w:t>投标文件递交（上传）</w:t>
      </w:r>
    </w:p>
    <w:p w14:paraId="3DB4BC3D">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17</w:t>
      </w:r>
      <w:r>
        <w:rPr>
          <w:rFonts w:hint="eastAsia" w:asciiTheme="minorEastAsia" w:hAnsiTheme="minorEastAsia" w:eastAsiaTheme="minorEastAsia" w:cstheme="minorEastAsia"/>
          <w:color w:val="auto"/>
          <w:sz w:val="22"/>
          <w:szCs w:val="22"/>
          <w:highlight w:val="none"/>
          <w:lang w:eastAsia="zh-CN"/>
        </w:rPr>
        <w:t>.1电子投标文件：投标人应当于投标文件提交截止时间前通过“政采云电子投标客户端”上传至政采云平台上。（逾期上传的投标文件将被拒收）</w:t>
      </w:r>
    </w:p>
    <w:p w14:paraId="1ACBD7AC">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zh-CN" w:eastAsia="zh-CN"/>
        </w:rPr>
      </w:pPr>
      <w:r>
        <w:rPr>
          <w:rFonts w:hint="eastAsia" w:asciiTheme="minorEastAsia" w:hAnsiTheme="minorEastAsia" w:eastAsiaTheme="minorEastAsia" w:cstheme="minorEastAsia"/>
          <w:color w:val="auto"/>
          <w:sz w:val="22"/>
          <w:szCs w:val="22"/>
          <w:highlight w:val="none"/>
          <w:lang w:val="en-US" w:eastAsia="zh-CN"/>
        </w:rPr>
        <w:t>17.2</w:t>
      </w:r>
      <w:r>
        <w:rPr>
          <w:rFonts w:hint="eastAsia" w:asciiTheme="minorEastAsia" w:hAnsiTheme="minorEastAsia" w:eastAsiaTheme="minorEastAsia" w:cstheme="minorEastAsia"/>
          <w:color w:val="auto"/>
          <w:sz w:val="22"/>
          <w:szCs w:val="22"/>
          <w:highlight w:val="none"/>
          <w:lang w:val="zh-CN" w:eastAsia="zh-CN"/>
        </w:rPr>
        <w:t>本次招标活动采用电子交易，实行网上交易（非现场方式实施）。投标人代表无需到达现场，但需保证开标、评审过程中招标代理机构能够随时与其代表人取得联系，直至评审结束。</w:t>
      </w:r>
    </w:p>
    <w:p w14:paraId="34F8A551">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17</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lang w:eastAsia="zh-CN"/>
        </w:rPr>
        <w:t>修改（补充）和撤回：</w:t>
      </w:r>
    </w:p>
    <w:p w14:paraId="6E23FBEB">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17.3.1</w:t>
      </w:r>
      <w:r>
        <w:rPr>
          <w:rFonts w:hint="eastAsia" w:asciiTheme="minorEastAsia" w:hAnsiTheme="minorEastAsia" w:eastAsiaTheme="minorEastAsia" w:cstheme="minorEastAsia"/>
          <w:color w:val="auto"/>
          <w:sz w:val="22"/>
          <w:szCs w:val="22"/>
          <w:highlight w:val="none"/>
          <w:lang w:eastAsia="zh-CN"/>
        </w:rPr>
        <w:t>投标截止时间前可以补充、修改或撤回投标文件。补充或者修改投标文件的，应当先行撤回原文件，补充、修改后重新提交。投标截止时间前未完成提交的，视为撤回投标文件。</w:t>
      </w:r>
    </w:p>
    <w:p w14:paraId="3ACC4A6D">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17.3.2</w:t>
      </w:r>
      <w:r>
        <w:rPr>
          <w:rFonts w:hint="eastAsia" w:asciiTheme="minorEastAsia" w:hAnsiTheme="minorEastAsia" w:eastAsiaTheme="minorEastAsia" w:cstheme="minorEastAsia"/>
          <w:color w:val="auto"/>
          <w:sz w:val="22"/>
          <w:szCs w:val="22"/>
          <w:highlight w:val="none"/>
          <w:lang w:eastAsia="zh-CN"/>
        </w:rPr>
        <w:t>投标截止时间后，投标人不得修改（补充）或撤回其投标文件。</w:t>
      </w:r>
    </w:p>
    <w:p w14:paraId="4205345E">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2" w:firstLineChars="200"/>
        <w:textAlignment w:val="auto"/>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八、投标无效的情形</w:t>
      </w:r>
      <w:bookmarkEnd w:id="38"/>
      <w:bookmarkEnd w:id="39"/>
    </w:p>
    <w:p w14:paraId="334124C3">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bookmarkStart w:id="40" w:name="_Toc356371439"/>
      <w:r>
        <w:rPr>
          <w:rFonts w:hint="eastAsia" w:asciiTheme="minorEastAsia" w:hAnsiTheme="minorEastAsia" w:eastAsiaTheme="minorEastAsia" w:cstheme="minorEastAsia"/>
          <w:color w:val="auto"/>
          <w:sz w:val="22"/>
          <w:szCs w:val="22"/>
          <w:highlight w:val="none"/>
          <w:lang w:val="en-US" w:eastAsia="zh-CN"/>
        </w:rPr>
        <w:t>18.实质上没有响应招标文件要求的投标将被视为无效投标。投标人不得通过修正或撤消不合要求的偏离或保留从而使其投标成为实质上响应的投标。如发生下列情况之一的，其投标视为无效：</w:t>
      </w:r>
    </w:p>
    <w:p w14:paraId="226CFC06">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18.1不具备招标文件规定资格要求；</w:t>
      </w:r>
    </w:p>
    <w:p w14:paraId="08CE933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18.2投标文件未按招标文件要求签署、盖章的，未有效授权的;</w:t>
      </w:r>
    </w:p>
    <w:p w14:paraId="77FE8669">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18.3招标文件中有▲处条款投标人未作实质性响应的；</w:t>
      </w:r>
    </w:p>
    <w:p w14:paraId="720C7754">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18.4投标文件关键内容字迹模糊、无法辨认的；</w:t>
      </w:r>
    </w:p>
    <w:p w14:paraId="4005A371">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18.5投标文件含有招标人不能接受的附加条件的；</w:t>
      </w:r>
    </w:p>
    <w:p w14:paraId="4B9C962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18.6提供虚假材料谋取中标的；</w:t>
      </w:r>
    </w:p>
    <w:p w14:paraId="2CB16290">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18.7投标人串通投标的；</w:t>
      </w:r>
    </w:p>
    <w:p w14:paraId="3E3A555E">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18.8不符合法律、法规和招标文件规定的其他实质性要求的。</w:t>
      </w:r>
    </w:p>
    <w:p w14:paraId="4E2C41DE">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2" w:firstLineChars="200"/>
        <w:textAlignment w:val="auto"/>
        <w:rPr>
          <w:rFonts w:hint="eastAsia" w:asciiTheme="minorEastAsia" w:hAnsiTheme="minorEastAsia" w:eastAsiaTheme="minorEastAsia" w:cstheme="minorEastAsia"/>
          <w:b/>
          <w:bCs/>
          <w:color w:val="auto"/>
          <w:sz w:val="22"/>
          <w:szCs w:val="22"/>
          <w:highlight w:val="none"/>
          <w:lang w:val="en-US" w:eastAsia="zh-CN"/>
        </w:rPr>
      </w:pPr>
      <w:bookmarkStart w:id="41" w:name="_Toc24708474"/>
      <w:bookmarkStart w:id="42" w:name="_Toc359592368"/>
      <w:r>
        <w:rPr>
          <w:rFonts w:hint="eastAsia" w:asciiTheme="minorEastAsia" w:hAnsiTheme="minorEastAsia" w:eastAsiaTheme="minorEastAsia" w:cstheme="minorEastAsia"/>
          <w:b/>
          <w:bCs/>
          <w:color w:val="auto"/>
          <w:sz w:val="22"/>
          <w:szCs w:val="22"/>
          <w:highlight w:val="none"/>
          <w:lang w:val="en-US" w:eastAsia="zh-CN"/>
        </w:rPr>
        <w:t>九、串通投标的情形</w:t>
      </w:r>
      <w:bookmarkEnd w:id="41"/>
    </w:p>
    <w:p w14:paraId="1BFF6137">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19.1不同投标人的投标文件由同一单位或者个人编制；</w:t>
      </w:r>
    </w:p>
    <w:p w14:paraId="3FE4818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19.2不同投标人委托同一单位或者个人办理投标事宜；</w:t>
      </w:r>
    </w:p>
    <w:p w14:paraId="15129B06">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19.3不同投标人的投标文件载明的项目管理成员或者联系人员为同一人；</w:t>
      </w:r>
    </w:p>
    <w:p w14:paraId="5970E33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19.4不同投标人的投标文件异常一致或者投标报价呈规律性差异；</w:t>
      </w:r>
    </w:p>
    <w:p w14:paraId="03D2F29F">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19.5不同投标人的投标文件相互混装；</w:t>
      </w:r>
    </w:p>
    <w:p w14:paraId="42A90F00">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2" w:firstLineChars="200"/>
        <w:textAlignment w:val="auto"/>
        <w:rPr>
          <w:rFonts w:hint="eastAsia" w:asciiTheme="minorEastAsia" w:hAnsiTheme="minorEastAsia" w:eastAsiaTheme="minorEastAsia" w:cstheme="minorEastAsia"/>
          <w:b/>
          <w:bCs/>
          <w:color w:val="auto"/>
          <w:sz w:val="22"/>
          <w:szCs w:val="22"/>
          <w:highlight w:val="none"/>
          <w:lang w:val="en-US" w:eastAsia="zh-CN"/>
        </w:rPr>
      </w:pPr>
      <w:bookmarkStart w:id="43" w:name="_Toc24708475"/>
      <w:r>
        <w:rPr>
          <w:rFonts w:hint="eastAsia" w:asciiTheme="minorEastAsia" w:hAnsiTheme="minorEastAsia" w:eastAsiaTheme="minorEastAsia" w:cstheme="minorEastAsia"/>
          <w:b/>
          <w:bCs/>
          <w:color w:val="auto"/>
          <w:sz w:val="22"/>
          <w:szCs w:val="22"/>
          <w:highlight w:val="none"/>
          <w:lang w:val="en-US" w:eastAsia="zh-CN"/>
        </w:rPr>
        <w:t>十、废标的情形</w:t>
      </w:r>
      <w:bookmarkEnd w:id="42"/>
      <w:bookmarkEnd w:id="43"/>
    </w:p>
    <w:p w14:paraId="395C621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20.招标中，出现下列情形之一的，应予废标，废标后，招标人将废标理由通知所有投标人：</w:t>
      </w:r>
    </w:p>
    <w:p w14:paraId="7C48E6D6">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20.1符合专业条件的投标人或对招标文件作实质性响应的投标人不足三家的；</w:t>
      </w:r>
    </w:p>
    <w:p w14:paraId="7C809ACE">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20.2出现影响招标公正的违法、违规行为的；</w:t>
      </w:r>
    </w:p>
    <w:p w14:paraId="3DF99B7F">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20.3因重大变故，招标任务取消的；</w:t>
      </w:r>
    </w:p>
    <w:p w14:paraId="360A265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2" w:firstLineChars="200"/>
        <w:textAlignment w:val="auto"/>
        <w:rPr>
          <w:rFonts w:hint="eastAsia" w:asciiTheme="minorEastAsia" w:hAnsiTheme="minorEastAsia" w:eastAsiaTheme="minorEastAsia" w:cstheme="minorEastAsia"/>
          <w:b/>
          <w:bCs/>
          <w:color w:val="auto"/>
          <w:sz w:val="22"/>
          <w:szCs w:val="22"/>
          <w:highlight w:val="none"/>
          <w:lang w:val="en-US" w:eastAsia="zh-CN"/>
        </w:rPr>
      </w:pPr>
      <w:bookmarkStart w:id="44" w:name="_Toc24708476"/>
      <w:r>
        <w:rPr>
          <w:rFonts w:hint="eastAsia" w:asciiTheme="minorEastAsia" w:hAnsiTheme="minorEastAsia" w:eastAsiaTheme="minorEastAsia" w:cstheme="minorEastAsia"/>
          <w:b/>
          <w:bCs/>
          <w:color w:val="auto"/>
          <w:sz w:val="22"/>
          <w:szCs w:val="22"/>
          <w:highlight w:val="none"/>
          <w:lang w:val="en-US" w:eastAsia="zh-CN"/>
        </w:rPr>
        <w:t>十一、开标</w:t>
      </w:r>
      <w:bookmarkEnd w:id="40"/>
      <w:r>
        <w:rPr>
          <w:rFonts w:hint="eastAsia" w:asciiTheme="minorEastAsia" w:hAnsiTheme="minorEastAsia" w:eastAsiaTheme="minorEastAsia" w:cstheme="minorEastAsia"/>
          <w:b/>
          <w:bCs/>
          <w:color w:val="auto"/>
          <w:sz w:val="22"/>
          <w:szCs w:val="22"/>
          <w:highlight w:val="none"/>
          <w:lang w:val="en-US" w:eastAsia="zh-CN"/>
        </w:rPr>
        <w:t>和评标</w:t>
      </w:r>
      <w:bookmarkEnd w:id="44"/>
    </w:p>
    <w:p w14:paraId="6885E30C">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21开标</w:t>
      </w:r>
    </w:p>
    <w:p w14:paraId="413F2187">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21.1招标代理机构将按照招标文件规定的时间通过“政府采购云平台”组织开标、开启投标文件，所有投标人均应当准时在线参加（不需到开标现场）。</w:t>
      </w:r>
    </w:p>
    <w:p w14:paraId="2CAFDFD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21.2招标代理机构将按照招标文件规定的时间通过“政府采购云平台”组织开标、开启投标文件，所有投标人均应当准时在线参加。投标人如不参加开标大会的，视同认可开标结果，事后不得对采购相关人员、开标过程和开标结果提出异议。投标人如是法人代表的，只须按前款提供并出示相关证明、证件即可；如是法人代表授权一个以上代表参加投标的，应按实参加，并在相应文件上同时签署。</w:t>
      </w:r>
    </w:p>
    <w:p w14:paraId="19B036E6">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21.3开标程序：</w:t>
      </w:r>
    </w:p>
    <w:p w14:paraId="083057DF">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1）开标大会由招标代理机构主持，主持人宣布开标纪律，介绍参加开标会的人员名单及项目概况。</w:t>
      </w:r>
    </w:p>
    <w:p w14:paraId="3EBE2B67">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2）投标人代表可在线参加开标活动，查看开标情况</w:t>
      </w:r>
    </w:p>
    <w:p w14:paraId="31182FE7">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3）开启投标文件，进入资格审查；</w:t>
      </w:r>
    </w:p>
    <w:p w14:paraId="52E12D30">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4）开启资格审查通过的投标人商务技术文件进入符合性审查、商务技术评审；</w:t>
      </w:r>
    </w:p>
    <w:p w14:paraId="5C595AC2">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备注：招标人或招标代理机构将依法对投标人的资格进行审查，资格审查结束后进入符合性审查和商务技术的评审工作，具体见“评标办法”章节相关规定。</w:t>
      </w:r>
    </w:p>
    <w:p w14:paraId="468A8EBF">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特别说明：1）如遇“政府采购云平台”电子化开标或评审程序调整的，按调整后程序执行。</w:t>
      </w:r>
    </w:p>
    <w:p w14:paraId="1E9E8A30">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投标人对线上政采云平台开标有异议的，应当在开标现场提出，招标人当场作出答复，并制作记录</w:t>
      </w:r>
    </w:p>
    <w:p w14:paraId="241B410B">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 xml:space="preserve">22.算术错误将按以下方法更正: </w:t>
      </w:r>
    </w:p>
    <w:p w14:paraId="4A2DD159">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22.1开标时，投标文件中报价一览表内容与投标文件中明细表内容不一致的，以报价一览表为准；</w:t>
      </w:r>
    </w:p>
    <w:p w14:paraId="6398534E">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22.2投标文件的大写金额和小写金额不一致的，以大写金额为准；</w:t>
      </w:r>
    </w:p>
    <w:p w14:paraId="6BF41C83">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22.3单价金额小数点或百分比有明显错位的，以报价一览表的总价为准，并修改单价；</w:t>
      </w:r>
    </w:p>
    <w:p w14:paraId="4A6C0E3B">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22.4总价金额与按单价汇总金额不一致的，以单价金额计算结果为准；同时出现两种以上不一致的，按照前款规定的顺序修正，修正后的报价应经投标人书面确认，投标人不予确认的，其投标无效。</w:t>
      </w:r>
    </w:p>
    <w:p w14:paraId="4EE8A04A">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23评标</w:t>
      </w:r>
    </w:p>
    <w:p w14:paraId="48B5A9BB">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 xml:space="preserve"> 23.1组建评标委员会：本项目评标委员会由5人组成，包含招标单位内部成员和外部专家，4人为外部专家，1人为招标单位内部成员，外部专家由衢州市衢江区公共资源交易中心从衢州市衢江区公款竞争性存放评审专家库中随机抽取。</w:t>
      </w:r>
    </w:p>
    <w:p w14:paraId="214C10D2">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23.2评定原则：根据符合招标需求、质量和服务等要求，</w:t>
      </w:r>
      <w:r>
        <w:rPr>
          <w:rFonts w:hint="eastAsia" w:asciiTheme="minorEastAsia" w:hAnsiTheme="minorEastAsia" w:eastAsiaTheme="minorEastAsia" w:cstheme="minorEastAsia"/>
          <w:color w:val="auto"/>
          <w:sz w:val="22"/>
          <w:szCs w:val="22"/>
          <w:highlight w:val="none"/>
          <w:lang w:eastAsia="zh-CN"/>
        </w:rPr>
        <w:t>评标委员会按综合得分由高到低排序，推荐</w:t>
      </w:r>
      <w:r>
        <w:rPr>
          <w:rFonts w:hint="eastAsia" w:asciiTheme="minorEastAsia" w:hAnsiTheme="minorEastAsia" w:eastAsiaTheme="minorEastAsia" w:cstheme="minorEastAsia"/>
          <w:color w:val="auto"/>
          <w:sz w:val="22"/>
          <w:szCs w:val="22"/>
          <w:highlight w:val="none"/>
          <w:lang w:val="en-US" w:eastAsia="zh-CN"/>
        </w:rPr>
        <w:t xml:space="preserve">4名中标候选人。 </w:t>
      </w:r>
    </w:p>
    <w:p w14:paraId="50639684">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23.3投标文件的澄清：在评标期间,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34BCAF88">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23.4评标报告：评标委员会完成评定后，向招标人提交经各评标委员会成员签字的评定结果报告，并按评定办法推荐中标候选人。</w:t>
      </w:r>
    </w:p>
    <w:p w14:paraId="437B16E6">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24.保密</w:t>
      </w:r>
    </w:p>
    <w:p w14:paraId="572B3F33">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bookmarkStart w:id="45" w:name="_Toc356371440"/>
      <w:r>
        <w:rPr>
          <w:rFonts w:hint="eastAsia" w:asciiTheme="minorEastAsia" w:hAnsiTheme="minorEastAsia" w:eastAsiaTheme="minorEastAsia" w:cstheme="minorEastAsia"/>
          <w:color w:val="auto"/>
          <w:sz w:val="22"/>
          <w:szCs w:val="22"/>
          <w:highlight w:val="none"/>
          <w:lang w:val="en-US" w:eastAsia="zh-CN"/>
        </w:rPr>
        <w:t>24.1开标后直到宣布授予中标人合同为止,凡属于审查、澄清、评估和比较投标的有关资料且与授予合同有关的信息都不得向任何投标人或与上述评标过程无关的人员透露。</w:t>
      </w:r>
    </w:p>
    <w:p w14:paraId="633F0283">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24.2投标人对评标、比较或授予合同决定的过程施加影响的企图和行为,都可能导致其投标被拒绝。</w:t>
      </w:r>
    </w:p>
    <w:p w14:paraId="407BD63F">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2" w:firstLineChars="200"/>
        <w:textAlignment w:val="auto"/>
        <w:rPr>
          <w:rFonts w:hint="eastAsia" w:asciiTheme="minorEastAsia" w:hAnsiTheme="minorEastAsia" w:eastAsiaTheme="minorEastAsia" w:cstheme="minorEastAsia"/>
          <w:color w:val="auto"/>
          <w:sz w:val="22"/>
          <w:szCs w:val="22"/>
          <w:highlight w:val="none"/>
          <w:lang w:val="en-US" w:eastAsia="zh-CN"/>
        </w:rPr>
      </w:pPr>
      <w:bookmarkStart w:id="46" w:name="_Toc24708477"/>
      <w:r>
        <w:rPr>
          <w:rFonts w:hint="eastAsia" w:asciiTheme="minorEastAsia" w:hAnsiTheme="minorEastAsia" w:eastAsiaTheme="minorEastAsia" w:cstheme="minorEastAsia"/>
          <w:b/>
          <w:bCs/>
          <w:color w:val="auto"/>
          <w:sz w:val="22"/>
          <w:szCs w:val="22"/>
          <w:highlight w:val="none"/>
          <w:lang w:val="en-US" w:eastAsia="zh-CN"/>
        </w:rPr>
        <w:t>十二、授予合同</w:t>
      </w:r>
      <w:bookmarkEnd w:id="45"/>
      <w:bookmarkEnd w:id="46"/>
    </w:p>
    <w:p w14:paraId="33C39B81">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25 中标通知和合同授予</w:t>
      </w:r>
    </w:p>
    <w:p w14:paraId="3AFE0757">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25.1评定结果经招标人确定后，东方经纬项目管理有限公司在中标人确定之日起2个工作日内将以书面形式发出《中标通知书》。中标通知书于中标公告发布之日签发，中标人应于本公告发布之日起两个工作日内，凭法定代表人（负责人）授权委托书及被授权人身份证原件至东方经纬项目管理有限公司领取中标通知书，逾期领取的后果自负。中标人与招标单位须在中标通知书发出后7个工作日内签订合同。</w:t>
      </w:r>
    </w:p>
    <w:p w14:paraId="269CB685">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25.2《中标通知书》一经发出即发生法律效力。招标人无义务向未中标人解释落选原因，不退回投标文件。《中标通知书》将作为签订合同的依据。</w:t>
      </w:r>
    </w:p>
    <w:p w14:paraId="1D528643">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25.3签订合同：</w:t>
      </w:r>
      <w:r>
        <w:rPr>
          <w:rFonts w:hint="eastAsia" w:asciiTheme="minorEastAsia" w:hAnsiTheme="minorEastAsia" w:eastAsiaTheme="minorEastAsia" w:cstheme="minorEastAsia"/>
          <w:color w:val="auto"/>
          <w:sz w:val="22"/>
          <w:szCs w:val="22"/>
          <w:highlight w:val="none"/>
          <w:lang w:eastAsia="zh-CN"/>
        </w:rPr>
        <w:t>中标人按《中标通知书》指定的时间、地点与招标人直接签订合同。在有合理证据证明中标人在投标过程中承诺的内容不能实质响应的，招标人有权拒签合同。</w:t>
      </w:r>
    </w:p>
    <w:p w14:paraId="3809973C">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25.4</w:t>
      </w:r>
      <w:r>
        <w:rPr>
          <w:rFonts w:hint="eastAsia" w:asciiTheme="minorEastAsia" w:hAnsiTheme="minorEastAsia" w:eastAsiaTheme="minorEastAsia" w:cstheme="minorEastAsia"/>
          <w:color w:val="auto"/>
          <w:sz w:val="22"/>
          <w:szCs w:val="22"/>
          <w:highlight w:val="none"/>
          <w:lang w:eastAsia="zh-CN"/>
        </w:rPr>
        <w:t>招标文件、澄清文件、投标文件等，均为签订合同的依据。中标人接到中标通知书后在规定的时间内与招标人签订合同。</w:t>
      </w:r>
    </w:p>
    <w:p w14:paraId="1A593545">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25.5中标人不遵守投标文件的要约、承诺，擅自修改投标文件的内容或在接到中标通知书规定的时间内，借故拖延、拒签合同者，招标人将取消该投标人的中标资格。</w:t>
      </w:r>
    </w:p>
    <w:p w14:paraId="1E7DCCA9">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2" w:firstLineChars="200"/>
        <w:textAlignment w:val="auto"/>
        <w:rPr>
          <w:rFonts w:hint="eastAsia" w:asciiTheme="minorEastAsia" w:hAnsiTheme="minorEastAsia" w:eastAsiaTheme="minorEastAsia" w:cstheme="minorEastAsia"/>
          <w:b/>
          <w:bCs/>
          <w:color w:val="auto"/>
          <w:sz w:val="22"/>
          <w:szCs w:val="22"/>
          <w:highlight w:val="none"/>
          <w:lang w:eastAsia="zh-CN"/>
        </w:rPr>
      </w:pPr>
      <w:r>
        <w:rPr>
          <w:rFonts w:hint="eastAsia" w:asciiTheme="minorEastAsia" w:hAnsiTheme="minorEastAsia" w:eastAsiaTheme="minorEastAsia" w:cstheme="minorEastAsia"/>
          <w:b/>
          <w:bCs/>
          <w:color w:val="auto"/>
          <w:sz w:val="22"/>
          <w:szCs w:val="22"/>
          <w:highlight w:val="none"/>
          <w:lang w:eastAsia="zh-CN"/>
        </w:rPr>
        <w:t>十三、解释权</w:t>
      </w:r>
    </w:p>
    <w:p w14:paraId="1D62CE0B">
      <w:pPr>
        <w:keepNext w:val="0"/>
        <w:keepLines w:val="0"/>
        <w:pageBreakBefore w:val="0"/>
        <w:widowControl w:val="0"/>
        <w:numPr>
          <w:ilvl w:val="0"/>
          <w:numId w:val="0"/>
        </w:numPr>
        <w:kinsoku/>
        <w:wordWrap/>
        <w:overflowPunct/>
        <w:topLinePunct w:val="0"/>
        <w:autoSpaceDE/>
        <w:autoSpaceDN/>
        <w:bidi w:val="0"/>
        <w:adjustRightInd/>
        <w:snapToGrid w:val="0"/>
        <w:spacing w:line="390" w:lineRule="exact"/>
        <w:ind w:firstLine="440" w:firstLineChars="200"/>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eastAsia="zh-CN"/>
        </w:rPr>
        <w:t>凡涉及本次文件的解释权属于招标单位和招标代理机构。</w:t>
      </w:r>
    </w:p>
    <w:p w14:paraId="65B8D3DE">
      <w:pPr>
        <w:spacing w:line="540" w:lineRule="exact"/>
        <w:jc w:val="both"/>
        <w:outlineLvl w:val="0"/>
        <w:rPr>
          <w:rFonts w:ascii="仿宋_GB2312" w:hAnsi="宋体" w:eastAsia="仿宋_GB2312" w:cs="宋体"/>
          <w:b/>
          <w:color w:val="auto"/>
          <w:sz w:val="32"/>
          <w:szCs w:val="32"/>
          <w:highlight w:val="none"/>
        </w:rPr>
      </w:pPr>
    </w:p>
    <w:p w14:paraId="54D480BB">
      <w:pPr>
        <w:spacing w:line="5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第三章  招标内容及要求</w:t>
      </w:r>
      <w:bookmarkEnd w:id="24"/>
      <w:bookmarkEnd w:id="25"/>
      <w:bookmarkEnd w:id="26"/>
      <w:bookmarkEnd w:id="27"/>
    </w:p>
    <w:p w14:paraId="75A358DE">
      <w:pPr>
        <w:keepNext w:val="0"/>
        <w:keepLines w:val="0"/>
        <w:pageBreakBefore w:val="0"/>
        <w:widowControl w:val="0"/>
        <w:tabs>
          <w:tab w:val="left" w:pos="0"/>
        </w:tabs>
        <w:kinsoku/>
        <w:wordWrap/>
        <w:overflowPunct/>
        <w:topLinePunct w:val="0"/>
        <w:autoSpaceDE w:val="0"/>
        <w:autoSpaceDN w:val="0"/>
        <w:bidi w:val="0"/>
        <w:adjustRightInd w:val="0"/>
        <w:snapToGrid w:val="0"/>
        <w:spacing w:line="420" w:lineRule="exact"/>
        <w:ind w:firstLine="442" w:firstLineChars="200"/>
        <w:jc w:val="left"/>
        <w:textAlignment w:val="auto"/>
        <w:rPr>
          <w:rFonts w:hint="eastAsia" w:ascii="宋体" w:hAnsi="宋体" w:eastAsia="宋体" w:cs="宋体"/>
          <w:b/>
          <w:bCs/>
          <w:color w:val="auto"/>
          <w:kern w:val="2"/>
          <w:sz w:val="22"/>
          <w:szCs w:val="22"/>
          <w:highlight w:val="none"/>
          <w:lang w:val="en-US" w:eastAsia="zh-CN" w:bidi="ar-SA"/>
        </w:rPr>
      </w:pPr>
      <w:bookmarkStart w:id="47" w:name="_Toc350256315"/>
      <w:bookmarkStart w:id="48" w:name="_Toc322352984"/>
      <w:bookmarkStart w:id="49" w:name="_Toc354401534"/>
      <w:bookmarkStart w:id="50" w:name="_Toc24708480"/>
      <w:r>
        <w:rPr>
          <w:rFonts w:hint="eastAsia" w:ascii="宋体" w:hAnsi="宋体" w:eastAsia="宋体" w:cs="宋体"/>
          <w:b/>
          <w:bCs/>
          <w:color w:val="auto"/>
          <w:kern w:val="2"/>
          <w:sz w:val="22"/>
          <w:szCs w:val="22"/>
          <w:highlight w:val="none"/>
          <w:lang w:val="en-US" w:eastAsia="zh-CN" w:bidi="ar-SA"/>
        </w:rPr>
        <w:t>一、招标项目概况</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754"/>
        <w:gridCol w:w="1182"/>
        <w:gridCol w:w="1400"/>
        <w:gridCol w:w="1592"/>
        <w:gridCol w:w="3031"/>
      </w:tblGrid>
      <w:tr w14:paraId="6741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pct"/>
            <w:vAlign w:val="center"/>
          </w:tcPr>
          <w:p w14:paraId="06F9D9E2">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招标内容</w:t>
            </w:r>
          </w:p>
        </w:tc>
        <w:tc>
          <w:tcPr>
            <w:tcW w:w="394" w:type="pct"/>
            <w:vAlign w:val="center"/>
          </w:tcPr>
          <w:p w14:paraId="72B7DEE9">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单位</w:t>
            </w:r>
          </w:p>
        </w:tc>
        <w:tc>
          <w:tcPr>
            <w:tcW w:w="618" w:type="pct"/>
            <w:vAlign w:val="center"/>
          </w:tcPr>
          <w:p w14:paraId="6A274A08">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银行数量</w:t>
            </w:r>
          </w:p>
        </w:tc>
        <w:tc>
          <w:tcPr>
            <w:tcW w:w="732" w:type="pct"/>
            <w:vAlign w:val="center"/>
          </w:tcPr>
          <w:p w14:paraId="72662660">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招标规模</w:t>
            </w:r>
          </w:p>
          <w:p w14:paraId="34D47F30">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（万元）</w:t>
            </w:r>
          </w:p>
        </w:tc>
        <w:tc>
          <w:tcPr>
            <w:tcW w:w="832" w:type="pct"/>
            <w:vAlign w:val="center"/>
          </w:tcPr>
          <w:p w14:paraId="4AFA90FC">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定期存款期限</w:t>
            </w:r>
          </w:p>
        </w:tc>
        <w:tc>
          <w:tcPr>
            <w:tcW w:w="1584" w:type="pct"/>
            <w:vAlign w:val="center"/>
          </w:tcPr>
          <w:p w14:paraId="24FE47DB">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资金分配</w:t>
            </w:r>
          </w:p>
        </w:tc>
      </w:tr>
      <w:tr w14:paraId="5D56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38" w:type="pct"/>
            <w:vAlign w:val="center"/>
          </w:tcPr>
          <w:p w14:paraId="39A88B6F">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default"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标项一</w:t>
            </w:r>
          </w:p>
        </w:tc>
        <w:tc>
          <w:tcPr>
            <w:tcW w:w="394" w:type="pct"/>
            <w:vAlign w:val="center"/>
          </w:tcPr>
          <w:p w14:paraId="15A2BCD3">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家</w:t>
            </w:r>
          </w:p>
        </w:tc>
        <w:tc>
          <w:tcPr>
            <w:tcW w:w="618" w:type="pct"/>
            <w:vAlign w:val="center"/>
          </w:tcPr>
          <w:p w14:paraId="71DF5CA9">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4</w:t>
            </w:r>
          </w:p>
        </w:tc>
        <w:tc>
          <w:tcPr>
            <w:tcW w:w="732" w:type="pct"/>
            <w:vAlign w:val="center"/>
          </w:tcPr>
          <w:p w14:paraId="1F9737CC">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default"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5300</w:t>
            </w:r>
          </w:p>
        </w:tc>
        <w:tc>
          <w:tcPr>
            <w:tcW w:w="832" w:type="pct"/>
            <w:vAlign w:val="center"/>
          </w:tcPr>
          <w:p w14:paraId="043D4323">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3年</w:t>
            </w:r>
          </w:p>
        </w:tc>
        <w:tc>
          <w:tcPr>
            <w:tcW w:w="1584" w:type="pct"/>
            <w:vAlign w:val="center"/>
          </w:tcPr>
          <w:p w14:paraId="7A1F9850">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4"/>
                <w:szCs w:val="24"/>
                <w:highlight w:val="none"/>
                <w:lang w:val="en-US" w:eastAsia="zh-CN" w:bidi="ar-SA"/>
              </w:rPr>
              <w:t>按照第1至第4名各占资金总量的45%、30%、15%、10%的比例存放。</w:t>
            </w:r>
          </w:p>
        </w:tc>
      </w:tr>
      <w:tr w14:paraId="4DCF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38" w:type="pct"/>
            <w:vAlign w:val="center"/>
          </w:tcPr>
          <w:p w14:paraId="7DCD38B5">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default"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标项二</w:t>
            </w:r>
          </w:p>
        </w:tc>
        <w:tc>
          <w:tcPr>
            <w:tcW w:w="394" w:type="pct"/>
            <w:vAlign w:val="center"/>
          </w:tcPr>
          <w:p w14:paraId="51C0050B">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家</w:t>
            </w:r>
          </w:p>
        </w:tc>
        <w:tc>
          <w:tcPr>
            <w:tcW w:w="618" w:type="pct"/>
            <w:vAlign w:val="center"/>
          </w:tcPr>
          <w:p w14:paraId="17ACD043">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4</w:t>
            </w:r>
          </w:p>
        </w:tc>
        <w:tc>
          <w:tcPr>
            <w:tcW w:w="732" w:type="pct"/>
            <w:vAlign w:val="center"/>
          </w:tcPr>
          <w:p w14:paraId="519DA5EA">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default"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1600</w:t>
            </w:r>
          </w:p>
        </w:tc>
        <w:tc>
          <w:tcPr>
            <w:tcW w:w="832" w:type="pct"/>
            <w:vAlign w:val="center"/>
          </w:tcPr>
          <w:p w14:paraId="3EA275FB">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default"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2"/>
                <w:szCs w:val="22"/>
                <w:highlight w:val="none"/>
                <w:lang w:val="en-US" w:eastAsia="zh-CN" w:bidi="ar-SA"/>
              </w:rPr>
              <w:t>1年</w:t>
            </w:r>
          </w:p>
        </w:tc>
        <w:tc>
          <w:tcPr>
            <w:tcW w:w="1584" w:type="pct"/>
            <w:vAlign w:val="center"/>
          </w:tcPr>
          <w:p w14:paraId="79E08820">
            <w:pPr>
              <w:pStyle w:val="60"/>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20" w:lineRule="exact"/>
              <w:ind w:left="0" w:leftChars="0" w:right="0" w:firstLine="0" w:firstLineChars="0"/>
              <w:jc w:val="center"/>
              <w:textAlignment w:val="baseline"/>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spacing w:val="0"/>
                <w:kern w:val="0"/>
                <w:sz w:val="24"/>
                <w:szCs w:val="24"/>
                <w:highlight w:val="none"/>
                <w:lang w:val="en-US" w:eastAsia="zh-CN" w:bidi="ar-SA"/>
              </w:rPr>
              <w:t>按照第1至第4名各占资金总量的45%、30%、15%、10%的比例存放。</w:t>
            </w:r>
          </w:p>
        </w:tc>
      </w:tr>
    </w:tbl>
    <w:p w14:paraId="2AD57A05">
      <w:pPr>
        <w:pStyle w:val="33"/>
        <w:keepNext w:val="0"/>
        <w:keepLines w:val="0"/>
        <w:pageBreakBefore w:val="0"/>
        <w:widowControl w:val="0"/>
        <w:kinsoku/>
        <w:wordWrap/>
        <w:overflowPunct/>
        <w:topLinePunct w:val="0"/>
        <w:bidi w:val="0"/>
        <w:snapToGrid/>
        <w:spacing w:before="0" w:after="0" w:line="420" w:lineRule="exact"/>
        <w:ind w:firstLine="442" w:firstLineChars="200"/>
        <w:jc w:val="left"/>
        <w:textAlignment w:val="auto"/>
        <w:rPr>
          <w:rFonts w:hint="eastAsia" w:ascii="宋体" w:hAnsi="宋体" w:eastAsia="宋体" w:cs="宋体"/>
          <w:b/>
          <w:bCs/>
          <w:i w:val="0"/>
          <w:caps w:val="0"/>
          <w:color w:val="auto"/>
          <w:spacing w:val="0"/>
          <w:kern w:val="0"/>
          <w:sz w:val="22"/>
          <w:szCs w:val="22"/>
          <w:highlight w:val="none"/>
          <w:lang w:val="en-US" w:eastAsia="zh-CN" w:bidi="ar-SA"/>
        </w:rPr>
      </w:pPr>
      <w:r>
        <w:rPr>
          <w:rFonts w:hint="eastAsia" w:hAnsi="宋体" w:cs="宋体"/>
          <w:b/>
          <w:bCs/>
          <w:i w:val="0"/>
          <w:caps w:val="0"/>
          <w:color w:val="auto"/>
          <w:spacing w:val="0"/>
          <w:kern w:val="0"/>
          <w:sz w:val="22"/>
          <w:szCs w:val="22"/>
          <w:highlight w:val="none"/>
          <w:lang w:val="en-US" w:eastAsia="zh-CN" w:bidi="ar-SA"/>
        </w:rPr>
        <w:t>二</w:t>
      </w:r>
      <w:r>
        <w:rPr>
          <w:rFonts w:hint="eastAsia" w:ascii="宋体" w:hAnsi="宋体" w:eastAsia="宋体" w:cs="宋体"/>
          <w:b/>
          <w:bCs/>
          <w:i w:val="0"/>
          <w:caps w:val="0"/>
          <w:color w:val="auto"/>
          <w:spacing w:val="0"/>
          <w:kern w:val="0"/>
          <w:sz w:val="22"/>
          <w:szCs w:val="22"/>
          <w:highlight w:val="none"/>
          <w:lang w:val="en-US" w:eastAsia="zh-CN" w:bidi="ar-SA"/>
        </w:rPr>
        <w:t>、中标结果确认及中标通知书发放</w:t>
      </w:r>
    </w:p>
    <w:p w14:paraId="0B68BC79">
      <w:pPr>
        <w:pStyle w:val="33"/>
        <w:keepNext w:val="0"/>
        <w:keepLines w:val="0"/>
        <w:pageBreakBefore w:val="0"/>
        <w:widowControl w:val="0"/>
        <w:kinsoku/>
        <w:wordWrap/>
        <w:overflowPunct/>
        <w:topLinePunct w:val="0"/>
        <w:bidi w:val="0"/>
        <w:snapToGrid/>
        <w:spacing w:before="0" w:after="0" w:line="420" w:lineRule="exact"/>
        <w:ind w:firstLine="440" w:firstLineChars="200"/>
        <w:jc w:val="left"/>
        <w:textAlignment w:val="auto"/>
        <w:rPr>
          <w:rFonts w:hint="eastAsia" w:ascii="宋体" w:hAnsi="宋体" w:eastAsia="宋体" w:cs="宋体"/>
          <w:i w:val="0"/>
          <w:caps w:val="0"/>
          <w:color w:val="auto"/>
          <w:spacing w:val="0"/>
          <w:kern w:val="0"/>
          <w:sz w:val="22"/>
          <w:szCs w:val="22"/>
          <w:highlight w:val="none"/>
          <w:lang w:val="en-US" w:eastAsia="zh-CN" w:bidi="ar-SA"/>
        </w:rPr>
      </w:pPr>
      <w:r>
        <w:rPr>
          <w:rFonts w:hint="eastAsia" w:ascii="宋体" w:hAnsi="宋体" w:eastAsia="宋体" w:cs="宋体"/>
          <w:i w:val="0"/>
          <w:caps w:val="0"/>
          <w:color w:val="auto"/>
          <w:spacing w:val="0"/>
          <w:kern w:val="0"/>
          <w:sz w:val="22"/>
          <w:szCs w:val="22"/>
          <w:highlight w:val="none"/>
          <w:lang w:val="en-US" w:eastAsia="zh-CN" w:bidi="ar-SA"/>
        </w:rPr>
        <w:t>中标结果经衢州市</w:t>
      </w:r>
      <w:r>
        <w:rPr>
          <w:rFonts w:hint="eastAsia" w:hAnsi="宋体" w:cs="宋体"/>
          <w:i w:val="0"/>
          <w:caps w:val="0"/>
          <w:color w:val="auto"/>
          <w:spacing w:val="0"/>
          <w:kern w:val="0"/>
          <w:sz w:val="22"/>
          <w:szCs w:val="22"/>
          <w:highlight w:val="none"/>
          <w:lang w:val="en-US" w:eastAsia="zh-CN" w:bidi="ar-SA"/>
        </w:rPr>
        <w:t>衢江</w:t>
      </w:r>
      <w:r>
        <w:rPr>
          <w:rFonts w:hint="eastAsia" w:ascii="宋体" w:hAnsi="宋体" w:eastAsia="宋体" w:cs="宋体"/>
          <w:i w:val="0"/>
          <w:caps w:val="0"/>
          <w:color w:val="auto"/>
          <w:spacing w:val="0"/>
          <w:kern w:val="0"/>
          <w:sz w:val="22"/>
          <w:szCs w:val="22"/>
          <w:highlight w:val="none"/>
          <w:lang w:val="en-US" w:eastAsia="zh-CN" w:bidi="ar-SA"/>
        </w:rPr>
        <w:t>区住房和城乡建设局确认后生效，中标结果确认后向中标银行发出中标通知书。中标银行须在中标通知书发出后</w:t>
      </w:r>
      <w:r>
        <w:rPr>
          <w:rFonts w:hint="eastAsia" w:hAnsi="宋体" w:cs="宋体"/>
          <w:i w:val="0"/>
          <w:caps w:val="0"/>
          <w:color w:val="auto"/>
          <w:spacing w:val="0"/>
          <w:kern w:val="0"/>
          <w:sz w:val="22"/>
          <w:szCs w:val="22"/>
          <w:highlight w:val="none"/>
          <w:lang w:val="en-US" w:eastAsia="zh-CN" w:bidi="ar-SA"/>
        </w:rPr>
        <w:t xml:space="preserve"> 15</w:t>
      </w:r>
      <w:r>
        <w:rPr>
          <w:rFonts w:hint="eastAsia" w:ascii="宋体" w:hAnsi="宋体" w:eastAsia="宋体" w:cs="宋体"/>
          <w:i w:val="0"/>
          <w:caps w:val="0"/>
          <w:color w:val="auto"/>
          <w:spacing w:val="0"/>
          <w:kern w:val="0"/>
          <w:sz w:val="22"/>
          <w:szCs w:val="22"/>
          <w:highlight w:val="none"/>
          <w:lang w:val="en-US" w:eastAsia="zh-CN" w:bidi="ar-SA"/>
        </w:rPr>
        <w:t>个工作日内与招标人签订存款协议，办理资金具体存放手续，并按要求提供定期存单。</w:t>
      </w:r>
    </w:p>
    <w:p w14:paraId="499C7FF6">
      <w:pPr>
        <w:keepNext w:val="0"/>
        <w:keepLines w:val="0"/>
        <w:pageBreakBefore w:val="0"/>
        <w:widowControl w:val="0"/>
        <w:tabs>
          <w:tab w:val="left" w:pos="0"/>
        </w:tabs>
        <w:kinsoku/>
        <w:wordWrap/>
        <w:overflowPunct/>
        <w:topLinePunct w:val="0"/>
        <w:autoSpaceDE w:val="0"/>
        <w:autoSpaceDN w:val="0"/>
        <w:bidi w:val="0"/>
        <w:adjustRightInd w:val="0"/>
        <w:snapToGrid w:val="0"/>
        <w:spacing w:line="420" w:lineRule="exact"/>
        <w:ind w:firstLine="442" w:firstLineChars="200"/>
        <w:jc w:val="left"/>
        <w:textAlignment w:val="auto"/>
        <w:rPr>
          <w:rFonts w:hint="eastAsia" w:ascii="宋体" w:hAnsi="宋体" w:eastAsia="宋体" w:cs="宋体"/>
          <w:b/>
          <w:bCs/>
          <w:i w:val="0"/>
          <w:caps w:val="0"/>
          <w:color w:val="auto"/>
          <w:spacing w:val="0"/>
          <w:kern w:val="0"/>
          <w:sz w:val="22"/>
          <w:szCs w:val="22"/>
          <w:highlight w:val="none"/>
          <w:lang w:val="en-US" w:eastAsia="zh-CN" w:bidi="ar-SA"/>
        </w:rPr>
      </w:pPr>
      <w:r>
        <w:rPr>
          <w:rFonts w:hint="eastAsia" w:ascii="宋体" w:hAnsi="宋体" w:eastAsia="宋体" w:cs="宋体"/>
          <w:b/>
          <w:bCs/>
          <w:i w:val="0"/>
          <w:caps w:val="0"/>
          <w:color w:val="auto"/>
          <w:spacing w:val="0"/>
          <w:kern w:val="0"/>
          <w:sz w:val="22"/>
          <w:szCs w:val="22"/>
          <w:highlight w:val="none"/>
          <w:lang w:val="en-US" w:eastAsia="zh-CN" w:bidi="ar-SA"/>
        </w:rPr>
        <w:t>三、质押和保证</w:t>
      </w:r>
    </w:p>
    <w:p w14:paraId="55C86938">
      <w:pPr>
        <w:keepNext w:val="0"/>
        <w:keepLines w:val="0"/>
        <w:pageBreakBefore w:val="0"/>
        <w:widowControl w:val="0"/>
        <w:tabs>
          <w:tab w:val="left" w:pos="0"/>
        </w:tabs>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caps w:val="0"/>
          <w:color w:val="auto"/>
          <w:spacing w:val="0"/>
          <w:kern w:val="0"/>
          <w:sz w:val="22"/>
          <w:szCs w:val="22"/>
          <w:highlight w:val="none"/>
          <w:lang w:val="en-US" w:eastAsia="zh-CN" w:bidi="ar-SA"/>
        </w:rPr>
      </w:pPr>
      <w:r>
        <w:rPr>
          <w:rFonts w:hint="eastAsia" w:ascii="宋体" w:hAnsi="宋体" w:eastAsia="宋体" w:cs="宋体"/>
          <w:i w:val="0"/>
          <w:caps w:val="0"/>
          <w:color w:val="auto"/>
          <w:spacing w:val="0"/>
          <w:kern w:val="0"/>
          <w:sz w:val="22"/>
          <w:szCs w:val="22"/>
          <w:highlight w:val="none"/>
          <w:lang w:val="en-US" w:eastAsia="zh-CN" w:bidi="ar-SA"/>
        </w:rPr>
        <w:t>中标人须在竞标银行中标存款协议签订后及时向衢州市衢江区住房和城乡建设局提供质押或保证。中标银行提供的质押或保证面值数额为中标金额的120%。</w:t>
      </w:r>
    </w:p>
    <w:p w14:paraId="2312A2C6">
      <w:pPr>
        <w:keepNext w:val="0"/>
        <w:keepLines w:val="0"/>
        <w:pageBreakBefore w:val="0"/>
        <w:widowControl w:val="0"/>
        <w:tabs>
          <w:tab w:val="left" w:pos="0"/>
        </w:tabs>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caps w:val="0"/>
          <w:color w:val="auto"/>
          <w:spacing w:val="0"/>
          <w:kern w:val="0"/>
          <w:sz w:val="22"/>
          <w:szCs w:val="22"/>
          <w:highlight w:val="none"/>
          <w:lang w:val="en-US" w:eastAsia="zh-CN" w:bidi="ar-SA"/>
        </w:rPr>
      </w:pPr>
      <w:r>
        <w:rPr>
          <w:rFonts w:hint="eastAsia" w:ascii="宋体" w:hAnsi="宋体" w:eastAsia="宋体" w:cs="宋体"/>
          <w:i w:val="0"/>
          <w:caps w:val="0"/>
          <w:color w:val="auto"/>
          <w:spacing w:val="0"/>
          <w:kern w:val="0"/>
          <w:sz w:val="22"/>
          <w:szCs w:val="22"/>
          <w:highlight w:val="none"/>
          <w:lang w:val="en-US" w:eastAsia="zh-CN" w:bidi="ar-SA"/>
        </w:rPr>
        <w:t>采取质押方式的，要求提供可流通的债券（或国债、有价证券）等合格质押品。无合格质押品的商业银行分支机构，可以取得该商业银行总行（或上一级行）载明质押品种、数量等信息的质押授权书或担保函。采取保证方式的，要求提供以其他商业银行自愿为参与竞标的银行出具的注明担保内容、金额等信息的担保函，保证方式为连带责任保证。</w:t>
      </w:r>
    </w:p>
    <w:p w14:paraId="13D4AEDA">
      <w:pPr>
        <w:pStyle w:val="33"/>
        <w:keepNext w:val="0"/>
        <w:keepLines w:val="0"/>
        <w:pageBreakBefore w:val="0"/>
        <w:widowControl w:val="0"/>
        <w:kinsoku/>
        <w:wordWrap/>
        <w:overflowPunct/>
        <w:topLinePunct w:val="0"/>
        <w:bidi w:val="0"/>
        <w:snapToGrid/>
        <w:spacing w:before="0" w:after="0" w:line="420" w:lineRule="exact"/>
        <w:ind w:firstLine="442" w:firstLineChars="200"/>
        <w:jc w:val="left"/>
        <w:textAlignment w:val="auto"/>
        <w:rPr>
          <w:rFonts w:hint="eastAsia" w:ascii="宋体" w:hAnsi="宋体" w:eastAsia="宋体" w:cs="宋体"/>
          <w:b/>
          <w:bCs/>
          <w:i w:val="0"/>
          <w:caps w:val="0"/>
          <w:color w:val="auto"/>
          <w:spacing w:val="0"/>
          <w:kern w:val="0"/>
          <w:sz w:val="22"/>
          <w:szCs w:val="22"/>
          <w:highlight w:val="none"/>
          <w:lang w:val="en-US" w:eastAsia="zh-CN" w:bidi="ar-SA"/>
        </w:rPr>
      </w:pPr>
      <w:r>
        <w:rPr>
          <w:rFonts w:hint="eastAsia" w:hAnsi="宋体" w:cs="宋体"/>
          <w:b/>
          <w:bCs/>
          <w:i w:val="0"/>
          <w:caps w:val="0"/>
          <w:color w:val="auto"/>
          <w:spacing w:val="0"/>
          <w:kern w:val="0"/>
          <w:sz w:val="22"/>
          <w:szCs w:val="22"/>
          <w:highlight w:val="none"/>
          <w:lang w:val="en-US" w:eastAsia="zh-CN" w:bidi="ar-SA"/>
        </w:rPr>
        <w:t>四</w:t>
      </w:r>
      <w:r>
        <w:rPr>
          <w:rFonts w:hint="eastAsia" w:ascii="宋体" w:hAnsi="宋体" w:eastAsia="宋体" w:cs="宋体"/>
          <w:b/>
          <w:bCs/>
          <w:i w:val="0"/>
          <w:caps w:val="0"/>
          <w:color w:val="auto"/>
          <w:spacing w:val="0"/>
          <w:kern w:val="0"/>
          <w:sz w:val="22"/>
          <w:szCs w:val="22"/>
          <w:highlight w:val="none"/>
          <w:lang w:val="en-US" w:eastAsia="zh-CN" w:bidi="ar-SA"/>
        </w:rPr>
        <w:t>、其他</w:t>
      </w:r>
    </w:p>
    <w:p w14:paraId="78628841">
      <w:pPr>
        <w:pStyle w:val="33"/>
        <w:keepNext w:val="0"/>
        <w:keepLines w:val="0"/>
        <w:pageBreakBefore w:val="0"/>
        <w:widowControl w:val="0"/>
        <w:kinsoku/>
        <w:wordWrap/>
        <w:overflowPunct/>
        <w:topLinePunct w:val="0"/>
        <w:bidi w:val="0"/>
        <w:snapToGrid/>
        <w:spacing w:before="0" w:after="0" w:line="420" w:lineRule="exact"/>
        <w:ind w:firstLine="440" w:firstLineChars="200"/>
        <w:jc w:val="left"/>
        <w:textAlignment w:val="auto"/>
        <w:rPr>
          <w:rFonts w:hint="eastAsia" w:hAnsi="宋体" w:cs="宋体"/>
          <w:i w:val="0"/>
          <w:caps w:val="0"/>
          <w:color w:val="auto"/>
          <w:spacing w:val="0"/>
          <w:kern w:val="0"/>
          <w:sz w:val="22"/>
          <w:szCs w:val="22"/>
          <w:highlight w:val="none"/>
          <w:lang w:val="en-US" w:eastAsia="zh-CN" w:bidi="ar-SA"/>
        </w:rPr>
      </w:pPr>
      <w:r>
        <w:rPr>
          <w:rFonts w:hint="eastAsia" w:hAnsi="宋体" w:cs="宋体"/>
          <w:i w:val="0"/>
          <w:caps w:val="0"/>
          <w:color w:val="auto"/>
          <w:spacing w:val="0"/>
          <w:kern w:val="0"/>
          <w:sz w:val="22"/>
          <w:szCs w:val="22"/>
          <w:highlight w:val="none"/>
          <w:lang w:val="en-US" w:eastAsia="zh-CN" w:bidi="ar-SA"/>
        </w:rPr>
        <w:t>定期存款存放银行出现以</w:t>
      </w:r>
      <w:r>
        <w:rPr>
          <w:rFonts w:hint="eastAsia" w:ascii="宋体" w:hAnsi="宋体" w:eastAsia="宋体" w:cs="宋体"/>
          <w:i w:val="0"/>
          <w:caps w:val="0"/>
          <w:color w:val="auto"/>
          <w:spacing w:val="0"/>
          <w:kern w:val="0"/>
          <w:sz w:val="22"/>
          <w:szCs w:val="22"/>
          <w:highlight w:val="none"/>
          <w:lang w:val="en-US" w:eastAsia="zh-CN" w:bidi="ar-SA"/>
        </w:rPr>
        <w:t>下情形之一的，招标人有权提前收回</w:t>
      </w:r>
      <w:r>
        <w:rPr>
          <w:rFonts w:hint="eastAsia" w:hAnsi="宋体" w:cs="宋体"/>
          <w:i w:val="0"/>
          <w:caps w:val="0"/>
          <w:color w:val="auto"/>
          <w:spacing w:val="0"/>
          <w:kern w:val="0"/>
          <w:sz w:val="22"/>
          <w:szCs w:val="22"/>
          <w:highlight w:val="none"/>
          <w:lang w:val="en-US" w:eastAsia="zh-CN" w:bidi="ar-SA"/>
        </w:rPr>
        <w:t>定期存款，并有权拒绝其在以后2年内参与本单位公款竞争性存放；</w:t>
      </w:r>
    </w:p>
    <w:p w14:paraId="08819EF6">
      <w:pPr>
        <w:keepNext w:val="0"/>
        <w:keepLines w:val="0"/>
        <w:pageBreakBefore w:val="0"/>
        <w:widowControl w:val="0"/>
        <w:kinsoku/>
        <w:wordWrap/>
        <w:overflowPunct/>
        <w:topLinePunct w:val="0"/>
        <w:bidi w:val="0"/>
        <w:spacing w:line="420" w:lineRule="exact"/>
        <w:ind w:firstLine="440" w:firstLineChars="200"/>
        <w:textAlignment w:val="auto"/>
        <w:rPr>
          <w:rFonts w:hint="eastAsia" w:ascii="宋体" w:hAnsi="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出现资金安全事故、重大违法违规情况或财务状况恶化的；</w:t>
      </w:r>
    </w:p>
    <w:p w14:paraId="48996425">
      <w:pPr>
        <w:keepNext w:val="0"/>
        <w:keepLines w:val="0"/>
        <w:pageBreakBefore w:val="0"/>
        <w:widowControl w:val="0"/>
        <w:kinsoku/>
        <w:wordWrap/>
        <w:overflowPunct/>
        <w:topLinePunct w:val="0"/>
        <w:bidi w:val="0"/>
        <w:spacing w:line="420" w:lineRule="exact"/>
        <w:ind w:firstLine="440" w:firstLineChars="200"/>
        <w:textAlignment w:val="auto"/>
        <w:rPr>
          <w:rFonts w:hint="default" w:ascii="宋体" w:hAnsi="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人民银行综合评价等级降低后低于衢江区政办发{2021} 20号文件第十五条规定标准，监管部门认为存在较大运营风险的；</w:t>
      </w:r>
    </w:p>
    <w:p w14:paraId="1C85BC96">
      <w:pPr>
        <w:keepNext w:val="0"/>
        <w:keepLines w:val="0"/>
        <w:pageBreakBefore w:val="0"/>
        <w:widowControl w:val="0"/>
        <w:kinsoku/>
        <w:wordWrap/>
        <w:overflowPunct/>
        <w:topLinePunct w:val="0"/>
        <w:bidi w:val="0"/>
        <w:spacing w:line="420" w:lineRule="exact"/>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eastAsia="zh-CN"/>
        </w:rPr>
        <w:t>进行不正当投标的；</w:t>
      </w:r>
    </w:p>
    <w:p w14:paraId="1C78EF17">
      <w:pPr>
        <w:keepNext w:val="0"/>
        <w:keepLines w:val="0"/>
        <w:pageBreakBefore w:val="0"/>
        <w:widowControl w:val="0"/>
        <w:kinsoku/>
        <w:wordWrap/>
        <w:overflowPunct/>
        <w:topLinePunct w:val="0"/>
        <w:bidi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没有按照本协议规定履行相应的责任和义务的；</w:t>
      </w:r>
    </w:p>
    <w:p w14:paraId="01B3C132">
      <w:pPr>
        <w:keepNext w:val="0"/>
        <w:keepLines w:val="0"/>
        <w:pageBreakBefore w:val="0"/>
        <w:widowControl w:val="0"/>
        <w:kinsoku/>
        <w:wordWrap/>
        <w:overflowPunct/>
        <w:topLinePunct w:val="0"/>
        <w:bidi w:val="0"/>
        <w:spacing w:line="420" w:lineRule="exact"/>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eastAsia="zh-CN"/>
        </w:rPr>
        <w:t>不能按规定将到期存款本息足额缴入单位账户的；</w:t>
      </w:r>
    </w:p>
    <w:p w14:paraId="5ADB21AD">
      <w:pPr>
        <w:keepNext w:val="0"/>
        <w:keepLines w:val="0"/>
        <w:pageBreakBefore w:val="0"/>
        <w:widowControl w:val="0"/>
        <w:kinsoku/>
        <w:wordWrap/>
        <w:overflowPunct/>
        <w:topLinePunct w:val="0"/>
        <w:bidi w:val="0"/>
        <w:spacing w:line="4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eastAsia="zh-CN"/>
        </w:rPr>
        <w:t>存在</w:t>
      </w:r>
      <w:r>
        <w:rPr>
          <w:rFonts w:hint="eastAsia" w:ascii="宋体" w:hAnsi="宋体" w:eastAsia="宋体" w:cs="宋体"/>
          <w:color w:val="auto"/>
          <w:kern w:val="0"/>
          <w:sz w:val="22"/>
          <w:szCs w:val="22"/>
          <w:highlight w:val="none"/>
        </w:rPr>
        <w:t>其他妨害资金安全</w:t>
      </w:r>
      <w:r>
        <w:rPr>
          <w:rFonts w:hint="eastAsia" w:ascii="宋体" w:hAnsi="宋体" w:cs="宋体"/>
          <w:color w:val="auto"/>
          <w:kern w:val="0"/>
          <w:sz w:val="22"/>
          <w:szCs w:val="22"/>
          <w:highlight w:val="none"/>
          <w:lang w:eastAsia="zh-CN"/>
        </w:rPr>
        <w:t>行为的</w:t>
      </w:r>
      <w:r>
        <w:rPr>
          <w:rFonts w:hint="eastAsia" w:ascii="宋体" w:hAnsi="宋体" w:eastAsia="宋体" w:cs="宋体"/>
          <w:color w:val="auto"/>
          <w:kern w:val="0"/>
          <w:sz w:val="22"/>
          <w:szCs w:val="22"/>
          <w:highlight w:val="none"/>
        </w:rPr>
        <w:t>。</w:t>
      </w:r>
    </w:p>
    <w:p w14:paraId="6792DA97">
      <w:pPr>
        <w:pStyle w:val="33"/>
        <w:keepNext w:val="0"/>
        <w:keepLines w:val="0"/>
        <w:pageBreakBefore w:val="0"/>
        <w:widowControl w:val="0"/>
        <w:kinsoku/>
        <w:wordWrap/>
        <w:overflowPunct/>
        <w:topLinePunct w:val="0"/>
        <w:bidi w:val="0"/>
        <w:snapToGrid/>
        <w:spacing w:before="0" w:after="0" w:line="420" w:lineRule="exact"/>
        <w:ind w:firstLine="442" w:firstLineChars="200"/>
        <w:jc w:val="left"/>
        <w:textAlignment w:val="auto"/>
        <w:rPr>
          <w:rFonts w:hint="eastAsia" w:ascii="宋体" w:hAnsi="宋体" w:eastAsia="宋体" w:cs="宋体"/>
          <w:b/>
          <w:bCs/>
          <w:i w:val="0"/>
          <w:caps w:val="0"/>
          <w:color w:val="auto"/>
          <w:spacing w:val="0"/>
          <w:kern w:val="0"/>
          <w:sz w:val="22"/>
          <w:szCs w:val="22"/>
          <w:highlight w:val="none"/>
          <w:lang w:val="en-US" w:eastAsia="zh-CN" w:bidi="ar-SA"/>
        </w:rPr>
      </w:pPr>
      <w:r>
        <w:rPr>
          <w:rFonts w:hint="eastAsia" w:ascii="宋体" w:hAnsi="宋体" w:eastAsia="宋体" w:cs="宋体"/>
          <w:b/>
          <w:bCs/>
          <w:i w:val="0"/>
          <w:caps w:val="0"/>
          <w:color w:val="auto"/>
          <w:spacing w:val="0"/>
          <w:kern w:val="0"/>
          <w:sz w:val="22"/>
          <w:szCs w:val="22"/>
          <w:highlight w:val="none"/>
          <w:lang w:val="en-US" w:eastAsia="zh-CN" w:bidi="ar-SA"/>
        </w:rPr>
        <w:t>五、特别提示</w:t>
      </w:r>
    </w:p>
    <w:p w14:paraId="0C3C4ABF">
      <w:pPr>
        <w:pStyle w:val="33"/>
        <w:keepNext w:val="0"/>
        <w:keepLines w:val="0"/>
        <w:pageBreakBefore w:val="0"/>
        <w:widowControl w:val="0"/>
        <w:kinsoku/>
        <w:wordWrap/>
        <w:overflowPunct/>
        <w:topLinePunct w:val="0"/>
        <w:bidi w:val="0"/>
        <w:snapToGrid/>
        <w:spacing w:before="0" w:after="0" w:line="420" w:lineRule="exact"/>
        <w:ind w:firstLine="440" w:firstLineChars="200"/>
        <w:jc w:val="left"/>
        <w:textAlignment w:val="auto"/>
        <w:rPr>
          <w:rFonts w:hint="eastAsia" w:ascii="宋体" w:hAnsi="宋体" w:eastAsia="宋体" w:cs="宋体"/>
          <w:i w:val="0"/>
          <w:caps w:val="0"/>
          <w:color w:val="auto"/>
          <w:spacing w:val="0"/>
          <w:kern w:val="0"/>
          <w:sz w:val="22"/>
          <w:szCs w:val="22"/>
          <w:highlight w:val="none"/>
          <w:lang w:val="en-US" w:eastAsia="zh-CN" w:bidi="ar-SA"/>
        </w:rPr>
      </w:pPr>
      <w:r>
        <w:rPr>
          <w:rFonts w:hint="eastAsia" w:hAnsi="宋体" w:cs="宋体"/>
          <w:i w:val="0"/>
          <w:caps w:val="0"/>
          <w:color w:val="auto"/>
          <w:spacing w:val="0"/>
          <w:kern w:val="0"/>
          <w:sz w:val="22"/>
          <w:szCs w:val="22"/>
          <w:highlight w:val="none"/>
          <w:lang w:val="en-US" w:eastAsia="zh-CN" w:bidi="ar-SA"/>
        </w:rPr>
        <w:t>1.</w:t>
      </w:r>
      <w:r>
        <w:rPr>
          <w:rFonts w:hint="eastAsia" w:ascii="宋体" w:hAnsi="宋体" w:eastAsia="宋体" w:cs="宋体"/>
          <w:i w:val="0"/>
          <w:caps w:val="0"/>
          <w:color w:val="auto"/>
          <w:spacing w:val="0"/>
          <w:kern w:val="0"/>
          <w:sz w:val="22"/>
          <w:szCs w:val="22"/>
          <w:highlight w:val="none"/>
          <w:lang w:val="en-US" w:eastAsia="zh-CN" w:bidi="ar-SA"/>
        </w:rPr>
        <w:t>定期存款综合收益于存款到期日结算，定期存款综合收益以定期存款协议书载明的年利率计算。招标人可提前支取全部或部分定期存款，中标银行应积极配合办理。提前支取部分，按《人民币单位存款管理办法》相关规定计息。未支取部分仍需按合同约定计算收益。</w:t>
      </w:r>
    </w:p>
    <w:p w14:paraId="51211C7F">
      <w:pPr>
        <w:pStyle w:val="33"/>
        <w:keepNext w:val="0"/>
        <w:keepLines w:val="0"/>
        <w:pageBreakBefore w:val="0"/>
        <w:widowControl w:val="0"/>
        <w:kinsoku/>
        <w:wordWrap/>
        <w:overflowPunct/>
        <w:topLinePunct w:val="0"/>
        <w:bidi w:val="0"/>
        <w:snapToGrid/>
        <w:spacing w:before="0" w:after="0" w:line="420" w:lineRule="exact"/>
        <w:ind w:firstLine="440" w:firstLineChars="200"/>
        <w:jc w:val="left"/>
        <w:textAlignment w:val="auto"/>
        <w:rPr>
          <w:rFonts w:hint="eastAsia" w:ascii="宋体" w:hAnsi="宋体" w:eastAsia="宋体" w:cs="宋体"/>
          <w:i w:val="0"/>
          <w:caps w:val="0"/>
          <w:color w:val="auto"/>
          <w:spacing w:val="0"/>
          <w:kern w:val="0"/>
          <w:sz w:val="22"/>
          <w:szCs w:val="22"/>
          <w:highlight w:val="none"/>
          <w:lang w:val="en-US" w:eastAsia="zh-CN" w:bidi="ar-SA"/>
        </w:rPr>
      </w:pPr>
      <w:r>
        <w:rPr>
          <w:rFonts w:hint="eastAsia" w:ascii="宋体" w:hAnsi="宋体" w:eastAsia="宋体" w:cs="宋体"/>
          <w:i w:val="0"/>
          <w:caps w:val="0"/>
          <w:color w:val="auto"/>
          <w:spacing w:val="0"/>
          <w:kern w:val="0"/>
          <w:sz w:val="22"/>
          <w:szCs w:val="22"/>
          <w:highlight w:val="none"/>
          <w:lang w:val="en-US" w:eastAsia="zh-CN" w:bidi="ar-SA"/>
        </w:rPr>
        <w:t>2.区住建局要求提前支取全部或部分定期存款的，若银行不配合按期办理相关定期存款支取手续，或未按协议约定利率结清相应的存款利息的，区住建局有权决定暂停或取消其参与公款竞争性存放资格。</w:t>
      </w:r>
    </w:p>
    <w:p w14:paraId="5EF8585B">
      <w:pPr>
        <w:pStyle w:val="33"/>
        <w:keepNext w:val="0"/>
        <w:keepLines w:val="0"/>
        <w:pageBreakBefore w:val="0"/>
        <w:widowControl w:val="0"/>
        <w:numPr>
          <w:ilvl w:val="0"/>
          <w:numId w:val="0"/>
        </w:numPr>
        <w:kinsoku/>
        <w:wordWrap/>
        <w:overflowPunct/>
        <w:topLinePunct w:val="0"/>
        <w:bidi w:val="0"/>
        <w:snapToGrid/>
        <w:spacing w:before="0" w:after="0" w:line="420" w:lineRule="exact"/>
        <w:ind w:firstLine="442" w:firstLineChars="200"/>
        <w:jc w:val="left"/>
        <w:textAlignment w:val="auto"/>
        <w:rPr>
          <w:rFonts w:hint="eastAsia" w:ascii="宋体" w:hAnsi="宋体" w:eastAsia="宋体" w:cs="宋体"/>
          <w:b/>
          <w:bCs/>
          <w:i w:val="0"/>
          <w:caps w:val="0"/>
          <w:color w:val="auto"/>
          <w:spacing w:val="0"/>
          <w:kern w:val="0"/>
          <w:sz w:val="22"/>
          <w:szCs w:val="22"/>
          <w:highlight w:val="none"/>
          <w:lang w:val="en-US" w:eastAsia="zh-CN" w:bidi="ar-SA"/>
        </w:rPr>
      </w:pPr>
      <w:r>
        <w:rPr>
          <w:rFonts w:hint="eastAsia" w:ascii="宋体" w:hAnsi="宋体" w:eastAsia="宋体" w:cs="宋体"/>
          <w:b/>
          <w:bCs/>
          <w:i w:val="0"/>
          <w:caps w:val="0"/>
          <w:color w:val="auto"/>
          <w:spacing w:val="0"/>
          <w:kern w:val="0"/>
          <w:sz w:val="22"/>
          <w:szCs w:val="22"/>
          <w:highlight w:val="none"/>
          <w:lang w:val="en-US" w:eastAsia="zh-CN" w:bidi="ar-SA"/>
        </w:rPr>
        <w:t>本方案由衢州市衢江区住房和城乡建设局负责解释。</w:t>
      </w:r>
    </w:p>
    <w:p w14:paraId="05EDEB6B">
      <w:pPr>
        <w:keepNext w:val="0"/>
        <w:keepLines w:val="0"/>
        <w:pageBreakBefore w:val="0"/>
        <w:widowControl w:val="0"/>
        <w:kinsoku/>
        <w:wordWrap/>
        <w:overflowPunct/>
        <w:topLinePunct w:val="0"/>
        <w:bidi w:val="0"/>
        <w:spacing w:line="400" w:lineRule="exact"/>
        <w:textAlignment w:val="auto"/>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567E8F24">
      <w:pPr>
        <w:pStyle w:val="33"/>
        <w:keepNext w:val="0"/>
        <w:keepLines w:val="0"/>
        <w:pageBreakBefore w:val="0"/>
        <w:numPr>
          <w:ilvl w:val="0"/>
          <w:numId w:val="0"/>
        </w:numPr>
        <w:kinsoku/>
        <w:wordWrap/>
        <w:overflowPunct/>
        <w:topLinePunct w:val="0"/>
        <w:bidi w:val="0"/>
        <w:snapToGrid/>
        <w:spacing w:before="0" w:after="0" w:line="440" w:lineRule="exact"/>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第四章  合同</w:t>
      </w:r>
      <w:bookmarkEnd w:id="47"/>
      <w:bookmarkEnd w:id="48"/>
      <w:bookmarkEnd w:id="49"/>
      <w:r>
        <w:rPr>
          <w:rFonts w:hint="eastAsia" w:ascii="宋体" w:hAnsi="宋体" w:cs="宋体"/>
          <w:b/>
          <w:color w:val="auto"/>
          <w:sz w:val="32"/>
          <w:szCs w:val="32"/>
          <w:highlight w:val="none"/>
        </w:rPr>
        <w:t>文本</w:t>
      </w:r>
      <w:bookmarkEnd w:id="50"/>
    </w:p>
    <w:p w14:paraId="55845C89">
      <w:pPr>
        <w:jc w:val="center"/>
        <w:rPr>
          <w:rFonts w:ascii="宋体" w:hAnsi="宋体" w:cs="宋体"/>
          <w:b/>
          <w:bCs/>
          <w:color w:val="auto"/>
          <w:sz w:val="28"/>
          <w:szCs w:val="28"/>
          <w:highlight w:val="none"/>
        </w:rPr>
      </w:pPr>
    </w:p>
    <w:p w14:paraId="28A80FD4">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bookmarkStart w:id="51" w:name="_Toc356371458"/>
      <w:bookmarkStart w:id="52" w:name="_Toc322352985"/>
      <w:bookmarkStart w:id="53" w:name="_Toc24708485"/>
      <w:bookmarkStart w:id="54" w:name="_Toc354491899"/>
      <w:r>
        <w:rPr>
          <w:rFonts w:hint="eastAsia" w:ascii="宋体" w:hAnsi="宋体" w:eastAsia="宋体" w:cs="宋体"/>
          <w:color w:val="auto"/>
          <w:kern w:val="0"/>
          <w:sz w:val="22"/>
          <w:szCs w:val="22"/>
          <w:highlight w:val="none"/>
          <w:lang w:val="en-US" w:eastAsia="zh-CN"/>
        </w:rPr>
        <w:t>甲方：衢州市衢江区住房和城乡建设局</w:t>
      </w:r>
    </w:p>
    <w:p w14:paraId="1006BFA8">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乙方：</w:t>
      </w:r>
    </w:p>
    <w:p w14:paraId="698F0F13">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bookmarkStart w:id="55" w:name="_Toc24708481"/>
      <w:r>
        <w:rPr>
          <w:rFonts w:hint="eastAsia" w:ascii="宋体" w:hAnsi="宋体" w:eastAsia="宋体" w:cs="宋体"/>
          <w:color w:val="auto"/>
          <w:kern w:val="0"/>
          <w:sz w:val="22"/>
          <w:szCs w:val="22"/>
          <w:highlight w:val="none"/>
          <w:lang w:val="en-US" w:eastAsia="zh-CN"/>
        </w:rPr>
        <w:t>为保护甲乙双方合法权益，根据《中华人民共和国政府采购法》、《中华人民共和国招投标法》、《中华人民共和国民法典》等有关法律法规及《中标通知书》，结合甲方招标文件、乙方投标文件等相关文件，特签订本协议。</w:t>
      </w:r>
    </w:p>
    <w:p w14:paraId="79B44457">
      <w:pPr>
        <w:pageBreakBefore w:val="0"/>
        <w:kinsoku/>
        <w:wordWrap/>
        <w:overflowPunct/>
        <w:topLinePunct w:val="0"/>
        <w:bidi w:val="0"/>
        <w:spacing w:line="440" w:lineRule="exact"/>
        <w:ind w:firstLine="442" w:firstLineChars="200"/>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一、总则</w:t>
      </w:r>
      <w:bookmarkEnd w:id="55"/>
    </w:p>
    <w:p w14:paraId="26037775">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（一）甲方通过招投标方式，择优确定将衢州市衢江区住房和城乡建设局202</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年第</w:t>
      </w:r>
      <w:r>
        <w:rPr>
          <w:rFonts w:hint="eastAsia" w:ascii="宋体" w:hAnsi="宋体" w:cs="宋体"/>
          <w:color w:val="auto"/>
          <w:kern w:val="0"/>
          <w:sz w:val="22"/>
          <w:szCs w:val="22"/>
          <w:highlight w:val="none"/>
          <w:lang w:val="en-US" w:eastAsia="zh-CN"/>
        </w:rPr>
        <w:t>一</w:t>
      </w:r>
      <w:r>
        <w:rPr>
          <w:rFonts w:hint="eastAsia" w:ascii="宋体" w:hAnsi="宋体" w:eastAsia="宋体" w:cs="宋体"/>
          <w:color w:val="auto"/>
          <w:kern w:val="0"/>
          <w:sz w:val="22"/>
          <w:szCs w:val="22"/>
          <w:highlight w:val="none"/>
          <w:lang w:val="en-US" w:eastAsia="zh-CN"/>
        </w:rPr>
        <w:t>期物业两金竞争性</w:t>
      </w:r>
      <w:r>
        <w:rPr>
          <w:rFonts w:hint="eastAsia" w:ascii="宋体" w:hAnsi="宋体" w:cs="宋体"/>
          <w:color w:val="auto"/>
          <w:kern w:val="0"/>
          <w:sz w:val="22"/>
          <w:szCs w:val="22"/>
          <w:highlight w:val="none"/>
          <w:lang w:val="en-US" w:eastAsia="zh-CN"/>
        </w:rPr>
        <w:t>（标项号：    ）</w:t>
      </w:r>
      <w:r>
        <w:rPr>
          <w:rFonts w:hint="eastAsia" w:ascii="宋体" w:hAnsi="宋体" w:eastAsia="宋体" w:cs="宋体"/>
          <w:color w:val="auto"/>
          <w:kern w:val="0"/>
          <w:sz w:val="22"/>
          <w:szCs w:val="22"/>
          <w:highlight w:val="none"/>
          <w:lang w:val="en-US" w:eastAsia="zh-CN"/>
        </w:rPr>
        <w:t>存入乙方，其定期存款有关的资金管理、本息收回等活动适用本协议。</w:t>
      </w:r>
    </w:p>
    <w:p w14:paraId="417F22BB">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（二）经招投标确定，甲方在乙方开立定期存款账户，</w:t>
      </w:r>
      <w:r>
        <w:rPr>
          <w:rFonts w:hint="eastAsia" w:ascii="宋体" w:hAnsi="宋体" w:cs="宋体"/>
          <w:color w:val="auto"/>
          <w:kern w:val="0"/>
          <w:sz w:val="22"/>
          <w:szCs w:val="22"/>
          <w:highlight w:val="none"/>
          <w:lang w:val="en-US" w:eastAsia="zh-CN"/>
        </w:rPr>
        <w:t>金额</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lang w:val="en-US" w:eastAsia="zh-CN"/>
        </w:rPr>
        <w:t>万元</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存款期限</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lang w:val="en-US" w:eastAsia="zh-CN"/>
        </w:rPr>
        <w:t>年，定期存款利率</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lang w:val="en-US" w:eastAsia="zh-CN"/>
        </w:rPr>
        <w:t>%。</w:t>
      </w:r>
    </w:p>
    <w:p w14:paraId="77B667DB">
      <w:pPr>
        <w:pageBreakBefore w:val="0"/>
        <w:kinsoku/>
        <w:wordWrap/>
        <w:overflowPunct/>
        <w:topLinePunct w:val="0"/>
        <w:bidi w:val="0"/>
        <w:spacing w:line="440" w:lineRule="exact"/>
        <w:ind w:firstLine="442" w:firstLineChars="200"/>
        <w:rPr>
          <w:rFonts w:hint="eastAsia" w:ascii="宋体" w:hAnsi="宋体" w:eastAsia="宋体" w:cs="宋体"/>
          <w:color w:val="auto"/>
          <w:kern w:val="0"/>
          <w:sz w:val="22"/>
          <w:szCs w:val="22"/>
          <w:highlight w:val="none"/>
          <w:lang w:val="en-US" w:eastAsia="zh-CN"/>
        </w:rPr>
      </w:pPr>
      <w:bookmarkStart w:id="56" w:name="_Toc24708482"/>
      <w:r>
        <w:rPr>
          <w:rFonts w:hint="eastAsia" w:ascii="宋体" w:hAnsi="宋体" w:eastAsia="宋体" w:cs="宋体"/>
          <w:b/>
          <w:bCs/>
          <w:color w:val="auto"/>
          <w:kern w:val="0"/>
          <w:sz w:val="22"/>
          <w:szCs w:val="22"/>
          <w:highlight w:val="none"/>
          <w:lang w:val="en-US" w:eastAsia="zh-CN"/>
        </w:rPr>
        <w:t>二、甲方权利与义务</w:t>
      </w:r>
      <w:bookmarkEnd w:id="56"/>
    </w:p>
    <w:p w14:paraId="411EF9C2">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（一）甲方权利主要包括：</w:t>
      </w:r>
    </w:p>
    <w:p w14:paraId="28410927">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1.要求乙方提供定期存款证明（存单）；</w:t>
      </w:r>
    </w:p>
    <w:p w14:paraId="24EC2B81">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2.根据资金管理需要，可提前支取或收回定期存款；</w:t>
      </w:r>
    </w:p>
    <w:p w14:paraId="70966D5E">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3.于定期存款到期日收回本息；</w:t>
      </w:r>
    </w:p>
    <w:p w14:paraId="3B4E431C">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4.对乙方参加</w:t>
      </w:r>
      <w:r>
        <w:rPr>
          <w:rFonts w:hint="eastAsia" w:ascii="宋体" w:hAnsi="宋体" w:cs="宋体"/>
          <w:color w:val="auto"/>
          <w:kern w:val="0"/>
          <w:sz w:val="22"/>
          <w:szCs w:val="22"/>
          <w:highlight w:val="none"/>
          <w:lang w:val="en-US" w:eastAsia="zh-CN"/>
        </w:rPr>
        <w:t>衢州市衢江区住房和城乡建设局2025年第一期物业两金竞争性存放项目</w:t>
      </w:r>
      <w:r>
        <w:rPr>
          <w:rFonts w:hint="eastAsia" w:ascii="宋体" w:hAnsi="宋体" w:eastAsia="宋体" w:cs="宋体"/>
          <w:color w:val="auto"/>
          <w:kern w:val="0"/>
          <w:sz w:val="22"/>
          <w:szCs w:val="22"/>
          <w:highlight w:val="none"/>
          <w:lang w:val="en-US" w:eastAsia="zh-CN"/>
        </w:rPr>
        <w:t>情况进行监督检查。</w:t>
      </w:r>
    </w:p>
    <w:p w14:paraId="7C978EE6">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5.定期或不定期取得乙方提供的质押品的确认信息。</w:t>
      </w:r>
    </w:p>
    <w:p w14:paraId="29691655">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（二）甲方义务主要包括：</w:t>
      </w:r>
    </w:p>
    <w:p w14:paraId="5AF8C5E5">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1.按照本协议约定及时将存放资金划入在乙方开立的定期存款账户；</w:t>
      </w:r>
    </w:p>
    <w:p w14:paraId="448DB5F8">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2.因资金支付需要提前支取定期存款，应提前通知乙方；</w:t>
      </w:r>
    </w:p>
    <w:p w14:paraId="15ED375D">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3.对</w:t>
      </w:r>
      <w:r>
        <w:rPr>
          <w:rFonts w:hint="eastAsia" w:ascii="宋体" w:hAnsi="宋体" w:cs="宋体"/>
          <w:color w:val="auto"/>
          <w:kern w:val="0"/>
          <w:sz w:val="22"/>
          <w:szCs w:val="22"/>
          <w:highlight w:val="none"/>
          <w:lang w:val="en-US" w:eastAsia="zh-CN"/>
        </w:rPr>
        <w:t>衢州市衢江区住房和城乡建设局2025年第一期物业两金竞争性存放项目</w:t>
      </w:r>
      <w:r>
        <w:rPr>
          <w:rFonts w:hint="eastAsia" w:ascii="宋体" w:hAnsi="宋体" w:eastAsia="宋体" w:cs="宋体"/>
          <w:color w:val="auto"/>
          <w:kern w:val="0"/>
          <w:sz w:val="22"/>
          <w:szCs w:val="22"/>
          <w:highlight w:val="none"/>
          <w:lang w:val="en-US" w:eastAsia="zh-CN"/>
        </w:rPr>
        <w:t>资金竞争性存放政策进行解释。</w:t>
      </w:r>
    </w:p>
    <w:p w14:paraId="4D94C21E">
      <w:pPr>
        <w:pageBreakBefore w:val="0"/>
        <w:kinsoku/>
        <w:wordWrap/>
        <w:overflowPunct/>
        <w:topLinePunct w:val="0"/>
        <w:bidi w:val="0"/>
        <w:spacing w:line="440" w:lineRule="exact"/>
        <w:ind w:firstLine="442" w:firstLineChars="200"/>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三、乙方权利与义务</w:t>
      </w:r>
    </w:p>
    <w:p w14:paraId="1C4FBC3A">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bookmarkStart w:id="57" w:name="_Toc24708483"/>
      <w:r>
        <w:rPr>
          <w:rFonts w:hint="eastAsia" w:ascii="宋体" w:hAnsi="宋体" w:eastAsia="宋体" w:cs="宋体"/>
          <w:color w:val="auto"/>
          <w:kern w:val="0"/>
          <w:sz w:val="22"/>
          <w:szCs w:val="22"/>
          <w:highlight w:val="none"/>
          <w:lang w:val="en-US" w:eastAsia="zh-CN"/>
        </w:rPr>
        <w:t>（一）乙方权利主要包括：</w:t>
      </w:r>
      <w:bookmarkEnd w:id="57"/>
    </w:p>
    <w:p w14:paraId="3F1BC8C8">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1.在规定时间内接受甲方的存放资金；</w:t>
      </w:r>
    </w:p>
    <w:p w14:paraId="56FBADE6">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2.足额缴清定期存款本息后，要求甲方及时解除质押或保证。</w:t>
      </w:r>
    </w:p>
    <w:p w14:paraId="58AE70D2">
      <w:pPr>
        <w:spacing w:line="360" w:lineRule="auto"/>
        <w:ind w:firstLine="480" w:firstLineChars="200"/>
        <w:rPr>
          <w:rFonts w:hint="eastAsia"/>
          <w:color w:val="auto"/>
          <w:highlight w:val="none"/>
          <w:lang w:val="en-US" w:eastAsia="zh-CN"/>
        </w:rPr>
      </w:pPr>
      <w:r>
        <w:rPr>
          <w:rFonts w:hint="eastAsia" w:ascii="宋体" w:hAnsi="宋体" w:eastAsia="宋体" w:cs="宋体"/>
          <w:color w:val="auto"/>
          <w:kern w:val="0"/>
          <w:sz w:val="24"/>
          <w:szCs w:val="24"/>
          <w:highlight w:val="none"/>
          <w:lang w:val="en-US" w:eastAsia="zh-CN"/>
        </w:rPr>
        <w:t>3.对甲方制定和实施“物业”两金资金竞争性存放办法提出意见和建议。</w:t>
      </w:r>
    </w:p>
    <w:p w14:paraId="6237937F">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bookmarkStart w:id="58" w:name="_Toc24708484"/>
      <w:r>
        <w:rPr>
          <w:rFonts w:hint="eastAsia" w:ascii="宋体" w:hAnsi="宋体" w:eastAsia="宋体" w:cs="宋体"/>
          <w:color w:val="auto"/>
          <w:kern w:val="0"/>
          <w:sz w:val="22"/>
          <w:szCs w:val="22"/>
          <w:highlight w:val="none"/>
          <w:lang w:val="en-US" w:eastAsia="zh-CN"/>
        </w:rPr>
        <w:t xml:space="preserve"> （二）乙方义务主要包括：</w:t>
      </w:r>
      <w:bookmarkEnd w:id="58"/>
    </w:p>
    <w:p w14:paraId="0757B40E">
      <w:pPr>
        <w:pageBreakBefore w:val="0"/>
        <w:kinsoku/>
        <w:wordWrap/>
        <w:overflowPunct/>
        <w:topLinePunct w:val="0"/>
        <w:bidi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1.按公开招标及本协议所确定的定期存款期限、额度和利率，及时办理定期存款手续；</w:t>
      </w:r>
    </w:p>
    <w:p w14:paraId="27F6FE4E">
      <w:pPr>
        <w:pageBreakBefore w:val="0"/>
        <w:kinsoku/>
        <w:wordWrap/>
        <w:overflowPunct/>
        <w:topLinePunct w:val="0"/>
        <w:bidi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2.向甲方提供定期存款证明（存单）；</w:t>
      </w:r>
    </w:p>
    <w:p w14:paraId="269D8E8B">
      <w:pPr>
        <w:pageBreakBefore w:val="0"/>
        <w:kinsoku/>
        <w:wordWrap/>
        <w:overflowPunct/>
        <w:topLinePunct w:val="0"/>
        <w:bidi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3.配合甲方做好可能的资金提前支取工作；</w:t>
      </w:r>
    </w:p>
    <w:p w14:paraId="6912E34F">
      <w:pPr>
        <w:pageBreakBefore w:val="0"/>
        <w:kinsoku/>
        <w:wordWrap/>
        <w:overflowPunct/>
        <w:topLinePunct w:val="0"/>
        <w:bidi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4.定期存款到期时，及时将资金划回甲方指定账户，并按招投标及本协议所确定的利率向甲方支付定期存款利息。</w:t>
      </w:r>
    </w:p>
    <w:p w14:paraId="1F0F9434">
      <w:pPr>
        <w:pageBreakBefore w:val="0"/>
        <w:kinsoku/>
        <w:wordWrap/>
        <w:overflowPunct/>
        <w:topLinePunct w:val="0"/>
        <w:bidi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5.在协议签订后及时按招标文件规定提供足额质押或保证；</w:t>
      </w:r>
    </w:p>
    <w:p w14:paraId="5F37D117">
      <w:pPr>
        <w:pageBreakBefore w:val="0"/>
        <w:kinsoku/>
        <w:wordWrap/>
        <w:overflowPunct/>
        <w:topLinePunct w:val="0"/>
        <w:bidi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6.配合甲方做好质押品信息的确认工作，质押品在质押期间有变更，需提前征得甲方同意，并重新办理质押；</w:t>
      </w:r>
    </w:p>
    <w:p w14:paraId="38287E93">
      <w:pPr>
        <w:pageBreakBefore w:val="0"/>
        <w:kinsoku/>
        <w:wordWrap/>
        <w:overflowPunct/>
        <w:topLinePunct w:val="0"/>
        <w:bidi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7.确保甲方存放资金存续期间的资金安全。</w:t>
      </w:r>
    </w:p>
    <w:p w14:paraId="4E34B1E2">
      <w:pPr>
        <w:pageBreakBefore w:val="0"/>
        <w:kinsoku/>
        <w:wordWrap/>
        <w:overflowPunct/>
        <w:topLinePunct w:val="0"/>
        <w:bidi w:val="0"/>
        <w:spacing w:line="440" w:lineRule="exact"/>
        <w:ind w:firstLine="442" w:firstLineChars="200"/>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四、违约责任</w:t>
      </w:r>
    </w:p>
    <w:p w14:paraId="32F295A6">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除发生不可抗力外，违约责任按以下条款执行：</w:t>
      </w:r>
    </w:p>
    <w:p w14:paraId="236F6747">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（一）乙方未按规定将存款本息足额划回甲方，应按欠还存款本息额，以协议中定期存款年利率的两倍折成日收益率，按日向甲方支付违约金；</w:t>
      </w:r>
    </w:p>
    <w:p w14:paraId="758D05F7">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（二）甲方未按规定将资金划拨乙方，应按未划拨资金额，以协议中定期存款年利率的两倍折成日收益率，按日向乙方支付违约金。</w:t>
      </w:r>
    </w:p>
    <w:p w14:paraId="2E4E29F0">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（三）定期存款存放银行出现以下情形之一的，甲方有权提前收回在乙方的存放资金，并有权拒绝其在以后2年内参与本单位公款竞争性存放投标资格：</w:t>
      </w:r>
    </w:p>
    <w:p w14:paraId="1417734A">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1.乙方出现资金安全事故、重大违法违规情况或财务状况恶化的；</w:t>
      </w:r>
    </w:p>
    <w:p w14:paraId="20CA9AC1">
      <w:pPr>
        <w:pageBreakBefore w:val="0"/>
        <w:kinsoku/>
        <w:wordWrap/>
        <w:overflowPunct/>
        <w:topLinePunct w:val="0"/>
        <w:bidi w:val="0"/>
        <w:spacing w:line="440" w:lineRule="exact"/>
        <w:ind w:firstLine="440" w:firstLineChars="20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2.乙方等级降低后低于衢江区政办发{2021} 20号文件第十五条规定标准，监管部门认为存在较大运营风险的；</w:t>
      </w:r>
    </w:p>
    <w:p w14:paraId="6BD64720">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3.乙方进行不正当投标的；</w:t>
      </w:r>
    </w:p>
    <w:p w14:paraId="5E5D4771">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4.乙方没有按照本协议规定履行相应的责任和义务的；</w:t>
      </w:r>
    </w:p>
    <w:p w14:paraId="7569C2AE">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5.乙方不能按规定将到期存款本息足额缴入单位账户的；</w:t>
      </w:r>
    </w:p>
    <w:p w14:paraId="30826DFA">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6.其他妨害甲方资金安全行为的。</w:t>
      </w:r>
    </w:p>
    <w:p w14:paraId="5621EA53">
      <w:pPr>
        <w:pageBreakBefore w:val="0"/>
        <w:kinsoku/>
        <w:wordWrap/>
        <w:overflowPunct/>
        <w:topLinePunct w:val="0"/>
        <w:bidi w:val="0"/>
        <w:spacing w:line="440" w:lineRule="exact"/>
        <w:ind w:firstLine="442" w:firstLineChars="200"/>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五、提前支取（收回）</w:t>
      </w:r>
    </w:p>
    <w:p w14:paraId="26A034E5">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甲方可提前支取全部或部分定期存款，乙方应积极配合办理。提前支取部分，按《人民币单位存款管理办法》相关规定计息。未支取部分仍需按协议约定计算收益。</w:t>
      </w:r>
    </w:p>
    <w:p w14:paraId="51660335">
      <w:pPr>
        <w:pageBreakBefore w:val="0"/>
        <w:kinsoku/>
        <w:wordWrap/>
        <w:overflowPunct/>
        <w:topLinePunct w:val="0"/>
        <w:bidi w:val="0"/>
        <w:spacing w:line="440" w:lineRule="exact"/>
        <w:ind w:firstLine="442"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六、争议的解决</w:t>
      </w:r>
    </w:p>
    <w:p w14:paraId="685D46AF">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在协议履行过程中出现问题或争议的，双方应开展友好协商，妥善解决。如协商不成，任何一方有权在甲方所在地通过诉讼的途径解决。</w:t>
      </w:r>
    </w:p>
    <w:p w14:paraId="60C6266B">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由于一方违约行为导致诉讼的，违约方应当承担守约方因维护合法权益产生的一切费用，包括但不限于诉讼费、律师费、公证费等。</w:t>
      </w:r>
    </w:p>
    <w:p w14:paraId="704A9F50">
      <w:pPr>
        <w:pageBreakBefore w:val="0"/>
        <w:kinsoku/>
        <w:wordWrap/>
        <w:overflowPunct/>
        <w:topLinePunct w:val="0"/>
        <w:bidi w:val="0"/>
        <w:spacing w:line="440" w:lineRule="exact"/>
        <w:ind w:firstLine="442" w:firstLineChars="200"/>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七、本协议一式四份，甲、乙双方各执贰份。</w:t>
      </w:r>
    </w:p>
    <w:p w14:paraId="13CA0F9A">
      <w:pPr>
        <w:pageBreakBefore w:val="0"/>
        <w:kinsoku/>
        <w:wordWrap/>
        <w:overflowPunct/>
        <w:topLinePunct w:val="0"/>
        <w:bidi w:val="0"/>
        <w:spacing w:line="440" w:lineRule="exact"/>
        <w:ind w:firstLine="442" w:firstLineChars="200"/>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八、本协议自签订之日起生效。</w:t>
      </w:r>
    </w:p>
    <w:p w14:paraId="46F079FA">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甲方（盖章）：                     乙方（盖章）：</w:t>
      </w:r>
    </w:p>
    <w:p w14:paraId="73F5A665">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法定代表人：                       法定代表人（或在衢机构负责人）：                               </w:t>
      </w:r>
    </w:p>
    <w:p w14:paraId="125C4F5B">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或授权委托人（签字）：             或授权委托人（签字）：</w:t>
      </w:r>
    </w:p>
    <w:p w14:paraId="682B0E3B">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电话：                             电话：</w:t>
      </w:r>
    </w:p>
    <w:p w14:paraId="299E9A6B">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签约日期：    年   月   日         签约日期：    年   月   日</w:t>
      </w:r>
    </w:p>
    <w:p w14:paraId="19C904EC">
      <w:pPr>
        <w:pageBreakBefore w:val="0"/>
        <w:kinsoku/>
        <w:wordWrap/>
        <w:overflowPunct/>
        <w:topLinePunct w:val="0"/>
        <w:bidi w:val="0"/>
        <w:spacing w:line="440" w:lineRule="exact"/>
        <w:ind w:firstLine="440"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签约地点：衢州市衢江区住房和城乡建设局</w:t>
      </w:r>
    </w:p>
    <w:p w14:paraId="2F2D6431">
      <w:pPr>
        <w:snapToGrid w:val="0"/>
        <w:spacing w:line="500" w:lineRule="exact"/>
        <w:ind w:firstLine="1606" w:firstLineChars="500"/>
        <w:outlineLvl w:val="0"/>
        <w:rPr>
          <w:rFonts w:hint="eastAsia" w:ascii="宋体" w:hAnsi="宋体" w:cs="宋体"/>
          <w:b/>
          <w:color w:val="auto"/>
          <w:sz w:val="32"/>
          <w:szCs w:val="32"/>
          <w:highlight w:val="none"/>
        </w:rPr>
      </w:pPr>
    </w:p>
    <w:bookmarkEnd w:id="51"/>
    <w:bookmarkEnd w:id="52"/>
    <w:bookmarkEnd w:id="53"/>
    <w:bookmarkEnd w:id="54"/>
    <w:p w14:paraId="564798D9">
      <w:pPr>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br w:type="page"/>
      </w:r>
    </w:p>
    <w:p w14:paraId="0A8DF3DF">
      <w:pPr>
        <w:pageBreakBefore w:val="0"/>
        <w:kinsoku/>
        <w:wordWrap/>
        <w:overflowPunct/>
        <w:topLinePunct w:val="0"/>
        <w:bidi w:val="0"/>
        <w:spacing w:line="440" w:lineRule="exact"/>
        <w:ind w:right="26"/>
        <w:jc w:val="center"/>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第五章 投标文件相关格式</w:t>
      </w:r>
    </w:p>
    <w:p w14:paraId="742B4E88">
      <w:pPr>
        <w:pageBreakBefore w:val="0"/>
        <w:kinsoku/>
        <w:wordWrap/>
        <w:overflowPunct/>
        <w:topLinePunct w:val="0"/>
        <w:bidi w:val="0"/>
        <w:snapToGrid w:val="0"/>
        <w:spacing w:line="440" w:lineRule="exact"/>
        <w:ind w:firstLine="2079" w:firstLineChars="990"/>
        <w:outlineLvl w:val="0"/>
        <w:rPr>
          <w:rFonts w:hint="eastAsia" w:ascii="宋体" w:hAnsi="宋体" w:eastAsia="宋体" w:cs="宋体"/>
          <w:b w:val="0"/>
          <w:bCs w:val="0"/>
          <w:color w:val="auto"/>
          <w:kern w:val="0"/>
          <w:sz w:val="21"/>
          <w:szCs w:val="21"/>
          <w:highlight w:val="none"/>
          <w:lang w:val="en-US" w:eastAsia="zh-CN" w:bidi="ar-SA"/>
        </w:rPr>
      </w:pPr>
      <w:bookmarkStart w:id="59" w:name="_Toc24708486"/>
    </w:p>
    <w:p w14:paraId="1C6EB9EC">
      <w:pPr>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一、投标文件部分格式：</w:t>
      </w:r>
    </w:p>
    <w:p w14:paraId="2856F131">
      <w:pPr>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1.投标函；</w:t>
      </w:r>
    </w:p>
    <w:p w14:paraId="64883BDB">
      <w:pPr>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2.有效的投标人《企业法人营业执照》复印件；</w:t>
      </w:r>
    </w:p>
    <w:p w14:paraId="3CF9E998">
      <w:pPr>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3.提供人民银行2023年度综合评价应达到B级及以上证件（若2023年度综合评价结果未出，则以上一年度评价结果为准）；</w:t>
      </w:r>
    </w:p>
    <w:p w14:paraId="6E3D9621">
      <w:pPr>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4.分支机构参与投标的，须提供总机构（总公司）的授权书或者房屋产权证明或其他有效财产证明复印件。</w:t>
      </w:r>
    </w:p>
    <w:p w14:paraId="3DCCF42A">
      <w:pPr>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5.法定代表人（负责人）授权委托书及身份证书扫描件，如法定代表人(负责人）直接参加投标并对相应文件签字的，只需提供其身份证扫描件正反面；（见格式） </w:t>
      </w:r>
    </w:p>
    <w:p w14:paraId="1DDF791F">
      <w:pPr>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6.无重大违法记录声明；（见格式）</w:t>
      </w:r>
    </w:p>
    <w:p w14:paraId="311BD0F7">
      <w:pPr>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7.金融许可证复印件；</w:t>
      </w:r>
    </w:p>
    <w:p w14:paraId="01A33965">
      <w:pPr>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8.报价一览表；</w:t>
      </w:r>
    </w:p>
    <w:p w14:paraId="4A31AA71">
      <w:pPr>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9.廉政承诺书；</w:t>
      </w:r>
    </w:p>
    <w:p w14:paraId="5D47C433">
      <w:pPr>
        <w:pageBreakBefore w:val="0"/>
        <w:numPr>
          <w:ilvl w:val="0"/>
          <w:numId w:val="0"/>
        </w:numPr>
        <w:kinsoku/>
        <w:wordWrap/>
        <w:overflowPunct/>
        <w:topLinePunct w:val="0"/>
        <w:bidi w:val="0"/>
        <w:snapToGrid w:val="0"/>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10.中标承诺书；</w:t>
      </w:r>
    </w:p>
    <w:p w14:paraId="2B8D667A">
      <w:pPr>
        <w:pageBreakBefore w:val="0"/>
        <w:numPr>
          <w:ilvl w:val="0"/>
          <w:numId w:val="0"/>
        </w:numPr>
        <w:kinsoku/>
        <w:wordWrap/>
        <w:overflowPunct/>
        <w:topLinePunct w:val="0"/>
        <w:bidi w:val="0"/>
        <w:snapToGrid w:val="0"/>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lang w:val="en-US" w:eastAsia="zh-CN" w:bidi="ar-SA"/>
        </w:rPr>
        <w:t>11.</w:t>
      </w:r>
      <w:r>
        <w:rPr>
          <w:rFonts w:hint="eastAsia" w:ascii="宋体" w:hAnsi="宋体" w:eastAsia="宋体" w:cs="宋体"/>
          <w:b w:val="0"/>
          <w:bCs w:val="0"/>
          <w:color w:val="auto"/>
          <w:spacing w:val="0"/>
          <w:kern w:val="0"/>
          <w:sz w:val="24"/>
          <w:szCs w:val="24"/>
          <w:highlight w:val="none"/>
          <w:lang w:val="en-US" w:eastAsia="zh-CN" w:bidi="ar-SA"/>
        </w:rPr>
        <w:t>投标人认为需要提供的其他证明材料。</w:t>
      </w:r>
    </w:p>
    <w:p w14:paraId="39A49956">
      <w:pPr>
        <w:pageBreakBefore w:val="0"/>
        <w:kinsoku/>
        <w:wordWrap/>
        <w:overflowPunct/>
        <w:topLinePunct w:val="0"/>
        <w:bidi w:val="0"/>
        <w:snapToGrid w:val="0"/>
        <w:spacing w:line="440" w:lineRule="exact"/>
        <w:outlineLvl w:val="0"/>
        <w:rPr>
          <w:rFonts w:hint="eastAsia" w:ascii="宋体" w:hAnsi="宋体" w:eastAsia="宋体" w:cs="宋体"/>
          <w:b w:val="0"/>
          <w:bCs w:val="0"/>
          <w:color w:val="auto"/>
          <w:kern w:val="0"/>
          <w:sz w:val="24"/>
          <w:szCs w:val="24"/>
          <w:highlight w:val="none"/>
          <w:lang w:val="en-US" w:eastAsia="zh-CN" w:bidi="ar-SA"/>
        </w:rPr>
      </w:pPr>
    </w:p>
    <w:p w14:paraId="0025541F">
      <w:pPr>
        <w:pageBreakBefore w:val="0"/>
        <w:kinsoku/>
        <w:wordWrap/>
        <w:overflowPunct/>
        <w:topLinePunct w:val="0"/>
        <w:bidi w:val="0"/>
        <w:snapToGrid w:val="0"/>
        <w:spacing w:line="440" w:lineRule="exact"/>
        <w:outlineLvl w:val="0"/>
        <w:rPr>
          <w:rFonts w:hint="eastAsia" w:ascii="宋体" w:hAnsi="宋体" w:eastAsia="宋体" w:cs="宋体"/>
          <w:b w:val="0"/>
          <w:bCs w:val="0"/>
          <w:color w:val="auto"/>
          <w:kern w:val="0"/>
          <w:sz w:val="28"/>
          <w:szCs w:val="28"/>
          <w:highlight w:val="none"/>
          <w:lang w:val="en-US" w:eastAsia="zh-CN" w:bidi="ar-SA"/>
        </w:rPr>
      </w:pPr>
    </w:p>
    <w:p w14:paraId="36C0E998">
      <w:pPr>
        <w:pageBreakBefore w:val="0"/>
        <w:kinsoku/>
        <w:wordWrap/>
        <w:overflowPunct/>
        <w:topLinePunct w:val="0"/>
        <w:bidi w:val="0"/>
        <w:snapToGrid w:val="0"/>
        <w:spacing w:line="440" w:lineRule="exact"/>
        <w:outlineLvl w:val="0"/>
        <w:rPr>
          <w:rFonts w:hint="eastAsia" w:ascii="宋体" w:hAnsi="宋体" w:eastAsia="宋体" w:cs="宋体"/>
          <w:b w:val="0"/>
          <w:bCs w:val="0"/>
          <w:color w:val="auto"/>
          <w:kern w:val="0"/>
          <w:sz w:val="28"/>
          <w:szCs w:val="28"/>
          <w:highlight w:val="none"/>
          <w:lang w:val="en-US" w:eastAsia="zh-CN" w:bidi="ar-SA"/>
        </w:rPr>
      </w:pPr>
    </w:p>
    <w:p w14:paraId="75E4B816">
      <w:pPr>
        <w:pStyle w:val="60"/>
        <w:rPr>
          <w:rFonts w:hint="eastAsia" w:ascii="宋体" w:hAnsi="宋体" w:eastAsia="宋体" w:cs="宋体"/>
          <w:b w:val="0"/>
          <w:bCs w:val="0"/>
          <w:color w:val="auto"/>
          <w:kern w:val="0"/>
          <w:sz w:val="28"/>
          <w:szCs w:val="28"/>
          <w:highlight w:val="none"/>
          <w:lang w:val="en-US" w:eastAsia="zh-CN" w:bidi="ar-SA"/>
        </w:rPr>
      </w:pPr>
    </w:p>
    <w:p w14:paraId="244FE50A">
      <w:pPr>
        <w:rPr>
          <w:rFonts w:hint="eastAsia" w:ascii="宋体" w:hAnsi="宋体" w:eastAsia="宋体" w:cs="宋体"/>
          <w:b w:val="0"/>
          <w:bCs w:val="0"/>
          <w:color w:val="auto"/>
          <w:kern w:val="0"/>
          <w:sz w:val="28"/>
          <w:szCs w:val="28"/>
          <w:highlight w:val="none"/>
          <w:lang w:val="en-US" w:eastAsia="zh-CN" w:bidi="ar-SA"/>
        </w:rPr>
      </w:pPr>
    </w:p>
    <w:p w14:paraId="275DD88F">
      <w:pPr>
        <w:pStyle w:val="60"/>
        <w:rPr>
          <w:rFonts w:hint="eastAsia" w:ascii="宋体" w:hAnsi="宋体" w:eastAsia="宋体" w:cs="宋体"/>
          <w:b w:val="0"/>
          <w:bCs w:val="0"/>
          <w:color w:val="auto"/>
          <w:kern w:val="0"/>
          <w:sz w:val="28"/>
          <w:szCs w:val="28"/>
          <w:highlight w:val="none"/>
          <w:lang w:val="en-US" w:eastAsia="zh-CN" w:bidi="ar-SA"/>
        </w:rPr>
      </w:pPr>
    </w:p>
    <w:p w14:paraId="381A89C3">
      <w:pPr>
        <w:rPr>
          <w:rFonts w:hint="eastAsia" w:ascii="宋体" w:hAnsi="宋体" w:eastAsia="宋体" w:cs="宋体"/>
          <w:b w:val="0"/>
          <w:bCs w:val="0"/>
          <w:color w:val="auto"/>
          <w:kern w:val="0"/>
          <w:sz w:val="28"/>
          <w:szCs w:val="28"/>
          <w:highlight w:val="none"/>
          <w:lang w:val="en-US" w:eastAsia="zh-CN" w:bidi="ar-SA"/>
        </w:rPr>
      </w:pPr>
    </w:p>
    <w:p w14:paraId="753645DE">
      <w:pPr>
        <w:pStyle w:val="60"/>
        <w:rPr>
          <w:rFonts w:hint="eastAsia"/>
          <w:color w:val="auto"/>
          <w:highlight w:val="none"/>
          <w:lang w:val="en-US" w:eastAsia="zh-CN"/>
        </w:rPr>
      </w:pPr>
    </w:p>
    <w:p w14:paraId="4FF2E080">
      <w:pPr>
        <w:rPr>
          <w:rFonts w:hint="eastAsia" w:ascii="宋体" w:hAnsi="宋体" w:eastAsia="宋体" w:cs="宋体"/>
          <w:b w:val="0"/>
          <w:bCs w:val="0"/>
          <w:color w:val="auto"/>
          <w:kern w:val="0"/>
          <w:sz w:val="28"/>
          <w:szCs w:val="28"/>
          <w:highlight w:val="none"/>
          <w:lang w:val="en-US" w:eastAsia="zh-CN" w:bidi="ar-SA"/>
        </w:rPr>
      </w:pPr>
    </w:p>
    <w:p w14:paraId="1CC1116F">
      <w:pPr>
        <w:pageBreakBefore w:val="0"/>
        <w:kinsoku/>
        <w:wordWrap/>
        <w:overflowPunct/>
        <w:topLinePunct w:val="0"/>
        <w:bidi w:val="0"/>
        <w:snapToGrid w:val="0"/>
        <w:spacing w:line="440" w:lineRule="exact"/>
        <w:outlineLvl w:val="0"/>
        <w:rPr>
          <w:rFonts w:hint="eastAsia" w:ascii="宋体" w:hAnsi="宋体" w:eastAsia="宋体" w:cs="宋体"/>
          <w:b w:val="0"/>
          <w:bCs w:val="0"/>
          <w:color w:val="auto"/>
          <w:kern w:val="0"/>
          <w:sz w:val="28"/>
          <w:szCs w:val="28"/>
          <w:highlight w:val="none"/>
          <w:lang w:val="en-US" w:eastAsia="zh-CN" w:bidi="ar-SA"/>
        </w:rPr>
      </w:pPr>
    </w:p>
    <w:p w14:paraId="3FC762EC">
      <w:pPr>
        <w:pStyle w:val="297"/>
        <w:rPr>
          <w:rFonts w:hint="eastAsia" w:ascii="宋体" w:hAnsi="宋体" w:eastAsia="宋体" w:cs="宋体"/>
          <w:b w:val="0"/>
          <w:bCs w:val="0"/>
          <w:color w:val="auto"/>
          <w:kern w:val="0"/>
          <w:sz w:val="28"/>
          <w:szCs w:val="28"/>
          <w:highlight w:val="none"/>
          <w:lang w:val="en-US" w:eastAsia="zh-CN" w:bidi="ar-SA"/>
        </w:rPr>
      </w:pPr>
    </w:p>
    <w:p w14:paraId="656395A6">
      <w:pPr>
        <w:pStyle w:val="297"/>
        <w:rPr>
          <w:rFonts w:hint="eastAsia" w:ascii="宋体" w:hAnsi="宋体" w:eastAsia="宋体" w:cs="宋体"/>
          <w:b w:val="0"/>
          <w:bCs w:val="0"/>
          <w:color w:val="auto"/>
          <w:kern w:val="0"/>
          <w:sz w:val="28"/>
          <w:szCs w:val="28"/>
          <w:highlight w:val="none"/>
          <w:lang w:val="en-US" w:eastAsia="zh-CN" w:bidi="ar-SA"/>
        </w:rPr>
      </w:pPr>
    </w:p>
    <w:p w14:paraId="05204886">
      <w:pPr>
        <w:pStyle w:val="297"/>
        <w:rPr>
          <w:rFonts w:hint="eastAsia" w:ascii="宋体" w:hAnsi="宋体" w:eastAsia="宋体" w:cs="宋体"/>
          <w:b w:val="0"/>
          <w:bCs w:val="0"/>
          <w:color w:val="auto"/>
          <w:kern w:val="0"/>
          <w:sz w:val="28"/>
          <w:szCs w:val="28"/>
          <w:highlight w:val="none"/>
          <w:lang w:val="en-US" w:eastAsia="zh-CN" w:bidi="ar-SA"/>
        </w:rPr>
      </w:pPr>
    </w:p>
    <w:bookmarkEnd w:id="59"/>
    <w:p w14:paraId="52FA106A">
      <w:pPr>
        <w:jc w:val="center"/>
        <w:rPr>
          <w:rFonts w:hint="eastAsia" w:ascii="宋体" w:hAnsi="宋体" w:eastAsia="宋体" w:cs="宋体"/>
          <w:b/>
          <w:bCs/>
          <w:color w:val="auto"/>
          <w:kern w:val="0"/>
          <w:sz w:val="28"/>
          <w:szCs w:val="28"/>
          <w:highlight w:val="none"/>
          <w:lang w:val="en-US" w:eastAsia="zh-CN" w:bidi="ar-SA"/>
        </w:rPr>
      </w:pPr>
      <w:r>
        <w:rPr>
          <w:rFonts w:hint="eastAsia" w:ascii="宋体" w:hAnsi="宋体" w:cs="宋体"/>
          <w:b/>
          <w:bCs/>
          <w:color w:val="auto"/>
          <w:kern w:val="0"/>
          <w:sz w:val="28"/>
          <w:szCs w:val="28"/>
          <w:highlight w:val="none"/>
          <w:lang w:val="en-US" w:eastAsia="zh-CN" w:bidi="ar-SA"/>
        </w:rPr>
        <w:t>1</w:t>
      </w:r>
      <w:r>
        <w:rPr>
          <w:rFonts w:hint="eastAsia" w:ascii="宋体" w:hAnsi="宋体" w:eastAsia="宋体" w:cs="宋体"/>
          <w:b/>
          <w:bCs/>
          <w:color w:val="auto"/>
          <w:kern w:val="0"/>
          <w:sz w:val="28"/>
          <w:szCs w:val="28"/>
          <w:highlight w:val="none"/>
          <w:lang w:val="en-US" w:eastAsia="zh-CN" w:bidi="ar-SA"/>
        </w:rPr>
        <w:t>. 投标函</w:t>
      </w:r>
    </w:p>
    <w:p w14:paraId="44B8B15F">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致： 衢州市衢江区住房和城乡建设局：</w:t>
      </w:r>
    </w:p>
    <w:p w14:paraId="7D44F934">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720" w:firstLineChars="3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u w:val="single"/>
          <w:lang w:val="en-US" w:eastAsia="zh-CN" w:bidi="ar-SA"/>
        </w:rPr>
        <w:t>(投标人全称)</w:t>
      </w:r>
      <w:r>
        <w:rPr>
          <w:rFonts w:hint="eastAsia" w:ascii="宋体" w:hAnsi="宋体" w:eastAsia="宋体" w:cs="宋体"/>
          <w:b w:val="0"/>
          <w:bCs w:val="0"/>
          <w:color w:val="auto"/>
          <w:kern w:val="0"/>
          <w:sz w:val="24"/>
          <w:szCs w:val="24"/>
          <w:highlight w:val="none"/>
          <w:lang w:val="en-US" w:eastAsia="zh-CN" w:bidi="ar-SA"/>
        </w:rPr>
        <w:t>授权</w:t>
      </w:r>
      <w:r>
        <w:rPr>
          <w:rFonts w:hint="eastAsia" w:ascii="宋体" w:hAnsi="宋体" w:eastAsia="宋体" w:cs="宋体"/>
          <w:b w:val="0"/>
          <w:bCs w:val="0"/>
          <w:color w:val="auto"/>
          <w:kern w:val="0"/>
          <w:sz w:val="24"/>
          <w:szCs w:val="24"/>
          <w:highlight w:val="none"/>
          <w:u w:val="single"/>
          <w:lang w:val="en-US" w:eastAsia="zh-CN" w:bidi="ar-SA"/>
        </w:rPr>
        <w:t>(全权代表姓名)</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(职务、职称)</w:t>
      </w:r>
      <w:r>
        <w:rPr>
          <w:rFonts w:hint="eastAsia" w:ascii="宋体" w:hAnsi="宋体" w:eastAsia="宋体" w:cs="宋体"/>
          <w:b w:val="0"/>
          <w:bCs w:val="0"/>
          <w:color w:val="auto"/>
          <w:kern w:val="0"/>
          <w:sz w:val="24"/>
          <w:szCs w:val="24"/>
          <w:highlight w:val="none"/>
          <w:lang w:val="en-US" w:eastAsia="zh-CN" w:bidi="ar-SA"/>
        </w:rPr>
        <w:t>为全权代表，参加贵方组织的</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cs="宋体"/>
          <w:b w:val="0"/>
          <w:bCs w:val="0"/>
          <w:color w:val="auto"/>
          <w:kern w:val="0"/>
          <w:sz w:val="24"/>
          <w:szCs w:val="24"/>
          <w:highlight w:val="none"/>
          <w:u w:val="single"/>
          <w:lang w:val="en-US" w:eastAsia="zh-CN" w:bidi="ar-SA"/>
        </w:rPr>
        <w:t>（项目名称）</w:t>
      </w:r>
      <w:r>
        <w:rPr>
          <w:rFonts w:hint="eastAsia" w:ascii="宋体" w:hAnsi="宋体" w:eastAsia="宋体" w:cs="宋体"/>
          <w:b w:val="0"/>
          <w:bCs w:val="0"/>
          <w:color w:val="auto"/>
          <w:kern w:val="0"/>
          <w:sz w:val="24"/>
          <w:szCs w:val="24"/>
          <w:highlight w:val="none"/>
          <w:u w:val="single"/>
          <w:lang w:val="en-US" w:eastAsia="zh-CN" w:bidi="ar-SA"/>
        </w:rPr>
        <w:t xml:space="preserve">      (招标编号：</w:t>
      </w:r>
      <w:r>
        <w:rPr>
          <w:rFonts w:hint="eastAsia" w:ascii="宋体" w:hAnsi="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u w:val="single"/>
          <w:lang w:val="en-US" w:eastAsia="zh-CN" w:bidi="ar-SA"/>
        </w:rPr>
        <w:t>)</w:t>
      </w:r>
      <w:r>
        <w:rPr>
          <w:rFonts w:hint="eastAsia" w:ascii="宋体" w:hAnsi="宋体" w:cs="宋体"/>
          <w:b w:val="0"/>
          <w:bCs w:val="0"/>
          <w:color w:val="auto"/>
          <w:kern w:val="0"/>
          <w:sz w:val="24"/>
          <w:szCs w:val="24"/>
          <w:highlight w:val="none"/>
          <w:u w:val="single"/>
          <w:lang w:val="en-US" w:eastAsia="zh-CN" w:bidi="ar-SA"/>
        </w:rPr>
        <w:t>（标项号：  ）</w:t>
      </w:r>
      <w:r>
        <w:rPr>
          <w:rFonts w:hint="eastAsia" w:ascii="宋体" w:hAnsi="宋体" w:eastAsia="宋体" w:cs="宋体"/>
          <w:b w:val="0"/>
          <w:bCs w:val="0"/>
          <w:color w:val="auto"/>
          <w:kern w:val="0"/>
          <w:sz w:val="24"/>
          <w:szCs w:val="24"/>
          <w:highlight w:val="none"/>
          <w:lang w:val="en-US" w:eastAsia="zh-CN" w:bidi="ar-SA"/>
        </w:rPr>
        <w:t>的有关活动，并对此项目进行投标。</w:t>
      </w:r>
    </w:p>
    <w:p w14:paraId="7360F6E6">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据此函，我方签字代表宣布同意如下：</w:t>
      </w:r>
    </w:p>
    <w:p w14:paraId="21D7F5E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1.我方同意在投标人编制和提交投标须知规定的开标日期起遵守本投标书中的承诺，且在投标有效期满之前均具有约束力。</w:t>
      </w:r>
    </w:p>
    <w:p w14:paraId="3C6DBE3A">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2.所附规定的应提交公款竞争性存放存款利率较基准利率的上浮基点见《开标一览表》。 </w:t>
      </w:r>
    </w:p>
    <w:p w14:paraId="3DD4A4AC">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3.按招标文件的规定履行合同责任和义务。</w:t>
      </w:r>
    </w:p>
    <w:p w14:paraId="5F11B678">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4.我方已详细审查全部招标文件,包括补充文件（如果有的话）。我们完全理解并同意放弃对这方面有不明及误解的权力。</w:t>
      </w:r>
    </w:p>
    <w:p w14:paraId="656D7A4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5.本投标有效期自投标截止日起起90日。</w:t>
      </w:r>
    </w:p>
    <w:p w14:paraId="30B4E31B">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6.我方承诺，与招标人聘请的为此项目提供咨询服务的公司及任何附属机构均无联系，我方不是招标人的附属机构。</w:t>
      </w:r>
    </w:p>
    <w:p w14:paraId="58FBD5AE">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7.我方完全理解贵方不一定要接受最高利率的投标。</w:t>
      </w:r>
    </w:p>
    <w:p w14:paraId="6424485F">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8.与本投标有关的一切正式往来通讯请寄：</w:t>
      </w:r>
    </w:p>
    <w:p w14:paraId="7471D315">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地址：</w:t>
      </w:r>
    </w:p>
    <w:p w14:paraId="1ABFA3A3">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邮编：</w:t>
      </w:r>
      <w:r>
        <w:rPr>
          <w:rFonts w:hint="eastAsia" w:ascii="宋体" w:hAnsi="宋体" w:cs="宋体"/>
          <w:b w:val="0"/>
          <w:bCs w:val="0"/>
          <w:color w:val="auto"/>
          <w:kern w:val="0"/>
          <w:sz w:val="24"/>
          <w:szCs w:val="24"/>
          <w:highlight w:val="non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　电话：　</w:t>
      </w:r>
      <w:r>
        <w:rPr>
          <w:rFonts w:hint="eastAsia" w:ascii="宋体" w:hAnsi="宋体" w:cs="宋体"/>
          <w:b w:val="0"/>
          <w:bCs w:val="0"/>
          <w:color w:val="auto"/>
          <w:kern w:val="0"/>
          <w:sz w:val="24"/>
          <w:szCs w:val="24"/>
          <w:highlight w:val="non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传真：</w:t>
      </w:r>
    </w:p>
    <w:p w14:paraId="60A22A93">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法定代表人（负责人）（签字或盖章）：</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 xml:space="preserve">             </w:t>
      </w:r>
    </w:p>
    <w:p w14:paraId="7CF2972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授权委托人（签字或盖章）：</w:t>
      </w:r>
    </w:p>
    <w:p w14:paraId="614A610E">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联系电话：</w:t>
      </w:r>
    </w:p>
    <w:p w14:paraId="4905062B">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投标人（盖公章）：</w:t>
      </w:r>
    </w:p>
    <w:p w14:paraId="6CB1814B">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日期：  年 </w:t>
      </w:r>
      <w:r>
        <w:rPr>
          <w:rFonts w:hint="eastAsia" w:ascii="宋体" w:hAnsi="宋体" w:eastAsia="宋体" w:cs="宋体"/>
          <w:b w:val="0"/>
          <w:bCs w:val="0"/>
          <w:color w:val="auto"/>
          <w:kern w:val="0"/>
          <w:sz w:val="24"/>
          <w:szCs w:val="24"/>
          <w:highlight w:val="none"/>
          <w:lang w:val="en-US" w:eastAsia="zh-CN" w:bidi="ar-SA"/>
        </w:rPr>
        <w:tab/>
      </w:r>
      <w:r>
        <w:rPr>
          <w:rFonts w:hint="eastAsia" w:ascii="宋体" w:hAnsi="宋体" w:eastAsia="宋体" w:cs="宋体"/>
          <w:b w:val="0"/>
          <w:bCs w:val="0"/>
          <w:color w:val="auto"/>
          <w:kern w:val="0"/>
          <w:sz w:val="24"/>
          <w:szCs w:val="24"/>
          <w:highlight w:val="none"/>
          <w:lang w:val="en-US" w:eastAsia="zh-CN" w:bidi="ar-SA"/>
        </w:rPr>
        <w:t>月  日</w:t>
      </w:r>
    </w:p>
    <w:p w14:paraId="12CA77C3">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 w:val="0"/>
          <w:bCs w:val="0"/>
          <w:color w:val="auto"/>
          <w:kern w:val="0"/>
          <w:sz w:val="21"/>
          <w:szCs w:val="21"/>
          <w:highlight w:val="none"/>
          <w:lang w:val="en-US" w:eastAsia="zh-CN" w:bidi="ar-SA"/>
        </w:rPr>
      </w:pPr>
    </w:p>
    <w:p w14:paraId="5BE23E75">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 w:val="0"/>
          <w:bCs w:val="0"/>
          <w:color w:val="auto"/>
          <w:kern w:val="0"/>
          <w:sz w:val="21"/>
          <w:szCs w:val="21"/>
          <w:highlight w:val="none"/>
          <w:lang w:val="en-US" w:eastAsia="zh-CN" w:bidi="ar-SA"/>
        </w:rPr>
      </w:pPr>
    </w:p>
    <w:p w14:paraId="34B80E11">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p>
    <w:p w14:paraId="007BCD9A">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2" w:firstLineChars="20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w:t>
      </w:r>
      <w:r>
        <w:rPr>
          <w:rFonts w:hint="eastAsia" w:ascii="宋体" w:hAnsi="宋体" w:eastAsia="宋体" w:cs="宋体"/>
          <w:b/>
          <w:bCs/>
          <w:color w:val="auto"/>
          <w:kern w:val="0"/>
          <w:sz w:val="24"/>
          <w:szCs w:val="24"/>
          <w:highlight w:val="none"/>
          <w:lang w:val="en-US" w:eastAsia="zh-CN" w:bidi="ar-SA"/>
        </w:rPr>
        <w:t>.有效的投标人《企业法人营业执照》</w:t>
      </w:r>
      <w:r>
        <w:rPr>
          <w:rFonts w:hint="eastAsia" w:ascii="宋体" w:hAnsi="宋体" w:cs="宋体"/>
          <w:b/>
          <w:bCs/>
          <w:color w:val="auto"/>
          <w:kern w:val="0"/>
          <w:sz w:val="24"/>
          <w:szCs w:val="24"/>
          <w:highlight w:val="none"/>
          <w:lang w:val="en-US" w:eastAsia="zh-CN" w:bidi="ar-SA"/>
        </w:rPr>
        <w:t>扫描件</w:t>
      </w:r>
      <w:r>
        <w:rPr>
          <w:rFonts w:hint="eastAsia" w:ascii="宋体" w:hAnsi="宋体" w:eastAsia="宋体" w:cs="宋体"/>
          <w:b/>
          <w:bCs/>
          <w:color w:val="auto"/>
          <w:kern w:val="0"/>
          <w:sz w:val="24"/>
          <w:szCs w:val="24"/>
          <w:highlight w:val="none"/>
          <w:lang w:val="en-US" w:eastAsia="zh-CN" w:bidi="ar-SA"/>
        </w:rPr>
        <w:t>件；</w:t>
      </w:r>
    </w:p>
    <w:p w14:paraId="2391B32A">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2" w:firstLineChars="20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2</w:t>
      </w:r>
      <w:r>
        <w:rPr>
          <w:rFonts w:hint="eastAsia" w:ascii="宋体" w:hAnsi="宋体" w:eastAsia="宋体" w:cs="宋体"/>
          <w:b/>
          <w:bCs/>
          <w:color w:val="auto"/>
          <w:kern w:val="0"/>
          <w:sz w:val="24"/>
          <w:szCs w:val="24"/>
          <w:highlight w:val="none"/>
          <w:lang w:val="en-US" w:eastAsia="zh-CN" w:bidi="ar-SA"/>
        </w:rPr>
        <w:t>.提供人民银行2023年度综合评价应达到B级及以上证件（若2023年度综合评价结果未出，则以上一年度评价结果为准）；</w:t>
      </w:r>
    </w:p>
    <w:p w14:paraId="36BA448C">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2" w:firstLineChars="200"/>
        <w:jc w:val="both"/>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.分支机构参与投标的，须提供总机构（总公司）的授权书或者房屋产权证明或其他有效财产证明复印件。</w:t>
      </w:r>
    </w:p>
    <w:p w14:paraId="0B2C7967">
      <w:pPr>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br w:type="page"/>
      </w:r>
    </w:p>
    <w:p w14:paraId="7C43987D">
      <w:pPr>
        <w:pageBreakBefore w:val="0"/>
        <w:kinsoku/>
        <w:wordWrap/>
        <w:overflowPunct/>
        <w:topLinePunct w:val="0"/>
        <w:bidi w:val="0"/>
        <w:spacing w:line="440" w:lineRule="exact"/>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5.</w:t>
      </w:r>
      <w:r>
        <w:rPr>
          <w:rFonts w:hint="eastAsia" w:ascii="宋体" w:hAnsi="宋体" w:eastAsia="宋体" w:cs="宋体"/>
          <w:b/>
          <w:bCs/>
          <w:color w:val="auto"/>
          <w:kern w:val="0"/>
          <w:sz w:val="24"/>
          <w:szCs w:val="24"/>
          <w:highlight w:val="none"/>
          <w:lang w:val="en-US" w:eastAsia="zh-CN" w:bidi="ar-SA"/>
        </w:rPr>
        <w:t>法定代表人（负责人）授权书</w:t>
      </w:r>
    </w:p>
    <w:p w14:paraId="779471C8">
      <w:pPr>
        <w:pageBreakBefore w:val="0"/>
        <w:kinsoku/>
        <w:wordWrap/>
        <w:overflowPunct/>
        <w:topLinePunct w:val="0"/>
        <w:bidi w:val="0"/>
        <w:spacing w:line="440" w:lineRule="exact"/>
        <w:rPr>
          <w:rFonts w:hint="eastAsia" w:ascii="宋体" w:hAnsi="宋体" w:eastAsia="宋体" w:cs="宋体"/>
          <w:b w:val="0"/>
          <w:bCs w:val="0"/>
          <w:color w:val="auto"/>
          <w:kern w:val="0"/>
          <w:sz w:val="24"/>
          <w:szCs w:val="24"/>
          <w:highlight w:val="none"/>
          <w:lang w:val="en-US" w:eastAsia="zh-CN" w:bidi="ar-SA"/>
        </w:rPr>
      </w:pPr>
    </w:p>
    <w:p w14:paraId="3AC76559">
      <w:pPr>
        <w:pageBreakBefore w:val="0"/>
        <w:kinsoku/>
        <w:wordWrap/>
        <w:overflowPunct/>
        <w:topLinePunct w:val="0"/>
        <w:bidi w:val="0"/>
        <w:spacing w:line="44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衢州市衢江区住房和城乡建设局：</w:t>
      </w:r>
    </w:p>
    <w:p w14:paraId="116E0C64">
      <w:pPr>
        <w:pageBreakBefore w:val="0"/>
        <w:kinsoku/>
        <w:wordWrap/>
        <w:overflowPunct/>
        <w:topLinePunct w:val="0"/>
        <w:bidi w:val="0"/>
        <w:spacing w:line="44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（投标人全称）法定代表人（负责人）</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授权</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 xml:space="preserve">（被授权代表姓名）为全权代表，参加贵方组织的 </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 xml:space="preserve"> 项目（项目编号：</w:t>
      </w:r>
      <w:r>
        <w:rPr>
          <w:rFonts w:hint="eastAsia" w:ascii="宋体" w:hAnsi="宋体" w:eastAsia="宋体" w:cs="宋体"/>
          <w:b w:val="0"/>
          <w:bCs w:val="0"/>
          <w:i/>
          <w:iCs/>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 xml:space="preserve"> ）</w:t>
      </w:r>
      <w:r>
        <w:rPr>
          <w:rFonts w:hint="eastAsia" w:ascii="宋体" w:hAnsi="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u w:val="single"/>
          <w:lang w:val="en-US" w:eastAsia="zh-CN" w:bidi="ar-SA"/>
        </w:rPr>
        <w:t>标项号：      ）</w:t>
      </w:r>
      <w:r>
        <w:rPr>
          <w:rFonts w:hint="eastAsia" w:ascii="宋体" w:hAnsi="宋体" w:eastAsia="宋体" w:cs="宋体"/>
          <w:b w:val="0"/>
          <w:bCs w:val="0"/>
          <w:color w:val="auto"/>
          <w:kern w:val="0"/>
          <w:sz w:val="24"/>
          <w:szCs w:val="24"/>
          <w:highlight w:val="none"/>
          <w:lang w:val="en-US" w:eastAsia="zh-CN" w:bidi="ar-SA"/>
        </w:rPr>
        <w:t>，并全权处理招标活动中的一切事宜。</w:t>
      </w:r>
    </w:p>
    <w:p w14:paraId="0691C8FC">
      <w:pPr>
        <w:pageBreakBefore w:val="0"/>
        <w:kinsoku/>
        <w:wordWrap/>
        <w:overflowPunct/>
        <w:topLinePunct w:val="0"/>
        <w:bidi w:val="0"/>
        <w:spacing w:beforeLines="50" w:afterLines="50" w:line="44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法定代表人（负责人）签字或盖章：</w:t>
      </w:r>
    </w:p>
    <w:p w14:paraId="32028C98">
      <w:pPr>
        <w:pageBreakBefore w:val="0"/>
        <w:kinsoku/>
        <w:wordWrap/>
        <w:overflowPunct/>
        <w:topLinePunct w:val="0"/>
        <w:bidi w:val="0"/>
        <w:spacing w:beforeLines="50" w:afterLines="50" w:line="44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投标人全称（公章）：</w:t>
      </w:r>
    </w:p>
    <w:p w14:paraId="0D13EF14">
      <w:pPr>
        <w:pageBreakBefore w:val="0"/>
        <w:kinsoku/>
        <w:wordWrap/>
        <w:overflowPunct/>
        <w:topLinePunct w:val="0"/>
        <w:bidi w:val="0"/>
        <w:spacing w:beforeLines="50" w:afterLines="50" w:line="44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日  期：</w:t>
      </w:r>
    </w:p>
    <w:p w14:paraId="29061FB9">
      <w:pPr>
        <w:pageBreakBefore w:val="0"/>
        <w:kinsoku/>
        <w:wordWrap/>
        <w:overflowPunct/>
        <w:topLinePunct w:val="0"/>
        <w:bidi w:val="0"/>
        <w:spacing w:line="44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附：</w:t>
      </w:r>
    </w:p>
    <w:p w14:paraId="794C103C">
      <w:pPr>
        <w:pageBreakBefore w:val="0"/>
        <w:kinsoku/>
        <w:wordWrap/>
        <w:overflowPunct/>
        <w:topLinePunct w:val="0"/>
        <w:bidi w:val="0"/>
        <w:spacing w:line="44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被授权代表姓名：           性别：</w:t>
      </w:r>
    </w:p>
    <w:p w14:paraId="55366DAF">
      <w:pPr>
        <w:pageBreakBefore w:val="0"/>
        <w:kinsoku/>
        <w:wordWrap/>
        <w:overflowPunct/>
        <w:topLinePunct w:val="0"/>
        <w:bidi w:val="0"/>
        <w:spacing w:line="44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职务：                     职称：</w:t>
      </w:r>
    </w:p>
    <w:p w14:paraId="02B68E90">
      <w:pPr>
        <w:pageBreakBefore w:val="0"/>
        <w:kinsoku/>
        <w:wordWrap/>
        <w:overflowPunct/>
        <w:topLinePunct w:val="0"/>
        <w:bidi w:val="0"/>
        <w:spacing w:line="44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详细通讯地址：</w:t>
      </w:r>
    </w:p>
    <w:p w14:paraId="4AE3CDC7">
      <w:pPr>
        <w:pageBreakBefore w:val="0"/>
        <w:kinsoku/>
        <w:wordWrap/>
        <w:overflowPunct/>
        <w:topLinePunct w:val="0"/>
        <w:bidi w:val="0"/>
        <w:spacing w:line="44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电话：                    传真：</w:t>
      </w:r>
    </w:p>
    <w:p w14:paraId="0BC4DCB1">
      <w:pPr>
        <w:pageBreakBefore w:val="0"/>
        <w:kinsoku/>
        <w:wordWrap/>
        <w:overflowPunct/>
        <w:topLinePunct w:val="0"/>
        <w:bidi w:val="0"/>
        <w:spacing w:line="44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移动电话：</w:t>
      </w:r>
    </w:p>
    <w:p w14:paraId="309140C6">
      <w:pPr>
        <w:pageBreakBefore w:val="0"/>
        <w:kinsoku/>
        <w:wordWrap/>
        <w:overflowPunct/>
        <w:topLinePunct w:val="0"/>
        <w:bidi w:val="0"/>
        <w:spacing w:line="44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邮政编码：</w:t>
      </w:r>
    </w:p>
    <w:p w14:paraId="35D19712">
      <w:pPr>
        <w:pageBreakBefore w:val="0"/>
        <w:kinsoku/>
        <w:wordWrap/>
        <w:overflowPunct/>
        <w:topLinePunct w:val="0"/>
        <w:bidi w:val="0"/>
        <w:spacing w:line="440" w:lineRule="exact"/>
        <w:rPr>
          <w:rFonts w:hint="eastAsia" w:ascii="宋体" w:hAnsi="宋体" w:eastAsia="宋体" w:cs="宋体"/>
          <w:b w:val="0"/>
          <w:bCs w:val="0"/>
          <w:color w:val="auto"/>
          <w:kern w:val="0"/>
          <w:sz w:val="21"/>
          <w:szCs w:val="21"/>
          <w:highlight w:val="none"/>
          <w:lang w:val="en-US" w:eastAsia="zh-CN" w:bidi="ar-SA"/>
        </w:rPr>
      </w:pPr>
    </w:p>
    <w:p w14:paraId="23B9B094">
      <w:pPr>
        <w:pageBreakBefore w:val="0"/>
        <w:kinsoku/>
        <w:wordWrap/>
        <w:overflowPunct/>
        <w:topLinePunct w:val="0"/>
        <w:bidi w:val="0"/>
        <w:spacing w:line="440" w:lineRule="exact"/>
        <w:rPr>
          <w:rFonts w:hint="eastAsia" w:ascii="宋体" w:hAnsi="宋体" w:eastAsia="宋体" w:cs="宋体"/>
          <w:b w:val="0"/>
          <w:bCs w:val="0"/>
          <w:color w:val="auto"/>
          <w:kern w:val="0"/>
          <w:sz w:val="21"/>
          <w:szCs w:val="21"/>
          <w:highlight w:val="none"/>
          <w:lang w:val="en-US" w:eastAsia="zh-CN" w:bidi="ar-SA"/>
        </w:rPr>
      </w:pPr>
    </w:p>
    <w:p w14:paraId="43CF7BA6">
      <w:pPr>
        <w:pageBreakBefore w:val="0"/>
        <w:kinsoku/>
        <w:wordWrap/>
        <w:overflowPunct/>
        <w:topLinePunct w:val="0"/>
        <w:bidi w:val="0"/>
        <w:spacing w:line="44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br w:type="page"/>
      </w:r>
    </w:p>
    <w:p w14:paraId="72A4ED91">
      <w:pPr>
        <w:pStyle w:val="280"/>
        <w:pageBreakBefore w:val="0"/>
        <w:numPr>
          <w:ilvl w:val="0"/>
          <w:numId w:val="0"/>
        </w:numPr>
        <w:kinsoku/>
        <w:wordWrap/>
        <w:overflowPunct/>
        <w:topLinePunct w:val="0"/>
        <w:bidi w:val="0"/>
        <w:spacing w:line="440" w:lineRule="exact"/>
        <w:jc w:val="center"/>
        <w:outlineLvl w:val="0"/>
        <w:rPr>
          <w:rFonts w:hint="eastAsia" w:ascii="宋体" w:hAnsi="宋体" w:eastAsia="宋体" w:cs="宋体"/>
          <w:b/>
          <w:bCs/>
          <w:color w:val="auto"/>
          <w:kern w:val="0"/>
          <w:sz w:val="24"/>
          <w:szCs w:val="24"/>
          <w:highlight w:val="none"/>
          <w:lang w:val="en-US" w:eastAsia="zh-CN" w:bidi="ar-SA"/>
        </w:rPr>
      </w:pPr>
      <w:bookmarkStart w:id="60" w:name="_Toc24708487"/>
      <w:r>
        <w:rPr>
          <w:rFonts w:hint="eastAsia" w:ascii="宋体" w:hAnsi="宋体" w:eastAsia="宋体" w:cs="宋体"/>
          <w:b/>
          <w:bCs/>
          <w:color w:val="auto"/>
          <w:kern w:val="0"/>
          <w:sz w:val="24"/>
          <w:szCs w:val="24"/>
          <w:highlight w:val="none"/>
          <w:lang w:val="en-US" w:eastAsia="zh-CN" w:bidi="ar-SA"/>
        </w:rPr>
        <w:t>6.无重大违法违规及违约记录声明</w:t>
      </w:r>
    </w:p>
    <w:p w14:paraId="12C5BD7C">
      <w:pPr>
        <w:pStyle w:val="280"/>
        <w:pageBreakBefore w:val="0"/>
        <w:numPr>
          <w:ilvl w:val="0"/>
          <w:numId w:val="0"/>
        </w:numPr>
        <w:kinsoku/>
        <w:wordWrap/>
        <w:overflowPunct/>
        <w:topLinePunct w:val="0"/>
        <w:bidi w:val="0"/>
        <w:spacing w:line="440" w:lineRule="exact"/>
        <w:outlineLvl w:val="0"/>
        <w:rPr>
          <w:rFonts w:hint="eastAsia" w:ascii="宋体" w:hAnsi="宋体" w:eastAsia="宋体" w:cs="宋体"/>
          <w:b w:val="0"/>
          <w:bCs w:val="0"/>
          <w:color w:val="auto"/>
          <w:kern w:val="0"/>
          <w:sz w:val="24"/>
          <w:szCs w:val="24"/>
          <w:highlight w:val="none"/>
          <w:lang w:val="en-US" w:eastAsia="zh-CN" w:bidi="ar-SA"/>
        </w:rPr>
      </w:pPr>
    </w:p>
    <w:p w14:paraId="0997D9AF">
      <w:pPr>
        <w:pStyle w:val="280"/>
        <w:pageBreakBefore w:val="0"/>
        <w:numPr>
          <w:ilvl w:val="0"/>
          <w:numId w:val="0"/>
        </w:numPr>
        <w:kinsoku/>
        <w:wordWrap/>
        <w:overflowPunct/>
        <w:topLinePunct w:val="0"/>
        <w:bidi w:val="0"/>
        <w:spacing w:line="440" w:lineRule="exact"/>
        <w:outlineLvl w:val="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衢州市衢江区住房和城乡建设局：</w:t>
      </w:r>
    </w:p>
    <w:p w14:paraId="64F110CC">
      <w:pPr>
        <w:pStyle w:val="280"/>
        <w:pageBreakBefore w:val="0"/>
        <w:numPr>
          <w:ilvl w:val="0"/>
          <w:numId w:val="0"/>
        </w:numPr>
        <w:kinsoku/>
        <w:wordWrap/>
        <w:overflowPunct/>
        <w:topLinePunct w:val="0"/>
        <w:bidi w:val="0"/>
        <w:spacing w:line="440" w:lineRule="exact"/>
        <w:ind w:firstLine="720" w:firstLineChars="300"/>
        <w:outlineLvl w:val="0"/>
        <w:rPr>
          <w:rFonts w:hint="eastAsia" w:ascii="宋体" w:hAnsi="宋体" w:eastAsia="宋体" w:cs="宋体"/>
          <w:b w:val="0"/>
          <w:bCs w:val="0"/>
          <w:color w:val="auto"/>
          <w:kern w:val="0"/>
          <w:sz w:val="24"/>
          <w:szCs w:val="24"/>
          <w:highlight w:val="none"/>
          <w:lang w:val="en-US" w:eastAsia="zh-CN" w:bidi="ar-SA"/>
        </w:rPr>
      </w:pPr>
    </w:p>
    <w:p w14:paraId="4E4E14BC">
      <w:pPr>
        <w:pStyle w:val="280"/>
        <w:pageBreakBefore w:val="0"/>
        <w:numPr>
          <w:ilvl w:val="0"/>
          <w:numId w:val="0"/>
        </w:numPr>
        <w:kinsoku/>
        <w:wordWrap/>
        <w:overflowPunct/>
        <w:topLinePunct w:val="0"/>
        <w:bidi w:val="0"/>
        <w:spacing w:line="440" w:lineRule="exact"/>
        <w:ind w:firstLine="720" w:firstLineChars="300"/>
        <w:outlineLvl w:val="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现郑重承诺：本单位、法定代表人及项目授权代表自承诺</w:t>
      </w:r>
      <w:r>
        <w:rPr>
          <w:rFonts w:hint="eastAsia" w:ascii="宋体" w:hAnsi="宋体" w:eastAsia="宋体" w:cs="宋体"/>
          <w:color w:val="auto"/>
          <w:sz w:val="24"/>
          <w:szCs w:val="24"/>
          <w:highlight w:val="none"/>
          <w:lang w:val="en-US" w:eastAsia="zh-CN"/>
        </w:rPr>
        <w:t>依法开展经营活动，</w:t>
      </w:r>
      <w:r>
        <w:rPr>
          <w:rFonts w:hint="eastAsia" w:ascii="宋体" w:hAnsi="宋体" w:eastAsia="宋体" w:cs="宋体"/>
          <w:b w:val="0"/>
          <w:bCs w:val="0"/>
          <w:color w:val="auto"/>
          <w:kern w:val="0"/>
          <w:sz w:val="24"/>
          <w:szCs w:val="24"/>
          <w:highlight w:val="none"/>
          <w:lang w:val="en-US" w:eastAsia="zh-CN" w:bidi="ar-SA"/>
        </w:rPr>
        <w:t>近3年内在经营活动中无重大违法违规记录及重大违约事件。如本承诺失实，自愿承担被取消中标资格等有关责任。</w:t>
      </w:r>
    </w:p>
    <w:p w14:paraId="5CE17959">
      <w:pPr>
        <w:pStyle w:val="280"/>
        <w:pageBreakBefore w:val="0"/>
        <w:kinsoku/>
        <w:wordWrap/>
        <w:overflowPunct/>
        <w:topLinePunct w:val="0"/>
        <w:bidi w:val="0"/>
        <w:spacing w:line="440" w:lineRule="exact"/>
        <w:ind w:firstLine="2880" w:firstLineChars="1200"/>
        <w:outlineLvl w:val="0"/>
        <w:rPr>
          <w:rFonts w:hint="eastAsia" w:ascii="宋体" w:hAnsi="宋体" w:eastAsia="宋体" w:cs="宋体"/>
          <w:b w:val="0"/>
          <w:bCs w:val="0"/>
          <w:color w:val="auto"/>
          <w:kern w:val="0"/>
          <w:sz w:val="24"/>
          <w:szCs w:val="24"/>
          <w:highlight w:val="none"/>
          <w:lang w:val="en-US" w:eastAsia="zh-CN" w:bidi="ar-SA"/>
        </w:rPr>
      </w:pPr>
    </w:p>
    <w:p w14:paraId="096302F4">
      <w:pPr>
        <w:pStyle w:val="280"/>
        <w:pageBreakBefore w:val="0"/>
        <w:kinsoku/>
        <w:wordWrap/>
        <w:overflowPunct/>
        <w:topLinePunct w:val="0"/>
        <w:bidi w:val="0"/>
        <w:spacing w:line="440" w:lineRule="exact"/>
        <w:ind w:firstLine="2880" w:firstLineChars="1200"/>
        <w:outlineLvl w:val="0"/>
        <w:rPr>
          <w:rFonts w:hint="eastAsia" w:ascii="宋体" w:hAnsi="宋体" w:eastAsia="宋体" w:cs="宋体"/>
          <w:b w:val="0"/>
          <w:bCs w:val="0"/>
          <w:color w:val="auto"/>
          <w:kern w:val="0"/>
          <w:sz w:val="24"/>
          <w:szCs w:val="24"/>
          <w:highlight w:val="none"/>
          <w:lang w:val="en-US" w:eastAsia="zh-CN" w:bidi="ar-SA"/>
        </w:rPr>
      </w:pPr>
    </w:p>
    <w:p w14:paraId="6E8630FD">
      <w:pPr>
        <w:pStyle w:val="280"/>
        <w:pageBreakBefore w:val="0"/>
        <w:kinsoku/>
        <w:wordWrap/>
        <w:overflowPunct/>
        <w:topLinePunct w:val="0"/>
        <w:bidi w:val="0"/>
        <w:spacing w:line="440" w:lineRule="exact"/>
        <w:ind w:firstLine="2880" w:firstLineChars="1200"/>
        <w:outlineLvl w:val="0"/>
        <w:rPr>
          <w:rFonts w:hint="eastAsia" w:ascii="宋体" w:hAnsi="宋体" w:eastAsia="宋体" w:cs="宋体"/>
          <w:b w:val="0"/>
          <w:bCs w:val="0"/>
          <w:color w:val="auto"/>
          <w:kern w:val="0"/>
          <w:sz w:val="24"/>
          <w:szCs w:val="24"/>
          <w:highlight w:val="none"/>
          <w:lang w:val="en-US" w:eastAsia="zh-CN" w:bidi="ar-SA"/>
        </w:rPr>
      </w:pPr>
    </w:p>
    <w:p w14:paraId="70DD538C">
      <w:pPr>
        <w:pStyle w:val="280"/>
        <w:pageBreakBefore w:val="0"/>
        <w:kinsoku/>
        <w:wordWrap/>
        <w:overflowPunct/>
        <w:topLinePunct w:val="0"/>
        <w:bidi w:val="0"/>
        <w:spacing w:line="440" w:lineRule="exact"/>
        <w:ind w:firstLine="2880" w:firstLineChars="1200"/>
        <w:outlineLvl w:val="0"/>
        <w:rPr>
          <w:rFonts w:hint="eastAsia" w:ascii="宋体" w:hAnsi="宋体" w:eastAsia="宋体" w:cs="宋体"/>
          <w:b w:val="0"/>
          <w:bCs w:val="0"/>
          <w:color w:val="auto"/>
          <w:kern w:val="0"/>
          <w:sz w:val="24"/>
          <w:szCs w:val="24"/>
          <w:highlight w:val="none"/>
          <w:lang w:val="en-US" w:eastAsia="zh-CN" w:bidi="ar-SA"/>
        </w:rPr>
      </w:pPr>
    </w:p>
    <w:p w14:paraId="2411D6F8">
      <w:pPr>
        <w:pStyle w:val="280"/>
        <w:pageBreakBefore w:val="0"/>
        <w:kinsoku/>
        <w:wordWrap/>
        <w:overflowPunct/>
        <w:topLinePunct w:val="0"/>
        <w:bidi w:val="0"/>
        <w:spacing w:line="440" w:lineRule="exact"/>
        <w:ind w:firstLine="2880" w:firstLineChars="1200"/>
        <w:outlineLvl w:val="0"/>
        <w:rPr>
          <w:rFonts w:hint="eastAsia" w:ascii="宋体" w:hAnsi="宋体" w:eastAsia="宋体" w:cs="宋体"/>
          <w:b w:val="0"/>
          <w:bCs w:val="0"/>
          <w:color w:val="auto"/>
          <w:kern w:val="0"/>
          <w:sz w:val="24"/>
          <w:szCs w:val="24"/>
          <w:highlight w:val="none"/>
          <w:lang w:val="en-US" w:eastAsia="zh-CN" w:bidi="ar-SA"/>
        </w:rPr>
      </w:pPr>
    </w:p>
    <w:p w14:paraId="4AB3210E">
      <w:pPr>
        <w:pStyle w:val="280"/>
        <w:pageBreakBefore w:val="0"/>
        <w:kinsoku/>
        <w:wordWrap/>
        <w:overflowPunct/>
        <w:topLinePunct w:val="0"/>
        <w:bidi w:val="0"/>
        <w:spacing w:line="440" w:lineRule="exact"/>
        <w:ind w:firstLine="4560" w:firstLineChars="190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承诺单位名称：            </w:t>
      </w:r>
    </w:p>
    <w:p w14:paraId="3C4AFFF4">
      <w:pPr>
        <w:pStyle w:val="280"/>
        <w:pageBreakBefore w:val="0"/>
        <w:kinsoku/>
        <w:wordWrap/>
        <w:overflowPunct/>
        <w:topLinePunct w:val="0"/>
        <w:bidi w:val="0"/>
        <w:spacing w:line="440" w:lineRule="exact"/>
        <w:ind w:firstLine="4560" w:firstLineChars="190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法定代表人（或负责人）（签字或盖章）：</w:t>
      </w:r>
    </w:p>
    <w:p w14:paraId="7F8122FD">
      <w:pPr>
        <w:pStyle w:val="280"/>
        <w:pageBreakBefore w:val="0"/>
        <w:kinsoku/>
        <w:wordWrap/>
        <w:overflowPunct/>
        <w:topLinePunct w:val="0"/>
        <w:bidi w:val="0"/>
        <w:spacing w:line="440" w:lineRule="exact"/>
        <w:ind w:firstLine="4620" w:firstLineChars="220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年    月    日</w:t>
      </w:r>
    </w:p>
    <w:p w14:paraId="5825D402">
      <w:pPr>
        <w:pStyle w:val="280"/>
        <w:pageBreakBefore w:val="0"/>
        <w:kinsoku/>
        <w:wordWrap/>
        <w:overflowPunct/>
        <w:topLinePunct w:val="0"/>
        <w:bidi w:val="0"/>
        <w:spacing w:line="440" w:lineRule="exact"/>
        <w:ind w:firstLine="3360" w:firstLineChars="1200"/>
        <w:outlineLvl w:val="0"/>
        <w:rPr>
          <w:rFonts w:hint="eastAsia" w:ascii="宋体" w:hAnsi="宋体" w:eastAsia="宋体" w:cs="宋体"/>
          <w:b w:val="0"/>
          <w:bCs w:val="0"/>
          <w:color w:val="auto"/>
          <w:kern w:val="0"/>
          <w:sz w:val="28"/>
          <w:szCs w:val="28"/>
          <w:highlight w:val="none"/>
          <w:lang w:val="en-US" w:eastAsia="zh-CN" w:bidi="ar-SA"/>
        </w:rPr>
      </w:pPr>
    </w:p>
    <w:p w14:paraId="50D74525">
      <w:pPr>
        <w:pStyle w:val="280"/>
        <w:pageBreakBefore w:val="0"/>
        <w:kinsoku/>
        <w:wordWrap/>
        <w:overflowPunct/>
        <w:topLinePunct w:val="0"/>
        <w:bidi w:val="0"/>
        <w:spacing w:line="440" w:lineRule="exact"/>
        <w:ind w:firstLine="3360" w:firstLineChars="1200"/>
        <w:outlineLvl w:val="0"/>
        <w:rPr>
          <w:rFonts w:hint="eastAsia" w:ascii="宋体" w:hAnsi="宋体" w:eastAsia="宋体" w:cs="宋体"/>
          <w:b w:val="0"/>
          <w:bCs w:val="0"/>
          <w:color w:val="auto"/>
          <w:kern w:val="0"/>
          <w:sz w:val="28"/>
          <w:szCs w:val="28"/>
          <w:highlight w:val="none"/>
          <w:lang w:val="en-US" w:eastAsia="zh-CN" w:bidi="ar-SA"/>
        </w:rPr>
      </w:pPr>
    </w:p>
    <w:p w14:paraId="28BC65B5">
      <w:pPr>
        <w:pStyle w:val="280"/>
        <w:pageBreakBefore w:val="0"/>
        <w:kinsoku/>
        <w:wordWrap/>
        <w:overflowPunct/>
        <w:topLinePunct w:val="0"/>
        <w:bidi w:val="0"/>
        <w:spacing w:line="440" w:lineRule="exact"/>
        <w:ind w:firstLine="3360" w:firstLineChars="1200"/>
        <w:outlineLvl w:val="0"/>
        <w:rPr>
          <w:rFonts w:hint="eastAsia" w:ascii="宋体" w:hAnsi="宋体" w:eastAsia="宋体" w:cs="宋体"/>
          <w:b w:val="0"/>
          <w:bCs w:val="0"/>
          <w:color w:val="auto"/>
          <w:kern w:val="0"/>
          <w:sz w:val="28"/>
          <w:szCs w:val="28"/>
          <w:highlight w:val="none"/>
          <w:lang w:val="en-US" w:eastAsia="zh-CN" w:bidi="ar-SA"/>
        </w:rPr>
      </w:pPr>
    </w:p>
    <w:p w14:paraId="0503554F">
      <w:pPr>
        <w:pStyle w:val="280"/>
        <w:pageBreakBefore w:val="0"/>
        <w:kinsoku/>
        <w:wordWrap/>
        <w:overflowPunct/>
        <w:topLinePunct w:val="0"/>
        <w:bidi w:val="0"/>
        <w:spacing w:line="440" w:lineRule="exact"/>
        <w:ind w:firstLine="3360" w:firstLineChars="1200"/>
        <w:outlineLvl w:val="0"/>
        <w:rPr>
          <w:rFonts w:hint="eastAsia" w:ascii="宋体" w:hAnsi="宋体" w:eastAsia="宋体" w:cs="宋体"/>
          <w:b w:val="0"/>
          <w:bCs w:val="0"/>
          <w:color w:val="auto"/>
          <w:kern w:val="0"/>
          <w:sz w:val="28"/>
          <w:szCs w:val="28"/>
          <w:highlight w:val="none"/>
          <w:lang w:val="en-US" w:eastAsia="zh-CN" w:bidi="ar-SA"/>
        </w:rPr>
      </w:pPr>
    </w:p>
    <w:p w14:paraId="0DD446B6">
      <w:pPr>
        <w:pStyle w:val="280"/>
        <w:pageBreakBefore w:val="0"/>
        <w:kinsoku/>
        <w:wordWrap/>
        <w:overflowPunct/>
        <w:topLinePunct w:val="0"/>
        <w:bidi w:val="0"/>
        <w:spacing w:line="440" w:lineRule="exact"/>
        <w:ind w:firstLine="3360" w:firstLineChars="1200"/>
        <w:outlineLvl w:val="0"/>
        <w:rPr>
          <w:rFonts w:hint="eastAsia" w:ascii="宋体" w:hAnsi="宋体" w:eastAsia="宋体" w:cs="宋体"/>
          <w:b w:val="0"/>
          <w:bCs w:val="0"/>
          <w:color w:val="auto"/>
          <w:kern w:val="0"/>
          <w:sz w:val="28"/>
          <w:szCs w:val="28"/>
          <w:highlight w:val="none"/>
          <w:lang w:val="en-US" w:eastAsia="zh-CN" w:bidi="ar-SA"/>
        </w:rPr>
      </w:pPr>
    </w:p>
    <w:p w14:paraId="791B095F">
      <w:pPr>
        <w:pStyle w:val="280"/>
        <w:pageBreakBefore w:val="0"/>
        <w:kinsoku/>
        <w:wordWrap/>
        <w:overflowPunct/>
        <w:topLinePunct w:val="0"/>
        <w:bidi w:val="0"/>
        <w:spacing w:line="440" w:lineRule="exact"/>
        <w:ind w:firstLine="3360" w:firstLineChars="1200"/>
        <w:outlineLvl w:val="0"/>
        <w:rPr>
          <w:rFonts w:hint="eastAsia" w:ascii="宋体" w:hAnsi="宋体" w:eastAsia="宋体" w:cs="宋体"/>
          <w:b w:val="0"/>
          <w:bCs w:val="0"/>
          <w:color w:val="auto"/>
          <w:kern w:val="0"/>
          <w:sz w:val="28"/>
          <w:szCs w:val="28"/>
          <w:highlight w:val="none"/>
          <w:lang w:val="en-US" w:eastAsia="zh-CN" w:bidi="ar-SA"/>
        </w:rPr>
      </w:pPr>
    </w:p>
    <w:p w14:paraId="3CF0FBE9">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w:t>
      </w:r>
      <w:r>
        <w:rPr>
          <w:rFonts w:hint="eastAsia" w:ascii="宋体" w:hAnsi="宋体" w:eastAsia="宋体" w:cs="宋体"/>
          <w:b/>
          <w:bCs/>
          <w:color w:val="auto"/>
          <w:kern w:val="0"/>
          <w:sz w:val="24"/>
          <w:szCs w:val="24"/>
          <w:highlight w:val="none"/>
          <w:lang w:val="en-US" w:eastAsia="zh-CN" w:bidi="ar-SA"/>
        </w:rPr>
        <w:t>.金融许可证</w:t>
      </w:r>
      <w:r>
        <w:rPr>
          <w:rFonts w:hint="eastAsia" w:ascii="宋体" w:hAnsi="宋体" w:cs="宋体"/>
          <w:b/>
          <w:bCs/>
          <w:color w:val="auto"/>
          <w:kern w:val="0"/>
          <w:sz w:val="24"/>
          <w:szCs w:val="24"/>
          <w:highlight w:val="none"/>
          <w:lang w:val="en-US" w:eastAsia="zh-CN" w:bidi="ar-SA"/>
        </w:rPr>
        <w:t>扫描</w:t>
      </w:r>
      <w:r>
        <w:rPr>
          <w:rFonts w:hint="eastAsia" w:ascii="宋体" w:hAnsi="宋体" w:eastAsia="宋体" w:cs="宋体"/>
          <w:b/>
          <w:bCs/>
          <w:color w:val="auto"/>
          <w:kern w:val="0"/>
          <w:sz w:val="24"/>
          <w:szCs w:val="24"/>
          <w:highlight w:val="none"/>
          <w:lang w:val="en-US" w:eastAsia="zh-CN" w:bidi="ar-SA"/>
        </w:rPr>
        <w:t>件；</w:t>
      </w:r>
    </w:p>
    <w:p w14:paraId="6BC3B193">
      <w:pPr>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br w:type="page"/>
      </w:r>
    </w:p>
    <w:p w14:paraId="59228EB7">
      <w:pPr>
        <w:pStyle w:val="280"/>
        <w:pageBreakBefore w:val="0"/>
        <w:numPr>
          <w:ilvl w:val="0"/>
          <w:numId w:val="0"/>
        </w:numPr>
        <w:kinsoku/>
        <w:wordWrap/>
        <w:overflowPunct/>
        <w:topLinePunct w:val="0"/>
        <w:bidi w:val="0"/>
        <w:spacing w:line="440" w:lineRule="exact"/>
        <w:jc w:val="center"/>
        <w:outlineLvl w:val="0"/>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8. 报价一览表</w:t>
      </w:r>
      <w:bookmarkEnd w:id="60"/>
      <w:r>
        <w:rPr>
          <w:rFonts w:hint="eastAsia" w:ascii="宋体" w:hAnsi="宋体" w:eastAsia="宋体" w:cs="宋体"/>
          <w:b/>
          <w:bCs/>
          <w:color w:val="auto"/>
          <w:kern w:val="0"/>
          <w:sz w:val="24"/>
          <w:szCs w:val="24"/>
          <w:highlight w:val="none"/>
          <w:lang w:val="en-US" w:eastAsia="zh-CN" w:bidi="ar-SA"/>
        </w:rPr>
        <w:t>1</w:t>
      </w:r>
    </w:p>
    <w:p w14:paraId="06D7C224">
      <w:pPr>
        <w:pageBreakBefore w:val="0"/>
        <w:kinsoku/>
        <w:wordWrap/>
        <w:overflowPunct/>
        <w:topLinePunct w:val="0"/>
        <w:bidi w:val="0"/>
        <w:snapToGrid w:val="0"/>
        <w:spacing w:line="440" w:lineRule="exact"/>
        <w:ind w:firstLine="723" w:firstLineChars="3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lang w:val="en-US" w:eastAsia="zh-CN"/>
        </w:rPr>
        <w:t xml:space="preserve"> </w:t>
      </w:r>
    </w:p>
    <w:tbl>
      <w:tblPr>
        <w:tblStyle w:val="62"/>
        <w:tblW w:w="8996"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7"/>
        <w:gridCol w:w="1877"/>
        <w:gridCol w:w="2650"/>
        <w:gridCol w:w="3362"/>
      </w:tblGrid>
      <w:tr w14:paraId="75E4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trPr>
        <w:tc>
          <w:tcPr>
            <w:tcW w:w="1107" w:type="dxa"/>
            <w:vAlign w:val="center"/>
          </w:tcPr>
          <w:p w14:paraId="65C724F8">
            <w:pPr>
              <w:pStyle w:val="301"/>
              <w:spacing w:before="47" w:line="360" w:lineRule="atLeast"/>
              <w:ind w:left="271" w:right="109"/>
              <w:jc w:val="center"/>
              <w:rPr>
                <w:rFonts w:hint="eastAsia" w:ascii="宋体" w:hAnsi="宋体" w:eastAsia="宋体" w:cs="宋体"/>
                <w:color w:val="auto"/>
                <w:sz w:val="24"/>
                <w:szCs w:val="24"/>
                <w:highlight w:val="none"/>
              </w:rPr>
            </w:pPr>
            <w:bookmarkStart w:id="61" w:name="_Toc24708488"/>
            <w:r>
              <w:rPr>
                <w:rFonts w:hint="eastAsia" w:ascii="宋体" w:hAnsi="宋体" w:eastAsia="宋体" w:cs="宋体"/>
                <w:color w:val="auto"/>
                <w:sz w:val="24"/>
                <w:szCs w:val="24"/>
                <w:highlight w:val="none"/>
              </w:rPr>
              <w:t>序号</w:t>
            </w:r>
          </w:p>
        </w:tc>
        <w:tc>
          <w:tcPr>
            <w:tcW w:w="1877" w:type="dxa"/>
            <w:vAlign w:val="center"/>
          </w:tcPr>
          <w:p w14:paraId="19499AA3">
            <w:pPr>
              <w:pStyle w:val="301"/>
              <w:spacing w:before="4"/>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标项号</w:t>
            </w:r>
          </w:p>
        </w:tc>
        <w:tc>
          <w:tcPr>
            <w:tcW w:w="2650" w:type="dxa"/>
            <w:vAlign w:val="center"/>
          </w:tcPr>
          <w:p w14:paraId="23CA04D1">
            <w:pPr>
              <w:pStyle w:val="301"/>
              <w:spacing w:before="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存款期</w:t>
            </w:r>
          </w:p>
        </w:tc>
        <w:tc>
          <w:tcPr>
            <w:tcW w:w="3362" w:type="dxa"/>
            <w:vAlign w:val="center"/>
          </w:tcPr>
          <w:p w14:paraId="256EA8AD">
            <w:pPr>
              <w:pStyle w:val="301"/>
              <w:spacing w:before="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年利率报价%（最多保留2位小数）</w:t>
            </w:r>
          </w:p>
        </w:tc>
      </w:tr>
      <w:tr w14:paraId="5946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1107" w:type="dxa"/>
            <w:vAlign w:val="center"/>
          </w:tcPr>
          <w:p w14:paraId="1C278661">
            <w:pPr>
              <w:pStyle w:val="301"/>
              <w:spacing w:before="231"/>
              <w:ind w:left="34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77" w:type="dxa"/>
            <w:vAlign w:val="center"/>
          </w:tcPr>
          <w:p w14:paraId="5C4E4C0F">
            <w:pPr>
              <w:pStyle w:val="301"/>
              <w:spacing w:before="214"/>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标项一</w:t>
            </w:r>
          </w:p>
        </w:tc>
        <w:tc>
          <w:tcPr>
            <w:tcW w:w="2650" w:type="dxa"/>
            <w:vAlign w:val="center"/>
          </w:tcPr>
          <w:p w14:paraId="3CC68FFF">
            <w:pPr>
              <w:pStyle w:val="301"/>
              <w:tabs>
                <w:tab w:val="left" w:pos="1781"/>
              </w:tabs>
              <w:spacing w:before="209"/>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定期存款</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lang w:val="en-US" w:eastAsia="zh-CN"/>
              </w:rPr>
              <w:t>年期）</w:t>
            </w:r>
          </w:p>
        </w:tc>
        <w:tc>
          <w:tcPr>
            <w:tcW w:w="3362" w:type="dxa"/>
            <w:vAlign w:val="center"/>
          </w:tcPr>
          <w:p w14:paraId="6B0F2CDD">
            <w:pPr>
              <w:pStyle w:val="301"/>
              <w:tabs>
                <w:tab w:val="left" w:pos="1781"/>
              </w:tabs>
              <w:spacing w:before="209"/>
              <w:ind w:left="943"/>
              <w:jc w:val="center"/>
              <w:rPr>
                <w:rFonts w:hint="eastAsia" w:ascii="宋体" w:hAnsi="宋体" w:eastAsia="宋体" w:cs="宋体"/>
                <w:color w:val="auto"/>
                <w:sz w:val="24"/>
                <w:szCs w:val="24"/>
                <w:highlight w:val="none"/>
                <w:lang w:val="en-US"/>
              </w:rPr>
            </w:pPr>
          </w:p>
        </w:tc>
      </w:tr>
    </w:tbl>
    <w:p w14:paraId="3E09ADB4">
      <w:pPr>
        <w:pStyle w:val="280"/>
        <w:pageBreakBefore w:val="0"/>
        <w:kinsoku/>
        <w:wordWrap/>
        <w:overflowPunct/>
        <w:topLinePunct w:val="0"/>
        <w:bidi w:val="0"/>
        <w:spacing w:line="440" w:lineRule="exact"/>
        <w:ind w:firstLine="960" w:firstLineChars="400"/>
        <w:outlineLvl w:val="0"/>
        <w:rPr>
          <w:rFonts w:hint="eastAsia" w:ascii="宋体" w:hAnsi="宋体" w:eastAsia="宋体" w:cs="宋体"/>
          <w:b w:val="0"/>
          <w:bCs w:val="0"/>
          <w:color w:val="auto"/>
          <w:kern w:val="0"/>
          <w:sz w:val="24"/>
          <w:szCs w:val="24"/>
          <w:highlight w:val="none"/>
          <w:lang w:val="en-US" w:eastAsia="zh-CN" w:bidi="ar-SA"/>
        </w:rPr>
      </w:pPr>
    </w:p>
    <w:p w14:paraId="6BA1C1B5">
      <w:pPr>
        <w:pStyle w:val="280"/>
        <w:pageBreakBefore w:val="0"/>
        <w:kinsoku/>
        <w:wordWrap/>
        <w:overflowPunct/>
        <w:topLinePunct w:val="0"/>
        <w:bidi w:val="0"/>
        <w:spacing w:line="440" w:lineRule="exact"/>
        <w:ind w:firstLine="2880" w:firstLineChars="1200"/>
        <w:outlineLvl w:val="0"/>
        <w:rPr>
          <w:rFonts w:hint="eastAsia" w:ascii="宋体" w:hAnsi="宋体" w:eastAsia="宋体" w:cs="宋体"/>
          <w:b w:val="0"/>
          <w:bCs w:val="0"/>
          <w:color w:val="auto"/>
          <w:kern w:val="0"/>
          <w:sz w:val="24"/>
          <w:szCs w:val="24"/>
          <w:highlight w:val="none"/>
          <w:lang w:val="en-US" w:eastAsia="zh-CN" w:bidi="ar-SA"/>
        </w:rPr>
      </w:pPr>
    </w:p>
    <w:p w14:paraId="23A0BAA0">
      <w:pPr>
        <w:pStyle w:val="280"/>
        <w:pageBreakBefore w:val="0"/>
        <w:kinsoku/>
        <w:wordWrap/>
        <w:overflowPunct/>
        <w:topLinePunct w:val="0"/>
        <w:bidi w:val="0"/>
        <w:spacing w:line="440" w:lineRule="exact"/>
        <w:ind w:firstLine="2880" w:firstLineChars="1200"/>
        <w:outlineLvl w:val="0"/>
        <w:rPr>
          <w:rFonts w:hint="eastAsia" w:ascii="宋体" w:hAnsi="宋体" w:eastAsia="宋体" w:cs="宋体"/>
          <w:b w:val="0"/>
          <w:bCs w:val="0"/>
          <w:color w:val="auto"/>
          <w:kern w:val="0"/>
          <w:sz w:val="24"/>
          <w:szCs w:val="24"/>
          <w:highlight w:val="none"/>
          <w:lang w:val="en-US" w:eastAsia="zh-CN" w:bidi="ar-SA"/>
        </w:rPr>
      </w:pPr>
    </w:p>
    <w:p w14:paraId="4D603587">
      <w:pPr>
        <w:pStyle w:val="280"/>
        <w:pageBreakBefore w:val="0"/>
        <w:kinsoku/>
        <w:wordWrap/>
        <w:overflowPunct/>
        <w:topLinePunct w:val="0"/>
        <w:bidi w:val="0"/>
        <w:spacing w:line="440" w:lineRule="exact"/>
        <w:ind w:firstLine="2880" w:firstLineChars="1200"/>
        <w:outlineLvl w:val="0"/>
        <w:rPr>
          <w:rFonts w:hint="eastAsia" w:ascii="宋体" w:hAnsi="宋体" w:eastAsia="宋体" w:cs="宋体"/>
          <w:b w:val="0"/>
          <w:bCs w:val="0"/>
          <w:color w:val="auto"/>
          <w:kern w:val="0"/>
          <w:sz w:val="24"/>
          <w:szCs w:val="24"/>
          <w:highlight w:val="none"/>
          <w:lang w:val="en-US" w:eastAsia="zh-CN" w:bidi="ar-SA"/>
        </w:rPr>
      </w:pPr>
    </w:p>
    <w:p w14:paraId="5BB3ADEF">
      <w:pPr>
        <w:pStyle w:val="280"/>
        <w:pageBreakBefore w:val="0"/>
        <w:kinsoku/>
        <w:wordWrap/>
        <w:overflowPunct/>
        <w:topLinePunct w:val="0"/>
        <w:bidi w:val="0"/>
        <w:spacing w:line="440" w:lineRule="exact"/>
        <w:ind w:firstLine="4560" w:firstLineChars="190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单位名称：            </w:t>
      </w:r>
    </w:p>
    <w:p w14:paraId="7D1068D2">
      <w:pPr>
        <w:pStyle w:val="280"/>
        <w:pageBreakBefore w:val="0"/>
        <w:kinsoku/>
        <w:wordWrap/>
        <w:overflowPunct/>
        <w:topLinePunct w:val="0"/>
        <w:bidi w:val="0"/>
        <w:spacing w:line="440" w:lineRule="exact"/>
        <w:ind w:firstLine="4560" w:firstLineChars="190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法定代表人（或负责人）（签字或盖章）：</w:t>
      </w:r>
    </w:p>
    <w:p w14:paraId="4617F59C">
      <w:pPr>
        <w:pStyle w:val="280"/>
        <w:pageBreakBefore w:val="0"/>
        <w:kinsoku/>
        <w:wordWrap/>
        <w:overflowPunct/>
        <w:topLinePunct w:val="0"/>
        <w:bidi w:val="0"/>
        <w:spacing w:line="440" w:lineRule="exact"/>
        <w:ind w:firstLine="4620" w:firstLineChars="220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年    月    日</w:t>
      </w:r>
    </w:p>
    <w:p w14:paraId="13ED9362">
      <w:pPr>
        <w:pStyle w:val="280"/>
        <w:pageBreakBefore w:val="0"/>
        <w:kinsoku/>
        <w:wordWrap/>
        <w:overflowPunct/>
        <w:topLinePunct w:val="0"/>
        <w:bidi w:val="0"/>
        <w:spacing w:line="440" w:lineRule="exact"/>
        <w:ind w:firstLine="2520" w:firstLineChars="1200"/>
        <w:outlineLvl w:val="0"/>
        <w:rPr>
          <w:rFonts w:hint="eastAsia" w:ascii="宋体" w:hAnsi="宋体" w:eastAsia="宋体" w:cs="宋体"/>
          <w:b w:val="0"/>
          <w:bCs w:val="0"/>
          <w:color w:val="auto"/>
          <w:kern w:val="0"/>
          <w:sz w:val="21"/>
          <w:szCs w:val="21"/>
          <w:highlight w:val="none"/>
          <w:lang w:val="en-US" w:eastAsia="zh-CN" w:bidi="ar-SA"/>
        </w:rPr>
      </w:pPr>
    </w:p>
    <w:p w14:paraId="52AA673B">
      <w:pPr>
        <w:pStyle w:val="280"/>
        <w:pageBreakBefore w:val="0"/>
        <w:kinsoku/>
        <w:wordWrap/>
        <w:overflowPunct/>
        <w:topLinePunct w:val="0"/>
        <w:bidi w:val="0"/>
        <w:spacing w:line="440" w:lineRule="exact"/>
        <w:ind w:firstLine="2520" w:firstLineChars="1200"/>
        <w:outlineLvl w:val="0"/>
        <w:rPr>
          <w:rFonts w:hint="eastAsia" w:ascii="宋体" w:hAnsi="宋体" w:eastAsia="宋体" w:cs="宋体"/>
          <w:b w:val="0"/>
          <w:bCs w:val="0"/>
          <w:color w:val="auto"/>
          <w:kern w:val="0"/>
          <w:sz w:val="21"/>
          <w:szCs w:val="21"/>
          <w:highlight w:val="none"/>
          <w:lang w:val="en-US" w:eastAsia="zh-CN" w:bidi="ar-SA"/>
        </w:rPr>
      </w:pPr>
    </w:p>
    <w:bookmarkEnd w:id="61"/>
    <w:p w14:paraId="7BE60729">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bookmarkStart w:id="62" w:name="_Toc24708489"/>
    </w:p>
    <w:p w14:paraId="140A0551">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19AD692C">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77CEAA68">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74A771C5">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34D6BEAD">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6DE16A1A">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5CB917B6">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42F166CF">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73EAC909">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3AD452BD">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5D0BB5B5">
      <w:pPr>
        <w:pageBreakBefore w:val="0"/>
        <w:kinsoku/>
        <w:wordWrap/>
        <w:overflowPunct/>
        <w:topLinePunct w:val="0"/>
        <w:bidi w:val="0"/>
        <w:spacing w:line="440" w:lineRule="exact"/>
        <w:jc w:val="center"/>
        <w:rPr>
          <w:rFonts w:hint="eastAsia" w:ascii="宋体" w:hAnsi="宋体" w:cs="宋体"/>
          <w:b w:val="0"/>
          <w:bCs w:val="0"/>
          <w:color w:val="auto"/>
          <w:kern w:val="0"/>
          <w:sz w:val="28"/>
          <w:szCs w:val="28"/>
          <w:highlight w:val="none"/>
          <w:lang w:val="en-US" w:eastAsia="zh-CN" w:bidi="ar-SA"/>
        </w:rPr>
      </w:pPr>
    </w:p>
    <w:p w14:paraId="480BA1C1">
      <w:pPr>
        <w:pageBreakBefore w:val="0"/>
        <w:kinsoku/>
        <w:wordWrap/>
        <w:overflowPunct/>
        <w:topLinePunct w:val="0"/>
        <w:bidi w:val="0"/>
        <w:spacing w:line="440" w:lineRule="exact"/>
        <w:jc w:val="center"/>
        <w:rPr>
          <w:rFonts w:hint="eastAsia" w:ascii="宋体" w:hAnsi="宋体" w:cs="宋体"/>
          <w:b w:val="0"/>
          <w:bCs w:val="0"/>
          <w:color w:val="auto"/>
          <w:kern w:val="0"/>
          <w:sz w:val="28"/>
          <w:szCs w:val="28"/>
          <w:highlight w:val="none"/>
          <w:lang w:val="en-US" w:eastAsia="zh-CN" w:bidi="ar-SA"/>
        </w:rPr>
      </w:pPr>
    </w:p>
    <w:p w14:paraId="4227701A">
      <w:pPr>
        <w:pageBreakBefore w:val="0"/>
        <w:kinsoku/>
        <w:wordWrap/>
        <w:overflowPunct/>
        <w:topLinePunct w:val="0"/>
        <w:bidi w:val="0"/>
        <w:spacing w:line="440" w:lineRule="exact"/>
        <w:jc w:val="center"/>
        <w:rPr>
          <w:rFonts w:hint="eastAsia" w:ascii="宋体" w:hAnsi="宋体" w:cs="宋体"/>
          <w:b w:val="0"/>
          <w:bCs w:val="0"/>
          <w:color w:val="auto"/>
          <w:kern w:val="0"/>
          <w:sz w:val="28"/>
          <w:szCs w:val="28"/>
          <w:highlight w:val="none"/>
          <w:lang w:val="en-US" w:eastAsia="zh-CN" w:bidi="ar-SA"/>
        </w:rPr>
      </w:pPr>
    </w:p>
    <w:p w14:paraId="50913230">
      <w:pPr>
        <w:pStyle w:val="3"/>
        <w:ind w:left="0" w:leftChars="0" w:firstLine="0" w:firstLineChars="0"/>
        <w:rPr>
          <w:rFonts w:hint="eastAsia" w:ascii="宋体" w:hAnsi="宋体" w:cs="宋体"/>
          <w:b w:val="0"/>
          <w:bCs w:val="0"/>
          <w:color w:val="auto"/>
          <w:kern w:val="0"/>
          <w:sz w:val="28"/>
          <w:szCs w:val="28"/>
          <w:highlight w:val="none"/>
          <w:lang w:val="en-US" w:eastAsia="zh-CN" w:bidi="ar-SA"/>
        </w:rPr>
      </w:pPr>
    </w:p>
    <w:p w14:paraId="50DCCE5F">
      <w:pPr>
        <w:pStyle w:val="3"/>
        <w:ind w:left="0" w:leftChars="0" w:firstLine="0" w:firstLineChars="0"/>
        <w:rPr>
          <w:rFonts w:hint="eastAsia" w:ascii="宋体" w:hAnsi="宋体" w:cs="宋体"/>
          <w:b w:val="0"/>
          <w:bCs w:val="0"/>
          <w:color w:val="auto"/>
          <w:kern w:val="0"/>
          <w:sz w:val="28"/>
          <w:szCs w:val="28"/>
          <w:highlight w:val="none"/>
          <w:lang w:val="en-US" w:eastAsia="zh-CN" w:bidi="ar-SA"/>
        </w:rPr>
      </w:pPr>
    </w:p>
    <w:p w14:paraId="07C1D86F">
      <w:pPr>
        <w:pStyle w:val="280"/>
        <w:pageBreakBefore w:val="0"/>
        <w:numPr>
          <w:ilvl w:val="0"/>
          <w:numId w:val="0"/>
        </w:numPr>
        <w:kinsoku/>
        <w:wordWrap/>
        <w:overflowPunct/>
        <w:topLinePunct w:val="0"/>
        <w:bidi w:val="0"/>
        <w:spacing w:line="440" w:lineRule="exact"/>
        <w:jc w:val="center"/>
        <w:outlineLvl w:val="0"/>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报价一览表2</w:t>
      </w:r>
    </w:p>
    <w:p w14:paraId="530F856B">
      <w:pPr>
        <w:pageBreakBefore w:val="0"/>
        <w:kinsoku/>
        <w:wordWrap/>
        <w:overflowPunct/>
        <w:topLinePunct w:val="0"/>
        <w:bidi w:val="0"/>
        <w:snapToGrid w:val="0"/>
        <w:spacing w:line="440" w:lineRule="exact"/>
        <w:ind w:firstLine="723" w:firstLineChars="3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lang w:val="en-US" w:eastAsia="zh-CN"/>
        </w:rPr>
        <w:t xml:space="preserve"> </w:t>
      </w:r>
    </w:p>
    <w:tbl>
      <w:tblPr>
        <w:tblStyle w:val="62"/>
        <w:tblW w:w="8996"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7"/>
        <w:gridCol w:w="1877"/>
        <w:gridCol w:w="2650"/>
        <w:gridCol w:w="3362"/>
      </w:tblGrid>
      <w:tr w14:paraId="7E03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trPr>
        <w:tc>
          <w:tcPr>
            <w:tcW w:w="1107" w:type="dxa"/>
            <w:vAlign w:val="center"/>
          </w:tcPr>
          <w:p w14:paraId="1C29A317">
            <w:pPr>
              <w:pStyle w:val="301"/>
              <w:spacing w:before="47" w:line="360" w:lineRule="atLeast"/>
              <w:ind w:left="271" w:right="10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77" w:type="dxa"/>
            <w:vAlign w:val="center"/>
          </w:tcPr>
          <w:p w14:paraId="00688561">
            <w:pPr>
              <w:pStyle w:val="301"/>
              <w:spacing w:before="4"/>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标项号</w:t>
            </w:r>
          </w:p>
        </w:tc>
        <w:tc>
          <w:tcPr>
            <w:tcW w:w="2650" w:type="dxa"/>
            <w:vAlign w:val="center"/>
          </w:tcPr>
          <w:p w14:paraId="63DBE863">
            <w:pPr>
              <w:pStyle w:val="301"/>
              <w:spacing w:before="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存款期</w:t>
            </w:r>
          </w:p>
        </w:tc>
        <w:tc>
          <w:tcPr>
            <w:tcW w:w="3362" w:type="dxa"/>
            <w:vAlign w:val="center"/>
          </w:tcPr>
          <w:p w14:paraId="2A9D6737">
            <w:pPr>
              <w:pStyle w:val="301"/>
              <w:spacing w:before="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年利率报价%（最多保留2位小数）</w:t>
            </w:r>
          </w:p>
        </w:tc>
      </w:tr>
      <w:tr w14:paraId="1C08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1107" w:type="dxa"/>
            <w:vAlign w:val="center"/>
          </w:tcPr>
          <w:p w14:paraId="30593907">
            <w:pPr>
              <w:pStyle w:val="301"/>
              <w:spacing w:before="231"/>
              <w:ind w:left="34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77" w:type="dxa"/>
            <w:vAlign w:val="center"/>
          </w:tcPr>
          <w:p w14:paraId="024D120D">
            <w:pPr>
              <w:pStyle w:val="301"/>
              <w:spacing w:before="214"/>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标项二</w:t>
            </w:r>
          </w:p>
        </w:tc>
        <w:tc>
          <w:tcPr>
            <w:tcW w:w="2650" w:type="dxa"/>
            <w:vAlign w:val="center"/>
          </w:tcPr>
          <w:p w14:paraId="7EFFCEFF">
            <w:pPr>
              <w:pStyle w:val="301"/>
              <w:tabs>
                <w:tab w:val="left" w:pos="1781"/>
              </w:tabs>
              <w:spacing w:before="209"/>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定期存款</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lang w:val="en-US" w:eastAsia="zh-CN"/>
              </w:rPr>
              <w:t>年期）</w:t>
            </w:r>
          </w:p>
        </w:tc>
        <w:tc>
          <w:tcPr>
            <w:tcW w:w="3362" w:type="dxa"/>
            <w:vAlign w:val="center"/>
          </w:tcPr>
          <w:p w14:paraId="2440EAEB">
            <w:pPr>
              <w:pStyle w:val="301"/>
              <w:tabs>
                <w:tab w:val="left" w:pos="1781"/>
              </w:tabs>
              <w:spacing w:before="209"/>
              <w:ind w:left="943"/>
              <w:jc w:val="center"/>
              <w:rPr>
                <w:rFonts w:hint="eastAsia" w:ascii="宋体" w:hAnsi="宋体" w:eastAsia="宋体" w:cs="宋体"/>
                <w:color w:val="auto"/>
                <w:sz w:val="24"/>
                <w:szCs w:val="24"/>
                <w:highlight w:val="none"/>
                <w:lang w:val="en-US"/>
              </w:rPr>
            </w:pPr>
          </w:p>
        </w:tc>
      </w:tr>
    </w:tbl>
    <w:p w14:paraId="22E752E9">
      <w:pPr>
        <w:pStyle w:val="280"/>
        <w:pageBreakBefore w:val="0"/>
        <w:kinsoku/>
        <w:wordWrap/>
        <w:overflowPunct/>
        <w:topLinePunct w:val="0"/>
        <w:bidi w:val="0"/>
        <w:spacing w:line="440" w:lineRule="exact"/>
        <w:ind w:firstLine="960" w:firstLineChars="400"/>
        <w:outlineLvl w:val="0"/>
        <w:rPr>
          <w:rFonts w:hint="eastAsia" w:ascii="宋体" w:hAnsi="宋体" w:eastAsia="宋体" w:cs="宋体"/>
          <w:b w:val="0"/>
          <w:bCs w:val="0"/>
          <w:color w:val="auto"/>
          <w:kern w:val="0"/>
          <w:sz w:val="24"/>
          <w:szCs w:val="24"/>
          <w:highlight w:val="none"/>
          <w:lang w:val="en-US" w:eastAsia="zh-CN" w:bidi="ar-SA"/>
        </w:rPr>
      </w:pPr>
    </w:p>
    <w:p w14:paraId="7766CBD0">
      <w:pPr>
        <w:pStyle w:val="280"/>
        <w:pageBreakBefore w:val="0"/>
        <w:kinsoku/>
        <w:wordWrap/>
        <w:overflowPunct/>
        <w:topLinePunct w:val="0"/>
        <w:bidi w:val="0"/>
        <w:spacing w:line="440" w:lineRule="exact"/>
        <w:ind w:firstLine="2880" w:firstLineChars="1200"/>
        <w:outlineLvl w:val="0"/>
        <w:rPr>
          <w:rFonts w:hint="eastAsia" w:ascii="宋体" w:hAnsi="宋体" w:eastAsia="宋体" w:cs="宋体"/>
          <w:b w:val="0"/>
          <w:bCs w:val="0"/>
          <w:color w:val="auto"/>
          <w:kern w:val="0"/>
          <w:sz w:val="24"/>
          <w:szCs w:val="24"/>
          <w:highlight w:val="none"/>
          <w:lang w:val="en-US" w:eastAsia="zh-CN" w:bidi="ar-SA"/>
        </w:rPr>
      </w:pPr>
    </w:p>
    <w:p w14:paraId="03BACA28">
      <w:pPr>
        <w:pStyle w:val="280"/>
        <w:pageBreakBefore w:val="0"/>
        <w:kinsoku/>
        <w:wordWrap/>
        <w:overflowPunct/>
        <w:topLinePunct w:val="0"/>
        <w:bidi w:val="0"/>
        <w:spacing w:line="440" w:lineRule="exact"/>
        <w:ind w:firstLine="2880" w:firstLineChars="1200"/>
        <w:outlineLvl w:val="0"/>
        <w:rPr>
          <w:rFonts w:hint="eastAsia" w:ascii="宋体" w:hAnsi="宋体" w:eastAsia="宋体" w:cs="宋体"/>
          <w:b w:val="0"/>
          <w:bCs w:val="0"/>
          <w:color w:val="auto"/>
          <w:kern w:val="0"/>
          <w:sz w:val="24"/>
          <w:szCs w:val="24"/>
          <w:highlight w:val="none"/>
          <w:lang w:val="en-US" w:eastAsia="zh-CN" w:bidi="ar-SA"/>
        </w:rPr>
      </w:pPr>
    </w:p>
    <w:p w14:paraId="158BFDE6">
      <w:pPr>
        <w:pStyle w:val="280"/>
        <w:pageBreakBefore w:val="0"/>
        <w:kinsoku/>
        <w:wordWrap/>
        <w:overflowPunct/>
        <w:topLinePunct w:val="0"/>
        <w:bidi w:val="0"/>
        <w:spacing w:line="440" w:lineRule="exact"/>
        <w:ind w:firstLine="2880" w:firstLineChars="1200"/>
        <w:outlineLvl w:val="0"/>
        <w:rPr>
          <w:rFonts w:hint="eastAsia" w:ascii="宋体" w:hAnsi="宋体" w:eastAsia="宋体" w:cs="宋体"/>
          <w:b w:val="0"/>
          <w:bCs w:val="0"/>
          <w:color w:val="auto"/>
          <w:kern w:val="0"/>
          <w:sz w:val="24"/>
          <w:szCs w:val="24"/>
          <w:highlight w:val="none"/>
          <w:lang w:val="en-US" w:eastAsia="zh-CN" w:bidi="ar-SA"/>
        </w:rPr>
      </w:pPr>
    </w:p>
    <w:p w14:paraId="5C5A11DD">
      <w:pPr>
        <w:pStyle w:val="280"/>
        <w:pageBreakBefore w:val="0"/>
        <w:kinsoku/>
        <w:wordWrap/>
        <w:overflowPunct/>
        <w:topLinePunct w:val="0"/>
        <w:bidi w:val="0"/>
        <w:spacing w:line="440" w:lineRule="exact"/>
        <w:ind w:firstLine="4560" w:firstLineChars="190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单位名称：            </w:t>
      </w:r>
    </w:p>
    <w:p w14:paraId="373B6680">
      <w:pPr>
        <w:pStyle w:val="280"/>
        <w:pageBreakBefore w:val="0"/>
        <w:kinsoku/>
        <w:wordWrap/>
        <w:overflowPunct/>
        <w:topLinePunct w:val="0"/>
        <w:bidi w:val="0"/>
        <w:spacing w:line="440" w:lineRule="exact"/>
        <w:ind w:firstLine="4560" w:firstLineChars="190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法定代表人（或负责人）（签字或盖章）：</w:t>
      </w:r>
    </w:p>
    <w:p w14:paraId="636F5D38">
      <w:pPr>
        <w:pStyle w:val="280"/>
        <w:pageBreakBefore w:val="0"/>
        <w:kinsoku/>
        <w:wordWrap/>
        <w:overflowPunct/>
        <w:topLinePunct w:val="0"/>
        <w:bidi w:val="0"/>
        <w:spacing w:line="440" w:lineRule="exact"/>
        <w:ind w:firstLine="4620" w:firstLineChars="220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年    月    日</w:t>
      </w:r>
    </w:p>
    <w:p w14:paraId="2EC99B8C">
      <w:pPr>
        <w:pStyle w:val="280"/>
        <w:pageBreakBefore w:val="0"/>
        <w:kinsoku/>
        <w:wordWrap/>
        <w:overflowPunct/>
        <w:topLinePunct w:val="0"/>
        <w:bidi w:val="0"/>
        <w:spacing w:line="440" w:lineRule="exact"/>
        <w:ind w:firstLine="2520" w:firstLineChars="1200"/>
        <w:outlineLvl w:val="0"/>
        <w:rPr>
          <w:rFonts w:hint="eastAsia" w:ascii="宋体" w:hAnsi="宋体" w:eastAsia="宋体" w:cs="宋体"/>
          <w:b w:val="0"/>
          <w:bCs w:val="0"/>
          <w:color w:val="auto"/>
          <w:kern w:val="0"/>
          <w:sz w:val="21"/>
          <w:szCs w:val="21"/>
          <w:highlight w:val="none"/>
          <w:lang w:val="en-US" w:eastAsia="zh-CN" w:bidi="ar-SA"/>
        </w:rPr>
      </w:pPr>
    </w:p>
    <w:p w14:paraId="55DF9E15">
      <w:pPr>
        <w:pStyle w:val="280"/>
        <w:pageBreakBefore w:val="0"/>
        <w:kinsoku/>
        <w:wordWrap/>
        <w:overflowPunct/>
        <w:topLinePunct w:val="0"/>
        <w:bidi w:val="0"/>
        <w:spacing w:line="440" w:lineRule="exact"/>
        <w:ind w:firstLine="2520" w:firstLineChars="1200"/>
        <w:outlineLvl w:val="0"/>
        <w:rPr>
          <w:rFonts w:hint="eastAsia" w:ascii="宋体" w:hAnsi="宋体" w:eastAsia="宋体" w:cs="宋体"/>
          <w:b w:val="0"/>
          <w:bCs w:val="0"/>
          <w:color w:val="auto"/>
          <w:kern w:val="0"/>
          <w:sz w:val="21"/>
          <w:szCs w:val="21"/>
          <w:highlight w:val="none"/>
          <w:lang w:val="en-US" w:eastAsia="zh-CN" w:bidi="ar-SA"/>
        </w:rPr>
      </w:pPr>
    </w:p>
    <w:p w14:paraId="736B5728">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498D73E4">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0A63B518">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13391AFA">
      <w:pPr>
        <w:pStyle w:val="280"/>
        <w:pageBreakBefore w:val="0"/>
        <w:kinsoku/>
        <w:wordWrap/>
        <w:overflowPunct/>
        <w:topLinePunct w:val="0"/>
        <w:bidi w:val="0"/>
        <w:spacing w:line="440" w:lineRule="exact"/>
        <w:jc w:val="center"/>
        <w:outlineLvl w:val="0"/>
        <w:rPr>
          <w:rFonts w:hint="eastAsia" w:ascii="宋体" w:hAnsi="宋体" w:eastAsia="宋体" w:cs="宋体"/>
          <w:b w:val="0"/>
          <w:bCs w:val="0"/>
          <w:color w:val="auto"/>
          <w:kern w:val="0"/>
          <w:sz w:val="21"/>
          <w:szCs w:val="21"/>
          <w:highlight w:val="none"/>
          <w:lang w:val="en-US" w:eastAsia="zh-CN" w:bidi="ar-SA"/>
        </w:rPr>
      </w:pPr>
    </w:p>
    <w:p w14:paraId="091F200F">
      <w:pPr>
        <w:pStyle w:val="3"/>
        <w:ind w:left="0" w:leftChars="0" w:firstLine="0" w:firstLineChars="0"/>
        <w:rPr>
          <w:rFonts w:hint="eastAsia" w:ascii="宋体" w:hAnsi="宋体" w:cs="宋体"/>
          <w:b w:val="0"/>
          <w:bCs w:val="0"/>
          <w:color w:val="auto"/>
          <w:kern w:val="0"/>
          <w:sz w:val="28"/>
          <w:szCs w:val="28"/>
          <w:highlight w:val="none"/>
          <w:lang w:val="en-US" w:eastAsia="zh-CN" w:bidi="ar-SA"/>
        </w:rPr>
      </w:pPr>
    </w:p>
    <w:p w14:paraId="43117CF3">
      <w:pPr>
        <w:rPr>
          <w:rFonts w:hint="eastAsia" w:ascii="宋体" w:hAnsi="宋体" w:cs="宋体"/>
          <w:b w:val="0"/>
          <w:bCs w:val="0"/>
          <w:color w:val="auto"/>
          <w:kern w:val="0"/>
          <w:sz w:val="28"/>
          <w:szCs w:val="28"/>
          <w:highlight w:val="none"/>
          <w:lang w:val="en-US" w:eastAsia="zh-CN" w:bidi="ar-SA"/>
        </w:rPr>
      </w:pPr>
      <w:r>
        <w:rPr>
          <w:rFonts w:hint="eastAsia" w:ascii="宋体" w:hAnsi="宋体" w:cs="宋体"/>
          <w:b w:val="0"/>
          <w:bCs w:val="0"/>
          <w:color w:val="auto"/>
          <w:kern w:val="0"/>
          <w:sz w:val="28"/>
          <w:szCs w:val="28"/>
          <w:highlight w:val="none"/>
          <w:lang w:val="en-US" w:eastAsia="zh-CN" w:bidi="ar-SA"/>
        </w:rPr>
        <w:br w:type="page"/>
      </w:r>
    </w:p>
    <w:p w14:paraId="320460E9">
      <w:pPr>
        <w:pageBreakBefore w:val="0"/>
        <w:kinsoku/>
        <w:wordWrap/>
        <w:overflowPunct/>
        <w:topLinePunct w:val="0"/>
        <w:bidi w:val="0"/>
        <w:spacing w:line="440" w:lineRule="exact"/>
        <w:jc w:val="cente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 xml:space="preserve">9. </w:t>
      </w:r>
      <w:bookmarkEnd w:id="62"/>
      <w:r>
        <w:rPr>
          <w:rFonts w:hint="eastAsia" w:ascii="宋体" w:hAnsi="宋体" w:eastAsia="宋体" w:cs="宋体"/>
          <w:b w:val="0"/>
          <w:bCs w:val="0"/>
          <w:color w:val="auto"/>
          <w:kern w:val="0"/>
          <w:sz w:val="28"/>
          <w:szCs w:val="28"/>
          <w:highlight w:val="none"/>
          <w:lang w:val="en-US" w:eastAsia="zh-CN" w:bidi="ar-SA"/>
        </w:rPr>
        <w:t xml:space="preserve"> </w:t>
      </w:r>
      <w:r>
        <w:rPr>
          <w:rFonts w:hint="eastAsia" w:ascii="宋体" w:hAnsi="宋体" w:eastAsia="宋体" w:cs="宋体"/>
          <w:b/>
          <w:bCs/>
          <w:color w:val="auto"/>
          <w:kern w:val="0"/>
          <w:sz w:val="28"/>
          <w:szCs w:val="28"/>
          <w:highlight w:val="none"/>
          <w:lang w:val="en-US" w:eastAsia="zh-CN" w:bidi="ar-SA"/>
        </w:rPr>
        <w:t>廉 政 承 诺 书</w:t>
      </w:r>
    </w:p>
    <w:p w14:paraId="1CAF70AC">
      <w:pPr>
        <w:pStyle w:val="280"/>
        <w:pageBreakBefore w:val="0"/>
        <w:kinsoku/>
        <w:wordWrap/>
        <w:overflowPunct/>
        <w:topLinePunct w:val="0"/>
        <w:bidi w:val="0"/>
        <w:spacing w:line="440" w:lineRule="exact"/>
        <w:jc w:val="both"/>
        <w:rPr>
          <w:rFonts w:hint="eastAsia" w:ascii="宋体" w:hAnsi="宋体" w:eastAsia="宋体" w:cs="宋体"/>
          <w:b w:val="0"/>
          <w:bCs w:val="0"/>
          <w:color w:val="auto"/>
          <w:kern w:val="0"/>
          <w:sz w:val="24"/>
          <w:szCs w:val="24"/>
          <w:highlight w:val="none"/>
          <w:lang w:val="en-US" w:eastAsia="zh-CN" w:bidi="ar-SA"/>
        </w:rPr>
      </w:pPr>
    </w:p>
    <w:p w14:paraId="5AD155C0">
      <w:pPr>
        <w:pageBreakBefore w:val="0"/>
        <w:kinsoku/>
        <w:wordWrap/>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衢州市衢江区住房和城乡建设局</w:t>
      </w:r>
      <w:r>
        <w:rPr>
          <w:rFonts w:hint="eastAsia" w:ascii="宋体" w:hAnsi="宋体" w:eastAsia="宋体" w:cs="宋体"/>
          <w:color w:val="auto"/>
          <w:sz w:val="24"/>
          <w:szCs w:val="24"/>
          <w:highlight w:val="none"/>
          <w:u w:val="single"/>
        </w:rPr>
        <w:t>：</w:t>
      </w:r>
    </w:p>
    <w:p w14:paraId="6441D488">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根据《财政部关于进一步加强财政部门和预算单位资金存放管理的指导意见》（财库〔2017〕76号、《</w:t>
      </w:r>
      <w:r>
        <w:rPr>
          <w:rFonts w:hint="eastAsia" w:ascii="宋体" w:hAnsi="宋体" w:eastAsia="宋体" w:cs="宋体"/>
          <w:color w:val="auto"/>
          <w:sz w:val="24"/>
          <w:szCs w:val="24"/>
          <w:highlight w:val="none"/>
          <w:lang w:eastAsia="zh-CN"/>
        </w:rPr>
        <w:t>衢江区区级行政事业单位公款竞争性存放管理办法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衢江区政办发【</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20号</w:t>
      </w:r>
      <w:r>
        <w:rPr>
          <w:rFonts w:hint="eastAsia" w:ascii="宋体" w:hAnsi="宋体" w:eastAsia="宋体" w:cs="宋体"/>
          <w:color w:val="auto"/>
          <w:sz w:val="24"/>
          <w:szCs w:val="24"/>
          <w:highlight w:val="none"/>
        </w:rPr>
        <w:t>）相关规定，现就本行参加贵单</w:t>
      </w:r>
      <w:r>
        <w:rPr>
          <w:rFonts w:hint="eastAsia" w:ascii="宋体" w:hAnsi="宋体" w:eastAsia="宋体" w:cs="宋体"/>
          <w:color w:val="auto"/>
          <w:sz w:val="24"/>
          <w:szCs w:val="24"/>
          <w:highlight w:val="none"/>
        </w:rPr>
        <w:t>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期</w:t>
      </w:r>
      <w:r>
        <w:rPr>
          <w:rFonts w:hint="eastAsia" w:ascii="宋体" w:hAnsi="宋体" w:eastAsia="宋体" w:cs="宋体"/>
          <w:color w:val="auto"/>
          <w:sz w:val="24"/>
          <w:szCs w:val="24"/>
          <w:highlight w:val="none"/>
          <w:lang w:val="en-US" w:eastAsia="zh-CN"/>
        </w:rPr>
        <w:t>物业两金</w:t>
      </w:r>
      <w:r>
        <w:rPr>
          <w:rFonts w:hint="eastAsia" w:ascii="宋体" w:hAnsi="宋体" w:eastAsia="宋体" w:cs="宋体"/>
          <w:color w:val="auto"/>
          <w:sz w:val="24"/>
          <w:szCs w:val="24"/>
          <w:highlight w:val="none"/>
        </w:rPr>
        <w:t>竞争性存放作出如下承诺：</w:t>
      </w:r>
    </w:p>
    <w:p w14:paraId="06D17AEF">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1．不向贵单位负责</w:t>
      </w:r>
      <w:r>
        <w:rPr>
          <w:rFonts w:hint="eastAsia" w:ascii="宋体" w:hAnsi="宋体" w:eastAsia="宋体" w:cs="宋体"/>
          <w:color w:val="auto"/>
          <w:sz w:val="24"/>
          <w:szCs w:val="24"/>
          <w:highlight w:val="none"/>
          <w:lang w:eastAsia="zh-CN"/>
        </w:rPr>
        <w:t>公款</w:t>
      </w:r>
      <w:r>
        <w:rPr>
          <w:rFonts w:hint="eastAsia" w:ascii="宋体" w:hAnsi="宋体" w:eastAsia="宋体" w:cs="宋体"/>
          <w:color w:val="auto"/>
          <w:sz w:val="24"/>
          <w:szCs w:val="24"/>
          <w:highlight w:val="none"/>
        </w:rPr>
        <w:t>存放管理的领导和相关人员利益输送；</w:t>
      </w:r>
    </w:p>
    <w:p w14:paraId="2AA7B29D">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2．不将</w:t>
      </w:r>
      <w:r>
        <w:rPr>
          <w:rFonts w:hint="eastAsia" w:ascii="宋体" w:hAnsi="宋体" w:eastAsia="宋体" w:cs="宋体"/>
          <w:color w:val="auto"/>
          <w:sz w:val="24"/>
          <w:szCs w:val="24"/>
          <w:highlight w:val="none"/>
          <w:lang w:eastAsia="zh-CN"/>
        </w:rPr>
        <w:t>公款</w:t>
      </w:r>
      <w:r>
        <w:rPr>
          <w:rFonts w:hint="eastAsia" w:ascii="宋体" w:hAnsi="宋体" w:eastAsia="宋体" w:cs="宋体"/>
          <w:color w:val="auto"/>
          <w:sz w:val="24"/>
          <w:szCs w:val="24"/>
          <w:highlight w:val="none"/>
        </w:rPr>
        <w:t>存放与贵单位负责</w:t>
      </w:r>
      <w:r>
        <w:rPr>
          <w:rFonts w:hint="eastAsia" w:ascii="宋体" w:hAnsi="宋体" w:eastAsia="宋体" w:cs="宋体"/>
          <w:color w:val="auto"/>
          <w:sz w:val="24"/>
          <w:szCs w:val="24"/>
          <w:highlight w:val="none"/>
          <w:lang w:eastAsia="zh-CN"/>
        </w:rPr>
        <w:t>公款</w:t>
      </w:r>
      <w:r>
        <w:rPr>
          <w:rFonts w:hint="eastAsia" w:ascii="宋体" w:hAnsi="宋体" w:eastAsia="宋体" w:cs="宋体"/>
          <w:color w:val="auto"/>
          <w:sz w:val="24"/>
          <w:szCs w:val="24"/>
          <w:highlight w:val="none"/>
        </w:rPr>
        <w:t>存放管理的领导和相关人员在本行的配偶、子女及其配偶和其他直接利益相关人员的业绩、收入、晋升挂钩；</w:t>
      </w:r>
    </w:p>
    <w:p w14:paraId="15C12F87">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3．严格执行利益回避制度，贵单位负责</w:t>
      </w:r>
      <w:r>
        <w:rPr>
          <w:rFonts w:hint="eastAsia" w:ascii="宋体" w:hAnsi="宋体" w:eastAsia="宋体" w:cs="宋体"/>
          <w:color w:val="auto"/>
          <w:sz w:val="24"/>
          <w:szCs w:val="24"/>
          <w:highlight w:val="none"/>
          <w:lang w:eastAsia="zh-CN"/>
        </w:rPr>
        <w:t>公款</w:t>
      </w:r>
      <w:r>
        <w:rPr>
          <w:rFonts w:hint="eastAsia" w:ascii="宋体" w:hAnsi="宋体" w:eastAsia="宋体" w:cs="宋体"/>
          <w:color w:val="auto"/>
          <w:sz w:val="24"/>
          <w:szCs w:val="24"/>
          <w:highlight w:val="none"/>
        </w:rPr>
        <w:t>竞争性存放的相关人员的配偶、子女及其配偶和其他直接利益相关人员为本行工作人员的，不参与</w:t>
      </w:r>
      <w:r>
        <w:rPr>
          <w:rFonts w:hint="eastAsia" w:ascii="宋体" w:hAnsi="宋体" w:eastAsia="宋体" w:cs="宋体"/>
          <w:color w:val="auto"/>
          <w:sz w:val="24"/>
          <w:szCs w:val="24"/>
          <w:highlight w:val="none"/>
          <w:lang w:eastAsia="zh-CN"/>
        </w:rPr>
        <w:t>公款</w:t>
      </w:r>
      <w:r>
        <w:rPr>
          <w:rFonts w:hint="eastAsia" w:ascii="宋体" w:hAnsi="宋体" w:eastAsia="宋体" w:cs="宋体"/>
          <w:color w:val="auto"/>
          <w:sz w:val="24"/>
          <w:szCs w:val="24"/>
          <w:highlight w:val="none"/>
        </w:rPr>
        <w:t>竞争性存放工作。</w:t>
      </w:r>
    </w:p>
    <w:p w14:paraId="1E85BABC">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4．不发生除上述行为之外的其他任何利益输送行为。</w:t>
      </w:r>
    </w:p>
    <w:p w14:paraId="43607A4B">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未遵守以上承诺的，本行自愿接受财政部门通报和处理，承担相应的一切后果。</w:t>
      </w:r>
    </w:p>
    <w:p w14:paraId="19C19659">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p>
    <w:p w14:paraId="62700EB2">
      <w:pPr>
        <w:pageBreakBefore w:val="0"/>
        <w:kinsoku/>
        <w:wordWrap/>
        <w:overflowPunct/>
        <w:topLinePunct w:val="0"/>
        <w:bidi w:val="0"/>
        <w:spacing w:line="440" w:lineRule="exact"/>
        <w:ind w:right="840" w:rightChars="40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银行（公章）</w:t>
      </w:r>
    </w:p>
    <w:p w14:paraId="3C026D03">
      <w:pPr>
        <w:pageBreakBefore w:val="0"/>
        <w:kinsoku/>
        <w:wordWrap/>
        <w:overflowPunct/>
        <w:topLinePunct w:val="0"/>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p>
    <w:p w14:paraId="7DCE2586">
      <w:pPr>
        <w:pageBreakBefore w:val="0"/>
        <w:kinsoku/>
        <w:wordWrap/>
        <w:overflowPunct/>
        <w:topLinePunct w:val="0"/>
        <w:bidi w:val="0"/>
        <w:spacing w:line="440" w:lineRule="exact"/>
        <w:ind w:firstLine="420" w:firstLineChars="200"/>
        <w:rPr>
          <w:rFonts w:hint="eastAsia" w:ascii="宋体" w:hAnsi="宋体" w:eastAsia="宋体" w:cs="宋体"/>
          <w:color w:val="auto"/>
          <w:sz w:val="21"/>
          <w:szCs w:val="21"/>
          <w:highlight w:val="none"/>
        </w:rPr>
      </w:pPr>
    </w:p>
    <w:p w14:paraId="3A441001">
      <w:pPr>
        <w:pageBreakBefore w:val="0"/>
        <w:kinsoku/>
        <w:wordWrap/>
        <w:overflowPunct/>
        <w:topLinePunct w:val="0"/>
        <w:autoSpaceDE w:val="0"/>
        <w:autoSpaceDN w:val="0"/>
        <w:bidi w:val="0"/>
        <w:adjustRightInd w:val="0"/>
        <w:spacing w:line="440" w:lineRule="exact"/>
        <w:jc w:val="center"/>
        <w:outlineLvl w:val="0"/>
        <w:rPr>
          <w:rFonts w:hint="eastAsia" w:ascii="宋体" w:hAnsi="宋体" w:eastAsia="宋体" w:cs="宋体"/>
          <w:b w:val="0"/>
          <w:bCs w:val="0"/>
          <w:color w:val="auto"/>
          <w:kern w:val="0"/>
          <w:sz w:val="21"/>
          <w:szCs w:val="21"/>
          <w:highlight w:val="none"/>
          <w:lang w:val="zh-CN" w:eastAsia="zh-CN" w:bidi="ar-SA"/>
        </w:rPr>
      </w:pPr>
      <w:bookmarkStart w:id="63" w:name="_Toc322352986"/>
      <w:bookmarkStart w:id="64" w:name="_Toc24708492"/>
      <w:bookmarkStart w:id="65" w:name="_Toc350256317"/>
      <w:bookmarkStart w:id="66" w:name="_Toc316887628"/>
      <w:bookmarkStart w:id="67" w:name="_Toc354401539"/>
    </w:p>
    <w:p w14:paraId="612A795E">
      <w:pPr>
        <w:pageBreakBefore w:val="0"/>
        <w:kinsoku/>
        <w:wordWrap/>
        <w:overflowPunct/>
        <w:topLinePunct w:val="0"/>
        <w:autoSpaceDE w:val="0"/>
        <w:autoSpaceDN w:val="0"/>
        <w:bidi w:val="0"/>
        <w:adjustRightInd w:val="0"/>
        <w:spacing w:line="440" w:lineRule="exact"/>
        <w:jc w:val="center"/>
        <w:outlineLvl w:val="0"/>
        <w:rPr>
          <w:rFonts w:hint="eastAsia" w:ascii="宋体" w:hAnsi="宋体" w:eastAsia="宋体" w:cs="宋体"/>
          <w:b w:val="0"/>
          <w:bCs w:val="0"/>
          <w:color w:val="auto"/>
          <w:kern w:val="0"/>
          <w:sz w:val="21"/>
          <w:szCs w:val="21"/>
          <w:highlight w:val="none"/>
          <w:lang w:val="zh-CN" w:eastAsia="zh-CN" w:bidi="ar-SA"/>
        </w:rPr>
      </w:pPr>
    </w:p>
    <w:p w14:paraId="350DD8C6">
      <w:pPr>
        <w:pageBreakBefore w:val="0"/>
        <w:kinsoku/>
        <w:wordWrap/>
        <w:overflowPunct/>
        <w:topLinePunct w:val="0"/>
        <w:autoSpaceDE w:val="0"/>
        <w:autoSpaceDN w:val="0"/>
        <w:bidi w:val="0"/>
        <w:adjustRightInd w:val="0"/>
        <w:spacing w:line="440" w:lineRule="exact"/>
        <w:jc w:val="center"/>
        <w:outlineLvl w:val="0"/>
        <w:rPr>
          <w:rFonts w:hint="eastAsia" w:ascii="宋体" w:hAnsi="宋体" w:eastAsia="宋体" w:cs="宋体"/>
          <w:b w:val="0"/>
          <w:bCs w:val="0"/>
          <w:color w:val="auto"/>
          <w:kern w:val="0"/>
          <w:sz w:val="21"/>
          <w:szCs w:val="21"/>
          <w:highlight w:val="none"/>
          <w:lang w:val="zh-CN" w:eastAsia="zh-CN" w:bidi="ar-SA"/>
        </w:rPr>
      </w:pPr>
    </w:p>
    <w:p w14:paraId="1D450AF4">
      <w:pPr>
        <w:pageBreakBefore w:val="0"/>
        <w:kinsoku/>
        <w:wordWrap/>
        <w:overflowPunct/>
        <w:topLinePunct w:val="0"/>
        <w:autoSpaceDE w:val="0"/>
        <w:autoSpaceDN w:val="0"/>
        <w:bidi w:val="0"/>
        <w:adjustRightInd w:val="0"/>
        <w:spacing w:line="440" w:lineRule="exact"/>
        <w:jc w:val="center"/>
        <w:outlineLvl w:val="0"/>
        <w:rPr>
          <w:rFonts w:hint="eastAsia" w:ascii="宋体" w:hAnsi="宋体" w:eastAsia="宋体" w:cs="宋体"/>
          <w:b w:val="0"/>
          <w:bCs w:val="0"/>
          <w:color w:val="auto"/>
          <w:kern w:val="0"/>
          <w:sz w:val="21"/>
          <w:szCs w:val="21"/>
          <w:highlight w:val="none"/>
          <w:lang w:val="zh-CN" w:eastAsia="zh-CN" w:bidi="ar-SA"/>
        </w:rPr>
      </w:pPr>
    </w:p>
    <w:p w14:paraId="30FDC146">
      <w:pPr>
        <w:pageBreakBefore w:val="0"/>
        <w:kinsoku/>
        <w:wordWrap/>
        <w:overflowPunct/>
        <w:topLinePunct w:val="0"/>
        <w:autoSpaceDE w:val="0"/>
        <w:autoSpaceDN w:val="0"/>
        <w:bidi w:val="0"/>
        <w:adjustRightInd w:val="0"/>
        <w:spacing w:line="440" w:lineRule="exact"/>
        <w:jc w:val="center"/>
        <w:outlineLvl w:val="0"/>
        <w:rPr>
          <w:rFonts w:hint="eastAsia" w:ascii="宋体" w:hAnsi="宋体" w:eastAsia="宋体" w:cs="宋体"/>
          <w:b w:val="0"/>
          <w:bCs w:val="0"/>
          <w:color w:val="auto"/>
          <w:kern w:val="0"/>
          <w:sz w:val="21"/>
          <w:szCs w:val="21"/>
          <w:highlight w:val="none"/>
          <w:lang w:val="zh-CN" w:eastAsia="zh-CN" w:bidi="ar-SA"/>
        </w:rPr>
      </w:pPr>
    </w:p>
    <w:p w14:paraId="1CD47C59">
      <w:pPr>
        <w:pageBreakBefore w:val="0"/>
        <w:kinsoku/>
        <w:wordWrap/>
        <w:overflowPunct/>
        <w:topLinePunct w:val="0"/>
        <w:autoSpaceDE w:val="0"/>
        <w:autoSpaceDN w:val="0"/>
        <w:bidi w:val="0"/>
        <w:adjustRightInd w:val="0"/>
        <w:spacing w:line="440" w:lineRule="exact"/>
        <w:jc w:val="center"/>
        <w:outlineLvl w:val="0"/>
        <w:rPr>
          <w:rFonts w:hint="eastAsia" w:ascii="宋体" w:hAnsi="宋体" w:eastAsia="宋体" w:cs="宋体"/>
          <w:b w:val="0"/>
          <w:bCs w:val="0"/>
          <w:color w:val="auto"/>
          <w:kern w:val="0"/>
          <w:sz w:val="21"/>
          <w:szCs w:val="21"/>
          <w:highlight w:val="none"/>
          <w:lang w:val="zh-CN" w:eastAsia="zh-CN" w:bidi="ar-SA"/>
        </w:rPr>
      </w:pPr>
    </w:p>
    <w:p w14:paraId="5704437F">
      <w:pPr>
        <w:pStyle w:val="61"/>
        <w:pageBreakBefore w:val="0"/>
        <w:kinsoku/>
        <w:wordWrap/>
        <w:overflowPunct/>
        <w:topLinePunct w:val="0"/>
        <w:bidi w:val="0"/>
        <w:spacing w:line="440" w:lineRule="exact"/>
        <w:rPr>
          <w:rFonts w:hint="eastAsia" w:ascii="宋体" w:hAnsi="宋体" w:eastAsia="宋体" w:cs="宋体"/>
          <w:color w:val="auto"/>
          <w:highlight w:val="none"/>
          <w:lang w:val="zh-CN" w:eastAsia="zh-CN"/>
        </w:rPr>
      </w:pPr>
    </w:p>
    <w:p w14:paraId="0ED19E86">
      <w:pPr>
        <w:pageBreakBefore w:val="0"/>
        <w:kinsoku/>
        <w:wordWrap/>
        <w:overflowPunct/>
        <w:topLinePunct w:val="0"/>
        <w:autoSpaceDE w:val="0"/>
        <w:autoSpaceDN w:val="0"/>
        <w:bidi w:val="0"/>
        <w:adjustRightInd w:val="0"/>
        <w:spacing w:line="440" w:lineRule="exact"/>
        <w:jc w:val="center"/>
        <w:outlineLvl w:val="0"/>
        <w:rPr>
          <w:rFonts w:hint="eastAsia" w:ascii="宋体" w:hAnsi="宋体" w:eastAsia="宋体" w:cs="宋体"/>
          <w:b w:val="0"/>
          <w:bCs w:val="0"/>
          <w:color w:val="auto"/>
          <w:kern w:val="0"/>
          <w:sz w:val="21"/>
          <w:szCs w:val="21"/>
          <w:highlight w:val="none"/>
          <w:lang w:val="zh-CN" w:eastAsia="zh-CN" w:bidi="ar-SA"/>
        </w:rPr>
      </w:pPr>
    </w:p>
    <w:p w14:paraId="59254EAE">
      <w:pPr>
        <w:pageBreakBefore w:val="0"/>
        <w:kinsoku/>
        <w:wordWrap/>
        <w:overflowPunct/>
        <w:topLinePunct w:val="0"/>
        <w:bidi w:val="0"/>
        <w:spacing w:line="440" w:lineRule="exact"/>
        <w:ind w:firstLine="2891" w:firstLineChars="800"/>
        <w:rPr>
          <w:rFonts w:hint="eastAsia" w:ascii="宋体" w:hAnsi="宋体" w:eastAsia="宋体" w:cs="宋体"/>
          <w:b/>
          <w:color w:val="auto"/>
          <w:sz w:val="36"/>
          <w:szCs w:val="36"/>
          <w:highlight w:val="none"/>
        </w:rPr>
      </w:pPr>
    </w:p>
    <w:p w14:paraId="5C99A456">
      <w:pPr>
        <w:pageBreakBefore w:val="0"/>
        <w:kinsoku/>
        <w:wordWrap/>
        <w:overflowPunct/>
        <w:topLinePunct w:val="0"/>
        <w:bidi w:val="0"/>
        <w:spacing w:line="440" w:lineRule="exact"/>
        <w:ind w:firstLine="2891" w:firstLineChars="800"/>
        <w:rPr>
          <w:rFonts w:hint="eastAsia" w:ascii="宋体" w:hAnsi="宋体" w:eastAsia="宋体" w:cs="宋体"/>
          <w:b/>
          <w:color w:val="auto"/>
          <w:sz w:val="36"/>
          <w:szCs w:val="36"/>
          <w:highlight w:val="none"/>
        </w:rPr>
      </w:pPr>
    </w:p>
    <w:p w14:paraId="333F0524">
      <w:pPr>
        <w:pageBreakBefore w:val="0"/>
        <w:kinsoku/>
        <w:wordWrap/>
        <w:overflowPunct/>
        <w:topLinePunct w:val="0"/>
        <w:bidi w:val="0"/>
        <w:spacing w:line="440" w:lineRule="exact"/>
        <w:ind w:firstLine="2891" w:firstLineChars="800"/>
        <w:rPr>
          <w:rFonts w:hint="eastAsia" w:ascii="宋体" w:hAnsi="宋体" w:eastAsia="宋体" w:cs="宋体"/>
          <w:b/>
          <w:color w:val="auto"/>
          <w:sz w:val="36"/>
          <w:szCs w:val="36"/>
          <w:highlight w:val="none"/>
        </w:rPr>
      </w:pPr>
    </w:p>
    <w:p w14:paraId="6612140F">
      <w:pPr>
        <w:pageBreakBefore w:val="0"/>
        <w:kinsoku/>
        <w:wordWrap/>
        <w:overflowPunct/>
        <w:topLinePunct w:val="0"/>
        <w:bidi w:val="0"/>
        <w:spacing w:line="440" w:lineRule="exact"/>
        <w:ind w:firstLine="2891" w:firstLineChars="800"/>
        <w:rPr>
          <w:rFonts w:hint="eastAsia" w:ascii="宋体" w:hAnsi="宋体" w:eastAsia="宋体" w:cs="宋体"/>
          <w:b/>
          <w:color w:val="auto"/>
          <w:sz w:val="36"/>
          <w:szCs w:val="36"/>
          <w:highlight w:val="none"/>
        </w:rPr>
      </w:pPr>
    </w:p>
    <w:p w14:paraId="69D236D7">
      <w:pPr>
        <w:pageBreakBefore w:val="0"/>
        <w:kinsoku/>
        <w:wordWrap/>
        <w:overflowPunct/>
        <w:topLinePunct w:val="0"/>
        <w:bidi w:val="0"/>
        <w:spacing w:line="440" w:lineRule="exact"/>
        <w:ind w:firstLine="2891" w:firstLineChars="800"/>
        <w:rPr>
          <w:rFonts w:hint="eastAsia" w:ascii="宋体" w:hAnsi="宋体" w:eastAsia="宋体" w:cs="宋体"/>
          <w:b/>
          <w:color w:val="auto"/>
          <w:sz w:val="36"/>
          <w:szCs w:val="36"/>
          <w:highlight w:val="none"/>
        </w:rPr>
      </w:pPr>
    </w:p>
    <w:p w14:paraId="4BEE1394">
      <w:pPr>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br w:type="page"/>
      </w:r>
    </w:p>
    <w:p w14:paraId="4C946FD2">
      <w:pPr>
        <w:pageBreakBefore w:val="0"/>
        <w:kinsoku/>
        <w:wordWrap/>
        <w:overflowPunct/>
        <w:topLinePunct w:val="0"/>
        <w:bidi w:val="0"/>
        <w:spacing w:line="440" w:lineRule="exact"/>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10.中 标 承 诺 书</w:t>
      </w:r>
    </w:p>
    <w:p w14:paraId="2131F93B">
      <w:pPr>
        <w:pStyle w:val="280"/>
        <w:pageBreakBefore w:val="0"/>
        <w:kinsoku/>
        <w:wordWrap/>
        <w:overflowPunct/>
        <w:topLinePunct w:val="0"/>
        <w:bidi w:val="0"/>
        <w:spacing w:line="440" w:lineRule="exact"/>
        <w:jc w:val="both"/>
        <w:rPr>
          <w:rFonts w:hint="eastAsia" w:ascii="宋体" w:hAnsi="宋体" w:eastAsia="宋体" w:cs="宋体"/>
          <w:bCs/>
          <w:color w:val="auto"/>
          <w:sz w:val="24"/>
          <w:szCs w:val="24"/>
          <w:highlight w:val="none"/>
          <w:lang w:eastAsia="zh-CN"/>
        </w:rPr>
      </w:pPr>
    </w:p>
    <w:p w14:paraId="503B4069">
      <w:pPr>
        <w:pStyle w:val="280"/>
        <w:pageBreakBefore w:val="0"/>
        <w:kinsoku/>
        <w:wordWrap/>
        <w:overflowPunct/>
        <w:topLinePunct w:val="0"/>
        <w:bidi w:val="0"/>
        <w:spacing w:line="440" w:lineRule="exact"/>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衢州市衢江区住房和城乡建设局：</w:t>
      </w:r>
    </w:p>
    <w:p w14:paraId="43946BA7">
      <w:pPr>
        <w:pageBreakBefore w:val="0"/>
        <w:kinsoku/>
        <w:wordWrap/>
        <w:overflowPunct/>
        <w:topLinePunct w:val="0"/>
        <w:bidi w:val="0"/>
        <w:spacing w:line="44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我单位若成为</w:t>
      </w:r>
      <w:r>
        <w:rPr>
          <w:rFonts w:hint="eastAsia" w:ascii="宋体" w:hAnsi="宋体" w:cs="宋体"/>
          <w:bCs/>
          <w:color w:val="auto"/>
          <w:kern w:val="0"/>
          <w:sz w:val="24"/>
          <w:szCs w:val="24"/>
          <w:highlight w:val="none"/>
          <w:lang w:eastAsia="zh-CN"/>
        </w:rPr>
        <w:t>衢州市衢江区住房和城乡建设局2025年第一期物业两金竞争性存放项目</w:t>
      </w:r>
      <w:r>
        <w:rPr>
          <w:rFonts w:hint="eastAsia" w:ascii="宋体" w:hAnsi="宋体" w:eastAsia="宋体" w:cs="宋体"/>
          <w:bCs/>
          <w:color w:val="auto"/>
          <w:kern w:val="0"/>
          <w:sz w:val="24"/>
          <w:szCs w:val="24"/>
          <w:highlight w:val="none"/>
        </w:rPr>
        <w:t>中标人，承诺：</w:t>
      </w:r>
    </w:p>
    <w:p w14:paraId="73DD2E28">
      <w:pPr>
        <w:pageBreakBefore w:val="0"/>
        <w:kinsoku/>
        <w:wordWrap/>
        <w:overflowPunct/>
        <w:topLinePunct w:val="0"/>
        <w:bidi w:val="0"/>
        <w:spacing w:line="44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我单位将根据招标文件中相关规定，签订</w:t>
      </w:r>
      <w:r>
        <w:rPr>
          <w:rFonts w:hint="eastAsia" w:ascii="宋体" w:hAnsi="宋体" w:eastAsia="宋体" w:cs="宋体"/>
          <w:color w:val="auto"/>
          <w:sz w:val="24"/>
          <w:szCs w:val="24"/>
          <w:highlight w:val="none"/>
        </w:rPr>
        <w:t>定期存款</w:t>
      </w:r>
      <w:r>
        <w:rPr>
          <w:rFonts w:hint="eastAsia" w:ascii="宋体" w:hAnsi="宋体" w:eastAsia="宋体" w:cs="宋体"/>
          <w:bCs/>
          <w:color w:val="auto"/>
          <w:kern w:val="0"/>
          <w:sz w:val="24"/>
          <w:szCs w:val="24"/>
          <w:highlight w:val="none"/>
        </w:rPr>
        <w:t>协议、提供存款证明（存单），否则放弃中标。</w:t>
      </w:r>
    </w:p>
    <w:p w14:paraId="16E10F87">
      <w:pPr>
        <w:pStyle w:val="20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2.我单位投标机构与最终资金存放的网点一致，不得转移</w:t>
      </w:r>
      <w:r>
        <w:rPr>
          <w:rFonts w:hint="eastAsia" w:ascii="宋体" w:hAnsi="宋体" w:eastAsia="宋体" w:cs="宋体"/>
          <w:color w:val="auto"/>
          <w:sz w:val="24"/>
          <w:szCs w:val="24"/>
          <w:highlight w:val="none"/>
          <w:lang w:eastAsia="zh-CN"/>
        </w:rPr>
        <w:t>。</w:t>
      </w:r>
    </w:p>
    <w:p w14:paraId="6FFA2B97">
      <w:pPr>
        <w:pStyle w:val="280"/>
        <w:pageBreakBefore w:val="0"/>
        <w:kinsoku/>
        <w:wordWrap/>
        <w:overflowPunct/>
        <w:topLinePunct w:val="0"/>
        <w:bidi w:val="0"/>
        <w:spacing w:line="440" w:lineRule="exact"/>
        <w:ind w:firstLine="480" w:firstLineChars="200"/>
        <w:jc w:val="both"/>
        <w:rPr>
          <w:rFonts w:hint="eastAsia" w:ascii="宋体" w:hAnsi="宋体" w:eastAsia="宋体" w:cs="宋体"/>
          <w:bCs/>
          <w:color w:val="auto"/>
          <w:sz w:val="24"/>
          <w:szCs w:val="24"/>
          <w:highlight w:val="none"/>
          <w:lang w:val="en-US" w:eastAsia="zh-CN"/>
        </w:rPr>
      </w:pPr>
    </w:p>
    <w:p w14:paraId="0A971AF2">
      <w:pPr>
        <w:pStyle w:val="280"/>
        <w:pageBreakBefore w:val="0"/>
        <w:kinsoku/>
        <w:wordWrap/>
        <w:overflowPunct/>
        <w:topLinePunct w:val="0"/>
        <w:bidi w:val="0"/>
        <w:spacing w:line="440" w:lineRule="exact"/>
        <w:jc w:val="both"/>
        <w:rPr>
          <w:rFonts w:hint="eastAsia" w:ascii="宋体" w:hAnsi="宋体" w:eastAsia="宋体" w:cs="宋体"/>
          <w:bCs/>
          <w:color w:val="auto"/>
          <w:sz w:val="24"/>
          <w:szCs w:val="24"/>
          <w:highlight w:val="none"/>
          <w:lang w:eastAsia="zh-CN"/>
        </w:rPr>
      </w:pPr>
    </w:p>
    <w:p w14:paraId="7962BD82">
      <w:pPr>
        <w:pStyle w:val="280"/>
        <w:pageBreakBefore w:val="0"/>
        <w:kinsoku/>
        <w:wordWrap/>
        <w:overflowPunct/>
        <w:topLinePunct w:val="0"/>
        <w:bidi w:val="0"/>
        <w:spacing w:line="440" w:lineRule="exact"/>
        <w:jc w:val="both"/>
        <w:rPr>
          <w:rFonts w:hint="eastAsia" w:ascii="宋体" w:hAnsi="宋体" w:eastAsia="宋体" w:cs="宋体"/>
          <w:bCs/>
          <w:color w:val="auto"/>
          <w:sz w:val="24"/>
          <w:szCs w:val="24"/>
          <w:highlight w:val="none"/>
          <w:lang w:eastAsia="zh-CN"/>
        </w:rPr>
      </w:pPr>
    </w:p>
    <w:p w14:paraId="0A97187B">
      <w:pPr>
        <w:pStyle w:val="17"/>
        <w:pageBreakBefore w:val="0"/>
        <w:kinsoku/>
        <w:wordWrap/>
        <w:overflowPunct/>
        <w:topLinePunct w:val="0"/>
        <w:bidi w:val="0"/>
        <w:snapToGrid w:val="0"/>
        <w:spacing w:before="0" w:after="0" w:line="440" w:lineRule="exact"/>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投标人全称（公章）：</w:t>
      </w:r>
      <w:r>
        <w:rPr>
          <w:rFonts w:hint="eastAsia" w:ascii="宋体" w:hAnsi="宋体" w:eastAsia="宋体" w:cs="宋体"/>
          <w:color w:val="auto"/>
          <w:sz w:val="24"/>
          <w:szCs w:val="24"/>
          <w:highlight w:val="none"/>
          <w:u w:val="single"/>
        </w:rPr>
        <w:t xml:space="preserve">               </w:t>
      </w:r>
    </w:p>
    <w:p w14:paraId="008F88AC">
      <w:pPr>
        <w:pStyle w:val="17"/>
        <w:pageBreakBefore w:val="0"/>
        <w:kinsoku/>
        <w:wordWrap/>
        <w:overflowPunct/>
        <w:topLinePunct w:val="0"/>
        <w:bidi w:val="0"/>
        <w:snapToGrid w:val="0"/>
        <w:spacing w:before="0" w:after="0" w:line="440" w:lineRule="exact"/>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授权</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930D477">
      <w:pPr>
        <w:rPr>
          <w:rFonts w:hint="eastAsia"/>
          <w:color w:val="auto"/>
          <w:sz w:val="24"/>
          <w:szCs w:val="24"/>
          <w:highlight w:val="none"/>
        </w:rPr>
      </w:pPr>
    </w:p>
    <w:p w14:paraId="5C0B5C10">
      <w:pPr>
        <w:pageBreakBefore w:val="0"/>
        <w:kinsoku/>
        <w:wordWrap/>
        <w:overflowPunct/>
        <w:topLinePunct w:val="0"/>
        <w:bidi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日</w:t>
      </w:r>
    </w:p>
    <w:p w14:paraId="51707F73">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both"/>
        <w:textAlignment w:val="auto"/>
        <w:outlineLvl w:val="0"/>
        <w:rPr>
          <w:rFonts w:hint="eastAsia" w:ascii="宋体" w:hAnsi="宋体" w:cs="宋体"/>
          <w:b w:val="0"/>
          <w:bCs w:val="0"/>
          <w:color w:val="auto"/>
          <w:kern w:val="0"/>
          <w:sz w:val="24"/>
          <w:szCs w:val="24"/>
          <w:highlight w:val="none"/>
          <w:lang w:val="en-US" w:eastAsia="zh-CN" w:bidi="ar-SA"/>
        </w:rPr>
      </w:pPr>
    </w:p>
    <w:p w14:paraId="78590B10">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both"/>
        <w:textAlignment w:val="auto"/>
        <w:outlineLvl w:val="0"/>
        <w:rPr>
          <w:rFonts w:hint="eastAsia" w:ascii="宋体" w:hAnsi="宋体" w:cs="宋体"/>
          <w:b w:val="0"/>
          <w:bCs w:val="0"/>
          <w:color w:val="auto"/>
          <w:kern w:val="0"/>
          <w:sz w:val="24"/>
          <w:szCs w:val="24"/>
          <w:highlight w:val="none"/>
          <w:lang w:val="en-US" w:eastAsia="zh-CN" w:bidi="ar-SA"/>
        </w:rPr>
      </w:pPr>
    </w:p>
    <w:p w14:paraId="743113F2">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2650" w:firstLineChars="1100"/>
        <w:jc w:val="both"/>
        <w:textAlignment w:val="auto"/>
        <w:outlineLvl w:val="0"/>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11</w:t>
      </w:r>
      <w:r>
        <w:rPr>
          <w:rFonts w:hint="eastAsia" w:ascii="宋体" w:hAnsi="宋体" w:eastAsia="宋体" w:cs="宋体"/>
          <w:b/>
          <w:bCs/>
          <w:color w:val="auto"/>
          <w:kern w:val="0"/>
          <w:sz w:val="24"/>
          <w:szCs w:val="24"/>
          <w:highlight w:val="none"/>
          <w:lang w:val="en-US" w:eastAsia="zh-CN" w:bidi="ar-SA"/>
        </w:rPr>
        <w:t>.投标人认为需要提供的其他证明材料。</w:t>
      </w:r>
    </w:p>
    <w:p w14:paraId="722F0B12">
      <w:pPr>
        <w:pStyle w:val="280"/>
        <w:pageBreakBefore w:val="0"/>
        <w:kinsoku/>
        <w:wordWrap/>
        <w:overflowPunct/>
        <w:topLinePunct w:val="0"/>
        <w:bidi w:val="0"/>
        <w:spacing w:line="440" w:lineRule="exact"/>
        <w:ind w:firstLine="3360" w:firstLineChars="1200"/>
        <w:outlineLvl w:val="0"/>
        <w:rPr>
          <w:rFonts w:hint="eastAsia" w:ascii="宋体" w:hAnsi="宋体" w:eastAsia="宋体" w:cs="宋体"/>
          <w:b w:val="0"/>
          <w:bCs w:val="0"/>
          <w:color w:val="auto"/>
          <w:kern w:val="0"/>
          <w:sz w:val="28"/>
          <w:szCs w:val="28"/>
          <w:highlight w:val="none"/>
          <w:lang w:val="en-US" w:eastAsia="zh-CN" w:bidi="ar-SA"/>
        </w:rPr>
      </w:pPr>
    </w:p>
    <w:p w14:paraId="1F4A095A">
      <w:pPr>
        <w:pageBreakBefore w:val="0"/>
        <w:kinsoku/>
        <w:wordWrap/>
        <w:overflowPunct/>
        <w:topLinePunct w:val="0"/>
        <w:bidi w:val="0"/>
        <w:spacing w:line="440" w:lineRule="exact"/>
        <w:rPr>
          <w:rFonts w:hint="eastAsia" w:ascii="宋体" w:hAnsi="宋体" w:eastAsia="宋体" w:cs="宋体"/>
          <w:color w:val="auto"/>
          <w:kern w:val="0"/>
          <w:sz w:val="21"/>
          <w:szCs w:val="21"/>
          <w:highlight w:val="none"/>
        </w:rPr>
      </w:pPr>
    </w:p>
    <w:p w14:paraId="6799531E">
      <w:pPr>
        <w:pageBreakBefore w:val="0"/>
        <w:kinsoku/>
        <w:wordWrap/>
        <w:overflowPunct/>
        <w:topLinePunct w:val="0"/>
        <w:bidi w:val="0"/>
        <w:spacing w:line="440" w:lineRule="exact"/>
        <w:rPr>
          <w:rFonts w:hint="eastAsia" w:ascii="宋体" w:hAnsi="宋体" w:eastAsia="宋体" w:cs="宋体"/>
          <w:b w:val="0"/>
          <w:bCs w:val="0"/>
          <w:color w:val="auto"/>
          <w:kern w:val="0"/>
          <w:sz w:val="32"/>
          <w:szCs w:val="32"/>
          <w:highlight w:val="none"/>
          <w:lang w:val="zh-CN" w:eastAsia="zh-CN" w:bidi="ar-SA"/>
        </w:rPr>
      </w:pPr>
    </w:p>
    <w:p w14:paraId="7C38A137">
      <w:pPr>
        <w:pageBreakBefore w:val="0"/>
        <w:kinsoku/>
        <w:wordWrap/>
        <w:overflowPunct/>
        <w:topLinePunct w:val="0"/>
        <w:bidi w:val="0"/>
        <w:spacing w:line="440" w:lineRule="exact"/>
        <w:rPr>
          <w:rFonts w:hint="eastAsia" w:ascii="宋体" w:hAnsi="宋体" w:eastAsia="宋体" w:cs="宋体"/>
          <w:b w:val="0"/>
          <w:bCs w:val="0"/>
          <w:color w:val="auto"/>
          <w:kern w:val="0"/>
          <w:sz w:val="32"/>
          <w:szCs w:val="32"/>
          <w:highlight w:val="none"/>
          <w:lang w:val="zh-CN" w:eastAsia="zh-CN" w:bidi="ar-SA"/>
        </w:rPr>
      </w:pPr>
      <w:r>
        <w:rPr>
          <w:rFonts w:hint="eastAsia" w:ascii="宋体" w:hAnsi="宋体" w:eastAsia="宋体" w:cs="宋体"/>
          <w:b w:val="0"/>
          <w:bCs w:val="0"/>
          <w:color w:val="auto"/>
          <w:kern w:val="0"/>
          <w:sz w:val="32"/>
          <w:szCs w:val="32"/>
          <w:highlight w:val="none"/>
          <w:lang w:val="zh-CN" w:eastAsia="zh-CN" w:bidi="ar-SA"/>
        </w:rPr>
        <w:br w:type="page"/>
      </w:r>
    </w:p>
    <w:p w14:paraId="25562975">
      <w:pPr>
        <w:pageBreakBefore w:val="0"/>
        <w:kinsoku/>
        <w:wordWrap/>
        <w:overflowPunct/>
        <w:topLinePunct w:val="0"/>
        <w:autoSpaceDE w:val="0"/>
        <w:autoSpaceDN w:val="0"/>
        <w:bidi w:val="0"/>
        <w:adjustRightInd w:val="0"/>
        <w:spacing w:line="440" w:lineRule="exact"/>
        <w:jc w:val="center"/>
        <w:outlineLvl w:val="0"/>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 xml:space="preserve">  </w:t>
      </w:r>
      <w:r>
        <w:rPr>
          <w:rFonts w:hint="eastAsia" w:ascii="宋体" w:hAnsi="宋体" w:eastAsia="宋体" w:cs="宋体"/>
          <w:b/>
          <w:bCs/>
          <w:color w:val="auto"/>
          <w:kern w:val="0"/>
          <w:sz w:val="22"/>
          <w:szCs w:val="22"/>
          <w:highlight w:val="none"/>
          <w:lang w:val="zh-CN" w:eastAsia="zh-CN" w:bidi="ar-SA"/>
        </w:rPr>
        <w:t>第六章</w:t>
      </w:r>
      <w:r>
        <w:rPr>
          <w:rFonts w:hint="eastAsia" w:ascii="宋体" w:hAnsi="宋体" w:eastAsia="宋体" w:cs="宋体"/>
          <w:b/>
          <w:bCs/>
          <w:color w:val="auto"/>
          <w:kern w:val="0"/>
          <w:sz w:val="22"/>
          <w:szCs w:val="22"/>
          <w:highlight w:val="none"/>
          <w:lang w:val="en-US" w:eastAsia="zh-CN" w:bidi="ar-SA"/>
        </w:rPr>
        <w:t xml:space="preserve">  </w:t>
      </w:r>
      <w:bookmarkStart w:id="68" w:name="评标办法及开标程序"/>
      <w:r>
        <w:rPr>
          <w:rFonts w:hint="eastAsia" w:ascii="宋体" w:hAnsi="宋体" w:eastAsia="宋体" w:cs="宋体"/>
          <w:b/>
          <w:bCs/>
          <w:color w:val="auto"/>
          <w:kern w:val="0"/>
          <w:sz w:val="22"/>
          <w:szCs w:val="22"/>
          <w:highlight w:val="none"/>
          <w:lang w:val="zh-CN" w:eastAsia="zh-CN" w:bidi="ar-SA"/>
        </w:rPr>
        <w:t>评标办法及开标程序</w:t>
      </w:r>
      <w:bookmarkEnd w:id="63"/>
      <w:bookmarkEnd w:id="64"/>
      <w:bookmarkEnd w:id="65"/>
      <w:bookmarkEnd w:id="66"/>
      <w:bookmarkEnd w:id="67"/>
      <w:bookmarkEnd w:id="68"/>
    </w:p>
    <w:p w14:paraId="70B1F468">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2" w:firstLineChars="200"/>
        <w:jc w:val="left"/>
        <w:textAlignment w:val="auto"/>
        <w:outlineLvl w:val="0"/>
        <w:rPr>
          <w:rFonts w:hint="eastAsia" w:ascii="宋体" w:hAnsi="宋体" w:eastAsia="宋体" w:cs="宋体"/>
          <w:b/>
          <w:bCs/>
          <w:color w:val="auto"/>
          <w:kern w:val="0"/>
          <w:sz w:val="22"/>
          <w:szCs w:val="22"/>
          <w:highlight w:val="none"/>
          <w:lang w:val="zh-CN" w:eastAsia="zh-CN" w:bidi="ar-SA"/>
        </w:rPr>
      </w:pPr>
      <w:bookmarkStart w:id="69" w:name="_Toc24708493"/>
      <w:r>
        <w:rPr>
          <w:rFonts w:hint="eastAsia" w:ascii="宋体" w:hAnsi="宋体" w:eastAsia="宋体" w:cs="宋体"/>
          <w:b/>
          <w:bCs/>
          <w:color w:val="auto"/>
          <w:kern w:val="0"/>
          <w:sz w:val="22"/>
          <w:szCs w:val="22"/>
          <w:highlight w:val="none"/>
          <w:lang w:val="zh-CN" w:eastAsia="zh-CN" w:bidi="ar-SA"/>
        </w:rPr>
        <w:t>一、评标委员会的组成</w:t>
      </w:r>
      <w:bookmarkEnd w:id="69"/>
    </w:p>
    <w:p w14:paraId="5C058F3A">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right="0" w:rightChars="0" w:firstLine="440" w:firstLineChars="200"/>
        <w:textAlignment w:val="auto"/>
        <w:rPr>
          <w:rFonts w:hint="eastAsia" w:ascii="宋体" w:hAnsi="宋体" w:eastAsia="宋体" w:cs="宋体"/>
          <w:b w:val="0"/>
          <w:bCs w:val="0"/>
          <w:color w:val="auto"/>
          <w:kern w:val="0"/>
          <w:sz w:val="22"/>
          <w:szCs w:val="22"/>
          <w:highlight w:val="none"/>
          <w:shd w:val="clear" w:color="auto" w:fill="auto"/>
          <w:lang w:val="en-US" w:eastAsia="zh-CN" w:bidi="ar-SA"/>
        </w:rPr>
      </w:pPr>
      <w:r>
        <w:rPr>
          <w:rFonts w:hint="eastAsia" w:ascii="宋体" w:hAnsi="宋体" w:eastAsia="宋体" w:cs="宋体"/>
          <w:b w:val="0"/>
          <w:bCs w:val="0"/>
          <w:color w:val="auto"/>
          <w:kern w:val="0"/>
          <w:sz w:val="22"/>
          <w:szCs w:val="22"/>
          <w:highlight w:val="none"/>
          <w:lang w:val="en-US" w:eastAsia="zh-CN" w:bidi="ar-SA"/>
        </w:rPr>
        <w:t>1）评标委员会包含招标单位1名业主代表和4名外部专家</w:t>
      </w:r>
      <w:r>
        <w:rPr>
          <w:rFonts w:hint="eastAsia" w:ascii="宋体" w:hAnsi="宋体" w:eastAsia="宋体" w:cs="宋体"/>
          <w:b w:val="0"/>
          <w:bCs w:val="0"/>
          <w:color w:val="auto"/>
          <w:kern w:val="0"/>
          <w:sz w:val="22"/>
          <w:szCs w:val="22"/>
          <w:highlight w:val="none"/>
          <w:shd w:val="clear" w:color="auto" w:fill="auto"/>
          <w:lang w:val="en-US" w:eastAsia="zh-CN" w:bidi="ar-SA"/>
        </w:rPr>
        <w:t>。</w:t>
      </w:r>
    </w:p>
    <w:p w14:paraId="215BB983">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right="0" w:rightChars="0" w:firstLine="440" w:firstLineChars="200"/>
        <w:textAlignment w:val="auto"/>
        <w:rPr>
          <w:rFonts w:hint="eastAsia" w:ascii="宋体" w:hAnsi="宋体" w:eastAsia="宋体" w:cs="宋体"/>
          <w:b w:val="0"/>
          <w:bCs w:val="0"/>
          <w:color w:val="auto"/>
          <w:kern w:val="0"/>
          <w:sz w:val="22"/>
          <w:szCs w:val="22"/>
          <w:highlight w:val="none"/>
          <w:shd w:val="clear" w:color="auto" w:fill="auto"/>
          <w:lang w:val="en-US" w:eastAsia="zh-CN" w:bidi="ar-SA"/>
        </w:rPr>
      </w:pPr>
      <w:r>
        <w:rPr>
          <w:rFonts w:hint="eastAsia" w:ascii="宋体" w:hAnsi="宋体" w:eastAsia="宋体" w:cs="宋体"/>
          <w:b w:val="0"/>
          <w:bCs w:val="0"/>
          <w:color w:val="auto"/>
          <w:kern w:val="0"/>
          <w:sz w:val="22"/>
          <w:szCs w:val="22"/>
          <w:highlight w:val="none"/>
          <w:lang w:val="en-US" w:eastAsia="zh-CN" w:bidi="ar-SA"/>
        </w:rPr>
        <w:t>2）</w:t>
      </w:r>
      <w:r>
        <w:rPr>
          <w:rFonts w:hint="eastAsia" w:ascii="宋体" w:hAnsi="宋体" w:eastAsia="宋体" w:cs="宋体"/>
          <w:b w:val="0"/>
          <w:bCs w:val="0"/>
          <w:color w:val="auto"/>
          <w:kern w:val="0"/>
          <w:sz w:val="22"/>
          <w:szCs w:val="22"/>
          <w:highlight w:val="none"/>
          <w:shd w:val="clear" w:color="auto" w:fill="auto"/>
          <w:lang w:val="en-US" w:eastAsia="zh-CN" w:bidi="ar-SA"/>
        </w:rPr>
        <w:t>询标期间，投标人法定代表人（负责人）或法定代表人（负责人）授权委托人必须在政采云平台开评标页面。负责解答有关事宜。如不在线，则事后不得对招标过程及结果提出异议。</w:t>
      </w:r>
    </w:p>
    <w:p w14:paraId="06F43FBF">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2" w:firstLineChars="200"/>
        <w:jc w:val="left"/>
        <w:textAlignment w:val="auto"/>
        <w:outlineLvl w:val="0"/>
        <w:rPr>
          <w:rFonts w:hint="eastAsia" w:ascii="宋体" w:hAnsi="宋体" w:eastAsia="宋体" w:cs="宋体"/>
          <w:b/>
          <w:bCs/>
          <w:color w:val="auto"/>
          <w:kern w:val="0"/>
          <w:sz w:val="22"/>
          <w:szCs w:val="22"/>
          <w:highlight w:val="none"/>
          <w:lang w:val="zh-CN" w:eastAsia="zh-CN" w:bidi="ar-SA"/>
        </w:rPr>
      </w:pPr>
      <w:r>
        <w:rPr>
          <w:rFonts w:hint="eastAsia" w:ascii="宋体" w:hAnsi="宋体" w:eastAsia="宋体" w:cs="宋体"/>
          <w:b/>
          <w:bCs/>
          <w:color w:val="auto"/>
          <w:kern w:val="0"/>
          <w:sz w:val="22"/>
          <w:szCs w:val="22"/>
          <w:highlight w:val="none"/>
          <w:lang w:val="zh-CN" w:eastAsia="zh-CN" w:bidi="ar-SA"/>
        </w:rPr>
        <w:t>二、评标纪律</w:t>
      </w:r>
    </w:p>
    <w:p w14:paraId="12861775">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1）</w:t>
      </w:r>
      <w:r>
        <w:rPr>
          <w:rFonts w:hint="eastAsia" w:ascii="宋体" w:hAnsi="宋体" w:eastAsia="宋体" w:cs="宋体"/>
          <w:b w:val="0"/>
          <w:bCs w:val="0"/>
          <w:color w:val="auto"/>
          <w:kern w:val="0"/>
          <w:sz w:val="22"/>
          <w:szCs w:val="22"/>
          <w:highlight w:val="none"/>
          <w:lang w:val="zh-CN" w:eastAsia="zh-CN" w:bidi="ar-SA"/>
        </w:rPr>
        <w:t>评标是招标工作的重要环节，评标工作在评标委员会内独立进行。评标委员会将按照评标原则的要求，公正、平等地对待所有投标人。</w:t>
      </w:r>
    </w:p>
    <w:p w14:paraId="5FA696AB">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2）</w:t>
      </w:r>
      <w:r>
        <w:rPr>
          <w:rFonts w:hint="eastAsia" w:ascii="宋体" w:hAnsi="宋体" w:eastAsia="宋体" w:cs="宋体"/>
          <w:b w:val="0"/>
          <w:bCs w:val="0"/>
          <w:color w:val="auto"/>
          <w:kern w:val="0"/>
          <w:sz w:val="22"/>
          <w:szCs w:val="22"/>
          <w:highlight w:val="none"/>
          <w:lang w:val="zh-CN" w:eastAsia="zh-CN" w:bidi="ar-SA"/>
        </w:rPr>
        <w:t>所有评标人员应忠于职守、廉洁自律、秉公办事、不徇私情。</w:t>
      </w:r>
    </w:p>
    <w:p w14:paraId="38FD0BF0">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3）</w:t>
      </w:r>
      <w:r>
        <w:rPr>
          <w:rFonts w:hint="eastAsia" w:ascii="宋体" w:hAnsi="宋体" w:eastAsia="宋体" w:cs="宋体"/>
          <w:b w:val="0"/>
          <w:bCs w:val="0"/>
          <w:color w:val="auto"/>
          <w:kern w:val="0"/>
          <w:sz w:val="22"/>
          <w:szCs w:val="22"/>
          <w:highlight w:val="none"/>
          <w:lang w:val="zh-CN" w:eastAsia="zh-CN" w:bidi="ar-SA"/>
        </w:rPr>
        <w:t>评标人员不得接受或参加投标人或与投标有关的单位、组织或个人有碍公务的宴请、娱乐活动等，不得以任何形式弄虚作假。</w:t>
      </w:r>
    </w:p>
    <w:p w14:paraId="02BC5105">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4）</w:t>
      </w:r>
      <w:r>
        <w:rPr>
          <w:rFonts w:hint="eastAsia" w:ascii="宋体" w:hAnsi="宋体" w:eastAsia="宋体" w:cs="宋体"/>
          <w:b w:val="0"/>
          <w:bCs w:val="0"/>
          <w:color w:val="auto"/>
          <w:kern w:val="0"/>
          <w:sz w:val="22"/>
          <w:szCs w:val="22"/>
          <w:highlight w:val="none"/>
          <w:lang w:val="zh-CN" w:eastAsia="zh-CN" w:bidi="ar-SA"/>
        </w:rPr>
        <w:t>评标期间，评标人员不得随意出入评标地点、与外界通讯、会客等。</w:t>
      </w:r>
    </w:p>
    <w:p w14:paraId="4D46A5BD">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5）</w:t>
      </w:r>
      <w:r>
        <w:rPr>
          <w:rFonts w:hint="eastAsia" w:ascii="宋体" w:hAnsi="宋体" w:eastAsia="宋体" w:cs="宋体"/>
          <w:b w:val="0"/>
          <w:bCs w:val="0"/>
          <w:color w:val="auto"/>
          <w:kern w:val="0"/>
          <w:sz w:val="22"/>
          <w:szCs w:val="22"/>
          <w:highlight w:val="none"/>
          <w:lang w:val="zh-CN" w:eastAsia="zh-CN" w:bidi="ar-SA"/>
        </w:rPr>
        <w:t>在投标文件的审查、澄清、评价和比较以及授予合同的过程中，投标人对招标人、招标机构人员及评标委员会成员施加影响的任何行为，都将导致被取消投标资格。</w:t>
      </w:r>
    </w:p>
    <w:p w14:paraId="15D0D936">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6）</w:t>
      </w:r>
      <w:r>
        <w:rPr>
          <w:rFonts w:hint="eastAsia" w:ascii="宋体" w:hAnsi="宋体" w:eastAsia="宋体" w:cs="宋体"/>
          <w:b w:val="0"/>
          <w:bCs w:val="0"/>
          <w:color w:val="auto"/>
          <w:kern w:val="0"/>
          <w:sz w:val="22"/>
          <w:szCs w:val="22"/>
          <w:highlight w:val="none"/>
          <w:lang w:val="zh-CN" w:eastAsia="zh-CN" w:bidi="ar-SA"/>
        </w:rPr>
        <w:t>为保证评标的公正性，在评标过程中，评标委员会成员不得与投标人或与中标结果有利害关系的人进行私下接触。在评标工作结束后，凡与评标过程有接触的任何人，不得将评标情况扩散出评标委员会以外。</w:t>
      </w:r>
    </w:p>
    <w:p w14:paraId="01E7A8ED">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7）</w:t>
      </w:r>
      <w:r>
        <w:rPr>
          <w:rFonts w:hint="eastAsia" w:ascii="宋体" w:hAnsi="宋体" w:eastAsia="宋体" w:cs="宋体"/>
          <w:b w:val="0"/>
          <w:bCs w:val="0"/>
          <w:color w:val="auto"/>
          <w:kern w:val="0"/>
          <w:sz w:val="22"/>
          <w:szCs w:val="22"/>
          <w:highlight w:val="none"/>
          <w:lang w:val="zh-CN" w:eastAsia="zh-CN" w:bidi="ar-SA"/>
        </w:rPr>
        <w:t>在评标过程中，当发表结论性意见时，先听取专家评委意见，业主评委随后发表意见。评标专家对投标人的优劣情况，以及认为差异较大的情况等，应以书面意见做出真实、专业、诚恳负责的表述，不得违背客观、公正的原则。</w:t>
      </w:r>
    </w:p>
    <w:p w14:paraId="717D69EC">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8）</w:t>
      </w:r>
      <w:r>
        <w:rPr>
          <w:rFonts w:hint="eastAsia" w:ascii="宋体" w:hAnsi="宋体" w:eastAsia="宋体" w:cs="宋体"/>
          <w:b w:val="0"/>
          <w:bCs w:val="0"/>
          <w:color w:val="auto"/>
          <w:kern w:val="0"/>
          <w:sz w:val="22"/>
          <w:szCs w:val="22"/>
          <w:highlight w:val="none"/>
          <w:lang w:val="zh-CN" w:eastAsia="zh-CN" w:bidi="ar-SA"/>
        </w:rPr>
        <w:t>评标结束后，各评标人员应将全部资料整理上交招标人，严禁将评标过程中的任何资料带出评标现场向投标人或其他单位提供。</w:t>
      </w:r>
    </w:p>
    <w:p w14:paraId="2AC59B7B">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9）</w:t>
      </w:r>
      <w:r>
        <w:rPr>
          <w:rFonts w:hint="eastAsia" w:ascii="宋体" w:hAnsi="宋体" w:eastAsia="宋体" w:cs="宋体"/>
          <w:b w:val="0"/>
          <w:bCs w:val="0"/>
          <w:color w:val="auto"/>
          <w:kern w:val="0"/>
          <w:sz w:val="22"/>
          <w:szCs w:val="22"/>
          <w:highlight w:val="none"/>
          <w:lang w:val="zh-CN" w:eastAsia="zh-CN" w:bidi="ar-SA"/>
        </w:rPr>
        <w:t>在中标结果公布前，应对评标委员会成员名单予以保密。</w:t>
      </w:r>
    </w:p>
    <w:p w14:paraId="4AF25862">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10）</w:t>
      </w:r>
      <w:r>
        <w:rPr>
          <w:rFonts w:hint="eastAsia" w:ascii="宋体" w:hAnsi="宋体" w:eastAsia="宋体" w:cs="宋体"/>
          <w:b w:val="0"/>
          <w:bCs w:val="0"/>
          <w:color w:val="auto"/>
          <w:kern w:val="0"/>
          <w:sz w:val="22"/>
          <w:szCs w:val="22"/>
          <w:highlight w:val="none"/>
          <w:lang w:val="zh-CN" w:eastAsia="zh-CN" w:bidi="ar-SA"/>
        </w:rPr>
        <w:t>评标委员会对各投标人的商业秘密予以保密。</w:t>
      </w:r>
    </w:p>
    <w:p w14:paraId="59BDA545">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11）</w:t>
      </w:r>
      <w:r>
        <w:rPr>
          <w:rFonts w:hint="eastAsia" w:ascii="宋体" w:hAnsi="宋体" w:eastAsia="宋体" w:cs="宋体"/>
          <w:b w:val="0"/>
          <w:bCs w:val="0"/>
          <w:color w:val="auto"/>
          <w:kern w:val="0"/>
          <w:sz w:val="22"/>
          <w:szCs w:val="22"/>
          <w:highlight w:val="none"/>
          <w:lang w:val="zh-CN" w:eastAsia="zh-CN" w:bidi="ar-SA"/>
        </w:rPr>
        <w:t>评标委员会成员应当客观、公正地履行职责，遵守职业道德，对所提出的评审意见承担个人责任。</w:t>
      </w:r>
    </w:p>
    <w:p w14:paraId="0E60F12D">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12）</w:t>
      </w:r>
      <w:r>
        <w:rPr>
          <w:rFonts w:hint="eastAsia" w:ascii="宋体" w:hAnsi="宋体" w:eastAsia="宋体" w:cs="宋体"/>
          <w:b w:val="0"/>
          <w:bCs w:val="0"/>
          <w:color w:val="auto"/>
          <w:kern w:val="0"/>
          <w:sz w:val="22"/>
          <w:szCs w:val="22"/>
          <w:highlight w:val="none"/>
          <w:lang w:val="zh-CN" w:eastAsia="zh-CN" w:bidi="ar-SA"/>
        </w:rPr>
        <w:t>在整个评标过程中，投标人如有影响招标结果的任何活动，可能导致其投标失败。如有违法行为，将依法追究其法律责任。</w:t>
      </w:r>
    </w:p>
    <w:p w14:paraId="3CE41461">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2" w:firstLineChars="200"/>
        <w:jc w:val="left"/>
        <w:textAlignment w:val="auto"/>
        <w:outlineLvl w:val="0"/>
        <w:rPr>
          <w:rFonts w:hint="eastAsia" w:ascii="宋体" w:hAnsi="宋体" w:eastAsia="宋体" w:cs="宋体"/>
          <w:b/>
          <w:bCs/>
          <w:color w:val="auto"/>
          <w:kern w:val="0"/>
          <w:sz w:val="22"/>
          <w:szCs w:val="22"/>
          <w:highlight w:val="none"/>
          <w:lang w:val="zh-CN" w:eastAsia="zh-CN" w:bidi="ar-SA"/>
        </w:rPr>
      </w:pPr>
      <w:bookmarkStart w:id="70" w:name="_Toc330910207"/>
      <w:r>
        <w:rPr>
          <w:rFonts w:hint="eastAsia" w:ascii="宋体" w:hAnsi="宋体" w:eastAsia="宋体" w:cs="宋体"/>
          <w:b/>
          <w:bCs/>
          <w:color w:val="auto"/>
          <w:kern w:val="0"/>
          <w:sz w:val="22"/>
          <w:szCs w:val="22"/>
          <w:highlight w:val="none"/>
          <w:lang w:val="zh-CN" w:eastAsia="zh-CN" w:bidi="ar-SA"/>
        </w:rPr>
        <w:t>三、评标程序</w:t>
      </w:r>
      <w:bookmarkEnd w:id="70"/>
    </w:p>
    <w:p w14:paraId="1A13AE50">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1）</w:t>
      </w:r>
      <w:r>
        <w:rPr>
          <w:rFonts w:hint="eastAsia" w:ascii="宋体" w:hAnsi="宋体" w:eastAsia="宋体" w:cs="宋体"/>
          <w:b w:val="0"/>
          <w:bCs w:val="0"/>
          <w:color w:val="auto"/>
          <w:kern w:val="0"/>
          <w:sz w:val="22"/>
          <w:szCs w:val="22"/>
          <w:highlight w:val="none"/>
          <w:lang w:val="zh-CN" w:eastAsia="zh-CN" w:bidi="ar-SA"/>
        </w:rPr>
        <w:t>本项目采用不公开方式评标，评标的依据为招标文件和投标文件。</w:t>
      </w:r>
    </w:p>
    <w:p w14:paraId="7F6E17C4">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1.</w:t>
      </w:r>
      <w:r>
        <w:rPr>
          <w:rFonts w:hint="eastAsia" w:ascii="宋体" w:hAnsi="宋体" w:eastAsia="宋体" w:cs="宋体"/>
          <w:b w:val="0"/>
          <w:bCs w:val="0"/>
          <w:color w:val="auto"/>
          <w:kern w:val="0"/>
          <w:sz w:val="22"/>
          <w:szCs w:val="22"/>
          <w:highlight w:val="none"/>
          <w:lang w:val="zh-CN" w:eastAsia="zh-CN" w:bidi="ar-SA"/>
        </w:rPr>
        <w:t>投标文件的符合性审查。</w:t>
      </w:r>
    </w:p>
    <w:p w14:paraId="6F5C3707">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zh-CN" w:eastAsia="zh-CN" w:bidi="ar-SA"/>
        </w:rPr>
        <w:t>评标委员会应依照招标文件的要求和规定，首先对投标人的投标资格和投标文件进行符合性评审。</w:t>
      </w:r>
    </w:p>
    <w:p w14:paraId="67F22CAD">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zh-CN" w:eastAsia="zh-CN" w:bidi="ar-SA"/>
        </w:rPr>
        <w:t>如评标委员会发现投标文件存在招标文件“投标无效的情形”内容之一的，经询问核实并认定后，即可判定该投标文件符合性评审不通过予以否决，不再进入后续的综合评分程序。</w:t>
      </w:r>
    </w:p>
    <w:p w14:paraId="75A35601">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2.</w:t>
      </w:r>
      <w:r>
        <w:rPr>
          <w:rFonts w:hint="eastAsia" w:ascii="宋体" w:hAnsi="宋体" w:eastAsia="宋体" w:cs="宋体"/>
          <w:b w:val="0"/>
          <w:bCs w:val="0"/>
          <w:color w:val="auto"/>
          <w:kern w:val="0"/>
          <w:sz w:val="22"/>
          <w:szCs w:val="22"/>
          <w:highlight w:val="none"/>
          <w:lang w:val="zh-CN" w:eastAsia="zh-CN" w:bidi="ar-SA"/>
        </w:rPr>
        <w:t>询标</w:t>
      </w:r>
    </w:p>
    <w:p w14:paraId="36B07FD3">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1）</w:t>
      </w:r>
      <w:r>
        <w:rPr>
          <w:rFonts w:hint="eastAsia" w:ascii="宋体" w:hAnsi="宋体" w:eastAsia="宋体" w:cs="宋体"/>
          <w:b w:val="0"/>
          <w:bCs w:val="0"/>
          <w:color w:val="auto"/>
          <w:kern w:val="0"/>
          <w:sz w:val="22"/>
          <w:szCs w:val="22"/>
          <w:highlight w:val="none"/>
          <w:lang w:val="zh-CN" w:eastAsia="zh-CN" w:bidi="ar-SA"/>
        </w:rPr>
        <w:t>投标文件中有含义不明确的内容、明显文字或计算错误，评标委员会认为需要投标人作出必要澄清、说明的，应当组织询标。</w:t>
      </w:r>
    </w:p>
    <w:p w14:paraId="1C99914B">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2）</w:t>
      </w:r>
      <w:r>
        <w:rPr>
          <w:rFonts w:hint="eastAsia" w:ascii="宋体" w:hAnsi="宋体" w:eastAsia="宋体" w:cs="宋体"/>
          <w:b w:val="0"/>
          <w:bCs w:val="0"/>
          <w:color w:val="auto"/>
          <w:kern w:val="0"/>
          <w:sz w:val="22"/>
          <w:szCs w:val="22"/>
          <w:highlight w:val="none"/>
          <w:lang w:val="zh-CN" w:eastAsia="zh-CN" w:bidi="ar-SA"/>
        </w:rPr>
        <w:t>凡是评标委员会拟做出否决投标认定的，须组织相关投标人询问核实。未进行询问核实的，不得做出否决投标的认定，投标人放弃询问核实机会的除外（投标人所留联系方式无法联系上、在规定的时限内投标人不参加询问核实活动或不予答复的）。</w:t>
      </w:r>
    </w:p>
    <w:p w14:paraId="08C23BD6">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3）</w:t>
      </w:r>
      <w:r>
        <w:rPr>
          <w:rFonts w:hint="eastAsia" w:ascii="宋体" w:hAnsi="宋体" w:eastAsia="宋体" w:cs="宋体"/>
          <w:b w:val="0"/>
          <w:bCs w:val="0"/>
          <w:color w:val="auto"/>
          <w:kern w:val="0"/>
          <w:sz w:val="22"/>
          <w:szCs w:val="22"/>
          <w:highlight w:val="none"/>
          <w:lang w:val="zh-CN" w:eastAsia="zh-CN" w:bidi="ar-SA"/>
        </w:rPr>
        <w:t>询标由招标代理机构通知相关投标人。询标内容及投标人的澄清、说明应当采用书面形式，并不得超出投标文件的范围或者改变投标文件的实质性内容。</w:t>
      </w:r>
    </w:p>
    <w:p w14:paraId="2F22629D">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4）</w:t>
      </w:r>
      <w:r>
        <w:rPr>
          <w:rFonts w:hint="eastAsia" w:ascii="宋体" w:hAnsi="宋体" w:eastAsia="宋体" w:cs="宋体"/>
          <w:b w:val="0"/>
          <w:bCs w:val="0"/>
          <w:color w:val="auto"/>
          <w:kern w:val="0"/>
          <w:sz w:val="22"/>
          <w:szCs w:val="22"/>
          <w:highlight w:val="none"/>
          <w:lang w:val="zh-CN" w:eastAsia="zh-CN" w:bidi="ar-SA"/>
        </w:rPr>
        <w:t>评标委员会不得暗示或者诱导投标人作出澄清、说明，不得接受投标人主动提出的澄清、说明。</w:t>
      </w:r>
    </w:p>
    <w:p w14:paraId="2A1AD08F">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5）</w:t>
      </w:r>
      <w:r>
        <w:rPr>
          <w:rFonts w:hint="eastAsia" w:ascii="宋体" w:hAnsi="宋体" w:eastAsia="宋体" w:cs="宋体"/>
          <w:b w:val="0"/>
          <w:bCs w:val="0"/>
          <w:color w:val="auto"/>
          <w:kern w:val="0"/>
          <w:sz w:val="22"/>
          <w:szCs w:val="22"/>
          <w:highlight w:val="none"/>
          <w:lang w:val="zh-CN" w:eastAsia="zh-CN" w:bidi="ar-SA"/>
        </w:rPr>
        <w:t>投标人不得通过补充、修改或撤消投标文件中的内容使其成为实质性响应的投标，投标人在投标截止时间以后不得提交任何资料作为评标依据。</w:t>
      </w:r>
    </w:p>
    <w:p w14:paraId="537DFD26">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3.</w:t>
      </w:r>
      <w:r>
        <w:rPr>
          <w:rFonts w:hint="eastAsia" w:ascii="宋体" w:hAnsi="宋体" w:eastAsia="宋体" w:cs="宋体"/>
          <w:b w:val="0"/>
          <w:bCs w:val="0"/>
          <w:color w:val="auto"/>
          <w:kern w:val="0"/>
          <w:sz w:val="22"/>
          <w:szCs w:val="22"/>
          <w:highlight w:val="none"/>
          <w:lang w:val="zh-CN" w:eastAsia="zh-CN" w:bidi="ar-SA"/>
        </w:rPr>
        <w:t>比较与评价。按招标文件中规定的评标方法和标准，对符合性审查合格的投标文件进行综合比较与评价，并按照评标细则进行打分。</w:t>
      </w:r>
    </w:p>
    <w:p w14:paraId="650705C8">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4.</w:t>
      </w:r>
      <w:r>
        <w:rPr>
          <w:rFonts w:hint="eastAsia" w:ascii="宋体" w:hAnsi="宋体" w:eastAsia="宋体" w:cs="宋体"/>
          <w:b w:val="0"/>
          <w:bCs w:val="0"/>
          <w:color w:val="auto"/>
          <w:kern w:val="0"/>
          <w:sz w:val="22"/>
          <w:szCs w:val="22"/>
          <w:highlight w:val="none"/>
          <w:lang w:val="zh-CN" w:eastAsia="zh-CN" w:bidi="ar-SA"/>
        </w:rPr>
        <w:t>推荐中标候选人。</w:t>
      </w:r>
    </w:p>
    <w:p w14:paraId="415BD683">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zh-CN" w:eastAsia="zh-CN" w:bidi="ar-SA"/>
        </w:rPr>
        <w:t>采用综合评分法的得分从高到低排名依次确定</w:t>
      </w:r>
      <w:r>
        <w:rPr>
          <w:rFonts w:hint="eastAsia" w:ascii="宋体" w:hAnsi="宋体" w:cs="宋体"/>
          <w:b w:val="0"/>
          <w:bCs w:val="0"/>
          <w:color w:val="auto"/>
          <w:kern w:val="0"/>
          <w:sz w:val="22"/>
          <w:szCs w:val="22"/>
          <w:highlight w:val="none"/>
          <w:lang w:val="en-US" w:eastAsia="zh-CN" w:bidi="ar-SA"/>
        </w:rPr>
        <w:t>4</w:t>
      </w:r>
      <w:r>
        <w:rPr>
          <w:rFonts w:hint="eastAsia" w:ascii="宋体" w:hAnsi="宋体" w:eastAsia="宋体" w:cs="宋体"/>
          <w:b w:val="0"/>
          <w:bCs w:val="0"/>
          <w:color w:val="auto"/>
          <w:kern w:val="0"/>
          <w:sz w:val="22"/>
          <w:szCs w:val="22"/>
          <w:highlight w:val="none"/>
          <w:lang w:val="zh-CN" w:eastAsia="zh-CN" w:bidi="ar-SA"/>
        </w:rPr>
        <w:t xml:space="preserve">家中标银行。 </w:t>
      </w:r>
    </w:p>
    <w:p w14:paraId="32DE1220">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en-US" w:eastAsia="zh-CN" w:bidi="ar-SA"/>
        </w:rPr>
      </w:pPr>
      <w:bookmarkStart w:id="71" w:name="_Toc500196165"/>
      <w:bookmarkStart w:id="72" w:name="_Toc489367287"/>
      <w:bookmarkStart w:id="73" w:name="_Toc489367473"/>
      <w:bookmarkStart w:id="74" w:name="_Toc489367402"/>
      <w:bookmarkStart w:id="75" w:name="_Toc489367575"/>
      <w:bookmarkStart w:id="76" w:name="_Toc489367541"/>
      <w:r>
        <w:rPr>
          <w:rFonts w:hint="eastAsia" w:ascii="宋体" w:hAnsi="宋体" w:eastAsia="宋体" w:cs="宋体"/>
          <w:b w:val="0"/>
          <w:bCs w:val="0"/>
          <w:color w:val="auto"/>
          <w:kern w:val="0"/>
          <w:sz w:val="22"/>
          <w:szCs w:val="22"/>
          <w:highlight w:val="none"/>
          <w:lang w:val="zh-CN" w:eastAsia="zh-CN" w:bidi="ar-SA"/>
        </w:rPr>
        <w:t>对通过符合性审查的投标人的利率水平、经营状况、经济贡献度、服务水平等按评分细则进行综合评分，并按综合得分从高到低推荐中标人排名。当综合得分相同时，依次按（1）经营状况指标分值；（2）利率水平指标分值；（3）服务水平指标分值；（4）经济贡献度指标分值的顺序由高到低排名。若依然相同，中标候选人资格抽签确定。</w:t>
      </w:r>
    </w:p>
    <w:bookmarkEnd w:id="71"/>
    <w:bookmarkEnd w:id="72"/>
    <w:bookmarkEnd w:id="73"/>
    <w:bookmarkEnd w:id="74"/>
    <w:bookmarkEnd w:id="75"/>
    <w:bookmarkEnd w:id="76"/>
    <w:p w14:paraId="133D70CC">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5.</w:t>
      </w:r>
      <w:r>
        <w:rPr>
          <w:rFonts w:hint="eastAsia" w:ascii="宋体" w:hAnsi="宋体" w:eastAsia="宋体" w:cs="宋体"/>
          <w:b w:val="0"/>
          <w:bCs w:val="0"/>
          <w:color w:val="auto"/>
          <w:kern w:val="0"/>
          <w:sz w:val="22"/>
          <w:szCs w:val="22"/>
          <w:highlight w:val="none"/>
          <w:lang w:val="zh-CN" w:eastAsia="zh-CN" w:bidi="ar-SA"/>
        </w:rPr>
        <w:t>完成评标报告。</w:t>
      </w:r>
    </w:p>
    <w:p w14:paraId="30C18D92">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zh-CN" w:eastAsia="zh-CN" w:bidi="ar-SA"/>
        </w:rPr>
        <w:t>1）评标委员会应当向招标人提交书面评标报告。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0F3E7598">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zh-CN" w:eastAsia="zh-CN" w:bidi="ar-SA"/>
        </w:rPr>
        <w:t>2）评标报告应包括以下内容：</w:t>
      </w:r>
    </w:p>
    <w:p w14:paraId="122CA7A7">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①</w:t>
      </w:r>
      <w:r>
        <w:rPr>
          <w:rFonts w:hint="eastAsia" w:ascii="宋体" w:hAnsi="宋体" w:eastAsia="宋体" w:cs="宋体"/>
          <w:b w:val="0"/>
          <w:bCs w:val="0"/>
          <w:color w:val="auto"/>
          <w:kern w:val="0"/>
          <w:sz w:val="22"/>
          <w:szCs w:val="22"/>
          <w:highlight w:val="none"/>
          <w:lang w:val="zh-CN" w:eastAsia="zh-CN" w:bidi="ar-SA"/>
        </w:rPr>
        <w:t>开标记录；</w:t>
      </w:r>
    </w:p>
    <w:p w14:paraId="52044265">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en-US" w:eastAsia="zh-CN" w:bidi="ar-SA"/>
        </w:rPr>
        <w:t>②</w:t>
      </w:r>
      <w:r>
        <w:rPr>
          <w:rFonts w:hint="eastAsia" w:ascii="宋体" w:hAnsi="宋体" w:eastAsia="宋体" w:cs="宋体"/>
          <w:b w:val="0"/>
          <w:bCs w:val="0"/>
          <w:color w:val="auto"/>
          <w:kern w:val="0"/>
          <w:sz w:val="22"/>
          <w:szCs w:val="22"/>
          <w:highlight w:val="none"/>
          <w:lang w:val="zh-CN" w:eastAsia="zh-CN" w:bidi="ar-SA"/>
        </w:rPr>
        <w:t>评标内容、过程和结果；</w:t>
      </w:r>
    </w:p>
    <w:p w14:paraId="5737D699">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zh-CN" w:eastAsia="zh-CN" w:bidi="ar-SA"/>
        </w:rPr>
        <w:t>③询标澄清纪要；</w:t>
      </w:r>
    </w:p>
    <w:p w14:paraId="3053CA81">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zh-CN" w:eastAsia="zh-CN" w:bidi="ar-SA"/>
        </w:rPr>
        <w:fldChar w:fldCharType="begin"/>
      </w:r>
      <w:r>
        <w:rPr>
          <w:rFonts w:hint="eastAsia" w:ascii="宋体" w:hAnsi="宋体" w:eastAsia="宋体" w:cs="宋体"/>
          <w:b w:val="0"/>
          <w:bCs w:val="0"/>
          <w:color w:val="auto"/>
          <w:kern w:val="0"/>
          <w:sz w:val="22"/>
          <w:szCs w:val="22"/>
          <w:highlight w:val="none"/>
          <w:lang w:val="zh-CN" w:eastAsia="zh-CN" w:bidi="ar-SA"/>
        </w:rPr>
        <w:instrText xml:space="preserve"> = 4 \* GB3 \* MERGEFORMAT </w:instrText>
      </w:r>
      <w:r>
        <w:rPr>
          <w:rFonts w:hint="eastAsia" w:ascii="宋体" w:hAnsi="宋体" w:eastAsia="宋体" w:cs="宋体"/>
          <w:b w:val="0"/>
          <w:bCs w:val="0"/>
          <w:color w:val="auto"/>
          <w:kern w:val="0"/>
          <w:sz w:val="22"/>
          <w:szCs w:val="22"/>
          <w:highlight w:val="none"/>
          <w:lang w:val="zh-CN" w:eastAsia="zh-CN" w:bidi="ar-SA"/>
        </w:rPr>
        <w:fldChar w:fldCharType="separate"/>
      </w:r>
      <w:r>
        <w:rPr>
          <w:rFonts w:hint="eastAsia" w:ascii="宋体" w:hAnsi="宋体" w:eastAsia="宋体" w:cs="宋体"/>
          <w:b w:val="0"/>
          <w:bCs w:val="0"/>
          <w:color w:val="auto"/>
          <w:kern w:val="0"/>
          <w:sz w:val="22"/>
          <w:szCs w:val="22"/>
          <w:highlight w:val="none"/>
          <w:lang w:val="en-US" w:eastAsia="zh-CN" w:bidi="ar-SA"/>
        </w:rPr>
        <w:t>④</w:t>
      </w:r>
      <w:r>
        <w:rPr>
          <w:rFonts w:hint="eastAsia" w:ascii="宋体" w:hAnsi="宋体" w:eastAsia="宋体" w:cs="宋体"/>
          <w:b w:val="0"/>
          <w:bCs w:val="0"/>
          <w:color w:val="auto"/>
          <w:kern w:val="0"/>
          <w:sz w:val="22"/>
          <w:szCs w:val="22"/>
          <w:highlight w:val="none"/>
          <w:lang w:val="zh-CN" w:eastAsia="zh-CN" w:bidi="ar-SA"/>
        </w:rPr>
        <w:fldChar w:fldCharType="end"/>
      </w:r>
      <w:r>
        <w:rPr>
          <w:rFonts w:hint="eastAsia" w:ascii="宋体" w:hAnsi="宋体" w:eastAsia="宋体" w:cs="宋体"/>
          <w:b w:val="0"/>
          <w:bCs w:val="0"/>
          <w:color w:val="auto"/>
          <w:kern w:val="0"/>
          <w:sz w:val="22"/>
          <w:szCs w:val="22"/>
          <w:highlight w:val="none"/>
          <w:lang w:val="zh-CN" w:eastAsia="zh-CN" w:bidi="ar-SA"/>
        </w:rPr>
        <w:t>否决投标情况说明及依据；</w:t>
      </w:r>
    </w:p>
    <w:p w14:paraId="1211BE02">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zh-CN" w:eastAsia="zh-CN" w:bidi="ar-SA"/>
        </w:rPr>
        <w:fldChar w:fldCharType="begin"/>
      </w:r>
      <w:r>
        <w:rPr>
          <w:rFonts w:hint="eastAsia" w:ascii="宋体" w:hAnsi="宋体" w:eastAsia="宋体" w:cs="宋体"/>
          <w:b w:val="0"/>
          <w:bCs w:val="0"/>
          <w:color w:val="auto"/>
          <w:kern w:val="0"/>
          <w:sz w:val="22"/>
          <w:szCs w:val="22"/>
          <w:highlight w:val="none"/>
          <w:lang w:val="zh-CN" w:eastAsia="zh-CN" w:bidi="ar-SA"/>
        </w:rPr>
        <w:instrText xml:space="preserve"> = 5 \* GB3 \* MERGEFORMAT </w:instrText>
      </w:r>
      <w:r>
        <w:rPr>
          <w:rFonts w:hint="eastAsia" w:ascii="宋体" w:hAnsi="宋体" w:eastAsia="宋体" w:cs="宋体"/>
          <w:b w:val="0"/>
          <w:bCs w:val="0"/>
          <w:color w:val="auto"/>
          <w:kern w:val="0"/>
          <w:sz w:val="22"/>
          <w:szCs w:val="22"/>
          <w:highlight w:val="none"/>
          <w:lang w:val="zh-CN" w:eastAsia="zh-CN" w:bidi="ar-SA"/>
        </w:rPr>
        <w:fldChar w:fldCharType="separate"/>
      </w:r>
      <w:r>
        <w:rPr>
          <w:rFonts w:hint="eastAsia" w:ascii="宋体" w:hAnsi="宋体" w:eastAsia="宋体" w:cs="宋体"/>
          <w:b w:val="0"/>
          <w:bCs w:val="0"/>
          <w:color w:val="auto"/>
          <w:kern w:val="0"/>
          <w:sz w:val="22"/>
          <w:szCs w:val="22"/>
          <w:highlight w:val="none"/>
          <w:lang w:val="en-US" w:eastAsia="zh-CN" w:bidi="ar-SA"/>
        </w:rPr>
        <w:t>⑤</w:t>
      </w:r>
      <w:r>
        <w:rPr>
          <w:rFonts w:hint="eastAsia" w:ascii="宋体" w:hAnsi="宋体" w:eastAsia="宋体" w:cs="宋体"/>
          <w:b w:val="0"/>
          <w:bCs w:val="0"/>
          <w:color w:val="auto"/>
          <w:kern w:val="0"/>
          <w:sz w:val="22"/>
          <w:szCs w:val="22"/>
          <w:highlight w:val="none"/>
          <w:lang w:val="zh-CN" w:eastAsia="zh-CN" w:bidi="ar-SA"/>
        </w:rPr>
        <w:fldChar w:fldCharType="end"/>
      </w:r>
      <w:r>
        <w:rPr>
          <w:rFonts w:hint="eastAsia" w:ascii="宋体" w:hAnsi="宋体" w:eastAsia="宋体" w:cs="宋体"/>
          <w:b w:val="0"/>
          <w:bCs w:val="0"/>
          <w:color w:val="auto"/>
          <w:kern w:val="0"/>
          <w:sz w:val="22"/>
          <w:szCs w:val="22"/>
          <w:highlight w:val="none"/>
          <w:lang w:val="zh-CN" w:eastAsia="zh-CN" w:bidi="ar-SA"/>
        </w:rPr>
        <w:t>推荐中标候选人；</w:t>
      </w:r>
    </w:p>
    <w:p w14:paraId="76275A68">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zh-CN" w:eastAsia="zh-CN" w:bidi="ar-SA"/>
        </w:rPr>
        <w:fldChar w:fldCharType="begin"/>
      </w:r>
      <w:r>
        <w:rPr>
          <w:rFonts w:hint="eastAsia" w:ascii="宋体" w:hAnsi="宋体" w:eastAsia="宋体" w:cs="宋体"/>
          <w:b w:val="0"/>
          <w:bCs w:val="0"/>
          <w:color w:val="auto"/>
          <w:kern w:val="0"/>
          <w:sz w:val="22"/>
          <w:szCs w:val="22"/>
          <w:highlight w:val="none"/>
          <w:lang w:val="zh-CN" w:eastAsia="zh-CN" w:bidi="ar-SA"/>
        </w:rPr>
        <w:instrText xml:space="preserve"> = 6 \* GB3 \* MERGEFORMAT </w:instrText>
      </w:r>
      <w:r>
        <w:rPr>
          <w:rFonts w:hint="eastAsia" w:ascii="宋体" w:hAnsi="宋体" w:eastAsia="宋体" w:cs="宋体"/>
          <w:b w:val="0"/>
          <w:bCs w:val="0"/>
          <w:color w:val="auto"/>
          <w:kern w:val="0"/>
          <w:sz w:val="22"/>
          <w:szCs w:val="22"/>
          <w:highlight w:val="none"/>
          <w:lang w:val="zh-CN" w:eastAsia="zh-CN" w:bidi="ar-SA"/>
        </w:rPr>
        <w:fldChar w:fldCharType="separate"/>
      </w:r>
      <w:r>
        <w:rPr>
          <w:rFonts w:hint="eastAsia" w:ascii="宋体" w:hAnsi="宋体" w:eastAsia="宋体" w:cs="宋体"/>
          <w:b w:val="0"/>
          <w:bCs w:val="0"/>
          <w:color w:val="auto"/>
          <w:kern w:val="0"/>
          <w:sz w:val="22"/>
          <w:szCs w:val="22"/>
          <w:highlight w:val="none"/>
          <w:lang w:val="en-US" w:eastAsia="zh-CN" w:bidi="ar-SA"/>
        </w:rPr>
        <w:t>⑥</w:t>
      </w:r>
      <w:r>
        <w:rPr>
          <w:rFonts w:hint="eastAsia" w:ascii="宋体" w:hAnsi="宋体" w:eastAsia="宋体" w:cs="宋体"/>
          <w:b w:val="0"/>
          <w:bCs w:val="0"/>
          <w:color w:val="auto"/>
          <w:kern w:val="0"/>
          <w:sz w:val="22"/>
          <w:szCs w:val="22"/>
          <w:highlight w:val="none"/>
          <w:lang w:val="zh-CN" w:eastAsia="zh-CN" w:bidi="ar-SA"/>
        </w:rPr>
        <w:fldChar w:fldCharType="end"/>
      </w:r>
      <w:r>
        <w:rPr>
          <w:rFonts w:hint="eastAsia" w:ascii="宋体" w:hAnsi="宋体" w:eastAsia="宋体" w:cs="宋体"/>
          <w:b w:val="0"/>
          <w:bCs w:val="0"/>
          <w:color w:val="auto"/>
          <w:kern w:val="0"/>
          <w:sz w:val="22"/>
          <w:szCs w:val="22"/>
          <w:highlight w:val="none"/>
          <w:lang w:val="zh-CN" w:eastAsia="zh-CN" w:bidi="ar-SA"/>
        </w:rPr>
        <w:t>中标候选人投标资格和评分业绩；</w:t>
      </w:r>
    </w:p>
    <w:p w14:paraId="321AC59E">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spacing w:val="0"/>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zh-CN" w:eastAsia="zh-CN" w:bidi="ar-SA"/>
        </w:rPr>
        <w:fldChar w:fldCharType="begin"/>
      </w:r>
      <w:r>
        <w:rPr>
          <w:rFonts w:hint="eastAsia" w:ascii="宋体" w:hAnsi="宋体" w:eastAsia="宋体" w:cs="宋体"/>
          <w:b w:val="0"/>
          <w:bCs w:val="0"/>
          <w:color w:val="auto"/>
          <w:kern w:val="0"/>
          <w:sz w:val="22"/>
          <w:szCs w:val="22"/>
          <w:highlight w:val="none"/>
          <w:lang w:val="zh-CN" w:eastAsia="zh-CN" w:bidi="ar-SA"/>
        </w:rPr>
        <w:instrText xml:space="preserve"> = 7 \* GB3 \* MERGEFORMAT </w:instrText>
      </w:r>
      <w:r>
        <w:rPr>
          <w:rFonts w:hint="eastAsia" w:ascii="宋体" w:hAnsi="宋体" w:eastAsia="宋体" w:cs="宋体"/>
          <w:b w:val="0"/>
          <w:bCs w:val="0"/>
          <w:color w:val="auto"/>
          <w:kern w:val="0"/>
          <w:sz w:val="22"/>
          <w:szCs w:val="22"/>
          <w:highlight w:val="none"/>
          <w:lang w:val="zh-CN" w:eastAsia="zh-CN" w:bidi="ar-SA"/>
        </w:rPr>
        <w:fldChar w:fldCharType="separate"/>
      </w:r>
      <w:r>
        <w:rPr>
          <w:rFonts w:hint="eastAsia" w:ascii="宋体" w:hAnsi="宋体" w:eastAsia="宋体" w:cs="宋体"/>
          <w:b w:val="0"/>
          <w:bCs w:val="0"/>
          <w:color w:val="auto"/>
          <w:kern w:val="0"/>
          <w:sz w:val="22"/>
          <w:szCs w:val="22"/>
          <w:highlight w:val="none"/>
          <w:lang w:val="en-US" w:eastAsia="zh-CN" w:bidi="ar-SA"/>
        </w:rPr>
        <w:t>⑦</w:t>
      </w:r>
      <w:r>
        <w:rPr>
          <w:rFonts w:hint="eastAsia" w:ascii="宋体" w:hAnsi="宋体" w:eastAsia="宋体" w:cs="宋体"/>
          <w:b w:val="0"/>
          <w:bCs w:val="0"/>
          <w:color w:val="auto"/>
          <w:kern w:val="0"/>
          <w:sz w:val="22"/>
          <w:szCs w:val="22"/>
          <w:highlight w:val="none"/>
          <w:lang w:val="zh-CN" w:eastAsia="zh-CN" w:bidi="ar-SA"/>
        </w:rPr>
        <w:fldChar w:fldCharType="end"/>
      </w:r>
      <w:r>
        <w:rPr>
          <w:rFonts w:hint="eastAsia" w:ascii="宋体" w:hAnsi="宋体" w:eastAsia="宋体" w:cs="宋体"/>
          <w:b w:val="0"/>
          <w:bCs w:val="0"/>
          <w:color w:val="auto"/>
          <w:kern w:val="0"/>
          <w:sz w:val="22"/>
          <w:szCs w:val="22"/>
          <w:highlight w:val="none"/>
          <w:lang w:val="zh-CN" w:eastAsia="zh-CN" w:bidi="ar-SA"/>
        </w:rPr>
        <w:t>其他建议。</w:t>
      </w:r>
      <w:bookmarkStart w:id="77" w:name="_Toc24708495"/>
    </w:p>
    <w:p w14:paraId="4ABAE83D">
      <w:pPr>
        <w:pStyle w:val="6"/>
        <w:pageBreakBefore w:val="0"/>
        <w:widowControl w:val="0"/>
        <w:kinsoku/>
        <w:wordWrap/>
        <w:overflowPunct/>
        <w:topLinePunct w:val="0"/>
        <w:bidi w:val="0"/>
        <w:snapToGrid w:val="0"/>
        <w:spacing w:before="0" w:after="0" w:line="420" w:lineRule="exact"/>
        <w:ind w:firstLine="389" w:firstLineChars="176"/>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color w:val="auto"/>
          <w:spacing w:val="0"/>
          <w:kern w:val="0"/>
          <w:sz w:val="22"/>
          <w:szCs w:val="22"/>
          <w:highlight w:val="none"/>
          <w:lang w:val="en-US" w:eastAsia="zh-CN" w:bidi="ar-SA"/>
        </w:rPr>
        <w:t>四、</w:t>
      </w:r>
      <w:r>
        <w:rPr>
          <w:rFonts w:hint="eastAsia" w:ascii="宋体" w:hAnsi="宋体" w:eastAsia="宋体" w:cs="宋体"/>
          <w:b/>
          <w:bCs/>
          <w:snapToGrid w:val="0"/>
          <w:color w:val="auto"/>
          <w:kern w:val="0"/>
          <w:sz w:val="22"/>
          <w:szCs w:val="22"/>
          <w:highlight w:val="none"/>
        </w:rPr>
        <w:t>评标细则及标准</w:t>
      </w:r>
    </w:p>
    <w:bookmarkEnd w:id="77"/>
    <w:p w14:paraId="4C9E74CC">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bookmarkStart w:id="78" w:name="_Toc24708497"/>
      <w:bookmarkStart w:id="79" w:name="_Toc356371476"/>
      <w:r>
        <w:rPr>
          <w:rFonts w:hint="eastAsia" w:ascii="宋体" w:hAnsi="宋体" w:eastAsia="宋体" w:cs="宋体"/>
          <w:b w:val="0"/>
          <w:bCs w:val="0"/>
          <w:color w:val="auto"/>
          <w:kern w:val="0"/>
          <w:sz w:val="22"/>
          <w:szCs w:val="22"/>
          <w:highlight w:val="none"/>
          <w:lang w:val="zh-CN" w:eastAsia="zh-CN" w:bidi="ar-SA"/>
        </w:rPr>
        <w:t>本项目按综合评分法评标，总分值100分。评标委员会各成员应当独立对每个有效投标人的投标文件进行评价、打分（保留2位小数）。</w:t>
      </w:r>
    </w:p>
    <w:p w14:paraId="4EB5AA3C">
      <w:pPr>
        <w:keepNext w:val="0"/>
        <w:keepLines w:val="0"/>
        <w:pageBreakBefore w:val="0"/>
        <w:widowControl w:val="0"/>
        <w:kinsoku/>
        <w:wordWrap/>
        <w:overflowPunct/>
        <w:topLinePunct w:val="0"/>
        <w:autoSpaceDE w:val="0"/>
        <w:autoSpaceDN w:val="0"/>
        <w:bidi w:val="0"/>
        <w:adjustRightInd w:val="0"/>
        <w:spacing w:line="420" w:lineRule="exact"/>
        <w:ind w:left="0" w:leftChars="0" w:right="0" w:rightChars="0" w:firstLine="440" w:firstLineChars="200"/>
        <w:jc w:val="left"/>
        <w:textAlignment w:val="auto"/>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val="0"/>
          <w:bCs w:val="0"/>
          <w:color w:val="auto"/>
          <w:kern w:val="0"/>
          <w:sz w:val="22"/>
          <w:szCs w:val="22"/>
          <w:highlight w:val="none"/>
          <w:lang w:val="zh-CN" w:eastAsia="zh-CN" w:bidi="ar-SA"/>
        </w:rPr>
        <w:t>如发现某个单项的评分超出了评分细则所规定的分值范围的，则该张评分表无效，此项得分为：评标专家的有效评分的算术平均值（保留小数2位）。</w:t>
      </w:r>
    </w:p>
    <w:p w14:paraId="6875B8D5">
      <w:pPr>
        <w:pStyle w:val="2"/>
        <w:numPr>
          <w:ilvl w:val="0"/>
          <w:numId w:val="0"/>
        </w:numPr>
        <w:tabs>
          <w:tab w:val="clear" w:pos="432"/>
        </w:tabs>
        <w:jc w:val="both"/>
        <w:rPr>
          <w:rFonts w:hint="default"/>
          <w:color w:val="auto"/>
          <w:highlight w:val="none"/>
          <w:lang w:val="en-US" w:eastAsia="zh-CN"/>
        </w:rPr>
      </w:pPr>
      <w:r>
        <w:rPr>
          <w:rFonts w:hint="eastAsia"/>
          <w:color w:val="auto"/>
          <w:highlight w:val="none"/>
          <w:lang w:val="en-US" w:eastAsia="zh-CN"/>
        </w:rPr>
        <w:t>同时适用标项一和标项二：</w:t>
      </w:r>
    </w:p>
    <w:tbl>
      <w:tblPr>
        <w:tblStyle w:val="62"/>
        <w:tblW w:w="95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288"/>
        <w:gridCol w:w="890"/>
        <w:gridCol w:w="1742"/>
        <w:gridCol w:w="718"/>
        <w:gridCol w:w="4877"/>
      </w:tblGrid>
      <w:tr w14:paraId="4133E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06" w:hRule="atLeast"/>
        </w:trPr>
        <w:tc>
          <w:tcPr>
            <w:tcW w:w="1288" w:type="dxa"/>
            <w:tcBorders>
              <w:tl2br w:val="nil"/>
              <w:tr2bl w:val="nil"/>
            </w:tcBorders>
            <w:shd w:val="clear" w:color="auto" w:fill="auto"/>
            <w:vAlign w:val="center"/>
          </w:tcPr>
          <w:p w14:paraId="1B2A1648">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bookmarkStart w:id="80" w:name="_Toc24708496"/>
            <w:r>
              <w:rPr>
                <w:rFonts w:hint="eastAsia" w:ascii="宋体" w:hAnsi="宋体" w:eastAsia="宋体" w:cs="宋体"/>
                <w:i w:val="0"/>
                <w:iCs w:val="0"/>
                <w:color w:val="auto"/>
                <w:kern w:val="0"/>
                <w:sz w:val="22"/>
                <w:szCs w:val="22"/>
                <w:highlight w:val="none"/>
                <w:u w:val="none"/>
                <w:lang w:val="en-US" w:eastAsia="zh-CN" w:bidi="ar"/>
              </w:rPr>
              <w:t>评分内容</w:t>
            </w:r>
          </w:p>
        </w:tc>
        <w:tc>
          <w:tcPr>
            <w:tcW w:w="890" w:type="dxa"/>
            <w:tcBorders>
              <w:tl2br w:val="nil"/>
              <w:tr2bl w:val="nil"/>
            </w:tcBorders>
            <w:shd w:val="clear" w:color="auto" w:fill="auto"/>
            <w:vAlign w:val="center"/>
          </w:tcPr>
          <w:p w14:paraId="17147E91">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权重</w:t>
            </w:r>
          </w:p>
        </w:tc>
        <w:tc>
          <w:tcPr>
            <w:tcW w:w="1742" w:type="dxa"/>
            <w:tcBorders>
              <w:tl2br w:val="nil"/>
              <w:tr2bl w:val="nil"/>
            </w:tcBorders>
            <w:shd w:val="clear" w:color="auto" w:fill="auto"/>
            <w:vAlign w:val="center"/>
          </w:tcPr>
          <w:p w14:paraId="7EDE2136">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评分指标</w:t>
            </w:r>
          </w:p>
        </w:tc>
        <w:tc>
          <w:tcPr>
            <w:tcW w:w="718" w:type="dxa"/>
            <w:tcBorders>
              <w:tl2br w:val="nil"/>
              <w:tr2bl w:val="nil"/>
            </w:tcBorders>
            <w:shd w:val="clear" w:color="auto" w:fill="auto"/>
            <w:vAlign w:val="center"/>
          </w:tcPr>
          <w:p w14:paraId="4EE0F9E6">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分值</w:t>
            </w:r>
          </w:p>
        </w:tc>
        <w:tc>
          <w:tcPr>
            <w:tcW w:w="4877" w:type="dxa"/>
            <w:tcBorders>
              <w:tl2br w:val="nil"/>
              <w:tr2bl w:val="nil"/>
            </w:tcBorders>
            <w:shd w:val="clear" w:color="auto" w:fill="auto"/>
            <w:vAlign w:val="center"/>
          </w:tcPr>
          <w:p w14:paraId="28EFEB96">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评分办法</w:t>
            </w:r>
          </w:p>
        </w:tc>
      </w:tr>
      <w:tr w14:paraId="35D19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18" w:hRule="atLeast"/>
        </w:trPr>
        <w:tc>
          <w:tcPr>
            <w:tcW w:w="1288" w:type="dxa"/>
            <w:tcBorders>
              <w:tl2br w:val="nil"/>
              <w:tr2bl w:val="nil"/>
            </w:tcBorders>
            <w:shd w:val="clear" w:color="auto" w:fill="auto"/>
            <w:vAlign w:val="center"/>
          </w:tcPr>
          <w:p w14:paraId="1FB1DF6B">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资金收益</w:t>
            </w:r>
          </w:p>
        </w:tc>
        <w:tc>
          <w:tcPr>
            <w:tcW w:w="890" w:type="dxa"/>
            <w:tcBorders>
              <w:tl2br w:val="nil"/>
              <w:tr2bl w:val="nil"/>
            </w:tcBorders>
            <w:shd w:val="clear" w:color="auto" w:fill="auto"/>
            <w:vAlign w:val="center"/>
          </w:tcPr>
          <w:p w14:paraId="369869EB">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w:t>
            </w:r>
          </w:p>
        </w:tc>
        <w:tc>
          <w:tcPr>
            <w:tcW w:w="1742" w:type="dxa"/>
            <w:tcBorders>
              <w:tl2br w:val="nil"/>
              <w:tr2bl w:val="nil"/>
            </w:tcBorders>
            <w:shd w:val="clear" w:color="auto" w:fill="auto"/>
            <w:vAlign w:val="center"/>
          </w:tcPr>
          <w:p w14:paraId="7DD22240">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定期存款利率</w:t>
            </w:r>
          </w:p>
        </w:tc>
        <w:tc>
          <w:tcPr>
            <w:tcW w:w="718" w:type="dxa"/>
            <w:tcBorders>
              <w:bottom w:val="single" w:color="auto" w:sz="4" w:space="0"/>
              <w:tl2br w:val="nil"/>
              <w:tr2bl w:val="nil"/>
            </w:tcBorders>
            <w:shd w:val="clear" w:color="auto" w:fill="auto"/>
            <w:vAlign w:val="center"/>
          </w:tcPr>
          <w:p w14:paraId="771120AB">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w:t>
            </w:r>
          </w:p>
        </w:tc>
        <w:tc>
          <w:tcPr>
            <w:tcW w:w="4877" w:type="dxa"/>
            <w:tcBorders>
              <w:tl2br w:val="nil"/>
              <w:tr2bl w:val="nil"/>
            </w:tcBorders>
            <w:shd w:val="clear" w:color="auto" w:fill="auto"/>
            <w:vAlign w:val="center"/>
          </w:tcPr>
          <w:p w14:paraId="5E5C2A43">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定期存款利率达到浙江省市场利率定价自律机制规定的该竞标银行所属银行类别同期利率上限的行得15分，每下降0.1%扣0.2分。</w:t>
            </w:r>
          </w:p>
        </w:tc>
      </w:tr>
      <w:tr w14:paraId="78B52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43" w:hRule="atLeast"/>
        </w:trPr>
        <w:tc>
          <w:tcPr>
            <w:tcW w:w="1288" w:type="dxa"/>
            <w:vMerge w:val="restart"/>
            <w:tcBorders>
              <w:tl2br w:val="nil"/>
              <w:tr2bl w:val="nil"/>
            </w:tcBorders>
            <w:shd w:val="clear" w:color="auto" w:fill="auto"/>
            <w:vAlign w:val="center"/>
          </w:tcPr>
          <w:p w14:paraId="36073AA4">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经济贡献</w:t>
            </w:r>
          </w:p>
        </w:tc>
        <w:tc>
          <w:tcPr>
            <w:tcW w:w="890" w:type="dxa"/>
            <w:vMerge w:val="restart"/>
            <w:tcBorders>
              <w:tl2br w:val="nil"/>
              <w:tr2bl w:val="nil"/>
            </w:tcBorders>
            <w:shd w:val="clear" w:color="auto" w:fill="auto"/>
            <w:vAlign w:val="center"/>
          </w:tcPr>
          <w:p w14:paraId="329F7588">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w:t>
            </w:r>
          </w:p>
        </w:tc>
        <w:tc>
          <w:tcPr>
            <w:tcW w:w="1742" w:type="dxa"/>
            <w:tcBorders>
              <w:tl2br w:val="nil"/>
              <w:tr2bl w:val="nil"/>
            </w:tcBorders>
            <w:shd w:val="clear" w:color="auto" w:fill="auto"/>
            <w:vAlign w:val="center"/>
          </w:tcPr>
          <w:p w14:paraId="6DDB6522">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税收收入（区）</w:t>
            </w:r>
          </w:p>
        </w:tc>
        <w:tc>
          <w:tcPr>
            <w:tcW w:w="718" w:type="dxa"/>
            <w:tcBorders>
              <w:top w:val="single" w:color="auto" w:sz="4" w:space="0"/>
              <w:tl2br w:val="nil"/>
              <w:tr2bl w:val="nil"/>
            </w:tcBorders>
            <w:shd w:val="clear" w:color="auto" w:fill="auto"/>
            <w:vAlign w:val="center"/>
          </w:tcPr>
          <w:p w14:paraId="22384C20">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w:t>
            </w:r>
          </w:p>
        </w:tc>
        <w:tc>
          <w:tcPr>
            <w:tcW w:w="4877" w:type="dxa"/>
            <w:tcBorders>
              <w:tl2br w:val="nil"/>
              <w:tr2bl w:val="nil"/>
            </w:tcBorders>
            <w:shd w:val="clear" w:color="auto" w:fill="auto"/>
            <w:vAlign w:val="center"/>
          </w:tcPr>
          <w:p w14:paraId="0C4467C2">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上半年</w:t>
            </w:r>
            <w:r>
              <w:rPr>
                <w:rFonts w:hint="eastAsia" w:ascii="宋体" w:hAnsi="宋体" w:eastAsia="宋体" w:cs="宋体"/>
                <w:i w:val="0"/>
                <w:iCs w:val="0"/>
                <w:color w:val="auto"/>
                <w:kern w:val="0"/>
                <w:sz w:val="22"/>
                <w:szCs w:val="22"/>
                <w:highlight w:val="none"/>
                <w:u w:val="none"/>
                <w:lang w:val="en-US" w:eastAsia="zh-CN" w:bidi="ar"/>
              </w:rPr>
              <w:t>缴纳税收收入最高的行得10分，其他行按最高行占比计算</w:t>
            </w:r>
          </w:p>
        </w:tc>
      </w:tr>
      <w:tr w14:paraId="373DE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88" w:type="dxa"/>
            <w:vMerge w:val="continue"/>
            <w:tcBorders>
              <w:tl2br w:val="nil"/>
              <w:tr2bl w:val="nil"/>
            </w:tcBorders>
            <w:shd w:val="clear" w:color="auto" w:fill="auto"/>
            <w:vAlign w:val="center"/>
          </w:tcPr>
          <w:p w14:paraId="7CCE2E6C">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56DB65E3">
            <w:pPr>
              <w:spacing w:line="360" w:lineRule="auto"/>
              <w:jc w:val="center"/>
              <w:rPr>
                <w:rFonts w:hint="eastAsia" w:ascii="宋体" w:hAnsi="宋体" w:eastAsia="宋体" w:cs="宋体"/>
                <w:i w:val="0"/>
                <w:color w:val="auto"/>
                <w:kern w:val="0"/>
                <w:sz w:val="22"/>
                <w:szCs w:val="22"/>
                <w:highlight w:val="none"/>
                <w:u w:val="none"/>
                <w:lang w:val="en-US" w:eastAsia="zh-CN" w:bidi="ar"/>
              </w:rPr>
            </w:pPr>
          </w:p>
        </w:tc>
        <w:tc>
          <w:tcPr>
            <w:tcW w:w="1742" w:type="dxa"/>
            <w:tcBorders>
              <w:tl2br w:val="nil"/>
              <w:tr2bl w:val="nil"/>
            </w:tcBorders>
            <w:shd w:val="clear" w:color="auto" w:fill="auto"/>
            <w:vAlign w:val="center"/>
          </w:tcPr>
          <w:p w14:paraId="5A271FF4">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市绿色金融考评结果（市）</w:t>
            </w:r>
          </w:p>
        </w:tc>
        <w:tc>
          <w:tcPr>
            <w:tcW w:w="718" w:type="dxa"/>
            <w:tcBorders>
              <w:tl2br w:val="nil"/>
              <w:tr2bl w:val="nil"/>
            </w:tcBorders>
            <w:shd w:val="clear" w:color="auto" w:fill="auto"/>
            <w:vAlign w:val="center"/>
          </w:tcPr>
          <w:p w14:paraId="2A11CAAA">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4877" w:type="dxa"/>
            <w:tcBorders>
              <w:tl2br w:val="nil"/>
              <w:tr2bl w:val="nil"/>
            </w:tcBorders>
            <w:shd w:val="clear" w:color="auto" w:fill="auto"/>
            <w:vAlign w:val="center"/>
          </w:tcPr>
          <w:p w14:paraId="321E3C5D">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年度市政府绿色金融考评结果第一名得3分，其他行按从高到低依次递减0.1分，最低得0分。（202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年度考核结果未出来，以</w:t>
            </w:r>
            <w:r>
              <w:rPr>
                <w:rFonts w:hint="eastAsia" w:ascii="宋体" w:hAnsi="宋体" w:cs="宋体"/>
                <w:i w:val="0"/>
                <w:iCs w:val="0"/>
                <w:color w:val="auto"/>
                <w:kern w:val="0"/>
                <w:sz w:val="22"/>
                <w:szCs w:val="22"/>
                <w:highlight w:val="none"/>
                <w:u w:val="none"/>
                <w:lang w:val="en-US" w:eastAsia="zh-CN" w:bidi="ar"/>
              </w:rPr>
              <w:t>2023</w:t>
            </w:r>
            <w:r>
              <w:rPr>
                <w:rFonts w:hint="eastAsia" w:ascii="宋体" w:hAnsi="宋体" w:eastAsia="宋体" w:cs="宋体"/>
                <w:i w:val="0"/>
                <w:iCs w:val="0"/>
                <w:color w:val="auto"/>
                <w:kern w:val="0"/>
                <w:sz w:val="22"/>
                <w:szCs w:val="22"/>
                <w:highlight w:val="none"/>
                <w:u w:val="none"/>
                <w:lang w:val="en-US" w:eastAsia="zh-CN" w:bidi="ar"/>
              </w:rPr>
              <w:t>年度考核结果赋分，</w:t>
            </w:r>
            <w:r>
              <w:rPr>
                <w:rStyle w:val="303"/>
                <w:rFonts w:hint="eastAsia" w:ascii="宋体" w:hAnsi="宋体" w:eastAsia="宋体" w:cs="宋体"/>
                <w:color w:val="auto"/>
                <w:sz w:val="22"/>
                <w:szCs w:val="22"/>
                <w:highlight w:val="none"/>
                <w:lang w:val="en-US" w:eastAsia="zh-CN" w:bidi="ar"/>
              </w:rPr>
              <w:t>未参加考评的行按最后一名计分）</w:t>
            </w:r>
          </w:p>
        </w:tc>
      </w:tr>
      <w:tr w14:paraId="76FA4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252" w:hRule="atLeast"/>
        </w:trPr>
        <w:tc>
          <w:tcPr>
            <w:tcW w:w="1288" w:type="dxa"/>
            <w:vMerge w:val="continue"/>
            <w:tcBorders>
              <w:tl2br w:val="nil"/>
              <w:tr2bl w:val="nil"/>
            </w:tcBorders>
            <w:shd w:val="clear" w:color="auto" w:fill="auto"/>
            <w:vAlign w:val="center"/>
          </w:tcPr>
          <w:p w14:paraId="6E923854">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16EB1891">
            <w:pPr>
              <w:spacing w:line="360" w:lineRule="auto"/>
              <w:jc w:val="center"/>
              <w:rPr>
                <w:rFonts w:hint="eastAsia" w:ascii="宋体" w:hAnsi="宋体" w:eastAsia="宋体" w:cs="宋体"/>
                <w:i w:val="0"/>
                <w:color w:val="auto"/>
                <w:kern w:val="0"/>
                <w:sz w:val="22"/>
                <w:szCs w:val="22"/>
                <w:highlight w:val="none"/>
                <w:u w:val="none"/>
                <w:lang w:val="en-US" w:eastAsia="zh-CN" w:bidi="ar"/>
              </w:rPr>
            </w:pPr>
          </w:p>
        </w:tc>
        <w:tc>
          <w:tcPr>
            <w:tcW w:w="1742" w:type="dxa"/>
            <w:vMerge w:val="restart"/>
            <w:tcBorders>
              <w:tl2br w:val="nil"/>
              <w:tr2bl w:val="nil"/>
            </w:tcBorders>
            <w:shd w:val="clear" w:color="auto" w:fill="auto"/>
            <w:vAlign w:val="center"/>
          </w:tcPr>
          <w:p w14:paraId="6771B155">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公益事业贡献（区）</w:t>
            </w:r>
          </w:p>
        </w:tc>
        <w:tc>
          <w:tcPr>
            <w:tcW w:w="718" w:type="dxa"/>
            <w:tcBorders>
              <w:tl2br w:val="nil"/>
              <w:tr2bl w:val="nil"/>
            </w:tcBorders>
            <w:shd w:val="clear" w:color="auto" w:fill="auto"/>
            <w:vAlign w:val="center"/>
          </w:tcPr>
          <w:p w14:paraId="2D1120F9">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c>
          <w:tcPr>
            <w:tcW w:w="4877" w:type="dxa"/>
            <w:tcBorders>
              <w:tl2br w:val="nil"/>
              <w:tr2bl w:val="nil"/>
            </w:tcBorders>
            <w:shd w:val="clear" w:color="auto" w:fill="auto"/>
            <w:vAlign w:val="center"/>
          </w:tcPr>
          <w:p w14:paraId="3E960B93">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贡献度：202</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年度各投标银行对文教卫、消簿村、慈善等事业支持最高的行得6分，其他行按最高行占比计算，由银行报送区财政局审核确认后有效</w:t>
            </w:r>
          </w:p>
        </w:tc>
      </w:tr>
      <w:tr w14:paraId="7304F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2" w:hRule="atLeast"/>
        </w:trPr>
        <w:tc>
          <w:tcPr>
            <w:tcW w:w="1288" w:type="dxa"/>
            <w:vMerge w:val="continue"/>
            <w:tcBorders>
              <w:tl2br w:val="nil"/>
              <w:tr2bl w:val="nil"/>
            </w:tcBorders>
            <w:shd w:val="clear" w:color="auto" w:fill="auto"/>
            <w:vAlign w:val="center"/>
          </w:tcPr>
          <w:p w14:paraId="09E76B98">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63F348A7">
            <w:pPr>
              <w:spacing w:line="360" w:lineRule="auto"/>
              <w:jc w:val="center"/>
              <w:rPr>
                <w:rFonts w:hint="eastAsia" w:ascii="宋体" w:hAnsi="宋体" w:eastAsia="宋体" w:cs="宋体"/>
                <w:i w:val="0"/>
                <w:color w:val="auto"/>
                <w:kern w:val="0"/>
                <w:sz w:val="22"/>
                <w:szCs w:val="22"/>
                <w:highlight w:val="none"/>
                <w:u w:val="none"/>
                <w:lang w:val="en-US" w:eastAsia="zh-CN" w:bidi="ar"/>
              </w:rPr>
            </w:pPr>
          </w:p>
        </w:tc>
        <w:tc>
          <w:tcPr>
            <w:tcW w:w="1742" w:type="dxa"/>
            <w:vMerge w:val="continue"/>
            <w:tcBorders>
              <w:tl2br w:val="nil"/>
              <w:tr2bl w:val="nil"/>
            </w:tcBorders>
            <w:shd w:val="clear" w:color="auto" w:fill="auto"/>
            <w:vAlign w:val="center"/>
          </w:tcPr>
          <w:p w14:paraId="1AB510F5">
            <w:pPr>
              <w:spacing w:line="360" w:lineRule="auto"/>
              <w:jc w:val="center"/>
              <w:rPr>
                <w:rFonts w:hint="eastAsia" w:ascii="宋体" w:hAnsi="宋体" w:eastAsia="宋体" w:cs="宋体"/>
                <w:i w:val="0"/>
                <w:color w:val="auto"/>
                <w:kern w:val="0"/>
                <w:sz w:val="22"/>
                <w:szCs w:val="22"/>
                <w:highlight w:val="none"/>
                <w:u w:val="none"/>
                <w:lang w:val="en-US" w:eastAsia="zh-CN" w:bidi="ar"/>
              </w:rPr>
            </w:pPr>
          </w:p>
        </w:tc>
        <w:tc>
          <w:tcPr>
            <w:tcW w:w="718" w:type="dxa"/>
            <w:tcBorders>
              <w:tl2br w:val="nil"/>
              <w:tr2bl w:val="nil"/>
            </w:tcBorders>
            <w:shd w:val="clear" w:color="auto" w:fill="auto"/>
            <w:vAlign w:val="center"/>
          </w:tcPr>
          <w:p w14:paraId="48E548D3">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4877" w:type="dxa"/>
            <w:tcBorders>
              <w:tl2br w:val="nil"/>
              <w:tr2bl w:val="nil"/>
            </w:tcBorders>
            <w:shd w:val="clear" w:color="auto" w:fill="auto"/>
            <w:vAlign w:val="center"/>
          </w:tcPr>
          <w:p w14:paraId="09C944A8">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贡献额：202</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年度各投标银行对文教卫、消簿村、慈善等事业支持额度达5万元的得0.5分，每增加5万元加0.5分，最高加2分，由银行报送区财政局审核确认后有效</w:t>
            </w:r>
          </w:p>
        </w:tc>
      </w:tr>
      <w:tr w14:paraId="21EAA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3" w:hRule="atLeast"/>
        </w:trPr>
        <w:tc>
          <w:tcPr>
            <w:tcW w:w="1288" w:type="dxa"/>
            <w:vMerge w:val="continue"/>
            <w:tcBorders>
              <w:tl2br w:val="nil"/>
              <w:tr2bl w:val="nil"/>
            </w:tcBorders>
            <w:shd w:val="clear" w:color="auto" w:fill="auto"/>
            <w:vAlign w:val="center"/>
          </w:tcPr>
          <w:p w14:paraId="4EE86EEF">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5FD38C6F">
            <w:pPr>
              <w:spacing w:line="360" w:lineRule="auto"/>
              <w:jc w:val="center"/>
              <w:rPr>
                <w:rFonts w:hint="eastAsia" w:ascii="宋体" w:hAnsi="宋体" w:eastAsia="宋体" w:cs="宋体"/>
                <w:i w:val="0"/>
                <w:color w:val="auto"/>
                <w:kern w:val="0"/>
                <w:sz w:val="22"/>
                <w:szCs w:val="22"/>
                <w:highlight w:val="none"/>
                <w:u w:val="none"/>
                <w:lang w:val="en-US" w:eastAsia="zh-CN" w:bidi="ar"/>
              </w:rPr>
            </w:pPr>
          </w:p>
        </w:tc>
        <w:tc>
          <w:tcPr>
            <w:tcW w:w="1742" w:type="dxa"/>
            <w:vMerge w:val="restart"/>
            <w:tcBorders>
              <w:tl2br w:val="nil"/>
              <w:tr2bl w:val="nil"/>
            </w:tcBorders>
            <w:shd w:val="clear" w:color="auto" w:fill="auto"/>
            <w:vAlign w:val="center"/>
          </w:tcPr>
          <w:p w14:paraId="2958A6FF">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对区国有企业融资支持（区）</w:t>
            </w:r>
          </w:p>
        </w:tc>
        <w:tc>
          <w:tcPr>
            <w:tcW w:w="718" w:type="dxa"/>
            <w:tcBorders>
              <w:tl2br w:val="nil"/>
              <w:tr2bl w:val="nil"/>
            </w:tcBorders>
            <w:shd w:val="clear" w:color="auto" w:fill="auto"/>
            <w:vAlign w:val="center"/>
          </w:tcPr>
          <w:p w14:paraId="2587D622">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4877" w:type="dxa"/>
            <w:tcBorders>
              <w:tl2br w:val="nil"/>
              <w:tr2bl w:val="nil"/>
            </w:tcBorders>
            <w:shd w:val="clear" w:color="auto" w:fill="auto"/>
            <w:vAlign w:val="center"/>
          </w:tcPr>
          <w:p w14:paraId="2F7F7028">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6月底前</w:t>
            </w:r>
            <w:r>
              <w:rPr>
                <w:rFonts w:hint="eastAsia" w:ascii="宋体" w:hAnsi="宋体" w:eastAsia="宋体" w:cs="宋体"/>
                <w:i w:val="0"/>
                <w:iCs w:val="0"/>
                <w:color w:val="auto"/>
                <w:kern w:val="0"/>
                <w:sz w:val="22"/>
                <w:szCs w:val="22"/>
                <w:highlight w:val="none"/>
                <w:u w:val="none"/>
                <w:lang w:val="en-US" w:eastAsia="zh-CN" w:bidi="ar"/>
              </w:rPr>
              <w:t>对我区国有企业贷款余额最高的行得3分，其他行按最高行占比计算</w:t>
            </w:r>
          </w:p>
        </w:tc>
      </w:tr>
      <w:tr w14:paraId="05995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5" w:hRule="atLeast"/>
        </w:trPr>
        <w:tc>
          <w:tcPr>
            <w:tcW w:w="1288" w:type="dxa"/>
            <w:vMerge w:val="continue"/>
            <w:tcBorders>
              <w:tl2br w:val="nil"/>
              <w:tr2bl w:val="nil"/>
            </w:tcBorders>
            <w:shd w:val="clear" w:color="auto" w:fill="auto"/>
            <w:vAlign w:val="center"/>
          </w:tcPr>
          <w:p w14:paraId="7E84878F">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03F169EB">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1742" w:type="dxa"/>
            <w:vMerge w:val="continue"/>
            <w:tcBorders>
              <w:tl2br w:val="nil"/>
              <w:tr2bl w:val="nil"/>
            </w:tcBorders>
            <w:shd w:val="clear" w:color="auto" w:fill="auto"/>
            <w:vAlign w:val="center"/>
          </w:tcPr>
          <w:p w14:paraId="0DDAF213">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718" w:type="dxa"/>
            <w:tcBorders>
              <w:tl2br w:val="nil"/>
              <w:tr2bl w:val="nil"/>
            </w:tcBorders>
            <w:shd w:val="clear" w:color="auto" w:fill="auto"/>
            <w:vAlign w:val="center"/>
          </w:tcPr>
          <w:p w14:paraId="7376AF6A">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877" w:type="dxa"/>
            <w:tcBorders>
              <w:tl2br w:val="nil"/>
              <w:tr2bl w:val="nil"/>
            </w:tcBorders>
            <w:shd w:val="clear" w:color="auto" w:fill="auto"/>
            <w:vAlign w:val="center"/>
          </w:tcPr>
          <w:p w14:paraId="78A36279">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上半年</w:t>
            </w:r>
            <w:r>
              <w:rPr>
                <w:rFonts w:hint="eastAsia" w:ascii="宋体" w:hAnsi="宋体" w:eastAsia="宋体" w:cs="宋体"/>
                <w:i w:val="0"/>
                <w:iCs w:val="0"/>
                <w:color w:val="auto"/>
                <w:kern w:val="0"/>
                <w:sz w:val="22"/>
                <w:szCs w:val="22"/>
                <w:highlight w:val="none"/>
                <w:u w:val="none"/>
                <w:lang w:val="en-US" w:eastAsia="zh-CN" w:bidi="ar"/>
              </w:rPr>
              <w:t>对我区国有企业新增贷款最高的行得5分，其他行按最高行占比计算</w:t>
            </w:r>
          </w:p>
        </w:tc>
      </w:tr>
      <w:tr w14:paraId="2A4F2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5" w:hRule="atLeast"/>
        </w:trPr>
        <w:tc>
          <w:tcPr>
            <w:tcW w:w="1288" w:type="dxa"/>
            <w:vMerge w:val="continue"/>
            <w:tcBorders>
              <w:tl2br w:val="nil"/>
              <w:tr2bl w:val="nil"/>
            </w:tcBorders>
            <w:shd w:val="clear" w:color="auto" w:fill="auto"/>
            <w:vAlign w:val="center"/>
          </w:tcPr>
          <w:p w14:paraId="39BE1C2A">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5C0491F8">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1742" w:type="dxa"/>
            <w:vMerge w:val="continue"/>
            <w:tcBorders>
              <w:tl2br w:val="nil"/>
              <w:tr2bl w:val="nil"/>
            </w:tcBorders>
            <w:shd w:val="clear" w:color="auto" w:fill="auto"/>
            <w:vAlign w:val="center"/>
          </w:tcPr>
          <w:p w14:paraId="629E12BB">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718" w:type="dxa"/>
            <w:tcBorders>
              <w:tl2br w:val="nil"/>
              <w:tr2bl w:val="nil"/>
            </w:tcBorders>
            <w:shd w:val="clear" w:color="auto" w:fill="auto"/>
            <w:vAlign w:val="center"/>
          </w:tcPr>
          <w:p w14:paraId="58FDC605">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877" w:type="dxa"/>
            <w:tcBorders>
              <w:tl2br w:val="nil"/>
              <w:tr2bl w:val="nil"/>
            </w:tcBorders>
            <w:shd w:val="clear" w:color="auto" w:fill="auto"/>
            <w:vAlign w:val="center"/>
          </w:tcPr>
          <w:p w14:paraId="251C6F49">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6月底前</w:t>
            </w:r>
            <w:r>
              <w:rPr>
                <w:rFonts w:hint="eastAsia" w:ascii="宋体" w:hAnsi="宋体" w:eastAsia="宋体" w:cs="宋体"/>
                <w:i w:val="0"/>
                <w:iCs w:val="0"/>
                <w:color w:val="auto"/>
                <w:kern w:val="0"/>
                <w:sz w:val="22"/>
                <w:szCs w:val="22"/>
                <w:highlight w:val="none"/>
                <w:u w:val="none"/>
                <w:lang w:val="en-US" w:eastAsia="zh-CN" w:bidi="ar"/>
              </w:rPr>
              <w:t>对我区国有企业发债支持余额最高的行得3分，其他行按最高行占比计算</w:t>
            </w:r>
          </w:p>
        </w:tc>
      </w:tr>
      <w:tr w14:paraId="4F62B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0" w:hRule="atLeast"/>
        </w:trPr>
        <w:tc>
          <w:tcPr>
            <w:tcW w:w="1288" w:type="dxa"/>
            <w:vMerge w:val="restart"/>
            <w:tcBorders>
              <w:tl2br w:val="nil"/>
              <w:tr2bl w:val="nil"/>
            </w:tcBorders>
            <w:shd w:val="clear" w:color="auto" w:fill="auto"/>
            <w:vAlign w:val="center"/>
          </w:tcPr>
          <w:p w14:paraId="63B56113">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经营状况</w:t>
            </w:r>
          </w:p>
        </w:tc>
        <w:tc>
          <w:tcPr>
            <w:tcW w:w="890" w:type="dxa"/>
            <w:vMerge w:val="restart"/>
            <w:tcBorders>
              <w:tl2br w:val="nil"/>
              <w:tr2bl w:val="nil"/>
            </w:tcBorders>
            <w:shd w:val="clear" w:color="auto" w:fill="auto"/>
            <w:vAlign w:val="center"/>
          </w:tcPr>
          <w:p w14:paraId="195DA653">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41%</w:t>
            </w:r>
          </w:p>
        </w:tc>
        <w:tc>
          <w:tcPr>
            <w:tcW w:w="1742" w:type="dxa"/>
            <w:tcBorders>
              <w:tl2br w:val="nil"/>
              <w:tr2bl w:val="nil"/>
            </w:tcBorders>
            <w:shd w:val="clear" w:color="auto" w:fill="auto"/>
            <w:vAlign w:val="center"/>
          </w:tcPr>
          <w:p w14:paraId="2A2D9837">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不良贷款率（市）</w:t>
            </w:r>
          </w:p>
        </w:tc>
        <w:tc>
          <w:tcPr>
            <w:tcW w:w="718" w:type="dxa"/>
            <w:tcBorders>
              <w:tl2br w:val="nil"/>
              <w:tr2bl w:val="nil"/>
            </w:tcBorders>
            <w:shd w:val="clear" w:color="auto" w:fill="auto"/>
            <w:vAlign w:val="center"/>
          </w:tcPr>
          <w:p w14:paraId="7DC7AA2F">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4877" w:type="dxa"/>
            <w:tcBorders>
              <w:tl2br w:val="nil"/>
              <w:tr2bl w:val="nil"/>
            </w:tcBorders>
            <w:shd w:val="clear" w:color="auto" w:fill="auto"/>
            <w:vAlign w:val="center"/>
          </w:tcPr>
          <w:p w14:paraId="282D9D9B">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上半年</w:t>
            </w:r>
            <w:r>
              <w:rPr>
                <w:rFonts w:hint="eastAsia" w:ascii="宋体" w:hAnsi="宋体" w:eastAsia="宋体" w:cs="宋体"/>
                <w:i w:val="0"/>
                <w:iCs w:val="0"/>
                <w:color w:val="auto"/>
                <w:kern w:val="0"/>
                <w:sz w:val="22"/>
                <w:szCs w:val="22"/>
                <w:highlight w:val="none"/>
                <w:u w:val="none"/>
                <w:lang w:val="en-US" w:eastAsia="zh-CN" w:bidi="ar"/>
              </w:rPr>
              <w:t>不良贷款率最低的行得5分，其他行按从低到高依次递减0.2分，最低得0分</w:t>
            </w:r>
          </w:p>
        </w:tc>
      </w:tr>
      <w:tr w14:paraId="62466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00" w:hRule="atLeast"/>
        </w:trPr>
        <w:tc>
          <w:tcPr>
            <w:tcW w:w="1288" w:type="dxa"/>
            <w:vMerge w:val="continue"/>
            <w:tcBorders>
              <w:tl2br w:val="nil"/>
              <w:tr2bl w:val="nil"/>
            </w:tcBorders>
            <w:shd w:val="clear" w:color="auto" w:fill="auto"/>
            <w:vAlign w:val="center"/>
          </w:tcPr>
          <w:p w14:paraId="4EA06F20">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7014D823">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1742" w:type="dxa"/>
            <w:tcBorders>
              <w:tl2br w:val="nil"/>
              <w:tr2bl w:val="nil"/>
            </w:tcBorders>
            <w:shd w:val="clear" w:color="auto" w:fill="auto"/>
            <w:vAlign w:val="center"/>
          </w:tcPr>
          <w:p w14:paraId="6577D89C">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拨备覆盖率（市）</w:t>
            </w:r>
          </w:p>
        </w:tc>
        <w:tc>
          <w:tcPr>
            <w:tcW w:w="718" w:type="dxa"/>
            <w:tcBorders>
              <w:tl2br w:val="nil"/>
              <w:tr2bl w:val="nil"/>
            </w:tcBorders>
            <w:shd w:val="clear" w:color="auto" w:fill="auto"/>
            <w:vAlign w:val="center"/>
          </w:tcPr>
          <w:p w14:paraId="5BC7F1D2">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w:t>
            </w:r>
          </w:p>
        </w:tc>
        <w:tc>
          <w:tcPr>
            <w:tcW w:w="4877" w:type="dxa"/>
            <w:tcBorders>
              <w:tl2br w:val="nil"/>
              <w:tr2bl w:val="nil"/>
            </w:tcBorders>
            <w:shd w:val="clear" w:color="auto" w:fill="auto"/>
            <w:vAlign w:val="center"/>
          </w:tcPr>
          <w:p w14:paraId="2F5629DF">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上半年</w:t>
            </w:r>
            <w:r>
              <w:rPr>
                <w:rFonts w:hint="eastAsia" w:ascii="宋体" w:hAnsi="宋体" w:eastAsia="宋体" w:cs="宋体"/>
                <w:i w:val="0"/>
                <w:iCs w:val="0"/>
                <w:color w:val="auto"/>
                <w:kern w:val="0"/>
                <w:sz w:val="22"/>
                <w:szCs w:val="22"/>
                <w:highlight w:val="none"/>
                <w:u w:val="none"/>
                <w:lang w:val="en-US" w:eastAsia="zh-CN" w:bidi="ar"/>
              </w:rPr>
              <w:t>拨备覆盖率达150%及以上的行得8分，未达到的按占比计算</w:t>
            </w:r>
          </w:p>
        </w:tc>
      </w:tr>
      <w:tr w14:paraId="27D0D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5" w:hRule="atLeast"/>
        </w:trPr>
        <w:tc>
          <w:tcPr>
            <w:tcW w:w="1288" w:type="dxa"/>
            <w:vMerge w:val="continue"/>
            <w:tcBorders>
              <w:tl2br w:val="nil"/>
              <w:tr2bl w:val="nil"/>
            </w:tcBorders>
            <w:shd w:val="clear" w:color="auto" w:fill="auto"/>
            <w:vAlign w:val="center"/>
          </w:tcPr>
          <w:p w14:paraId="4A5F2A45">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502C86E2">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1742" w:type="dxa"/>
            <w:tcBorders>
              <w:tl2br w:val="nil"/>
              <w:tr2bl w:val="nil"/>
            </w:tcBorders>
            <w:shd w:val="clear" w:color="auto" w:fill="auto"/>
            <w:vAlign w:val="center"/>
          </w:tcPr>
          <w:p w14:paraId="2A67C37D">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新增贷款（区）</w:t>
            </w:r>
          </w:p>
        </w:tc>
        <w:tc>
          <w:tcPr>
            <w:tcW w:w="718" w:type="dxa"/>
            <w:tcBorders>
              <w:tl2br w:val="nil"/>
              <w:tr2bl w:val="nil"/>
            </w:tcBorders>
            <w:shd w:val="clear" w:color="auto" w:fill="auto"/>
            <w:vAlign w:val="center"/>
          </w:tcPr>
          <w:p w14:paraId="48E5D5D1">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4877" w:type="dxa"/>
            <w:tcBorders>
              <w:tl2br w:val="nil"/>
              <w:tr2bl w:val="nil"/>
            </w:tcBorders>
            <w:shd w:val="clear" w:color="auto" w:fill="auto"/>
            <w:vAlign w:val="center"/>
          </w:tcPr>
          <w:p w14:paraId="351ACB7E">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上半年</w:t>
            </w:r>
            <w:r>
              <w:rPr>
                <w:rFonts w:hint="eastAsia" w:ascii="宋体" w:hAnsi="宋体" w:eastAsia="宋体" w:cs="宋体"/>
                <w:i w:val="0"/>
                <w:iCs w:val="0"/>
                <w:color w:val="auto"/>
                <w:kern w:val="0"/>
                <w:sz w:val="22"/>
                <w:szCs w:val="22"/>
                <w:highlight w:val="none"/>
                <w:u w:val="none"/>
                <w:lang w:val="en-US" w:eastAsia="zh-CN" w:bidi="ar"/>
              </w:rPr>
              <w:t>新增各项贷款最高的行得5分，其他行按从高到低依次递减0.2分，最低得0分</w:t>
            </w:r>
          </w:p>
        </w:tc>
      </w:tr>
      <w:tr w14:paraId="4A6F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0" w:hRule="atLeast"/>
        </w:trPr>
        <w:tc>
          <w:tcPr>
            <w:tcW w:w="1288" w:type="dxa"/>
            <w:vMerge w:val="continue"/>
            <w:tcBorders>
              <w:tl2br w:val="nil"/>
              <w:tr2bl w:val="nil"/>
            </w:tcBorders>
            <w:shd w:val="clear" w:color="auto" w:fill="auto"/>
            <w:vAlign w:val="center"/>
          </w:tcPr>
          <w:p w14:paraId="013DCD48">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70365AEA">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1742" w:type="dxa"/>
            <w:tcBorders>
              <w:tl2br w:val="nil"/>
              <w:tr2bl w:val="nil"/>
            </w:tcBorders>
            <w:shd w:val="clear" w:color="auto" w:fill="auto"/>
            <w:vAlign w:val="center"/>
          </w:tcPr>
          <w:p w14:paraId="048D4916">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小微企业贷款（区）</w:t>
            </w:r>
          </w:p>
        </w:tc>
        <w:tc>
          <w:tcPr>
            <w:tcW w:w="718" w:type="dxa"/>
            <w:tcBorders>
              <w:tl2br w:val="nil"/>
              <w:tr2bl w:val="nil"/>
            </w:tcBorders>
            <w:shd w:val="clear" w:color="auto" w:fill="auto"/>
            <w:vAlign w:val="center"/>
          </w:tcPr>
          <w:p w14:paraId="1BAA0F59">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4877" w:type="dxa"/>
            <w:tcBorders>
              <w:tl2br w:val="nil"/>
              <w:tr2bl w:val="nil"/>
            </w:tcBorders>
            <w:shd w:val="clear" w:color="auto" w:fill="auto"/>
            <w:vAlign w:val="center"/>
          </w:tcPr>
          <w:p w14:paraId="3CA3E1CC">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上半年</w:t>
            </w:r>
            <w:r>
              <w:rPr>
                <w:rFonts w:hint="eastAsia" w:ascii="宋体" w:hAnsi="宋体" w:eastAsia="宋体" w:cs="宋体"/>
                <w:i w:val="0"/>
                <w:iCs w:val="0"/>
                <w:color w:val="auto"/>
                <w:kern w:val="0"/>
                <w:sz w:val="22"/>
                <w:szCs w:val="22"/>
                <w:highlight w:val="none"/>
                <w:u w:val="none"/>
                <w:lang w:val="en-US" w:eastAsia="zh-CN" w:bidi="ar"/>
              </w:rPr>
              <w:t>小微企业贷款余额最高的行得5分，其他行按从高到低依次递减0.2分，最低得0分</w:t>
            </w:r>
          </w:p>
        </w:tc>
      </w:tr>
      <w:tr w14:paraId="2BD13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5" w:hRule="atLeast"/>
        </w:trPr>
        <w:tc>
          <w:tcPr>
            <w:tcW w:w="1288" w:type="dxa"/>
            <w:vMerge w:val="continue"/>
            <w:tcBorders>
              <w:tl2br w:val="nil"/>
              <w:tr2bl w:val="nil"/>
            </w:tcBorders>
            <w:shd w:val="clear" w:color="auto" w:fill="auto"/>
            <w:vAlign w:val="center"/>
          </w:tcPr>
          <w:p w14:paraId="74A46B64">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44A5F010">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1742" w:type="dxa"/>
            <w:tcBorders>
              <w:tl2br w:val="nil"/>
              <w:tr2bl w:val="nil"/>
            </w:tcBorders>
            <w:shd w:val="clear" w:color="auto" w:fill="auto"/>
            <w:vAlign w:val="center"/>
          </w:tcPr>
          <w:p w14:paraId="09F15F17">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内部控制水平（市）</w:t>
            </w:r>
          </w:p>
        </w:tc>
        <w:tc>
          <w:tcPr>
            <w:tcW w:w="718" w:type="dxa"/>
            <w:tcBorders>
              <w:tl2br w:val="nil"/>
              <w:tr2bl w:val="nil"/>
            </w:tcBorders>
            <w:shd w:val="clear" w:color="auto" w:fill="auto"/>
            <w:vAlign w:val="center"/>
          </w:tcPr>
          <w:p w14:paraId="1BE32F5F">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4877" w:type="dxa"/>
            <w:tcBorders>
              <w:tl2br w:val="nil"/>
              <w:tr2bl w:val="nil"/>
            </w:tcBorders>
            <w:shd w:val="clear" w:color="auto" w:fill="auto"/>
            <w:vAlign w:val="center"/>
          </w:tcPr>
          <w:p w14:paraId="1298594E">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上半年</w:t>
            </w:r>
            <w:r>
              <w:rPr>
                <w:rFonts w:hint="eastAsia" w:ascii="宋体" w:hAnsi="宋体" w:eastAsia="宋体" w:cs="宋体"/>
                <w:i w:val="0"/>
                <w:iCs w:val="0"/>
                <w:color w:val="auto"/>
                <w:kern w:val="0"/>
                <w:sz w:val="22"/>
                <w:szCs w:val="22"/>
                <w:highlight w:val="none"/>
                <w:u w:val="none"/>
                <w:lang w:val="en-US" w:eastAsia="zh-CN" w:bidi="ar"/>
              </w:rPr>
              <w:t>行政处罚情况，竞标银行无处罚的得3分，有处罚的得0分</w:t>
            </w:r>
          </w:p>
        </w:tc>
      </w:tr>
      <w:tr w14:paraId="53720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4" w:hRule="atLeast"/>
        </w:trPr>
        <w:tc>
          <w:tcPr>
            <w:tcW w:w="1288" w:type="dxa"/>
            <w:vMerge w:val="continue"/>
            <w:tcBorders>
              <w:tl2br w:val="nil"/>
              <w:tr2bl w:val="nil"/>
            </w:tcBorders>
            <w:shd w:val="clear" w:color="auto" w:fill="auto"/>
            <w:vAlign w:val="center"/>
          </w:tcPr>
          <w:p w14:paraId="44DB0DB9">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021FF308">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1742" w:type="dxa"/>
            <w:tcBorders>
              <w:tl2br w:val="nil"/>
              <w:tr2bl w:val="nil"/>
            </w:tcBorders>
            <w:shd w:val="clear" w:color="auto" w:fill="auto"/>
            <w:vAlign w:val="center"/>
          </w:tcPr>
          <w:p w14:paraId="77D4166B">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无缝续贷累计额（区）</w:t>
            </w:r>
          </w:p>
        </w:tc>
        <w:tc>
          <w:tcPr>
            <w:tcW w:w="718" w:type="dxa"/>
            <w:tcBorders>
              <w:tl2br w:val="nil"/>
              <w:tr2bl w:val="nil"/>
            </w:tcBorders>
            <w:shd w:val="clear" w:color="auto" w:fill="auto"/>
            <w:vAlign w:val="center"/>
          </w:tcPr>
          <w:p w14:paraId="21C189C3">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877" w:type="dxa"/>
            <w:tcBorders>
              <w:tl2br w:val="nil"/>
              <w:tr2bl w:val="nil"/>
            </w:tcBorders>
            <w:shd w:val="clear" w:color="auto" w:fill="auto"/>
            <w:vAlign w:val="center"/>
          </w:tcPr>
          <w:p w14:paraId="2BA252A3">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上半年</w:t>
            </w:r>
            <w:r>
              <w:rPr>
                <w:rFonts w:hint="eastAsia" w:ascii="宋体" w:hAnsi="宋体" w:eastAsia="宋体" w:cs="宋体"/>
                <w:i w:val="0"/>
                <w:iCs w:val="0"/>
                <w:color w:val="auto"/>
                <w:kern w:val="0"/>
                <w:sz w:val="22"/>
                <w:szCs w:val="22"/>
                <w:highlight w:val="none"/>
                <w:u w:val="none"/>
                <w:lang w:val="en-US" w:eastAsia="zh-CN" w:bidi="ar"/>
              </w:rPr>
              <w:t>无缝续贷余额最高的竞标银行得5分，其他行按从高到低依次递减0.2分，最低得0分</w:t>
            </w:r>
          </w:p>
        </w:tc>
      </w:tr>
      <w:tr w14:paraId="183D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8" w:hRule="atLeast"/>
        </w:trPr>
        <w:tc>
          <w:tcPr>
            <w:tcW w:w="1288" w:type="dxa"/>
            <w:vMerge w:val="continue"/>
            <w:tcBorders>
              <w:tl2br w:val="nil"/>
              <w:tr2bl w:val="nil"/>
            </w:tcBorders>
            <w:shd w:val="clear" w:color="auto" w:fill="auto"/>
            <w:vAlign w:val="center"/>
          </w:tcPr>
          <w:p w14:paraId="3BE93974">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3D810821">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1742" w:type="dxa"/>
            <w:tcBorders>
              <w:tl2br w:val="nil"/>
              <w:tr2bl w:val="nil"/>
            </w:tcBorders>
            <w:shd w:val="clear" w:color="auto" w:fill="auto"/>
            <w:vAlign w:val="center"/>
          </w:tcPr>
          <w:p w14:paraId="2491DBFB">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涉农贷款（区）</w:t>
            </w:r>
          </w:p>
        </w:tc>
        <w:tc>
          <w:tcPr>
            <w:tcW w:w="718" w:type="dxa"/>
            <w:tcBorders>
              <w:tl2br w:val="nil"/>
              <w:tr2bl w:val="nil"/>
            </w:tcBorders>
            <w:shd w:val="clear" w:color="auto" w:fill="auto"/>
            <w:vAlign w:val="center"/>
          </w:tcPr>
          <w:p w14:paraId="085627A6">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4877" w:type="dxa"/>
            <w:tcBorders>
              <w:tl2br w:val="nil"/>
              <w:tr2bl w:val="nil"/>
            </w:tcBorders>
            <w:shd w:val="clear" w:color="auto" w:fill="auto"/>
            <w:vAlign w:val="center"/>
          </w:tcPr>
          <w:p w14:paraId="5113E7B9">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上半年</w:t>
            </w:r>
            <w:r>
              <w:rPr>
                <w:rFonts w:hint="eastAsia" w:ascii="宋体" w:hAnsi="宋体" w:eastAsia="宋体" w:cs="宋体"/>
                <w:i w:val="0"/>
                <w:iCs w:val="0"/>
                <w:color w:val="auto"/>
                <w:kern w:val="0"/>
                <w:sz w:val="22"/>
                <w:szCs w:val="22"/>
                <w:highlight w:val="none"/>
                <w:u w:val="none"/>
                <w:lang w:val="en-US" w:eastAsia="zh-CN" w:bidi="ar"/>
              </w:rPr>
              <w:t>涉农贷款余额最高的行得5分，其他行按从高到低依次递减0.2分，最低得0分</w:t>
            </w:r>
          </w:p>
        </w:tc>
      </w:tr>
      <w:tr w14:paraId="2791A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8" w:hRule="atLeast"/>
        </w:trPr>
        <w:tc>
          <w:tcPr>
            <w:tcW w:w="1288" w:type="dxa"/>
            <w:vMerge w:val="continue"/>
            <w:tcBorders>
              <w:tl2br w:val="nil"/>
              <w:tr2bl w:val="nil"/>
            </w:tcBorders>
            <w:shd w:val="clear" w:color="auto" w:fill="auto"/>
            <w:vAlign w:val="center"/>
          </w:tcPr>
          <w:p w14:paraId="23D8B4F3">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890" w:type="dxa"/>
            <w:vMerge w:val="continue"/>
            <w:tcBorders>
              <w:tl2br w:val="nil"/>
              <w:tr2bl w:val="nil"/>
            </w:tcBorders>
            <w:shd w:val="clear" w:color="auto" w:fill="auto"/>
            <w:vAlign w:val="center"/>
          </w:tcPr>
          <w:p w14:paraId="2FE6617A">
            <w:pPr>
              <w:spacing w:line="360" w:lineRule="auto"/>
              <w:jc w:val="center"/>
              <w:rPr>
                <w:rFonts w:hint="eastAsia" w:ascii="宋体" w:hAnsi="宋体" w:eastAsia="宋体" w:cs="宋体"/>
                <w:b w:val="0"/>
                <w:bCs w:val="0"/>
                <w:color w:val="auto"/>
                <w:kern w:val="0"/>
                <w:sz w:val="22"/>
                <w:szCs w:val="22"/>
                <w:highlight w:val="none"/>
                <w:lang w:val="en-US" w:eastAsia="zh-CN" w:bidi="ar-SA"/>
              </w:rPr>
            </w:pPr>
          </w:p>
        </w:tc>
        <w:tc>
          <w:tcPr>
            <w:tcW w:w="1742" w:type="dxa"/>
            <w:tcBorders>
              <w:tl2br w:val="nil"/>
              <w:tr2bl w:val="nil"/>
            </w:tcBorders>
            <w:shd w:val="clear" w:color="auto" w:fill="auto"/>
            <w:vAlign w:val="center"/>
          </w:tcPr>
          <w:p w14:paraId="1EDFC22D">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贷存差（区）</w:t>
            </w:r>
          </w:p>
        </w:tc>
        <w:tc>
          <w:tcPr>
            <w:tcW w:w="718" w:type="dxa"/>
            <w:tcBorders>
              <w:tl2br w:val="nil"/>
              <w:tr2bl w:val="nil"/>
            </w:tcBorders>
            <w:shd w:val="clear" w:color="auto" w:fill="auto"/>
            <w:vAlign w:val="center"/>
          </w:tcPr>
          <w:p w14:paraId="0AB5A2AC">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4877" w:type="dxa"/>
            <w:tcBorders>
              <w:tl2br w:val="nil"/>
              <w:tr2bl w:val="nil"/>
            </w:tcBorders>
            <w:shd w:val="clear" w:color="auto" w:fill="auto"/>
            <w:vAlign w:val="center"/>
          </w:tcPr>
          <w:p w14:paraId="6A2833AC">
            <w:pPr>
              <w:keepNext w:val="0"/>
              <w:keepLines w:val="0"/>
              <w:widowControl/>
              <w:suppressLineNumbers w:val="0"/>
              <w:spacing w:line="360" w:lineRule="auto"/>
              <w:jc w:val="left"/>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上半年</w:t>
            </w:r>
            <w:r>
              <w:rPr>
                <w:rFonts w:hint="eastAsia" w:ascii="宋体" w:hAnsi="宋体" w:eastAsia="宋体" w:cs="宋体"/>
                <w:i w:val="0"/>
                <w:iCs w:val="0"/>
                <w:color w:val="auto"/>
                <w:kern w:val="0"/>
                <w:sz w:val="22"/>
                <w:szCs w:val="22"/>
                <w:highlight w:val="none"/>
                <w:u w:val="none"/>
                <w:lang w:val="en-US" w:eastAsia="zh-CN" w:bidi="ar"/>
              </w:rPr>
              <w:t>贷存差最高的行得5分，其他行按从高到低依次递减0.2分，最低得0分</w:t>
            </w:r>
          </w:p>
        </w:tc>
      </w:tr>
      <w:tr w14:paraId="32F0F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12" w:hRule="atLeast"/>
        </w:trPr>
        <w:tc>
          <w:tcPr>
            <w:tcW w:w="1288" w:type="dxa"/>
            <w:vMerge w:val="restart"/>
            <w:tcBorders>
              <w:tl2br w:val="nil"/>
              <w:tr2bl w:val="nil"/>
            </w:tcBorders>
            <w:shd w:val="clear" w:color="auto" w:fill="auto"/>
            <w:vAlign w:val="center"/>
          </w:tcPr>
          <w:p w14:paraId="3092FD42">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服务水平</w:t>
            </w:r>
          </w:p>
        </w:tc>
        <w:tc>
          <w:tcPr>
            <w:tcW w:w="890" w:type="dxa"/>
            <w:vMerge w:val="restart"/>
            <w:tcBorders>
              <w:tl2br w:val="nil"/>
              <w:tr2bl w:val="nil"/>
            </w:tcBorders>
            <w:shd w:val="clear" w:color="auto" w:fill="auto"/>
            <w:vAlign w:val="center"/>
          </w:tcPr>
          <w:p w14:paraId="50C6DFF1">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w:t>
            </w:r>
          </w:p>
        </w:tc>
        <w:tc>
          <w:tcPr>
            <w:tcW w:w="1742" w:type="dxa"/>
            <w:tcBorders>
              <w:tl2br w:val="nil"/>
              <w:tr2bl w:val="nil"/>
            </w:tcBorders>
            <w:shd w:val="clear" w:color="auto" w:fill="auto"/>
            <w:vAlign w:val="center"/>
          </w:tcPr>
          <w:p w14:paraId="798FB6F7">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服务能力</w:t>
            </w:r>
          </w:p>
        </w:tc>
        <w:tc>
          <w:tcPr>
            <w:tcW w:w="718" w:type="dxa"/>
            <w:tcBorders>
              <w:tl2br w:val="nil"/>
              <w:tr2bl w:val="nil"/>
            </w:tcBorders>
            <w:shd w:val="clear" w:color="auto" w:fill="auto"/>
            <w:vAlign w:val="center"/>
          </w:tcPr>
          <w:p w14:paraId="5EFC2BAA">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4877" w:type="dxa"/>
            <w:tcBorders>
              <w:tl2br w:val="nil"/>
              <w:tr2bl w:val="nil"/>
            </w:tcBorders>
            <w:shd w:val="clear" w:color="auto" w:fill="auto"/>
            <w:vAlign w:val="center"/>
          </w:tcPr>
          <w:p w14:paraId="49F9A022">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加分项：承诺的日常服务包括但不限于：开设有财政账户加1分；提供上门服务、对账、分账、业务收费优惠等加1-2分；指定专人负责存款相关服务；及时告知银行出现的重大安全事项、提前支取给予绿色通道快速处理；其他服务可根据投标银行承诺横向比较打分。 扣分项：对202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w:t>
            </w:r>
            <w:r>
              <w:rPr>
                <w:rFonts w:hint="eastAsia" w:ascii="宋体" w:hAnsi="宋体" w:cs="宋体"/>
                <w:i w:val="0"/>
                <w:iCs w:val="0"/>
                <w:color w:val="auto"/>
                <w:kern w:val="0"/>
                <w:sz w:val="22"/>
                <w:szCs w:val="22"/>
                <w:highlight w:val="none"/>
                <w:u w:val="none"/>
                <w:lang w:val="en-US" w:eastAsia="zh-CN" w:bidi="ar"/>
              </w:rPr>
              <w:t>上半年</w:t>
            </w:r>
            <w:r>
              <w:rPr>
                <w:rFonts w:hint="eastAsia" w:ascii="宋体" w:hAnsi="宋体" w:eastAsia="宋体" w:cs="宋体"/>
                <w:i w:val="0"/>
                <w:iCs w:val="0"/>
                <w:color w:val="auto"/>
                <w:kern w:val="0"/>
                <w:sz w:val="22"/>
                <w:szCs w:val="22"/>
                <w:highlight w:val="none"/>
                <w:u w:val="none"/>
                <w:lang w:val="en-US" w:eastAsia="zh-CN" w:bidi="ar"/>
              </w:rPr>
              <w:t>出现业务差错、对账不及时、不配合工作等，由资金管理部门提供记录，根据情节严重程度扣分，扣完为止</w:t>
            </w:r>
          </w:p>
        </w:tc>
      </w:tr>
      <w:tr w14:paraId="01532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13" w:hRule="atLeast"/>
        </w:trPr>
        <w:tc>
          <w:tcPr>
            <w:tcW w:w="1288" w:type="dxa"/>
            <w:vMerge w:val="continue"/>
            <w:tcBorders>
              <w:tl2br w:val="nil"/>
              <w:tr2bl w:val="nil"/>
            </w:tcBorders>
            <w:shd w:val="clear" w:color="auto" w:fill="auto"/>
            <w:vAlign w:val="center"/>
          </w:tcPr>
          <w:p w14:paraId="45991AEB">
            <w:pPr>
              <w:spacing w:line="360" w:lineRule="auto"/>
              <w:jc w:val="center"/>
              <w:rPr>
                <w:rFonts w:hint="eastAsia" w:ascii="宋体" w:hAnsi="宋体" w:eastAsia="宋体" w:cs="宋体"/>
                <w:b w:val="0"/>
                <w:bCs w:val="0"/>
                <w:color w:val="auto"/>
                <w:kern w:val="0"/>
                <w:sz w:val="24"/>
                <w:szCs w:val="24"/>
                <w:highlight w:val="none"/>
                <w:lang w:val="en-US" w:eastAsia="zh-CN" w:bidi="ar-SA"/>
              </w:rPr>
            </w:pPr>
          </w:p>
        </w:tc>
        <w:tc>
          <w:tcPr>
            <w:tcW w:w="890" w:type="dxa"/>
            <w:vMerge w:val="continue"/>
            <w:tcBorders>
              <w:tl2br w:val="nil"/>
              <w:tr2bl w:val="nil"/>
            </w:tcBorders>
            <w:shd w:val="clear" w:color="auto" w:fill="auto"/>
            <w:vAlign w:val="center"/>
          </w:tcPr>
          <w:p w14:paraId="592EF06A">
            <w:pPr>
              <w:spacing w:line="360" w:lineRule="auto"/>
              <w:jc w:val="center"/>
              <w:rPr>
                <w:rFonts w:hint="eastAsia" w:ascii="宋体" w:hAnsi="宋体" w:eastAsia="宋体" w:cs="宋体"/>
                <w:b w:val="0"/>
                <w:bCs w:val="0"/>
                <w:color w:val="auto"/>
                <w:kern w:val="0"/>
                <w:sz w:val="24"/>
                <w:szCs w:val="24"/>
                <w:highlight w:val="none"/>
                <w:lang w:val="en-US" w:eastAsia="zh-CN" w:bidi="ar-SA"/>
              </w:rPr>
            </w:pPr>
          </w:p>
        </w:tc>
        <w:tc>
          <w:tcPr>
            <w:tcW w:w="1742" w:type="dxa"/>
            <w:tcBorders>
              <w:tl2br w:val="nil"/>
              <w:tr2bl w:val="nil"/>
            </w:tcBorders>
            <w:shd w:val="clear" w:color="auto" w:fill="auto"/>
            <w:vAlign w:val="center"/>
          </w:tcPr>
          <w:p w14:paraId="0B90C628">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服务水平</w:t>
            </w:r>
          </w:p>
        </w:tc>
        <w:tc>
          <w:tcPr>
            <w:tcW w:w="718" w:type="dxa"/>
            <w:tcBorders>
              <w:tl2br w:val="nil"/>
              <w:tr2bl w:val="nil"/>
            </w:tcBorders>
            <w:shd w:val="clear" w:color="auto" w:fill="auto"/>
            <w:vAlign w:val="center"/>
          </w:tcPr>
          <w:p w14:paraId="0A2EAF94">
            <w:pPr>
              <w:keepNext w:val="0"/>
              <w:keepLines w:val="0"/>
              <w:widowControl/>
              <w:suppressLineNumbers w:val="0"/>
              <w:spacing w:line="360" w:lineRule="auto"/>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4877" w:type="dxa"/>
            <w:tcBorders>
              <w:tl2br w:val="nil"/>
              <w:tr2bl w:val="nil"/>
            </w:tcBorders>
            <w:shd w:val="clear" w:color="auto" w:fill="auto"/>
            <w:vAlign w:val="center"/>
          </w:tcPr>
          <w:p w14:paraId="0549D261">
            <w:pPr>
              <w:keepNext w:val="0"/>
              <w:keepLines w:val="0"/>
              <w:widowControl/>
              <w:suppressLineNumbers w:val="0"/>
              <w:spacing w:line="360" w:lineRule="auto"/>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（1）所有参与投标银行得基础分2分；(2)在衢江区设有网点的加2分；(3)在衢江区设有2个及以上网点再加1分</w:t>
            </w:r>
          </w:p>
        </w:tc>
      </w:tr>
    </w:tbl>
    <w:p w14:paraId="12711B0F">
      <w:pPr>
        <w:keepNext w:val="0"/>
        <w:keepLines w:val="0"/>
        <w:pageBreakBefore w:val="0"/>
        <w:kinsoku/>
        <w:wordWrap/>
        <w:overflowPunct/>
        <w:topLinePunct w:val="0"/>
        <w:autoSpaceDE w:val="0"/>
        <w:autoSpaceDN w:val="0"/>
        <w:bidi w:val="0"/>
        <w:adjustRightInd w:val="0"/>
        <w:spacing w:line="420" w:lineRule="exact"/>
        <w:ind w:firstLine="442" w:firstLineChars="200"/>
        <w:jc w:val="left"/>
        <w:outlineLvl w:val="0"/>
        <w:rPr>
          <w:rFonts w:hint="eastAsia" w:ascii="宋体" w:hAnsi="宋体" w:eastAsia="宋体" w:cs="宋体"/>
          <w:b w:val="0"/>
          <w:bCs w:val="0"/>
          <w:color w:val="auto"/>
          <w:kern w:val="0"/>
          <w:sz w:val="22"/>
          <w:szCs w:val="22"/>
          <w:highlight w:val="none"/>
          <w:lang w:val="zh-CN" w:eastAsia="zh-CN" w:bidi="ar-SA"/>
        </w:rPr>
      </w:pPr>
      <w:r>
        <w:rPr>
          <w:rFonts w:hint="eastAsia" w:ascii="宋体" w:hAnsi="宋体" w:eastAsia="宋体" w:cs="宋体"/>
          <w:b/>
          <w:bCs/>
          <w:color w:val="auto"/>
          <w:kern w:val="0"/>
          <w:sz w:val="22"/>
          <w:szCs w:val="22"/>
          <w:highlight w:val="none"/>
          <w:lang w:val="zh-CN" w:eastAsia="zh-CN" w:bidi="ar-SA"/>
        </w:rPr>
        <w:t>注：以上经营状况指标及经济贡献指标数据由衢江区财政局向相关部门获取的数据为准</w:t>
      </w:r>
      <w:r>
        <w:rPr>
          <w:rFonts w:hint="eastAsia" w:ascii="宋体" w:hAnsi="宋体" w:eastAsia="宋体" w:cs="宋体"/>
          <w:b w:val="0"/>
          <w:bCs w:val="0"/>
          <w:color w:val="auto"/>
          <w:kern w:val="0"/>
          <w:sz w:val="22"/>
          <w:szCs w:val="22"/>
          <w:highlight w:val="none"/>
          <w:lang w:val="zh-CN" w:eastAsia="zh-CN" w:bidi="ar-SA"/>
        </w:rPr>
        <w:t>。</w:t>
      </w:r>
    </w:p>
    <w:bookmarkEnd w:id="80"/>
    <w:p w14:paraId="1EB4AC9F">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42" w:firstLineChars="200"/>
        <w:jc w:val="left"/>
        <w:textAlignment w:val="auto"/>
        <w:outlineLvl w:val="0"/>
        <w:rPr>
          <w:rFonts w:hint="eastAsia" w:ascii="宋体" w:hAnsi="宋体" w:eastAsia="宋体" w:cs="宋体"/>
          <w:b/>
          <w:bCs/>
          <w:color w:val="auto"/>
          <w:kern w:val="0"/>
          <w:sz w:val="22"/>
          <w:szCs w:val="22"/>
          <w:highlight w:val="none"/>
          <w:lang w:val="zh-CN" w:eastAsia="zh-CN" w:bidi="ar-SA"/>
        </w:rPr>
      </w:pPr>
      <w:r>
        <w:rPr>
          <w:rFonts w:hint="eastAsia" w:ascii="宋体" w:hAnsi="宋体" w:eastAsia="宋体" w:cs="宋体"/>
          <w:b/>
          <w:bCs/>
          <w:color w:val="auto"/>
          <w:kern w:val="0"/>
          <w:sz w:val="22"/>
          <w:szCs w:val="22"/>
          <w:highlight w:val="none"/>
          <w:lang w:val="zh-CN" w:eastAsia="zh-CN" w:bidi="ar-SA"/>
        </w:rPr>
        <w:t>五、开标程序</w:t>
      </w:r>
      <w:bookmarkEnd w:id="78"/>
      <w:bookmarkEnd w:id="79"/>
    </w:p>
    <w:p w14:paraId="34BC32F6">
      <w:pPr>
        <w:keepNext w:val="0"/>
        <w:keepLines w:val="0"/>
        <w:pageBreakBefore w:val="0"/>
        <w:widowControl w:val="0"/>
        <w:kinsoku/>
        <w:wordWrap/>
        <w:overflowPunct/>
        <w:topLinePunct w:val="0"/>
        <w:bidi w:val="0"/>
        <w:snapToGrid/>
        <w:spacing w:line="420" w:lineRule="exact"/>
        <w:ind w:firstLine="42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招标代理机构开启投标文件，</w:t>
      </w:r>
      <w:r>
        <w:rPr>
          <w:rFonts w:hint="eastAsia" w:ascii="宋体" w:hAnsi="宋体" w:eastAsia="宋体" w:cs="宋体"/>
          <w:color w:val="auto"/>
          <w:sz w:val="22"/>
          <w:szCs w:val="22"/>
          <w:highlight w:val="none"/>
        </w:rPr>
        <w:t>评标委员会对</w:t>
      </w:r>
      <w:r>
        <w:rPr>
          <w:rFonts w:hint="eastAsia" w:ascii="宋体" w:hAnsi="宋体" w:eastAsia="宋体" w:cs="宋体"/>
          <w:color w:val="auto"/>
          <w:sz w:val="22"/>
          <w:szCs w:val="22"/>
          <w:highlight w:val="none"/>
          <w:lang w:eastAsia="zh-CN"/>
        </w:rPr>
        <w:t>投标文件</w:t>
      </w:r>
      <w:r>
        <w:rPr>
          <w:rFonts w:hint="eastAsia" w:ascii="宋体" w:hAnsi="宋体" w:eastAsia="宋体" w:cs="宋体"/>
          <w:color w:val="auto"/>
          <w:sz w:val="22"/>
          <w:szCs w:val="22"/>
          <w:highlight w:val="none"/>
        </w:rPr>
        <w:t>进行评审，评审内容包括符合性审查，技术、商务评估及比较等。</w:t>
      </w:r>
    </w:p>
    <w:p w14:paraId="3C198603">
      <w:pPr>
        <w:keepNext w:val="0"/>
        <w:keepLines w:val="0"/>
        <w:pageBreakBefore w:val="0"/>
        <w:widowControl w:val="0"/>
        <w:kinsoku/>
        <w:wordWrap/>
        <w:overflowPunct/>
        <w:topLinePunct w:val="0"/>
        <w:bidi w:val="0"/>
        <w:snapToGrid/>
        <w:spacing w:line="420" w:lineRule="exact"/>
        <w:ind w:firstLine="42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.在系统上公开评审结果，如对</w:t>
      </w:r>
      <w:r>
        <w:rPr>
          <w:rFonts w:hint="eastAsia" w:ascii="宋体" w:hAnsi="宋体" w:eastAsia="宋体" w:cs="宋体"/>
          <w:color w:val="auto"/>
          <w:sz w:val="22"/>
          <w:szCs w:val="22"/>
          <w:highlight w:val="none"/>
          <w:lang w:eastAsia="zh-CN"/>
        </w:rPr>
        <w:t>评</w:t>
      </w:r>
      <w:r>
        <w:rPr>
          <w:rFonts w:hint="eastAsia" w:ascii="宋体" w:hAnsi="宋体" w:eastAsia="宋体" w:cs="宋体"/>
          <w:color w:val="auto"/>
          <w:sz w:val="22"/>
          <w:szCs w:val="22"/>
          <w:highlight w:val="none"/>
          <w:lang w:val="en-US" w:eastAsia="zh-CN"/>
        </w:rPr>
        <w:t>审</w:t>
      </w:r>
      <w:r>
        <w:rPr>
          <w:rFonts w:hint="eastAsia" w:ascii="宋体" w:hAnsi="宋体" w:eastAsia="宋体" w:cs="宋体"/>
          <w:color w:val="auto"/>
          <w:sz w:val="22"/>
          <w:szCs w:val="22"/>
          <w:highlight w:val="none"/>
        </w:rPr>
        <w:t>结果有异议的，投标人应当在结果公布后</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分钟内提出；相关异议（如有）将由评标委员会作澄清；</w:t>
      </w:r>
    </w:p>
    <w:p w14:paraId="6E570D88">
      <w:pPr>
        <w:keepNext w:val="0"/>
        <w:keepLines w:val="0"/>
        <w:pageBreakBefore w:val="0"/>
        <w:widowControl w:val="0"/>
        <w:kinsoku/>
        <w:wordWrap/>
        <w:overflowPunct/>
        <w:topLinePunct w:val="0"/>
        <w:bidi w:val="0"/>
        <w:snapToGrid/>
        <w:spacing w:line="420" w:lineRule="exact"/>
        <w:ind w:firstLine="42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.评标委员会编写并签署评标报告，评标报告应当根据综合得分由高到低列明投标人排名情况，推荐中标候选人；</w:t>
      </w:r>
    </w:p>
    <w:p w14:paraId="18AC6CF6">
      <w:pPr>
        <w:keepNext w:val="0"/>
        <w:keepLines w:val="0"/>
        <w:pageBreakBefore w:val="0"/>
        <w:widowControl w:val="0"/>
        <w:kinsoku/>
        <w:wordWrap/>
        <w:overflowPunct/>
        <w:topLinePunct w:val="0"/>
        <w:bidi w:val="0"/>
        <w:snapToGrid/>
        <w:spacing w:line="420" w:lineRule="exact"/>
        <w:ind w:firstLine="42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招标代理机构</w:t>
      </w:r>
      <w:r>
        <w:rPr>
          <w:rFonts w:hint="eastAsia" w:ascii="宋体" w:hAnsi="宋体" w:eastAsia="宋体" w:cs="宋体"/>
          <w:color w:val="auto"/>
          <w:sz w:val="22"/>
          <w:szCs w:val="22"/>
          <w:highlight w:val="none"/>
        </w:rPr>
        <w:t>公布最终评审结果并出具开标记录，</w:t>
      </w:r>
      <w:r>
        <w:rPr>
          <w:rFonts w:hint="eastAsia" w:ascii="宋体" w:hAnsi="宋体" w:eastAsia="宋体" w:cs="宋体"/>
          <w:color w:val="auto"/>
          <w:sz w:val="22"/>
          <w:szCs w:val="22"/>
          <w:highlight w:val="none"/>
          <w:lang w:eastAsia="zh-CN"/>
        </w:rPr>
        <w:t>相关人员</w:t>
      </w:r>
      <w:r>
        <w:rPr>
          <w:rFonts w:hint="eastAsia" w:ascii="宋体" w:hAnsi="宋体" w:eastAsia="宋体" w:cs="宋体"/>
          <w:color w:val="auto"/>
          <w:sz w:val="22"/>
          <w:szCs w:val="22"/>
          <w:highlight w:val="none"/>
        </w:rPr>
        <w:t>当场签字确认；</w:t>
      </w:r>
    </w:p>
    <w:p w14:paraId="708E8EB7">
      <w:pPr>
        <w:keepNext w:val="0"/>
        <w:keepLines w:val="0"/>
        <w:pageBreakBefore w:val="0"/>
        <w:widowControl w:val="0"/>
        <w:kinsoku/>
        <w:wordWrap/>
        <w:overflowPunct/>
        <w:topLinePunct w:val="0"/>
        <w:bidi w:val="0"/>
        <w:snapToGrid/>
        <w:spacing w:line="420" w:lineRule="exact"/>
        <w:ind w:firstLine="42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开评标会议结束</w:t>
      </w:r>
    </w:p>
    <w:p w14:paraId="3AB3B69B">
      <w:pPr>
        <w:keepNext w:val="0"/>
        <w:keepLines w:val="0"/>
        <w:pageBreakBefore w:val="0"/>
        <w:widowControl w:val="0"/>
        <w:kinsoku/>
        <w:wordWrap/>
        <w:overflowPunct/>
        <w:topLinePunct w:val="0"/>
        <w:bidi w:val="0"/>
        <w:snapToGrid/>
        <w:spacing w:line="4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特别说明：如“政采云”系统对电子化开标及评审程序有调整的，按调整后的程序操作。</w:t>
      </w:r>
    </w:p>
    <w:p w14:paraId="0646A523">
      <w:pPr>
        <w:keepNext w:val="0"/>
        <w:keepLines w:val="0"/>
        <w:pageBreakBefore w:val="0"/>
        <w:widowControl w:val="0"/>
        <w:kinsoku/>
        <w:wordWrap/>
        <w:overflowPunct/>
        <w:topLinePunct w:val="0"/>
        <w:bidi w:val="0"/>
        <w:snapToGrid/>
        <w:spacing w:line="4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注：本项目采用政采云电子招投标开标及评审程序，</w:t>
      </w:r>
      <w:r>
        <w:rPr>
          <w:rFonts w:hint="eastAsia" w:ascii="宋体" w:hAnsi="宋体" w:eastAsia="宋体" w:cs="宋体"/>
          <w:b/>
          <w:bCs/>
          <w:color w:val="auto"/>
          <w:sz w:val="22"/>
          <w:szCs w:val="22"/>
          <w:highlight w:val="none"/>
          <w:lang w:eastAsia="zh-CN"/>
        </w:rPr>
        <w:t>招标</w:t>
      </w:r>
      <w:r>
        <w:rPr>
          <w:rFonts w:hint="eastAsia" w:ascii="宋体" w:hAnsi="宋体" w:eastAsia="宋体" w:cs="宋体"/>
          <w:b/>
          <w:bCs/>
          <w:color w:val="auto"/>
          <w:sz w:val="22"/>
          <w:szCs w:val="22"/>
          <w:highlight w:val="none"/>
        </w:rPr>
        <w:t>过程中出现以下情形，导致电子交易平台无法正常运行，或者无法保证电子交易的公平、公正和安全时，</w:t>
      </w:r>
      <w:r>
        <w:rPr>
          <w:rFonts w:hint="eastAsia" w:ascii="宋体" w:hAnsi="宋体" w:eastAsia="宋体" w:cs="宋体"/>
          <w:b/>
          <w:bCs/>
          <w:color w:val="auto"/>
          <w:sz w:val="22"/>
          <w:szCs w:val="22"/>
          <w:highlight w:val="none"/>
          <w:lang w:eastAsia="zh-CN"/>
        </w:rPr>
        <w:t>招标代理机构</w:t>
      </w:r>
      <w:r>
        <w:rPr>
          <w:rFonts w:hint="eastAsia" w:ascii="宋体" w:hAnsi="宋体" w:eastAsia="宋体" w:cs="宋体"/>
          <w:b/>
          <w:bCs/>
          <w:color w:val="auto"/>
          <w:sz w:val="22"/>
          <w:szCs w:val="22"/>
          <w:highlight w:val="none"/>
        </w:rPr>
        <w:t>可中止电子交易活动：</w:t>
      </w:r>
    </w:p>
    <w:p w14:paraId="288F1038">
      <w:pPr>
        <w:keepNext w:val="0"/>
        <w:keepLines w:val="0"/>
        <w:pageBreakBefore w:val="0"/>
        <w:widowControl w:val="0"/>
        <w:kinsoku/>
        <w:wordWrap/>
        <w:overflowPunct/>
        <w:topLinePunct w:val="0"/>
        <w:bidi w:val="0"/>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（一）电子交易平台发生故障而无法登录访问的； </w:t>
      </w:r>
    </w:p>
    <w:p w14:paraId="55BB3E1D">
      <w:pPr>
        <w:keepNext w:val="0"/>
        <w:keepLines w:val="0"/>
        <w:pageBreakBefore w:val="0"/>
        <w:widowControl w:val="0"/>
        <w:kinsoku/>
        <w:wordWrap/>
        <w:overflowPunct/>
        <w:topLinePunct w:val="0"/>
        <w:bidi w:val="0"/>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（二）电子交易平台应用或数据库出现错误，不能进行正常操作的；</w:t>
      </w:r>
    </w:p>
    <w:p w14:paraId="5897A544">
      <w:pPr>
        <w:keepNext w:val="0"/>
        <w:keepLines w:val="0"/>
        <w:pageBreakBefore w:val="0"/>
        <w:widowControl w:val="0"/>
        <w:kinsoku/>
        <w:wordWrap/>
        <w:overflowPunct/>
        <w:topLinePunct w:val="0"/>
        <w:bidi w:val="0"/>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（三）电子交易平台发现严重安全漏洞，有潜在泄密危险的；</w:t>
      </w:r>
    </w:p>
    <w:p w14:paraId="14F61326">
      <w:pPr>
        <w:keepNext w:val="0"/>
        <w:keepLines w:val="0"/>
        <w:pageBreakBefore w:val="0"/>
        <w:widowControl w:val="0"/>
        <w:kinsoku/>
        <w:wordWrap/>
        <w:overflowPunct/>
        <w:topLinePunct w:val="0"/>
        <w:bidi w:val="0"/>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（四）病毒发作导致不能进行正常操作的；</w:t>
      </w:r>
    </w:p>
    <w:p w14:paraId="2D5066C5">
      <w:pPr>
        <w:keepNext w:val="0"/>
        <w:keepLines w:val="0"/>
        <w:pageBreakBefore w:val="0"/>
        <w:widowControl w:val="0"/>
        <w:kinsoku/>
        <w:wordWrap/>
        <w:overflowPunct/>
        <w:topLinePunct w:val="0"/>
        <w:bidi w:val="0"/>
        <w:snapToGri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（五）其他无法保证电子交易的公平、公正和安全的情况。</w:t>
      </w:r>
    </w:p>
    <w:p w14:paraId="71C1427E">
      <w:pPr>
        <w:keepNext w:val="0"/>
        <w:keepLines w:val="0"/>
        <w:pageBreakBefore w:val="0"/>
        <w:widowControl w:val="0"/>
        <w:kinsoku/>
        <w:wordWrap/>
        <w:overflowPunct/>
        <w:topLinePunct w:val="0"/>
        <w:bidi w:val="0"/>
        <w:snapToGrid/>
        <w:spacing w:line="420" w:lineRule="exact"/>
        <w:ind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rPr>
        <w:t>出现前款规定情形，不影响</w:t>
      </w:r>
      <w:r>
        <w:rPr>
          <w:rFonts w:hint="eastAsia" w:ascii="宋体" w:hAnsi="宋体" w:eastAsia="宋体" w:cs="宋体"/>
          <w:b/>
          <w:color w:val="auto"/>
          <w:sz w:val="22"/>
          <w:szCs w:val="22"/>
          <w:highlight w:val="none"/>
          <w:lang w:eastAsia="zh-CN"/>
        </w:rPr>
        <w:t>招标</w:t>
      </w:r>
      <w:r>
        <w:rPr>
          <w:rFonts w:hint="eastAsia" w:ascii="宋体" w:hAnsi="宋体" w:eastAsia="宋体" w:cs="宋体"/>
          <w:b/>
          <w:color w:val="auto"/>
          <w:sz w:val="22"/>
          <w:szCs w:val="22"/>
          <w:highlight w:val="none"/>
        </w:rPr>
        <w:t>公平、公正性的，</w:t>
      </w:r>
      <w:r>
        <w:rPr>
          <w:rFonts w:hint="eastAsia" w:ascii="宋体" w:hAnsi="宋体" w:eastAsia="宋体" w:cs="宋体"/>
          <w:b/>
          <w:color w:val="auto"/>
          <w:sz w:val="22"/>
          <w:szCs w:val="22"/>
          <w:highlight w:val="none"/>
          <w:lang w:eastAsia="zh-CN"/>
        </w:rPr>
        <w:t>招标代理机构</w:t>
      </w:r>
      <w:r>
        <w:rPr>
          <w:rFonts w:hint="eastAsia" w:ascii="宋体" w:hAnsi="宋体" w:eastAsia="宋体" w:cs="宋体"/>
          <w:b/>
          <w:color w:val="auto"/>
          <w:sz w:val="22"/>
          <w:szCs w:val="22"/>
          <w:highlight w:val="none"/>
        </w:rPr>
        <w:t>可以待上述情形消除后继续组织电子交易活动。</w:t>
      </w:r>
    </w:p>
    <w:p w14:paraId="498404BC">
      <w:pPr>
        <w:pStyle w:val="61"/>
        <w:ind w:left="0" w:leftChars="0" w:firstLine="0" w:firstLineChars="0"/>
        <w:rPr>
          <w:rFonts w:hint="eastAsia" w:ascii="宋体" w:hAnsi="宋体" w:eastAsia="宋体" w:cs="宋体"/>
          <w:color w:val="auto"/>
          <w:kern w:val="0"/>
          <w:sz w:val="22"/>
          <w:szCs w:val="22"/>
          <w:highlight w:val="none"/>
        </w:rPr>
      </w:pPr>
    </w:p>
    <w:sectPr>
      <w:footerReference r:id="rId11" w:type="default"/>
      <w:pgSz w:w="11906" w:h="16838"/>
      <w:pgMar w:top="1134" w:right="1134" w:bottom="1134" w:left="1134" w:header="737" w:footer="737" w:gutter="284"/>
      <w:pgBorders w:zOrder="back">
        <w:top w:val="double" w:color="auto" w:sz="4" w:space="1"/>
        <w:left w:val="none" w:sz="0" w:space="0"/>
        <w:bottom w:val="double" w:color="auto" w:sz="4" w:space="1"/>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Garamond">
    <w:altName w:val="MV Boli"/>
    <w:panose1 w:val="02020404030301010803"/>
    <w:charset w:val="00"/>
    <w:family w:val="roman"/>
    <w:pitch w:val="default"/>
    <w:sig w:usb0="00000000" w:usb1="00000000" w:usb2="00000000" w:usb3="00000000" w:csb0="0000009F" w:csb1="00000000"/>
  </w:font>
  <w:font w:name="MV Boli">
    <w:panose1 w:val="02000500030200090000"/>
    <w:charset w:val="00"/>
    <w:family w:val="auto"/>
    <w:pitch w:val="default"/>
    <w:sig w:usb0="00000003" w:usb1="00000000" w:usb2="00000100" w:usb3="00000000" w:csb0="0000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FuturaA Bk BT">
    <w:altName w:val="Times New Roman"/>
    <w:panose1 w:val="00000000000000000000"/>
    <w:charset w:val="00"/>
    <w:family w:val="auto"/>
    <w:pitch w:val="default"/>
    <w:sig w:usb0="00000000" w:usb1="00000000" w:usb2="00000000" w:usb3="00000000" w:csb0="00000001" w:csb1="00000000"/>
  </w:font>
  <w:font w:name="Univers">
    <w:altName w:val="Arial"/>
    <w:panose1 w:val="00000000000000000000"/>
    <w:charset w:val="00"/>
    <w:family w:val="swiss"/>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6D7D8">
    <w:pPr>
      <w:pStyle w:val="40"/>
    </w:pPr>
  </w:p>
  <w:p w14:paraId="4FFE1475">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B397A">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BD929">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0FBC">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16E8">
    <w:pPr>
      <w:pStyle w:val="40"/>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8004C">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38004C">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91C35">
    <w:pPr>
      <w:pStyle w:val="6"/>
      <w:shd w:val="clear" w:color="auto" w:fill="FFFFFF"/>
      <w:spacing w:before="0" w:after="0" w:line="240" w:lineRule="auto"/>
      <w:jc w:val="center"/>
      <w:rPr>
        <w:rFonts w:hint="eastAsia" w:ascii="宋体" w:hAnsi="宋体" w:eastAsia="宋体" w:cs="宋体"/>
        <w:bCs w:val="0"/>
        <w:sz w:val="18"/>
        <w:szCs w:val="18"/>
        <w:lang w:eastAsia="zh-CN"/>
      </w:rPr>
    </w:pPr>
    <w:r>
      <w:rPr>
        <w:rFonts w:hint="eastAsia" w:ascii="宋体" w:hAnsi="宋体" w:eastAsia="宋体" w:cs="宋体"/>
        <w:bCs w:val="0"/>
        <w:sz w:val="18"/>
        <w:szCs w:val="18"/>
        <w:lang w:eastAsia="zh-CN"/>
      </w:rPr>
      <w:t>衢州市衢江区住房和城乡建设局2025年第一期物业两金竞争性存放项目--采购文件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6E4C3">
    <w:pPr>
      <w:pStyle w:val="6"/>
      <w:shd w:val="clear" w:color="auto" w:fill="FFFFFF"/>
      <w:spacing w:before="0" w:after="0" w:line="240" w:lineRule="auto"/>
      <w:jc w:val="center"/>
    </w:pPr>
    <w:r>
      <w:rPr>
        <w:rFonts w:hint="eastAsia" w:ascii="宋体" w:hAnsi="宋体" w:eastAsia="宋体" w:cs="宋体"/>
        <w:bCs w:val="0"/>
        <w:sz w:val="18"/>
        <w:szCs w:val="18"/>
        <w:lang w:eastAsia="zh-CN"/>
      </w:rPr>
      <w:t>衢州市衢江区住房和城乡建设局2025年第一期物业两金竞争性存放项目--采购文件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8FEA0">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83C86">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4ECF9"/>
    <w:multiLevelType w:val="singleLevel"/>
    <w:tmpl w:val="A6D4ECF9"/>
    <w:lvl w:ilvl="0" w:tentative="0">
      <w:start w:val="2"/>
      <w:numFmt w:val="chineseCounting"/>
      <w:suff w:val="space"/>
      <w:lvlText w:val="第%1章"/>
      <w:lvlJc w:val="left"/>
      <w:rPr>
        <w:rFonts w:hint="eastAsia"/>
      </w:rPr>
    </w:lvl>
  </w:abstractNum>
  <w:abstractNum w:abstractNumId="1">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2">
    <w:nsid w:val="00000002"/>
    <w:multiLevelType w:val="multilevel"/>
    <w:tmpl w:val="00000002"/>
    <w:lvl w:ilvl="0" w:tentative="0">
      <w:start w:val="1"/>
      <w:numFmt w:val="decimal"/>
      <w:pStyle w:val="2"/>
      <w:lvlText w:val="第%1章"/>
      <w:lvlJc w:val="left"/>
      <w:pPr>
        <w:tabs>
          <w:tab w:val="left" w:pos="432"/>
        </w:tabs>
        <w:ind w:left="2632" w:hanging="432"/>
      </w:pPr>
      <w:rPr>
        <w:rFonts w:hint="eastAsia"/>
      </w:rPr>
    </w:lvl>
    <w:lvl w:ilvl="1" w:tentative="0">
      <w:start w:val="1"/>
      <w:numFmt w:val="decimal"/>
      <w:lvlText w:val="%1.%2"/>
      <w:lvlJc w:val="left"/>
      <w:pPr>
        <w:tabs>
          <w:tab w:val="left" w:pos="576"/>
        </w:tabs>
        <w:ind w:left="2776" w:hanging="576"/>
      </w:pPr>
      <w:rPr>
        <w:rFonts w:hint="eastAsia"/>
      </w:rPr>
    </w:lvl>
    <w:lvl w:ilvl="2" w:tentative="0">
      <w:start w:val="1"/>
      <w:numFmt w:val="decimal"/>
      <w:lvlText w:val="%1.%2.%3"/>
      <w:lvlJc w:val="left"/>
      <w:pPr>
        <w:tabs>
          <w:tab w:val="left" w:pos="720"/>
        </w:tabs>
        <w:ind w:left="2920" w:hanging="720"/>
      </w:pPr>
      <w:rPr>
        <w:rFonts w:hint="eastAsia"/>
      </w:rPr>
    </w:lvl>
    <w:lvl w:ilvl="3" w:tentative="0">
      <w:start w:val="1"/>
      <w:numFmt w:val="decimal"/>
      <w:lvlText w:val="%1.%2.%3.%4"/>
      <w:lvlJc w:val="left"/>
      <w:pPr>
        <w:tabs>
          <w:tab w:val="left" w:pos="864"/>
        </w:tabs>
        <w:ind w:left="3064" w:hanging="864"/>
      </w:pPr>
      <w:rPr>
        <w:rFonts w:hint="eastAsia"/>
      </w:rPr>
    </w:lvl>
    <w:lvl w:ilvl="4" w:tentative="0">
      <w:start w:val="1"/>
      <w:numFmt w:val="decimal"/>
      <w:lvlText w:val="%1.%2.%3.%4.%5"/>
      <w:lvlJc w:val="left"/>
      <w:pPr>
        <w:tabs>
          <w:tab w:val="left" w:pos="1008"/>
        </w:tabs>
        <w:ind w:left="3208" w:hanging="1008"/>
      </w:pPr>
      <w:rPr>
        <w:rFonts w:hint="eastAsia"/>
      </w:rPr>
    </w:lvl>
    <w:lvl w:ilvl="5" w:tentative="0">
      <w:start w:val="1"/>
      <w:numFmt w:val="decimal"/>
      <w:lvlText w:val="%1.%2.%3.%4.%5.%6"/>
      <w:lvlJc w:val="left"/>
      <w:pPr>
        <w:tabs>
          <w:tab w:val="left" w:pos="1152"/>
        </w:tabs>
        <w:ind w:left="3352" w:hanging="1152"/>
      </w:pPr>
      <w:rPr>
        <w:rFonts w:hint="eastAsia"/>
      </w:rPr>
    </w:lvl>
    <w:lvl w:ilvl="6" w:tentative="0">
      <w:start w:val="1"/>
      <w:numFmt w:val="decimal"/>
      <w:lvlText w:val="%1.%2.%3.%4.%5.%6.%7"/>
      <w:lvlJc w:val="left"/>
      <w:pPr>
        <w:tabs>
          <w:tab w:val="left" w:pos="1296"/>
        </w:tabs>
        <w:ind w:left="3496" w:hanging="1296"/>
      </w:pPr>
      <w:rPr>
        <w:rFonts w:hint="eastAsia"/>
      </w:rPr>
    </w:lvl>
    <w:lvl w:ilvl="7" w:tentative="0">
      <w:start w:val="1"/>
      <w:numFmt w:val="decimal"/>
      <w:lvlText w:val="%1.%2.%3.%4.%5.%6.%7.%8"/>
      <w:lvlJc w:val="left"/>
      <w:pPr>
        <w:tabs>
          <w:tab w:val="left" w:pos="1440"/>
        </w:tabs>
        <w:ind w:left="3640" w:hanging="1440"/>
      </w:pPr>
      <w:rPr>
        <w:rFonts w:hint="eastAsia"/>
      </w:rPr>
    </w:lvl>
    <w:lvl w:ilvl="8" w:tentative="0">
      <w:start w:val="1"/>
      <w:numFmt w:val="decimal"/>
      <w:lvlText w:val="%1.%2.%3.%4.%5.%6.%7.%8.%9"/>
      <w:lvlJc w:val="left"/>
      <w:pPr>
        <w:tabs>
          <w:tab w:val="left" w:pos="1584"/>
        </w:tabs>
        <w:ind w:left="3784" w:hanging="1584"/>
      </w:pPr>
      <w:rPr>
        <w:rFonts w:hint="eastAsia"/>
      </w:rPr>
    </w:lvl>
  </w:abstractNum>
  <w:abstractNum w:abstractNumId="3">
    <w:nsid w:val="0000000A"/>
    <w:multiLevelType w:val="multilevel"/>
    <w:tmpl w:val="0000000A"/>
    <w:lvl w:ilvl="0" w:tentative="0">
      <w:start w:val="1"/>
      <w:numFmt w:val="none"/>
      <w:pStyle w:val="191"/>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4">
    <w:nsid w:val="0000000B"/>
    <w:multiLevelType w:val="multilevel"/>
    <w:tmpl w:val="0000000B"/>
    <w:lvl w:ilvl="0" w:tentative="0">
      <w:start w:val="1"/>
      <w:numFmt w:val="bullet"/>
      <w:pStyle w:val="1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281"/>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5"/>
    <w:multiLevelType w:val="singleLevel"/>
    <w:tmpl w:val="00000015"/>
    <w:lvl w:ilvl="0" w:tentative="0">
      <w:start w:val="1"/>
      <w:numFmt w:val="decimal"/>
      <w:pStyle w:val="227"/>
      <w:lvlText w:val="%1．"/>
      <w:lvlJc w:val="left"/>
      <w:pPr>
        <w:tabs>
          <w:tab w:val="left" w:pos="360"/>
        </w:tabs>
        <w:ind w:left="245" w:hanging="245"/>
      </w:pPr>
      <w:rPr>
        <w:rFonts w:ascii="Times New Roman" w:hAnsi="Times New Roman" w:eastAsia="Times New Roman" w:cs="Times New Roman"/>
      </w:rPr>
    </w:lvl>
  </w:abstractNum>
  <w:abstractNum w:abstractNumId="7">
    <w:nsid w:val="00000016"/>
    <w:multiLevelType w:val="multilevel"/>
    <w:tmpl w:val="00000016"/>
    <w:lvl w:ilvl="0" w:tentative="0">
      <w:start w:val="1"/>
      <w:numFmt w:val="decimal"/>
      <w:pStyle w:val="238"/>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bullet"/>
      <w:pStyle w:val="21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A"/>
    <w:multiLevelType w:val="multilevel"/>
    <w:tmpl w:val="0000001A"/>
    <w:lvl w:ilvl="0" w:tentative="0">
      <w:start w:val="1"/>
      <w:numFmt w:val="decimal"/>
      <w:pStyle w:val="230"/>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190"/>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8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07"/>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AA728CC"/>
    <w:multiLevelType w:val="multilevel"/>
    <w:tmpl w:val="1AA728CC"/>
    <w:lvl w:ilvl="0" w:tentative="0">
      <w:start w:val="1"/>
      <w:numFmt w:val="lowerLetter"/>
      <w:pStyle w:val="8"/>
      <w:lvlText w:val="%1)"/>
      <w:lvlJc w:val="left"/>
      <w:pPr>
        <w:ind w:left="420" w:hanging="420"/>
      </w:pPr>
    </w:lvl>
    <w:lvl w:ilvl="1" w:tentative="0">
      <w:start w:val="1"/>
      <w:numFmt w:val="lowerLetter"/>
      <w:pStyle w:val="215"/>
      <w:lvlText w:val="%2)"/>
      <w:lvlJc w:val="left"/>
      <w:pPr>
        <w:ind w:left="840" w:hanging="420"/>
      </w:pPr>
    </w:lvl>
    <w:lvl w:ilvl="2" w:tentative="0">
      <w:start w:val="1"/>
      <w:numFmt w:val="lowerRoman"/>
      <w:pStyle w:val="234"/>
      <w:lvlText w:val="%3."/>
      <w:lvlJc w:val="right"/>
      <w:pPr>
        <w:ind w:left="1260" w:hanging="420"/>
      </w:pPr>
    </w:lvl>
    <w:lvl w:ilvl="3" w:tentative="0">
      <w:start w:val="1"/>
      <w:numFmt w:val="decimal"/>
      <w:pStyle w:val="288"/>
      <w:lvlText w:val="%4."/>
      <w:lvlJc w:val="left"/>
      <w:pPr>
        <w:ind w:left="1680" w:hanging="420"/>
      </w:pPr>
    </w:lvl>
    <w:lvl w:ilvl="4" w:tentative="0">
      <w:start w:val="1"/>
      <w:numFmt w:val="lowerLetter"/>
      <w:pStyle w:val="189"/>
      <w:lvlText w:val="%5)"/>
      <w:lvlJc w:val="left"/>
      <w:pPr>
        <w:ind w:left="2100" w:hanging="420"/>
      </w:pPr>
    </w:lvl>
    <w:lvl w:ilvl="5" w:tentative="0">
      <w:start w:val="1"/>
      <w:numFmt w:val="lowerRoman"/>
      <w:pStyle w:val="221"/>
      <w:lvlText w:val="%6."/>
      <w:lvlJc w:val="right"/>
      <w:pPr>
        <w:ind w:left="2520" w:hanging="420"/>
      </w:pPr>
    </w:lvl>
    <w:lvl w:ilvl="6" w:tentative="0">
      <w:start w:val="1"/>
      <w:numFmt w:val="decimal"/>
      <w:pStyle w:val="199"/>
      <w:lvlText w:val="%7."/>
      <w:lvlJc w:val="left"/>
      <w:pPr>
        <w:ind w:left="2940" w:hanging="420"/>
      </w:pPr>
    </w:lvl>
    <w:lvl w:ilvl="7" w:tentative="0">
      <w:start w:val="1"/>
      <w:numFmt w:val="lowerLetter"/>
      <w:pStyle w:val="291"/>
      <w:lvlText w:val="%8)"/>
      <w:lvlJc w:val="left"/>
      <w:pPr>
        <w:ind w:left="3360" w:hanging="420"/>
      </w:pPr>
    </w:lvl>
    <w:lvl w:ilvl="8" w:tentative="0">
      <w:start w:val="1"/>
      <w:numFmt w:val="lowerRoman"/>
      <w:pStyle w:val="276"/>
      <w:lvlText w:val="%9."/>
      <w:lvlJc w:val="right"/>
      <w:pPr>
        <w:ind w:left="3780" w:hanging="420"/>
      </w:pPr>
    </w:lvl>
  </w:abstractNum>
  <w:num w:numId="1">
    <w:abstractNumId w:val="13"/>
  </w:num>
  <w:num w:numId="2">
    <w:abstractNumId w:val="2"/>
  </w:num>
  <w:num w:numId="3">
    <w:abstractNumId w:val="4"/>
  </w:num>
  <w:num w:numId="4">
    <w:abstractNumId w:val="1"/>
  </w:num>
  <w:num w:numId="5">
    <w:abstractNumId w:val="10"/>
  </w:num>
  <w:num w:numId="6">
    <w:abstractNumId w:val="3"/>
  </w:num>
  <w:num w:numId="7">
    <w:abstractNumId w:val="12"/>
  </w:num>
  <w:num w:numId="8">
    <w:abstractNumId w:val="8"/>
  </w:num>
  <w:num w:numId="9">
    <w:abstractNumId w:val="6"/>
  </w:num>
  <w:num w:numId="10">
    <w:abstractNumId w:val="9"/>
  </w:num>
  <w:num w:numId="11">
    <w:abstractNumId w:val="7"/>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M2Q2NzNhOWRmZTYyN2MxM2EzMzg4OTljZTU5ODQifQ=="/>
  </w:docVars>
  <w:rsids>
    <w:rsidRoot w:val="00172A27"/>
    <w:rsid w:val="00001368"/>
    <w:rsid w:val="000054AD"/>
    <w:rsid w:val="00005D4A"/>
    <w:rsid w:val="00006B4E"/>
    <w:rsid w:val="00006DDD"/>
    <w:rsid w:val="00010879"/>
    <w:rsid w:val="00010D30"/>
    <w:rsid w:val="00011304"/>
    <w:rsid w:val="00011513"/>
    <w:rsid w:val="00012E6D"/>
    <w:rsid w:val="00012F08"/>
    <w:rsid w:val="000141D1"/>
    <w:rsid w:val="0001491E"/>
    <w:rsid w:val="00016FE2"/>
    <w:rsid w:val="00021252"/>
    <w:rsid w:val="0002128C"/>
    <w:rsid w:val="000227A9"/>
    <w:rsid w:val="00024BCF"/>
    <w:rsid w:val="000252FD"/>
    <w:rsid w:val="00025414"/>
    <w:rsid w:val="00030418"/>
    <w:rsid w:val="000305AD"/>
    <w:rsid w:val="0003300E"/>
    <w:rsid w:val="0003452C"/>
    <w:rsid w:val="00034868"/>
    <w:rsid w:val="00035C9C"/>
    <w:rsid w:val="0003664D"/>
    <w:rsid w:val="0003776A"/>
    <w:rsid w:val="00040A06"/>
    <w:rsid w:val="00040E34"/>
    <w:rsid w:val="00041B22"/>
    <w:rsid w:val="00041D1D"/>
    <w:rsid w:val="00044EFC"/>
    <w:rsid w:val="00045B61"/>
    <w:rsid w:val="00045E9D"/>
    <w:rsid w:val="0004606F"/>
    <w:rsid w:val="0004706F"/>
    <w:rsid w:val="00047BE9"/>
    <w:rsid w:val="000504C3"/>
    <w:rsid w:val="000523C3"/>
    <w:rsid w:val="00052ED3"/>
    <w:rsid w:val="000532FB"/>
    <w:rsid w:val="0005682D"/>
    <w:rsid w:val="0005708D"/>
    <w:rsid w:val="0005727F"/>
    <w:rsid w:val="000611BF"/>
    <w:rsid w:val="0006128F"/>
    <w:rsid w:val="000643EB"/>
    <w:rsid w:val="0006566F"/>
    <w:rsid w:val="0006667C"/>
    <w:rsid w:val="00066F33"/>
    <w:rsid w:val="00071707"/>
    <w:rsid w:val="00071829"/>
    <w:rsid w:val="000720A2"/>
    <w:rsid w:val="0007308C"/>
    <w:rsid w:val="00073189"/>
    <w:rsid w:val="000734DB"/>
    <w:rsid w:val="00073511"/>
    <w:rsid w:val="0007419F"/>
    <w:rsid w:val="000747D9"/>
    <w:rsid w:val="00075C0A"/>
    <w:rsid w:val="00075D20"/>
    <w:rsid w:val="00076158"/>
    <w:rsid w:val="00076614"/>
    <w:rsid w:val="00080346"/>
    <w:rsid w:val="00080609"/>
    <w:rsid w:val="000808D4"/>
    <w:rsid w:val="000813FA"/>
    <w:rsid w:val="00082ECF"/>
    <w:rsid w:val="00083823"/>
    <w:rsid w:val="00086379"/>
    <w:rsid w:val="00087119"/>
    <w:rsid w:val="0009020B"/>
    <w:rsid w:val="0009031B"/>
    <w:rsid w:val="0009274A"/>
    <w:rsid w:val="00093407"/>
    <w:rsid w:val="00093559"/>
    <w:rsid w:val="00093EA1"/>
    <w:rsid w:val="00095EA6"/>
    <w:rsid w:val="00097E54"/>
    <w:rsid w:val="000A0B2B"/>
    <w:rsid w:val="000A1A2A"/>
    <w:rsid w:val="000A2B29"/>
    <w:rsid w:val="000A403E"/>
    <w:rsid w:val="000A5789"/>
    <w:rsid w:val="000A6ECD"/>
    <w:rsid w:val="000A7298"/>
    <w:rsid w:val="000B012E"/>
    <w:rsid w:val="000B0802"/>
    <w:rsid w:val="000B083C"/>
    <w:rsid w:val="000B118B"/>
    <w:rsid w:val="000B198C"/>
    <w:rsid w:val="000B238C"/>
    <w:rsid w:val="000B2A27"/>
    <w:rsid w:val="000B2E81"/>
    <w:rsid w:val="000B5EB6"/>
    <w:rsid w:val="000B63D7"/>
    <w:rsid w:val="000B65FD"/>
    <w:rsid w:val="000C0902"/>
    <w:rsid w:val="000C169E"/>
    <w:rsid w:val="000C68CB"/>
    <w:rsid w:val="000C69BF"/>
    <w:rsid w:val="000C7F0D"/>
    <w:rsid w:val="000D03A1"/>
    <w:rsid w:val="000D0627"/>
    <w:rsid w:val="000D07C3"/>
    <w:rsid w:val="000D184A"/>
    <w:rsid w:val="000D28D5"/>
    <w:rsid w:val="000D4886"/>
    <w:rsid w:val="000D4B1F"/>
    <w:rsid w:val="000D55DC"/>
    <w:rsid w:val="000D6319"/>
    <w:rsid w:val="000D7176"/>
    <w:rsid w:val="000D72E2"/>
    <w:rsid w:val="000E12CA"/>
    <w:rsid w:val="000E61C3"/>
    <w:rsid w:val="000E7B99"/>
    <w:rsid w:val="000E7E59"/>
    <w:rsid w:val="000E7EF6"/>
    <w:rsid w:val="000F0752"/>
    <w:rsid w:val="000F1C8B"/>
    <w:rsid w:val="000F1DD3"/>
    <w:rsid w:val="000F2DF8"/>
    <w:rsid w:val="000F326C"/>
    <w:rsid w:val="000F3D25"/>
    <w:rsid w:val="000F441D"/>
    <w:rsid w:val="000F6BE1"/>
    <w:rsid w:val="0010006B"/>
    <w:rsid w:val="001011F6"/>
    <w:rsid w:val="00102D4D"/>
    <w:rsid w:val="00103527"/>
    <w:rsid w:val="00103EF4"/>
    <w:rsid w:val="00105E66"/>
    <w:rsid w:val="00105EE8"/>
    <w:rsid w:val="001061B6"/>
    <w:rsid w:val="001062FC"/>
    <w:rsid w:val="00107490"/>
    <w:rsid w:val="001076D4"/>
    <w:rsid w:val="001132D9"/>
    <w:rsid w:val="001148E5"/>
    <w:rsid w:val="00117C63"/>
    <w:rsid w:val="00120B7A"/>
    <w:rsid w:val="00120EA3"/>
    <w:rsid w:val="0012233B"/>
    <w:rsid w:val="00122505"/>
    <w:rsid w:val="00122756"/>
    <w:rsid w:val="00122D07"/>
    <w:rsid w:val="001241FA"/>
    <w:rsid w:val="001243E3"/>
    <w:rsid w:val="00124508"/>
    <w:rsid w:val="00124A3B"/>
    <w:rsid w:val="00124E1B"/>
    <w:rsid w:val="00124F19"/>
    <w:rsid w:val="00125A04"/>
    <w:rsid w:val="00126E7A"/>
    <w:rsid w:val="00126F46"/>
    <w:rsid w:val="001273DF"/>
    <w:rsid w:val="00130C8C"/>
    <w:rsid w:val="001310E9"/>
    <w:rsid w:val="00132831"/>
    <w:rsid w:val="001329BD"/>
    <w:rsid w:val="00141659"/>
    <w:rsid w:val="001439A4"/>
    <w:rsid w:val="00143D8A"/>
    <w:rsid w:val="001445BC"/>
    <w:rsid w:val="0014479B"/>
    <w:rsid w:val="00146B32"/>
    <w:rsid w:val="00147709"/>
    <w:rsid w:val="00150907"/>
    <w:rsid w:val="00151E87"/>
    <w:rsid w:val="00151F90"/>
    <w:rsid w:val="00152ED7"/>
    <w:rsid w:val="001559E8"/>
    <w:rsid w:val="00155A2E"/>
    <w:rsid w:val="001574C8"/>
    <w:rsid w:val="00157E2C"/>
    <w:rsid w:val="00160B10"/>
    <w:rsid w:val="00160DB6"/>
    <w:rsid w:val="00160F51"/>
    <w:rsid w:val="00161146"/>
    <w:rsid w:val="00163388"/>
    <w:rsid w:val="00167310"/>
    <w:rsid w:val="00170980"/>
    <w:rsid w:val="001712BD"/>
    <w:rsid w:val="00171CB5"/>
    <w:rsid w:val="001720C5"/>
    <w:rsid w:val="001728F6"/>
    <w:rsid w:val="00172A27"/>
    <w:rsid w:val="001736A4"/>
    <w:rsid w:val="00173C6F"/>
    <w:rsid w:val="00176468"/>
    <w:rsid w:val="00176BD0"/>
    <w:rsid w:val="00180851"/>
    <w:rsid w:val="00180BBE"/>
    <w:rsid w:val="00181833"/>
    <w:rsid w:val="0018246D"/>
    <w:rsid w:val="00182D88"/>
    <w:rsid w:val="001848C9"/>
    <w:rsid w:val="001869E8"/>
    <w:rsid w:val="00191176"/>
    <w:rsid w:val="00193769"/>
    <w:rsid w:val="001938CC"/>
    <w:rsid w:val="00193F73"/>
    <w:rsid w:val="00194C7B"/>
    <w:rsid w:val="00194D7C"/>
    <w:rsid w:val="00196D14"/>
    <w:rsid w:val="001978F2"/>
    <w:rsid w:val="00197BCA"/>
    <w:rsid w:val="00197BE6"/>
    <w:rsid w:val="00197D3F"/>
    <w:rsid w:val="001A0FF0"/>
    <w:rsid w:val="001A2E25"/>
    <w:rsid w:val="001A2E75"/>
    <w:rsid w:val="001A396A"/>
    <w:rsid w:val="001A49FB"/>
    <w:rsid w:val="001A5B84"/>
    <w:rsid w:val="001A6292"/>
    <w:rsid w:val="001A6DAA"/>
    <w:rsid w:val="001B0E59"/>
    <w:rsid w:val="001B3AEC"/>
    <w:rsid w:val="001B3F56"/>
    <w:rsid w:val="001B62F9"/>
    <w:rsid w:val="001C0EE3"/>
    <w:rsid w:val="001C114E"/>
    <w:rsid w:val="001C2B04"/>
    <w:rsid w:val="001C6217"/>
    <w:rsid w:val="001C6CE5"/>
    <w:rsid w:val="001D1B34"/>
    <w:rsid w:val="001D2438"/>
    <w:rsid w:val="001D2AF5"/>
    <w:rsid w:val="001D420C"/>
    <w:rsid w:val="001D4215"/>
    <w:rsid w:val="001D4F84"/>
    <w:rsid w:val="001D5266"/>
    <w:rsid w:val="001D5D8B"/>
    <w:rsid w:val="001D678F"/>
    <w:rsid w:val="001D7DFD"/>
    <w:rsid w:val="001E2AC8"/>
    <w:rsid w:val="001E3FEB"/>
    <w:rsid w:val="001E413D"/>
    <w:rsid w:val="001E671D"/>
    <w:rsid w:val="001E6DEA"/>
    <w:rsid w:val="001E6FAA"/>
    <w:rsid w:val="001F0EDA"/>
    <w:rsid w:val="001F2338"/>
    <w:rsid w:val="001F2B7D"/>
    <w:rsid w:val="001F3258"/>
    <w:rsid w:val="001F3915"/>
    <w:rsid w:val="001F549F"/>
    <w:rsid w:val="001F5D25"/>
    <w:rsid w:val="00200B91"/>
    <w:rsid w:val="0020367B"/>
    <w:rsid w:val="00203A85"/>
    <w:rsid w:val="00203FAA"/>
    <w:rsid w:val="0020439D"/>
    <w:rsid w:val="00204AF9"/>
    <w:rsid w:val="00205458"/>
    <w:rsid w:val="002103C8"/>
    <w:rsid w:val="00213B47"/>
    <w:rsid w:val="0021696E"/>
    <w:rsid w:val="002220B0"/>
    <w:rsid w:val="00226717"/>
    <w:rsid w:val="002272D2"/>
    <w:rsid w:val="002276AE"/>
    <w:rsid w:val="00227A3B"/>
    <w:rsid w:val="002343DC"/>
    <w:rsid w:val="00234573"/>
    <w:rsid w:val="0023589C"/>
    <w:rsid w:val="002374D5"/>
    <w:rsid w:val="002406B1"/>
    <w:rsid w:val="00240942"/>
    <w:rsid w:val="00240992"/>
    <w:rsid w:val="00240DFD"/>
    <w:rsid w:val="00240E80"/>
    <w:rsid w:val="00243EF9"/>
    <w:rsid w:val="00245ECC"/>
    <w:rsid w:val="00247559"/>
    <w:rsid w:val="00250056"/>
    <w:rsid w:val="00250DCC"/>
    <w:rsid w:val="00253895"/>
    <w:rsid w:val="00253D83"/>
    <w:rsid w:val="00254308"/>
    <w:rsid w:val="00254CDB"/>
    <w:rsid w:val="00255204"/>
    <w:rsid w:val="002554F3"/>
    <w:rsid w:val="002572A8"/>
    <w:rsid w:val="00260B9D"/>
    <w:rsid w:val="002610C1"/>
    <w:rsid w:val="00261852"/>
    <w:rsid w:val="0026303D"/>
    <w:rsid w:val="002641DB"/>
    <w:rsid w:val="002648E7"/>
    <w:rsid w:val="00265C1B"/>
    <w:rsid w:val="0027018D"/>
    <w:rsid w:val="00271BEF"/>
    <w:rsid w:val="002736F3"/>
    <w:rsid w:val="00273D8B"/>
    <w:rsid w:val="002745D5"/>
    <w:rsid w:val="00276BC3"/>
    <w:rsid w:val="00277845"/>
    <w:rsid w:val="00277A29"/>
    <w:rsid w:val="0028069E"/>
    <w:rsid w:val="002817B9"/>
    <w:rsid w:val="002818B7"/>
    <w:rsid w:val="002821F0"/>
    <w:rsid w:val="002822CE"/>
    <w:rsid w:val="0028290C"/>
    <w:rsid w:val="0028384F"/>
    <w:rsid w:val="00284A17"/>
    <w:rsid w:val="002864BB"/>
    <w:rsid w:val="00286F22"/>
    <w:rsid w:val="00286F98"/>
    <w:rsid w:val="0029097C"/>
    <w:rsid w:val="0029356A"/>
    <w:rsid w:val="00297364"/>
    <w:rsid w:val="002A0415"/>
    <w:rsid w:val="002A0756"/>
    <w:rsid w:val="002A0FF3"/>
    <w:rsid w:val="002A3D3F"/>
    <w:rsid w:val="002A52D2"/>
    <w:rsid w:val="002A5D19"/>
    <w:rsid w:val="002A7523"/>
    <w:rsid w:val="002B19B9"/>
    <w:rsid w:val="002B1B2F"/>
    <w:rsid w:val="002B2730"/>
    <w:rsid w:val="002B4036"/>
    <w:rsid w:val="002B5B4F"/>
    <w:rsid w:val="002C12F0"/>
    <w:rsid w:val="002C2059"/>
    <w:rsid w:val="002C22EC"/>
    <w:rsid w:val="002C26CE"/>
    <w:rsid w:val="002C2A05"/>
    <w:rsid w:val="002C2B78"/>
    <w:rsid w:val="002C321C"/>
    <w:rsid w:val="002C34AE"/>
    <w:rsid w:val="002C4265"/>
    <w:rsid w:val="002C4C5C"/>
    <w:rsid w:val="002C5B62"/>
    <w:rsid w:val="002C76EA"/>
    <w:rsid w:val="002C772E"/>
    <w:rsid w:val="002D0794"/>
    <w:rsid w:val="002D0D06"/>
    <w:rsid w:val="002D1D6A"/>
    <w:rsid w:val="002D2407"/>
    <w:rsid w:val="002D3CBC"/>
    <w:rsid w:val="002D4199"/>
    <w:rsid w:val="002D5774"/>
    <w:rsid w:val="002D64AB"/>
    <w:rsid w:val="002E27B4"/>
    <w:rsid w:val="002E2A8C"/>
    <w:rsid w:val="002E433B"/>
    <w:rsid w:val="002E5BBB"/>
    <w:rsid w:val="002E5FD5"/>
    <w:rsid w:val="002E650E"/>
    <w:rsid w:val="002E6F83"/>
    <w:rsid w:val="002F03A0"/>
    <w:rsid w:val="002F0489"/>
    <w:rsid w:val="002F182C"/>
    <w:rsid w:val="002F286E"/>
    <w:rsid w:val="002F390E"/>
    <w:rsid w:val="002F40FB"/>
    <w:rsid w:val="002F435F"/>
    <w:rsid w:val="002F55C3"/>
    <w:rsid w:val="002F77FB"/>
    <w:rsid w:val="003027DE"/>
    <w:rsid w:val="00303165"/>
    <w:rsid w:val="00303B8A"/>
    <w:rsid w:val="0030410F"/>
    <w:rsid w:val="00304DAB"/>
    <w:rsid w:val="00306149"/>
    <w:rsid w:val="003069EF"/>
    <w:rsid w:val="00307C81"/>
    <w:rsid w:val="003156B6"/>
    <w:rsid w:val="00316674"/>
    <w:rsid w:val="00320A65"/>
    <w:rsid w:val="003210AE"/>
    <w:rsid w:val="00321A27"/>
    <w:rsid w:val="00324417"/>
    <w:rsid w:val="00324D93"/>
    <w:rsid w:val="0032662E"/>
    <w:rsid w:val="003323DC"/>
    <w:rsid w:val="00336357"/>
    <w:rsid w:val="0033646D"/>
    <w:rsid w:val="00337297"/>
    <w:rsid w:val="00337851"/>
    <w:rsid w:val="0034020D"/>
    <w:rsid w:val="00340820"/>
    <w:rsid w:val="00342CBB"/>
    <w:rsid w:val="003434B3"/>
    <w:rsid w:val="00344151"/>
    <w:rsid w:val="00346A1F"/>
    <w:rsid w:val="00347BFA"/>
    <w:rsid w:val="00350885"/>
    <w:rsid w:val="0035188E"/>
    <w:rsid w:val="003518D9"/>
    <w:rsid w:val="00351B64"/>
    <w:rsid w:val="00354624"/>
    <w:rsid w:val="003550F1"/>
    <w:rsid w:val="003565B6"/>
    <w:rsid w:val="0035763B"/>
    <w:rsid w:val="00357E1E"/>
    <w:rsid w:val="0036020D"/>
    <w:rsid w:val="00360A5B"/>
    <w:rsid w:val="00361D75"/>
    <w:rsid w:val="00361F5F"/>
    <w:rsid w:val="00362CBB"/>
    <w:rsid w:val="00363332"/>
    <w:rsid w:val="003647D3"/>
    <w:rsid w:val="00366A37"/>
    <w:rsid w:val="00370EE3"/>
    <w:rsid w:val="00371B75"/>
    <w:rsid w:val="0037468D"/>
    <w:rsid w:val="00376283"/>
    <w:rsid w:val="003803E1"/>
    <w:rsid w:val="00380721"/>
    <w:rsid w:val="00380C99"/>
    <w:rsid w:val="00382C2A"/>
    <w:rsid w:val="00385574"/>
    <w:rsid w:val="003855CD"/>
    <w:rsid w:val="00392968"/>
    <w:rsid w:val="00392D12"/>
    <w:rsid w:val="00393017"/>
    <w:rsid w:val="003939F6"/>
    <w:rsid w:val="00394131"/>
    <w:rsid w:val="003944CE"/>
    <w:rsid w:val="003960A0"/>
    <w:rsid w:val="00396AE9"/>
    <w:rsid w:val="00396CD1"/>
    <w:rsid w:val="00397060"/>
    <w:rsid w:val="003A0914"/>
    <w:rsid w:val="003A1063"/>
    <w:rsid w:val="003A3CAA"/>
    <w:rsid w:val="003A4554"/>
    <w:rsid w:val="003A4609"/>
    <w:rsid w:val="003A6996"/>
    <w:rsid w:val="003A6CE6"/>
    <w:rsid w:val="003B09FA"/>
    <w:rsid w:val="003B0FDE"/>
    <w:rsid w:val="003B149B"/>
    <w:rsid w:val="003B1B30"/>
    <w:rsid w:val="003B2458"/>
    <w:rsid w:val="003B3270"/>
    <w:rsid w:val="003B36BC"/>
    <w:rsid w:val="003B4027"/>
    <w:rsid w:val="003B4973"/>
    <w:rsid w:val="003B4FE1"/>
    <w:rsid w:val="003B6688"/>
    <w:rsid w:val="003B764D"/>
    <w:rsid w:val="003C0BBB"/>
    <w:rsid w:val="003C3CF5"/>
    <w:rsid w:val="003C3E86"/>
    <w:rsid w:val="003C682E"/>
    <w:rsid w:val="003C6E56"/>
    <w:rsid w:val="003C7CB7"/>
    <w:rsid w:val="003D0635"/>
    <w:rsid w:val="003D1508"/>
    <w:rsid w:val="003D3A87"/>
    <w:rsid w:val="003D3BBB"/>
    <w:rsid w:val="003D3DD3"/>
    <w:rsid w:val="003D4752"/>
    <w:rsid w:val="003D4BBD"/>
    <w:rsid w:val="003D6027"/>
    <w:rsid w:val="003D67F5"/>
    <w:rsid w:val="003D680B"/>
    <w:rsid w:val="003D702F"/>
    <w:rsid w:val="003E04E3"/>
    <w:rsid w:val="003E05FA"/>
    <w:rsid w:val="003E0F4C"/>
    <w:rsid w:val="003E19E2"/>
    <w:rsid w:val="003E3217"/>
    <w:rsid w:val="003E34E8"/>
    <w:rsid w:val="003E568D"/>
    <w:rsid w:val="003E56E5"/>
    <w:rsid w:val="003E61B4"/>
    <w:rsid w:val="003E7345"/>
    <w:rsid w:val="003F14F8"/>
    <w:rsid w:val="003F1671"/>
    <w:rsid w:val="003F22A9"/>
    <w:rsid w:val="003F3483"/>
    <w:rsid w:val="003F37FD"/>
    <w:rsid w:val="003F395C"/>
    <w:rsid w:val="003F3A15"/>
    <w:rsid w:val="003F48D7"/>
    <w:rsid w:val="003F5203"/>
    <w:rsid w:val="003F523C"/>
    <w:rsid w:val="003F53B2"/>
    <w:rsid w:val="003F5C04"/>
    <w:rsid w:val="003F793D"/>
    <w:rsid w:val="003F7A58"/>
    <w:rsid w:val="0040059C"/>
    <w:rsid w:val="004012FE"/>
    <w:rsid w:val="00401573"/>
    <w:rsid w:val="004038BF"/>
    <w:rsid w:val="0040477B"/>
    <w:rsid w:val="00404BC3"/>
    <w:rsid w:val="00405A5C"/>
    <w:rsid w:val="004062FB"/>
    <w:rsid w:val="004071F5"/>
    <w:rsid w:val="00407462"/>
    <w:rsid w:val="00407A46"/>
    <w:rsid w:val="0041026B"/>
    <w:rsid w:val="004104BB"/>
    <w:rsid w:val="00410E7A"/>
    <w:rsid w:val="0041149D"/>
    <w:rsid w:val="00412572"/>
    <w:rsid w:val="00412965"/>
    <w:rsid w:val="00414158"/>
    <w:rsid w:val="00415216"/>
    <w:rsid w:val="00415DAE"/>
    <w:rsid w:val="00420910"/>
    <w:rsid w:val="00420E8C"/>
    <w:rsid w:val="00423390"/>
    <w:rsid w:val="00423B7A"/>
    <w:rsid w:val="00424BCB"/>
    <w:rsid w:val="004272B0"/>
    <w:rsid w:val="00430175"/>
    <w:rsid w:val="0043028A"/>
    <w:rsid w:val="004312AA"/>
    <w:rsid w:val="0043167D"/>
    <w:rsid w:val="00431871"/>
    <w:rsid w:val="00431DB1"/>
    <w:rsid w:val="00432DBF"/>
    <w:rsid w:val="00433838"/>
    <w:rsid w:val="004348A1"/>
    <w:rsid w:val="004350D7"/>
    <w:rsid w:val="00436C89"/>
    <w:rsid w:val="00436E52"/>
    <w:rsid w:val="004370F1"/>
    <w:rsid w:val="00440502"/>
    <w:rsid w:val="00440FE1"/>
    <w:rsid w:val="00444723"/>
    <w:rsid w:val="004450C6"/>
    <w:rsid w:val="0044583A"/>
    <w:rsid w:val="00445949"/>
    <w:rsid w:val="00445CE6"/>
    <w:rsid w:val="0044706C"/>
    <w:rsid w:val="00447EC1"/>
    <w:rsid w:val="00454FDA"/>
    <w:rsid w:val="00456C6F"/>
    <w:rsid w:val="004573C1"/>
    <w:rsid w:val="004573DA"/>
    <w:rsid w:val="004616DB"/>
    <w:rsid w:val="00461769"/>
    <w:rsid w:val="004626A6"/>
    <w:rsid w:val="0046301D"/>
    <w:rsid w:val="004632A6"/>
    <w:rsid w:val="00463958"/>
    <w:rsid w:val="00463D24"/>
    <w:rsid w:val="004653D7"/>
    <w:rsid w:val="0046584B"/>
    <w:rsid w:val="00466DBD"/>
    <w:rsid w:val="00471D94"/>
    <w:rsid w:val="00472F89"/>
    <w:rsid w:val="00476823"/>
    <w:rsid w:val="004771EE"/>
    <w:rsid w:val="004775F5"/>
    <w:rsid w:val="00481954"/>
    <w:rsid w:val="004829E4"/>
    <w:rsid w:val="004838BE"/>
    <w:rsid w:val="004848C0"/>
    <w:rsid w:val="0048528A"/>
    <w:rsid w:val="004858CB"/>
    <w:rsid w:val="00486895"/>
    <w:rsid w:val="00486CFF"/>
    <w:rsid w:val="00486D37"/>
    <w:rsid w:val="00487242"/>
    <w:rsid w:val="004918AF"/>
    <w:rsid w:val="00491AF4"/>
    <w:rsid w:val="004920FE"/>
    <w:rsid w:val="00492F6C"/>
    <w:rsid w:val="004937AB"/>
    <w:rsid w:val="0049490A"/>
    <w:rsid w:val="00495104"/>
    <w:rsid w:val="0049624A"/>
    <w:rsid w:val="00496DBE"/>
    <w:rsid w:val="004A1047"/>
    <w:rsid w:val="004A4060"/>
    <w:rsid w:val="004A4462"/>
    <w:rsid w:val="004A471E"/>
    <w:rsid w:val="004A4877"/>
    <w:rsid w:val="004A4AC6"/>
    <w:rsid w:val="004B0ED1"/>
    <w:rsid w:val="004B132D"/>
    <w:rsid w:val="004B1732"/>
    <w:rsid w:val="004B1C43"/>
    <w:rsid w:val="004B20DA"/>
    <w:rsid w:val="004B2195"/>
    <w:rsid w:val="004B2A22"/>
    <w:rsid w:val="004B3F08"/>
    <w:rsid w:val="004C19CA"/>
    <w:rsid w:val="004C3054"/>
    <w:rsid w:val="004C3970"/>
    <w:rsid w:val="004C3F61"/>
    <w:rsid w:val="004C4EB0"/>
    <w:rsid w:val="004C5079"/>
    <w:rsid w:val="004C50EB"/>
    <w:rsid w:val="004C5362"/>
    <w:rsid w:val="004C7251"/>
    <w:rsid w:val="004D02A8"/>
    <w:rsid w:val="004D0840"/>
    <w:rsid w:val="004D0FD6"/>
    <w:rsid w:val="004D123F"/>
    <w:rsid w:val="004D27F7"/>
    <w:rsid w:val="004D2CF5"/>
    <w:rsid w:val="004D3350"/>
    <w:rsid w:val="004D372F"/>
    <w:rsid w:val="004D78B1"/>
    <w:rsid w:val="004D7B43"/>
    <w:rsid w:val="004E1262"/>
    <w:rsid w:val="004E2DFE"/>
    <w:rsid w:val="004E310C"/>
    <w:rsid w:val="004E4C97"/>
    <w:rsid w:val="004E6214"/>
    <w:rsid w:val="004E75F6"/>
    <w:rsid w:val="004F0318"/>
    <w:rsid w:val="004F05EC"/>
    <w:rsid w:val="004F0844"/>
    <w:rsid w:val="004F0A4D"/>
    <w:rsid w:val="004F2197"/>
    <w:rsid w:val="004F2355"/>
    <w:rsid w:val="004F243D"/>
    <w:rsid w:val="004F256F"/>
    <w:rsid w:val="004F2600"/>
    <w:rsid w:val="004F28E4"/>
    <w:rsid w:val="004F2CBF"/>
    <w:rsid w:val="004F2F2D"/>
    <w:rsid w:val="004F36C4"/>
    <w:rsid w:val="004F7211"/>
    <w:rsid w:val="005015F3"/>
    <w:rsid w:val="00503407"/>
    <w:rsid w:val="00503575"/>
    <w:rsid w:val="00503907"/>
    <w:rsid w:val="0050405D"/>
    <w:rsid w:val="0050426C"/>
    <w:rsid w:val="00504C12"/>
    <w:rsid w:val="00505AF7"/>
    <w:rsid w:val="00507222"/>
    <w:rsid w:val="00507945"/>
    <w:rsid w:val="00510240"/>
    <w:rsid w:val="00510BA5"/>
    <w:rsid w:val="00512269"/>
    <w:rsid w:val="005137F9"/>
    <w:rsid w:val="005204DC"/>
    <w:rsid w:val="005213A2"/>
    <w:rsid w:val="0052180B"/>
    <w:rsid w:val="00521C90"/>
    <w:rsid w:val="00522CA2"/>
    <w:rsid w:val="00523334"/>
    <w:rsid w:val="00523D21"/>
    <w:rsid w:val="005249DA"/>
    <w:rsid w:val="00524C40"/>
    <w:rsid w:val="00531868"/>
    <w:rsid w:val="00531D78"/>
    <w:rsid w:val="00533480"/>
    <w:rsid w:val="00534369"/>
    <w:rsid w:val="00535260"/>
    <w:rsid w:val="00535323"/>
    <w:rsid w:val="005378E3"/>
    <w:rsid w:val="00540CCB"/>
    <w:rsid w:val="005445B8"/>
    <w:rsid w:val="00544D61"/>
    <w:rsid w:val="0054510A"/>
    <w:rsid w:val="00546D69"/>
    <w:rsid w:val="00547CF1"/>
    <w:rsid w:val="00547FE8"/>
    <w:rsid w:val="0055039F"/>
    <w:rsid w:val="00550E66"/>
    <w:rsid w:val="00551170"/>
    <w:rsid w:val="0055150A"/>
    <w:rsid w:val="0055186B"/>
    <w:rsid w:val="0055189C"/>
    <w:rsid w:val="00552362"/>
    <w:rsid w:val="0055295F"/>
    <w:rsid w:val="00554097"/>
    <w:rsid w:val="005555C7"/>
    <w:rsid w:val="00556209"/>
    <w:rsid w:val="00557BE5"/>
    <w:rsid w:val="00560782"/>
    <w:rsid w:val="00561AEA"/>
    <w:rsid w:val="00564340"/>
    <w:rsid w:val="005657B4"/>
    <w:rsid w:val="00565B0B"/>
    <w:rsid w:val="0056696E"/>
    <w:rsid w:val="00566AE0"/>
    <w:rsid w:val="00566ED9"/>
    <w:rsid w:val="0056757F"/>
    <w:rsid w:val="00570A35"/>
    <w:rsid w:val="00572579"/>
    <w:rsid w:val="00573709"/>
    <w:rsid w:val="00573BEA"/>
    <w:rsid w:val="00574371"/>
    <w:rsid w:val="00574E5F"/>
    <w:rsid w:val="00576F88"/>
    <w:rsid w:val="00580E94"/>
    <w:rsid w:val="00580F24"/>
    <w:rsid w:val="00582B1B"/>
    <w:rsid w:val="005840BF"/>
    <w:rsid w:val="0058545F"/>
    <w:rsid w:val="0058699C"/>
    <w:rsid w:val="00587C08"/>
    <w:rsid w:val="005901FB"/>
    <w:rsid w:val="005918C1"/>
    <w:rsid w:val="00592508"/>
    <w:rsid w:val="005930A5"/>
    <w:rsid w:val="005944C9"/>
    <w:rsid w:val="0059540B"/>
    <w:rsid w:val="005955C0"/>
    <w:rsid w:val="0059694E"/>
    <w:rsid w:val="00596C2F"/>
    <w:rsid w:val="005972FB"/>
    <w:rsid w:val="005A0C9C"/>
    <w:rsid w:val="005A2C4C"/>
    <w:rsid w:val="005A6357"/>
    <w:rsid w:val="005A74A5"/>
    <w:rsid w:val="005A7DCB"/>
    <w:rsid w:val="005A7F0A"/>
    <w:rsid w:val="005B111A"/>
    <w:rsid w:val="005B1300"/>
    <w:rsid w:val="005B3559"/>
    <w:rsid w:val="005B45FB"/>
    <w:rsid w:val="005B48E4"/>
    <w:rsid w:val="005B5A3E"/>
    <w:rsid w:val="005B6A22"/>
    <w:rsid w:val="005B71C6"/>
    <w:rsid w:val="005C0A5F"/>
    <w:rsid w:val="005C0B54"/>
    <w:rsid w:val="005C2F7F"/>
    <w:rsid w:val="005C5BF5"/>
    <w:rsid w:val="005D0329"/>
    <w:rsid w:val="005D0839"/>
    <w:rsid w:val="005D16A6"/>
    <w:rsid w:val="005D1E14"/>
    <w:rsid w:val="005D26C5"/>
    <w:rsid w:val="005D2B5A"/>
    <w:rsid w:val="005D354F"/>
    <w:rsid w:val="005D4C39"/>
    <w:rsid w:val="005D6A7D"/>
    <w:rsid w:val="005D72E3"/>
    <w:rsid w:val="005E05A1"/>
    <w:rsid w:val="005E13D4"/>
    <w:rsid w:val="005E31CE"/>
    <w:rsid w:val="005E4B9B"/>
    <w:rsid w:val="005E4DA7"/>
    <w:rsid w:val="005E5317"/>
    <w:rsid w:val="005E6A83"/>
    <w:rsid w:val="005E72DE"/>
    <w:rsid w:val="005F199D"/>
    <w:rsid w:val="005F233E"/>
    <w:rsid w:val="005F26EA"/>
    <w:rsid w:val="005F27C0"/>
    <w:rsid w:val="005F3288"/>
    <w:rsid w:val="005F3A97"/>
    <w:rsid w:val="005F3D8C"/>
    <w:rsid w:val="005F50D5"/>
    <w:rsid w:val="005F609C"/>
    <w:rsid w:val="005F6E63"/>
    <w:rsid w:val="005F7A95"/>
    <w:rsid w:val="006000D3"/>
    <w:rsid w:val="006004FE"/>
    <w:rsid w:val="00600518"/>
    <w:rsid w:val="00600E3D"/>
    <w:rsid w:val="0060425F"/>
    <w:rsid w:val="006045CD"/>
    <w:rsid w:val="00604B8C"/>
    <w:rsid w:val="00604DED"/>
    <w:rsid w:val="00605925"/>
    <w:rsid w:val="00606179"/>
    <w:rsid w:val="00613A79"/>
    <w:rsid w:val="006151C5"/>
    <w:rsid w:val="00617473"/>
    <w:rsid w:val="006174DF"/>
    <w:rsid w:val="00620D28"/>
    <w:rsid w:val="0062116A"/>
    <w:rsid w:val="00622083"/>
    <w:rsid w:val="0062341C"/>
    <w:rsid w:val="006236C9"/>
    <w:rsid w:val="0062386A"/>
    <w:rsid w:val="00624724"/>
    <w:rsid w:val="00624E37"/>
    <w:rsid w:val="0062598B"/>
    <w:rsid w:val="00626076"/>
    <w:rsid w:val="00626DAA"/>
    <w:rsid w:val="006313B5"/>
    <w:rsid w:val="00631CA5"/>
    <w:rsid w:val="006371FD"/>
    <w:rsid w:val="00640002"/>
    <w:rsid w:val="006407B1"/>
    <w:rsid w:val="00640943"/>
    <w:rsid w:val="00642BCE"/>
    <w:rsid w:val="00647F78"/>
    <w:rsid w:val="006521E3"/>
    <w:rsid w:val="0065268F"/>
    <w:rsid w:val="006530C8"/>
    <w:rsid w:val="006531FE"/>
    <w:rsid w:val="0065350D"/>
    <w:rsid w:val="00653886"/>
    <w:rsid w:val="00655893"/>
    <w:rsid w:val="00655E2A"/>
    <w:rsid w:val="00662666"/>
    <w:rsid w:val="006633DD"/>
    <w:rsid w:val="0066358D"/>
    <w:rsid w:val="00664DA8"/>
    <w:rsid w:val="00665D69"/>
    <w:rsid w:val="00673E76"/>
    <w:rsid w:val="0067456C"/>
    <w:rsid w:val="00674B0F"/>
    <w:rsid w:val="00674D53"/>
    <w:rsid w:val="006752A4"/>
    <w:rsid w:val="00675BBA"/>
    <w:rsid w:val="00676236"/>
    <w:rsid w:val="00676788"/>
    <w:rsid w:val="006769D6"/>
    <w:rsid w:val="00676E85"/>
    <w:rsid w:val="00677352"/>
    <w:rsid w:val="00680AA9"/>
    <w:rsid w:val="0068124E"/>
    <w:rsid w:val="00682136"/>
    <w:rsid w:val="00682BEF"/>
    <w:rsid w:val="00683E34"/>
    <w:rsid w:val="00684A39"/>
    <w:rsid w:val="006851B2"/>
    <w:rsid w:val="00686067"/>
    <w:rsid w:val="00686AE6"/>
    <w:rsid w:val="00691AEA"/>
    <w:rsid w:val="00693F10"/>
    <w:rsid w:val="0069559D"/>
    <w:rsid w:val="00695D5C"/>
    <w:rsid w:val="00696700"/>
    <w:rsid w:val="00696CA7"/>
    <w:rsid w:val="00697D9E"/>
    <w:rsid w:val="006A0370"/>
    <w:rsid w:val="006A0AFE"/>
    <w:rsid w:val="006A13B2"/>
    <w:rsid w:val="006A1C41"/>
    <w:rsid w:val="006A22EA"/>
    <w:rsid w:val="006A2BC4"/>
    <w:rsid w:val="006A4298"/>
    <w:rsid w:val="006A51D4"/>
    <w:rsid w:val="006A548E"/>
    <w:rsid w:val="006A5702"/>
    <w:rsid w:val="006A7EB9"/>
    <w:rsid w:val="006B080E"/>
    <w:rsid w:val="006B2383"/>
    <w:rsid w:val="006B3680"/>
    <w:rsid w:val="006B463B"/>
    <w:rsid w:val="006B4C5A"/>
    <w:rsid w:val="006B5301"/>
    <w:rsid w:val="006B5AFC"/>
    <w:rsid w:val="006B7261"/>
    <w:rsid w:val="006B7D23"/>
    <w:rsid w:val="006C05C6"/>
    <w:rsid w:val="006C06EA"/>
    <w:rsid w:val="006C0E05"/>
    <w:rsid w:val="006C0E31"/>
    <w:rsid w:val="006C20A7"/>
    <w:rsid w:val="006C2F47"/>
    <w:rsid w:val="006C4A90"/>
    <w:rsid w:val="006C64D3"/>
    <w:rsid w:val="006D023B"/>
    <w:rsid w:val="006D0505"/>
    <w:rsid w:val="006D1170"/>
    <w:rsid w:val="006D2EB7"/>
    <w:rsid w:val="006D325A"/>
    <w:rsid w:val="006D4754"/>
    <w:rsid w:val="006D51EE"/>
    <w:rsid w:val="006D5A67"/>
    <w:rsid w:val="006D5C08"/>
    <w:rsid w:val="006D61C1"/>
    <w:rsid w:val="006E1860"/>
    <w:rsid w:val="006E2C3D"/>
    <w:rsid w:val="006E2CD9"/>
    <w:rsid w:val="006E3859"/>
    <w:rsid w:val="006E4663"/>
    <w:rsid w:val="006E524C"/>
    <w:rsid w:val="006F04D4"/>
    <w:rsid w:val="006F10D9"/>
    <w:rsid w:val="006F2AEC"/>
    <w:rsid w:val="006F2CB0"/>
    <w:rsid w:val="006F38AC"/>
    <w:rsid w:val="00701AE0"/>
    <w:rsid w:val="00702714"/>
    <w:rsid w:val="00703344"/>
    <w:rsid w:val="00704149"/>
    <w:rsid w:val="00704486"/>
    <w:rsid w:val="007069F3"/>
    <w:rsid w:val="00706C65"/>
    <w:rsid w:val="00710A83"/>
    <w:rsid w:val="00711814"/>
    <w:rsid w:val="0071212C"/>
    <w:rsid w:val="00713305"/>
    <w:rsid w:val="007133A5"/>
    <w:rsid w:val="00713571"/>
    <w:rsid w:val="007168B6"/>
    <w:rsid w:val="007179D0"/>
    <w:rsid w:val="0072045B"/>
    <w:rsid w:val="007204A5"/>
    <w:rsid w:val="007211A3"/>
    <w:rsid w:val="0072255B"/>
    <w:rsid w:val="0072279C"/>
    <w:rsid w:val="00723F4B"/>
    <w:rsid w:val="007251C2"/>
    <w:rsid w:val="00727414"/>
    <w:rsid w:val="00732480"/>
    <w:rsid w:val="00732BA8"/>
    <w:rsid w:val="00732D3B"/>
    <w:rsid w:val="00733943"/>
    <w:rsid w:val="00733B64"/>
    <w:rsid w:val="007357AF"/>
    <w:rsid w:val="00735BE4"/>
    <w:rsid w:val="007365A2"/>
    <w:rsid w:val="0073675E"/>
    <w:rsid w:val="0073755E"/>
    <w:rsid w:val="00737763"/>
    <w:rsid w:val="007407C4"/>
    <w:rsid w:val="0074143F"/>
    <w:rsid w:val="00743F16"/>
    <w:rsid w:val="0074466D"/>
    <w:rsid w:val="00744CEA"/>
    <w:rsid w:val="00747B72"/>
    <w:rsid w:val="00750134"/>
    <w:rsid w:val="007502F9"/>
    <w:rsid w:val="0075088B"/>
    <w:rsid w:val="00752149"/>
    <w:rsid w:val="00752661"/>
    <w:rsid w:val="00753B89"/>
    <w:rsid w:val="00755A70"/>
    <w:rsid w:val="00755B17"/>
    <w:rsid w:val="00755D2B"/>
    <w:rsid w:val="00756AD7"/>
    <w:rsid w:val="00757CC8"/>
    <w:rsid w:val="00761F50"/>
    <w:rsid w:val="007645F0"/>
    <w:rsid w:val="00764C62"/>
    <w:rsid w:val="00764F77"/>
    <w:rsid w:val="00765022"/>
    <w:rsid w:val="00766832"/>
    <w:rsid w:val="0076749F"/>
    <w:rsid w:val="007733D1"/>
    <w:rsid w:val="0077423A"/>
    <w:rsid w:val="0077431C"/>
    <w:rsid w:val="0077432E"/>
    <w:rsid w:val="00774609"/>
    <w:rsid w:val="0077523A"/>
    <w:rsid w:val="007766B8"/>
    <w:rsid w:val="0077699D"/>
    <w:rsid w:val="00781FD1"/>
    <w:rsid w:val="00783F9B"/>
    <w:rsid w:val="00784A65"/>
    <w:rsid w:val="007866A3"/>
    <w:rsid w:val="00786B8E"/>
    <w:rsid w:val="007900EC"/>
    <w:rsid w:val="0079014E"/>
    <w:rsid w:val="0079104B"/>
    <w:rsid w:val="00791AD5"/>
    <w:rsid w:val="00792A8F"/>
    <w:rsid w:val="00792FB6"/>
    <w:rsid w:val="007937AE"/>
    <w:rsid w:val="00793CC7"/>
    <w:rsid w:val="00795957"/>
    <w:rsid w:val="00796FE9"/>
    <w:rsid w:val="007970DA"/>
    <w:rsid w:val="007A03AD"/>
    <w:rsid w:val="007A15D0"/>
    <w:rsid w:val="007A1C96"/>
    <w:rsid w:val="007A2AD2"/>
    <w:rsid w:val="007A33FA"/>
    <w:rsid w:val="007A426A"/>
    <w:rsid w:val="007A465B"/>
    <w:rsid w:val="007A49A7"/>
    <w:rsid w:val="007A5056"/>
    <w:rsid w:val="007A5BCB"/>
    <w:rsid w:val="007B06B8"/>
    <w:rsid w:val="007B0CAA"/>
    <w:rsid w:val="007B3918"/>
    <w:rsid w:val="007B3B06"/>
    <w:rsid w:val="007B518B"/>
    <w:rsid w:val="007B6257"/>
    <w:rsid w:val="007C097F"/>
    <w:rsid w:val="007C14F7"/>
    <w:rsid w:val="007C1770"/>
    <w:rsid w:val="007C29E9"/>
    <w:rsid w:val="007C34FC"/>
    <w:rsid w:val="007C3DB7"/>
    <w:rsid w:val="007C55EE"/>
    <w:rsid w:val="007C5DDD"/>
    <w:rsid w:val="007C61E1"/>
    <w:rsid w:val="007C6517"/>
    <w:rsid w:val="007C75DB"/>
    <w:rsid w:val="007D2A66"/>
    <w:rsid w:val="007D4AB8"/>
    <w:rsid w:val="007D5EB6"/>
    <w:rsid w:val="007D636D"/>
    <w:rsid w:val="007D709F"/>
    <w:rsid w:val="007E0409"/>
    <w:rsid w:val="007E130C"/>
    <w:rsid w:val="007E15D4"/>
    <w:rsid w:val="007E1702"/>
    <w:rsid w:val="007E184C"/>
    <w:rsid w:val="007E48B7"/>
    <w:rsid w:val="007E4DDA"/>
    <w:rsid w:val="007E7D40"/>
    <w:rsid w:val="007F1307"/>
    <w:rsid w:val="007F26FF"/>
    <w:rsid w:val="007F39C2"/>
    <w:rsid w:val="007F448A"/>
    <w:rsid w:val="007F4EA2"/>
    <w:rsid w:val="007F5A30"/>
    <w:rsid w:val="007F7B28"/>
    <w:rsid w:val="008016F8"/>
    <w:rsid w:val="00801899"/>
    <w:rsid w:val="0080304B"/>
    <w:rsid w:val="008044D4"/>
    <w:rsid w:val="008047CE"/>
    <w:rsid w:val="00806ED8"/>
    <w:rsid w:val="00810902"/>
    <w:rsid w:val="00811B5E"/>
    <w:rsid w:val="00811BD9"/>
    <w:rsid w:val="00811D91"/>
    <w:rsid w:val="00812042"/>
    <w:rsid w:val="0081230E"/>
    <w:rsid w:val="008155F9"/>
    <w:rsid w:val="008159EB"/>
    <w:rsid w:val="00817FE3"/>
    <w:rsid w:val="00822FE5"/>
    <w:rsid w:val="00823B3B"/>
    <w:rsid w:val="00824152"/>
    <w:rsid w:val="008251E6"/>
    <w:rsid w:val="00830431"/>
    <w:rsid w:val="008306AE"/>
    <w:rsid w:val="0083152F"/>
    <w:rsid w:val="008318C4"/>
    <w:rsid w:val="00832951"/>
    <w:rsid w:val="00833592"/>
    <w:rsid w:val="00834427"/>
    <w:rsid w:val="008346E2"/>
    <w:rsid w:val="008350C0"/>
    <w:rsid w:val="00836996"/>
    <w:rsid w:val="00837275"/>
    <w:rsid w:val="008412C2"/>
    <w:rsid w:val="008412D6"/>
    <w:rsid w:val="00841332"/>
    <w:rsid w:val="00841EC0"/>
    <w:rsid w:val="00842775"/>
    <w:rsid w:val="008442B7"/>
    <w:rsid w:val="0084499C"/>
    <w:rsid w:val="00845636"/>
    <w:rsid w:val="0085018C"/>
    <w:rsid w:val="008508EC"/>
    <w:rsid w:val="00850B1C"/>
    <w:rsid w:val="00850DDB"/>
    <w:rsid w:val="00850DF4"/>
    <w:rsid w:val="00852292"/>
    <w:rsid w:val="00852ABD"/>
    <w:rsid w:val="00853568"/>
    <w:rsid w:val="00855012"/>
    <w:rsid w:val="00855302"/>
    <w:rsid w:val="00860373"/>
    <w:rsid w:val="0086073A"/>
    <w:rsid w:val="008610CE"/>
    <w:rsid w:val="00863B59"/>
    <w:rsid w:val="008669E8"/>
    <w:rsid w:val="00866C7B"/>
    <w:rsid w:val="008708ED"/>
    <w:rsid w:val="00870C74"/>
    <w:rsid w:val="0087189A"/>
    <w:rsid w:val="00872601"/>
    <w:rsid w:val="0087411E"/>
    <w:rsid w:val="008750DB"/>
    <w:rsid w:val="00875271"/>
    <w:rsid w:val="008755C8"/>
    <w:rsid w:val="00882452"/>
    <w:rsid w:val="0088361C"/>
    <w:rsid w:val="0088389A"/>
    <w:rsid w:val="00885AD4"/>
    <w:rsid w:val="00886DBB"/>
    <w:rsid w:val="008905F0"/>
    <w:rsid w:val="008906E6"/>
    <w:rsid w:val="00890D52"/>
    <w:rsid w:val="00890F77"/>
    <w:rsid w:val="008915C9"/>
    <w:rsid w:val="0089318F"/>
    <w:rsid w:val="0089628E"/>
    <w:rsid w:val="008977A0"/>
    <w:rsid w:val="008A0272"/>
    <w:rsid w:val="008A0B50"/>
    <w:rsid w:val="008A20C1"/>
    <w:rsid w:val="008A287C"/>
    <w:rsid w:val="008A4072"/>
    <w:rsid w:val="008A41C3"/>
    <w:rsid w:val="008A52CE"/>
    <w:rsid w:val="008A560A"/>
    <w:rsid w:val="008A6756"/>
    <w:rsid w:val="008A74B5"/>
    <w:rsid w:val="008B3B3F"/>
    <w:rsid w:val="008B3D39"/>
    <w:rsid w:val="008B4AA9"/>
    <w:rsid w:val="008B4E91"/>
    <w:rsid w:val="008B4FCE"/>
    <w:rsid w:val="008B60B9"/>
    <w:rsid w:val="008B6129"/>
    <w:rsid w:val="008B64CC"/>
    <w:rsid w:val="008C28D2"/>
    <w:rsid w:val="008C2F50"/>
    <w:rsid w:val="008C3A23"/>
    <w:rsid w:val="008C3B02"/>
    <w:rsid w:val="008C3C1B"/>
    <w:rsid w:val="008C59BF"/>
    <w:rsid w:val="008C6CAE"/>
    <w:rsid w:val="008C7316"/>
    <w:rsid w:val="008C7D3E"/>
    <w:rsid w:val="008D0EAA"/>
    <w:rsid w:val="008D0F3E"/>
    <w:rsid w:val="008D16FD"/>
    <w:rsid w:val="008D1CAE"/>
    <w:rsid w:val="008D221C"/>
    <w:rsid w:val="008D4112"/>
    <w:rsid w:val="008D71D0"/>
    <w:rsid w:val="008E0282"/>
    <w:rsid w:val="008E0D61"/>
    <w:rsid w:val="008E412B"/>
    <w:rsid w:val="008E433B"/>
    <w:rsid w:val="008E57A9"/>
    <w:rsid w:val="008E6D76"/>
    <w:rsid w:val="008E6FD6"/>
    <w:rsid w:val="008F0197"/>
    <w:rsid w:val="008F0617"/>
    <w:rsid w:val="008F299F"/>
    <w:rsid w:val="008F353B"/>
    <w:rsid w:val="008F4E6D"/>
    <w:rsid w:val="008F605B"/>
    <w:rsid w:val="008F6DAF"/>
    <w:rsid w:val="008F74C6"/>
    <w:rsid w:val="0090210B"/>
    <w:rsid w:val="0090497E"/>
    <w:rsid w:val="00907FA7"/>
    <w:rsid w:val="009102C0"/>
    <w:rsid w:val="00912793"/>
    <w:rsid w:val="00914528"/>
    <w:rsid w:val="00916D24"/>
    <w:rsid w:val="009204BD"/>
    <w:rsid w:val="00920C1F"/>
    <w:rsid w:val="00922BC5"/>
    <w:rsid w:val="00922C60"/>
    <w:rsid w:val="00922E2C"/>
    <w:rsid w:val="009234FD"/>
    <w:rsid w:val="00923E5A"/>
    <w:rsid w:val="00924CB5"/>
    <w:rsid w:val="00925227"/>
    <w:rsid w:val="009255E6"/>
    <w:rsid w:val="00927A89"/>
    <w:rsid w:val="00934005"/>
    <w:rsid w:val="0093495D"/>
    <w:rsid w:val="009360B3"/>
    <w:rsid w:val="00937511"/>
    <w:rsid w:val="009415AF"/>
    <w:rsid w:val="00943076"/>
    <w:rsid w:val="00944946"/>
    <w:rsid w:val="00944E54"/>
    <w:rsid w:val="00945B65"/>
    <w:rsid w:val="00946A1B"/>
    <w:rsid w:val="00947F6C"/>
    <w:rsid w:val="00950857"/>
    <w:rsid w:val="00950DC6"/>
    <w:rsid w:val="00951ABA"/>
    <w:rsid w:val="00953AF8"/>
    <w:rsid w:val="009549A2"/>
    <w:rsid w:val="00954D82"/>
    <w:rsid w:val="00954F46"/>
    <w:rsid w:val="00955062"/>
    <w:rsid w:val="00956422"/>
    <w:rsid w:val="00957245"/>
    <w:rsid w:val="00957A7D"/>
    <w:rsid w:val="00957DC1"/>
    <w:rsid w:val="0096023B"/>
    <w:rsid w:val="00961391"/>
    <w:rsid w:val="0096158C"/>
    <w:rsid w:val="009615B2"/>
    <w:rsid w:val="009616FE"/>
    <w:rsid w:val="00962174"/>
    <w:rsid w:val="00962966"/>
    <w:rsid w:val="009631A3"/>
    <w:rsid w:val="00964F08"/>
    <w:rsid w:val="00964F89"/>
    <w:rsid w:val="009656CA"/>
    <w:rsid w:val="00965BEB"/>
    <w:rsid w:val="009668FC"/>
    <w:rsid w:val="00967794"/>
    <w:rsid w:val="00967AB5"/>
    <w:rsid w:val="00967C1D"/>
    <w:rsid w:val="00970229"/>
    <w:rsid w:val="009703E8"/>
    <w:rsid w:val="00970A3B"/>
    <w:rsid w:val="00970FE8"/>
    <w:rsid w:val="00971D5C"/>
    <w:rsid w:val="00972629"/>
    <w:rsid w:val="00973629"/>
    <w:rsid w:val="00973887"/>
    <w:rsid w:val="00974C2C"/>
    <w:rsid w:val="00976F33"/>
    <w:rsid w:val="00977270"/>
    <w:rsid w:val="00980F85"/>
    <w:rsid w:val="0098226D"/>
    <w:rsid w:val="00984C43"/>
    <w:rsid w:val="00985626"/>
    <w:rsid w:val="009861A1"/>
    <w:rsid w:val="00986E67"/>
    <w:rsid w:val="00986F03"/>
    <w:rsid w:val="009908A1"/>
    <w:rsid w:val="00990D5F"/>
    <w:rsid w:val="00993065"/>
    <w:rsid w:val="009939DD"/>
    <w:rsid w:val="00994266"/>
    <w:rsid w:val="0099758F"/>
    <w:rsid w:val="009A0FDA"/>
    <w:rsid w:val="009A2755"/>
    <w:rsid w:val="009A3691"/>
    <w:rsid w:val="009A3A21"/>
    <w:rsid w:val="009A49E6"/>
    <w:rsid w:val="009A53BC"/>
    <w:rsid w:val="009A5F97"/>
    <w:rsid w:val="009A6837"/>
    <w:rsid w:val="009A7CE3"/>
    <w:rsid w:val="009B0D0E"/>
    <w:rsid w:val="009B518F"/>
    <w:rsid w:val="009B52CE"/>
    <w:rsid w:val="009B554E"/>
    <w:rsid w:val="009B5894"/>
    <w:rsid w:val="009B61EB"/>
    <w:rsid w:val="009B65B9"/>
    <w:rsid w:val="009C13CC"/>
    <w:rsid w:val="009C3716"/>
    <w:rsid w:val="009C587C"/>
    <w:rsid w:val="009C62E5"/>
    <w:rsid w:val="009C76A4"/>
    <w:rsid w:val="009D06AB"/>
    <w:rsid w:val="009D1366"/>
    <w:rsid w:val="009D2520"/>
    <w:rsid w:val="009D37B8"/>
    <w:rsid w:val="009D3F55"/>
    <w:rsid w:val="009D587B"/>
    <w:rsid w:val="009D5C11"/>
    <w:rsid w:val="009D6FA6"/>
    <w:rsid w:val="009D6FB5"/>
    <w:rsid w:val="009D71B7"/>
    <w:rsid w:val="009D7D5A"/>
    <w:rsid w:val="009E072F"/>
    <w:rsid w:val="009E07E3"/>
    <w:rsid w:val="009E2007"/>
    <w:rsid w:val="009E3756"/>
    <w:rsid w:val="009E479E"/>
    <w:rsid w:val="009E5F59"/>
    <w:rsid w:val="009E60B9"/>
    <w:rsid w:val="009F064F"/>
    <w:rsid w:val="009F1D19"/>
    <w:rsid w:val="009F327C"/>
    <w:rsid w:val="009F3CD1"/>
    <w:rsid w:val="009F3F49"/>
    <w:rsid w:val="009F459D"/>
    <w:rsid w:val="009F51B5"/>
    <w:rsid w:val="00A0000A"/>
    <w:rsid w:val="00A0001A"/>
    <w:rsid w:val="00A00E82"/>
    <w:rsid w:val="00A0149C"/>
    <w:rsid w:val="00A025F9"/>
    <w:rsid w:val="00A02C42"/>
    <w:rsid w:val="00A02C63"/>
    <w:rsid w:val="00A03580"/>
    <w:rsid w:val="00A03EFB"/>
    <w:rsid w:val="00A06010"/>
    <w:rsid w:val="00A105B4"/>
    <w:rsid w:val="00A10944"/>
    <w:rsid w:val="00A1272B"/>
    <w:rsid w:val="00A128B5"/>
    <w:rsid w:val="00A1322E"/>
    <w:rsid w:val="00A13BAB"/>
    <w:rsid w:val="00A13D88"/>
    <w:rsid w:val="00A140D0"/>
    <w:rsid w:val="00A1428F"/>
    <w:rsid w:val="00A14CFA"/>
    <w:rsid w:val="00A150C2"/>
    <w:rsid w:val="00A15519"/>
    <w:rsid w:val="00A164C0"/>
    <w:rsid w:val="00A17029"/>
    <w:rsid w:val="00A172EE"/>
    <w:rsid w:val="00A202E1"/>
    <w:rsid w:val="00A21B21"/>
    <w:rsid w:val="00A23236"/>
    <w:rsid w:val="00A237B5"/>
    <w:rsid w:val="00A24010"/>
    <w:rsid w:val="00A240EC"/>
    <w:rsid w:val="00A24716"/>
    <w:rsid w:val="00A26886"/>
    <w:rsid w:val="00A2730E"/>
    <w:rsid w:val="00A30409"/>
    <w:rsid w:val="00A3156B"/>
    <w:rsid w:val="00A32C22"/>
    <w:rsid w:val="00A33168"/>
    <w:rsid w:val="00A34675"/>
    <w:rsid w:val="00A347C4"/>
    <w:rsid w:val="00A35FF5"/>
    <w:rsid w:val="00A368AA"/>
    <w:rsid w:val="00A372F4"/>
    <w:rsid w:val="00A42505"/>
    <w:rsid w:val="00A43E5B"/>
    <w:rsid w:val="00A44FFE"/>
    <w:rsid w:val="00A464DE"/>
    <w:rsid w:val="00A46979"/>
    <w:rsid w:val="00A46A5D"/>
    <w:rsid w:val="00A507D9"/>
    <w:rsid w:val="00A50C29"/>
    <w:rsid w:val="00A53E79"/>
    <w:rsid w:val="00A54D48"/>
    <w:rsid w:val="00A54DAF"/>
    <w:rsid w:val="00A55037"/>
    <w:rsid w:val="00A5572F"/>
    <w:rsid w:val="00A5737B"/>
    <w:rsid w:val="00A57498"/>
    <w:rsid w:val="00A57993"/>
    <w:rsid w:val="00A57A95"/>
    <w:rsid w:val="00A60095"/>
    <w:rsid w:val="00A6013E"/>
    <w:rsid w:val="00A61BB0"/>
    <w:rsid w:val="00A61E94"/>
    <w:rsid w:val="00A6242C"/>
    <w:rsid w:val="00A62CB1"/>
    <w:rsid w:val="00A62F09"/>
    <w:rsid w:val="00A63386"/>
    <w:rsid w:val="00A70F85"/>
    <w:rsid w:val="00A711FF"/>
    <w:rsid w:val="00A71E64"/>
    <w:rsid w:val="00A73795"/>
    <w:rsid w:val="00A73B34"/>
    <w:rsid w:val="00A74397"/>
    <w:rsid w:val="00A74A0D"/>
    <w:rsid w:val="00A74E36"/>
    <w:rsid w:val="00A752B0"/>
    <w:rsid w:val="00A763E9"/>
    <w:rsid w:val="00A7779C"/>
    <w:rsid w:val="00A779D0"/>
    <w:rsid w:val="00A77D52"/>
    <w:rsid w:val="00A80A17"/>
    <w:rsid w:val="00A80DBE"/>
    <w:rsid w:val="00A81DC3"/>
    <w:rsid w:val="00A822EE"/>
    <w:rsid w:val="00A83693"/>
    <w:rsid w:val="00A8497C"/>
    <w:rsid w:val="00A8649B"/>
    <w:rsid w:val="00A86762"/>
    <w:rsid w:val="00A90125"/>
    <w:rsid w:val="00A902D2"/>
    <w:rsid w:val="00A905FC"/>
    <w:rsid w:val="00A91E1B"/>
    <w:rsid w:val="00A92490"/>
    <w:rsid w:val="00A93BF8"/>
    <w:rsid w:val="00A94D39"/>
    <w:rsid w:val="00A95399"/>
    <w:rsid w:val="00A96464"/>
    <w:rsid w:val="00A97B05"/>
    <w:rsid w:val="00AA08FD"/>
    <w:rsid w:val="00AA3479"/>
    <w:rsid w:val="00AA3638"/>
    <w:rsid w:val="00AA4363"/>
    <w:rsid w:val="00AA54A4"/>
    <w:rsid w:val="00AA6AA1"/>
    <w:rsid w:val="00AA763D"/>
    <w:rsid w:val="00AB0426"/>
    <w:rsid w:val="00AB0AD5"/>
    <w:rsid w:val="00AB1C34"/>
    <w:rsid w:val="00AB3AE9"/>
    <w:rsid w:val="00AB44CA"/>
    <w:rsid w:val="00AB4F10"/>
    <w:rsid w:val="00AB7A94"/>
    <w:rsid w:val="00AC303E"/>
    <w:rsid w:val="00AC4144"/>
    <w:rsid w:val="00AC5544"/>
    <w:rsid w:val="00AC7365"/>
    <w:rsid w:val="00AD06C6"/>
    <w:rsid w:val="00AD1C5D"/>
    <w:rsid w:val="00AD274E"/>
    <w:rsid w:val="00AD2808"/>
    <w:rsid w:val="00AD2CBF"/>
    <w:rsid w:val="00AD3A89"/>
    <w:rsid w:val="00AD3E0D"/>
    <w:rsid w:val="00AD5216"/>
    <w:rsid w:val="00AD5F4C"/>
    <w:rsid w:val="00AE0888"/>
    <w:rsid w:val="00AE21E7"/>
    <w:rsid w:val="00AE4DBA"/>
    <w:rsid w:val="00AE5D33"/>
    <w:rsid w:val="00AF1ACA"/>
    <w:rsid w:val="00AF20F9"/>
    <w:rsid w:val="00AF2876"/>
    <w:rsid w:val="00AF3185"/>
    <w:rsid w:val="00AF32BE"/>
    <w:rsid w:val="00AF3439"/>
    <w:rsid w:val="00AF3C8A"/>
    <w:rsid w:val="00AF3F19"/>
    <w:rsid w:val="00AF43E5"/>
    <w:rsid w:val="00AF4FE5"/>
    <w:rsid w:val="00AF7107"/>
    <w:rsid w:val="00AF7D5A"/>
    <w:rsid w:val="00B00078"/>
    <w:rsid w:val="00B001D0"/>
    <w:rsid w:val="00B0128F"/>
    <w:rsid w:val="00B01ED9"/>
    <w:rsid w:val="00B0349D"/>
    <w:rsid w:val="00B03B8F"/>
    <w:rsid w:val="00B03FD6"/>
    <w:rsid w:val="00B04593"/>
    <w:rsid w:val="00B053EC"/>
    <w:rsid w:val="00B059B8"/>
    <w:rsid w:val="00B0675E"/>
    <w:rsid w:val="00B07539"/>
    <w:rsid w:val="00B07B82"/>
    <w:rsid w:val="00B10BA4"/>
    <w:rsid w:val="00B10F85"/>
    <w:rsid w:val="00B112D5"/>
    <w:rsid w:val="00B114A8"/>
    <w:rsid w:val="00B11888"/>
    <w:rsid w:val="00B12A24"/>
    <w:rsid w:val="00B12DE7"/>
    <w:rsid w:val="00B137ED"/>
    <w:rsid w:val="00B14025"/>
    <w:rsid w:val="00B147D8"/>
    <w:rsid w:val="00B156EE"/>
    <w:rsid w:val="00B2144F"/>
    <w:rsid w:val="00B21475"/>
    <w:rsid w:val="00B21EB2"/>
    <w:rsid w:val="00B220D9"/>
    <w:rsid w:val="00B22251"/>
    <w:rsid w:val="00B2232F"/>
    <w:rsid w:val="00B22987"/>
    <w:rsid w:val="00B22CE5"/>
    <w:rsid w:val="00B244A6"/>
    <w:rsid w:val="00B253A9"/>
    <w:rsid w:val="00B26B13"/>
    <w:rsid w:val="00B306AA"/>
    <w:rsid w:val="00B308AA"/>
    <w:rsid w:val="00B30E91"/>
    <w:rsid w:val="00B33244"/>
    <w:rsid w:val="00B33639"/>
    <w:rsid w:val="00B3385F"/>
    <w:rsid w:val="00B34E34"/>
    <w:rsid w:val="00B35A27"/>
    <w:rsid w:val="00B35D95"/>
    <w:rsid w:val="00B35E2D"/>
    <w:rsid w:val="00B36290"/>
    <w:rsid w:val="00B40EDF"/>
    <w:rsid w:val="00B41FD3"/>
    <w:rsid w:val="00B423F0"/>
    <w:rsid w:val="00B42877"/>
    <w:rsid w:val="00B44AFA"/>
    <w:rsid w:val="00B45322"/>
    <w:rsid w:val="00B50C78"/>
    <w:rsid w:val="00B5138F"/>
    <w:rsid w:val="00B53282"/>
    <w:rsid w:val="00B532AA"/>
    <w:rsid w:val="00B569B4"/>
    <w:rsid w:val="00B57385"/>
    <w:rsid w:val="00B6342B"/>
    <w:rsid w:val="00B63885"/>
    <w:rsid w:val="00B63A1F"/>
    <w:rsid w:val="00B63CB3"/>
    <w:rsid w:val="00B653C7"/>
    <w:rsid w:val="00B65C85"/>
    <w:rsid w:val="00B672EB"/>
    <w:rsid w:val="00B6739E"/>
    <w:rsid w:val="00B67CF6"/>
    <w:rsid w:val="00B71545"/>
    <w:rsid w:val="00B717BE"/>
    <w:rsid w:val="00B73634"/>
    <w:rsid w:val="00B7363F"/>
    <w:rsid w:val="00B73874"/>
    <w:rsid w:val="00B73BC9"/>
    <w:rsid w:val="00B77F03"/>
    <w:rsid w:val="00B81C1A"/>
    <w:rsid w:val="00B83302"/>
    <w:rsid w:val="00B83B63"/>
    <w:rsid w:val="00B84BE9"/>
    <w:rsid w:val="00B85C3D"/>
    <w:rsid w:val="00B86B12"/>
    <w:rsid w:val="00B91CBD"/>
    <w:rsid w:val="00B91E78"/>
    <w:rsid w:val="00B926A6"/>
    <w:rsid w:val="00B92933"/>
    <w:rsid w:val="00B92C12"/>
    <w:rsid w:val="00B92EE8"/>
    <w:rsid w:val="00B944C4"/>
    <w:rsid w:val="00B963D1"/>
    <w:rsid w:val="00B967DA"/>
    <w:rsid w:val="00B96BCD"/>
    <w:rsid w:val="00B97547"/>
    <w:rsid w:val="00BA0009"/>
    <w:rsid w:val="00BA1504"/>
    <w:rsid w:val="00BA2205"/>
    <w:rsid w:val="00BA35A8"/>
    <w:rsid w:val="00BA41AF"/>
    <w:rsid w:val="00BA4F0A"/>
    <w:rsid w:val="00BA4F13"/>
    <w:rsid w:val="00BA515C"/>
    <w:rsid w:val="00BA750F"/>
    <w:rsid w:val="00BA7D2B"/>
    <w:rsid w:val="00BB0A38"/>
    <w:rsid w:val="00BB184C"/>
    <w:rsid w:val="00BB192C"/>
    <w:rsid w:val="00BB1DB9"/>
    <w:rsid w:val="00BB21BD"/>
    <w:rsid w:val="00BB3409"/>
    <w:rsid w:val="00BB349E"/>
    <w:rsid w:val="00BB3874"/>
    <w:rsid w:val="00BB3C60"/>
    <w:rsid w:val="00BB4017"/>
    <w:rsid w:val="00BB58A2"/>
    <w:rsid w:val="00BB63E9"/>
    <w:rsid w:val="00BB758E"/>
    <w:rsid w:val="00BC1B99"/>
    <w:rsid w:val="00BC407C"/>
    <w:rsid w:val="00BC4179"/>
    <w:rsid w:val="00BC476E"/>
    <w:rsid w:val="00BC5669"/>
    <w:rsid w:val="00BC737C"/>
    <w:rsid w:val="00BD0099"/>
    <w:rsid w:val="00BD1423"/>
    <w:rsid w:val="00BD2449"/>
    <w:rsid w:val="00BD2FD3"/>
    <w:rsid w:val="00BD3ABA"/>
    <w:rsid w:val="00BD46FC"/>
    <w:rsid w:val="00BD5762"/>
    <w:rsid w:val="00BD5D12"/>
    <w:rsid w:val="00BD7A0F"/>
    <w:rsid w:val="00BE05D1"/>
    <w:rsid w:val="00BE209D"/>
    <w:rsid w:val="00BE27B2"/>
    <w:rsid w:val="00BE476F"/>
    <w:rsid w:val="00BE51DB"/>
    <w:rsid w:val="00BE5578"/>
    <w:rsid w:val="00BE6705"/>
    <w:rsid w:val="00BE7522"/>
    <w:rsid w:val="00BE7DB5"/>
    <w:rsid w:val="00BF017F"/>
    <w:rsid w:val="00BF02D1"/>
    <w:rsid w:val="00BF127E"/>
    <w:rsid w:val="00BF194B"/>
    <w:rsid w:val="00BF29A1"/>
    <w:rsid w:val="00BF5443"/>
    <w:rsid w:val="00BF6C09"/>
    <w:rsid w:val="00C023C9"/>
    <w:rsid w:val="00C024E0"/>
    <w:rsid w:val="00C0645F"/>
    <w:rsid w:val="00C07EF0"/>
    <w:rsid w:val="00C110BD"/>
    <w:rsid w:val="00C1152B"/>
    <w:rsid w:val="00C11C0E"/>
    <w:rsid w:val="00C12ED8"/>
    <w:rsid w:val="00C134D4"/>
    <w:rsid w:val="00C1412E"/>
    <w:rsid w:val="00C148AD"/>
    <w:rsid w:val="00C14C03"/>
    <w:rsid w:val="00C14D07"/>
    <w:rsid w:val="00C15942"/>
    <w:rsid w:val="00C164F1"/>
    <w:rsid w:val="00C1782E"/>
    <w:rsid w:val="00C17973"/>
    <w:rsid w:val="00C202CC"/>
    <w:rsid w:val="00C209B8"/>
    <w:rsid w:val="00C20A97"/>
    <w:rsid w:val="00C2259D"/>
    <w:rsid w:val="00C234FA"/>
    <w:rsid w:val="00C23A25"/>
    <w:rsid w:val="00C24829"/>
    <w:rsid w:val="00C26208"/>
    <w:rsid w:val="00C27975"/>
    <w:rsid w:val="00C3007E"/>
    <w:rsid w:val="00C30E90"/>
    <w:rsid w:val="00C32811"/>
    <w:rsid w:val="00C35F9D"/>
    <w:rsid w:val="00C361D1"/>
    <w:rsid w:val="00C37A4A"/>
    <w:rsid w:val="00C41BBB"/>
    <w:rsid w:val="00C44433"/>
    <w:rsid w:val="00C450FF"/>
    <w:rsid w:val="00C4735F"/>
    <w:rsid w:val="00C50349"/>
    <w:rsid w:val="00C51077"/>
    <w:rsid w:val="00C510E2"/>
    <w:rsid w:val="00C512D8"/>
    <w:rsid w:val="00C52B1D"/>
    <w:rsid w:val="00C5313B"/>
    <w:rsid w:val="00C5416D"/>
    <w:rsid w:val="00C5600F"/>
    <w:rsid w:val="00C57D39"/>
    <w:rsid w:val="00C60B53"/>
    <w:rsid w:val="00C623F7"/>
    <w:rsid w:val="00C64233"/>
    <w:rsid w:val="00C66FA5"/>
    <w:rsid w:val="00C67CF1"/>
    <w:rsid w:val="00C67F66"/>
    <w:rsid w:val="00C758EC"/>
    <w:rsid w:val="00C75DA9"/>
    <w:rsid w:val="00C76002"/>
    <w:rsid w:val="00C7720F"/>
    <w:rsid w:val="00C807F3"/>
    <w:rsid w:val="00C8152C"/>
    <w:rsid w:val="00C8489E"/>
    <w:rsid w:val="00C84AEF"/>
    <w:rsid w:val="00C90821"/>
    <w:rsid w:val="00C90C2D"/>
    <w:rsid w:val="00C91BA2"/>
    <w:rsid w:val="00C92833"/>
    <w:rsid w:val="00C94350"/>
    <w:rsid w:val="00CA0287"/>
    <w:rsid w:val="00CA0C33"/>
    <w:rsid w:val="00CA1932"/>
    <w:rsid w:val="00CA336E"/>
    <w:rsid w:val="00CA45A8"/>
    <w:rsid w:val="00CA47F6"/>
    <w:rsid w:val="00CA4F91"/>
    <w:rsid w:val="00CA6115"/>
    <w:rsid w:val="00CA62C6"/>
    <w:rsid w:val="00CB0BD3"/>
    <w:rsid w:val="00CB0C3F"/>
    <w:rsid w:val="00CB1E94"/>
    <w:rsid w:val="00CB32E1"/>
    <w:rsid w:val="00CB4258"/>
    <w:rsid w:val="00CB4CDA"/>
    <w:rsid w:val="00CB531F"/>
    <w:rsid w:val="00CB5B4A"/>
    <w:rsid w:val="00CB6111"/>
    <w:rsid w:val="00CB6351"/>
    <w:rsid w:val="00CB6A05"/>
    <w:rsid w:val="00CB6FC8"/>
    <w:rsid w:val="00CB6FD5"/>
    <w:rsid w:val="00CC12C4"/>
    <w:rsid w:val="00CC1B47"/>
    <w:rsid w:val="00CC1E45"/>
    <w:rsid w:val="00CC1E8E"/>
    <w:rsid w:val="00CC237B"/>
    <w:rsid w:val="00CC2759"/>
    <w:rsid w:val="00CC38FD"/>
    <w:rsid w:val="00CC3C2A"/>
    <w:rsid w:val="00CC6094"/>
    <w:rsid w:val="00CC7830"/>
    <w:rsid w:val="00CD019F"/>
    <w:rsid w:val="00CD1672"/>
    <w:rsid w:val="00CD2365"/>
    <w:rsid w:val="00CD3300"/>
    <w:rsid w:val="00CD33BA"/>
    <w:rsid w:val="00CD6AE7"/>
    <w:rsid w:val="00CD6B1E"/>
    <w:rsid w:val="00CD78A6"/>
    <w:rsid w:val="00CE069C"/>
    <w:rsid w:val="00CE366C"/>
    <w:rsid w:val="00CE5704"/>
    <w:rsid w:val="00CE5868"/>
    <w:rsid w:val="00CF1174"/>
    <w:rsid w:val="00CF1579"/>
    <w:rsid w:val="00CF1649"/>
    <w:rsid w:val="00CF3A32"/>
    <w:rsid w:val="00CF45E8"/>
    <w:rsid w:val="00CF45F3"/>
    <w:rsid w:val="00CF54D5"/>
    <w:rsid w:val="00D001BC"/>
    <w:rsid w:val="00D01AF5"/>
    <w:rsid w:val="00D024E4"/>
    <w:rsid w:val="00D02BAE"/>
    <w:rsid w:val="00D02DB5"/>
    <w:rsid w:val="00D04F2E"/>
    <w:rsid w:val="00D070AF"/>
    <w:rsid w:val="00D071F2"/>
    <w:rsid w:val="00D07732"/>
    <w:rsid w:val="00D07BA2"/>
    <w:rsid w:val="00D111D5"/>
    <w:rsid w:val="00D11D06"/>
    <w:rsid w:val="00D12EDC"/>
    <w:rsid w:val="00D13434"/>
    <w:rsid w:val="00D13A6C"/>
    <w:rsid w:val="00D15C05"/>
    <w:rsid w:val="00D20D77"/>
    <w:rsid w:val="00D211AA"/>
    <w:rsid w:val="00D213D0"/>
    <w:rsid w:val="00D23358"/>
    <w:rsid w:val="00D27053"/>
    <w:rsid w:val="00D27FF9"/>
    <w:rsid w:val="00D311C1"/>
    <w:rsid w:val="00D317D2"/>
    <w:rsid w:val="00D31910"/>
    <w:rsid w:val="00D31AEC"/>
    <w:rsid w:val="00D324F5"/>
    <w:rsid w:val="00D3371D"/>
    <w:rsid w:val="00D339EF"/>
    <w:rsid w:val="00D35E5C"/>
    <w:rsid w:val="00D3620F"/>
    <w:rsid w:val="00D42639"/>
    <w:rsid w:val="00D436E5"/>
    <w:rsid w:val="00D43C6F"/>
    <w:rsid w:val="00D44C17"/>
    <w:rsid w:val="00D4530E"/>
    <w:rsid w:val="00D45380"/>
    <w:rsid w:val="00D45C66"/>
    <w:rsid w:val="00D506AD"/>
    <w:rsid w:val="00D507C1"/>
    <w:rsid w:val="00D50AEE"/>
    <w:rsid w:val="00D51C7F"/>
    <w:rsid w:val="00D52F16"/>
    <w:rsid w:val="00D55991"/>
    <w:rsid w:val="00D55A04"/>
    <w:rsid w:val="00D60868"/>
    <w:rsid w:val="00D608A5"/>
    <w:rsid w:val="00D63AF4"/>
    <w:rsid w:val="00D651BD"/>
    <w:rsid w:val="00D6539E"/>
    <w:rsid w:val="00D65746"/>
    <w:rsid w:val="00D71A85"/>
    <w:rsid w:val="00D71BE1"/>
    <w:rsid w:val="00D7201F"/>
    <w:rsid w:val="00D744D4"/>
    <w:rsid w:val="00D74743"/>
    <w:rsid w:val="00D74A54"/>
    <w:rsid w:val="00D75823"/>
    <w:rsid w:val="00D75A49"/>
    <w:rsid w:val="00D75CAD"/>
    <w:rsid w:val="00D764A5"/>
    <w:rsid w:val="00D77DDC"/>
    <w:rsid w:val="00D80153"/>
    <w:rsid w:val="00D801AD"/>
    <w:rsid w:val="00D84AE8"/>
    <w:rsid w:val="00D86002"/>
    <w:rsid w:val="00D867F5"/>
    <w:rsid w:val="00D911AF"/>
    <w:rsid w:val="00D9173E"/>
    <w:rsid w:val="00D922D4"/>
    <w:rsid w:val="00D93912"/>
    <w:rsid w:val="00D93E9A"/>
    <w:rsid w:val="00D93F0C"/>
    <w:rsid w:val="00D954CD"/>
    <w:rsid w:val="00D95EFE"/>
    <w:rsid w:val="00D975EB"/>
    <w:rsid w:val="00D976F9"/>
    <w:rsid w:val="00DA5834"/>
    <w:rsid w:val="00DA6E1E"/>
    <w:rsid w:val="00DB0682"/>
    <w:rsid w:val="00DB18F4"/>
    <w:rsid w:val="00DB306D"/>
    <w:rsid w:val="00DB34F6"/>
    <w:rsid w:val="00DB39E4"/>
    <w:rsid w:val="00DB5BFA"/>
    <w:rsid w:val="00DB6BE7"/>
    <w:rsid w:val="00DB6E15"/>
    <w:rsid w:val="00DB6FA9"/>
    <w:rsid w:val="00DB7DC3"/>
    <w:rsid w:val="00DC1177"/>
    <w:rsid w:val="00DC2106"/>
    <w:rsid w:val="00DC32E4"/>
    <w:rsid w:val="00DC3990"/>
    <w:rsid w:val="00DC4B86"/>
    <w:rsid w:val="00DC4D44"/>
    <w:rsid w:val="00DC5F8A"/>
    <w:rsid w:val="00DC74CA"/>
    <w:rsid w:val="00DC7F94"/>
    <w:rsid w:val="00DD019C"/>
    <w:rsid w:val="00DD02A6"/>
    <w:rsid w:val="00DD1C87"/>
    <w:rsid w:val="00DD28E9"/>
    <w:rsid w:val="00DD3FCE"/>
    <w:rsid w:val="00DD4135"/>
    <w:rsid w:val="00DD4A60"/>
    <w:rsid w:val="00DD615D"/>
    <w:rsid w:val="00DD6B8A"/>
    <w:rsid w:val="00DD7AC5"/>
    <w:rsid w:val="00DE00E8"/>
    <w:rsid w:val="00DE191E"/>
    <w:rsid w:val="00DE1931"/>
    <w:rsid w:val="00DE43D9"/>
    <w:rsid w:val="00DE5DC2"/>
    <w:rsid w:val="00DE6692"/>
    <w:rsid w:val="00DE675A"/>
    <w:rsid w:val="00DE7A0D"/>
    <w:rsid w:val="00DF175B"/>
    <w:rsid w:val="00DF1B80"/>
    <w:rsid w:val="00DF216C"/>
    <w:rsid w:val="00DF37CB"/>
    <w:rsid w:val="00DF42E8"/>
    <w:rsid w:val="00E004CC"/>
    <w:rsid w:val="00E00533"/>
    <w:rsid w:val="00E00598"/>
    <w:rsid w:val="00E0225B"/>
    <w:rsid w:val="00E0262F"/>
    <w:rsid w:val="00E0272D"/>
    <w:rsid w:val="00E03604"/>
    <w:rsid w:val="00E04A7D"/>
    <w:rsid w:val="00E052DA"/>
    <w:rsid w:val="00E073D6"/>
    <w:rsid w:val="00E1174E"/>
    <w:rsid w:val="00E12825"/>
    <w:rsid w:val="00E12EC5"/>
    <w:rsid w:val="00E13834"/>
    <w:rsid w:val="00E13BC4"/>
    <w:rsid w:val="00E13E8E"/>
    <w:rsid w:val="00E140B6"/>
    <w:rsid w:val="00E14820"/>
    <w:rsid w:val="00E16C1C"/>
    <w:rsid w:val="00E171BA"/>
    <w:rsid w:val="00E179A4"/>
    <w:rsid w:val="00E211D2"/>
    <w:rsid w:val="00E22F29"/>
    <w:rsid w:val="00E249F5"/>
    <w:rsid w:val="00E24FE2"/>
    <w:rsid w:val="00E26A6D"/>
    <w:rsid w:val="00E26B0E"/>
    <w:rsid w:val="00E27098"/>
    <w:rsid w:val="00E319AD"/>
    <w:rsid w:val="00E35215"/>
    <w:rsid w:val="00E3625E"/>
    <w:rsid w:val="00E369F0"/>
    <w:rsid w:val="00E40312"/>
    <w:rsid w:val="00E407B2"/>
    <w:rsid w:val="00E415FA"/>
    <w:rsid w:val="00E41CA8"/>
    <w:rsid w:val="00E42382"/>
    <w:rsid w:val="00E42932"/>
    <w:rsid w:val="00E44E53"/>
    <w:rsid w:val="00E46833"/>
    <w:rsid w:val="00E5110A"/>
    <w:rsid w:val="00E51687"/>
    <w:rsid w:val="00E522E8"/>
    <w:rsid w:val="00E52AF8"/>
    <w:rsid w:val="00E52C03"/>
    <w:rsid w:val="00E52C89"/>
    <w:rsid w:val="00E53230"/>
    <w:rsid w:val="00E545BD"/>
    <w:rsid w:val="00E54F0E"/>
    <w:rsid w:val="00E550AF"/>
    <w:rsid w:val="00E5770F"/>
    <w:rsid w:val="00E578E0"/>
    <w:rsid w:val="00E601D8"/>
    <w:rsid w:val="00E6078B"/>
    <w:rsid w:val="00E612EF"/>
    <w:rsid w:val="00E62133"/>
    <w:rsid w:val="00E637FD"/>
    <w:rsid w:val="00E63968"/>
    <w:rsid w:val="00E64021"/>
    <w:rsid w:val="00E64B68"/>
    <w:rsid w:val="00E64FFE"/>
    <w:rsid w:val="00E677BF"/>
    <w:rsid w:val="00E67EF4"/>
    <w:rsid w:val="00E7046A"/>
    <w:rsid w:val="00E71A8D"/>
    <w:rsid w:val="00E724A3"/>
    <w:rsid w:val="00E744F2"/>
    <w:rsid w:val="00E74932"/>
    <w:rsid w:val="00E749FD"/>
    <w:rsid w:val="00E755C4"/>
    <w:rsid w:val="00E757A2"/>
    <w:rsid w:val="00E76EC1"/>
    <w:rsid w:val="00E77915"/>
    <w:rsid w:val="00E77FF3"/>
    <w:rsid w:val="00E80226"/>
    <w:rsid w:val="00E8108F"/>
    <w:rsid w:val="00E81F1A"/>
    <w:rsid w:val="00E83542"/>
    <w:rsid w:val="00E83F1F"/>
    <w:rsid w:val="00E845C4"/>
    <w:rsid w:val="00E846E1"/>
    <w:rsid w:val="00E86432"/>
    <w:rsid w:val="00E864D7"/>
    <w:rsid w:val="00E90231"/>
    <w:rsid w:val="00E93AFE"/>
    <w:rsid w:val="00E950AB"/>
    <w:rsid w:val="00E95348"/>
    <w:rsid w:val="00EA3D83"/>
    <w:rsid w:val="00EA6AAC"/>
    <w:rsid w:val="00EA6C10"/>
    <w:rsid w:val="00EA7C09"/>
    <w:rsid w:val="00EB0AED"/>
    <w:rsid w:val="00EB3C27"/>
    <w:rsid w:val="00EB5790"/>
    <w:rsid w:val="00EB5A7D"/>
    <w:rsid w:val="00EB72B4"/>
    <w:rsid w:val="00EC0034"/>
    <w:rsid w:val="00EC0529"/>
    <w:rsid w:val="00EC09D2"/>
    <w:rsid w:val="00EC0EDF"/>
    <w:rsid w:val="00EC1BE6"/>
    <w:rsid w:val="00EC1F24"/>
    <w:rsid w:val="00EC2624"/>
    <w:rsid w:val="00EC358F"/>
    <w:rsid w:val="00EC3979"/>
    <w:rsid w:val="00EC6500"/>
    <w:rsid w:val="00ED1066"/>
    <w:rsid w:val="00ED316F"/>
    <w:rsid w:val="00ED3307"/>
    <w:rsid w:val="00ED4DA9"/>
    <w:rsid w:val="00ED4DC5"/>
    <w:rsid w:val="00ED5557"/>
    <w:rsid w:val="00ED5613"/>
    <w:rsid w:val="00ED660C"/>
    <w:rsid w:val="00ED6759"/>
    <w:rsid w:val="00ED7530"/>
    <w:rsid w:val="00ED7C6A"/>
    <w:rsid w:val="00EE0A14"/>
    <w:rsid w:val="00EE1634"/>
    <w:rsid w:val="00EE20AC"/>
    <w:rsid w:val="00EE20EE"/>
    <w:rsid w:val="00EE301D"/>
    <w:rsid w:val="00EE47AA"/>
    <w:rsid w:val="00EE4D89"/>
    <w:rsid w:val="00EE513C"/>
    <w:rsid w:val="00EE7223"/>
    <w:rsid w:val="00EF0399"/>
    <w:rsid w:val="00EF1848"/>
    <w:rsid w:val="00EF2ACC"/>
    <w:rsid w:val="00EF42D8"/>
    <w:rsid w:val="00EF4FA1"/>
    <w:rsid w:val="00EF52D7"/>
    <w:rsid w:val="00F02F5C"/>
    <w:rsid w:val="00F036D0"/>
    <w:rsid w:val="00F040DD"/>
    <w:rsid w:val="00F062B5"/>
    <w:rsid w:val="00F0634B"/>
    <w:rsid w:val="00F10040"/>
    <w:rsid w:val="00F1056A"/>
    <w:rsid w:val="00F108FD"/>
    <w:rsid w:val="00F10CDB"/>
    <w:rsid w:val="00F14BD7"/>
    <w:rsid w:val="00F154AA"/>
    <w:rsid w:val="00F2117B"/>
    <w:rsid w:val="00F22522"/>
    <w:rsid w:val="00F24080"/>
    <w:rsid w:val="00F243E1"/>
    <w:rsid w:val="00F270EE"/>
    <w:rsid w:val="00F30014"/>
    <w:rsid w:val="00F30065"/>
    <w:rsid w:val="00F301F6"/>
    <w:rsid w:val="00F3385F"/>
    <w:rsid w:val="00F3386F"/>
    <w:rsid w:val="00F33B60"/>
    <w:rsid w:val="00F33D31"/>
    <w:rsid w:val="00F347CA"/>
    <w:rsid w:val="00F35231"/>
    <w:rsid w:val="00F359B0"/>
    <w:rsid w:val="00F36C4F"/>
    <w:rsid w:val="00F370AE"/>
    <w:rsid w:val="00F375A3"/>
    <w:rsid w:val="00F3785F"/>
    <w:rsid w:val="00F42EF8"/>
    <w:rsid w:val="00F44C8E"/>
    <w:rsid w:val="00F47FA4"/>
    <w:rsid w:val="00F53320"/>
    <w:rsid w:val="00F53E0A"/>
    <w:rsid w:val="00F5416B"/>
    <w:rsid w:val="00F56987"/>
    <w:rsid w:val="00F57635"/>
    <w:rsid w:val="00F5789B"/>
    <w:rsid w:val="00F61D43"/>
    <w:rsid w:val="00F61F6B"/>
    <w:rsid w:val="00F647E4"/>
    <w:rsid w:val="00F65028"/>
    <w:rsid w:val="00F658AD"/>
    <w:rsid w:val="00F658F6"/>
    <w:rsid w:val="00F65BC0"/>
    <w:rsid w:val="00F66C6B"/>
    <w:rsid w:val="00F67B9F"/>
    <w:rsid w:val="00F67E7A"/>
    <w:rsid w:val="00F7103B"/>
    <w:rsid w:val="00F71CCF"/>
    <w:rsid w:val="00F7348B"/>
    <w:rsid w:val="00F74D92"/>
    <w:rsid w:val="00F7518B"/>
    <w:rsid w:val="00F76116"/>
    <w:rsid w:val="00F7658A"/>
    <w:rsid w:val="00F7799C"/>
    <w:rsid w:val="00F800AA"/>
    <w:rsid w:val="00F810F4"/>
    <w:rsid w:val="00F82172"/>
    <w:rsid w:val="00F84343"/>
    <w:rsid w:val="00F86016"/>
    <w:rsid w:val="00F86F12"/>
    <w:rsid w:val="00F90256"/>
    <w:rsid w:val="00F9420E"/>
    <w:rsid w:val="00F94A06"/>
    <w:rsid w:val="00F95AAF"/>
    <w:rsid w:val="00F96592"/>
    <w:rsid w:val="00F96C0A"/>
    <w:rsid w:val="00F96CA8"/>
    <w:rsid w:val="00F97075"/>
    <w:rsid w:val="00FA07FF"/>
    <w:rsid w:val="00FA0999"/>
    <w:rsid w:val="00FA1E95"/>
    <w:rsid w:val="00FA300F"/>
    <w:rsid w:val="00FA582C"/>
    <w:rsid w:val="00FA58AF"/>
    <w:rsid w:val="00FA5B89"/>
    <w:rsid w:val="00FA66AB"/>
    <w:rsid w:val="00FA6C63"/>
    <w:rsid w:val="00FB143C"/>
    <w:rsid w:val="00FB2E16"/>
    <w:rsid w:val="00FB2E73"/>
    <w:rsid w:val="00FB373A"/>
    <w:rsid w:val="00FB3CA5"/>
    <w:rsid w:val="00FB3E26"/>
    <w:rsid w:val="00FB50D0"/>
    <w:rsid w:val="00FC03B4"/>
    <w:rsid w:val="00FC3388"/>
    <w:rsid w:val="00FC372D"/>
    <w:rsid w:val="00FC4598"/>
    <w:rsid w:val="00FC5291"/>
    <w:rsid w:val="00FC631A"/>
    <w:rsid w:val="00FC6DD6"/>
    <w:rsid w:val="00FD1C54"/>
    <w:rsid w:val="00FE24DC"/>
    <w:rsid w:val="00FE3A25"/>
    <w:rsid w:val="00FE3B46"/>
    <w:rsid w:val="00FE43E7"/>
    <w:rsid w:val="00FE4B74"/>
    <w:rsid w:val="00FE5A29"/>
    <w:rsid w:val="00FE5CC1"/>
    <w:rsid w:val="00FE61BF"/>
    <w:rsid w:val="00FF14BC"/>
    <w:rsid w:val="00FF241D"/>
    <w:rsid w:val="00FF2D72"/>
    <w:rsid w:val="00FF5C54"/>
    <w:rsid w:val="00FF75B6"/>
    <w:rsid w:val="02164446"/>
    <w:rsid w:val="02F70D3E"/>
    <w:rsid w:val="03353615"/>
    <w:rsid w:val="03F434D0"/>
    <w:rsid w:val="045301F6"/>
    <w:rsid w:val="065D710A"/>
    <w:rsid w:val="06653F4F"/>
    <w:rsid w:val="06C278B5"/>
    <w:rsid w:val="077A3CEC"/>
    <w:rsid w:val="08447065"/>
    <w:rsid w:val="08620365"/>
    <w:rsid w:val="08730E67"/>
    <w:rsid w:val="0A261F09"/>
    <w:rsid w:val="0A4725AB"/>
    <w:rsid w:val="0B4510B2"/>
    <w:rsid w:val="0D094CFE"/>
    <w:rsid w:val="0D422A78"/>
    <w:rsid w:val="0D8C24BB"/>
    <w:rsid w:val="0EB43DAF"/>
    <w:rsid w:val="10BC6358"/>
    <w:rsid w:val="10EF12A7"/>
    <w:rsid w:val="12BD0551"/>
    <w:rsid w:val="137D2B9A"/>
    <w:rsid w:val="139D4FEA"/>
    <w:rsid w:val="13DA5C7F"/>
    <w:rsid w:val="150D43F1"/>
    <w:rsid w:val="15455939"/>
    <w:rsid w:val="155362A8"/>
    <w:rsid w:val="1763654B"/>
    <w:rsid w:val="18251A52"/>
    <w:rsid w:val="182D4CB3"/>
    <w:rsid w:val="18BC4164"/>
    <w:rsid w:val="19123A39"/>
    <w:rsid w:val="193A32DB"/>
    <w:rsid w:val="196B7938"/>
    <w:rsid w:val="19C641DE"/>
    <w:rsid w:val="1A3C6B2B"/>
    <w:rsid w:val="1B830F69"/>
    <w:rsid w:val="1BF0799C"/>
    <w:rsid w:val="1F122ECC"/>
    <w:rsid w:val="1F5C044F"/>
    <w:rsid w:val="1F7620D1"/>
    <w:rsid w:val="204F63C1"/>
    <w:rsid w:val="20BD6CCC"/>
    <w:rsid w:val="20C72940"/>
    <w:rsid w:val="20E424AA"/>
    <w:rsid w:val="216B2BCB"/>
    <w:rsid w:val="222F0782"/>
    <w:rsid w:val="22A901F1"/>
    <w:rsid w:val="22C61EBA"/>
    <w:rsid w:val="22E73000"/>
    <w:rsid w:val="22F369D5"/>
    <w:rsid w:val="26370BCE"/>
    <w:rsid w:val="27FD1429"/>
    <w:rsid w:val="29136525"/>
    <w:rsid w:val="29634188"/>
    <w:rsid w:val="29F574D6"/>
    <w:rsid w:val="2B734869"/>
    <w:rsid w:val="2B8C66E5"/>
    <w:rsid w:val="2BEC2B5B"/>
    <w:rsid w:val="2C9254B0"/>
    <w:rsid w:val="2D7D16EA"/>
    <w:rsid w:val="2DAC763C"/>
    <w:rsid w:val="2E254102"/>
    <w:rsid w:val="346D6F0D"/>
    <w:rsid w:val="359A4324"/>
    <w:rsid w:val="35E36D7D"/>
    <w:rsid w:val="36EB7C78"/>
    <w:rsid w:val="37316AF2"/>
    <w:rsid w:val="379C71E3"/>
    <w:rsid w:val="37B02C8E"/>
    <w:rsid w:val="390F78C5"/>
    <w:rsid w:val="3911204A"/>
    <w:rsid w:val="3A354F27"/>
    <w:rsid w:val="3A753637"/>
    <w:rsid w:val="3B021A53"/>
    <w:rsid w:val="3B6C15C2"/>
    <w:rsid w:val="3C7749E5"/>
    <w:rsid w:val="3CAA2E6E"/>
    <w:rsid w:val="3CC73835"/>
    <w:rsid w:val="3CD411CD"/>
    <w:rsid w:val="3E4200FC"/>
    <w:rsid w:val="3E500D27"/>
    <w:rsid w:val="418503AA"/>
    <w:rsid w:val="422D0D2A"/>
    <w:rsid w:val="42BA069E"/>
    <w:rsid w:val="4335673E"/>
    <w:rsid w:val="44AC5C16"/>
    <w:rsid w:val="44B55422"/>
    <w:rsid w:val="45905EAD"/>
    <w:rsid w:val="464468F2"/>
    <w:rsid w:val="46503FBA"/>
    <w:rsid w:val="4656187D"/>
    <w:rsid w:val="46623CEE"/>
    <w:rsid w:val="474E1502"/>
    <w:rsid w:val="47636B4F"/>
    <w:rsid w:val="48873598"/>
    <w:rsid w:val="4910722C"/>
    <w:rsid w:val="49C10D2B"/>
    <w:rsid w:val="4A834233"/>
    <w:rsid w:val="4A972242"/>
    <w:rsid w:val="4AB926A2"/>
    <w:rsid w:val="4B840262"/>
    <w:rsid w:val="4BD93E9A"/>
    <w:rsid w:val="4BD96800"/>
    <w:rsid w:val="4C260A76"/>
    <w:rsid w:val="4C2D26A8"/>
    <w:rsid w:val="4C4E6BE1"/>
    <w:rsid w:val="4D5D76C4"/>
    <w:rsid w:val="4E1923D6"/>
    <w:rsid w:val="5066262C"/>
    <w:rsid w:val="50A15412"/>
    <w:rsid w:val="50C51101"/>
    <w:rsid w:val="5168443E"/>
    <w:rsid w:val="52A03BD4"/>
    <w:rsid w:val="5355042E"/>
    <w:rsid w:val="53663B0F"/>
    <w:rsid w:val="53BD2563"/>
    <w:rsid w:val="5416682C"/>
    <w:rsid w:val="54793F4F"/>
    <w:rsid w:val="54B96007"/>
    <w:rsid w:val="56B7773E"/>
    <w:rsid w:val="57264CB8"/>
    <w:rsid w:val="576616AA"/>
    <w:rsid w:val="57C060E9"/>
    <w:rsid w:val="57C95002"/>
    <w:rsid w:val="580F5357"/>
    <w:rsid w:val="58CD4FF7"/>
    <w:rsid w:val="593D4A70"/>
    <w:rsid w:val="59B937CD"/>
    <w:rsid w:val="5AA0748B"/>
    <w:rsid w:val="5AC033D0"/>
    <w:rsid w:val="5B1F3B03"/>
    <w:rsid w:val="5B9F21EC"/>
    <w:rsid w:val="5BD350AD"/>
    <w:rsid w:val="5C414126"/>
    <w:rsid w:val="5C530923"/>
    <w:rsid w:val="5CCB475A"/>
    <w:rsid w:val="5D537A94"/>
    <w:rsid w:val="5F2E393D"/>
    <w:rsid w:val="60011A1B"/>
    <w:rsid w:val="60C50CA9"/>
    <w:rsid w:val="61957E67"/>
    <w:rsid w:val="63107F6E"/>
    <w:rsid w:val="63EB6C79"/>
    <w:rsid w:val="64605855"/>
    <w:rsid w:val="64B27796"/>
    <w:rsid w:val="67A96C2F"/>
    <w:rsid w:val="68044406"/>
    <w:rsid w:val="69DE3DEE"/>
    <w:rsid w:val="6AC76874"/>
    <w:rsid w:val="6B350873"/>
    <w:rsid w:val="6BF44CBC"/>
    <w:rsid w:val="6C69563D"/>
    <w:rsid w:val="6CB717A7"/>
    <w:rsid w:val="6D464F20"/>
    <w:rsid w:val="6E072901"/>
    <w:rsid w:val="6E292877"/>
    <w:rsid w:val="6EE175F6"/>
    <w:rsid w:val="6EE76C62"/>
    <w:rsid w:val="6F651DBB"/>
    <w:rsid w:val="6FB6638D"/>
    <w:rsid w:val="700A0586"/>
    <w:rsid w:val="70453BB5"/>
    <w:rsid w:val="70497201"/>
    <w:rsid w:val="70D867D7"/>
    <w:rsid w:val="70E27140"/>
    <w:rsid w:val="70F1512D"/>
    <w:rsid w:val="713E488C"/>
    <w:rsid w:val="71FF3BDF"/>
    <w:rsid w:val="72A31D0F"/>
    <w:rsid w:val="7487654A"/>
    <w:rsid w:val="74C4779E"/>
    <w:rsid w:val="7501454E"/>
    <w:rsid w:val="76E70159"/>
    <w:rsid w:val="77F57C6E"/>
    <w:rsid w:val="788B0EC1"/>
    <w:rsid w:val="79D96924"/>
    <w:rsid w:val="7A2111EE"/>
    <w:rsid w:val="7AA94B13"/>
    <w:rsid w:val="7AEB6EE6"/>
    <w:rsid w:val="7B8D6B04"/>
    <w:rsid w:val="7BA06143"/>
    <w:rsid w:val="7BBF2A6D"/>
    <w:rsid w:val="7E9C0E44"/>
    <w:rsid w:val="7EA128FE"/>
    <w:rsid w:val="7ECA59B1"/>
    <w:rsid w:val="7F1E52EB"/>
    <w:rsid w:val="7F774919"/>
    <w:rsid w:val="7FA02BB5"/>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93"/>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95"/>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15"/>
    <w:autoRedefine/>
    <w:qFormat/>
    <w:uiPriority w:val="0"/>
    <w:pPr>
      <w:keepNext/>
      <w:keepLines/>
      <w:spacing w:before="260" w:after="260" w:line="416" w:lineRule="auto"/>
      <w:outlineLvl w:val="2"/>
    </w:pPr>
    <w:rPr>
      <w:b/>
      <w:bCs/>
      <w:sz w:val="32"/>
      <w:szCs w:val="32"/>
    </w:rPr>
  </w:style>
  <w:style w:type="paragraph" w:styleId="8">
    <w:name w:val="heading 4"/>
    <w:basedOn w:val="1"/>
    <w:next w:val="1"/>
    <w:link w:val="183"/>
    <w:autoRedefine/>
    <w:qFormat/>
    <w:uiPriority w:val="0"/>
    <w:pPr>
      <w:keepNext/>
      <w:keepLines/>
      <w:numPr>
        <w:ilvl w:val="0"/>
        <w:numId w:val="1"/>
      </w:numPr>
      <w:spacing w:before="280" w:after="290" w:line="376" w:lineRule="auto"/>
      <w:outlineLvl w:val="3"/>
    </w:pPr>
    <w:rPr>
      <w:rFonts w:ascii="Cambria" w:hAnsi="Cambria"/>
      <w:b/>
      <w:bCs/>
      <w:sz w:val="28"/>
      <w:szCs w:val="28"/>
    </w:rPr>
  </w:style>
  <w:style w:type="paragraph" w:styleId="9">
    <w:name w:val="heading 5"/>
    <w:basedOn w:val="1"/>
    <w:next w:val="1"/>
    <w:link w:val="179"/>
    <w:autoRedefine/>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10">
    <w:name w:val="heading 6"/>
    <w:basedOn w:val="1"/>
    <w:next w:val="1"/>
    <w:link w:val="177"/>
    <w:autoRedefine/>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11">
    <w:name w:val="heading 7"/>
    <w:basedOn w:val="1"/>
    <w:next w:val="1"/>
    <w:link w:val="181"/>
    <w:autoRedefine/>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12">
    <w:name w:val="heading 8"/>
    <w:basedOn w:val="1"/>
    <w:next w:val="1"/>
    <w:link w:val="130"/>
    <w:autoRedefine/>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3">
    <w:name w:val="heading 9"/>
    <w:basedOn w:val="1"/>
    <w:next w:val="1"/>
    <w:link w:val="91"/>
    <w:autoRedefine/>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6">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customStyle="1" w:styleId="2">
    <w:name w:val="Style1"/>
    <w:next w:val="3"/>
    <w:autoRedefine/>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
    <w:name w:val="*正文"/>
    <w:basedOn w:val="4"/>
    <w:autoRedefine/>
    <w:qFormat/>
    <w:uiPriority w:val="0"/>
    <w:pPr>
      <w:spacing w:line="480" w:lineRule="auto"/>
      <w:ind w:firstLine="200" w:firstLineChars="200"/>
    </w:pPr>
    <w:rPr>
      <w:rFonts w:ascii="Arial" w:hAnsi="Arial"/>
      <w:szCs w:val="24"/>
    </w:rPr>
  </w:style>
  <w:style w:type="paragraph" w:styleId="4">
    <w:name w:val="Normal Indent"/>
    <w:basedOn w:val="1"/>
    <w:link w:val="83"/>
    <w:autoRedefine/>
    <w:qFormat/>
    <w:uiPriority w:val="0"/>
    <w:pPr>
      <w:widowControl/>
      <w:adjustRightInd w:val="0"/>
      <w:snapToGrid w:val="0"/>
      <w:spacing w:line="480" w:lineRule="exact"/>
      <w:ind w:firstLine="567"/>
    </w:pPr>
    <w:rPr>
      <w:rFonts w:ascii="宋体"/>
      <w:snapToGrid w:val="0"/>
      <w:color w:val="000000"/>
      <w:kern w:val="28"/>
      <w:sz w:val="28"/>
    </w:rPr>
  </w:style>
  <w:style w:type="paragraph" w:styleId="14">
    <w:name w:val="List 3"/>
    <w:basedOn w:val="1"/>
    <w:autoRedefine/>
    <w:unhideWhenUsed/>
    <w:qFormat/>
    <w:uiPriority w:val="0"/>
    <w:pPr>
      <w:ind w:left="100" w:leftChars="400" w:hanging="200" w:hangingChars="200"/>
    </w:pPr>
  </w:style>
  <w:style w:type="paragraph" w:styleId="15">
    <w:name w:val="toc 7"/>
    <w:basedOn w:val="1"/>
    <w:next w:val="1"/>
    <w:autoRedefine/>
    <w:qFormat/>
    <w:uiPriority w:val="0"/>
    <w:pPr>
      <w:ind w:left="1260"/>
      <w:jc w:val="left"/>
    </w:pPr>
    <w:rPr>
      <w:rFonts w:ascii="仿宋_GB2312" w:eastAsia="仿宋_GB2312"/>
      <w:sz w:val="18"/>
      <w:szCs w:val="18"/>
    </w:rPr>
  </w:style>
  <w:style w:type="paragraph" w:styleId="16">
    <w:name w:val="index 8"/>
    <w:basedOn w:val="1"/>
    <w:next w:val="1"/>
    <w:autoRedefine/>
    <w:qFormat/>
    <w:uiPriority w:val="0"/>
    <w:pPr>
      <w:widowControl/>
      <w:ind w:left="1920" w:hanging="240"/>
      <w:jc w:val="left"/>
    </w:pPr>
    <w:rPr>
      <w:rFonts w:ascii="仿宋_GB2312" w:eastAsia="仿宋_GB2312"/>
      <w:kern w:val="0"/>
      <w:sz w:val="24"/>
      <w:szCs w:val="28"/>
    </w:rPr>
  </w:style>
  <w:style w:type="paragraph" w:styleId="17">
    <w:name w:val="caption"/>
    <w:basedOn w:val="1"/>
    <w:next w:val="1"/>
    <w:autoRedefine/>
    <w:qFormat/>
    <w:uiPriority w:val="0"/>
    <w:pPr>
      <w:widowControl/>
      <w:spacing w:after="480"/>
      <w:jc w:val="left"/>
    </w:pPr>
    <w:rPr>
      <w:rFonts w:ascii="Calibri" w:hAnsi="Calibri"/>
      <w:b/>
      <w:bCs/>
      <w:color w:val="4F81BD"/>
      <w:kern w:val="0"/>
      <w:sz w:val="18"/>
      <w:szCs w:val="18"/>
      <w:lang w:eastAsia="en-US" w:bidi="en-US"/>
    </w:rPr>
  </w:style>
  <w:style w:type="paragraph" w:styleId="18">
    <w:name w:val="index 5"/>
    <w:basedOn w:val="1"/>
    <w:next w:val="1"/>
    <w:autoRedefine/>
    <w:qFormat/>
    <w:uiPriority w:val="0"/>
    <w:pPr>
      <w:widowControl/>
      <w:ind w:left="1200" w:hanging="240"/>
      <w:jc w:val="left"/>
    </w:pPr>
    <w:rPr>
      <w:rFonts w:ascii="仿宋_GB2312" w:eastAsia="仿宋_GB2312"/>
      <w:kern w:val="0"/>
      <w:sz w:val="24"/>
      <w:szCs w:val="28"/>
    </w:rPr>
  </w:style>
  <w:style w:type="paragraph" w:styleId="19">
    <w:name w:val="List Bullet"/>
    <w:basedOn w:val="20"/>
    <w:autoRedefine/>
    <w:qFormat/>
    <w:uiPriority w:val="0"/>
    <w:pPr>
      <w:widowControl/>
      <w:numPr>
        <w:ilvl w:val="0"/>
        <w:numId w:val="3"/>
      </w:numPr>
      <w:tabs>
        <w:tab w:val="left" w:pos="840"/>
      </w:tabs>
      <w:spacing w:line="360" w:lineRule="auto"/>
      <w:ind w:right="720" w:firstLine="0" w:firstLineChars="0"/>
      <w:jc w:val="left"/>
    </w:pPr>
    <w:rPr>
      <w:kern w:val="0"/>
      <w:sz w:val="24"/>
      <w:szCs w:val="20"/>
    </w:rPr>
  </w:style>
  <w:style w:type="paragraph" w:styleId="20">
    <w:name w:val="List"/>
    <w:basedOn w:val="1"/>
    <w:autoRedefine/>
    <w:qFormat/>
    <w:uiPriority w:val="0"/>
    <w:pPr>
      <w:ind w:left="200" w:hanging="200" w:hangingChars="200"/>
    </w:pPr>
    <w:rPr>
      <w:rFonts w:ascii="仿宋_GB2312" w:eastAsia="仿宋_GB2312"/>
      <w:sz w:val="28"/>
      <w:szCs w:val="28"/>
    </w:rPr>
  </w:style>
  <w:style w:type="paragraph" w:styleId="21">
    <w:name w:val="Document Map"/>
    <w:basedOn w:val="1"/>
    <w:link w:val="160"/>
    <w:autoRedefine/>
    <w:qFormat/>
    <w:uiPriority w:val="0"/>
    <w:pPr>
      <w:shd w:val="clear" w:color="auto" w:fill="000080"/>
    </w:pPr>
    <w:rPr>
      <w:kern w:val="0"/>
      <w:sz w:val="20"/>
      <w:szCs w:val="24"/>
      <w:shd w:val="clear" w:color="auto" w:fill="000080"/>
    </w:rPr>
  </w:style>
  <w:style w:type="paragraph" w:styleId="22">
    <w:name w:val="annotation text"/>
    <w:basedOn w:val="1"/>
    <w:link w:val="120"/>
    <w:autoRedefine/>
    <w:unhideWhenUsed/>
    <w:qFormat/>
    <w:uiPriority w:val="0"/>
    <w:pPr>
      <w:jc w:val="left"/>
    </w:pPr>
    <w:rPr>
      <w:rFonts w:ascii="仿宋_GB2312" w:eastAsia="仿宋_GB2312"/>
      <w:sz w:val="28"/>
      <w:szCs w:val="28"/>
    </w:rPr>
  </w:style>
  <w:style w:type="paragraph" w:styleId="23">
    <w:name w:val="index 6"/>
    <w:basedOn w:val="1"/>
    <w:next w:val="1"/>
    <w:autoRedefine/>
    <w:qFormat/>
    <w:uiPriority w:val="0"/>
    <w:pPr>
      <w:widowControl/>
      <w:ind w:left="1440" w:hanging="240"/>
      <w:jc w:val="left"/>
    </w:pPr>
    <w:rPr>
      <w:rFonts w:ascii="仿宋_GB2312" w:eastAsia="仿宋_GB2312"/>
      <w:kern w:val="0"/>
      <w:sz w:val="24"/>
      <w:szCs w:val="28"/>
    </w:rPr>
  </w:style>
  <w:style w:type="paragraph" w:styleId="24">
    <w:name w:val="Body Text 3"/>
    <w:basedOn w:val="1"/>
    <w:link w:val="113"/>
    <w:autoRedefine/>
    <w:qFormat/>
    <w:uiPriority w:val="0"/>
    <w:rPr>
      <w:rFonts w:ascii="宋体" w:hAnsi="宋体"/>
      <w:b/>
      <w:bCs/>
      <w:sz w:val="24"/>
      <w:szCs w:val="24"/>
    </w:rPr>
  </w:style>
  <w:style w:type="paragraph" w:styleId="25">
    <w:name w:val="Body Text"/>
    <w:basedOn w:val="1"/>
    <w:next w:val="1"/>
    <w:link w:val="142"/>
    <w:autoRedefine/>
    <w:qFormat/>
    <w:uiPriority w:val="0"/>
    <w:rPr>
      <w:rFonts w:eastAsia="黑体"/>
      <w:b/>
      <w:bCs/>
      <w:spacing w:val="20"/>
      <w:kern w:val="52"/>
      <w:sz w:val="56"/>
      <w:szCs w:val="24"/>
    </w:rPr>
  </w:style>
  <w:style w:type="paragraph" w:styleId="26">
    <w:name w:val="Body Text Indent"/>
    <w:basedOn w:val="1"/>
    <w:next w:val="1"/>
    <w:link w:val="133"/>
    <w:autoRedefine/>
    <w:qFormat/>
    <w:uiPriority w:val="0"/>
    <w:pPr>
      <w:spacing w:line="360" w:lineRule="auto"/>
      <w:ind w:firstLine="435"/>
    </w:pPr>
    <w:rPr>
      <w:sz w:val="28"/>
      <w:szCs w:val="24"/>
    </w:rPr>
  </w:style>
  <w:style w:type="paragraph" w:styleId="27">
    <w:name w:val="List Number 3"/>
    <w:basedOn w:val="1"/>
    <w:autoRedefine/>
    <w:qFormat/>
    <w:uiPriority w:val="0"/>
    <w:pPr>
      <w:numPr>
        <w:ilvl w:val="0"/>
        <w:numId w:val="4"/>
      </w:numPr>
      <w:contextualSpacing/>
    </w:pPr>
    <w:rPr>
      <w:rFonts w:ascii="仿宋_GB2312" w:eastAsia="仿宋_GB2312"/>
      <w:sz w:val="28"/>
      <w:szCs w:val="28"/>
    </w:rPr>
  </w:style>
  <w:style w:type="paragraph" w:styleId="28">
    <w:name w:val="List 2"/>
    <w:basedOn w:val="1"/>
    <w:autoRedefine/>
    <w:qFormat/>
    <w:uiPriority w:val="0"/>
    <w:pPr>
      <w:spacing w:after="120" w:line="400" w:lineRule="exact"/>
    </w:pPr>
    <w:rPr>
      <w:sz w:val="24"/>
    </w:rPr>
  </w:style>
  <w:style w:type="paragraph" w:styleId="29">
    <w:name w:val="List Bullet 2"/>
    <w:basedOn w:val="1"/>
    <w:autoRedefine/>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30">
    <w:name w:val="index 4"/>
    <w:basedOn w:val="1"/>
    <w:next w:val="1"/>
    <w:autoRedefine/>
    <w:qFormat/>
    <w:uiPriority w:val="0"/>
    <w:pPr>
      <w:widowControl/>
      <w:ind w:left="960" w:hanging="240"/>
      <w:jc w:val="left"/>
    </w:pPr>
    <w:rPr>
      <w:rFonts w:ascii="仿宋_GB2312" w:eastAsia="仿宋_GB2312"/>
      <w:kern w:val="0"/>
      <w:sz w:val="24"/>
      <w:szCs w:val="28"/>
    </w:rPr>
  </w:style>
  <w:style w:type="paragraph" w:styleId="31">
    <w:name w:val="toc 5"/>
    <w:basedOn w:val="1"/>
    <w:next w:val="1"/>
    <w:autoRedefine/>
    <w:qFormat/>
    <w:uiPriority w:val="0"/>
    <w:pPr>
      <w:ind w:left="840"/>
      <w:jc w:val="left"/>
    </w:pPr>
    <w:rPr>
      <w:rFonts w:ascii="仿宋_GB2312" w:eastAsia="仿宋_GB2312"/>
      <w:sz w:val="18"/>
      <w:szCs w:val="18"/>
    </w:rPr>
  </w:style>
  <w:style w:type="paragraph" w:styleId="32">
    <w:name w:val="toc 3"/>
    <w:basedOn w:val="1"/>
    <w:next w:val="1"/>
    <w:autoRedefine/>
    <w:qFormat/>
    <w:uiPriority w:val="39"/>
    <w:pPr>
      <w:ind w:left="420"/>
      <w:jc w:val="left"/>
    </w:pPr>
    <w:rPr>
      <w:rFonts w:ascii="仿宋_GB2312" w:eastAsia="仿宋_GB2312"/>
      <w:i/>
      <w:iCs/>
      <w:sz w:val="20"/>
    </w:rPr>
  </w:style>
  <w:style w:type="paragraph" w:styleId="33">
    <w:name w:val="Plain Text"/>
    <w:basedOn w:val="1"/>
    <w:next w:val="1"/>
    <w:link w:val="88"/>
    <w:autoRedefine/>
    <w:qFormat/>
    <w:uiPriority w:val="0"/>
    <w:rPr>
      <w:rFonts w:ascii="宋体" w:hAnsi="Courier New"/>
    </w:rPr>
  </w:style>
  <w:style w:type="paragraph" w:styleId="34">
    <w:name w:val="toc 8"/>
    <w:basedOn w:val="1"/>
    <w:next w:val="1"/>
    <w:autoRedefine/>
    <w:qFormat/>
    <w:uiPriority w:val="0"/>
    <w:pPr>
      <w:ind w:left="1470"/>
      <w:jc w:val="left"/>
    </w:pPr>
    <w:rPr>
      <w:rFonts w:ascii="仿宋_GB2312" w:eastAsia="仿宋_GB2312"/>
      <w:sz w:val="18"/>
      <w:szCs w:val="18"/>
    </w:rPr>
  </w:style>
  <w:style w:type="paragraph" w:styleId="35">
    <w:name w:val="index 3"/>
    <w:basedOn w:val="1"/>
    <w:next w:val="1"/>
    <w:autoRedefine/>
    <w:qFormat/>
    <w:uiPriority w:val="0"/>
    <w:pPr>
      <w:widowControl/>
      <w:ind w:left="720" w:hanging="240"/>
      <w:jc w:val="left"/>
    </w:pPr>
    <w:rPr>
      <w:rFonts w:ascii="仿宋_GB2312" w:eastAsia="仿宋_GB2312"/>
      <w:kern w:val="0"/>
      <w:sz w:val="24"/>
      <w:szCs w:val="28"/>
    </w:rPr>
  </w:style>
  <w:style w:type="paragraph" w:styleId="36">
    <w:name w:val="Date"/>
    <w:basedOn w:val="1"/>
    <w:next w:val="1"/>
    <w:link w:val="143"/>
    <w:autoRedefine/>
    <w:qFormat/>
    <w:uiPriority w:val="0"/>
    <w:pPr>
      <w:ind w:left="100" w:leftChars="2500"/>
    </w:pPr>
  </w:style>
  <w:style w:type="paragraph" w:styleId="37">
    <w:name w:val="Body Text Indent 2"/>
    <w:basedOn w:val="1"/>
    <w:link w:val="172"/>
    <w:autoRedefine/>
    <w:qFormat/>
    <w:uiPriority w:val="0"/>
    <w:pPr>
      <w:spacing w:line="432" w:lineRule="auto"/>
      <w:ind w:firstLine="480" w:firstLineChars="200"/>
    </w:pPr>
    <w:rPr>
      <w:sz w:val="24"/>
      <w:szCs w:val="21"/>
    </w:rPr>
  </w:style>
  <w:style w:type="paragraph" w:styleId="38">
    <w:name w:val="endnote text"/>
    <w:basedOn w:val="1"/>
    <w:link w:val="99"/>
    <w:autoRedefine/>
    <w:qFormat/>
    <w:uiPriority w:val="0"/>
    <w:pPr>
      <w:snapToGrid w:val="0"/>
      <w:jc w:val="left"/>
    </w:pPr>
    <w:rPr>
      <w:rFonts w:ascii="仿宋_GB2312" w:eastAsia="仿宋_GB2312"/>
      <w:sz w:val="28"/>
      <w:szCs w:val="28"/>
    </w:rPr>
  </w:style>
  <w:style w:type="paragraph" w:styleId="39">
    <w:name w:val="Balloon Text"/>
    <w:basedOn w:val="1"/>
    <w:link w:val="144"/>
    <w:autoRedefine/>
    <w:semiHidden/>
    <w:qFormat/>
    <w:uiPriority w:val="0"/>
    <w:rPr>
      <w:sz w:val="18"/>
      <w:szCs w:val="18"/>
    </w:rPr>
  </w:style>
  <w:style w:type="paragraph" w:styleId="40">
    <w:name w:val="footer"/>
    <w:basedOn w:val="1"/>
    <w:link w:val="148"/>
    <w:autoRedefine/>
    <w:qFormat/>
    <w:uiPriority w:val="0"/>
    <w:pPr>
      <w:tabs>
        <w:tab w:val="center" w:pos="4153"/>
        <w:tab w:val="right" w:pos="8306"/>
      </w:tabs>
      <w:snapToGrid w:val="0"/>
      <w:jc w:val="left"/>
    </w:pPr>
    <w:rPr>
      <w:sz w:val="18"/>
      <w:szCs w:val="18"/>
    </w:rPr>
  </w:style>
  <w:style w:type="paragraph" w:styleId="41">
    <w:name w:val="header"/>
    <w:basedOn w:val="1"/>
    <w:link w:val="12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2">
    <w:name w:val="toc 1"/>
    <w:basedOn w:val="1"/>
    <w:next w:val="1"/>
    <w:autoRedefine/>
    <w:qFormat/>
    <w:uiPriority w:val="39"/>
    <w:pPr>
      <w:spacing w:line="360" w:lineRule="auto"/>
    </w:pPr>
    <w:rPr>
      <w:rFonts w:eastAsia="仿宋_GB2312"/>
      <w:sz w:val="32"/>
    </w:rPr>
  </w:style>
  <w:style w:type="paragraph" w:styleId="43">
    <w:name w:val="toc 4"/>
    <w:basedOn w:val="1"/>
    <w:next w:val="1"/>
    <w:autoRedefine/>
    <w:qFormat/>
    <w:uiPriority w:val="0"/>
    <w:pPr>
      <w:ind w:left="630"/>
      <w:jc w:val="left"/>
    </w:pPr>
    <w:rPr>
      <w:rFonts w:ascii="仿宋_GB2312" w:eastAsia="仿宋_GB2312"/>
      <w:sz w:val="18"/>
      <w:szCs w:val="18"/>
    </w:rPr>
  </w:style>
  <w:style w:type="paragraph" w:styleId="44">
    <w:name w:val="index heading"/>
    <w:basedOn w:val="1"/>
    <w:next w:val="45"/>
    <w:autoRedefine/>
    <w:qFormat/>
    <w:uiPriority w:val="0"/>
    <w:pPr>
      <w:widowControl/>
      <w:jc w:val="left"/>
    </w:pPr>
    <w:rPr>
      <w:rFonts w:ascii="仿宋_GB2312" w:eastAsia="仿宋_GB2312"/>
      <w:kern w:val="0"/>
      <w:sz w:val="24"/>
      <w:szCs w:val="28"/>
    </w:rPr>
  </w:style>
  <w:style w:type="paragraph" w:styleId="45">
    <w:name w:val="index 1"/>
    <w:basedOn w:val="1"/>
    <w:next w:val="1"/>
    <w:autoRedefine/>
    <w:qFormat/>
    <w:uiPriority w:val="0"/>
    <w:pPr>
      <w:widowControl/>
      <w:spacing w:line="360" w:lineRule="auto"/>
      <w:ind w:left="240" w:hanging="240"/>
      <w:jc w:val="left"/>
    </w:pPr>
    <w:rPr>
      <w:rFonts w:ascii="Arial" w:hAnsi="Arial" w:eastAsia="仿宋_GB2312" w:cs="Arial"/>
      <w:kern w:val="0"/>
      <w:sz w:val="28"/>
      <w:szCs w:val="21"/>
    </w:rPr>
  </w:style>
  <w:style w:type="paragraph" w:styleId="46">
    <w:name w:val="Subtitle"/>
    <w:basedOn w:val="1"/>
    <w:next w:val="1"/>
    <w:autoRedefine/>
    <w:qFormat/>
    <w:uiPriority w:val="0"/>
    <w:pPr>
      <w:widowControl/>
      <w:spacing w:after="480" w:line="276" w:lineRule="auto"/>
      <w:jc w:val="left"/>
    </w:pPr>
    <w:rPr>
      <w:rFonts w:ascii="Cambria" w:hAnsi="Cambria"/>
      <w:i/>
      <w:iCs/>
      <w:color w:val="4F81BD"/>
      <w:spacing w:val="15"/>
      <w:kern w:val="0"/>
      <w:sz w:val="24"/>
      <w:szCs w:val="24"/>
      <w:lang w:eastAsia="en-US" w:bidi="en-US"/>
    </w:rPr>
  </w:style>
  <w:style w:type="paragraph" w:styleId="47">
    <w:name w:val="footnote text"/>
    <w:basedOn w:val="1"/>
    <w:link w:val="116"/>
    <w:autoRedefine/>
    <w:qFormat/>
    <w:uiPriority w:val="0"/>
    <w:pPr>
      <w:snapToGrid w:val="0"/>
      <w:jc w:val="left"/>
    </w:pPr>
    <w:rPr>
      <w:rFonts w:ascii="仿宋_GB2312" w:eastAsia="仿宋_GB2312"/>
      <w:sz w:val="18"/>
      <w:szCs w:val="18"/>
    </w:rPr>
  </w:style>
  <w:style w:type="paragraph" w:styleId="48">
    <w:name w:val="toc 6"/>
    <w:basedOn w:val="1"/>
    <w:next w:val="1"/>
    <w:autoRedefine/>
    <w:qFormat/>
    <w:uiPriority w:val="0"/>
    <w:pPr>
      <w:ind w:left="1050"/>
      <w:jc w:val="left"/>
    </w:pPr>
    <w:rPr>
      <w:rFonts w:ascii="仿宋_GB2312" w:eastAsia="仿宋_GB2312"/>
      <w:sz w:val="18"/>
      <w:szCs w:val="18"/>
    </w:rPr>
  </w:style>
  <w:style w:type="paragraph" w:styleId="49">
    <w:name w:val="Body Text Indent 3"/>
    <w:basedOn w:val="1"/>
    <w:link w:val="106"/>
    <w:autoRedefine/>
    <w:qFormat/>
    <w:uiPriority w:val="0"/>
    <w:pPr>
      <w:spacing w:line="540" w:lineRule="exact"/>
      <w:ind w:left="479" w:leftChars="228"/>
    </w:pPr>
    <w:rPr>
      <w:rFonts w:ascii="隶书" w:hAnsi="宋体" w:eastAsia="隶书"/>
      <w:szCs w:val="24"/>
    </w:rPr>
  </w:style>
  <w:style w:type="paragraph" w:styleId="50">
    <w:name w:val="index 7"/>
    <w:basedOn w:val="1"/>
    <w:next w:val="1"/>
    <w:autoRedefine/>
    <w:qFormat/>
    <w:uiPriority w:val="0"/>
    <w:pPr>
      <w:widowControl/>
      <w:ind w:left="1680" w:hanging="240"/>
      <w:jc w:val="left"/>
    </w:pPr>
    <w:rPr>
      <w:rFonts w:ascii="仿宋_GB2312" w:eastAsia="仿宋_GB2312"/>
      <w:kern w:val="0"/>
      <w:sz w:val="24"/>
      <w:szCs w:val="28"/>
    </w:rPr>
  </w:style>
  <w:style w:type="paragraph" w:styleId="51">
    <w:name w:val="index 9"/>
    <w:basedOn w:val="1"/>
    <w:next w:val="1"/>
    <w:autoRedefine/>
    <w:qFormat/>
    <w:uiPriority w:val="0"/>
    <w:pPr>
      <w:widowControl/>
      <w:ind w:left="2160" w:hanging="240"/>
      <w:jc w:val="left"/>
    </w:pPr>
    <w:rPr>
      <w:rFonts w:ascii="仿宋_GB2312" w:eastAsia="仿宋_GB2312"/>
      <w:kern w:val="0"/>
      <w:sz w:val="24"/>
      <w:szCs w:val="28"/>
    </w:rPr>
  </w:style>
  <w:style w:type="paragraph" w:styleId="52">
    <w:name w:val="table of figures"/>
    <w:basedOn w:val="1"/>
    <w:next w:val="1"/>
    <w:autoRedefine/>
    <w:qFormat/>
    <w:uiPriority w:val="0"/>
    <w:pPr>
      <w:widowControl/>
      <w:ind w:left="480" w:hanging="480"/>
      <w:jc w:val="left"/>
    </w:pPr>
    <w:rPr>
      <w:rFonts w:ascii="仿宋_GB2312" w:eastAsia="仿宋_GB2312"/>
      <w:kern w:val="0"/>
      <w:sz w:val="24"/>
      <w:szCs w:val="28"/>
    </w:rPr>
  </w:style>
  <w:style w:type="paragraph" w:styleId="53">
    <w:name w:val="toc 2"/>
    <w:basedOn w:val="1"/>
    <w:next w:val="1"/>
    <w:autoRedefine/>
    <w:qFormat/>
    <w:uiPriority w:val="39"/>
    <w:pPr>
      <w:ind w:left="210"/>
      <w:jc w:val="left"/>
    </w:pPr>
    <w:rPr>
      <w:rFonts w:ascii="仿宋_GB2312" w:eastAsia="仿宋_GB2312"/>
      <w:smallCaps/>
      <w:sz w:val="20"/>
    </w:rPr>
  </w:style>
  <w:style w:type="paragraph" w:styleId="54">
    <w:name w:val="toc 9"/>
    <w:basedOn w:val="1"/>
    <w:next w:val="1"/>
    <w:autoRedefine/>
    <w:qFormat/>
    <w:uiPriority w:val="0"/>
    <w:pPr>
      <w:ind w:left="1680"/>
      <w:jc w:val="left"/>
    </w:pPr>
    <w:rPr>
      <w:rFonts w:ascii="仿宋_GB2312" w:eastAsia="仿宋_GB2312"/>
      <w:sz w:val="18"/>
      <w:szCs w:val="18"/>
    </w:rPr>
  </w:style>
  <w:style w:type="paragraph" w:styleId="55">
    <w:name w:val="Body Text 2"/>
    <w:basedOn w:val="1"/>
    <w:link w:val="158"/>
    <w:autoRedefine/>
    <w:qFormat/>
    <w:uiPriority w:val="0"/>
    <w:pPr>
      <w:spacing w:line="360" w:lineRule="auto"/>
    </w:pPr>
    <w:rPr>
      <w:sz w:val="24"/>
      <w:szCs w:val="24"/>
    </w:rPr>
  </w:style>
  <w:style w:type="paragraph" w:styleId="56">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57">
    <w:name w:val="index 2"/>
    <w:basedOn w:val="1"/>
    <w:next w:val="1"/>
    <w:autoRedefine/>
    <w:qFormat/>
    <w:uiPriority w:val="0"/>
    <w:pPr>
      <w:widowControl/>
      <w:ind w:left="480" w:hanging="240"/>
      <w:jc w:val="left"/>
    </w:pPr>
    <w:rPr>
      <w:rFonts w:ascii="仿宋_GB2312" w:eastAsia="仿宋_GB2312"/>
      <w:kern w:val="0"/>
      <w:sz w:val="24"/>
      <w:szCs w:val="28"/>
    </w:rPr>
  </w:style>
  <w:style w:type="paragraph" w:styleId="58">
    <w:name w:val="Title"/>
    <w:basedOn w:val="1"/>
    <w:next w:val="1"/>
    <w:link w:val="126"/>
    <w:autoRedefine/>
    <w:qFormat/>
    <w:uiPriority w:val="0"/>
    <w:pPr>
      <w:jc w:val="center"/>
    </w:pPr>
    <w:rPr>
      <w:rFonts w:ascii="Arial" w:hAnsi="Arial"/>
      <w:b/>
      <w:kern w:val="0"/>
      <w:sz w:val="36"/>
      <w:lang w:eastAsia="en-US"/>
    </w:rPr>
  </w:style>
  <w:style w:type="paragraph" w:styleId="59">
    <w:name w:val="annotation subject"/>
    <w:basedOn w:val="22"/>
    <w:next w:val="22"/>
    <w:link w:val="110"/>
    <w:autoRedefine/>
    <w:qFormat/>
    <w:uiPriority w:val="0"/>
    <w:rPr>
      <w:rFonts w:ascii="Times New Roman" w:eastAsia="宋体"/>
      <w:b/>
      <w:bCs/>
      <w:sz w:val="21"/>
      <w:szCs w:val="24"/>
    </w:rPr>
  </w:style>
  <w:style w:type="paragraph" w:styleId="60">
    <w:name w:val="Body Text First Indent"/>
    <w:basedOn w:val="25"/>
    <w:next w:val="1"/>
    <w:link w:val="107"/>
    <w:autoRedefine/>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61">
    <w:name w:val="Body Text First Indent 2"/>
    <w:basedOn w:val="26"/>
    <w:autoRedefine/>
    <w:qFormat/>
    <w:uiPriority w:val="99"/>
    <w:pPr>
      <w:ind w:firstLine="420"/>
    </w:p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Table Classic 1"/>
    <w:basedOn w:val="62"/>
    <w:autoRedefine/>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7">
    <w:name w:val="Strong"/>
    <w:autoRedefine/>
    <w:qFormat/>
    <w:uiPriority w:val="0"/>
    <w:rPr>
      <w:b/>
      <w:bCs/>
    </w:rPr>
  </w:style>
  <w:style w:type="character" w:styleId="68">
    <w:name w:val="endnote reference"/>
    <w:autoRedefine/>
    <w:qFormat/>
    <w:uiPriority w:val="0"/>
    <w:rPr>
      <w:vertAlign w:val="superscript"/>
    </w:rPr>
  </w:style>
  <w:style w:type="character" w:styleId="69">
    <w:name w:val="page number"/>
    <w:basedOn w:val="66"/>
    <w:autoRedefine/>
    <w:qFormat/>
    <w:uiPriority w:val="0"/>
  </w:style>
  <w:style w:type="character" w:styleId="70">
    <w:name w:val="FollowedHyperlink"/>
    <w:autoRedefine/>
    <w:qFormat/>
    <w:uiPriority w:val="0"/>
    <w:rPr>
      <w:color w:val="800080"/>
      <w:u w:val="single"/>
    </w:rPr>
  </w:style>
  <w:style w:type="character" w:styleId="71">
    <w:name w:val="Emphasis"/>
    <w:autoRedefine/>
    <w:qFormat/>
    <w:uiPriority w:val="0"/>
    <w:rPr>
      <w:color w:val="CC0000"/>
    </w:rPr>
  </w:style>
  <w:style w:type="character" w:styleId="72">
    <w:name w:val="Hyperlink"/>
    <w:autoRedefine/>
    <w:qFormat/>
    <w:uiPriority w:val="99"/>
    <w:rPr>
      <w:color w:val="0000FF"/>
      <w:u w:val="single"/>
    </w:rPr>
  </w:style>
  <w:style w:type="character" w:styleId="73">
    <w:name w:val="annotation reference"/>
    <w:autoRedefine/>
    <w:qFormat/>
    <w:uiPriority w:val="0"/>
    <w:rPr>
      <w:sz w:val="21"/>
      <w:szCs w:val="21"/>
    </w:rPr>
  </w:style>
  <w:style w:type="character" w:styleId="74">
    <w:name w:val="footnote reference"/>
    <w:autoRedefine/>
    <w:qFormat/>
    <w:uiPriority w:val="0"/>
    <w:rPr>
      <w:vertAlign w:val="superscript"/>
    </w:rPr>
  </w:style>
  <w:style w:type="paragraph" w:customStyle="1" w:styleId="75">
    <w:name w:val="表格文字"/>
    <w:basedOn w:val="1"/>
    <w:next w:val="25"/>
    <w:autoRedefine/>
    <w:qFormat/>
    <w:uiPriority w:val="0"/>
    <w:pPr>
      <w:adjustRightInd w:val="0"/>
      <w:spacing w:line="420" w:lineRule="atLeast"/>
      <w:jc w:val="left"/>
      <w:textAlignment w:val="baseline"/>
    </w:pPr>
    <w:rPr>
      <w:szCs w:val="24"/>
    </w:rPr>
  </w:style>
  <w:style w:type="paragraph" w:customStyle="1" w:styleId="7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character" w:customStyle="1" w:styleId="77">
    <w:name w:val="批注文字 Char"/>
    <w:autoRedefine/>
    <w:qFormat/>
    <w:uiPriority w:val="0"/>
    <w:rPr>
      <w:rFonts w:eastAsia="宋体"/>
      <w:kern w:val="2"/>
      <w:sz w:val="21"/>
      <w:szCs w:val="24"/>
      <w:lang w:val="en-US" w:eastAsia="zh-CN" w:bidi="ar-SA"/>
    </w:rPr>
  </w:style>
  <w:style w:type="character" w:customStyle="1" w:styleId="78">
    <w:name w:val="书籍标题1"/>
    <w:autoRedefine/>
    <w:qFormat/>
    <w:uiPriority w:val="0"/>
    <w:rPr>
      <w:b/>
      <w:bCs/>
      <w:smallCaps/>
      <w:spacing w:val="5"/>
    </w:rPr>
  </w:style>
  <w:style w:type="character" w:customStyle="1" w:styleId="79">
    <w:name w:val="PI Char1"/>
    <w:autoRedefine/>
    <w:qFormat/>
    <w:uiPriority w:val="0"/>
    <w:rPr>
      <w:rFonts w:ascii="仿宋_GB2312" w:eastAsia="仿宋_GB2312"/>
      <w:kern w:val="2"/>
      <w:sz w:val="28"/>
      <w:szCs w:val="28"/>
      <w:lang w:val="zh-CN" w:eastAsia="zh-CN" w:bidi="ar-SA"/>
    </w:rPr>
  </w:style>
  <w:style w:type="character" w:customStyle="1" w:styleId="80">
    <w:name w:val="g1"/>
    <w:autoRedefine/>
    <w:qFormat/>
    <w:uiPriority w:val="0"/>
    <w:rPr>
      <w:color w:val="008000"/>
    </w:rPr>
  </w:style>
  <w:style w:type="character" w:customStyle="1" w:styleId="81">
    <w:name w:val="H6 Char1"/>
    <w:autoRedefine/>
    <w:qFormat/>
    <w:uiPriority w:val="0"/>
    <w:rPr>
      <w:rFonts w:ascii="Arial" w:hAnsi="Arial" w:eastAsia="宋体" w:cs="Times New Roman"/>
      <w:i/>
      <w:sz w:val="22"/>
      <w:szCs w:val="28"/>
    </w:rPr>
  </w:style>
  <w:style w:type="character" w:customStyle="1" w:styleId="82">
    <w:name w:val="Char Char18"/>
    <w:autoRedefine/>
    <w:qFormat/>
    <w:uiPriority w:val="0"/>
    <w:rPr>
      <w:rFonts w:ascii="Cambria" w:hAnsi="Cambria" w:eastAsia="宋体" w:cs="Times New Roman"/>
      <w:i/>
      <w:iCs/>
      <w:color w:val="404040"/>
      <w:sz w:val="20"/>
      <w:szCs w:val="20"/>
    </w:rPr>
  </w:style>
  <w:style w:type="character" w:customStyle="1" w:styleId="83">
    <w:name w:val="正文缩进 Char"/>
    <w:link w:val="4"/>
    <w:autoRedefine/>
    <w:qFormat/>
    <w:uiPriority w:val="0"/>
    <w:rPr>
      <w:rFonts w:ascii="宋体" w:eastAsia="宋体"/>
      <w:snapToGrid w:val="0"/>
      <w:color w:val="000000"/>
      <w:kern w:val="28"/>
      <w:sz w:val="28"/>
      <w:lang w:val="en-US" w:eastAsia="zh-CN" w:bidi="ar-SA"/>
    </w:rPr>
  </w:style>
  <w:style w:type="character" w:customStyle="1" w:styleId="84">
    <w:name w:val="bullet Char"/>
    <w:autoRedefine/>
    <w:qFormat/>
    <w:uiPriority w:val="0"/>
    <w:rPr>
      <w:b/>
      <w:i/>
      <w:sz w:val="24"/>
    </w:rPr>
  </w:style>
  <w:style w:type="character" w:customStyle="1" w:styleId="85">
    <w:name w:val="Char Char"/>
    <w:autoRedefine/>
    <w:qFormat/>
    <w:uiPriority w:val="0"/>
    <w:rPr>
      <w:rFonts w:ascii="宋体" w:hAnsi="宋体" w:eastAsia="宋体"/>
      <w:sz w:val="24"/>
      <w:szCs w:val="24"/>
      <w:lang w:val="en-US" w:eastAsia="zh-CN" w:bidi="ar-SA"/>
    </w:rPr>
  </w:style>
  <w:style w:type="character" w:customStyle="1" w:styleId="86">
    <w:name w:val="批注主题 Char1"/>
    <w:autoRedefine/>
    <w:semiHidden/>
    <w:qFormat/>
    <w:uiPriority w:val="0"/>
    <w:rPr>
      <w:rFonts w:ascii="仿宋_GB2312" w:eastAsia="仿宋_GB2312"/>
      <w:b/>
      <w:bCs/>
      <w:kern w:val="2"/>
      <w:sz w:val="28"/>
      <w:szCs w:val="28"/>
      <w:lang w:val="en-US" w:eastAsia="zh-CN" w:bidi="ar-SA"/>
    </w:rPr>
  </w:style>
  <w:style w:type="character" w:customStyle="1" w:styleId="87">
    <w:name w:val="正文文本缩进 Char"/>
    <w:autoRedefine/>
    <w:qFormat/>
    <w:uiPriority w:val="0"/>
    <w:rPr>
      <w:rFonts w:ascii="仿宋_GB2312" w:hAnsi="Times New Roman" w:eastAsia="仿宋_GB2312" w:cs="Times New Roman"/>
      <w:sz w:val="28"/>
      <w:szCs w:val="28"/>
    </w:rPr>
  </w:style>
  <w:style w:type="character" w:customStyle="1" w:styleId="88">
    <w:name w:val="纯文本 Char"/>
    <w:link w:val="33"/>
    <w:autoRedefine/>
    <w:qFormat/>
    <w:locked/>
    <w:uiPriority w:val="0"/>
    <w:rPr>
      <w:rFonts w:ascii="宋体" w:hAnsi="Courier New" w:eastAsia="宋体"/>
      <w:kern w:val="2"/>
      <w:sz w:val="21"/>
      <w:lang w:val="en-US" w:eastAsia="zh-CN" w:bidi="ar-SA"/>
    </w:rPr>
  </w:style>
  <w:style w:type="character" w:customStyle="1" w:styleId="89">
    <w:name w:val="EHPT Char"/>
    <w:autoRedefine/>
    <w:qFormat/>
    <w:uiPriority w:val="0"/>
    <w:rPr>
      <w:rFonts w:ascii="Calibri" w:hAnsi="Calibri" w:eastAsia="宋体"/>
      <w:kern w:val="2"/>
      <w:sz w:val="21"/>
      <w:szCs w:val="22"/>
      <w:lang w:val="en-US" w:eastAsia="zh-CN" w:bidi="ar-SA"/>
    </w:rPr>
  </w:style>
  <w:style w:type="character" w:customStyle="1" w:styleId="90">
    <w:name w:val="Heading 2 Hidden Char2"/>
    <w:autoRedefine/>
    <w:qFormat/>
    <w:uiPriority w:val="0"/>
    <w:rPr>
      <w:rFonts w:ascii="Cambria" w:hAnsi="Cambria" w:eastAsia="宋体" w:cs="Times New Roman"/>
      <w:b/>
      <w:bCs/>
      <w:color w:val="4F81BD"/>
      <w:sz w:val="26"/>
      <w:szCs w:val="26"/>
    </w:rPr>
  </w:style>
  <w:style w:type="character" w:customStyle="1" w:styleId="91">
    <w:name w:val="标题 9 Char"/>
    <w:link w:val="13"/>
    <w:autoRedefine/>
    <w:qFormat/>
    <w:uiPriority w:val="0"/>
    <w:rPr>
      <w:rFonts w:ascii="Arial" w:hAnsi="Arial" w:eastAsia="宋体"/>
      <w:i/>
      <w:kern w:val="2"/>
      <w:sz w:val="18"/>
      <w:szCs w:val="28"/>
      <w:lang w:val="en-US" w:eastAsia="zh-CN" w:bidi="ar-SA"/>
    </w:rPr>
  </w:style>
  <w:style w:type="character" w:customStyle="1" w:styleId="92">
    <w:name w:val="PI Char3"/>
    <w:autoRedefine/>
    <w:qFormat/>
    <w:uiPriority w:val="0"/>
    <w:rPr>
      <w:rFonts w:ascii="仿宋_GB2312" w:eastAsia="仿宋_GB2312"/>
      <w:kern w:val="2"/>
      <w:sz w:val="28"/>
      <w:szCs w:val="28"/>
      <w:lang w:val="zh-CN"/>
    </w:rPr>
  </w:style>
  <w:style w:type="character" w:customStyle="1" w:styleId="93">
    <w:name w:val="标题 1 Char"/>
    <w:link w:val="5"/>
    <w:autoRedefine/>
    <w:qFormat/>
    <w:uiPriority w:val="0"/>
    <w:rPr>
      <w:rFonts w:eastAsia="宋体"/>
      <w:b/>
      <w:bCs/>
      <w:kern w:val="44"/>
      <w:sz w:val="44"/>
      <w:szCs w:val="44"/>
      <w:lang w:val="en-US" w:eastAsia="zh-CN" w:bidi="ar-SA"/>
    </w:rPr>
  </w:style>
  <w:style w:type="character" w:customStyle="1" w:styleId="94">
    <w:name w:val="文档结构图 Char1"/>
    <w:autoRedefine/>
    <w:semiHidden/>
    <w:qFormat/>
    <w:uiPriority w:val="0"/>
    <w:rPr>
      <w:rFonts w:ascii="宋体" w:hAnsi="Times New Roman" w:eastAsia="宋体" w:cs="Times New Roman"/>
      <w:sz w:val="18"/>
      <w:szCs w:val="18"/>
    </w:rPr>
  </w:style>
  <w:style w:type="character" w:customStyle="1" w:styleId="95">
    <w:name w:val="标题 2 Char1"/>
    <w:link w:val="6"/>
    <w:autoRedefine/>
    <w:qFormat/>
    <w:uiPriority w:val="0"/>
    <w:rPr>
      <w:rFonts w:ascii="Arial" w:hAnsi="Arial" w:eastAsia="黑体"/>
      <w:b/>
      <w:bCs/>
      <w:kern w:val="2"/>
      <w:sz w:val="32"/>
      <w:szCs w:val="32"/>
      <w:lang w:val="en-US" w:eastAsia="zh-CN" w:bidi="ar-SA"/>
    </w:rPr>
  </w:style>
  <w:style w:type="character" w:customStyle="1" w:styleId="96">
    <w:name w:val="正文2 Char Char"/>
    <w:link w:val="97"/>
    <w:autoRedefine/>
    <w:qFormat/>
    <w:uiPriority w:val="0"/>
    <w:rPr>
      <w:kern w:val="2"/>
      <w:sz w:val="24"/>
    </w:rPr>
  </w:style>
  <w:style w:type="paragraph" w:customStyle="1" w:styleId="97">
    <w:name w:val="正文2"/>
    <w:basedOn w:val="1"/>
    <w:link w:val="96"/>
    <w:autoRedefine/>
    <w:qFormat/>
    <w:uiPriority w:val="0"/>
    <w:pPr>
      <w:adjustRightInd w:val="0"/>
      <w:spacing w:before="156" w:line="360" w:lineRule="auto"/>
      <w:ind w:firstLine="510" w:firstLineChars="200"/>
    </w:pPr>
    <w:rPr>
      <w:sz w:val="24"/>
    </w:rPr>
  </w:style>
  <w:style w:type="character" w:customStyle="1" w:styleId="98">
    <w:name w:val="番茄花园"/>
    <w:autoRedefine/>
    <w:qFormat/>
    <w:uiPriority w:val="0"/>
    <w:rPr>
      <w:rFonts w:ascii="Arial" w:hAnsi="Arial" w:eastAsia="宋体" w:cs="Arial"/>
      <w:color w:val="000080"/>
      <w:sz w:val="18"/>
      <w:szCs w:val="20"/>
    </w:rPr>
  </w:style>
  <w:style w:type="character" w:customStyle="1" w:styleId="99">
    <w:name w:val="尾注文本 Char"/>
    <w:link w:val="38"/>
    <w:autoRedefine/>
    <w:qFormat/>
    <w:uiPriority w:val="0"/>
    <w:rPr>
      <w:rFonts w:ascii="仿宋_GB2312" w:eastAsia="仿宋_GB2312"/>
      <w:kern w:val="2"/>
      <w:sz w:val="28"/>
      <w:szCs w:val="28"/>
      <w:lang w:val="en-US" w:eastAsia="zh-CN" w:bidi="ar-SA"/>
    </w:rPr>
  </w:style>
  <w:style w:type="character" w:customStyle="1" w:styleId="100">
    <w:name w:val="bulletintext1"/>
    <w:autoRedefine/>
    <w:qFormat/>
    <w:uiPriority w:val="0"/>
    <w:rPr>
      <w:color w:val="000000"/>
      <w:sz w:val="18"/>
      <w:szCs w:val="18"/>
    </w:rPr>
  </w:style>
  <w:style w:type="character" w:customStyle="1" w:styleId="101">
    <w:name w:val="ca-10"/>
    <w:basedOn w:val="66"/>
    <w:autoRedefine/>
    <w:qFormat/>
    <w:uiPriority w:val="0"/>
  </w:style>
  <w:style w:type="character" w:customStyle="1" w:styleId="102">
    <w:name w:val="style321"/>
    <w:autoRedefine/>
    <w:qFormat/>
    <w:uiPriority w:val="0"/>
    <w:rPr>
      <w:b/>
      <w:bCs/>
      <w:color w:val="FF9900"/>
      <w:sz w:val="23"/>
      <w:szCs w:val="23"/>
    </w:rPr>
  </w:style>
  <w:style w:type="character" w:customStyle="1" w:styleId="103">
    <w:name w:val="Heading 3 - old Char"/>
    <w:autoRedefine/>
    <w:qFormat/>
    <w:uiPriority w:val="0"/>
    <w:rPr>
      <w:rFonts w:ascii="Calibri" w:hAnsi="Calibri"/>
      <w:b/>
      <w:bCs/>
      <w:kern w:val="2"/>
      <w:sz w:val="32"/>
      <w:szCs w:val="32"/>
    </w:rPr>
  </w:style>
  <w:style w:type="character" w:customStyle="1" w:styleId="104">
    <w:name w:val="普通文字 Char Char8"/>
    <w:autoRedefine/>
    <w:qFormat/>
    <w:uiPriority w:val="0"/>
    <w:rPr>
      <w:rFonts w:ascii="宋体" w:hAnsi="Courier New" w:eastAsia="宋体"/>
    </w:rPr>
  </w:style>
  <w:style w:type="character" w:customStyle="1" w:styleId="105">
    <w:name w:val="正文文本 Char"/>
    <w:autoRedefine/>
    <w:qFormat/>
    <w:uiPriority w:val="0"/>
    <w:rPr>
      <w:rFonts w:ascii="仿宋_GB2312" w:hAnsi="Times New Roman" w:eastAsia="仿宋_GB2312" w:cs="Times New Roman"/>
      <w:sz w:val="28"/>
      <w:szCs w:val="28"/>
    </w:rPr>
  </w:style>
  <w:style w:type="character" w:customStyle="1" w:styleId="106">
    <w:name w:val="正文文本缩进 3 Char"/>
    <w:link w:val="49"/>
    <w:autoRedefine/>
    <w:qFormat/>
    <w:uiPriority w:val="0"/>
    <w:rPr>
      <w:rFonts w:ascii="隶书" w:hAnsi="宋体" w:eastAsia="隶书"/>
      <w:kern w:val="2"/>
      <w:sz w:val="21"/>
      <w:szCs w:val="24"/>
      <w:lang w:val="en-US" w:eastAsia="zh-CN" w:bidi="ar-SA"/>
    </w:rPr>
  </w:style>
  <w:style w:type="character" w:customStyle="1" w:styleId="107">
    <w:name w:val="正文首行缩进 Char"/>
    <w:link w:val="60"/>
    <w:autoRedefine/>
    <w:qFormat/>
    <w:uiPriority w:val="0"/>
    <w:rPr>
      <w:rFonts w:ascii="Calibri" w:hAnsi="Calibri" w:eastAsia="楷体_GB2312"/>
      <w:sz w:val="24"/>
      <w:lang w:bidi="ar-SA"/>
    </w:rPr>
  </w:style>
  <w:style w:type="character" w:customStyle="1" w:styleId="108">
    <w:name w:val="正文文本缩进 Char1"/>
    <w:autoRedefine/>
    <w:semiHidden/>
    <w:qFormat/>
    <w:uiPriority w:val="0"/>
    <w:rPr>
      <w:rFonts w:ascii="仿宋_GB2312" w:hAnsi="Times New Roman" w:eastAsia="仿宋_GB2312" w:cs="Times New Roman"/>
      <w:sz w:val="28"/>
      <w:szCs w:val="28"/>
    </w:rPr>
  </w:style>
  <w:style w:type="character" w:customStyle="1" w:styleId="109">
    <w:name w:val="Char Char14"/>
    <w:autoRedefine/>
    <w:qFormat/>
    <w:uiPriority w:val="0"/>
    <w:rPr>
      <w:rFonts w:ascii="宋体" w:hAnsi="Courier New" w:eastAsia="宋体"/>
      <w:sz w:val="21"/>
      <w:lang w:val="en-US" w:eastAsia="zh-CN" w:bidi="ar-SA"/>
    </w:rPr>
  </w:style>
  <w:style w:type="character" w:customStyle="1" w:styleId="110">
    <w:name w:val="批注主题 Char"/>
    <w:link w:val="59"/>
    <w:autoRedefine/>
    <w:qFormat/>
    <w:uiPriority w:val="0"/>
    <w:rPr>
      <w:rFonts w:eastAsia="宋体"/>
      <w:b/>
      <w:bCs/>
      <w:kern w:val="2"/>
      <w:sz w:val="21"/>
      <w:szCs w:val="24"/>
      <w:lang w:val="en-US" w:eastAsia="zh-CN" w:bidi="ar-SA"/>
    </w:rPr>
  </w:style>
  <w:style w:type="character" w:customStyle="1" w:styleId="111">
    <w:name w:val="EHPT Char3"/>
    <w:autoRedefine/>
    <w:qFormat/>
    <w:uiPriority w:val="0"/>
    <w:rPr>
      <w:rFonts w:ascii="Calibri" w:hAnsi="Calibri" w:eastAsia="宋体"/>
    </w:rPr>
  </w:style>
  <w:style w:type="character" w:customStyle="1" w:styleId="112">
    <w:name w:val="Char Char20"/>
    <w:autoRedefine/>
    <w:qFormat/>
    <w:uiPriority w:val="0"/>
    <w:rPr>
      <w:rFonts w:ascii="Cambria" w:hAnsi="Cambria" w:eastAsia="宋体" w:cs="Times New Roman"/>
      <w:i/>
      <w:iCs/>
      <w:color w:val="404040"/>
    </w:rPr>
  </w:style>
  <w:style w:type="character" w:customStyle="1" w:styleId="113">
    <w:name w:val="正文文本 3 Char"/>
    <w:link w:val="24"/>
    <w:autoRedefine/>
    <w:qFormat/>
    <w:uiPriority w:val="0"/>
    <w:rPr>
      <w:rFonts w:ascii="宋体" w:hAnsi="宋体" w:eastAsia="宋体"/>
      <w:b/>
      <w:bCs/>
      <w:kern w:val="2"/>
      <w:sz w:val="24"/>
      <w:szCs w:val="24"/>
      <w:lang w:val="en-US" w:eastAsia="zh-CN" w:bidi="ar-SA"/>
    </w:rPr>
  </w:style>
  <w:style w:type="character" w:customStyle="1" w:styleId="114">
    <w:name w:val="访问过的超链接1"/>
    <w:autoRedefine/>
    <w:qFormat/>
    <w:uiPriority w:val="0"/>
    <w:rPr>
      <w:color w:val="800080"/>
      <w:u w:val="single"/>
    </w:rPr>
  </w:style>
  <w:style w:type="character" w:customStyle="1" w:styleId="115">
    <w:name w:val="标题 3 Char"/>
    <w:link w:val="7"/>
    <w:autoRedefine/>
    <w:qFormat/>
    <w:uiPriority w:val="0"/>
    <w:rPr>
      <w:rFonts w:eastAsia="宋体"/>
      <w:b/>
      <w:bCs/>
      <w:kern w:val="2"/>
      <w:sz w:val="32"/>
      <w:szCs w:val="32"/>
      <w:lang w:val="en-US" w:eastAsia="zh-CN" w:bidi="ar-SA"/>
    </w:rPr>
  </w:style>
  <w:style w:type="character" w:customStyle="1" w:styleId="116">
    <w:name w:val="脚注文本 Char"/>
    <w:link w:val="47"/>
    <w:autoRedefine/>
    <w:qFormat/>
    <w:uiPriority w:val="0"/>
    <w:rPr>
      <w:rFonts w:ascii="仿宋_GB2312" w:eastAsia="仿宋_GB2312"/>
      <w:kern w:val="2"/>
      <w:sz w:val="18"/>
      <w:szCs w:val="18"/>
      <w:lang w:val="en-US" w:eastAsia="zh-CN" w:bidi="ar-SA"/>
    </w:rPr>
  </w:style>
  <w:style w:type="character" w:customStyle="1" w:styleId="117">
    <w:name w:val="普通文字 Char Char6"/>
    <w:autoRedefine/>
    <w:qFormat/>
    <w:uiPriority w:val="0"/>
    <w:rPr>
      <w:rFonts w:ascii="宋体" w:hAnsi="Courier New" w:eastAsia="仿宋_GB2312" w:cs="Times New Roman"/>
      <w:kern w:val="0"/>
      <w:sz w:val="28"/>
      <w:szCs w:val="20"/>
      <w:lang w:val="en-US" w:eastAsia="zh-CN"/>
    </w:rPr>
  </w:style>
  <w:style w:type="character" w:customStyle="1" w:styleId="118">
    <w:name w:val="日期 Char1"/>
    <w:autoRedefine/>
    <w:semiHidden/>
    <w:qFormat/>
    <w:uiPriority w:val="0"/>
    <w:rPr>
      <w:rFonts w:ascii="仿宋_GB2312" w:hAnsi="Times New Roman" w:eastAsia="仿宋_GB2312" w:cs="Times New Roman"/>
      <w:sz w:val="28"/>
      <w:szCs w:val="28"/>
    </w:rPr>
  </w:style>
  <w:style w:type="character" w:customStyle="1" w:styleId="119">
    <w:name w:val="font11"/>
    <w:autoRedefine/>
    <w:qFormat/>
    <w:uiPriority w:val="0"/>
    <w:rPr>
      <w:rFonts w:hint="eastAsia" w:ascii="楷体_GB2312" w:eastAsia="楷体_GB2312"/>
      <w:color w:val="000000"/>
      <w:sz w:val="21"/>
      <w:szCs w:val="21"/>
      <w:u w:val="none"/>
    </w:rPr>
  </w:style>
  <w:style w:type="character" w:customStyle="1" w:styleId="120">
    <w:name w:val="批注文字 Char1"/>
    <w:link w:val="22"/>
    <w:autoRedefine/>
    <w:qFormat/>
    <w:uiPriority w:val="0"/>
    <w:rPr>
      <w:rFonts w:ascii="仿宋_GB2312" w:eastAsia="仿宋_GB2312"/>
      <w:kern w:val="2"/>
      <w:sz w:val="28"/>
      <w:szCs w:val="28"/>
      <w:lang w:val="en-US" w:eastAsia="zh-CN" w:bidi="ar-SA"/>
    </w:rPr>
  </w:style>
  <w:style w:type="character" w:customStyle="1" w:styleId="121">
    <w:name w:val="明显参考1"/>
    <w:autoRedefine/>
    <w:qFormat/>
    <w:uiPriority w:val="0"/>
    <w:rPr>
      <w:b/>
      <w:bCs/>
      <w:smallCaps/>
      <w:color w:val="C0504D"/>
      <w:spacing w:val="5"/>
      <w:u w:val="single"/>
    </w:rPr>
  </w:style>
  <w:style w:type="character" w:customStyle="1" w:styleId="122">
    <w:name w:val="bei2"/>
    <w:basedOn w:val="66"/>
    <w:autoRedefine/>
    <w:qFormat/>
    <w:uiPriority w:val="0"/>
  </w:style>
  <w:style w:type="character" w:customStyle="1" w:styleId="123">
    <w:name w:val="标题 3 Char Char"/>
    <w:autoRedefine/>
    <w:qFormat/>
    <w:uiPriority w:val="0"/>
    <w:rPr>
      <w:rFonts w:ascii="宋体" w:hAnsi="宋体" w:eastAsia="宋体"/>
      <w:color w:val="666666"/>
      <w:kern w:val="2"/>
      <w:sz w:val="28"/>
      <w:szCs w:val="28"/>
      <w:lang w:val="en-US" w:eastAsia="zh-CN" w:bidi="ar-SA"/>
    </w:rPr>
  </w:style>
  <w:style w:type="character" w:customStyle="1" w:styleId="124">
    <w:name w:val="标题 Char1"/>
    <w:autoRedefine/>
    <w:qFormat/>
    <w:uiPriority w:val="0"/>
    <w:rPr>
      <w:rFonts w:ascii="Cambria" w:hAnsi="Cambria" w:eastAsia="宋体" w:cs="Times New Roman"/>
      <w:b/>
      <w:bCs/>
      <w:sz w:val="32"/>
      <w:szCs w:val="32"/>
    </w:rPr>
  </w:style>
  <w:style w:type="character" w:customStyle="1" w:styleId="125">
    <w:name w:val="unnamed11"/>
    <w:autoRedefine/>
    <w:qFormat/>
    <w:uiPriority w:val="0"/>
    <w:rPr>
      <w:sz w:val="18"/>
      <w:szCs w:val="18"/>
    </w:rPr>
  </w:style>
  <w:style w:type="character" w:customStyle="1" w:styleId="126">
    <w:name w:val="标题 Char"/>
    <w:link w:val="58"/>
    <w:autoRedefine/>
    <w:qFormat/>
    <w:uiPriority w:val="0"/>
    <w:rPr>
      <w:rFonts w:ascii="Arial" w:hAnsi="Arial" w:eastAsia="宋体"/>
      <w:b/>
      <w:sz w:val="36"/>
      <w:lang w:eastAsia="en-US" w:bidi="ar-SA"/>
    </w:rPr>
  </w:style>
  <w:style w:type="character" w:customStyle="1" w:styleId="127">
    <w:name w:val="纯文本 Char1"/>
    <w:autoRedefine/>
    <w:semiHidden/>
    <w:qFormat/>
    <w:uiPriority w:val="0"/>
    <w:rPr>
      <w:rFonts w:ascii="宋体" w:hAnsi="Courier New" w:eastAsia="宋体" w:cs="Courier New"/>
      <w:szCs w:val="21"/>
    </w:rPr>
  </w:style>
  <w:style w:type="character" w:customStyle="1" w:styleId="128">
    <w:name w:val="页眉 Char"/>
    <w:link w:val="41"/>
    <w:autoRedefine/>
    <w:qFormat/>
    <w:uiPriority w:val="0"/>
    <w:rPr>
      <w:rFonts w:eastAsia="宋体"/>
      <w:kern w:val="2"/>
      <w:sz w:val="18"/>
      <w:lang w:val="en-US" w:eastAsia="zh-CN" w:bidi="ar-SA"/>
    </w:rPr>
  </w:style>
  <w:style w:type="character" w:customStyle="1" w:styleId="129">
    <w:name w:val="text9"/>
    <w:basedOn w:val="66"/>
    <w:autoRedefine/>
    <w:qFormat/>
    <w:uiPriority w:val="0"/>
  </w:style>
  <w:style w:type="character" w:customStyle="1" w:styleId="130">
    <w:name w:val="标题 8 Char"/>
    <w:link w:val="12"/>
    <w:autoRedefine/>
    <w:qFormat/>
    <w:uiPriority w:val="0"/>
    <w:rPr>
      <w:rFonts w:ascii="Arial" w:hAnsi="Arial" w:eastAsia="宋体"/>
      <w:i/>
      <w:kern w:val="2"/>
      <w:sz w:val="28"/>
      <w:szCs w:val="28"/>
      <w:lang w:val="en-US" w:eastAsia="zh-CN" w:bidi="ar-SA"/>
    </w:rPr>
  </w:style>
  <w:style w:type="character" w:customStyle="1" w:styleId="131">
    <w:name w:val="不明显参考1"/>
    <w:autoRedefine/>
    <w:qFormat/>
    <w:uiPriority w:val="0"/>
    <w:rPr>
      <w:smallCaps/>
      <w:color w:val="C0504D"/>
      <w:u w:val="single"/>
    </w:rPr>
  </w:style>
  <w:style w:type="character" w:customStyle="1" w:styleId="132">
    <w:name w:val="14normal1"/>
    <w:autoRedefine/>
    <w:qFormat/>
    <w:uiPriority w:val="0"/>
    <w:rPr>
      <w:rFonts w:hint="default" w:ascii="ˎ̥" w:hAnsi="ˎ̥"/>
      <w:color w:val="000000"/>
      <w:sz w:val="21"/>
      <w:szCs w:val="21"/>
    </w:rPr>
  </w:style>
  <w:style w:type="character" w:customStyle="1" w:styleId="133">
    <w:name w:val="正文文本缩进 Char2"/>
    <w:link w:val="26"/>
    <w:autoRedefine/>
    <w:qFormat/>
    <w:uiPriority w:val="0"/>
    <w:rPr>
      <w:rFonts w:eastAsia="宋体"/>
      <w:kern w:val="2"/>
      <w:sz w:val="28"/>
      <w:szCs w:val="24"/>
      <w:lang w:val="en-US" w:eastAsia="zh-CN" w:bidi="ar-SA"/>
    </w:rPr>
  </w:style>
  <w:style w:type="character" w:customStyle="1" w:styleId="134">
    <w:name w:val="apple-converted-space"/>
    <w:basedOn w:val="66"/>
    <w:autoRedefine/>
    <w:qFormat/>
    <w:uiPriority w:val="0"/>
  </w:style>
  <w:style w:type="character" w:customStyle="1" w:styleId="135">
    <w:name w:val="EHPT Char1"/>
    <w:autoRedefine/>
    <w:qFormat/>
    <w:uiPriority w:val="0"/>
    <w:rPr>
      <w:rFonts w:ascii="Calibri" w:hAnsi="Calibri" w:eastAsia="宋体"/>
      <w:kern w:val="2"/>
      <w:sz w:val="21"/>
      <w:szCs w:val="22"/>
      <w:lang w:val="en-US" w:eastAsia="zh-CN" w:bidi="ar-SA"/>
    </w:rPr>
  </w:style>
  <w:style w:type="character" w:customStyle="1" w:styleId="136">
    <w:name w:val="正文文本 3 Char1"/>
    <w:autoRedefine/>
    <w:semiHidden/>
    <w:qFormat/>
    <w:uiPriority w:val="0"/>
    <w:rPr>
      <w:rFonts w:ascii="仿宋_GB2312" w:hAnsi="Times New Roman" w:eastAsia="仿宋_GB2312" w:cs="Times New Roman"/>
      <w:sz w:val="16"/>
      <w:szCs w:val="16"/>
    </w:rPr>
  </w:style>
  <w:style w:type="character" w:customStyle="1" w:styleId="137">
    <w:name w:val="标题 2 Char"/>
    <w:autoRedefine/>
    <w:qFormat/>
    <w:uiPriority w:val="0"/>
    <w:rPr>
      <w:rFonts w:ascii="宋体" w:hAnsi="宋体" w:eastAsia="黑体"/>
      <w:b/>
      <w:bCs/>
      <w:kern w:val="2"/>
      <w:sz w:val="24"/>
      <w:szCs w:val="32"/>
      <w:lang w:val="en-US" w:eastAsia="zh-CN" w:bidi="ar-SA"/>
    </w:rPr>
  </w:style>
  <w:style w:type="character" w:customStyle="1" w:styleId="138">
    <w:name w:val="EHPT Char4"/>
    <w:autoRedefine/>
    <w:qFormat/>
    <w:uiPriority w:val="0"/>
    <w:rPr>
      <w:rFonts w:eastAsia="黑体"/>
      <w:b/>
      <w:bCs/>
      <w:spacing w:val="20"/>
      <w:kern w:val="52"/>
      <w:sz w:val="56"/>
      <w:szCs w:val="24"/>
      <w:lang w:val="en-US" w:eastAsia="zh-CN" w:bidi="ar-SA"/>
    </w:rPr>
  </w:style>
  <w:style w:type="character" w:customStyle="1" w:styleId="139">
    <w:name w:val="www序号1) Char"/>
    <w:link w:val="140"/>
    <w:autoRedefine/>
    <w:qFormat/>
    <w:uiPriority w:val="0"/>
    <w:rPr>
      <w:rFonts w:eastAsia="宋体"/>
      <w:sz w:val="24"/>
      <w:szCs w:val="24"/>
      <w:lang w:bidi="ar-SA"/>
    </w:rPr>
  </w:style>
  <w:style w:type="paragraph" w:customStyle="1" w:styleId="140">
    <w:name w:val="www序号1)"/>
    <w:basedOn w:val="1"/>
    <w:link w:val="139"/>
    <w:autoRedefine/>
    <w:qFormat/>
    <w:uiPriority w:val="0"/>
    <w:pPr>
      <w:tabs>
        <w:tab w:val="left" w:pos="2160"/>
      </w:tabs>
      <w:ind w:left="2160" w:hanging="420"/>
    </w:pPr>
    <w:rPr>
      <w:kern w:val="0"/>
      <w:sz w:val="24"/>
      <w:szCs w:val="24"/>
    </w:rPr>
  </w:style>
  <w:style w:type="character" w:customStyle="1" w:styleId="141">
    <w:name w:val="h1 Char"/>
    <w:autoRedefine/>
    <w:qFormat/>
    <w:uiPriority w:val="0"/>
    <w:rPr>
      <w:rFonts w:ascii="Calibri" w:hAnsi="Calibri"/>
      <w:b/>
      <w:bCs/>
      <w:kern w:val="44"/>
      <w:sz w:val="44"/>
      <w:szCs w:val="44"/>
    </w:rPr>
  </w:style>
  <w:style w:type="character" w:customStyle="1" w:styleId="142">
    <w:name w:val="正文文本 Char2"/>
    <w:link w:val="25"/>
    <w:autoRedefine/>
    <w:qFormat/>
    <w:uiPriority w:val="0"/>
    <w:rPr>
      <w:rFonts w:eastAsia="黑体"/>
      <w:b/>
      <w:bCs/>
      <w:spacing w:val="20"/>
      <w:kern w:val="52"/>
      <w:sz w:val="56"/>
      <w:szCs w:val="24"/>
      <w:lang w:val="en-US" w:eastAsia="zh-CN" w:bidi="ar-SA"/>
    </w:rPr>
  </w:style>
  <w:style w:type="character" w:customStyle="1" w:styleId="143">
    <w:name w:val="日期 Char"/>
    <w:link w:val="36"/>
    <w:autoRedefine/>
    <w:qFormat/>
    <w:uiPriority w:val="0"/>
    <w:rPr>
      <w:rFonts w:eastAsia="宋体"/>
      <w:kern w:val="2"/>
      <w:sz w:val="21"/>
      <w:lang w:val="en-US" w:eastAsia="zh-CN" w:bidi="ar-SA"/>
    </w:rPr>
  </w:style>
  <w:style w:type="character" w:customStyle="1" w:styleId="144">
    <w:name w:val="批注框文本 Char"/>
    <w:link w:val="39"/>
    <w:autoRedefine/>
    <w:semiHidden/>
    <w:qFormat/>
    <w:uiPriority w:val="0"/>
    <w:rPr>
      <w:rFonts w:eastAsia="宋体"/>
      <w:kern w:val="2"/>
      <w:sz w:val="18"/>
      <w:szCs w:val="18"/>
      <w:lang w:val="en-US" w:eastAsia="zh-CN" w:bidi="ar-SA"/>
    </w:rPr>
  </w:style>
  <w:style w:type="character" w:customStyle="1" w:styleId="145">
    <w:name w:val="maincontenttable1"/>
    <w:autoRedefine/>
    <w:qFormat/>
    <w:uiPriority w:val="0"/>
    <w:rPr>
      <w:sz w:val="18"/>
      <w:szCs w:val="18"/>
    </w:rPr>
  </w:style>
  <w:style w:type="character" w:customStyle="1" w:styleId="146">
    <w:name w:val="引用 Char"/>
    <w:link w:val="147"/>
    <w:autoRedefine/>
    <w:qFormat/>
    <w:uiPriority w:val="0"/>
    <w:rPr>
      <w:rFonts w:ascii="Calibri" w:hAnsi="Calibri" w:eastAsia="宋体"/>
      <w:i/>
      <w:iCs/>
      <w:color w:val="000000"/>
      <w:sz w:val="22"/>
      <w:szCs w:val="22"/>
      <w:lang w:val="en-US" w:eastAsia="en-US" w:bidi="en-US"/>
    </w:rPr>
  </w:style>
  <w:style w:type="paragraph" w:styleId="147">
    <w:name w:val="Quote"/>
    <w:basedOn w:val="1"/>
    <w:next w:val="1"/>
    <w:link w:val="146"/>
    <w:autoRedefine/>
    <w:qFormat/>
    <w:uiPriority w:val="0"/>
    <w:pPr>
      <w:widowControl/>
      <w:spacing w:after="480" w:line="276" w:lineRule="auto"/>
      <w:jc w:val="left"/>
    </w:pPr>
    <w:rPr>
      <w:rFonts w:ascii="Calibri" w:hAnsi="Calibri"/>
      <w:i/>
      <w:iCs/>
      <w:color w:val="000000"/>
      <w:kern w:val="0"/>
      <w:sz w:val="22"/>
      <w:szCs w:val="22"/>
      <w:lang w:eastAsia="en-US" w:bidi="en-US"/>
    </w:rPr>
  </w:style>
  <w:style w:type="character" w:customStyle="1" w:styleId="148">
    <w:name w:val="页脚 Char"/>
    <w:link w:val="40"/>
    <w:autoRedefine/>
    <w:qFormat/>
    <w:uiPriority w:val="0"/>
    <w:rPr>
      <w:rFonts w:eastAsia="宋体"/>
      <w:kern w:val="2"/>
      <w:sz w:val="18"/>
      <w:szCs w:val="18"/>
      <w:lang w:val="en-US" w:eastAsia="zh-CN" w:bidi="ar-SA"/>
    </w:rPr>
  </w:style>
  <w:style w:type="character" w:customStyle="1" w:styleId="149">
    <w:name w:val="明显引用 Char"/>
    <w:link w:val="150"/>
    <w:autoRedefine/>
    <w:qFormat/>
    <w:uiPriority w:val="0"/>
    <w:rPr>
      <w:rFonts w:ascii="Calibri" w:hAnsi="Calibri" w:eastAsia="宋体"/>
      <w:b/>
      <w:bCs/>
      <w:i/>
      <w:iCs/>
      <w:color w:val="4F81BD"/>
      <w:sz w:val="22"/>
      <w:szCs w:val="22"/>
      <w:lang w:val="en-US" w:eastAsia="en-US" w:bidi="en-US"/>
    </w:rPr>
  </w:style>
  <w:style w:type="paragraph" w:styleId="150">
    <w:name w:val="Intense Quote"/>
    <w:basedOn w:val="1"/>
    <w:next w:val="1"/>
    <w:link w:val="149"/>
    <w:autoRedefine/>
    <w:qFormat/>
    <w:uiPriority w:val="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151">
    <w:name w:val="文字 Char"/>
    <w:link w:val="152"/>
    <w:autoRedefine/>
    <w:qFormat/>
    <w:uiPriority w:val="0"/>
    <w:rPr>
      <w:rFonts w:ascii="宋体" w:hAnsi="宋体" w:eastAsia="宋体"/>
      <w:sz w:val="28"/>
      <w:lang w:bidi="ar-SA"/>
    </w:rPr>
  </w:style>
  <w:style w:type="paragraph" w:customStyle="1" w:styleId="152">
    <w:name w:val="文字"/>
    <w:basedOn w:val="1"/>
    <w:link w:val="151"/>
    <w:autoRedefine/>
    <w:qFormat/>
    <w:uiPriority w:val="0"/>
    <w:pPr>
      <w:tabs>
        <w:tab w:val="left" w:pos="8520"/>
      </w:tabs>
      <w:spacing w:line="312" w:lineRule="auto"/>
      <w:ind w:right="-210" w:firstLine="556"/>
    </w:pPr>
    <w:rPr>
      <w:rFonts w:ascii="宋体" w:hAnsi="宋体"/>
      <w:kern w:val="0"/>
      <w:sz w:val="28"/>
    </w:rPr>
  </w:style>
  <w:style w:type="character" w:customStyle="1" w:styleId="153">
    <w:name w:val="ca-3"/>
    <w:basedOn w:val="66"/>
    <w:autoRedefine/>
    <w:qFormat/>
    <w:uiPriority w:val="0"/>
  </w:style>
  <w:style w:type="character" w:customStyle="1" w:styleId="154">
    <w:name w:val="表格 Char Char"/>
    <w:link w:val="155"/>
    <w:autoRedefine/>
    <w:qFormat/>
    <w:uiPriority w:val="0"/>
    <w:rPr>
      <w:rFonts w:ascii="宋体" w:hAnsi="宋体"/>
      <w:lang w:bidi="ar-SA"/>
    </w:rPr>
  </w:style>
  <w:style w:type="paragraph" w:customStyle="1" w:styleId="155">
    <w:name w:val="表格"/>
    <w:basedOn w:val="1"/>
    <w:link w:val="154"/>
    <w:autoRedefine/>
    <w:qFormat/>
    <w:uiPriority w:val="0"/>
    <w:pPr>
      <w:snapToGrid w:val="0"/>
      <w:ind w:firstLine="42" w:firstLineChars="21"/>
    </w:pPr>
    <w:rPr>
      <w:rFonts w:ascii="宋体" w:hAnsi="宋体"/>
      <w:kern w:val="0"/>
      <w:sz w:val="20"/>
    </w:rPr>
  </w:style>
  <w:style w:type="character" w:customStyle="1" w:styleId="156">
    <w:name w:val="正文文本 Char1"/>
    <w:autoRedefine/>
    <w:semiHidden/>
    <w:qFormat/>
    <w:uiPriority w:val="0"/>
    <w:rPr>
      <w:rFonts w:ascii="仿宋_GB2312" w:hAnsi="Times New Roman" w:eastAsia="仿宋_GB2312" w:cs="Times New Roman"/>
      <w:sz w:val="28"/>
      <w:szCs w:val="28"/>
    </w:rPr>
  </w:style>
  <w:style w:type="character" w:customStyle="1" w:styleId="157">
    <w:name w:val="不明显强调1"/>
    <w:autoRedefine/>
    <w:qFormat/>
    <w:uiPriority w:val="0"/>
    <w:rPr>
      <w:i/>
      <w:iCs/>
      <w:color w:val="808080"/>
    </w:rPr>
  </w:style>
  <w:style w:type="character" w:customStyle="1" w:styleId="158">
    <w:name w:val="正文文本 2 Char"/>
    <w:link w:val="55"/>
    <w:autoRedefine/>
    <w:qFormat/>
    <w:uiPriority w:val="0"/>
    <w:rPr>
      <w:rFonts w:eastAsia="宋体"/>
      <w:kern w:val="2"/>
      <w:sz w:val="24"/>
      <w:szCs w:val="24"/>
      <w:lang w:val="en-US" w:eastAsia="zh-CN" w:bidi="ar-SA"/>
    </w:rPr>
  </w:style>
  <w:style w:type="character" w:customStyle="1" w:styleId="159">
    <w:name w:val="ca-9"/>
    <w:basedOn w:val="66"/>
    <w:autoRedefine/>
    <w:qFormat/>
    <w:uiPriority w:val="0"/>
  </w:style>
  <w:style w:type="character" w:customStyle="1" w:styleId="160">
    <w:name w:val="文档结构图 Char"/>
    <w:link w:val="21"/>
    <w:autoRedefine/>
    <w:qFormat/>
    <w:uiPriority w:val="0"/>
    <w:rPr>
      <w:rFonts w:eastAsia="宋体"/>
      <w:szCs w:val="24"/>
      <w:shd w:val="clear" w:color="auto" w:fill="000080"/>
      <w:lang w:bidi="ar-SA"/>
    </w:rPr>
  </w:style>
  <w:style w:type="character" w:customStyle="1" w:styleId="161">
    <w:name w:val="text1"/>
    <w:autoRedefine/>
    <w:qFormat/>
    <w:uiPriority w:val="0"/>
    <w:rPr>
      <w:rFonts w:hint="eastAsia" w:ascii="宋体" w:hAnsi="宋体" w:eastAsia="宋体"/>
      <w:color w:val="000099"/>
      <w:sz w:val="18"/>
      <w:szCs w:val="18"/>
    </w:rPr>
  </w:style>
  <w:style w:type="character" w:customStyle="1" w:styleId="162">
    <w:name w:val="PI Char"/>
    <w:autoRedefine/>
    <w:qFormat/>
    <w:uiPriority w:val="0"/>
    <w:rPr>
      <w:rFonts w:ascii="仿宋_GB2312" w:eastAsia="仿宋_GB2312"/>
      <w:kern w:val="2"/>
      <w:sz w:val="28"/>
      <w:szCs w:val="28"/>
      <w:lang w:val="zh-CN" w:eastAsia="zh-CN" w:bidi="ar-SA"/>
    </w:rPr>
  </w:style>
  <w:style w:type="character" w:customStyle="1" w:styleId="163">
    <w:name w:val="font1"/>
    <w:autoRedefine/>
    <w:qFormat/>
    <w:uiPriority w:val="0"/>
    <w:rPr>
      <w:color w:val="333333"/>
      <w:sz w:val="18"/>
      <w:szCs w:val="18"/>
      <w:u w:val="none"/>
    </w:rPr>
  </w:style>
  <w:style w:type="character" w:customStyle="1" w:styleId="164">
    <w:name w:val="正文首行缩进 Char1"/>
    <w:basedOn w:val="105"/>
    <w:autoRedefine/>
    <w:semiHidden/>
    <w:qFormat/>
    <w:uiPriority w:val="0"/>
    <w:rPr>
      <w:rFonts w:ascii="仿宋_GB2312" w:hAnsi="Times New Roman" w:eastAsia="仿宋_GB2312" w:cs="Times New Roman"/>
      <w:sz w:val="28"/>
      <w:szCs w:val="28"/>
    </w:rPr>
  </w:style>
  <w:style w:type="character" w:customStyle="1" w:styleId="165">
    <w:name w:val="large1"/>
    <w:autoRedefine/>
    <w:qFormat/>
    <w:uiPriority w:val="0"/>
    <w:rPr>
      <w:rFonts w:hint="eastAsia" w:ascii="宋体" w:hAnsi="宋体" w:eastAsia="宋体"/>
      <w:sz w:val="21"/>
      <w:szCs w:val="21"/>
    </w:rPr>
  </w:style>
  <w:style w:type="character" w:customStyle="1" w:styleId="166">
    <w:name w:val="表正文 Char"/>
    <w:autoRedefine/>
    <w:qFormat/>
    <w:uiPriority w:val="0"/>
    <w:rPr>
      <w:rFonts w:ascii="仿宋_GB2312" w:eastAsia="仿宋_GB2312"/>
      <w:kern w:val="2"/>
      <w:sz w:val="28"/>
    </w:rPr>
  </w:style>
  <w:style w:type="character" w:customStyle="1" w:styleId="167">
    <w:name w:val="Heading 2 Hidden Char1"/>
    <w:autoRedefine/>
    <w:qFormat/>
    <w:uiPriority w:val="0"/>
    <w:rPr>
      <w:rFonts w:ascii="Arial" w:hAnsi="Arial" w:eastAsia="黑体"/>
      <w:b/>
      <w:bCs/>
      <w:kern w:val="2"/>
      <w:sz w:val="32"/>
      <w:szCs w:val="32"/>
    </w:rPr>
  </w:style>
  <w:style w:type="character" w:customStyle="1" w:styleId="168">
    <w:name w:val="明显强调1"/>
    <w:autoRedefine/>
    <w:qFormat/>
    <w:uiPriority w:val="0"/>
    <w:rPr>
      <w:b/>
      <w:bCs/>
      <w:i/>
      <w:iCs/>
      <w:color w:val="4F81BD"/>
    </w:rPr>
  </w:style>
  <w:style w:type="character" w:customStyle="1" w:styleId="169">
    <w:name w:val="PI Char2"/>
    <w:autoRedefine/>
    <w:qFormat/>
    <w:uiPriority w:val="0"/>
    <w:rPr>
      <w:rFonts w:ascii="仿宋_GB2312" w:eastAsia="仿宋_GB2312"/>
      <w:kern w:val="2"/>
      <w:sz w:val="28"/>
      <w:szCs w:val="28"/>
      <w:lang w:val="zh-CN" w:eastAsia="zh-CN" w:bidi="ar-SA"/>
    </w:rPr>
  </w:style>
  <w:style w:type="character" w:customStyle="1" w:styleId="170">
    <w:name w:val="正文文本缩进 3 Char1"/>
    <w:autoRedefine/>
    <w:semiHidden/>
    <w:qFormat/>
    <w:uiPriority w:val="0"/>
    <w:rPr>
      <w:rFonts w:ascii="仿宋_GB2312" w:hAnsi="Times New Roman" w:eastAsia="仿宋_GB2312" w:cs="Times New Roman"/>
      <w:sz w:val="16"/>
      <w:szCs w:val="16"/>
    </w:rPr>
  </w:style>
  <w:style w:type="character" w:customStyle="1" w:styleId="171">
    <w:name w:val="font21"/>
    <w:autoRedefine/>
    <w:qFormat/>
    <w:uiPriority w:val="0"/>
    <w:rPr>
      <w:rFonts w:hint="eastAsia" w:ascii="楷体_GB2312" w:eastAsia="楷体_GB2312"/>
      <w:color w:val="000000"/>
      <w:sz w:val="21"/>
      <w:szCs w:val="21"/>
      <w:u w:val="single"/>
    </w:rPr>
  </w:style>
  <w:style w:type="character" w:customStyle="1" w:styleId="172">
    <w:name w:val="正文文本缩进 2 Char"/>
    <w:link w:val="37"/>
    <w:autoRedefine/>
    <w:semiHidden/>
    <w:qFormat/>
    <w:uiPriority w:val="0"/>
    <w:rPr>
      <w:rFonts w:eastAsia="宋体"/>
      <w:kern w:val="2"/>
      <w:sz w:val="24"/>
      <w:szCs w:val="21"/>
      <w:lang w:val="en-US" w:eastAsia="zh-CN" w:bidi="ar-SA"/>
    </w:rPr>
  </w:style>
  <w:style w:type="character" w:customStyle="1" w:styleId="173">
    <w:name w:val="Char Char19"/>
    <w:autoRedefine/>
    <w:qFormat/>
    <w:uiPriority w:val="0"/>
    <w:rPr>
      <w:rFonts w:ascii="Cambria" w:hAnsi="Cambria" w:eastAsia="宋体" w:cs="Times New Roman"/>
      <w:color w:val="4F81BD"/>
      <w:sz w:val="20"/>
      <w:szCs w:val="20"/>
    </w:rPr>
  </w:style>
  <w:style w:type="character" w:customStyle="1" w:styleId="174">
    <w:name w:val="Char Char4"/>
    <w:autoRedefine/>
    <w:qFormat/>
    <w:uiPriority w:val="0"/>
    <w:rPr>
      <w:rFonts w:ascii="仿宋_GB2312" w:eastAsia="仿宋_GB2312"/>
      <w:kern w:val="2"/>
      <w:sz w:val="28"/>
      <w:szCs w:val="28"/>
      <w:lang w:val="zh-CN" w:eastAsia="zh-CN" w:bidi="ar-SA"/>
    </w:rPr>
  </w:style>
  <w:style w:type="character" w:customStyle="1" w:styleId="175">
    <w:name w:val="普通文字 Char Char4"/>
    <w:autoRedefine/>
    <w:qFormat/>
    <w:uiPriority w:val="0"/>
    <w:rPr>
      <w:rFonts w:ascii="宋体" w:hAnsi="Courier New" w:eastAsia="宋体"/>
      <w:sz w:val="21"/>
      <w:lang w:val="en-US" w:eastAsia="zh-CN" w:bidi="ar-SA"/>
    </w:rPr>
  </w:style>
  <w:style w:type="character" w:customStyle="1" w:styleId="176">
    <w:name w:val="正文文本 2 Char1"/>
    <w:autoRedefine/>
    <w:semiHidden/>
    <w:qFormat/>
    <w:uiPriority w:val="0"/>
    <w:rPr>
      <w:rFonts w:ascii="仿宋_GB2312" w:hAnsi="Times New Roman" w:eastAsia="仿宋_GB2312" w:cs="Times New Roman"/>
      <w:sz w:val="28"/>
      <w:szCs w:val="28"/>
    </w:rPr>
  </w:style>
  <w:style w:type="character" w:customStyle="1" w:styleId="177">
    <w:name w:val="标题 6 Char"/>
    <w:link w:val="10"/>
    <w:autoRedefine/>
    <w:qFormat/>
    <w:uiPriority w:val="0"/>
    <w:rPr>
      <w:rFonts w:ascii="Arial" w:hAnsi="Arial" w:eastAsia="仿宋_GB2312"/>
      <w:i/>
      <w:sz w:val="22"/>
      <w:lang w:val="en-US" w:eastAsia="zh-CN" w:bidi="ar-SA"/>
    </w:rPr>
  </w:style>
  <w:style w:type="character" w:customStyle="1" w:styleId="178">
    <w:name w:val="H5 Char"/>
    <w:autoRedefine/>
    <w:qFormat/>
    <w:uiPriority w:val="0"/>
    <w:rPr>
      <w:rFonts w:ascii="Arial" w:hAnsi="Arial"/>
      <w:sz w:val="22"/>
    </w:rPr>
  </w:style>
  <w:style w:type="character" w:customStyle="1" w:styleId="179">
    <w:name w:val="标题 5 Char"/>
    <w:link w:val="9"/>
    <w:autoRedefine/>
    <w:qFormat/>
    <w:uiPriority w:val="0"/>
    <w:rPr>
      <w:rFonts w:ascii="Arial" w:hAnsi="Arial" w:eastAsia="宋体"/>
      <w:kern w:val="2"/>
      <w:sz w:val="22"/>
      <w:szCs w:val="28"/>
      <w:lang w:val="en-US" w:eastAsia="zh-CN" w:bidi="ar-SA"/>
    </w:rPr>
  </w:style>
  <w:style w:type="character" w:customStyle="1" w:styleId="180">
    <w:name w:val="EHPT Char2"/>
    <w:autoRedefine/>
    <w:qFormat/>
    <w:uiPriority w:val="0"/>
    <w:rPr>
      <w:rFonts w:ascii="Calibri" w:hAnsi="Calibri"/>
      <w:kern w:val="2"/>
      <w:sz w:val="21"/>
      <w:szCs w:val="22"/>
    </w:rPr>
  </w:style>
  <w:style w:type="character" w:customStyle="1" w:styleId="181">
    <w:name w:val="标题 7 Char"/>
    <w:link w:val="11"/>
    <w:autoRedefine/>
    <w:qFormat/>
    <w:uiPriority w:val="0"/>
    <w:rPr>
      <w:rFonts w:ascii="Arial" w:hAnsi="Arial" w:eastAsia="宋体"/>
      <w:kern w:val="2"/>
      <w:sz w:val="28"/>
      <w:szCs w:val="28"/>
      <w:lang w:val="en-US" w:eastAsia="zh-CN" w:bidi="ar-SA"/>
    </w:rPr>
  </w:style>
  <w:style w:type="character" w:customStyle="1" w:styleId="182">
    <w:name w:val="EmailStyle191"/>
    <w:autoRedefine/>
    <w:semiHidden/>
    <w:qFormat/>
    <w:uiPriority w:val="0"/>
    <w:rPr>
      <w:rFonts w:ascii="Arial" w:hAnsi="Arial" w:eastAsia="宋体" w:cs="Arial"/>
      <w:color w:val="000080"/>
      <w:sz w:val="18"/>
      <w:szCs w:val="20"/>
    </w:rPr>
  </w:style>
  <w:style w:type="character" w:customStyle="1" w:styleId="183">
    <w:name w:val="标题 4 Char"/>
    <w:link w:val="8"/>
    <w:autoRedefine/>
    <w:qFormat/>
    <w:uiPriority w:val="0"/>
    <w:rPr>
      <w:rFonts w:ascii="Cambria" w:hAnsi="Cambria" w:eastAsia="宋体"/>
      <w:b/>
      <w:bCs/>
      <w:kern w:val="2"/>
      <w:sz w:val="28"/>
      <w:szCs w:val="28"/>
      <w:lang w:val="en-US" w:eastAsia="zh-CN" w:bidi="ar-SA"/>
    </w:rPr>
  </w:style>
  <w:style w:type="character" w:customStyle="1" w:styleId="184">
    <w:name w:val="页脚 Char1"/>
    <w:autoRedefine/>
    <w:semiHidden/>
    <w:qFormat/>
    <w:uiPriority w:val="0"/>
    <w:rPr>
      <w:rFonts w:ascii="仿宋_GB2312" w:hAnsi="Times New Roman" w:eastAsia="仿宋_GB2312" w:cs="Times New Roman"/>
      <w:sz w:val="18"/>
      <w:szCs w:val="18"/>
    </w:rPr>
  </w:style>
  <w:style w:type="character" w:customStyle="1" w:styleId="185">
    <w:name w:val="标书正文格式 Char"/>
    <w:link w:val="186"/>
    <w:autoRedefine/>
    <w:qFormat/>
    <w:uiPriority w:val="0"/>
    <w:rPr>
      <w:rFonts w:ascii="楷体_GB2312" w:eastAsia="楷体_GB2312"/>
      <w:color w:val="000000"/>
      <w:kern w:val="2"/>
      <w:sz w:val="24"/>
      <w:szCs w:val="24"/>
      <w:lang w:val="en-US" w:eastAsia="zh-CN" w:bidi="ar-SA"/>
    </w:rPr>
  </w:style>
  <w:style w:type="paragraph" w:customStyle="1" w:styleId="186">
    <w:name w:val="标书正文格式"/>
    <w:link w:val="185"/>
    <w:autoRedefine/>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187">
    <w:name w:val="小四缩进"/>
    <w:basedOn w:val="1"/>
    <w:qFormat/>
    <w:uiPriority w:val="0"/>
    <w:pPr>
      <w:spacing w:line="360" w:lineRule="auto"/>
      <w:ind w:firstLine="480" w:firstLineChars="200"/>
    </w:pPr>
    <w:rPr>
      <w:sz w:val="24"/>
      <w:szCs w:val="24"/>
    </w:rPr>
  </w:style>
  <w:style w:type="paragraph" w:customStyle="1" w:styleId="188">
    <w:name w:val="RFI Heading 1st Level"/>
    <w:basedOn w:val="1"/>
    <w:autoRedefine/>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189">
    <w:name w:val="Level 2: 1."/>
    <w:autoRedefine/>
    <w:qFormat/>
    <w:uiPriority w:val="0"/>
    <w:pPr>
      <w:numPr>
        <w:ilvl w:val="4"/>
        <w:numId w:val="1"/>
      </w:numPr>
      <w:tabs>
        <w:tab w:val="left" w:pos="720"/>
      </w:tabs>
      <w:spacing w:before="72" w:after="72"/>
      <w:jc w:val="both"/>
      <w:outlineLvl w:val="4"/>
    </w:pPr>
    <w:rPr>
      <w:rFonts w:ascii="Arial" w:hAnsi="Arial" w:eastAsia="宋体" w:cs="Times New Roman"/>
      <w:lang w:val="en-US" w:eastAsia="en-US" w:bidi="ar-SA"/>
    </w:rPr>
  </w:style>
  <w:style w:type="paragraph" w:customStyle="1" w:styleId="190">
    <w:name w:val="1.1.1.1Heading3"/>
    <w:basedOn w:val="7"/>
    <w:autoRedefine/>
    <w:qFormat/>
    <w:uiPriority w:val="0"/>
    <w:pPr>
      <w:keepLines w:val="0"/>
      <w:widowControl/>
      <w:numPr>
        <w:ilvl w:val="2"/>
        <w:numId w:val="5"/>
      </w:numPr>
      <w:tabs>
        <w:tab w:val="left" w:pos="2292"/>
        <w:tab w:val="clear" w:pos="2160"/>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191">
    <w:name w:val="RFI List 2"/>
    <w:basedOn w:val="192"/>
    <w:autoRedefine/>
    <w:qFormat/>
    <w:uiPriority w:val="0"/>
    <w:pPr>
      <w:numPr>
        <w:ilvl w:val="0"/>
        <w:numId w:val="6"/>
      </w:numPr>
      <w:tabs>
        <w:tab w:val="left" w:pos="360"/>
        <w:tab w:val="left" w:pos="720"/>
        <w:tab w:val="left" w:pos="1800"/>
      </w:tabs>
      <w:ind w:left="720" w:hanging="720"/>
    </w:pPr>
    <w:rPr>
      <w:rFonts w:eastAsia="Times New Roman"/>
      <w:b w:val="0"/>
      <w:bCs/>
    </w:rPr>
  </w:style>
  <w:style w:type="paragraph" w:customStyle="1" w:styleId="192">
    <w:name w:val="RFI List 1"/>
    <w:basedOn w:val="193"/>
    <w:autoRedefine/>
    <w:qFormat/>
    <w:uiPriority w:val="0"/>
    <w:pPr>
      <w:tabs>
        <w:tab w:val="left" w:pos="360"/>
        <w:tab w:val="left" w:pos="720"/>
        <w:tab w:val="left" w:pos="1800"/>
      </w:tabs>
      <w:spacing w:before="240" w:after="160"/>
      <w:ind w:left="720" w:hanging="720"/>
      <w:outlineLvl w:val="0"/>
    </w:pPr>
    <w:rPr>
      <w:b/>
      <w:color w:val="auto"/>
    </w:rPr>
  </w:style>
  <w:style w:type="paragraph" w:customStyle="1" w:styleId="193">
    <w:name w:val="RFI Heading 3rd Level"/>
    <w:basedOn w:val="1"/>
    <w:autoRedefine/>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194">
    <w:name w:val="1 Char Char Char Char"/>
    <w:basedOn w:val="1"/>
    <w:autoRedefine/>
    <w:qFormat/>
    <w:uiPriority w:val="0"/>
    <w:rPr>
      <w:rFonts w:ascii="Tahoma" w:hAnsi="Tahoma"/>
      <w:sz w:val="24"/>
    </w:rPr>
  </w:style>
  <w:style w:type="paragraph" w:customStyle="1" w:styleId="195">
    <w:name w:val="正文无缩进"/>
    <w:basedOn w:val="196"/>
    <w:autoRedefine/>
    <w:qFormat/>
    <w:uiPriority w:val="0"/>
    <w:pPr>
      <w:ind w:firstLine="0" w:firstLineChars="0"/>
    </w:pPr>
  </w:style>
  <w:style w:type="paragraph" w:customStyle="1" w:styleId="19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97">
    <w:name w:val="xl26"/>
    <w:basedOn w:val="1"/>
    <w:autoRedefine/>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198">
    <w:name w:val="Style Body Text Indent 2 + 11 pt Line spacing:  1.5 lines"/>
    <w:basedOn w:val="37"/>
    <w:autoRedefine/>
    <w:qFormat/>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199">
    <w:name w:val="Level 4: (i)"/>
    <w:basedOn w:val="1"/>
    <w:autoRedefine/>
    <w:qFormat/>
    <w:uiPriority w:val="0"/>
    <w:pPr>
      <w:widowControl/>
      <w:numPr>
        <w:ilvl w:val="6"/>
        <w:numId w:val="1"/>
      </w:numPr>
      <w:tabs>
        <w:tab w:val="left" w:pos="1440"/>
      </w:tabs>
      <w:spacing w:before="72" w:after="72"/>
      <w:outlineLvl w:val="6"/>
    </w:pPr>
    <w:rPr>
      <w:rFonts w:ascii="Arial" w:hAnsi="Arial" w:eastAsia="仿宋_GB2312"/>
      <w:kern w:val="0"/>
      <w:sz w:val="20"/>
      <w:lang w:eastAsia="en-US"/>
    </w:rPr>
  </w:style>
  <w:style w:type="paragraph" w:customStyle="1" w:styleId="200">
    <w:name w:val="Char Char1 Char Char"/>
    <w:basedOn w:val="1"/>
    <w:autoRedefine/>
    <w:semiHidden/>
    <w:qFormat/>
    <w:uiPriority w:val="0"/>
    <w:rPr>
      <w:rFonts w:ascii="仿宋_GB2312" w:eastAsia="仿宋_GB2312"/>
      <w:sz w:val="28"/>
      <w:szCs w:val="28"/>
    </w:rPr>
  </w:style>
  <w:style w:type="paragraph" w:customStyle="1" w:styleId="201">
    <w:name w:val="批注框文本1"/>
    <w:basedOn w:val="1"/>
    <w:autoRedefine/>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202">
    <w:name w:val="Char1 Char Char Char"/>
    <w:basedOn w:val="1"/>
    <w:autoRedefine/>
    <w:qFormat/>
    <w:uiPriority w:val="0"/>
    <w:pPr>
      <w:ind w:left="420" w:hanging="420"/>
    </w:pPr>
    <w:rPr>
      <w:rFonts w:ascii="仿宋_GB2312" w:eastAsia="仿宋_GB2312"/>
      <w:sz w:val="24"/>
      <w:szCs w:val="28"/>
    </w:rPr>
  </w:style>
  <w:style w:type="paragraph" w:customStyle="1" w:styleId="203">
    <w:name w:val="RFI text from 3rd Level"/>
    <w:basedOn w:val="204"/>
    <w:autoRedefine/>
    <w:qFormat/>
    <w:uiPriority w:val="0"/>
    <w:pPr>
      <w:tabs>
        <w:tab w:val="left" w:pos="360"/>
        <w:tab w:val="left" w:pos="720"/>
        <w:tab w:val="left" w:pos="1080"/>
      </w:tabs>
    </w:pPr>
    <w:rPr>
      <w:b w:val="0"/>
      <w:lang w:eastAsia="zh-CN"/>
    </w:rPr>
  </w:style>
  <w:style w:type="paragraph" w:customStyle="1" w:styleId="204">
    <w:name w:val="RFI text from 2nd Level"/>
    <w:basedOn w:val="193"/>
    <w:autoRedefine/>
    <w:qFormat/>
    <w:uiPriority w:val="0"/>
    <w:pPr>
      <w:tabs>
        <w:tab w:val="left" w:pos="360"/>
      </w:tabs>
      <w:ind w:left="720"/>
    </w:pPr>
    <w:rPr>
      <w:b/>
      <w:bCs/>
      <w:color w:val="auto"/>
    </w:rPr>
  </w:style>
  <w:style w:type="paragraph" w:customStyle="1" w:styleId="205">
    <w:name w:val="规范正文"/>
    <w:basedOn w:val="1"/>
    <w:autoRedefine/>
    <w:qFormat/>
    <w:uiPriority w:val="0"/>
    <w:pPr>
      <w:adjustRightInd w:val="0"/>
      <w:spacing w:line="360" w:lineRule="auto"/>
      <w:ind w:left="480"/>
      <w:textAlignment w:val="baseline"/>
    </w:pPr>
    <w:rPr>
      <w:rFonts w:ascii="仿宋_GB2312" w:eastAsia="仿宋_GB2312"/>
      <w:kern w:val="0"/>
      <w:sz w:val="24"/>
    </w:rPr>
  </w:style>
  <w:style w:type="paragraph" w:customStyle="1" w:styleId="206">
    <w:name w:val="p0"/>
    <w:basedOn w:val="1"/>
    <w:autoRedefine/>
    <w:qFormat/>
    <w:uiPriority w:val="0"/>
    <w:pPr>
      <w:widowControl/>
    </w:pPr>
    <w:rPr>
      <w:rFonts w:ascii="仿宋_GB2312" w:hAnsi="宋体" w:eastAsia="仿宋_GB2312" w:cs="宋体"/>
      <w:kern w:val="0"/>
      <w:sz w:val="28"/>
      <w:szCs w:val="28"/>
    </w:rPr>
  </w:style>
  <w:style w:type="paragraph" w:customStyle="1" w:styleId="207">
    <w:name w:val="项目1"/>
    <w:basedOn w:val="4"/>
    <w:next w:val="4"/>
    <w:autoRedefine/>
    <w:qFormat/>
    <w:uiPriority w:val="0"/>
    <w:pPr>
      <w:widowControl w:val="0"/>
      <w:numPr>
        <w:ilvl w:val="3"/>
        <w:numId w:val="7"/>
      </w:numPr>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208">
    <w:name w:val="Normal 1.0"/>
    <w:basedOn w:val="1"/>
    <w:autoRedefine/>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209">
    <w:name w:val="RFI Heading 2nd Level Char"/>
    <w:basedOn w:val="1"/>
    <w:autoRedefine/>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210">
    <w:name w:val="Char Char Char Char Char Char Char Char Char Char"/>
    <w:basedOn w:val="1"/>
    <w:autoRedefine/>
    <w:qFormat/>
    <w:uiPriority w:val="0"/>
    <w:rPr>
      <w:rFonts w:ascii="Tahoma" w:hAnsi="Tahoma"/>
      <w:sz w:val="24"/>
    </w:rPr>
  </w:style>
  <w:style w:type="paragraph" w:customStyle="1" w:styleId="211">
    <w:name w:val="Bullet 1"/>
    <w:basedOn w:val="1"/>
    <w:autoRedefine/>
    <w:qFormat/>
    <w:uiPriority w:val="0"/>
    <w:pPr>
      <w:widowControl/>
      <w:jc w:val="left"/>
    </w:pPr>
    <w:rPr>
      <w:rFonts w:ascii="Tahoma" w:hAnsi="Tahoma" w:eastAsia="仿宋_GB2312" w:cs="Tahoma"/>
      <w:kern w:val="0"/>
      <w:sz w:val="24"/>
      <w:szCs w:val="28"/>
      <w:lang w:eastAsia="en-US"/>
    </w:rPr>
  </w:style>
  <w:style w:type="paragraph" w:customStyle="1" w:styleId="212">
    <w:name w:val="正文缩进6格"/>
    <w:basedOn w:val="213"/>
    <w:autoRedefine/>
    <w:qFormat/>
    <w:uiPriority w:val="0"/>
    <w:pPr>
      <w:ind w:left="1758" w:leftChars="854"/>
    </w:pPr>
  </w:style>
  <w:style w:type="paragraph" w:customStyle="1" w:styleId="213">
    <w:name w:val="正文缩进4格"/>
    <w:basedOn w:val="196"/>
    <w:autoRedefine/>
    <w:qFormat/>
    <w:uiPriority w:val="0"/>
    <w:pPr>
      <w:ind w:left="651" w:leftChars="310" w:firstLine="608" w:firstLineChars="196"/>
    </w:pPr>
    <w:rPr>
      <w:color w:val="000000"/>
    </w:rPr>
  </w:style>
  <w:style w:type="paragraph" w:customStyle="1" w:styleId="214">
    <w:name w:val="Char Char2 Char Char"/>
    <w:basedOn w:val="21"/>
    <w:autoRedefine/>
    <w:qFormat/>
    <w:uiPriority w:val="0"/>
    <w:pPr>
      <w:spacing w:line="436" w:lineRule="exact"/>
    </w:pPr>
    <w:rPr>
      <w:rFonts w:ascii="Tahoma" w:hAnsi="Tahoma"/>
      <w:kern w:val="2"/>
      <w:sz w:val="24"/>
      <w:szCs w:val="20"/>
      <w:shd w:val="clear" w:color="auto" w:fill="auto"/>
    </w:rPr>
  </w:style>
  <w:style w:type="paragraph" w:customStyle="1" w:styleId="215">
    <w:name w:val="Head1"/>
    <w:autoRedefine/>
    <w:qFormat/>
    <w:uiPriority w:val="0"/>
    <w:pPr>
      <w:numPr>
        <w:ilvl w:val="1"/>
        <w:numId w:val="1"/>
      </w:numPr>
      <w:pBdr>
        <w:top w:val="single" w:color="auto" w:sz="6" w:space="1"/>
      </w:pBdr>
      <w:tabs>
        <w:tab w:val="left" w:pos="576"/>
      </w:tabs>
      <w:spacing w:before="28" w:after="28"/>
      <w:outlineLvl w:val="1"/>
    </w:pPr>
    <w:rPr>
      <w:rFonts w:ascii="Arial" w:hAnsi="Arial" w:eastAsia="宋体" w:cs="Times New Roman"/>
      <w:b/>
      <w:sz w:val="22"/>
      <w:lang w:val="en-US" w:eastAsia="en-US" w:bidi="ar-SA"/>
    </w:rPr>
  </w:style>
  <w:style w:type="paragraph" w:customStyle="1" w:styleId="216">
    <w:name w:val="标题 3.5"/>
    <w:basedOn w:val="7"/>
    <w:autoRedefine/>
    <w:qFormat/>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217">
    <w:name w:val="Achievement"/>
    <w:basedOn w:val="25"/>
    <w:autoRedefine/>
    <w:qFormat/>
    <w:uiPriority w:val="0"/>
    <w:pPr>
      <w:widowControl/>
      <w:numPr>
        <w:ilvl w:val="0"/>
        <w:numId w:val="8"/>
      </w:numPr>
      <w:spacing w:after="60" w:line="220" w:lineRule="atLeast"/>
    </w:pPr>
    <w:rPr>
      <w:rFonts w:ascii="Arial" w:hAnsi="Arial" w:eastAsia="宋体"/>
      <w:b w:val="0"/>
      <w:bCs w:val="0"/>
      <w:spacing w:val="-5"/>
      <w:kern w:val="0"/>
      <w:sz w:val="20"/>
      <w:szCs w:val="20"/>
    </w:rPr>
  </w:style>
  <w:style w:type="paragraph" w:customStyle="1" w:styleId="218">
    <w:name w:val="列出段落1"/>
    <w:basedOn w:val="1"/>
    <w:autoRedefine/>
    <w:qFormat/>
    <w:uiPriority w:val="0"/>
    <w:pPr>
      <w:ind w:firstLine="420" w:firstLineChars="200"/>
    </w:pPr>
    <w:rPr>
      <w:szCs w:val="24"/>
    </w:rPr>
  </w:style>
  <w:style w:type="paragraph" w:customStyle="1" w:styleId="219">
    <w:name w:val="水印"/>
    <w:basedOn w:val="1"/>
    <w:autoRedefine/>
    <w:qFormat/>
    <w:uiPriority w:val="0"/>
    <w:pPr>
      <w:adjustRightInd w:val="0"/>
      <w:spacing w:line="240" w:lineRule="atLeast"/>
      <w:textAlignment w:val="baseline"/>
    </w:pPr>
    <w:rPr>
      <w:rFonts w:ascii="仿宋_GB2312" w:eastAsia="仿宋_GB2312"/>
      <w:kern w:val="0"/>
      <w:sz w:val="28"/>
    </w:rPr>
  </w:style>
  <w:style w:type="paragraph" w:customStyle="1" w:styleId="220">
    <w:name w:val="Char"/>
    <w:basedOn w:val="1"/>
    <w:autoRedefine/>
    <w:qFormat/>
    <w:uiPriority w:val="0"/>
    <w:rPr>
      <w:rFonts w:ascii="仿宋_GB2312" w:eastAsia="仿宋_GB2312"/>
      <w:sz w:val="28"/>
      <w:szCs w:val="28"/>
    </w:rPr>
  </w:style>
  <w:style w:type="paragraph" w:customStyle="1" w:styleId="221">
    <w:name w:val="Level 3: (a)"/>
    <w:basedOn w:val="1"/>
    <w:autoRedefine/>
    <w:qFormat/>
    <w:uiPriority w:val="0"/>
    <w:pPr>
      <w:widowControl/>
      <w:numPr>
        <w:ilvl w:val="5"/>
        <w:numId w:val="1"/>
      </w:numPr>
      <w:tabs>
        <w:tab w:val="left" w:pos="1080"/>
      </w:tabs>
      <w:spacing w:before="72" w:after="72"/>
      <w:outlineLvl w:val="5"/>
    </w:pPr>
    <w:rPr>
      <w:rFonts w:ascii="Arial" w:hAnsi="Arial" w:eastAsia="仿宋_GB2312"/>
      <w:kern w:val="0"/>
      <w:sz w:val="20"/>
      <w:lang w:eastAsia="en-US"/>
    </w:rPr>
  </w:style>
  <w:style w:type="paragraph" w:customStyle="1" w:styleId="222">
    <w:name w:val="tabletextchar"/>
    <w:basedOn w:val="1"/>
    <w:autoRedefine/>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23">
    <w:name w:val="PDGInstructions"/>
    <w:basedOn w:val="1"/>
    <w:autoRedefine/>
    <w:qFormat/>
    <w:uiPriority w:val="0"/>
    <w:pPr>
      <w:widowControl/>
      <w:spacing w:before="60" w:after="60"/>
      <w:ind w:right="360"/>
      <w:jc w:val="left"/>
    </w:pPr>
    <w:rPr>
      <w:rFonts w:ascii="Garamond" w:hAnsi="Garamond"/>
      <w:color w:val="FF0000"/>
      <w:kern w:val="0"/>
      <w:sz w:val="24"/>
      <w:lang w:eastAsia="en-US"/>
    </w:rPr>
  </w:style>
  <w:style w:type="paragraph" w:customStyle="1" w:styleId="224">
    <w:name w:val="kp"/>
    <w:basedOn w:val="1"/>
    <w:autoRedefine/>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225">
    <w:name w:val="标题 3.1"/>
    <w:basedOn w:val="7"/>
    <w:autoRedefine/>
    <w:qFormat/>
    <w:uiPriority w:val="0"/>
    <w:pPr>
      <w:tabs>
        <w:tab w:val="left" w:pos="5614"/>
      </w:tabs>
      <w:spacing w:line="600" w:lineRule="exact"/>
    </w:pPr>
    <w:rPr>
      <w:rFonts w:ascii="仿宋_GB2312"/>
      <w:sz w:val="36"/>
    </w:rPr>
  </w:style>
  <w:style w:type="paragraph" w:customStyle="1" w:styleId="226">
    <w:name w:val="列出段落11"/>
    <w:basedOn w:val="1"/>
    <w:autoRedefine/>
    <w:qFormat/>
    <w:uiPriority w:val="0"/>
    <w:pPr>
      <w:ind w:firstLine="420" w:firstLineChars="200"/>
    </w:pPr>
    <w:rPr>
      <w:rFonts w:ascii="Calibri" w:hAnsi="Calibri"/>
      <w:szCs w:val="24"/>
    </w:rPr>
  </w:style>
  <w:style w:type="paragraph" w:customStyle="1" w:styleId="227">
    <w:name w:val="RFI abc 1st Level"/>
    <w:basedOn w:val="1"/>
    <w:autoRedefine/>
    <w:qFormat/>
    <w:uiPriority w:val="0"/>
    <w:pPr>
      <w:widowControl/>
      <w:numPr>
        <w:ilvl w:val="0"/>
        <w:numId w:val="9"/>
      </w:numPr>
      <w:tabs>
        <w:tab w:val="left" w:pos="1440"/>
      </w:tabs>
      <w:ind w:left="1440"/>
    </w:pPr>
    <w:rPr>
      <w:rFonts w:ascii="Arial (W1)" w:hAnsi="Arial (W1)" w:eastAsia="仿宋_GB2312"/>
      <w:kern w:val="0"/>
      <w:sz w:val="24"/>
      <w:szCs w:val="28"/>
      <w:lang w:val="en-GB" w:eastAsia="en-US"/>
    </w:rPr>
  </w:style>
  <w:style w:type="paragraph" w:customStyle="1" w:styleId="228">
    <w:name w:val="Content Bullet"/>
    <w:basedOn w:val="1"/>
    <w:autoRedefine/>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29">
    <w:name w:val="默认段落字体 Para Char"/>
    <w:basedOn w:val="1"/>
    <w:autoRedefine/>
    <w:qFormat/>
    <w:uiPriority w:val="0"/>
    <w:pPr>
      <w:spacing w:line="360" w:lineRule="auto"/>
      <w:ind w:firstLine="200" w:firstLineChars="200"/>
    </w:pPr>
    <w:rPr>
      <w:rFonts w:ascii="宋体" w:hAnsi="宋体" w:eastAsia="仿宋_GB2312" w:cs="宋体"/>
      <w:sz w:val="24"/>
      <w:szCs w:val="28"/>
    </w:rPr>
  </w:style>
  <w:style w:type="paragraph" w:customStyle="1" w:styleId="230">
    <w:name w:val="项目"/>
    <w:basedOn w:val="25"/>
    <w:next w:val="25"/>
    <w:autoRedefine/>
    <w:qFormat/>
    <w:uiPriority w:val="0"/>
    <w:pPr>
      <w:numPr>
        <w:ilvl w:val="0"/>
        <w:numId w:val="10"/>
      </w:numPr>
      <w:tabs>
        <w:tab w:val="left" w:pos="420"/>
      </w:tabs>
      <w:spacing w:line="360" w:lineRule="auto"/>
      <w:ind w:left="420"/>
    </w:pPr>
    <w:rPr>
      <w:rFonts w:eastAsia="宋体"/>
      <w:b w:val="0"/>
      <w:bCs w:val="0"/>
      <w:spacing w:val="0"/>
      <w:kern w:val="0"/>
      <w:sz w:val="24"/>
      <w:szCs w:val="20"/>
    </w:rPr>
  </w:style>
  <w:style w:type="paragraph" w:customStyle="1" w:styleId="231">
    <w:name w:val="Normal 0.51"/>
    <w:basedOn w:val="1"/>
    <w:autoRedefine/>
    <w:qFormat/>
    <w:uiPriority w:val="0"/>
    <w:pPr>
      <w:keepNext/>
      <w:keepLines/>
      <w:widowControl/>
      <w:spacing w:before="180" w:after="120"/>
      <w:ind w:left="720"/>
    </w:pPr>
    <w:rPr>
      <w:rFonts w:ascii="仿宋_GB2312" w:eastAsia="仿宋_GB2312"/>
      <w:kern w:val="0"/>
      <w:sz w:val="24"/>
      <w:lang w:val="en-GB" w:eastAsia="en-US"/>
    </w:rPr>
  </w:style>
  <w:style w:type="paragraph" w:customStyle="1" w:styleId="232">
    <w:name w:val="标题6"/>
    <w:basedOn w:val="1"/>
    <w:next w:val="5"/>
    <w:autoRedefine/>
    <w:qFormat/>
    <w:uiPriority w:val="0"/>
    <w:pPr>
      <w:widowControl/>
      <w:snapToGrid w:val="0"/>
      <w:spacing w:beforeLines="50" w:afterLines="50" w:line="520" w:lineRule="atLeast"/>
      <w:ind w:firstLine="200" w:firstLineChars="200"/>
    </w:pPr>
    <w:rPr>
      <w:rFonts w:cs="Arial"/>
      <w:b/>
      <w:sz w:val="24"/>
      <w:szCs w:val="24"/>
    </w:rPr>
  </w:style>
  <w:style w:type="paragraph" w:customStyle="1" w:styleId="233">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34">
    <w:name w:val="Head2"/>
    <w:autoRedefine/>
    <w:qFormat/>
    <w:uiPriority w:val="0"/>
    <w:pPr>
      <w:numPr>
        <w:ilvl w:val="2"/>
        <w:numId w:val="1"/>
      </w:numPr>
      <w:tabs>
        <w:tab w:val="left" w:pos="576"/>
      </w:tabs>
      <w:spacing w:before="28" w:after="28"/>
      <w:outlineLvl w:val="2"/>
    </w:pPr>
    <w:rPr>
      <w:rFonts w:ascii="Arial" w:hAnsi="Arial" w:eastAsia="宋体" w:cs="Times New Roman"/>
      <w:b/>
      <w:lang w:val="en-US" w:eastAsia="en-US" w:bidi="ar-SA"/>
    </w:rPr>
  </w:style>
  <w:style w:type="paragraph" w:customStyle="1" w:styleId="235">
    <w:name w:val="BodyText"/>
    <w:basedOn w:val="1"/>
    <w:autoRedefine/>
    <w:qFormat/>
    <w:uiPriority w:val="0"/>
    <w:pPr>
      <w:widowControl/>
      <w:spacing w:after="120"/>
      <w:jc w:val="left"/>
    </w:pPr>
    <w:rPr>
      <w:rFonts w:ascii="FuturaA Bk BT" w:hAnsi="FuturaA Bk BT" w:eastAsia="仿宋_GB2312"/>
      <w:kern w:val="0"/>
      <w:sz w:val="20"/>
    </w:rPr>
  </w:style>
  <w:style w:type="paragraph" w:customStyle="1" w:styleId="236">
    <w:name w:val="标题3"/>
    <w:basedOn w:val="1"/>
    <w:next w:val="1"/>
    <w:autoRedefine/>
    <w:qFormat/>
    <w:uiPriority w:val="0"/>
    <w:pPr>
      <w:keepNext/>
      <w:keepLines/>
      <w:spacing w:beforeLines="50" w:afterLines="50" w:line="360" w:lineRule="auto"/>
      <w:outlineLvl w:val="2"/>
    </w:pPr>
    <w:rPr>
      <w:rFonts w:ascii="仿宋_GB2312" w:eastAsia="仿宋_GB2312"/>
      <w:b/>
      <w:sz w:val="28"/>
      <w:szCs w:val="28"/>
    </w:rPr>
  </w:style>
  <w:style w:type="paragraph" w:customStyle="1" w:styleId="237">
    <w:name w:val="Char11"/>
    <w:basedOn w:val="1"/>
    <w:autoRedefine/>
    <w:qFormat/>
    <w:uiPriority w:val="0"/>
    <w:rPr>
      <w:rFonts w:ascii="仿宋_GB2312" w:eastAsia="仿宋_GB2312"/>
      <w:b/>
      <w:sz w:val="32"/>
      <w:szCs w:val="32"/>
    </w:rPr>
  </w:style>
  <w:style w:type="paragraph" w:customStyle="1" w:styleId="238">
    <w:name w:val="条目2"/>
    <w:basedOn w:val="33"/>
    <w:autoRedefine/>
    <w:qFormat/>
    <w:uiPriority w:val="0"/>
    <w:pPr>
      <w:numPr>
        <w:ilvl w:val="0"/>
        <w:numId w:val="11"/>
      </w:numPr>
      <w:tabs>
        <w:tab w:val="left" w:pos="420"/>
      </w:tabs>
      <w:spacing w:line="360" w:lineRule="auto"/>
    </w:pPr>
    <w:rPr>
      <w:rFonts w:cs="Courier New"/>
      <w:color w:val="000000"/>
      <w:sz w:val="24"/>
      <w:szCs w:val="21"/>
    </w:rPr>
  </w:style>
  <w:style w:type="paragraph" w:customStyle="1" w:styleId="239">
    <w:name w:val="样式1"/>
    <w:basedOn w:val="6"/>
    <w:autoRedefine/>
    <w:qFormat/>
    <w:uiPriority w:val="0"/>
    <w:pPr>
      <w:spacing w:line="415" w:lineRule="auto"/>
      <w:jc w:val="center"/>
    </w:pPr>
    <w:rPr>
      <w:rFonts w:ascii="宋体" w:hAnsi="宋体"/>
      <w:sz w:val="36"/>
      <w:szCs w:val="36"/>
    </w:rPr>
  </w:style>
  <w:style w:type="paragraph" w:customStyle="1" w:styleId="240">
    <w:name w:val="p18"/>
    <w:basedOn w:val="1"/>
    <w:autoRedefine/>
    <w:qFormat/>
    <w:uiPriority w:val="0"/>
    <w:pPr>
      <w:widowControl/>
      <w:spacing w:before="156" w:after="156" w:line="400" w:lineRule="atLeast"/>
    </w:pPr>
    <w:rPr>
      <w:rFonts w:ascii="宋体" w:hAnsi="宋体" w:cs="宋体"/>
      <w:kern w:val="0"/>
      <w:sz w:val="24"/>
      <w:szCs w:val="24"/>
    </w:rPr>
  </w:style>
  <w:style w:type="paragraph" w:customStyle="1" w:styleId="241">
    <w:name w:val="Char1 Char Char Char Char Char Char"/>
    <w:basedOn w:val="1"/>
    <w:autoRedefine/>
    <w:qFormat/>
    <w:uiPriority w:val="0"/>
    <w:pPr>
      <w:adjustRightInd w:val="0"/>
    </w:pPr>
    <w:rPr>
      <w:rFonts w:ascii="Tahoma" w:hAnsi="Tahoma"/>
      <w:sz w:val="24"/>
    </w:rPr>
  </w:style>
  <w:style w:type="paragraph" w:customStyle="1" w:styleId="242">
    <w:name w:val="Char2"/>
    <w:basedOn w:val="1"/>
    <w:autoRedefine/>
    <w:qFormat/>
    <w:uiPriority w:val="0"/>
    <w:rPr>
      <w:rFonts w:ascii="仿宋_GB2312" w:eastAsia="仿宋_GB2312"/>
      <w:b/>
      <w:sz w:val="32"/>
      <w:szCs w:val="32"/>
    </w:rPr>
  </w:style>
  <w:style w:type="paragraph" w:customStyle="1" w:styleId="243">
    <w:name w:val="Char1"/>
    <w:basedOn w:val="1"/>
    <w:autoRedefine/>
    <w:qFormat/>
    <w:uiPriority w:val="0"/>
    <w:rPr>
      <w:rFonts w:ascii="仿宋_GB2312" w:eastAsia="仿宋_GB2312"/>
      <w:b/>
      <w:sz w:val="32"/>
      <w:szCs w:val="32"/>
    </w:rPr>
  </w:style>
  <w:style w:type="paragraph" w:customStyle="1" w:styleId="244">
    <w:name w:val="小条目 Char Char"/>
    <w:basedOn w:val="1"/>
    <w:autoRedefine/>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245">
    <w:name w:val="样式 样式1 + 加粗 行距: 固定值 20 磅"/>
    <w:basedOn w:val="239"/>
    <w:autoRedefine/>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246">
    <w:name w:val="标题3正文"/>
    <w:basedOn w:val="1"/>
    <w:autoRedefine/>
    <w:qFormat/>
    <w:uiPriority w:val="0"/>
    <w:pPr>
      <w:snapToGrid w:val="0"/>
      <w:spacing w:line="360" w:lineRule="auto"/>
      <w:ind w:firstLine="480" w:firstLineChars="200"/>
    </w:pPr>
    <w:rPr>
      <w:sz w:val="24"/>
      <w:szCs w:val="24"/>
    </w:rPr>
  </w:style>
  <w:style w:type="paragraph" w:customStyle="1" w:styleId="247">
    <w:name w:val="简单回函地址"/>
    <w:basedOn w:val="1"/>
    <w:autoRedefine/>
    <w:qFormat/>
    <w:uiPriority w:val="0"/>
    <w:rPr>
      <w:rFonts w:ascii="宋体" w:hAnsi="宋体" w:eastAsia="仿宋_GB2312"/>
      <w:color w:val="000000"/>
      <w:sz w:val="28"/>
      <w:szCs w:val="21"/>
    </w:rPr>
  </w:style>
  <w:style w:type="paragraph" w:customStyle="1" w:styleId="248">
    <w:name w:val="正文文本 21"/>
    <w:basedOn w:val="1"/>
    <w:autoRedefine/>
    <w:qFormat/>
    <w:uiPriority w:val="0"/>
    <w:pPr>
      <w:adjustRightInd w:val="0"/>
      <w:spacing w:line="300" w:lineRule="auto"/>
      <w:jc w:val="center"/>
    </w:pPr>
    <w:rPr>
      <w:rFonts w:hint="eastAsia" w:ascii="宋体" w:hAnsi="宋体"/>
      <w:sz w:val="24"/>
    </w:rPr>
  </w:style>
  <w:style w:type="paragraph" w:customStyle="1" w:styleId="249">
    <w:name w:val="Tabletext"/>
    <w:basedOn w:val="1"/>
    <w:autoRedefine/>
    <w:qFormat/>
    <w:uiPriority w:val="0"/>
    <w:pPr>
      <w:keepLines/>
      <w:spacing w:after="120" w:line="240" w:lineRule="atLeast"/>
      <w:jc w:val="left"/>
    </w:pPr>
    <w:rPr>
      <w:rFonts w:ascii="仿宋_GB2312" w:eastAsia="仿宋_GB2312"/>
      <w:kern w:val="0"/>
      <w:sz w:val="24"/>
      <w:lang w:eastAsia="en-US"/>
    </w:rPr>
  </w:style>
  <w:style w:type="paragraph" w:customStyle="1" w:styleId="250">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styleId="251">
    <w:name w:val="List Paragraph"/>
    <w:basedOn w:val="1"/>
    <w:autoRedefine/>
    <w:qFormat/>
    <w:uiPriority w:val="0"/>
    <w:pPr>
      <w:ind w:firstLine="420" w:firstLineChars="200"/>
    </w:pPr>
    <w:rPr>
      <w:rFonts w:ascii="Calibri" w:hAnsi="Calibri" w:eastAsia="仿宋_GB2312"/>
      <w:sz w:val="28"/>
      <w:szCs w:val="22"/>
    </w:rPr>
  </w:style>
  <w:style w:type="paragraph" w:customStyle="1" w:styleId="252">
    <w:name w:val="正文（缩进）"/>
    <w:basedOn w:val="1"/>
    <w:autoRedefine/>
    <w:qFormat/>
    <w:uiPriority w:val="0"/>
    <w:pPr>
      <w:spacing w:beforeLines="50" w:afterLines="50" w:line="360" w:lineRule="auto"/>
      <w:ind w:firstLine="480" w:firstLineChars="200"/>
    </w:pPr>
    <w:rPr>
      <w:rFonts w:ascii="仿宋_GB2312" w:eastAsia="仿宋_GB2312"/>
      <w:sz w:val="24"/>
      <w:szCs w:val="28"/>
    </w:rPr>
  </w:style>
  <w:style w:type="paragraph" w:customStyle="1" w:styleId="253">
    <w:name w:val="Char12"/>
    <w:basedOn w:val="1"/>
    <w:autoRedefine/>
    <w:qFormat/>
    <w:uiPriority w:val="0"/>
    <w:rPr>
      <w:rFonts w:ascii="Tahoma" w:hAnsi="Tahoma" w:eastAsia="仿宋_GB2312"/>
      <w:sz w:val="24"/>
    </w:rPr>
  </w:style>
  <w:style w:type="paragraph" w:customStyle="1" w:styleId="254">
    <w:name w:val="p2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5">
    <w:name w:val="标题四正文"/>
    <w:basedOn w:val="1"/>
    <w:autoRedefine/>
    <w:qFormat/>
    <w:uiPriority w:val="0"/>
    <w:pPr>
      <w:snapToGrid w:val="0"/>
      <w:spacing w:line="360" w:lineRule="auto"/>
      <w:ind w:firstLine="480" w:firstLineChars="200"/>
      <w:jc w:val="left"/>
    </w:pPr>
    <w:rPr>
      <w:rFonts w:ascii="宋体" w:hAnsi="宋体"/>
      <w:kern w:val="0"/>
      <w:sz w:val="24"/>
      <w:szCs w:val="24"/>
    </w:rPr>
  </w:style>
  <w:style w:type="paragraph" w:customStyle="1" w:styleId="256">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57">
    <w:name w:val="xl48"/>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258">
    <w:name w:val="RFI Heading 4th Level"/>
    <w:basedOn w:val="193"/>
    <w:autoRedefine/>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59">
    <w:name w:val="1.1 Header2"/>
    <w:basedOn w:val="1"/>
    <w:autoRedefine/>
    <w:qFormat/>
    <w:uiPriority w:val="0"/>
    <w:pPr>
      <w:widowControl/>
      <w:jc w:val="left"/>
    </w:pPr>
    <w:rPr>
      <w:rFonts w:ascii="宋体" w:hAnsi="宋体" w:eastAsia="仿宋_GB2312"/>
      <w:color w:val="000000"/>
      <w:kern w:val="0"/>
      <w:sz w:val="24"/>
      <w:szCs w:val="21"/>
    </w:rPr>
  </w:style>
  <w:style w:type="paragraph" w:customStyle="1" w:styleId="260">
    <w:name w:val="日期右"/>
    <w:basedOn w:val="36"/>
    <w:autoRedefine/>
    <w:qFormat/>
    <w:uiPriority w:val="0"/>
    <w:pPr>
      <w:spacing w:line="600" w:lineRule="exact"/>
      <w:ind w:left="0" w:leftChars="0"/>
      <w:jc w:val="right"/>
    </w:pPr>
    <w:rPr>
      <w:rFonts w:ascii="Calibri" w:hAnsi="Calibri" w:eastAsia="仿宋_GB2312"/>
      <w:sz w:val="31"/>
      <w:szCs w:val="24"/>
    </w:rPr>
  </w:style>
  <w:style w:type="paragraph" w:customStyle="1" w:styleId="261">
    <w:name w:val="方案正文-样式 小四 行距: 1.5 倍行距"/>
    <w:basedOn w:val="1"/>
    <w:qFormat/>
    <w:uiPriority w:val="0"/>
    <w:pPr>
      <w:spacing w:line="360" w:lineRule="auto"/>
      <w:ind w:firstLine="480" w:firstLineChars="200"/>
    </w:pPr>
    <w:rPr>
      <w:rFonts w:ascii="仿宋_GB2312" w:eastAsia="仿宋_GB2312"/>
      <w:sz w:val="24"/>
      <w:szCs w:val="28"/>
    </w:rPr>
  </w:style>
  <w:style w:type="paragraph" w:customStyle="1" w:styleId="262">
    <w:name w:val="Char Char Char Char"/>
    <w:basedOn w:val="1"/>
    <w:autoRedefine/>
    <w:qFormat/>
    <w:uiPriority w:val="0"/>
    <w:pPr>
      <w:widowControl/>
      <w:spacing w:line="400" w:lineRule="exact"/>
      <w:jc w:val="center"/>
    </w:pPr>
    <w:rPr>
      <w:rFonts w:ascii="Verdana" w:hAnsi="Verdana" w:eastAsia="仿宋_GB2312"/>
      <w:kern w:val="0"/>
      <w:sz w:val="28"/>
      <w:lang w:eastAsia="en-US"/>
    </w:rPr>
  </w:style>
  <w:style w:type="paragraph" w:customStyle="1" w:styleId="263">
    <w:name w:val="Char Char Char Char Char Char Char Char1 Char"/>
    <w:basedOn w:val="1"/>
    <w:autoRedefine/>
    <w:qFormat/>
    <w:uiPriority w:val="0"/>
    <w:rPr>
      <w:rFonts w:ascii="仿宋_GB2312" w:eastAsia="仿宋_GB2312"/>
      <w:sz w:val="28"/>
    </w:rPr>
  </w:style>
  <w:style w:type="paragraph" w:customStyle="1" w:styleId="264">
    <w:name w:val="Reset levels"/>
    <w:basedOn w:val="1"/>
    <w:autoRedefine/>
    <w:qFormat/>
    <w:uiPriority w:val="0"/>
    <w:pPr>
      <w:widowControl/>
      <w:ind w:left="420" w:hanging="420"/>
      <w:jc w:val="left"/>
    </w:pPr>
    <w:rPr>
      <w:rFonts w:ascii="Arial" w:hAnsi="Arial" w:eastAsia="仿宋_GB2312"/>
      <w:b/>
      <w:kern w:val="0"/>
      <w:sz w:val="24"/>
      <w:lang w:eastAsia="en-US"/>
    </w:rPr>
  </w:style>
  <w:style w:type="paragraph" w:customStyle="1" w:styleId="265">
    <w:name w:val="列表内容"/>
    <w:basedOn w:val="1"/>
    <w:next w:val="1"/>
    <w:autoRedefine/>
    <w:qFormat/>
    <w:uiPriority w:val="0"/>
    <w:pPr>
      <w:widowControl/>
      <w:tabs>
        <w:tab w:val="left" w:pos="840"/>
      </w:tabs>
      <w:ind w:left="420" w:hanging="420"/>
      <w:jc w:val="left"/>
    </w:pPr>
    <w:rPr>
      <w:rFonts w:ascii="仿宋_GB2312" w:eastAsia="仿宋_GB2312"/>
      <w:kern w:val="0"/>
      <w:sz w:val="18"/>
      <w:szCs w:val="28"/>
    </w:rPr>
  </w:style>
  <w:style w:type="paragraph" w:customStyle="1" w:styleId="266">
    <w:name w:val="TOC 标题1"/>
    <w:basedOn w:val="5"/>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7">
    <w:name w:val="标题2正文 Char"/>
    <w:basedOn w:val="1"/>
    <w:qFormat/>
    <w:uiPriority w:val="0"/>
    <w:pPr>
      <w:snapToGrid w:val="0"/>
      <w:spacing w:line="360" w:lineRule="auto"/>
      <w:ind w:firstLine="480" w:firstLineChars="200"/>
    </w:pPr>
    <w:rPr>
      <w:sz w:val="24"/>
      <w:szCs w:val="24"/>
    </w:rPr>
  </w:style>
  <w:style w:type="paragraph" w:customStyle="1" w:styleId="268">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paragraph" w:customStyle="1" w:styleId="269">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270">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271">
    <w:name w:val="文档正文"/>
    <w:basedOn w:val="1"/>
    <w:autoRedefine/>
    <w:qFormat/>
    <w:uiPriority w:val="0"/>
    <w:rPr>
      <w:rFonts w:ascii="Arial" w:hAnsi="Arial" w:eastAsia="仿宋_GB2312" w:cs="Arial"/>
      <w:bCs/>
      <w:sz w:val="24"/>
      <w:szCs w:val="28"/>
    </w:rPr>
  </w:style>
  <w:style w:type="paragraph" w:customStyle="1" w:styleId="272">
    <w:name w:val="Default Text:1"/>
    <w:basedOn w:val="1"/>
    <w:autoRedefine/>
    <w:qFormat/>
    <w:uiPriority w:val="0"/>
    <w:pPr>
      <w:widowControl/>
      <w:jc w:val="left"/>
    </w:pPr>
    <w:rPr>
      <w:rFonts w:ascii="Tahoma" w:hAnsi="Tahoma" w:eastAsia="仿宋_GB2312" w:cs="Tahoma"/>
      <w:kern w:val="0"/>
      <w:sz w:val="24"/>
      <w:szCs w:val="28"/>
      <w:lang w:eastAsia="en-US"/>
    </w:rPr>
  </w:style>
  <w:style w:type="paragraph" w:customStyle="1" w:styleId="273">
    <w:name w:val="Style Heading 3 + 11 pt Line spacing:  1.5 lines"/>
    <w:basedOn w:val="7"/>
    <w:autoRedefine/>
    <w:qFormat/>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274">
    <w:name w:val="RFI Bullet 1st Level"/>
    <w:basedOn w:val="1"/>
    <w:autoRedefine/>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275">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Level 6: (i)"/>
    <w:basedOn w:val="1"/>
    <w:qFormat/>
    <w:uiPriority w:val="0"/>
    <w:pPr>
      <w:widowControl/>
      <w:numPr>
        <w:ilvl w:val="8"/>
        <w:numId w:val="1"/>
      </w:numPr>
      <w:tabs>
        <w:tab w:val="left" w:pos="2160"/>
      </w:tabs>
      <w:spacing w:before="72" w:after="72"/>
      <w:outlineLvl w:val="8"/>
    </w:pPr>
    <w:rPr>
      <w:rFonts w:ascii="Arial" w:hAnsi="Arial" w:eastAsia="仿宋_GB2312"/>
      <w:kern w:val="0"/>
      <w:sz w:val="20"/>
      <w:lang w:eastAsia="en-US"/>
    </w:rPr>
  </w:style>
  <w:style w:type="paragraph" w:styleId="277">
    <w:name w:val="No Spacing"/>
    <w:autoRedefine/>
    <w:qFormat/>
    <w:uiPriority w:val="0"/>
    <w:rPr>
      <w:rFonts w:ascii="Calibri" w:hAnsi="Calibri" w:eastAsia="宋体" w:cs="Times New Roman"/>
      <w:sz w:val="22"/>
      <w:szCs w:val="22"/>
      <w:lang w:val="en-US" w:eastAsia="en-US" w:bidi="en-US"/>
    </w:rPr>
  </w:style>
  <w:style w:type="paragraph" w:customStyle="1" w:styleId="278">
    <w:name w:val="kx"/>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9">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80">
    <w:name w:val="Default Text"/>
    <w:basedOn w:val="1"/>
    <w:autoRedefine/>
    <w:qFormat/>
    <w:uiPriority w:val="0"/>
    <w:pPr>
      <w:widowControl/>
      <w:jc w:val="left"/>
    </w:pPr>
    <w:rPr>
      <w:rFonts w:ascii="Tahoma" w:hAnsi="Tahoma" w:eastAsia="仿宋_GB2312" w:cs="Tahoma"/>
      <w:kern w:val="0"/>
      <w:sz w:val="24"/>
      <w:szCs w:val="28"/>
      <w:lang w:eastAsia="en-US"/>
    </w:rPr>
  </w:style>
  <w:style w:type="paragraph" w:customStyle="1" w:styleId="281">
    <w:name w:val="Style Heading 3 + Line spacing:  1.5 lines"/>
    <w:basedOn w:val="7"/>
    <w:autoRedefine/>
    <w:qFormat/>
    <w:uiPriority w:val="0"/>
    <w:pPr>
      <w:keepLines w:val="0"/>
      <w:widowControl/>
      <w:numPr>
        <w:ilvl w:val="2"/>
        <w:numId w:val="12"/>
      </w:numPr>
      <w:tabs>
        <w:tab w:val="left" w:pos="1152"/>
        <w:tab w:val="left" w:pos="1680"/>
      </w:tabs>
      <w:spacing w:before="0" w:after="0" w:line="360" w:lineRule="auto"/>
      <w:ind w:left="236" w:leftChars="236"/>
    </w:pPr>
    <w:rPr>
      <w:rFonts w:ascii="仿宋_GB2312" w:eastAsia="黑体"/>
      <w:sz w:val="28"/>
      <w:szCs w:val="28"/>
    </w:rPr>
  </w:style>
  <w:style w:type="paragraph" w:customStyle="1" w:styleId="282">
    <w:name w:val="Char21"/>
    <w:basedOn w:val="1"/>
    <w:autoRedefine/>
    <w:qFormat/>
    <w:uiPriority w:val="0"/>
    <w:rPr>
      <w:rFonts w:ascii="仿宋_GB2312" w:eastAsia="仿宋_GB2312"/>
      <w:b/>
      <w:sz w:val="32"/>
      <w:szCs w:val="32"/>
    </w:rPr>
  </w:style>
  <w:style w:type="paragraph" w:customStyle="1" w:styleId="283">
    <w:name w:val="www正文"/>
    <w:basedOn w:val="1"/>
    <w:autoRedefine/>
    <w:qFormat/>
    <w:uiPriority w:val="0"/>
    <w:pPr>
      <w:ind w:firstLine="480" w:firstLineChars="200"/>
    </w:pPr>
    <w:rPr>
      <w:rFonts w:ascii="仿宋_GB2312" w:eastAsia="仿宋_GB2312"/>
      <w:sz w:val="24"/>
      <w:szCs w:val="28"/>
    </w:rPr>
  </w:style>
  <w:style w:type="paragraph" w:customStyle="1" w:styleId="284">
    <w:name w:val="标题2正文"/>
    <w:basedOn w:val="1"/>
    <w:autoRedefine/>
    <w:qFormat/>
    <w:uiPriority w:val="0"/>
    <w:pPr>
      <w:snapToGrid w:val="0"/>
      <w:spacing w:line="360" w:lineRule="auto"/>
      <w:ind w:firstLine="480" w:firstLineChars="200"/>
    </w:pPr>
    <w:rPr>
      <w:sz w:val="24"/>
      <w:szCs w:val="24"/>
    </w:rPr>
  </w:style>
  <w:style w:type="paragraph" w:customStyle="1" w:styleId="285">
    <w:name w:val="项目符号2"/>
    <w:basedOn w:val="1"/>
    <w:autoRedefine/>
    <w:qFormat/>
    <w:uiPriority w:val="0"/>
    <w:pPr>
      <w:tabs>
        <w:tab w:val="left" w:pos="2591"/>
      </w:tabs>
      <w:snapToGrid w:val="0"/>
      <w:spacing w:line="300" w:lineRule="auto"/>
      <w:ind w:left="2155" w:hanging="284"/>
    </w:pPr>
    <w:rPr>
      <w:rFonts w:ascii="宋体" w:eastAsia="仿宋_GB2312"/>
      <w:sz w:val="24"/>
    </w:rPr>
  </w:style>
  <w:style w:type="paragraph" w:customStyle="1" w:styleId="286">
    <w:name w:val="Style Left:  0.81&quot; First line:  0&quot; Line spacing:  1.5 lines Char"/>
    <w:basedOn w:val="1"/>
    <w:autoRedefine/>
    <w:qFormat/>
    <w:uiPriority w:val="0"/>
    <w:pPr>
      <w:widowControl/>
      <w:spacing w:line="360" w:lineRule="auto"/>
      <w:ind w:left="1152"/>
    </w:pPr>
    <w:rPr>
      <w:rFonts w:ascii="仿宋_GB2312" w:eastAsia="仿宋_GB2312"/>
      <w:kern w:val="0"/>
      <w:sz w:val="24"/>
      <w:lang w:eastAsia="en-US"/>
    </w:rPr>
  </w:style>
  <w:style w:type="paragraph" w:customStyle="1" w:styleId="287">
    <w:name w:val="Char1 Char Char Char1"/>
    <w:basedOn w:val="1"/>
    <w:qFormat/>
    <w:uiPriority w:val="0"/>
    <w:pPr>
      <w:ind w:left="420" w:hanging="420"/>
    </w:pPr>
    <w:rPr>
      <w:rFonts w:ascii="仿宋_GB2312" w:eastAsia="仿宋_GB2312"/>
      <w:sz w:val="24"/>
      <w:szCs w:val="28"/>
    </w:rPr>
  </w:style>
  <w:style w:type="paragraph" w:customStyle="1" w:styleId="288">
    <w:name w:val="Level 1: a."/>
    <w:autoRedefine/>
    <w:qFormat/>
    <w:uiPriority w:val="0"/>
    <w:pPr>
      <w:numPr>
        <w:ilvl w:val="3"/>
        <w:numId w:val="1"/>
      </w:numPr>
      <w:tabs>
        <w:tab w:val="left" w:pos="360"/>
      </w:tabs>
      <w:spacing w:before="72" w:after="72"/>
      <w:jc w:val="both"/>
      <w:outlineLvl w:val="3"/>
    </w:pPr>
    <w:rPr>
      <w:rFonts w:ascii="Arial" w:hAnsi="Arial" w:eastAsia="宋体" w:cs="Times New Roman"/>
      <w:lang w:val="en-US" w:eastAsia="en-US" w:bidi="ar-SA"/>
    </w:rPr>
  </w:style>
  <w:style w:type="paragraph" w:customStyle="1" w:styleId="289">
    <w:name w:val="1.1.1Head2"/>
    <w:autoRedefine/>
    <w:qFormat/>
    <w:uiPriority w:val="0"/>
    <w:pPr>
      <w:numPr>
        <w:ilvl w:val="2"/>
        <w:numId w:val="13"/>
      </w:numPr>
      <w:tabs>
        <w:tab w:val="left" w:pos="2880"/>
      </w:tabs>
      <w:spacing w:before="28" w:after="28"/>
      <w:outlineLvl w:val="2"/>
    </w:pPr>
    <w:rPr>
      <w:rFonts w:ascii="Arial" w:hAnsi="Arial" w:eastAsia="宋体" w:cs="Times New Roman"/>
      <w:b/>
      <w:lang w:val="en-US" w:eastAsia="en-US" w:bidi="ar-SA"/>
    </w:rPr>
  </w:style>
  <w:style w:type="paragraph" w:customStyle="1" w:styleId="290">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91">
    <w:name w:val="Level 5: (1)"/>
    <w:basedOn w:val="1"/>
    <w:autoRedefine/>
    <w:qFormat/>
    <w:uiPriority w:val="0"/>
    <w:pPr>
      <w:widowControl/>
      <w:numPr>
        <w:ilvl w:val="7"/>
        <w:numId w:val="1"/>
      </w:numPr>
      <w:tabs>
        <w:tab w:val="left" w:pos="1800"/>
      </w:tabs>
      <w:spacing w:before="72" w:after="72"/>
      <w:outlineLvl w:val="7"/>
    </w:pPr>
    <w:rPr>
      <w:rFonts w:ascii="Arial" w:hAnsi="Arial" w:eastAsia="仿宋_GB2312"/>
      <w:kern w:val="0"/>
      <w:sz w:val="20"/>
      <w:lang w:eastAsia="en-US"/>
    </w:rPr>
  </w:style>
  <w:style w:type="paragraph" w:customStyle="1" w:styleId="292">
    <w:name w:val="正文段"/>
    <w:basedOn w:val="1"/>
    <w:autoRedefine/>
    <w:qFormat/>
    <w:uiPriority w:val="0"/>
    <w:pPr>
      <w:widowControl/>
      <w:snapToGrid w:val="0"/>
      <w:spacing w:afterLines="50"/>
      <w:ind w:firstLine="200" w:firstLineChars="200"/>
    </w:pPr>
    <w:rPr>
      <w:kern w:val="0"/>
      <w:sz w:val="24"/>
    </w:rPr>
  </w:style>
  <w:style w:type="paragraph" w:customStyle="1" w:styleId="293">
    <w:name w:val="金保标题正文"/>
    <w:autoRedefine/>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94">
    <w:name w:val="Char Char Char Char Char Char Char Char1 Char1"/>
    <w:basedOn w:val="1"/>
    <w:autoRedefine/>
    <w:qFormat/>
    <w:uiPriority w:val="0"/>
    <w:rPr>
      <w:rFonts w:ascii="仿宋_GB2312" w:eastAsia="仿宋_GB2312"/>
      <w:sz w:val="28"/>
    </w:rPr>
  </w:style>
  <w:style w:type="paragraph" w:customStyle="1" w:styleId="295">
    <w:name w:val="Table Text"/>
    <w:basedOn w:val="1"/>
    <w:autoRedefine/>
    <w:qFormat/>
    <w:uiPriority w:val="0"/>
    <w:pPr>
      <w:widowControl/>
      <w:spacing w:before="60" w:after="60"/>
      <w:jc w:val="left"/>
    </w:pPr>
    <w:rPr>
      <w:kern w:val="0"/>
      <w:szCs w:val="24"/>
    </w:rPr>
  </w:style>
  <w:style w:type="paragraph" w:customStyle="1" w:styleId="296">
    <w:name w:val="Char1 Char Char Char Char Char Char Char Char Char Char Char Char Char Char Char"/>
    <w:basedOn w:val="1"/>
    <w:qFormat/>
    <w:uiPriority w:val="0"/>
    <w:rPr>
      <w:szCs w:val="24"/>
    </w:rPr>
  </w:style>
  <w:style w:type="paragraph" w:customStyle="1" w:styleId="297">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298">
    <w:name w:val="op_mapdots_left"/>
    <w:basedOn w:val="1"/>
    <w:autoRedefine/>
    <w:qFormat/>
    <w:uiPriority w:val="0"/>
  </w:style>
  <w:style w:type="paragraph" w:customStyle="1" w:styleId="299">
    <w:name w:val="正文_1_0"/>
    <w:qFormat/>
    <w:uiPriority w:val="1"/>
    <w:pPr>
      <w:jc w:val="both"/>
    </w:pPr>
    <w:rPr>
      <w:rFonts w:ascii="Calibri" w:hAnsi="Calibri" w:eastAsia="宋体" w:cs="Times New Roman"/>
      <w:sz w:val="21"/>
      <w:szCs w:val="21"/>
      <w:lang w:val="en-US" w:eastAsia="zh-CN" w:bidi="ar-SA"/>
    </w:rPr>
  </w:style>
  <w:style w:type="character" w:customStyle="1" w:styleId="300">
    <w:name w:val="NormalCharacter"/>
    <w:autoRedefine/>
    <w:semiHidden/>
    <w:qFormat/>
    <w:uiPriority w:val="0"/>
    <w:rPr>
      <w:kern w:val="2"/>
      <w:sz w:val="21"/>
      <w:szCs w:val="24"/>
      <w:lang w:val="en-US" w:eastAsia="zh-CN" w:bidi="ar-SA"/>
    </w:rPr>
  </w:style>
  <w:style w:type="paragraph" w:customStyle="1" w:styleId="301">
    <w:name w:val="Table Paragraph"/>
    <w:basedOn w:val="1"/>
    <w:autoRedefine/>
    <w:qFormat/>
    <w:uiPriority w:val="0"/>
    <w:rPr>
      <w:rFonts w:ascii="Times New Roman" w:hAnsi="Times New Roman" w:eastAsia="宋体" w:cs="Times New Roman"/>
    </w:rPr>
  </w:style>
  <w:style w:type="character" w:customStyle="1" w:styleId="302">
    <w:name w:val="font31"/>
    <w:basedOn w:val="66"/>
    <w:autoRedefine/>
    <w:qFormat/>
    <w:uiPriority w:val="0"/>
    <w:rPr>
      <w:rFonts w:hint="eastAsia" w:ascii="仿宋" w:hAnsi="仿宋" w:eastAsia="仿宋" w:cs="仿宋"/>
      <w:color w:val="000000"/>
      <w:sz w:val="24"/>
      <w:szCs w:val="24"/>
      <w:u w:val="none"/>
    </w:rPr>
  </w:style>
  <w:style w:type="character" w:customStyle="1" w:styleId="303">
    <w:name w:val="font41"/>
    <w:basedOn w:val="66"/>
    <w:qFormat/>
    <w:uiPriority w:val="0"/>
    <w:rPr>
      <w:rFonts w:hint="eastAsia" w:ascii="宋体" w:hAnsi="宋体" w:eastAsia="宋体" w:cs="宋体"/>
      <w:color w:val="FF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衢州市政府采购中心</Company>
  <Pages>28</Pages>
  <Words>1802</Words>
  <Characters>2063</Characters>
  <Lines>41</Lines>
  <Paragraphs>36</Paragraphs>
  <TotalTime>46</TotalTime>
  <ScaleCrop>false</ScaleCrop>
  <LinksUpToDate>false</LinksUpToDate>
  <CharactersWithSpaces>2294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2019-12-18T01:45:00Z</dcterms:created>
  <dc:creator>W</dc:creator>
  <cp:lastModifiedBy>Administrator</cp:lastModifiedBy>
  <cp:lastPrinted>2024-01-04T08:15:00Z</cp:lastPrinted>
  <dcterms:modified xsi:type="dcterms:W3CDTF">2025-01-09T15:12:55Z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80D605ACD4E145DCBDF3402E4126E641_13</vt:lpwstr>
  </property>
  <property fmtid="{D5CDD505-2E9C-101B-9397-08002B2CF9AE}" pid="4" name="KSOTemplateDocerSaveRecord">
    <vt:lpwstr>eyJoZGlkIjoiYTQzNjhlNDVhOThiNDUwMjI2ZTE2ZjliMmE3YzJhYjMifQ==</vt:lpwstr>
  </property>
</Properties>
</file>