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0" w:rightChars="0"/>
        <w:jc w:val="center"/>
        <w:rPr>
          <w:rFonts w:hint="eastAsia" w:ascii="宋体"/>
          <w:b/>
          <w:kern w:val="0"/>
          <w:sz w:val="52"/>
          <w:szCs w:val="52"/>
        </w:rPr>
      </w:pPr>
      <w:r>
        <w:rPr>
          <w:rFonts w:hint="eastAsia" w:ascii="宋体"/>
          <w:b/>
          <w:color w:val="auto"/>
          <w:kern w:val="0"/>
          <w:sz w:val="52"/>
          <w:szCs w:val="52"/>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6" cstate="print"/>
                    <a:stretch>
                      <a:fillRect/>
                    </a:stretch>
                  </pic:blipFill>
                  <pic:spPr>
                    <a:xfrm>
                      <a:off x="0" y="0"/>
                      <a:ext cx="562610" cy="560070"/>
                    </a:xfrm>
                    <a:prstGeom prst="rect">
                      <a:avLst/>
                    </a:prstGeom>
                  </pic:spPr>
                </pic:pic>
              </a:graphicData>
            </a:graphic>
          </wp:inline>
        </w:drawing>
      </w:r>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ascii="宋体"/>
          <w:b/>
          <w:kern w:val="0"/>
          <w:sz w:val="52"/>
          <w:szCs w:val="52"/>
        </w:rPr>
      </w:pPr>
      <w:r>
        <w:rPr>
          <w:rFonts w:hint="eastAsia" w:ascii="宋体"/>
          <w:b/>
          <w:kern w:val="0"/>
          <w:sz w:val="52"/>
          <w:szCs w:val="52"/>
          <w:lang w:val="en-US" w:eastAsia="zh-CN"/>
        </w:rPr>
        <w:t>台州市</w:t>
      </w:r>
      <w:r>
        <w:rPr>
          <w:rFonts w:hint="eastAsia" w:ascii="宋体"/>
          <w:b/>
          <w:kern w:val="0"/>
          <w:sz w:val="52"/>
          <w:szCs w:val="52"/>
        </w:rPr>
        <w:t>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0" w:rightChars="0"/>
        <w:jc w:val="center"/>
        <w:rPr>
          <w:rFonts w:ascii="宋体"/>
          <w:b/>
          <w:kern w:val="0"/>
          <w:sz w:val="32"/>
        </w:rPr>
      </w:pPr>
      <w:r>
        <w:rPr>
          <w:rFonts w:hint="eastAsia" w:ascii="宋体"/>
          <w:b/>
          <w:kern w:val="0"/>
          <w:sz w:val="32"/>
          <w:lang w:val="en-US" w:eastAsia="zh-CN"/>
        </w:rPr>
        <w:t>TZCG-2023-CF001-财政</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pPr>
        <w:autoSpaceDE w:val="0"/>
        <w:autoSpaceDN w:val="0"/>
        <w:adjustRightInd w:val="0"/>
        <w:spacing w:line="360" w:lineRule="auto"/>
        <w:rPr>
          <w:rFonts w:ascii="宋体"/>
          <w:b/>
          <w:kern w:val="0"/>
          <w:sz w:val="52"/>
          <w:szCs w:val="52"/>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jc w:val="center"/>
        <w:rPr>
          <w:rFonts w:hint="eastAsia" w:ascii="宋体" w:eastAsia="宋体"/>
          <w:kern w:val="0"/>
          <w:sz w:val="28"/>
          <w:lang w:eastAsia="zh-CN"/>
        </w:rPr>
      </w:pPr>
      <w:r>
        <w:rPr>
          <w:rFonts w:hint="eastAsia" w:ascii="宋体"/>
          <w:kern w:val="0"/>
          <w:sz w:val="28"/>
        </w:rPr>
        <w:t>采购项目：</w:t>
      </w:r>
      <w:r>
        <w:rPr>
          <w:rFonts w:hint="eastAsia" w:ascii="宋体"/>
          <w:kern w:val="0"/>
          <w:sz w:val="28"/>
          <w:lang w:val="en-US" w:eastAsia="zh-CN"/>
        </w:rPr>
        <w:t>2023年</w:t>
      </w:r>
      <w:r>
        <w:rPr>
          <w:rFonts w:hint="eastAsia" w:ascii="宋体"/>
          <w:kern w:val="0"/>
          <w:sz w:val="28"/>
        </w:rPr>
        <w:t>台州市市本级财政国库集中支付代理银行项目</w:t>
      </w:r>
    </w:p>
    <w:p>
      <w:pPr>
        <w:autoSpaceDE w:val="0"/>
        <w:autoSpaceDN w:val="0"/>
        <w:adjustRightInd w:val="0"/>
        <w:spacing w:line="360" w:lineRule="auto"/>
        <w:jc w:val="center"/>
        <w:rPr>
          <w:rFonts w:ascii="宋体"/>
          <w:kern w:val="0"/>
          <w:sz w:val="28"/>
        </w:rPr>
      </w:pPr>
      <w:r>
        <w:rPr>
          <w:rFonts w:hint="eastAsia" w:ascii="宋体"/>
          <w:kern w:val="0"/>
          <w:sz w:val="28"/>
        </w:rPr>
        <w:t>采 购 人：台州市财政局</w:t>
      </w:r>
    </w:p>
    <w:p>
      <w:pPr>
        <w:autoSpaceDE w:val="0"/>
        <w:autoSpaceDN w:val="0"/>
        <w:adjustRightInd w:val="0"/>
        <w:spacing w:line="360" w:lineRule="auto"/>
        <w:rPr>
          <w:rFonts w:ascii="宋体"/>
          <w:kern w:val="0"/>
          <w:sz w:val="28"/>
        </w:rPr>
      </w:pPr>
    </w:p>
    <w:p>
      <w:pPr>
        <w:autoSpaceDE w:val="0"/>
        <w:autoSpaceDN w:val="0"/>
        <w:adjustRightInd w:val="0"/>
        <w:spacing w:line="360" w:lineRule="auto"/>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0" w:rightChars="0"/>
        <w:jc w:val="both"/>
        <w:rPr>
          <w:rFonts w:ascii="宋体" w:hAnsi="宋体" w:cs="宋体"/>
          <w:color w:val="auto"/>
          <w:kern w:val="0"/>
          <w:sz w:val="28"/>
          <w:szCs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0" w:rightChars="0"/>
        <w:jc w:val="center"/>
        <w:rPr>
          <w:color w:val="auto"/>
        </w:rPr>
      </w:pPr>
      <w:r>
        <w:rPr>
          <w:rFonts w:hint="eastAsia" w:ascii="宋体" w:hAnsi="宋体" w:cs="宋体"/>
          <w:color w:val="auto"/>
          <w:kern w:val="0"/>
          <w:sz w:val="28"/>
          <w:szCs w:val="28"/>
          <w:lang w:val="en-US" w:eastAsia="zh-CN"/>
        </w:rPr>
        <w:t>2023</w:t>
      </w:r>
      <w:r>
        <w:rPr>
          <w:rFonts w:hint="eastAsia" w:ascii="宋体" w:hAnsi="宋体" w:cs="宋体"/>
          <w:color w:val="auto"/>
          <w:kern w:val="0"/>
          <w:sz w:val="28"/>
          <w:szCs w:val="28"/>
        </w:rPr>
        <w:t xml:space="preserve">年 </w:t>
      </w:r>
      <w:r>
        <w:rPr>
          <w:rFonts w:hint="eastAsia" w:ascii="宋体" w:hAnsi="宋体" w:cs="宋体"/>
          <w:color w:val="auto"/>
          <w:kern w:val="0"/>
          <w:sz w:val="28"/>
          <w:szCs w:val="28"/>
          <w:lang w:val="en-US" w:eastAsia="zh-CN"/>
        </w:rPr>
        <w:t>2</w:t>
      </w:r>
      <w:r>
        <w:rPr>
          <w:rFonts w:hint="eastAsia" w:ascii="宋体" w:hAnsi="宋体" w:cs="宋体"/>
          <w:color w:val="auto"/>
          <w:kern w:val="0"/>
          <w:sz w:val="28"/>
          <w:szCs w:val="28"/>
        </w:rPr>
        <w:t xml:space="preserve"> 月 </w:t>
      </w:r>
      <w:r>
        <w:rPr>
          <w:rFonts w:hint="eastAsia" w:ascii="宋体" w:hAnsi="宋体" w:cs="宋体"/>
          <w:color w:val="auto"/>
          <w:kern w:val="0"/>
          <w:sz w:val="28"/>
          <w:szCs w:val="28"/>
          <w:lang w:val="en-US" w:eastAsia="zh-CN"/>
        </w:rPr>
        <w:t>13</w:t>
      </w:r>
      <w:r>
        <w:rPr>
          <w:rFonts w:hint="eastAsia" w:ascii="宋体" w:hAnsi="宋体" w:cs="宋体"/>
          <w:color w:val="auto"/>
          <w:kern w:val="0"/>
          <w:sz w:val="28"/>
          <w:szCs w:val="28"/>
        </w:rPr>
        <w:t xml:space="preserve"> 日</w:t>
      </w:r>
    </w:p>
    <w:p>
      <w:pPr>
        <w:spacing w:line="360" w:lineRule="auto"/>
        <w:rPr>
          <w:color w:val="auto"/>
        </w:rPr>
      </w:pPr>
    </w:p>
    <w:p>
      <w:pPr>
        <w:pStyle w:val="26"/>
        <w:rPr>
          <w:color w:val="auto"/>
        </w:rPr>
      </w:pPr>
    </w:p>
    <w:sdt>
      <w:sdtPr>
        <w:rPr>
          <w:rFonts w:ascii="宋体" w:hAnsi="宋体"/>
          <w:color w:val="auto"/>
          <w:kern w:val="0"/>
          <w:sz w:val="28"/>
          <w:szCs w:val="28"/>
        </w:rPr>
        <w:id w:val="147471336"/>
        <w:docPartObj>
          <w:docPartGallery w:val="Table of Contents"/>
          <w:docPartUnique/>
        </w:docPartObj>
      </w:sdtPr>
      <w:sdtEndPr>
        <w:rPr>
          <w:rFonts w:ascii="宋体" w:hAnsi="宋体"/>
          <w:color w:val="auto"/>
          <w:kern w:val="0"/>
          <w:sz w:val="20"/>
          <w:szCs w:val="20"/>
        </w:rPr>
      </w:sdtEndPr>
      <w:sdtContent>
        <w:p>
          <w:pPr>
            <w:spacing w:line="480" w:lineRule="auto"/>
            <w:jc w:val="center"/>
            <w:rPr>
              <w:rFonts w:ascii="宋体" w:hAnsi="宋体"/>
              <w:color w:val="auto"/>
              <w:sz w:val="28"/>
              <w:szCs w:val="28"/>
            </w:rPr>
          </w:pPr>
          <w:bookmarkStart w:id="0" w:name="_Toc25017_WPSOffice_Type1"/>
        </w:p>
        <w:p>
          <w:pPr>
            <w:spacing w:line="480" w:lineRule="auto"/>
            <w:jc w:val="center"/>
            <w:rPr>
              <w:color w:val="auto"/>
              <w:sz w:val="28"/>
              <w:szCs w:val="28"/>
            </w:rPr>
          </w:pPr>
          <w:r>
            <w:rPr>
              <w:rFonts w:ascii="宋体" w:hAnsi="宋体"/>
              <w:b/>
              <w:bCs/>
              <w:color w:val="auto"/>
              <w:sz w:val="36"/>
              <w:szCs w:val="36"/>
            </w:rPr>
            <w:t>目</w:t>
          </w:r>
          <w:r>
            <w:rPr>
              <w:rFonts w:hint="eastAsia" w:ascii="宋体" w:hAnsi="宋体"/>
              <w:b/>
              <w:bCs/>
              <w:color w:val="auto"/>
              <w:sz w:val="36"/>
              <w:szCs w:val="36"/>
            </w:rPr>
            <w:t xml:space="preserve">  </w:t>
          </w:r>
          <w:r>
            <w:rPr>
              <w:rFonts w:ascii="宋体" w:hAnsi="宋体"/>
              <w:b/>
              <w:bCs/>
              <w:color w:val="auto"/>
              <w:sz w:val="36"/>
              <w:szCs w:val="36"/>
            </w:rPr>
            <w:t>录</w:t>
          </w:r>
        </w:p>
        <w:p>
          <w:pPr>
            <w:pStyle w:val="17"/>
            <w:tabs>
              <w:tab w:val="right" w:leader="dot" w:pos="8620"/>
            </w:tabs>
            <w:rPr>
              <w:rFonts w:eastAsiaTheme="minorEastAsia" w:cstheme="minorBidi"/>
              <w:color w:val="auto"/>
              <w:sz w:val="28"/>
              <w:szCs w:val="28"/>
            </w:rPr>
          </w:pPr>
          <w:r>
            <w:rPr>
              <w:rFonts w:eastAsiaTheme="minorEastAsia" w:cstheme="minorBidi"/>
              <w:color w:val="auto"/>
              <w:sz w:val="28"/>
              <w:szCs w:val="28"/>
            </w:rPr>
            <w:fldChar w:fldCharType="begin"/>
          </w:r>
          <w:r>
            <w:rPr>
              <w:rFonts w:eastAsiaTheme="minorEastAsia" w:cstheme="minorBidi"/>
              <w:color w:val="auto"/>
              <w:sz w:val="28"/>
              <w:szCs w:val="28"/>
            </w:rPr>
            <w:instrText xml:space="preserve"> HYPERLINK \l "_Toc4350_WPSOffice_Level1" </w:instrText>
          </w:r>
          <w:r>
            <w:rPr>
              <w:rFonts w:eastAsiaTheme="minorEastAsia" w:cstheme="minorBidi"/>
              <w:color w:val="auto"/>
              <w:sz w:val="28"/>
              <w:szCs w:val="28"/>
            </w:rPr>
            <w:fldChar w:fldCharType="separate"/>
          </w:r>
          <w:r>
            <w:rPr>
              <w:rFonts w:hint="eastAsia" w:eastAsiaTheme="minorEastAsia" w:cstheme="minorBidi"/>
              <w:color w:val="auto"/>
              <w:sz w:val="28"/>
              <w:szCs w:val="28"/>
            </w:rPr>
            <w:t>第一章 投标邀请</w:t>
          </w:r>
          <w:r>
            <w:rPr>
              <w:rFonts w:eastAsiaTheme="minorEastAsia" w:cstheme="minorBidi"/>
              <w:color w:val="auto"/>
              <w:sz w:val="28"/>
              <w:szCs w:val="28"/>
            </w:rPr>
            <w:tab/>
          </w:r>
          <w:bookmarkStart w:id="1" w:name="_Toc4350_WPSOffice_Level1Page"/>
          <w:r>
            <w:rPr>
              <w:rFonts w:eastAsiaTheme="minorEastAsia" w:cstheme="minorBidi"/>
              <w:color w:val="auto"/>
              <w:sz w:val="28"/>
              <w:szCs w:val="28"/>
            </w:rPr>
            <w:t>3</w:t>
          </w:r>
          <w:bookmarkEnd w:id="1"/>
          <w:r>
            <w:rPr>
              <w:rFonts w:eastAsiaTheme="minorEastAsia" w:cstheme="minorBidi"/>
              <w:color w:val="auto"/>
              <w:sz w:val="28"/>
              <w:szCs w:val="28"/>
            </w:rPr>
            <w:fldChar w:fldCharType="end"/>
          </w:r>
        </w:p>
        <w:p>
          <w:pPr>
            <w:pStyle w:val="17"/>
            <w:tabs>
              <w:tab w:val="right" w:leader="dot" w:pos="8620"/>
            </w:tabs>
            <w:rPr>
              <w:rFonts w:eastAsiaTheme="minorEastAsia" w:cstheme="minorBidi"/>
              <w:color w:val="auto"/>
              <w:sz w:val="28"/>
              <w:szCs w:val="28"/>
            </w:rPr>
          </w:pPr>
          <w:r>
            <w:rPr>
              <w:rFonts w:eastAsiaTheme="minorEastAsia" w:cstheme="minorBidi"/>
              <w:color w:val="auto"/>
              <w:sz w:val="28"/>
              <w:szCs w:val="28"/>
            </w:rPr>
            <w:fldChar w:fldCharType="begin"/>
          </w:r>
          <w:r>
            <w:rPr>
              <w:rFonts w:eastAsiaTheme="minorEastAsia" w:cstheme="minorBidi"/>
              <w:color w:val="auto"/>
              <w:sz w:val="28"/>
              <w:szCs w:val="28"/>
            </w:rPr>
            <w:instrText xml:space="preserve"> HYPERLINK \l "_Toc25017_WPSOffice_Level1" </w:instrText>
          </w:r>
          <w:r>
            <w:rPr>
              <w:rFonts w:eastAsiaTheme="minorEastAsia" w:cstheme="minorBidi"/>
              <w:color w:val="auto"/>
              <w:sz w:val="28"/>
              <w:szCs w:val="28"/>
            </w:rPr>
            <w:fldChar w:fldCharType="separate"/>
          </w:r>
          <w:r>
            <w:rPr>
              <w:rFonts w:hint="eastAsia" w:eastAsiaTheme="minorEastAsia" w:cstheme="minorBidi"/>
              <w:color w:val="auto"/>
              <w:sz w:val="28"/>
              <w:szCs w:val="28"/>
            </w:rPr>
            <w:t>第二章 投标人须知</w:t>
          </w:r>
          <w:r>
            <w:rPr>
              <w:rFonts w:eastAsiaTheme="minorEastAsia" w:cstheme="minorBidi"/>
              <w:color w:val="auto"/>
              <w:sz w:val="28"/>
              <w:szCs w:val="28"/>
            </w:rPr>
            <w:tab/>
          </w:r>
          <w:r>
            <w:rPr>
              <w:rFonts w:hint="eastAsia" w:eastAsiaTheme="minorEastAsia" w:cstheme="minorBidi"/>
              <w:color w:val="auto"/>
              <w:sz w:val="28"/>
              <w:szCs w:val="28"/>
              <w:lang w:val="en-US" w:eastAsia="zh-CN"/>
            </w:rPr>
            <w:t>6</w:t>
          </w:r>
          <w:r>
            <w:rPr>
              <w:rFonts w:hint="eastAsia" w:eastAsiaTheme="minorEastAsia" w:cstheme="minorBidi"/>
              <w:color w:val="auto"/>
              <w:sz w:val="28"/>
              <w:szCs w:val="28"/>
            </w:rPr>
            <w:fldChar w:fldCharType="end"/>
          </w:r>
        </w:p>
        <w:p>
          <w:pPr>
            <w:pStyle w:val="17"/>
            <w:tabs>
              <w:tab w:val="right" w:leader="dot" w:pos="8620"/>
            </w:tabs>
            <w:ind w:right="638" w:rightChars="304"/>
            <w:rPr>
              <w:rFonts w:hint="eastAsia" w:eastAsiaTheme="minorEastAsia" w:cstheme="minorBidi"/>
              <w:color w:val="auto"/>
              <w:sz w:val="28"/>
              <w:szCs w:val="28"/>
              <w:lang w:eastAsia="zh-CN"/>
            </w:rPr>
          </w:pPr>
          <w:r>
            <w:rPr>
              <w:rFonts w:eastAsiaTheme="minorEastAsia" w:cstheme="minorBidi"/>
              <w:color w:val="auto"/>
              <w:sz w:val="28"/>
              <w:szCs w:val="28"/>
            </w:rPr>
            <w:fldChar w:fldCharType="begin"/>
          </w:r>
          <w:r>
            <w:rPr>
              <w:rFonts w:eastAsiaTheme="minorEastAsia" w:cstheme="minorBidi"/>
              <w:color w:val="auto"/>
              <w:sz w:val="28"/>
              <w:szCs w:val="28"/>
            </w:rPr>
            <w:instrText xml:space="preserve"> HYPERLINK \l "_Toc13072_WPSOffice_Level1" </w:instrText>
          </w:r>
          <w:r>
            <w:rPr>
              <w:rFonts w:eastAsiaTheme="minorEastAsia" w:cstheme="minorBidi"/>
              <w:color w:val="auto"/>
              <w:sz w:val="28"/>
              <w:szCs w:val="28"/>
            </w:rPr>
            <w:fldChar w:fldCharType="separate"/>
          </w:r>
          <w:r>
            <w:rPr>
              <w:rFonts w:hint="eastAsia" w:eastAsiaTheme="minorEastAsia" w:cstheme="minorBidi"/>
              <w:color w:val="auto"/>
              <w:sz w:val="28"/>
              <w:szCs w:val="28"/>
            </w:rPr>
            <w:t>第三章 招标需求</w:t>
          </w:r>
          <w:r>
            <w:rPr>
              <w:rFonts w:eastAsiaTheme="minorEastAsia" w:cstheme="minorBidi"/>
              <w:color w:val="auto"/>
              <w:sz w:val="28"/>
              <w:szCs w:val="28"/>
            </w:rPr>
            <w:tab/>
          </w:r>
          <w:r>
            <w:rPr>
              <w:rFonts w:hint="eastAsia" w:eastAsiaTheme="minorEastAsia" w:cstheme="minorBidi"/>
              <w:color w:val="auto"/>
              <w:sz w:val="28"/>
              <w:szCs w:val="28"/>
            </w:rPr>
            <w:t>1</w:t>
          </w:r>
          <w:r>
            <w:rPr>
              <w:rFonts w:hint="eastAsia" w:eastAsiaTheme="minorEastAsia" w:cstheme="minorBidi"/>
              <w:color w:val="auto"/>
              <w:sz w:val="28"/>
              <w:szCs w:val="28"/>
            </w:rPr>
            <w:fldChar w:fldCharType="end"/>
          </w:r>
          <w:r>
            <w:rPr>
              <w:rFonts w:hint="eastAsia" w:eastAsiaTheme="minorEastAsia" w:cstheme="minorBidi"/>
              <w:color w:val="auto"/>
              <w:sz w:val="28"/>
              <w:szCs w:val="28"/>
              <w:lang w:val="en-US" w:eastAsia="zh-CN"/>
            </w:rPr>
            <w:t>2</w:t>
          </w:r>
        </w:p>
        <w:p>
          <w:pPr>
            <w:pStyle w:val="17"/>
            <w:tabs>
              <w:tab w:val="right" w:leader="dot" w:pos="8620"/>
            </w:tabs>
            <w:rPr>
              <w:rFonts w:hint="eastAsia" w:eastAsiaTheme="minorEastAsia" w:cstheme="minorBidi"/>
              <w:color w:val="auto"/>
              <w:sz w:val="28"/>
              <w:szCs w:val="28"/>
              <w:lang w:val="en-US" w:eastAsia="zh-CN"/>
            </w:rPr>
          </w:pPr>
          <w:r>
            <w:rPr>
              <w:rFonts w:eastAsiaTheme="minorEastAsia" w:cstheme="minorBidi"/>
              <w:color w:val="auto"/>
              <w:sz w:val="28"/>
              <w:szCs w:val="28"/>
            </w:rPr>
            <w:fldChar w:fldCharType="begin"/>
          </w:r>
          <w:r>
            <w:rPr>
              <w:rFonts w:eastAsiaTheme="minorEastAsia" w:cstheme="minorBidi"/>
              <w:color w:val="auto"/>
              <w:sz w:val="28"/>
              <w:szCs w:val="28"/>
            </w:rPr>
            <w:instrText xml:space="preserve"> HYPERLINK \l "_Toc31173_WPSOffice_Level1" </w:instrText>
          </w:r>
          <w:r>
            <w:rPr>
              <w:rFonts w:eastAsiaTheme="minorEastAsia" w:cstheme="minorBidi"/>
              <w:color w:val="auto"/>
              <w:sz w:val="28"/>
              <w:szCs w:val="28"/>
            </w:rPr>
            <w:fldChar w:fldCharType="separate"/>
          </w:r>
          <w:r>
            <w:rPr>
              <w:rFonts w:hint="eastAsia" w:eastAsiaTheme="minorEastAsia" w:cstheme="minorBidi"/>
              <w:color w:val="auto"/>
              <w:sz w:val="28"/>
              <w:szCs w:val="28"/>
            </w:rPr>
            <w:t>第四章 评标</w:t>
          </w:r>
          <w:r>
            <w:rPr>
              <w:rFonts w:eastAsiaTheme="minorEastAsia" w:cstheme="minorBidi"/>
              <w:color w:val="auto"/>
              <w:sz w:val="28"/>
              <w:szCs w:val="28"/>
            </w:rPr>
            <w:tab/>
          </w:r>
          <w:r>
            <w:rPr>
              <w:rFonts w:hint="eastAsia" w:eastAsiaTheme="minorEastAsia" w:cstheme="minorBidi"/>
              <w:color w:val="auto"/>
              <w:sz w:val="28"/>
              <w:szCs w:val="28"/>
              <w:lang w:val="en-US" w:eastAsia="zh-CN"/>
            </w:rPr>
            <w:t>1</w:t>
          </w:r>
          <w:r>
            <w:rPr>
              <w:rFonts w:eastAsiaTheme="minorEastAsia" w:cstheme="minorBidi"/>
              <w:color w:val="auto"/>
              <w:sz w:val="28"/>
              <w:szCs w:val="28"/>
            </w:rPr>
            <w:fldChar w:fldCharType="end"/>
          </w:r>
          <w:r>
            <w:rPr>
              <w:rFonts w:hint="eastAsia" w:eastAsiaTheme="minorEastAsia" w:cstheme="minorBidi"/>
              <w:color w:val="auto"/>
              <w:sz w:val="28"/>
              <w:szCs w:val="28"/>
              <w:lang w:val="en-US" w:eastAsia="zh-CN"/>
            </w:rPr>
            <w:t>5</w:t>
          </w:r>
        </w:p>
        <w:p>
          <w:pPr>
            <w:pStyle w:val="17"/>
            <w:tabs>
              <w:tab w:val="right" w:leader="dot" w:pos="8620"/>
            </w:tabs>
            <w:rPr>
              <w:color w:val="auto"/>
            </w:rPr>
          </w:pPr>
          <w:r>
            <w:rPr>
              <w:rFonts w:eastAsiaTheme="minorEastAsia" w:cstheme="minorBidi"/>
              <w:color w:val="auto"/>
              <w:sz w:val="28"/>
              <w:szCs w:val="28"/>
            </w:rPr>
            <w:fldChar w:fldCharType="begin"/>
          </w:r>
          <w:r>
            <w:rPr>
              <w:rFonts w:eastAsiaTheme="minorEastAsia" w:cstheme="minorBidi"/>
              <w:color w:val="auto"/>
              <w:sz w:val="28"/>
              <w:szCs w:val="28"/>
            </w:rPr>
            <w:instrText xml:space="preserve"> HYPERLINK \l "_Toc5481_WPSOffice_Level1" </w:instrText>
          </w:r>
          <w:r>
            <w:rPr>
              <w:rFonts w:eastAsiaTheme="minorEastAsia" w:cstheme="minorBidi"/>
              <w:color w:val="auto"/>
              <w:sz w:val="28"/>
              <w:szCs w:val="28"/>
            </w:rPr>
            <w:fldChar w:fldCharType="separate"/>
          </w:r>
          <w:r>
            <w:rPr>
              <w:rFonts w:hint="eastAsia" w:eastAsiaTheme="minorEastAsia" w:cstheme="minorBidi"/>
              <w:color w:val="auto"/>
              <w:sz w:val="28"/>
              <w:szCs w:val="28"/>
            </w:rPr>
            <w:t>第</w:t>
          </w:r>
          <w:r>
            <w:rPr>
              <w:rFonts w:hint="eastAsia" w:eastAsiaTheme="minorEastAsia" w:cstheme="minorBidi"/>
              <w:color w:val="auto"/>
              <w:sz w:val="28"/>
              <w:szCs w:val="28"/>
              <w:lang w:val="en-US" w:eastAsia="zh-CN"/>
            </w:rPr>
            <w:t>五</w:t>
          </w:r>
          <w:r>
            <w:rPr>
              <w:rFonts w:hint="eastAsia" w:eastAsiaTheme="minorEastAsia" w:cstheme="minorBidi"/>
              <w:color w:val="auto"/>
              <w:sz w:val="28"/>
              <w:szCs w:val="28"/>
            </w:rPr>
            <w:t>章 投标文件格式</w:t>
          </w:r>
          <w:r>
            <w:rPr>
              <w:rFonts w:eastAsiaTheme="minorEastAsia" w:cstheme="minorBidi"/>
              <w:color w:val="auto"/>
              <w:sz w:val="28"/>
              <w:szCs w:val="28"/>
            </w:rPr>
            <w:tab/>
          </w:r>
          <w:r>
            <w:rPr>
              <w:rFonts w:hint="eastAsia" w:eastAsiaTheme="minorEastAsia" w:cstheme="minorBidi"/>
              <w:color w:val="auto"/>
              <w:sz w:val="28"/>
              <w:szCs w:val="28"/>
              <w:lang w:val="en-US" w:eastAsia="zh-CN"/>
            </w:rPr>
            <w:t>2</w:t>
          </w:r>
          <w:r>
            <w:rPr>
              <w:rFonts w:eastAsiaTheme="minorEastAsia" w:cstheme="minorBidi"/>
              <w:color w:val="auto"/>
              <w:sz w:val="28"/>
              <w:szCs w:val="28"/>
            </w:rPr>
            <w:fldChar w:fldCharType="end"/>
          </w:r>
          <w:r>
            <w:rPr>
              <w:rFonts w:hint="eastAsia" w:eastAsiaTheme="minorEastAsia" w:cstheme="minorBidi"/>
              <w:color w:val="auto"/>
              <w:sz w:val="28"/>
              <w:szCs w:val="28"/>
              <w:lang w:val="en-US" w:eastAsia="zh-CN"/>
            </w:rPr>
            <w:t>0</w:t>
          </w:r>
        </w:p>
      </w:sdtContent>
    </w:sdt>
    <w:bookmarkEnd w:id="0"/>
    <w:p>
      <w:pPr>
        <w:spacing w:line="480" w:lineRule="auto"/>
        <w:rPr>
          <w:color w:val="auto"/>
          <w:sz w:val="28"/>
          <w:szCs w:val="28"/>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rPr>
          <w:rFonts w:asciiTheme="majorEastAsia" w:hAnsiTheme="majorEastAsia" w:eastAsiaTheme="majorEastAsia"/>
          <w:b/>
          <w:color w:val="auto"/>
          <w:sz w:val="36"/>
          <w:szCs w:val="36"/>
        </w:rPr>
      </w:pPr>
      <w:r>
        <w:rPr>
          <w:rFonts w:hint="eastAsia" w:asciiTheme="majorEastAsia" w:hAnsiTheme="majorEastAsia" w:eastAsiaTheme="majorEastAsia"/>
          <w:b/>
          <w:color w:val="auto"/>
          <w:kern w:val="0"/>
          <w:sz w:val="36"/>
          <w:szCs w:val="36"/>
        </w:rPr>
        <w:br w:type="page"/>
      </w:r>
    </w:p>
    <w:p>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sz w:val="36"/>
          <w:szCs w:val="36"/>
        </w:rPr>
      </w:pPr>
      <w:bookmarkStart w:id="2" w:name="_Toc4350_WPSOffice_Level1"/>
      <w:r>
        <w:rPr>
          <w:rFonts w:hint="eastAsia" w:ascii="宋体" w:hAnsi="宋体" w:cs="宋体"/>
          <w:b/>
          <w:color w:val="auto"/>
          <w:kern w:val="0"/>
          <w:sz w:val="36"/>
          <w:szCs w:val="36"/>
        </w:rPr>
        <w:t>投标邀请</w:t>
      </w:r>
      <w:bookmarkEnd w:id="2"/>
    </w:p>
    <w:p>
      <w:pPr>
        <w:pStyle w:val="5"/>
        <w:ind w:firstLine="480" w:firstLineChars="200"/>
        <w:rPr>
          <w:rFonts w:cs="宋体"/>
          <w:b w:val="0"/>
          <w:color w:val="auto"/>
          <w:sz w:val="24"/>
          <w:szCs w:val="24"/>
        </w:rPr>
      </w:pPr>
      <w:bookmarkStart w:id="3" w:name="_Toc28359079"/>
      <w:bookmarkStart w:id="4" w:name="_Toc35393790"/>
      <w:bookmarkStart w:id="5" w:name="_Toc28359002"/>
      <w:bookmarkStart w:id="6" w:name="_Toc35393621"/>
      <w:bookmarkStart w:id="7" w:name="_Hlk24379207"/>
      <w:r>
        <w:rPr>
          <w:rFonts w:hint="eastAsia" w:cs="宋体"/>
          <w:b w:val="0"/>
          <w:color w:val="auto"/>
          <w:sz w:val="24"/>
          <w:szCs w:val="24"/>
          <w:lang w:val="en-US" w:eastAsia="zh-CN"/>
        </w:rPr>
        <w:t>台州市</w:t>
      </w:r>
      <w:r>
        <w:rPr>
          <w:rFonts w:hint="eastAsia" w:cs="宋体"/>
          <w:b w:val="0"/>
          <w:color w:val="auto"/>
          <w:sz w:val="24"/>
          <w:szCs w:val="24"/>
        </w:rPr>
        <w:t>政府采购中心受台州市财政局委托，就</w:t>
      </w:r>
      <w:r>
        <w:rPr>
          <w:rFonts w:hint="eastAsia" w:cs="宋体"/>
          <w:b w:val="0"/>
          <w:color w:val="auto"/>
          <w:sz w:val="24"/>
          <w:szCs w:val="24"/>
          <w:lang w:val="en-US" w:eastAsia="zh-CN"/>
        </w:rPr>
        <w:t>2023年</w:t>
      </w:r>
      <w:r>
        <w:rPr>
          <w:rFonts w:hint="eastAsia" w:cs="宋体"/>
          <w:b w:val="0"/>
          <w:color w:val="auto"/>
          <w:sz w:val="24"/>
          <w:szCs w:val="24"/>
        </w:rPr>
        <w:t>台州市市本级财政国库集中支付代理银行项目进行公开招标，欢迎符合资格条件的国内投标人参加投标。</w:t>
      </w:r>
    </w:p>
    <w:p>
      <w:pPr>
        <w:pStyle w:val="5"/>
        <w:ind w:firstLine="482" w:firstLineChars="200"/>
        <w:rPr>
          <w:rFonts w:cs="宋体"/>
          <w:bCs/>
          <w:color w:val="auto"/>
          <w:sz w:val="24"/>
          <w:szCs w:val="24"/>
        </w:rPr>
      </w:pPr>
      <w:r>
        <w:rPr>
          <w:rFonts w:hint="eastAsia" w:cs="宋体"/>
          <w:bCs/>
          <w:color w:val="auto"/>
          <w:sz w:val="24"/>
          <w:szCs w:val="24"/>
        </w:rPr>
        <w:t>一、项目基本情况</w:t>
      </w:r>
      <w:bookmarkEnd w:id="3"/>
      <w:bookmarkEnd w:id="4"/>
      <w:bookmarkEnd w:id="5"/>
      <w:bookmarkEnd w:id="6"/>
    </w:p>
    <w:p>
      <w:pPr>
        <w:spacing w:line="360" w:lineRule="auto"/>
        <w:ind w:firstLine="480" w:firstLineChars="200"/>
        <w:rPr>
          <w:rFonts w:ascii="宋体" w:hAnsi="宋体" w:cs="宋体"/>
          <w:color w:val="auto"/>
          <w:sz w:val="24"/>
        </w:rPr>
      </w:pPr>
      <w:r>
        <w:rPr>
          <w:rFonts w:hint="eastAsia" w:ascii="宋体" w:hAnsi="宋体" w:cs="宋体"/>
          <w:color w:val="auto"/>
          <w:sz w:val="24"/>
        </w:rPr>
        <w:t>项目编号：TZCG-202</w:t>
      </w:r>
      <w:r>
        <w:rPr>
          <w:rFonts w:hint="eastAsia" w:ascii="宋体" w:hAnsi="宋体" w:cs="宋体"/>
          <w:color w:val="auto"/>
          <w:sz w:val="24"/>
          <w:lang w:val="en-US" w:eastAsia="zh-CN"/>
        </w:rPr>
        <w:t>3</w:t>
      </w:r>
      <w:r>
        <w:rPr>
          <w:rFonts w:hint="eastAsia" w:ascii="宋体" w:hAnsi="宋体" w:cs="宋体"/>
          <w:color w:val="auto"/>
          <w:sz w:val="24"/>
        </w:rPr>
        <w:t>-CF00</w:t>
      </w:r>
      <w:r>
        <w:rPr>
          <w:rFonts w:hint="eastAsia" w:ascii="宋体" w:hAnsi="宋体" w:cs="宋体"/>
          <w:color w:val="auto"/>
          <w:sz w:val="24"/>
          <w:lang w:val="en-US" w:eastAsia="zh-CN"/>
        </w:rPr>
        <w:t>1</w:t>
      </w:r>
      <w:r>
        <w:rPr>
          <w:rFonts w:hint="eastAsia" w:ascii="宋体" w:hAnsi="宋体" w:cs="宋体"/>
          <w:color w:val="auto"/>
          <w:sz w:val="24"/>
        </w:rPr>
        <w:t>-财政</w:t>
      </w:r>
    </w:p>
    <w:bookmarkEnd w:id="7"/>
    <w:p>
      <w:pPr>
        <w:spacing w:line="360" w:lineRule="auto"/>
        <w:ind w:firstLine="480" w:firstLineChars="200"/>
        <w:rPr>
          <w:color w:val="auto"/>
        </w:rPr>
      </w:pPr>
      <w:r>
        <w:rPr>
          <w:rFonts w:hint="eastAsia" w:ascii="宋体" w:hAnsi="宋体" w:cs="宋体"/>
          <w:color w:val="auto"/>
          <w:sz w:val="24"/>
        </w:rPr>
        <w:t>项目名称：</w:t>
      </w:r>
      <w:r>
        <w:rPr>
          <w:rFonts w:hint="eastAsia" w:ascii="宋体" w:hAnsi="宋体" w:cs="宋体"/>
          <w:color w:val="auto"/>
          <w:sz w:val="24"/>
          <w:lang w:val="en-US" w:eastAsia="zh-CN"/>
        </w:rPr>
        <w:t>2023年</w:t>
      </w:r>
      <w:r>
        <w:rPr>
          <w:rFonts w:hint="eastAsia" w:cs="宋体"/>
          <w:b w:val="0"/>
          <w:color w:val="auto"/>
          <w:sz w:val="24"/>
          <w:szCs w:val="24"/>
        </w:rPr>
        <w:t>台州市市本级财政国库集中支付代理银行项目</w:t>
      </w:r>
    </w:p>
    <w:tbl>
      <w:tblPr>
        <w:tblStyle w:val="21"/>
        <w:tblW w:w="7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5115"/>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8" w:type="dxa"/>
            <w:vAlign w:val="center"/>
          </w:tcPr>
          <w:p>
            <w:pPr>
              <w:numPr>
                <w:ilvl w:val="0"/>
                <w:numId w:val="0"/>
              </w:numPr>
              <w:jc w:val="center"/>
              <w:rPr>
                <w:rFonts w:hint="eastAsia" w:ascii="宋体" w:hAnsi="宋体" w:eastAsia="宋体" w:cs="宋体"/>
                <w:b/>
                <w:bCs/>
                <w:color w:val="auto"/>
                <w:sz w:val="24"/>
                <w:szCs w:val="24"/>
                <w:vertAlign w:val="baseline"/>
                <w:lang w:val="en-US" w:eastAsia="zh-CN"/>
              </w:rPr>
            </w:pPr>
            <w:bookmarkStart w:id="8" w:name="_Toc28359003"/>
            <w:bookmarkStart w:id="9" w:name="_Toc35393622"/>
            <w:bookmarkStart w:id="10" w:name="_Toc35393791"/>
            <w:bookmarkStart w:id="11" w:name="_Toc28359080"/>
            <w:r>
              <w:rPr>
                <w:rFonts w:hint="eastAsia" w:ascii="宋体" w:hAnsi="宋体" w:eastAsia="宋体" w:cs="宋体"/>
                <w:b/>
                <w:bCs/>
                <w:color w:val="auto"/>
                <w:sz w:val="24"/>
                <w:szCs w:val="24"/>
                <w:vertAlign w:val="baseline"/>
                <w:lang w:val="en-US" w:eastAsia="zh-CN"/>
              </w:rPr>
              <w:t>标项号</w:t>
            </w:r>
          </w:p>
        </w:tc>
        <w:tc>
          <w:tcPr>
            <w:tcW w:w="5115" w:type="dxa"/>
            <w:vAlign w:val="center"/>
          </w:tcPr>
          <w:p>
            <w:pPr>
              <w:numPr>
                <w:ilvl w:val="0"/>
                <w:numId w:val="0"/>
              </w:numPr>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标项名称</w:t>
            </w:r>
          </w:p>
        </w:tc>
        <w:tc>
          <w:tcPr>
            <w:tcW w:w="1776" w:type="dxa"/>
            <w:vAlign w:val="center"/>
          </w:tcPr>
          <w:p>
            <w:pPr>
              <w:numPr>
                <w:ilvl w:val="0"/>
                <w:numId w:val="0"/>
              </w:numPr>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代理银行数量（家）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8" w:type="dxa"/>
            <w:vAlign w:val="center"/>
          </w:tcPr>
          <w:p>
            <w:pPr>
              <w:numPr>
                <w:ilvl w:val="0"/>
                <w:numId w:val="0"/>
              </w:num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w:t>
            </w:r>
          </w:p>
        </w:tc>
        <w:tc>
          <w:tcPr>
            <w:tcW w:w="5115" w:type="dxa"/>
            <w:vAlign w:val="center"/>
          </w:tcPr>
          <w:p>
            <w:pPr>
              <w:numPr>
                <w:ilvl w:val="0"/>
                <w:numId w:val="0"/>
              </w:num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台州市市本级财政国库集中支付代理银行</w:t>
            </w:r>
          </w:p>
        </w:tc>
        <w:tc>
          <w:tcPr>
            <w:tcW w:w="1776" w:type="dxa"/>
            <w:vAlign w:val="center"/>
          </w:tcPr>
          <w:p>
            <w:pPr>
              <w:numPr>
                <w:ilvl w:val="0"/>
                <w:numId w:val="0"/>
              </w:numPr>
              <w:jc w:val="center"/>
              <w:rPr>
                <w:rFonts w:hint="default"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4</w:t>
            </w:r>
          </w:p>
        </w:tc>
      </w:tr>
    </w:tbl>
    <w:p>
      <w:pPr>
        <w:pStyle w:val="5"/>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color w:val="auto"/>
          <w:sz w:val="24"/>
          <w:szCs w:val="24"/>
          <w:lang w:eastAsia="zh-CN"/>
        </w:rPr>
      </w:pPr>
    </w:p>
    <w:p>
      <w:pPr>
        <w:pStyle w:val="5"/>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color w:val="auto"/>
          <w:sz w:val="24"/>
          <w:szCs w:val="24"/>
        </w:rPr>
      </w:pPr>
      <w:r>
        <w:rPr>
          <w:rFonts w:hint="eastAsia" w:cs="宋体"/>
          <w:bCs/>
          <w:color w:val="auto"/>
          <w:sz w:val="24"/>
          <w:szCs w:val="24"/>
          <w:lang w:eastAsia="zh-CN"/>
        </w:rPr>
        <w:t>二、</w:t>
      </w:r>
      <w:r>
        <w:rPr>
          <w:rFonts w:hint="eastAsia" w:cs="宋体"/>
          <w:bCs/>
          <w:color w:val="auto"/>
          <w:sz w:val="24"/>
          <w:szCs w:val="24"/>
        </w:rPr>
        <w:t>投标人的资格要求</w:t>
      </w:r>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line="360" w:lineRule="auto"/>
        <w:ind w:left="12" w:leftChars="0" w:firstLine="480" w:firstLineChars="200"/>
        <w:jc w:val="left"/>
        <w:textAlignment w:val="auto"/>
        <w:rPr>
          <w:rFonts w:hint="eastAsia" w:ascii="宋体" w:hAnsi="宋体" w:cs="宋体"/>
          <w:color w:val="auto"/>
          <w:sz w:val="24"/>
        </w:rPr>
      </w:pPr>
      <w:r>
        <w:rPr>
          <w:rFonts w:hint="eastAsia" w:ascii="宋体" w:hAnsi="宋体" w:cs="宋体"/>
          <w:color w:val="auto"/>
          <w:sz w:val="24"/>
        </w:rPr>
        <w:t>（一）满足《中华人民共和国政府采购法》第二十二条规定。</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12" w:leftChars="0" w:right="0" w:rightChars="0" w:firstLine="480" w:firstLineChars="200"/>
        <w:jc w:val="left"/>
        <w:textAlignment w:val="auto"/>
        <w:outlineLvl w:val="9"/>
        <w:rPr>
          <w:rFonts w:hint="eastAsia" w:ascii="宋体" w:hAnsi="宋体" w:cs="宋体"/>
          <w:color w:val="auto"/>
          <w:sz w:val="24"/>
          <w:lang w:val="en-US" w:eastAsia="zh-CN"/>
        </w:rPr>
      </w:pPr>
      <w:bookmarkStart w:id="12" w:name="_Toc28359081"/>
      <w:bookmarkStart w:id="13" w:name="_Toc28359004"/>
      <w:bookmarkStart w:id="14" w:name="_Toc35393792"/>
      <w:bookmarkStart w:id="15" w:name="_Toc35393623"/>
      <w:r>
        <w:rPr>
          <w:rFonts w:hint="eastAsia" w:ascii="宋体" w:hAnsi="宋体" w:cs="宋体"/>
          <w:color w:val="auto"/>
          <w:sz w:val="24"/>
        </w:rPr>
        <w:t>（二）本项目的特定资格要求：参与市本财政国库集中支付代理银行投标的银行是指在中华人民共和国境内依法设立的国有商业银行、股份制商业银行、邮政储蓄银行、城市商业银行、农村商业银行、农村信用合作社、农村合作银行以及政策性银行。银行参与投标应符合以下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2" w:firstLine="480" w:firstLineChars="200"/>
        <w:jc w:val="left"/>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1.在市级行政事业单位所在地设有分支机构；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2" w:firstLine="480" w:firstLineChars="200"/>
        <w:jc w:val="left"/>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2.依法开展经营活动，内部管理机制健全，具有较强的风险控制能力，近3年内在经营活动中无重大违法违规记录、未发生金融风险及重大违约事件；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2" w:firstLine="480" w:firstLineChars="200"/>
        <w:jc w:val="left"/>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3.投标人应具有人行台州市中心支行的国库集中支付业务代理资格；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2" w:firstLine="480" w:firstLineChars="200"/>
        <w:jc w:val="left"/>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4.本次招投标每家银行有且只能有一个主体参与投标,允许以市分行或者市分行授权支行为投标主体；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2" w:firstLine="480" w:firstLineChars="200"/>
        <w:jc w:val="left"/>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5.投标人应具有先进的资金汇划清算系统,保证财政资金安全、及时、准确支付；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2" w:firstLine="480" w:firstLineChars="200"/>
        <w:jc w:val="left"/>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6.具有可靠的技术保障能力，能够按照市本级国库集中支付管理改革要求开发应用与市本级财政国库集中支付相适应的银行端软件系统，并实现与市财政局、人行台州市中心支行的国库集中支付系统信息系统联网运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2" w:firstLine="480" w:firstLineChars="200"/>
        <w:jc w:val="left"/>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7.内控制度完善，操作管理规范，并确定专门机构、专职人员负责代理支付和清算业务，为相关各方提供优质代理服务；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2" w:firstLine="480" w:firstLineChars="200"/>
        <w:jc w:val="left"/>
        <w:textAlignment w:val="auto"/>
        <w:rPr>
          <w:rFonts w:hint="eastAsia" w:ascii="宋体" w:hAnsi="宋体" w:cs="宋体"/>
          <w:color w:val="auto"/>
          <w:sz w:val="24"/>
        </w:rPr>
      </w:pPr>
      <w:r>
        <w:rPr>
          <w:rFonts w:hint="eastAsia" w:ascii="宋体" w:hAnsi="宋体" w:cs="宋体"/>
          <w:color w:val="auto"/>
          <w:sz w:val="24"/>
          <w:lang w:val="en-US" w:eastAsia="zh-CN"/>
        </w:rPr>
        <w:t>8.本项目拒绝联合体投标。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rPr>
      </w:pPr>
      <w:r>
        <w:rPr>
          <w:rFonts w:hint="eastAsia" w:ascii="宋体" w:hAnsi="宋体" w:cs="宋体"/>
          <w:color w:val="auto"/>
          <w:sz w:val="24"/>
        </w:rPr>
        <w:t>（三）信用记录：未被列入“信用中国”失信被执行人或重大税收违法案件当事人名单；未处于“中国政府采购网”</w:t>
      </w:r>
      <w:r>
        <w:rPr>
          <w:color w:val="auto"/>
        </w:rPr>
        <w:fldChar w:fldCharType="begin"/>
      </w:r>
      <w:r>
        <w:rPr>
          <w:color w:val="auto"/>
        </w:rPr>
        <w:instrText xml:space="preserve"> HYPERLINK "http://www.ccgp.gov.cn）政府采购严重违法失信行为信息记录中的禁止参加政府采购活动期间。" </w:instrText>
      </w:r>
      <w:r>
        <w:rPr>
          <w:color w:val="auto"/>
        </w:rPr>
        <w:fldChar w:fldCharType="separate"/>
      </w:r>
      <w:r>
        <w:rPr>
          <w:rFonts w:hint="eastAsia" w:ascii="宋体" w:hAnsi="宋体" w:cs="宋体"/>
          <w:color w:val="auto"/>
          <w:sz w:val="24"/>
        </w:rPr>
        <w:t>政府采购严重违法失信行为信息记录中的禁止参加政府采购活动期间。</w:t>
      </w:r>
      <w:r>
        <w:rPr>
          <w:rFonts w:hint="eastAsia" w:ascii="宋体" w:hAnsi="宋体" w:cs="宋体"/>
          <w:color w:val="auto"/>
          <w:sz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rPr>
      </w:pPr>
      <w:r>
        <w:rPr>
          <w:rFonts w:hint="eastAsia" w:ascii="宋体" w:hAnsi="宋体" w:cs="宋体"/>
          <w:color w:val="auto"/>
          <w:sz w:val="24"/>
        </w:rPr>
        <w:t>（四）法律、行政法规规定的其他条件：单位负责人为同一人或者存在直接控股、管理关系的不同供应商，不得同时参加同一项目投标；为本项目提供整体设计、规范编制或者项目管理、监理、检测等服务的供应商，不得再参与本项目投标。</w:t>
      </w:r>
    </w:p>
    <w:p>
      <w:pPr>
        <w:pStyle w:val="5"/>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color w:val="auto"/>
          <w:sz w:val="24"/>
          <w:szCs w:val="24"/>
          <w:lang w:eastAsia="zh-CN"/>
        </w:rPr>
      </w:pPr>
      <w:r>
        <w:rPr>
          <w:rFonts w:hint="eastAsia" w:cs="宋体"/>
          <w:bCs/>
          <w:color w:val="auto"/>
          <w:sz w:val="24"/>
          <w:szCs w:val="24"/>
          <w:lang w:eastAsia="zh-CN"/>
        </w:rPr>
        <w:t>三、</w:t>
      </w:r>
      <w:bookmarkEnd w:id="12"/>
      <w:bookmarkEnd w:id="13"/>
      <w:bookmarkEnd w:id="14"/>
      <w:bookmarkEnd w:id="15"/>
      <w:r>
        <w:rPr>
          <w:rFonts w:hint="eastAsia" w:cs="宋体"/>
          <w:bCs/>
          <w:color w:val="auto"/>
          <w:sz w:val="24"/>
          <w:szCs w:val="24"/>
          <w:lang w:eastAsia="zh-CN"/>
        </w:rPr>
        <w:t>投标报名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一</w:t>
      </w:r>
      <w:r>
        <w:rPr>
          <w:rFonts w:hint="eastAsia" w:ascii="宋体" w:hAnsi="宋体" w:cs="宋体"/>
          <w:color w:val="auto"/>
          <w:sz w:val="24"/>
          <w:lang w:eastAsia="zh-CN"/>
        </w:rPr>
        <w:t>）</w:t>
      </w:r>
      <w:r>
        <w:rPr>
          <w:rFonts w:hint="eastAsia" w:ascii="宋体" w:hAnsi="宋体" w:cs="宋体"/>
          <w:color w:val="auto"/>
          <w:sz w:val="24"/>
        </w:rPr>
        <w:t>报名时间：</w:t>
      </w:r>
      <w:r>
        <w:rPr>
          <w:rFonts w:hint="eastAsia" w:ascii="宋体" w:hAnsi="宋体" w:cs="宋体"/>
          <w:color w:val="auto"/>
          <w:sz w:val="24"/>
          <w:u w:val="single"/>
        </w:rPr>
        <w:t>2023年</w:t>
      </w:r>
      <w:r>
        <w:rPr>
          <w:rFonts w:hint="eastAsia" w:ascii="宋体" w:hAnsi="宋体" w:cs="宋体"/>
          <w:color w:val="auto"/>
          <w:sz w:val="24"/>
          <w:u w:val="single"/>
          <w:lang w:val="en-US" w:eastAsia="zh-CN"/>
        </w:rPr>
        <w:t>2</w:t>
      </w:r>
      <w:r>
        <w:rPr>
          <w:rFonts w:hint="eastAsia" w:ascii="宋体" w:hAnsi="宋体" w:cs="宋体"/>
          <w:color w:val="auto"/>
          <w:sz w:val="24"/>
          <w:u w:val="single"/>
        </w:rPr>
        <w:t>月</w:t>
      </w:r>
      <w:r>
        <w:rPr>
          <w:rFonts w:hint="eastAsia" w:ascii="宋体" w:hAnsi="宋体" w:cs="宋体"/>
          <w:color w:val="auto"/>
          <w:sz w:val="24"/>
          <w:u w:val="single"/>
          <w:lang w:val="en-US" w:eastAsia="zh-CN"/>
        </w:rPr>
        <w:t>13</w:t>
      </w:r>
      <w:r>
        <w:rPr>
          <w:rFonts w:hint="eastAsia" w:ascii="宋体" w:hAnsi="宋体" w:cs="宋体"/>
          <w:color w:val="auto"/>
          <w:sz w:val="24"/>
          <w:u w:val="single"/>
        </w:rPr>
        <w:t>日9:00至2023年</w:t>
      </w:r>
      <w:r>
        <w:rPr>
          <w:rFonts w:hint="eastAsia" w:ascii="宋体" w:hAnsi="宋体" w:cs="宋体"/>
          <w:color w:val="auto"/>
          <w:sz w:val="24"/>
          <w:u w:val="single"/>
          <w:lang w:val="en-US" w:eastAsia="zh-CN"/>
        </w:rPr>
        <w:t>2</w:t>
      </w:r>
      <w:r>
        <w:rPr>
          <w:rFonts w:hint="eastAsia" w:ascii="宋体" w:hAnsi="宋体" w:cs="宋体"/>
          <w:color w:val="auto"/>
          <w:sz w:val="24"/>
          <w:u w:val="single"/>
        </w:rPr>
        <w:t>月</w:t>
      </w:r>
      <w:r>
        <w:rPr>
          <w:rFonts w:hint="eastAsia" w:ascii="宋体" w:hAnsi="宋体" w:cs="宋体"/>
          <w:color w:val="auto"/>
          <w:sz w:val="24"/>
          <w:u w:val="single"/>
          <w:lang w:val="en-US" w:eastAsia="zh-CN"/>
        </w:rPr>
        <w:t>23</w:t>
      </w:r>
      <w:r>
        <w:rPr>
          <w:rFonts w:hint="eastAsia" w:ascii="宋体" w:hAnsi="宋体" w:cs="宋体"/>
          <w:color w:val="auto"/>
          <w:sz w:val="24"/>
          <w:u w:val="single"/>
        </w:rPr>
        <w:t>日</w:t>
      </w:r>
      <w:r>
        <w:rPr>
          <w:rFonts w:hint="eastAsia" w:ascii="宋体" w:hAnsi="宋体" w:cs="宋体"/>
          <w:color w:val="auto"/>
          <w:sz w:val="24"/>
          <w:u w:val="single"/>
          <w:lang w:val="en-US" w:eastAsia="zh-CN"/>
        </w:rPr>
        <w:t>8</w:t>
      </w:r>
      <w:r>
        <w:rPr>
          <w:rFonts w:hint="eastAsia" w:ascii="宋体" w:hAnsi="宋体" w:cs="宋体"/>
          <w:color w:val="auto"/>
          <w:sz w:val="24"/>
          <w:u w:val="single"/>
        </w:rPr>
        <w:t>:</w:t>
      </w:r>
      <w:r>
        <w:rPr>
          <w:rFonts w:hint="eastAsia" w:ascii="宋体" w:hAnsi="宋体" w:cs="宋体"/>
          <w:color w:val="auto"/>
          <w:sz w:val="24"/>
          <w:u w:val="single"/>
          <w:lang w:val="en-US" w:eastAsia="zh-CN"/>
        </w:rPr>
        <w:t>59</w:t>
      </w:r>
      <w:r>
        <w:rPr>
          <w:rFonts w:hint="eastAsia" w:ascii="宋体" w:hAnsi="宋体" w:cs="宋体"/>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二</w:t>
      </w:r>
      <w:r>
        <w:rPr>
          <w:rFonts w:hint="eastAsia" w:ascii="宋体" w:hAnsi="宋体" w:cs="宋体"/>
          <w:color w:val="auto"/>
          <w:sz w:val="24"/>
          <w:lang w:eastAsia="zh-CN"/>
        </w:rPr>
        <w:t>）</w:t>
      </w:r>
      <w:r>
        <w:rPr>
          <w:rFonts w:hint="eastAsia" w:ascii="宋体" w:hAnsi="宋体" w:cs="宋体"/>
          <w:color w:val="auto"/>
          <w:sz w:val="24"/>
        </w:rPr>
        <w:t>报名方式：本项目实行网上报名，不接受现场报名。报名银行登录政府采购云平台（http://login.zcygov.cn）,进入公款竞争性存放招标系统（以下简称“招标系统”），在“台州市市本级国库集中支付代理银行招标项目”内按规定进行报名。报名成功后联系人会收到短信通知，逾期报名视为未报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rPr>
      </w:pPr>
      <w:r>
        <w:rPr>
          <w:rFonts w:hint="eastAsia" w:ascii="宋体" w:hAnsi="宋体" w:cs="宋体"/>
          <w:color w:val="auto"/>
          <w:sz w:val="24"/>
        </w:rPr>
        <w:t>（三）招标文件获取方式：浙江省政府采购网(http://www.zjzfcg.gov.cn)本公告后提供附件下载</w:t>
      </w:r>
      <w:r>
        <w:rPr>
          <w:rFonts w:hint="eastAsia" w:ascii="宋体" w:hAnsi="宋体" w:cs="宋体"/>
          <w:color w:val="auto"/>
          <w:sz w:val="24"/>
          <w:lang w:eastAsia="zh-CN"/>
        </w:rPr>
        <w:t>，</w:t>
      </w:r>
      <w:r>
        <w:rPr>
          <w:rFonts w:hint="eastAsia" w:ascii="宋体" w:hAnsi="宋体" w:cs="宋体"/>
          <w:color w:val="auto"/>
          <w:sz w:val="24"/>
          <w:lang w:val="en-US" w:eastAsia="zh-CN"/>
        </w:rPr>
        <w:t>或</w:t>
      </w:r>
      <w:r>
        <w:rPr>
          <w:rFonts w:hint="eastAsia" w:ascii="宋体" w:hAnsi="宋体" w:cs="宋体"/>
          <w:color w:val="auto"/>
          <w:sz w:val="24"/>
        </w:rPr>
        <w:t>报名成功后可在线查阅招标文件。</w:t>
      </w:r>
    </w:p>
    <w:p>
      <w:pPr>
        <w:pStyle w:val="5"/>
        <w:ind w:right="0" w:firstLine="482" w:firstLineChars="200"/>
        <w:rPr>
          <w:rFonts w:cs="宋体"/>
          <w:bCs/>
          <w:color w:val="auto"/>
          <w:sz w:val="24"/>
          <w:szCs w:val="24"/>
        </w:rPr>
      </w:pPr>
      <w:bookmarkStart w:id="16" w:name="_Toc35393624"/>
      <w:bookmarkStart w:id="17" w:name="_Toc35393793"/>
      <w:bookmarkStart w:id="18" w:name="_Toc28359082"/>
      <w:bookmarkStart w:id="19" w:name="_Toc28359005"/>
      <w:r>
        <w:rPr>
          <w:rFonts w:hint="eastAsia" w:cs="宋体"/>
          <w:bCs/>
          <w:color w:val="auto"/>
          <w:sz w:val="24"/>
          <w:szCs w:val="24"/>
        </w:rPr>
        <w:t>四、提交投标文件</w:t>
      </w:r>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rPr>
      </w:pPr>
      <w:bookmarkStart w:id="20" w:name="_Toc28359084"/>
      <w:bookmarkStart w:id="21" w:name="_Toc35393625"/>
      <w:bookmarkStart w:id="22" w:name="_Toc35393794"/>
      <w:bookmarkStart w:id="23" w:name="_Toc28359007"/>
      <w:r>
        <w:rPr>
          <w:rFonts w:hint="eastAsia" w:ascii="宋体" w:hAnsi="宋体" w:cs="宋体"/>
          <w:color w:val="auto"/>
          <w:sz w:val="24"/>
        </w:rPr>
        <w:t>（一）截止时间（开标时间）：</w:t>
      </w:r>
      <w:r>
        <w:rPr>
          <w:rFonts w:hint="eastAsia" w:ascii="宋体" w:hAnsi="宋体" w:cs="宋体"/>
          <w:bCs/>
          <w:color w:val="auto"/>
          <w:sz w:val="24"/>
          <w:u w:val="single"/>
          <w:lang w:val="en-US" w:eastAsia="zh-CN"/>
        </w:rPr>
        <w:t>2023</w:t>
      </w:r>
      <w:r>
        <w:rPr>
          <w:rFonts w:hint="eastAsia" w:ascii="宋体" w:hAnsi="宋体" w:cs="宋体"/>
          <w:bCs/>
          <w:color w:val="auto"/>
          <w:sz w:val="24"/>
          <w:u w:val="single"/>
        </w:rPr>
        <w:t>年</w:t>
      </w:r>
      <w:r>
        <w:rPr>
          <w:rFonts w:hint="eastAsia" w:ascii="宋体" w:hAnsi="宋体" w:cs="宋体"/>
          <w:color w:val="auto"/>
          <w:sz w:val="24"/>
          <w:u w:val="single"/>
          <w:lang w:val="en-US" w:eastAsia="zh-CN"/>
        </w:rPr>
        <w:t>2</w:t>
      </w:r>
      <w:r>
        <w:rPr>
          <w:rFonts w:hint="eastAsia" w:ascii="宋体" w:hAnsi="宋体" w:cs="宋体"/>
          <w:bCs/>
          <w:color w:val="auto"/>
          <w:sz w:val="24"/>
          <w:u w:val="single"/>
        </w:rPr>
        <w:t>月</w:t>
      </w:r>
      <w:r>
        <w:rPr>
          <w:rFonts w:hint="eastAsia" w:ascii="宋体" w:hAnsi="宋体" w:cs="宋体"/>
          <w:color w:val="auto"/>
          <w:sz w:val="24"/>
          <w:u w:val="single"/>
          <w:lang w:val="en-US" w:eastAsia="zh-CN"/>
        </w:rPr>
        <w:t>23</w:t>
      </w:r>
      <w:r>
        <w:rPr>
          <w:rFonts w:hint="eastAsia" w:ascii="宋体" w:hAnsi="宋体" w:cs="宋体"/>
          <w:bCs/>
          <w:color w:val="auto"/>
          <w:sz w:val="24"/>
          <w:u w:val="single"/>
        </w:rPr>
        <w:t>日</w:t>
      </w:r>
      <w:r>
        <w:rPr>
          <w:rFonts w:hint="eastAsia" w:ascii="宋体" w:hAnsi="宋体" w:cs="宋体"/>
          <w:bCs/>
          <w:color w:val="auto"/>
          <w:sz w:val="24"/>
          <w:u w:val="single"/>
          <w:lang w:val="en-US" w:eastAsia="zh-CN"/>
        </w:rPr>
        <w:t>9</w:t>
      </w:r>
      <w:r>
        <w:rPr>
          <w:rFonts w:hint="eastAsia" w:ascii="宋体" w:hAnsi="宋体" w:cs="宋体"/>
          <w:bCs/>
          <w:color w:val="auto"/>
          <w:sz w:val="24"/>
          <w:u w:val="single"/>
        </w:rPr>
        <w:t>点整</w:t>
      </w:r>
      <w:r>
        <w:rPr>
          <w:rFonts w:hint="eastAsia" w:ascii="宋体" w:hAnsi="宋体" w:cs="宋体"/>
          <w:color w:val="auto"/>
          <w:sz w:val="24"/>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rPr>
      </w:pPr>
      <w:r>
        <w:rPr>
          <w:rFonts w:hint="eastAsia" w:ascii="宋体" w:hAnsi="宋体" w:cs="宋体"/>
          <w:color w:val="auto"/>
          <w:sz w:val="24"/>
        </w:rPr>
        <w:t>（二）投标</w:t>
      </w:r>
      <w:r>
        <w:rPr>
          <w:rFonts w:hint="eastAsia" w:ascii="宋体" w:hAnsi="宋体" w:cs="宋体"/>
          <w:color w:val="auto"/>
          <w:sz w:val="24"/>
          <w:lang w:val="en-US" w:eastAsia="zh-CN"/>
        </w:rPr>
        <w:t>方式</w:t>
      </w:r>
      <w:r>
        <w:rPr>
          <w:rFonts w:hint="eastAsia" w:ascii="宋体" w:hAnsi="宋体" w:cs="宋体"/>
          <w:color w:val="auto"/>
          <w:sz w:val="24"/>
        </w:rPr>
        <w:t>：本项目实行网上电子投标，投标人报名后即可在系统中编制投标文件，</w:t>
      </w:r>
      <w:r>
        <w:rPr>
          <w:rFonts w:hint="eastAsia" w:ascii="宋体" w:hAnsi="宋体" w:cs="宋体"/>
          <w:color w:val="auto"/>
          <w:sz w:val="24"/>
          <w:lang w:val="en-US" w:eastAsia="zh-CN"/>
        </w:rPr>
        <w:t>并在截止时间前</w:t>
      </w:r>
      <w:r>
        <w:rPr>
          <w:rFonts w:hint="eastAsia" w:ascii="宋体" w:hAnsi="宋体" w:cs="宋体"/>
          <w:color w:val="auto"/>
          <w:sz w:val="24"/>
        </w:rPr>
        <w:t>登录政府采购云平台，进入招标系统，按规定进行投标。投标成功会接收短信通知，逾期投标视为未投标</w:t>
      </w:r>
      <w:r>
        <w:rPr>
          <w:rFonts w:hint="eastAsia" w:ascii="宋体" w:hAnsi="宋体" w:eastAsia="宋体" w:cs="宋体"/>
          <w:color w:val="auto"/>
          <w:sz w:val="24"/>
          <w:szCs w:val="24"/>
          <w:lang w:val="en-US" w:eastAsia="zh-CN"/>
        </w:rPr>
        <w:t>。</w:t>
      </w:r>
    </w:p>
    <w:bookmarkEnd w:id="20"/>
    <w:bookmarkEnd w:id="21"/>
    <w:bookmarkEnd w:id="22"/>
    <w:bookmarkEnd w:id="23"/>
    <w:p>
      <w:pPr>
        <w:pStyle w:val="2"/>
        <w:spacing w:after="0" w:line="360" w:lineRule="auto"/>
        <w:ind w:left="0" w:leftChars="0" w:firstLine="482" w:firstLineChars="200"/>
        <w:rPr>
          <w:rFonts w:ascii="宋体" w:hAnsi="宋体" w:cs="宋体"/>
          <w:b/>
          <w:bCs/>
          <w:color w:val="auto"/>
          <w:kern w:val="0"/>
          <w:sz w:val="24"/>
        </w:rPr>
      </w:pPr>
      <w:r>
        <w:rPr>
          <w:rFonts w:hint="eastAsia" w:ascii="宋体" w:hAnsi="宋体" w:cs="宋体"/>
          <w:b/>
          <w:bCs/>
          <w:color w:val="auto"/>
          <w:kern w:val="0"/>
          <w:sz w:val="24"/>
        </w:rPr>
        <w:t>五、发布公告</w:t>
      </w:r>
    </w:p>
    <w:p>
      <w:pPr>
        <w:pStyle w:val="2"/>
        <w:spacing w:after="0" w:line="360" w:lineRule="auto"/>
        <w:ind w:left="0" w:leftChars="0" w:firstLine="480" w:firstLineChars="200"/>
        <w:rPr>
          <w:rFonts w:ascii="宋体" w:hAnsi="宋体" w:cs="宋体"/>
          <w:color w:val="auto"/>
          <w:kern w:val="0"/>
          <w:sz w:val="24"/>
        </w:rPr>
      </w:pPr>
      <w:r>
        <w:rPr>
          <w:rFonts w:hint="eastAsia" w:ascii="宋体" w:hAnsi="宋体" w:cs="宋体"/>
          <w:color w:val="auto"/>
          <w:sz w:val="24"/>
        </w:rPr>
        <w:t>（一）公告网址：</w:t>
      </w:r>
      <w:r>
        <w:rPr>
          <w:rFonts w:hint="eastAsia" w:ascii="宋体" w:hAnsi="宋体" w:cs="宋体"/>
          <w:color w:val="auto"/>
          <w:kern w:val="0"/>
          <w:sz w:val="24"/>
        </w:rPr>
        <w:t>浙江政府采购网（</w:t>
      </w:r>
      <w:r>
        <w:rPr>
          <w:rFonts w:hint="eastAsia" w:ascii="宋体" w:hAnsi="宋体" w:cs="宋体"/>
          <w:color w:val="auto"/>
          <w:sz w:val="24"/>
        </w:rPr>
        <w:t>https://zfcg.czt.zj.gov.cn</w:t>
      </w:r>
      <w:r>
        <w:rPr>
          <w:rFonts w:hint="eastAsia" w:ascii="宋体" w:hAnsi="宋体" w:cs="宋体"/>
          <w:color w:val="auto"/>
          <w:kern w:val="0"/>
          <w:sz w:val="24"/>
        </w:rPr>
        <w:t>）</w:t>
      </w:r>
      <w:r>
        <w:rPr>
          <w:rFonts w:hint="eastAsia" w:ascii="宋体" w:hAnsi="宋体" w:cs="宋体"/>
          <w:color w:val="auto"/>
          <w:kern w:val="0"/>
          <w:sz w:val="24"/>
          <w:lang w:eastAsia="zh-CN"/>
        </w:rPr>
        <w:t>、</w:t>
      </w:r>
      <w:r>
        <w:rPr>
          <w:rFonts w:hint="eastAsia" w:ascii="宋体" w:hAnsi="宋体" w:cs="宋体"/>
          <w:color w:val="auto"/>
          <w:kern w:val="0"/>
          <w:sz w:val="24"/>
        </w:rPr>
        <w:t>台州市公共资源交易网（https://tzztb.zjtz.gov.cn）</w:t>
      </w:r>
    </w:p>
    <w:p>
      <w:pPr>
        <w:pStyle w:val="2"/>
        <w:spacing w:after="0" w:line="360" w:lineRule="auto"/>
        <w:ind w:left="0" w:leftChars="0" w:firstLine="480" w:firstLineChars="200"/>
        <w:rPr>
          <w:rFonts w:ascii="宋体" w:hAnsi="宋体" w:cs="宋体"/>
          <w:color w:val="FF0000"/>
          <w:kern w:val="0"/>
          <w:sz w:val="24"/>
        </w:rPr>
      </w:pPr>
      <w:r>
        <w:rPr>
          <w:rFonts w:hint="eastAsia" w:ascii="宋体" w:hAnsi="宋体" w:cs="宋体"/>
          <w:color w:val="auto"/>
          <w:sz w:val="24"/>
        </w:rPr>
        <w:t>（二）公告期限：</w:t>
      </w:r>
      <w:r>
        <w:rPr>
          <w:rFonts w:hint="eastAsia" w:ascii="宋体" w:hAnsi="宋体" w:cs="宋体"/>
          <w:color w:val="auto"/>
          <w:kern w:val="0"/>
          <w:sz w:val="24"/>
        </w:rPr>
        <w:t>本公告期限自发布之日起</w:t>
      </w:r>
      <w:r>
        <w:rPr>
          <w:rFonts w:hint="eastAsia" w:ascii="宋体" w:hAnsi="宋体" w:cs="宋体"/>
          <w:color w:val="auto"/>
          <w:kern w:val="0"/>
          <w:sz w:val="24"/>
          <w:lang w:val="en-US" w:eastAsia="zh-CN"/>
        </w:rPr>
        <w:t>7</w:t>
      </w:r>
      <w:r>
        <w:rPr>
          <w:rFonts w:hint="eastAsia" w:ascii="宋体" w:hAnsi="宋体" w:cs="宋体"/>
          <w:color w:val="auto"/>
          <w:kern w:val="0"/>
          <w:sz w:val="24"/>
        </w:rPr>
        <w:t>个工作日</w:t>
      </w:r>
    </w:p>
    <w:p>
      <w:pPr>
        <w:pStyle w:val="5"/>
        <w:ind w:right="0" w:firstLine="482" w:firstLineChars="200"/>
        <w:rPr>
          <w:rFonts w:cs="宋体"/>
          <w:bCs/>
          <w:color w:val="auto"/>
          <w:sz w:val="24"/>
          <w:szCs w:val="24"/>
        </w:rPr>
      </w:pPr>
      <w:bookmarkStart w:id="24" w:name="_Toc35393795"/>
      <w:bookmarkStart w:id="25" w:name="_Toc35393626"/>
      <w:r>
        <w:rPr>
          <w:rFonts w:hint="eastAsia" w:cs="宋体"/>
          <w:bCs/>
          <w:color w:val="auto"/>
          <w:sz w:val="24"/>
          <w:szCs w:val="24"/>
        </w:rPr>
        <w:t>六、</w:t>
      </w:r>
      <w:bookmarkEnd w:id="24"/>
      <w:bookmarkEnd w:id="25"/>
      <w:r>
        <w:rPr>
          <w:rFonts w:hint="eastAsia" w:cs="宋体"/>
          <w:bCs/>
          <w:color w:val="auto"/>
          <w:sz w:val="24"/>
          <w:szCs w:val="24"/>
        </w:rPr>
        <w:t>注册报名</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投标人需登录浙江省政府采购网（https://zfcg.czt.zj.gov.cn/）进行注册后报名。</w:t>
      </w:r>
    </w:p>
    <w:p>
      <w:pPr>
        <w:pStyle w:val="5"/>
        <w:ind w:right="0" w:firstLine="482" w:firstLineChars="200"/>
        <w:rPr>
          <w:rFonts w:cs="宋体"/>
          <w:bCs/>
          <w:color w:val="auto"/>
          <w:sz w:val="24"/>
          <w:szCs w:val="24"/>
        </w:rPr>
      </w:pPr>
      <w:bookmarkStart w:id="26" w:name="_Toc35393796"/>
      <w:bookmarkStart w:id="27" w:name="_Toc35393627"/>
      <w:bookmarkStart w:id="28" w:name="_Toc28359085"/>
      <w:bookmarkStart w:id="29" w:name="_Toc28359008"/>
      <w:r>
        <w:rPr>
          <w:rFonts w:hint="eastAsia" w:cs="宋体"/>
          <w:bCs/>
          <w:color w:val="auto"/>
          <w:sz w:val="24"/>
          <w:szCs w:val="24"/>
        </w:rPr>
        <w:t>七、</w:t>
      </w:r>
      <w:bookmarkEnd w:id="26"/>
      <w:bookmarkEnd w:id="27"/>
      <w:bookmarkEnd w:id="28"/>
      <w:bookmarkEnd w:id="29"/>
      <w:r>
        <w:rPr>
          <w:rFonts w:hint="eastAsia" w:cs="宋体"/>
          <w:bCs/>
          <w:color w:val="auto"/>
          <w:sz w:val="24"/>
          <w:szCs w:val="24"/>
        </w:rPr>
        <w:t>联系方式</w:t>
      </w:r>
    </w:p>
    <w:p>
      <w:pPr>
        <w:snapToGrid w:val="0"/>
        <w:spacing w:line="360" w:lineRule="auto"/>
        <w:ind w:firstLine="482" w:firstLineChars="200"/>
        <w:rPr>
          <w:rFonts w:ascii="宋体" w:hAnsi="宋体" w:cs="宋体"/>
          <w:b/>
          <w:bCs/>
          <w:color w:val="auto"/>
          <w:sz w:val="24"/>
        </w:rPr>
      </w:pPr>
      <w:r>
        <w:rPr>
          <w:rFonts w:hint="eastAsia" w:ascii="宋体" w:hAnsi="宋体" w:cs="宋体"/>
          <w:b/>
          <w:bCs/>
          <w:color w:val="auto"/>
          <w:sz w:val="24"/>
        </w:rPr>
        <w:t xml:space="preserve">（一）采购人（受理招标文件相关质疑及答复） </w:t>
      </w:r>
    </w:p>
    <w:p>
      <w:pPr>
        <w:spacing w:line="360" w:lineRule="auto"/>
        <w:ind w:firstLine="480" w:firstLineChars="200"/>
        <w:rPr>
          <w:rFonts w:ascii="宋体" w:hAnsi="宋体" w:cs="宋体"/>
          <w:color w:val="auto"/>
          <w:sz w:val="24"/>
          <w:u w:val="none"/>
        </w:rPr>
      </w:pPr>
      <w:r>
        <w:rPr>
          <w:rFonts w:hint="eastAsia" w:ascii="宋体" w:hAnsi="宋体" w:cs="宋体"/>
          <w:color w:val="auto"/>
          <w:sz w:val="24"/>
        </w:rPr>
        <w:t>名 称：</w:t>
      </w:r>
      <w:r>
        <w:rPr>
          <w:rFonts w:hint="eastAsia" w:ascii="宋体" w:hAnsi="宋体" w:cs="宋体"/>
          <w:color w:val="auto"/>
          <w:sz w:val="24"/>
          <w:u w:val="none"/>
          <w:lang w:val="en-US" w:eastAsia="zh-CN"/>
        </w:rPr>
        <w:t>台州市财政局</w:t>
      </w:r>
    </w:p>
    <w:p>
      <w:pPr>
        <w:spacing w:line="360" w:lineRule="auto"/>
        <w:ind w:firstLine="480" w:firstLineChars="200"/>
        <w:rPr>
          <w:rFonts w:ascii="宋体" w:hAnsi="宋体" w:cs="宋体"/>
          <w:color w:val="auto"/>
          <w:sz w:val="24"/>
          <w:u w:val="none"/>
        </w:rPr>
      </w:pPr>
      <w:r>
        <w:rPr>
          <w:rFonts w:hint="eastAsia" w:ascii="宋体" w:hAnsi="宋体" w:cs="宋体"/>
          <w:color w:val="auto"/>
          <w:sz w:val="24"/>
          <w:u w:val="none"/>
        </w:rPr>
        <w:t>地</w:t>
      </w:r>
      <w:r>
        <w:rPr>
          <w:rFonts w:hint="eastAsia" w:ascii="宋体" w:hAnsi="宋体" w:cs="宋体"/>
          <w:color w:val="auto"/>
          <w:sz w:val="24"/>
          <w:u w:val="none"/>
          <w:lang w:val="en-US" w:eastAsia="zh-CN"/>
        </w:rPr>
        <w:t xml:space="preserve"> </w:t>
      </w:r>
      <w:r>
        <w:rPr>
          <w:rFonts w:hint="eastAsia" w:ascii="宋体" w:hAnsi="宋体" w:cs="宋体"/>
          <w:color w:val="auto"/>
          <w:sz w:val="24"/>
          <w:u w:val="none"/>
        </w:rPr>
        <w:t>址：</w:t>
      </w:r>
      <w:r>
        <w:rPr>
          <w:rFonts w:hint="eastAsia" w:ascii="宋体" w:hAnsi="宋体" w:eastAsia="宋体" w:cs="Arial"/>
          <w:color w:val="auto"/>
          <w:sz w:val="24"/>
          <w:u w:val="none"/>
        </w:rPr>
        <w:t>台州市纬一路66号</w:t>
      </w:r>
    </w:p>
    <w:p>
      <w:pPr>
        <w:spacing w:line="360" w:lineRule="auto"/>
        <w:ind w:firstLine="480" w:firstLineChars="200"/>
        <w:rPr>
          <w:rFonts w:ascii="宋体" w:hAnsi="宋体" w:cs="宋体"/>
          <w:color w:val="auto"/>
          <w:sz w:val="24"/>
          <w:u w:val="none"/>
        </w:rPr>
      </w:pPr>
      <w:r>
        <w:rPr>
          <w:rFonts w:hint="eastAsia" w:ascii="宋体" w:hAnsi="宋体" w:cs="宋体"/>
          <w:color w:val="auto"/>
          <w:sz w:val="24"/>
          <w:u w:val="none"/>
        </w:rPr>
        <w:t>联系人：</w:t>
      </w:r>
      <w:r>
        <w:rPr>
          <w:rFonts w:hint="eastAsia" w:ascii="宋体" w:hAnsi="宋体" w:eastAsia="宋体" w:cs="宋体"/>
          <w:color w:val="auto"/>
          <w:kern w:val="0"/>
          <w:sz w:val="24"/>
          <w:szCs w:val="24"/>
          <w:u w:val="none"/>
          <w:lang w:val="en-US" w:eastAsia="zh-CN"/>
        </w:rPr>
        <w:t>林</w:t>
      </w:r>
      <w:r>
        <w:rPr>
          <w:rFonts w:hint="eastAsia" w:ascii="宋体" w:hAnsi="宋体" w:cs="宋体"/>
          <w:color w:val="auto"/>
          <w:kern w:val="0"/>
          <w:sz w:val="24"/>
          <w:szCs w:val="24"/>
          <w:u w:val="none"/>
          <w:lang w:val="en-US" w:eastAsia="zh-CN"/>
        </w:rPr>
        <w:t>女士</w:t>
      </w:r>
      <w:bookmarkStart w:id="30" w:name="_Toc28359086"/>
      <w:bookmarkStart w:id="31" w:name="_Toc28359009"/>
    </w:p>
    <w:p>
      <w:pPr>
        <w:spacing w:line="360" w:lineRule="auto"/>
        <w:ind w:firstLine="480" w:firstLineChars="200"/>
        <w:rPr>
          <w:rFonts w:ascii="宋体" w:hAnsi="宋体" w:cs="宋体"/>
          <w:color w:val="auto"/>
          <w:sz w:val="24"/>
          <w:u w:val="none"/>
        </w:rPr>
      </w:pPr>
      <w:r>
        <w:rPr>
          <w:rFonts w:hint="eastAsia" w:ascii="宋体" w:hAnsi="宋体" w:cs="宋体"/>
          <w:color w:val="auto"/>
          <w:sz w:val="24"/>
          <w:u w:val="none"/>
        </w:rPr>
        <w:t>联系电话：</w:t>
      </w:r>
      <w:r>
        <w:rPr>
          <w:rFonts w:hint="eastAsia" w:ascii="宋体" w:hAnsi="宋体" w:eastAsia="宋体" w:cs="Arial"/>
          <w:color w:val="auto"/>
          <w:sz w:val="24"/>
          <w:szCs w:val="24"/>
          <w:u w:val="none"/>
          <w:lang w:val="en-US" w:eastAsia="zh-CN"/>
        </w:rPr>
        <w:t>0576-</w:t>
      </w:r>
      <w:r>
        <w:rPr>
          <w:rFonts w:hint="eastAsia" w:ascii="宋体" w:hAnsi="宋体" w:eastAsia="宋体" w:cs="宋体"/>
          <w:color w:val="auto"/>
          <w:kern w:val="0"/>
          <w:sz w:val="24"/>
          <w:szCs w:val="24"/>
          <w:u w:val="none"/>
          <w:lang w:val="en-US" w:eastAsia="zh-CN"/>
        </w:rPr>
        <w:t>88200378</w:t>
      </w:r>
    </w:p>
    <w:bookmarkEnd w:id="30"/>
    <w:bookmarkEnd w:id="31"/>
    <w:p>
      <w:pPr>
        <w:spacing w:line="360" w:lineRule="auto"/>
        <w:ind w:firstLine="482" w:firstLineChars="200"/>
        <w:rPr>
          <w:rFonts w:ascii="宋体" w:hAnsi="宋体" w:cs="宋体"/>
          <w:b/>
          <w:color w:val="auto"/>
          <w:sz w:val="24"/>
          <w:u w:val="none"/>
        </w:rPr>
      </w:pPr>
      <w:r>
        <w:rPr>
          <w:rFonts w:hint="eastAsia" w:ascii="宋体" w:hAnsi="宋体" w:cs="宋体"/>
          <w:b/>
          <w:bCs/>
          <w:color w:val="auto"/>
          <w:sz w:val="24"/>
          <w:u w:val="none"/>
        </w:rPr>
        <w:t>（二）采购组织机构</w:t>
      </w:r>
    </w:p>
    <w:p>
      <w:pPr>
        <w:spacing w:line="360" w:lineRule="auto"/>
        <w:ind w:firstLine="480" w:firstLineChars="200"/>
        <w:rPr>
          <w:rFonts w:ascii="宋体" w:hAnsi="宋体" w:cs="宋体"/>
          <w:color w:val="auto"/>
          <w:sz w:val="24"/>
          <w:u w:val="none"/>
        </w:rPr>
      </w:pPr>
      <w:bookmarkStart w:id="32" w:name="_Toc28359087"/>
      <w:bookmarkStart w:id="33" w:name="_Toc28359010"/>
      <w:r>
        <w:rPr>
          <w:rFonts w:hint="eastAsia" w:ascii="宋体" w:hAnsi="宋体" w:cs="宋体"/>
          <w:color w:val="auto"/>
          <w:sz w:val="24"/>
          <w:u w:val="none"/>
        </w:rPr>
        <w:t>名</w:t>
      </w:r>
      <w:r>
        <w:rPr>
          <w:rFonts w:hint="eastAsia" w:ascii="宋体" w:hAnsi="宋体" w:cs="宋体"/>
          <w:color w:val="auto"/>
          <w:sz w:val="24"/>
          <w:u w:val="none"/>
          <w:lang w:val="en-US" w:eastAsia="zh-CN"/>
        </w:rPr>
        <w:t xml:space="preserve"> </w:t>
      </w:r>
      <w:r>
        <w:rPr>
          <w:rFonts w:hint="eastAsia" w:ascii="宋体" w:hAnsi="宋体" w:cs="宋体"/>
          <w:color w:val="auto"/>
          <w:sz w:val="24"/>
          <w:u w:val="none"/>
        </w:rPr>
        <w:t>称：</w:t>
      </w:r>
      <w:r>
        <w:rPr>
          <w:rFonts w:hint="eastAsia" w:ascii="宋体" w:hAnsi="宋体" w:cs="宋体"/>
          <w:color w:val="auto"/>
          <w:sz w:val="24"/>
          <w:u w:val="none"/>
          <w:lang w:val="en-US" w:eastAsia="zh-CN"/>
        </w:rPr>
        <w:t>台州市政府采购中心</w:t>
      </w:r>
    </w:p>
    <w:p>
      <w:pPr>
        <w:spacing w:line="360" w:lineRule="auto"/>
        <w:ind w:firstLine="480" w:firstLineChars="200"/>
        <w:rPr>
          <w:rFonts w:ascii="宋体" w:hAnsi="宋体" w:cs="宋体"/>
          <w:color w:val="auto"/>
          <w:sz w:val="24"/>
          <w:u w:val="none"/>
        </w:rPr>
      </w:pPr>
      <w:r>
        <w:rPr>
          <w:rFonts w:hint="eastAsia" w:ascii="宋体" w:hAnsi="宋体" w:cs="宋体"/>
          <w:color w:val="auto"/>
          <w:sz w:val="24"/>
          <w:u w:val="none"/>
        </w:rPr>
        <w:t>地</w:t>
      </w:r>
      <w:r>
        <w:rPr>
          <w:rFonts w:hint="eastAsia" w:ascii="宋体" w:hAnsi="宋体" w:cs="宋体"/>
          <w:color w:val="auto"/>
          <w:sz w:val="24"/>
          <w:u w:val="none"/>
          <w:lang w:val="en-US" w:eastAsia="zh-CN"/>
        </w:rPr>
        <w:t xml:space="preserve"> </w:t>
      </w:r>
      <w:r>
        <w:rPr>
          <w:rFonts w:hint="eastAsia" w:ascii="宋体" w:hAnsi="宋体" w:cs="宋体"/>
          <w:color w:val="auto"/>
          <w:sz w:val="24"/>
          <w:u w:val="none"/>
        </w:rPr>
        <w:t>址：台州市市府大道777号</w:t>
      </w:r>
    </w:p>
    <w:p>
      <w:pPr>
        <w:spacing w:line="360" w:lineRule="auto"/>
        <w:ind w:firstLine="480" w:firstLineChars="200"/>
        <w:rPr>
          <w:rFonts w:ascii="宋体" w:hAnsi="宋体" w:cs="宋体"/>
          <w:color w:val="auto"/>
          <w:sz w:val="24"/>
          <w:u w:val="none"/>
        </w:rPr>
      </w:pPr>
      <w:r>
        <w:rPr>
          <w:rFonts w:hint="eastAsia" w:ascii="宋体" w:hAnsi="宋体" w:cs="宋体"/>
          <w:color w:val="auto"/>
          <w:sz w:val="24"/>
          <w:u w:val="none"/>
        </w:rPr>
        <w:t>项目联系人：</w:t>
      </w:r>
      <w:r>
        <w:rPr>
          <w:rFonts w:hint="eastAsia" w:ascii="宋体" w:hAnsi="宋体" w:cs="宋体"/>
          <w:color w:val="auto"/>
          <w:sz w:val="24"/>
          <w:u w:val="none"/>
          <w:lang w:val="en-US" w:eastAsia="zh-CN"/>
        </w:rPr>
        <w:t>陈</w:t>
      </w:r>
      <w:r>
        <w:rPr>
          <w:rFonts w:hint="eastAsia" w:ascii="宋体" w:hAnsi="宋体" w:cs="宋体"/>
          <w:color w:val="auto"/>
          <w:sz w:val="24"/>
          <w:u w:val="none"/>
        </w:rPr>
        <w:t>先生</w:t>
      </w:r>
    </w:p>
    <w:p>
      <w:pPr>
        <w:spacing w:line="360" w:lineRule="auto"/>
        <w:ind w:firstLine="480" w:firstLineChars="200"/>
        <w:rPr>
          <w:rFonts w:ascii="宋体" w:hAnsi="宋体" w:cs="宋体"/>
          <w:color w:val="auto"/>
          <w:sz w:val="24"/>
          <w:u w:val="none"/>
        </w:rPr>
      </w:pPr>
      <w:r>
        <w:rPr>
          <w:rFonts w:hint="eastAsia" w:ascii="宋体" w:hAnsi="宋体" w:cs="宋体"/>
          <w:color w:val="auto"/>
          <w:sz w:val="24"/>
          <w:u w:val="none"/>
        </w:rPr>
        <w:t>联系电话：0576-</w:t>
      </w:r>
      <w:r>
        <w:rPr>
          <w:rFonts w:hint="eastAsia" w:ascii="宋体" w:hAnsi="宋体" w:cs="宋体"/>
          <w:color w:val="auto"/>
          <w:sz w:val="24"/>
          <w:u w:val="none"/>
          <w:lang w:val="en-US" w:eastAsia="zh-CN"/>
        </w:rPr>
        <w:t>88325289</w:t>
      </w:r>
    </w:p>
    <w:p>
      <w:pPr>
        <w:spacing w:line="360" w:lineRule="auto"/>
        <w:ind w:firstLine="480" w:firstLineChars="200"/>
        <w:rPr>
          <w:rFonts w:ascii="宋体" w:hAnsi="宋体" w:cs="宋体"/>
          <w:color w:val="auto"/>
          <w:sz w:val="24"/>
          <w:u w:val="none"/>
        </w:rPr>
      </w:pPr>
      <w:r>
        <w:rPr>
          <w:rFonts w:hint="eastAsia" w:ascii="宋体" w:hAnsi="宋体" w:cs="宋体"/>
          <w:color w:val="auto"/>
          <w:sz w:val="24"/>
          <w:u w:val="none"/>
        </w:rPr>
        <w:t>受理联系人：</w:t>
      </w:r>
      <w:r>
        <w:rPr>
          <w:rFonts w:hint="eastAsia" w:ascii="宋体" w:hAnsi="宋体" w:cs="宋体"/>
          <w:color w:val="auto"/>
          <w:sz w:val="24"/>
          <w:u w:val="none"/>
          <w:lang w:val="en-US" w:eastAsia="zh-CN"/>
        </w:rPr>
        <w:t>侯</w:t>
      </w:r>
      <w:r>
        <w:rPr>
          <w:rFonts w:hint="eastAsia" w:ascii="宋体" w:hAnsi="宋体" w:cs="宋体"/>
          <w:color w:val="auto"/>
          <w:sz w:val="24"/>
          <w:u w:val="none"/>
        </w:rPr>
        <w:t>女士（受理注册、结果相关质疑及答复）</w:t>
      </w:r>
    </w:p>
    <w:p>
      <w:pPr>
        <w:spacing w:line="360" w:lineRule="auto"/>
        <w:ind w:firstLine="480" w:firstLineChars="200"/>
        <w:rPr>
          <w:rFonts w:ascii="宋体" w:hAnsi="宋体" w:cs="宋体"/>
          <w:color w:val="auto"/>
          <w:sz w:val="24"/>
          <w:u w:val="none"/>
        </w:rPr>
      </w:pPr>
      <w:r>
        <w:rPr>
          <w:rFonts w:hint="eastAsia" w:ascii="宋体" w:hAnsi="宋体" w:cs="宋体"/>
          <w:color w:val="auto"/>
          <w:sz w:val="24"/>
          <w:u w:val="none"/>
        </w:rPr>
        <w:t>联系电话：0576-</w:t>
      </w:r>
      <w:r>
        <w:rPr>
          <w:rFonts w:hint="eastAsia" w:ascii="宋体" w:hAnsi="宋体" w:eastAsia="宋体" w:cs="Arial"/>
          <w:color w:val="auto"/>
          <w:sz w:val="24"/>
          <w:u w:val="none"/>
        </w:rPr>
        <w:t>88685121</w:t>
      </w:r>
    </w:p>
    <w:p>
      <w:pPr>
        <w:spacing w:line="360" w:lineRule="auto"/>
        <w:ind w:firstLine="482" w:firstLineChars="200"/>
        <w:rPr>
          <w:rFonts w:ascii="宋体" w:hAnsi="宋体" w:cs="宋体"/>
          <w:b/>
          <w:color w:val="auto"/>
          <w:sz w:val="24"/>
          <w:u w:val="none"/>
        </w:rPr>
      </w:pPr>
      <w:r>
        <w:rPr>
          <w:rFonts w:hint="eastAsia" w:ascii="宋体" w:hAnsi="宋体" w:cs="宋体"/>
          <w:b/>
          <w:color w:val="auto"/>
          <w:sz w:val="24"/>
          <w:u w:val="none"/>
        </w:rPr>
        <w:t>（三）同级政府采购监管机构</w:t>
      </w:r>
    </w:p>
    <w:p>
      <w:pPr>
        <w:spacing w:line="360" w:lineRule="auto"/>
        <w:ind w:firstLine="480" w:firstLineChars="200"/>
        <w:rPr>
          <w:rFonts w:ascii="宋体" w:hAnsi="宋体" w:cs="宋体"/>
          <w:color w:val="auto"/>
          <w:sz w:val="24"/>
          <w:u w:val="none"/>
        </w:rPr>
      </w:pPr>
      <w:r>
        <w:rPr>
          <w:rFonts w:hint="eastAsia" w:ascii="宋体" w:hAnsi="宋体" w:cs="宋体"/>
          <w:color w:val="auto"/>
          <w:sz w:val="24"/>
          <w:u w:val="none"/>
        </w:rPr>
        <w:t>名 称：</w:t>
      </w:r>
      <w:r>
        <w:rPr>
          <w:rFonts w:hint="eastAsia" w:ascii="宋体" w:hAnsi="宋体" w:eastAsia="宋体" w:cs="Arial"/>
          <w:color w:val="auto"/>
          <w:sz w:val="24"/>
          <w:szCs w:val="24"/>
          <w:u w:val="none"/>
          <w:lang w:val="en-US" w:eastAsia="zh-CN"/>
        </w:rPr>
        <w:t>台州市财政局</w:t>
      </w:r>
    </w:p>
    <w:p>
      <w:pPr>
        <w:spacing w:line="360" w:lineRule="auto"/>
        <w:ind w:firstLine="480" w:firstLineChars="200"/>
        <w:rPr>
          <w:rFonts w:ascii="宋体" w:hAnsi="宋体" w:cs="宋体"/>
          <w:color w:val="auto"/>
          <w:sz w:val="24"/>
          <w:u w:val="none"/>
        </w:rPr>
      </w:pPr>
      <w:r>
        <w:rPr>
          <w:rFonts w:hint="eastAsia" w:ascii="宋体" w:hAnsi="宋体" w:cs="宋体"/>
          <w:color w:val="auto"/>
          <w:sz w:val="24"/>
          <w:u w:val="none"/>
        </w:rPr>
        <w:t>地</w:t>
      </w:r>
      <w:r>
        <w:rPr>
          <w:rFonts w:hint="eastAsia" w:ascii="宋体" w:hAnsi="宋体" w:cs="宋体"/>
          <w:color w:val="auto"/>
          <w:sz w:val="24"/>
          <w:u w:val="none"/>
          <w:lang w:val="en-US" w:eastAsia="zh-CN"/>
        </w:rPr>
        <w:t xml:space="preserve"> </w:t>
      </w:r>
      <w:r>
        <w:rPr>
          <w:rFonts w:hint="eastAsia" w:ascii="宋体" w:hAnsi="宋体" w:cs="宋体"/>
          <w:color w:val="auto"/>
          <w:sz w:val="24"/>
          <w:u w:val="none"/>
        </w:rPr>
        <w:t>址：</w:t>
      </w:r>
      <w:r>
        <w:rPr>
          <w:rFonts w:hint="eastAsia" w:ascii="宋体" w:hAnsi="宋体" w:eastAsia="宋体" w:cs="Arial"/>
          <w:color w:val="auto"/>
          <w:sz w:val="24"/>
          <w:u w:val="none"/>
        </w:rPr>
        <w:t>台州市纬一路66号</w:t>
      </w:r>
    </w:p>
    <w:p>
      <w:pPr>
        <w:spacing w:line="360" w:lineRule="auto"/>
        <w:ind w:firstLine="480" w:firstLineChars="200"/>
        <w:rPr>
          <w:rFonts w:ascii="宋体" w:hAnsi="宋体" w:cs="宋体"/>
          <w:sz w:val="24"/>
          <w:u w:val="none"/>
        </w:rPr>
      </w:pPr>
      <w:r>
        <w:rPr>
          <w:rFonts w:hint="eastAsia" w:ascii="宋体" w:hAnsi="宋体" w:cs="宋体"/>
          <w:sz w:val="24"/>
          <w:u w:val="none"/>
        </w:rPr>
        <w:t>联系人：</w:t>
      </w:r>
      <w:r>
        <w:rPr>
          <w:rFonts w:hint="eastAsia" w:ascii="宋体" w:hAnsi="宋体" w:cs="宋体"/>
          <w:sz w:val="24"/>
          <w:u w:val="none"/>
          <w:lang w:val="en-US" w:eastAsia="zh-CN"/>
        </w:rPr>
        <w:t>陈</w:t>
      </w:r>
      <w:r>
        <w:rPr>
          <w:rFonts w:hint="eastAsia" w:ascii="宋体" w:hAnsi="宋体" w:cs="宋体"/>
          <w:sz w:val="24"/>
          <w:u w:val="none"/>
        </w:rPr>
        <w:t>女士</w:t>
      </w:r>
    </w:p>
    <w:p>
      <w:pPr>
        <w:spacing w:line="360" w:lineRule="auto"/>
        <w:ind w:firstLine="480" w:firstLineChars="200"/>
        <w:rPr>
          <w:rFonts w:hint="eastAsia" w:ascii="宋体" w:hAnsi="宋体" w:cs="宋体"/>
          <w:sz w:val="24"/>
          <w:u w:val="none"/>
          <w:lang w:val="en-US" w:eastAsia="zh-CN"/>
        </w:rPr>
      </w:pPr>
      <w:r>
        <w:rPr>
          <w:rFonts w:hint="eastAsia" w:ascii="宋体" w:hAnsi="宋体" w:cs="宋体"/>
          <w:sz w:val="24"/>
          <w:u w:val="none"/>
        </w:rPr>
        <w:t>联系电话：0576-</w:t>
      </w:r>
      <w:r>
        <w:rPr>
          <w:rFonts w:hint="eastAsia" w:ascii="宋体" w:hAnsi="宋体" w:cs="宋体"/>
          <w:sz w:val="24"/>
          <w:u w:val="none"/>
          <w:lang w:val="en-US" w:eastAsia="zh-CN"/>
        </w:rPr>
        <w:t>88206705</w:t>
      </w:r>
    </w:p>
    <w:p>
      <w:pPr>
        <w:spacing w:line="360" w:lineRule="auto"/>
        <w:ind w:firstLine="482" w:firstLineChars="200"/>
        <w:rPr>
          <w:rFonts w:hint="eastAsia" w:ascii="宋体" w:hAnsi="宋体" w:cs="宋体"/>
          <w:b/>
          <w:bCs/>
          <w:sz w:val="24"/>
          <w:shd w:val="clear" w:color="auto" w:fill="FFFFFF"/>
          <w:lang w:val="en-US" w:eastAsia="zh-CN"/>
        </w:rPr>
      </w:pPr>
      <w:r>
        <w:rPr>
          <w:rFonts w:hint="eastAsia" w:ascii="宋体" w:hAnsi="宋体" w:cs="宋体"/>
          <w:b/>
          <w:bCs/>
          <w:sz w:val="24"/>
          <w:shd w:val="clear" w:color="auto" w:fill="FFFFFF"/>
          <w:lang w:val="en-US" w:eastAsia="zh-CN"/>
        </w:rPr>
        <w:t>（四）网站系统问题</w:t>
      </w:r>
    </w:p>
    <w:p>
      <w:pPr>
        <w:spacing w:line="360" w:lineRule="auto"/>
        <w:ind w:firstLine="480" w:firstLineChars="200"/>
        <w:rPr>
          <w:rFonts w:hint="eastAsia" w:ascii="宋体" w:hAnsi="宋体" w:eastAsia="宋体" w:cs="宋体"/>
          <w:sz w:val="24"/>
          <w:shd w:val="clear" w:color="auto" w:fill="FFFFFF"/>
          <w:lang w:val="en-US" w:eastAsia="zh-CN"/>
        </w:rPr>
      </w:pPr>
      <w:r>
        <w:rPr>
          <w:rFonts w:hint="eastAsia" w:ascii="宋体" w:hAnsi="宋体" w:cs="宋体"/>
          <w:sz w:val="24"/>
          <w:shd w:val="clear" w:color="auto" w:fill="FFFFFF"/>
          <w:lang w:val="en-US" w:eastAsia="zh-CN"/>
        </w:rPr>
        <w:t>客服电话：95763</w:t>
      </w:r>
    </w:p>
    <w:p>
      <w:pPr>
        <w:wordWrap w:val="0"/>
        <w:spacing w:line="360" w:lineRule="auto"/>
        <w:jc w:val="both"/>
        <w:rPr>
          <w:rFonts w:hint="eastAsia" w:asciiTheme="minorEastAsia" w:hAnsiTheme="minorEastAsia" w:eastAsiaTheme="minorEastAsia" w:cstheme="minorEastAsia"/>
          <w:kern w:val="0"/>
          <w:sz w:val="24"/>
          <w:lang w:val="en-US" w:eastAsia="zh-CN"/>
        </w:rPr>
      </w:pPr>
    </w:p>
    <w:p>
      <w:pPr>
        <w:wordWrap w:val="0"/>
        <w:spacing w:line="360" w:lineRule="auto"/>
        <w:jc w:val="both"/>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 xml:space="preserve">  </w:t>
      </w:r>
    </w:p>
    <w:p>
      <w:pPr>
        <w:wordWrap w:val="0"/>
        <w:spacing w:line="360" w:lineRule="auto"/>
        <w:jc w:val="right"/>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2023年2</w:t>
      </w:r>
      <w:r>
        <w:rPr>
          <w:rFonts w:hint="eastAsia" w:asciiTheme="minorEastAsia" w:hAnsiTheme="minorEastAsia" w:eastAsiaTheme="minorEastAsia" w:cstheme="minorEastAsia"/>
          <w:color w:val="auto"/>
          <w:kern w:val="0"/>
          <w:sz w:val="24"/>
          <w:lang w:val="en-US" w:eastAsia="zh-CN"/>
        </w:rPr>
        <w:t>月13</w:t>
      </w:r>
      <w:r>
        <w:rPr>
          <w:rFonts w:hint="eastAsia" w:asciiTheme="minorEastAsia" w:hAnsiTheme="minorEastAsia" w:eastAsiaTheme="minorEastAsia" w:cstheme="minorEastAsia"/>
          <w:kern w:val="0"/>
          <w:sz w:val="24"/>
          <w:lang w:val="en-US" w:eastAsia="zh-CN"/>
        </w:rPr>
        <w:t xml:space="preserve">日   </w:t>
      </w:r>
    </w:p>
    <w:p>
      <w:pPr>
        <w:jc w:val="righ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br w:type="page"/>
      </w:r>
    </w:p>
    <w:p>
      <w:pPr>
        <w:pStyle w:val="2"/>
      </w:pPr>
    </w:p>
    <w:bookmarkEnd w:id="32"/>
    <w:bookmarkEnd w:id="33"/>
    <w:p>
      <w:pPr>
        <w:numPr>
          <w:ilvl w:val="0"/>
          <w:numId w:val="4"/>
        </w:numPr>
        <w:spacing w:line="360" w:lineRule="auto"/>
        <w:jc w:val="center"/>
        <w:rPr>
          <w:rFonts w:asciiTheme="minorEastAsia" w:hAnsiTheme="minorEastAsia" w:eastAsiaTheme="minorEastAsia"/>
          <w:b/>
          <w:sz w:val="36"/>
          <w:szCs w:val="36"/>
        </w:rPr>
      </w:pPr>
      <w:bookmarkStart w:id="34" w:name="_Toc25017_WPSOffice_Level1"/>
      <w:r>
        <w:rPr>
          <w:rFonts w:hint="eastAsia" w:asciiTheme="minorEastAsia" w:hAnsiTheme="minorEastAsia" w:eastAsiaTheme="minorEastAsia"/>
          <w:b/>
          <w:sz w:val="36"/>
          <w:szCs w:val="36"/>
        </w:rPr>
        <w:t>投标人须知</w:t>
      </w:r>
      <w:bookmarkEnd w:id="34"/>
    </w:p>
    <w:p>
      <w:pPr>
        <w:numPr>
          <w:ilvl w:val="0"/>
          <w:numId w:val="5"/>
        </w:numPr>
        <w:ind w:firstLine="482" w:firstLineChars="200"/>
      </w:pPr>
      <w:r>
        <w:rPr>
          <w:rFonts w:hint="eastAsia" w:asciiTheme="minorEastAsia" w:hAnsiTheme="minorEastAsia" w:eastAsiaTheme="minorEastAsia"/>
          <w:b/>
          <w:sz w:val="24"/>
        </w:rPr>
        <w:t>前附表</w:t>
      </w:r>
    </w:p>
    <w:tbl>
      <w:tblPr>
        <w:tblStyle w:val="20"/>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rPr>
            </w:pPr>
            <w:r>
              <w:rPr>
                <w:rFonts w:hint="eastAsia" w:ascii="宋体" w:hAnsi="宋体" w:eastAsia="宋体" w:cs="宋体"/>
                <w:b/>
                <w:bCs/>
              </w:rPr>
              <w:t>序</w:t>
            </w:r>
            <w:r>
              <w:rPr>
                <w:rFonts w:hint="eastAsia" w:ascii="宋体" w:hAnsi="宋体" w:eastAsia="宋体" w:cs="宋体"/>
                <w:b/>
                <w:bCs/>
                <w:lang w:val="en-US" w:eastAsia="zh-CN"/>
              </w:rPr>
              <w:t xml:space="preserve"> </w:t>
            </w:r>
            <w:r>
              <w:rPr>
                <w:rFonts w:hint="eastAsia" w:ascii="宋体" w:hAnsi="宋体" w:eastAsia="宋体" w:cs="宋体"/>
                <w:b/>
                <w:bCs/>
              </w:rPr>
              <w:t>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rPr>
            </w:pPr>
            <w:r>
              <w:rPr>
                <w:rFonts w:hint="eastAsia" w:ascii="宋体" w:hAnsi="宋体" w:eastAsia="宋体" w:cs="宋体"/>
                <w:b/>
                <w:bCs/>
              </w:rPr>
              <w:t>事</w:t>
            </w:r>
            <w:r>
              <w:rPr>
                <w:rFonts w:hint="eastAsia" w:ascii="宋体" w:hAnsi="宋体" w:eastAsia="宋体" w:cs="宋体"/>
                <w:b/>
                <w:bCs/>
                <w:lang w:val="en-US" w:eastAsia="zh-CN"/>
              </w:rPr>
              <w:t xml:space="preserve"> </w:t>
            </w:r>
            <w:r>
              <w:rPr>
                <w:rFonts w:hint="eastAsia" w:ascii="宋体" w:hAnsi="宋体" w:eastAsia="宋体" w:cs="宋体"/>
                <w:b/>
                <w:bCs/>
              </w:rPr>
              <w:t>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rPr>
            </w:pPr>
            <w:r>
              <w:rPr>
                <w:rFonts w:hint="eastAsia" w:ascii="宋体" w:hAnsi="宋体" w:eastAsia="宋体" w:cs="宋体"/>
                <w:b/>
                <w:bCs/>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cs="宋体"/>
                <w:lang w:eastAsia="zh-CN"/>
              </w:rPr>
              <w:t>□</w:t>
            </w:r>
            <w:r>
              <w:rPr>
                <w:rFonts w:hint="eastAsia" w:ascii="宋体" w:hAnsi="宋体" w:eastAsia="宋体" w:cs="宋体"/>
              </w:rPr>
              <w:t xml:space="preserve"> 是/</w:t>
            </w:r>
            <w:r>
              <w:rPr>
                <w:rFonts w:hint="eastAsia" w:ascii="宋体" w:hAnsi="宋体" w:cs="宋体"/>
                <w:lang w:eastAsia="zh-CN"/>
              </w:rPr>
              <w:t>☑</w:t>
            </w:r>
            <w:r>
              <w:rPr>
                <w:rFonts w:hint="eastAsia" w:ascii="宋体" w:hAnsi="宋体" w:eastAsia="宋体" w:cs="宋体"/>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eastAsia="宋体" w:cs="宋体"/>
              </w:rPr>
              <w:t>是（但主体部分不得分包，详见招标需求内容）/</w:t>
            </w:r>
            <w:r>
              <w:rPr>
                <w:rFonts w:hint="eastAsia" w:ascii="宋体" w:hAnsi="宋体" w:cs="宋体"/>
                <w:lang w:eastAsia="zh-CN"/>
              </w:rPr>
              <w:t>☑</w:t>
            </w:r>
            <w:r>
              <w:rPr>
                <w:rFonts w:hint="eastAsia" w:ascii="宋体" w:hAnsi="宋体" w:eastAsia="宋体" w:cs="宋体"/>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答疑会或</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请投标人在投标前仔细阅读</w:t>
            </w:r>
            <w:r>
              <w:rPr>
                <w:rFonts w:hint="eastAsia" w:ascii="宋体" w:hAnsi="宋体" w:cs="宋体"/>
                <w:lang w:eastAsia="zh-CN"/>
              </w:rPr>
              <w:t>《</w:t>
            </w:r>
            <w:r>
              <w:rPr>
                <w:rFonts w:hint="eastAsia" w:ascii="宋体" w:hAnsi="宋体" w:eastAsia="宋体" w:cs="宋体"/>
              </w:rPr>
              <w:t>政府采购项目电子交易操作指南</w:t>
            </w:r>
            <w:r>
              <w:rPr>
                <w:rFonts w:hint="eastAsia" w:ascii="宋体" w:hAnsi="宋体" w:cs="宋体"/>
                <w:lang w:eastAsia="zh-CN"/>
              </w:rPr>
              <w:t>》</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1.投标文件的制作：投标人按照本项目招标文件和政采云平台的要求，通过“政采云电子交易客户端”编制、加密并递交投标文件（下载网址：</w:t>
            </w:r>
            <w:r>
              <w:rPr>
                <w:rFonts w:hint="eastAsia" w:ascii="宋体" w:hAnsi="宋体" w:eastAsia="宋体" w:cs="宋体"/>
              </w:rPr>
              <w:fldChar w:fldCharType="begin"/>
            </w:r>
            <w:r>
              <w:rPr>
                <w:rFonts w:hint="eastAsia" w:ascii="宋体" w:hAnsi="宋体" w:eastAsia="宋体" w:cs="宋体"/>
              </w:rPr>
              <w:instrText xml:space="preserve"> HYPERLINK "http://www.zjzfcg.gov.cn/bidClientTemplate/2019-09-24/12975.html）。" </w:instrText>
            </w:r>
            <w:r>
              <w:rPr>
                <w:rFonts w:hint="eastAsia" w:ascii="宋体" w:hAnsi="宋体" w:eastAsia="宋体" w:cs="宋体"/>
              </w:rPr>
              <w:fldChar w:fldCharType="separate"/>
            </w:r>
            <w:r>
              <w:rPr>
                <w:rFonts w:hint="eastAsia" w:ascii="宋体" w:hAnsi="宋体" w:eastAsia="宋体" w:cs="宋体"/>
              </w:rPr>
              <w:t>https://zfcg.czt.zj.gov.cn/download/index.html）。</w:t>
            </w:r>
            <w:r>
              <w:rPr>
                <w:rFonts w:hint="eastAsia" w:ascii="宋体" w:hAnsi="宋体" w:eastAsia="宋体" w:cs="宋体"/>
              </w:rPr>
              <w:fldChar w:fldCharType="end"/>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rPr>
            </w:pPr>
            <w:r>
              <w:rPr>
                <w:rFonts w:hint="eastAsia" w:ascii="宋体" w:hAnsi="宋体" w:eastAsia="宋体" w:cs="宋体"/>
              </w:rPr>
              <w:t>2.投标：投标人应当在投标截止时间前（开标当天北</w:t>
            </w:r>
            <w:r>
              <w:rPr>
                <w:rFonts w:hint="eastAsia" w:ascii="宋体" w:hAnsi="宋体" w:eastAsia="宋体" w:cs="宋体"/>
                <w:color w:val="auto"/>
              </w:rPr>
              <w:t>京时间</w:t>
            </w:r>
            <w:r>
              <w:rPr>
                <w:rFonts w:hint="eastAsia" w:ascii="宋体" w:hAnsi="宋体" w:cs="宋体"/>
                <w:color w:val="auto"/>
                <w:u w:val="single"/>
                <w:lang w:val="en-US" w:eastAsia="zh-CN"/>
              </w:rPr>
              <w:t>09</w:t>
            </w:r>
            <w:r>
              <w:rPr>
                <w:rFonts w:hint="eastAsia" w:ascii="宋体" w:hAnsi="宋体" w:eastAsia="宋体" w:cs="宋体"/>
                <w:color w:val="auto"/>
                <w:u w:val="single"/>
              </w:rPr>
              <w:t>:</w:t>
            </w:r>
            <w:r>
              <w:rPr>
                <w:rFonts w:hint="eastAsia" w:ascii="宋体" w:hAnsi="宋体" w:cs="宋体"/>
                <w:color w:val="auto"/>
                <w:u w:val="single"/>
                <w:lang w:val="en-US" w:eastAsia="zh-CN"/>
              </w:rPr>
              <w:t>00</w:t>
            </w:r>
            <w:r>
              <w:rPr>
                <w:rFonts w:hint="eastAsia" w:ascii="宋体" w:hAnsi="宋体" w:eastAsia="宋体" w:cs="宋体"/>
                <w:color w:val="auto"/>
              </w:rPr>
              <w:t>）完成投标文件的传输递交，逾期上传的投标文件恕不接受。补充或者修改投标文件的，应当先行撤回原文件，补充、修改后重新传输递交。投标截止时间前未完成上传的，视为撤回投标文件。</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color w:val="auto"/>
              </w:rPr>
              <w:t>3.投标文件解密：开标当天北京时间</w:t>
            </w:r>
            <w:r>
              <w:rPr>
                <w:rFonts w:hint="eastAsia" w:ascii="宋体" w:hAnsi="宋体" w:cs="宋体"/>
                <w:color w:val="auto"/>
                <w:u w:val="single"/>
                <w:lang w:val="en-US" w:eastAsia="zh-CN"/>
              </w:rPr>
              <w:t>09</w:t>
            </w:r>
            <w:r>
              <w:rPr>
                <w:rFonts w:hint="eastAsia" w:ascii="宋体" w:hAnsi="宋体" w:eastAsia="宋体" w:cs="宋体"/>
                <w:color w:val="auto"/>
                <w:u w:val="single"/>
              </w:rPr>
              <w:t>:</w:t>
            </w:r>
            <w:r>
              <w:rPr>
                <w:rFonts w:hint="eastAsia" w:ascii="宋体" w:hAnsi="宋体" w:cs="宋体"/>
                <w:color w:val="auto"/>
                <w:u w:val="single"/>
                <w:lang w:val="en-US" w:eastAsia="zh-CN"/>
              </w:rPr>
              <w:t>00</w:t>
            </w:r>
            <w:r>
              <w:rPr>
                <w:rFonts w:hint="eastAsia" w:ascii="宋体" w:hAnsi="宋体" w:cs="宋体"/>
                <w:color w:val="auto"/>
                <w:lang w:val="en-US" w:eastAsia="zh-CN"/>
              </w:rPr>
              <w:t>系统自动</w:t>
            </w:r>
            <w:r>
              <w:rPr>
                <w:rFonts w:hint="eastAsia" w:ascii="宋体" w:hAnsi="宋体" w:eastAsia="宋体" w:cs="宋体"/>
                <w:color w:val="auto"/>
              </w:rPr>
              <w:t>完</w:t>
            </w:r>
            <w:r>
              <w:rPr>
                <w:rFonts w:hint="eastAsia" w:ascii="宋体" w:hAnsi="宋体" w:eastAsia="宋体" w:cs="宋体"/>
              </w:rPr>
              <w:t>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不见面开标</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开标实行钉钉直播。</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钉钉直播群号为：</w:t>
            </w:r>
            <w:r>
              <w:rPr>
                <w:rFonts w:hint="eastAsia" w:ascii="宋体" w:hAnsi="宋体" w:cs="宋体"/>
                <w:color w:val="auto"/>
                <w:u w:val="single"/>
                <w:lang w:val="en-US" w:eastAsia="zh-CN"/>
              </w:rPr>
              <w:t>28650015545</w:t>
            </w:r>
            <w:r>
              <w:rPr>
                <w:rFonts w:hint="eastAsia" w:ascii="宋体" w:hAnsi="宋体" w:eastAsia="宋体" w:cs="宋体"/>
              </w:rPr>
              <w:t>，开</w:t>
            </w:r>
            <w:r>
              <w:rPr>
                <w:rFonts w:hint="eastAsia" w:ascii="宋体" w:hAnsi="宋体" w:eastAsia="宋体" w:cs="宋体"/>
                <w:color w:val="auto"/>
              </w:rPr>
              <w:t>标当天</w:t>
            </w:r>
            <w:r>
              <w:rPr>
                <w:rFonts w:hint="eastAsia" w:ascii="宋体" w:hAnsi="宋体" w:cs="宋体"/>
                <w:color w:val="auto"/>
                <w:u w:val="single"/>
                <w:lang w:val="en-US" w:eastAsia="zh-CN"/>
              </w:rPr>
              <w:t>08</w:t>
            </w:r>
            <w:r>
              <w:rPr>
                <w:rFonts w:hint="eastAsia" w:ascii="宋体" w:hAnsi="宋体" w:eastAsia="宋体" w:cs="宋体"/>
                <w:color w:val="auto"/>
                <w:u w:val="single"/>
              </w:rPr>
              <w:t>:</w:t>
            </w:r>
            <w:r>
              <w:rPr>
                <w:rFonts w:hint="eastAsia" w:ascii="宋体" w:hAnsi="宋体" w:cs="宋体"/>
                <w:color w:val="auto"/>
                <w:u w:val="single"/>
                <w:lang w:val="en-US" w:eastAsia="zh-CN"/>
              </w:rPr>
              <w:t>45</w:t>
            </w:r>
            <w:r>
              <w:rPr>
                <w:rFonts w:hint="eastAsia" w:ascii="宋体" w:hAnsi="宋体" w:eastAsia="宋体" w:cs="宋体"/>
                <w:color w:val="auto"/>
              </w:rPr>
              <w:t>以后</w:t>
            </w:r>
            <w:r>
              <w:rPr>
                <w:rFonts w:hint="eastAsia" w:ascii="宋体" w:hAnsi="宋体" w:eastAsia="宋体" w:cs="宋体"/>
              </w:rPr>
              <w:t>搜索进群。采购组织机构按照招标文件规定的时间通过“政采云平台”组织开标，所有投标人均应当准时在线参加。如未参加，造成无法投标、投标失败等后果由投标人自行承担。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远程在线演示要求</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rPr>
            </w:pPr>
            <w:r>
              <w:rPr>
                <w:rFonts w:hint="eastAsia" w:ascii="宋体" w:hAnsi="宋体" w:eastAsia="宋体" w:cs="宋体"/>
              </w:rPr>
              <w:t>1.投标人需在项目开标前建立钉钉直播群，将群号以邮件的形式发送至项目联系人邮箱，于开标当天，根据评标委员会电话通知进行远程视频直播。</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color w:val="auto"/>
              </w:rPr>
              <w:t>2.邮件发送截止时间：开标当天</w:t>
            </w:r>
            <w:r>
              <w:rPr>
                <w:rFonts w:hint="eastAsia" w:ascii="宋体" w:hAnsi="宋体" w:cs="宋体"/>
                <w:color w:val="auto"/>
                <w:u w:val="single"/>
                <w:lang w:val="en-US" w:eastAsia="zh-CN"/>
              </w:rPr>
              <w:t>09</w:t>
            </w:r>
            <w:r>
              <w:rPr>
                <w:rFonts w:hint="eastAsia" w:ascii="宋体" w:hAnsi="宋体" w:eastAsia="宋体" w:cs="宋体"/>
                <w:color w:val="auto"/>
                <w:u w:val="single"/>
              </w:rPr>
              <w:t>:</w:t>
            </w:r>
            <w:r>
              <w:rPr>
                <w:rFonts w:hint="eastAsia" w:ascii="宋体" w:hAnsi="宋体" w:cs="宋体"/>
                <w:color w:val="auto"/>
                <w:u w:val="single"/>
                <w:lang w:val="en-US" w:eastAsia="zh-CN"/>
              </w:rPr>
              <w:t>00</w:t>
            </w:r>
            <w:r>
              <w:rPr>
                <w:rFonts w:hint="eastAsia" w:ascii="宋体" w:hAnsi="宋体" w:eastAsia="宋体" w:cs="宋体"/>
                <w:color w:val="auto"/>
              </w:rPr>
              <w:t>之前（</w:t>
            </w:r>
            <w:r>
              <w:rPr>
                <w:rFonts w:hint="eastAsia" w:ascii="宋体" w:hAnsi="宋体" w:eastAsia="宋体" w:cs="宋体"/>
              </w:rPr>
              <w:t>逾期发送的群号恕不接受，不接受其他形式的演示直播，具体操作要求见《投标人演示直播指南》）。</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3.邮件标题：所投项目名称（投标人名称）演示。</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rPr>
              <w:t>4.邮箱地址：</w:t>
            </w:r>
            <w:r>
              <w:rPr>
                <w:rFonts w:hint="eastAsia" w:ascii="宋体" w:hAnsi="宋体" w:cs="宋体"/>
                <w:u w:val="single"/>
                <w:lang w:val="en-US" w:eastAsia="zh-CN"/>
              </w:rPr>
              <w:t>iolite</w:t>
            </w:r>
            <w:r>
              <w:rPr>
                <w:rFonts w:hint="eastAsia" w:ascii="宋体" w:hAnsi="宋体" w:eastAsia="宋体" w:cs="宋体"/>
                <w:u w:val="single"/>
              </w:rPr>
              <w:t>@</w:t>
            </w:r>
            <w:r>
              <w:rPr>
                <w:rFonts w:hint="eastAsia" w:ascii="宋体" w:hAnsi="宋体" w:cs="宋体"/>
                <w:u w:val="single"/>
                <w:lang w:val="en-US" w:eastAsia="zh-CN"/>
              </w:rPr>
              <w:t>dingtalk</w:t>
            </w:r>
            <w:r>
              <w:rPr>
                <w:rFonts w:hint="eastAsia" w:ascii="宋体" w:hAnsi="宋体" w:eastAsia="宋体" w:cs="宋体"/>
                <w:u w:val="single"/>
              </w:rPr>
              <w:t>.com</w:t>
            </w:r>
            <w:r>
              <w:rPr>
                <w:rFonts w:hint="eastAsia" w:ascii="宋体" w:hAnsi="宋体" w:cs="宋体"/>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投标与开标</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1.本项目实行电子投标，投标人自行承担投标一切费用。</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信用信息</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lang w:eastAsia="zh-CN"/>
              </w:rPr>
            </w:pPr>
            <w:r>
              <w:rPr>
                <w:rFonts w:hint="eastAsia" w:ascii="宋体" w:hAnsi="宋体" w:eastAsia="宋体" w:cs="宋体"/>
              </w:rPr>
              <w:t>信用中国（网址：</w:t>
            </w:r>
            <w:r>
              <w:rPr>
                <w:rFonts w:hint="eastAsia" w:ascii="宋体" w:hAnsi="宋体" w:eastAsia="宋体" w:cs="宋体"/>
              </w:rPr>
              <w:fldChar w:fldCharType="begin"/>
            </w:r>
            <w:r>
              <w:rPr>
                <w:rFonts w:hint="eastAsia" w:ascii="宋体" w:hAnsi="宋体" w:eastAsia="宋体" w:cs="宋体"/>
              </w:rPr>
              <w:instrText xml:space="preserve"> HYPERLINK "http://www.creditchina.gov.cn" </w:instrText>
            </w:r>
            <w:r>
              <w:rPr>
                <w:rFonts w:hint="eastAsia" w:ascii="宋体" w:hAnsi="宋体" w:eastAsia="宋体" w:cs="宋体"/>
              </w:rPr>
              <w:fldChar w:fldCharType="separate"/>
            </w:r>
            <w:r>
              <w:rPr>
                <w:rFonts w:hint="eastAsia" w:ascii="宋体" w:hAnsi="宋体" w:eastAsia="宋体" w:cs="宋体"/>
              </w:rPr>
              <w:t>http://www.creditchina.gov.cn</w:t>
            </w:r>
            <w:r>
              <w:rPr>
                <w:rFonts w:hint="eastAsia" w:ascii="宋体" w:hAnsi="宋体" w:eastAsia="宋体" w:cs="宋体"/>
              </w:rPr>
              <w:fldChar w:fldCharType="end"/>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lang w:eastAsia="zh-CN"/>
              </w:rPr>
            </w:pPr>
            <w:r>
              <w:rPr>
                <w:rFonts w:hint="eastAsia" w:ascii="宋体" w:hAnsi="宋体" w:eastAsia="宋体" w:cs="宋体"/>
              </w:rPr>
              <w:t>中国政府采购网（网址：http://www.ccgp.gov.cn</w:t>
            </w:r>
            <w:r>
              <w:rPr>
                <w:rFonts w:hint="eastAsia" w:ascii="宋体" w:hAnsi="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中小企业预留</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份额情况</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根据《政府采购促进中小企业发展管理办法》</w:t>
            </w:r>
            <w:r>
              <w:rPr>
                <w:rFonts w:hint="eastAsia" w:ascii="宋体" w:hAnsi="宋体" w:cs="宋体"/>
                <w:lang w:eastAsia="zh-CN"/>
              </w:rPr>
              <w:t>（</w:t>
            </w:r>
            <w:r>
              <w:rPr>
                <w:rFonts w:hint="eastAsia" w:ascii="宋体" w:hAnsi="宋体" w:eastAsia="宋体" w:cs="宋体"/>
              </w:rPr>
              <w:t>财库〔2020〕46号</w:t>
            </w:r>
            <w:r>
              <w:rPr>
                <w:rFonts w:hint="eastAsia" w:ascii="宋体" w:hAnsi="宋体" w:cs="宋体"/>
                <w:lang w:eastAsia="zh-CN"/>
              </w:rPr>
              <w:t>）</w:t>
            </w:r>
            <w:r>
              <w:rPr>
                <w:rFonts w:hint="eastAsia" w:ascii="宋体" w:hAnsi="宋体" w:eastAsia="宋体" w:cs="宋体"/>
              </w:rPr>
              <w:t>文件的规定，本项目(□是/</w:t>
            </w:r>
            <w:r>
              <w:rPr>
                <w:rFonts w:hint="eastAsia" w:ascii="宋体" w:hAnsi="宋体" w:cs="宋体"/>
                <w:lang w:eastAsia="zh-CN"/>
              </w:rPr>
              <w:t>☑</w:t>
            </w:r>
            <w:r>
              <w:rPr>
                <w:rFonts w:hint="eastAsia" w:ascii="宋体" w:hAnsi="宋体" w:eastAsia="宋体" w:cs="宋体"/>
              </w:rPr>
              <w:t>否)属于专门面向中小企业采购的项目。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val="en-US" w:eastAsia="zh-CN"/>
              </w:rPr>
            </w:pPr>
            <w:r>
              <w:rPr>
                <w:rFonts w:hint="eastAsia" w:ascii="宋体" w:hAnsi="宋体" w:eastAsia="宋体" w:cs="宋体"/>
              </w:rPr>
              <w:t>1</w:t>
            </w:r>
            <w:r>
              <w:rPr>
                <w:rFonts w:hint="eastAsia" w:ascii="宋体" w:hAnsi="宋体" w:cs="宋体"/>
                <w:lang w:val="en-US" w:eastAsia="zh-CN"/>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 xml:space="preserve"> 政采云平台网上质疑系统。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val="en-US" w:eastAsia="zh-CN"/>
              </w:rPr>
            </w:pPr>
            <w:r>
              <w:rPr>
                <w:rFonts w:hint="eastAsia" w:ascii="宋体" w:hAnsi="宋体" w:eastAsia="宋体" w:cs="宋体"/>
              </w:rPr>
              <w:t>1</w:t>
            </w:r>
            <w:r>
              <w:rPr>
                <w:rFonts w:hint="eastAsia" w:ascii="宋体" w:hAnsi="宋体" w:cs="宋体"/>
                <w:lang w:val="en-US" w:eastAsia="zh-CN"/>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lang w:val="zh-CN"/>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lang w:val="zh-CN"/>
              </w:rPr>
              <w:t>带“</w:t>
            </w:r>
            <w:r>
              <w:rPr>
                <w:rFonts w:hint="eastAsia" w:ascii="宋体" w:hAnsi="宋体" w:eastAsia="宋体" w:cs="宋体"/>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val="en-US" w:eastAsia="zh-CN"/>
              </w:rPr>
            </w:pPr>
            <w:r>
              <w:rPr>
                <w:rFonts w:hint="eastAsia" w:ascii="宋体" w:hAnsi="宋体" w:eastAsia="宋体" w:cs="宋体"/>
              </w:rPr>
              <w:t>1</w:t>
            </w:r>
            <w:r>
              <w:rPr>
                <w:rFonts w:hint="eastAsia" w:ascii="宋体" w:hAnsi="宋体" w:cs="宋体"/>
                <w:lang w:val="en-US" w:eastAsia="zh-CN"/>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val="en-US" w:eastAsia="zh-CN"/>
              </w:rPr>
            </w:pPr>
            <w:r>
              <w:rPr>
                <w:rFonts w:hint="eastAsia" w:ascii="宋体" w:hAnsi="宋体" w:eastAsia="宋体" w:cs="宋体"/>
              </w:rPr>
              <w:t>1</w:t>
            </w:r>
            <w:r>
              <w:rPr>
                <w:rFonts w:hint="eastAsia" w:ascii="宋体" w:hAnsi="宋体" w:cs="宋体"/>
                <w:lang w:val="en-US" w:eastAsia="zh-CN"/>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val="en-US" w:eastAsia="zh-CN"/>
              </w:rPr>
            </w:pPr>
            <w:r>
              <w:rPr>
                <w:rFonts w:hint="eastAsia" w:ascii="宋体" w:hAnsi="宋体" w:eastAsia="宋体" w:cs="宋体"/>
              </w:rPr>
              <w:t>1</w:t>
            </w:r>
            <w:r>
              <w:rPr>
                <w:rFonts w:hint="eastAsia" w:ascii="宋体" w:hAnsi="宋体" w:cs="宋体"/>
                <w:lang w:val="en-US" w:eastAsia="zh-CN"/>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本招标文件解释权属于采购人和采购组织机构。</w:t>
            </w:r>
          </w:p>
        </w:tc>
      </w:tr>
    </w:tbl>
    <w:p>
      <w:pPr>
        <w:pStyle w:val="12"/>
        <w:snapToGrid w:val="0"/>
        <w:spacing w:line="360" w:lineRule="auto"/>
        <w:rPr>
          <w:rFonts w:hint="eastAsia" w:asciiTheme="minorEastAsia" w:hAnsiTheme="minorEastAsia" w:eastAsiaTheme="minorEastAsia"/>
          <w:b/>
          <w:sz w:val="24"/>
        </w:rPr>
      </w:pPr>
    </w:p>
    <w:p>
      <w:pPr>
        <w:pStyle w:val="12"/>
        <w:keepNext w:val="0"/>
        <w:keepLines w:val="0"/>
        <w:pageBreakBefore w:val="0"/>
        <w:kinsoku/>
        <w:wordWrap/>
        <w:overflowPunct/>
        <w:topLinePunct w:val="0"/>
        <w:bidi w:val="0"/>
        <w:adjustRightInd/>
        <w:snapToGrid/>
        <w:spacing w:line="360" w:lineRule="auto"/>
        <w:ind w:firstLine="482" w:firstLineChars="200"/>
        <w:textAlignment w:val="auto"/>
        <w:rPr>
          <w:rFonts w:asciiTheme="minorEastAsia" w:hAnsiTheme="minorEastAsia" w:eastAsiaTheme="minorEastAsia"/>
          <w:b/>
          <w:sz w:val="24"/>
        </w:rPr>
      </w:pPr>
      <w:r>
        <w:rPr>
          <w:rFonts w:hint="eastAsia" w:asciiTheme="minorEastAsia" w:hAnsiTheme="minorEastAsia" w:eastAsiaTheme="minorEastAsia"/>
          <w:b/>
          <w:sz w:val="24"/>
        </w:rPr>
        <w:t>二、说 明</w:t>
      </w:r>
    </w:p>
    <w:p>
      <w:pPr>
        <w:pStyle w:val="13"/>
        <w:keepNext w:val="0"/>
        <w:keepLines w:val="0"/>
        <w:pageBreakBefore w:val="0"/>
        <w:numPr>
          <w:ilvl w:val="0"/>
          <w:numId w:val="6"/>
        </w:numPr>
        <w:kinsoku/>
        <w:wordWrap/>
        <w:overflowPunct/>
        <w:topLinePunct w:val="0"/>
        <w:bidi w:val="0"/>
        <w:adjustRightInd/>
        <w:snapToGrid/>
        <w:spacing w:line="360" w:lineRule="auto"/>
        <w:ind w:left="0" w:leftChars="0" w:firstLine="482" w:firstLineChars="200"/>
        <w:textAlignment w:val="auto"/>
        <w:rPr>
          <w:rFonts w:asciiTheme="minorEastAsia" w:hAnsiTheme="minorEastAsia" w:eastAsiaTheme="minorEastAsia"/>
          <w:b/>
          <w:sz w:val="24"/>
          <w:szCs w:val="24"/>
        </w:rPr>
      </w:pPr>
      <w:r>
        <w:rPr>
          <w:rFonts w:hint="eastAsia" w:asciiTheme="minorEastAsia" w:hAnsiTheme="minorEastAsia" w:eastAsiaTheme="minorEastAsia"/>
          <w:b/>
          <w:sz w:val="24"/>
          <w:szCs w:val="24"/>
        </w:rPr>
        <w:t>总则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Theme="minorEastAsia" w:hAnsiTheme="minorEastAsia" w:eastAsiaTheme="minorEastAsia"/>
          <w:sz w:val="24"/>
        </w:rPr>
        <w:t>投标</w:t>
      </w:r>
      <w:r>
        <w:rPr>
          <w:rFonts w:hint="eastAsia" w:asciiTheme="minorEastAsia" w:hAnsiTheme="minorEastAsia" w:eastAsiaTheme="minorEastAsia"/>
          <w:sz w:val="24"/>
        </w:rPr>
        <w:t>人</w:t>
      </w:r>
      <w:r>
        <w:rPr>
          <w:rFonts w:hint="eastAsia"/>
          <w:sz w:val="24"/>
        </w:rPr>
        <w:t>承担。</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82" w:firstLineChars="200"/>
        <w:textAlignment w:val="auto"/>
        <w:rPr>
          <w:rFonts w:asciiTheme="minorEastAsia" w:hAnsiTheme="minorEastAsia" w:eastAsiaTheme="minorEastAsia"/>
          <w:b/>
          <w:sz w:val="24"/>
        </w:rPr>
      </w:pPr>
      <w:r>
        <w:rPr>
          <w:rFonts w:asciiTheme="minorEastAsia" w:hAnsiTheme="minorEastAsia" w:eastAsiaTheme="minorEastAsia"/>
          <w:b/>
          <w:sz w:val="24"/>
        </w:rPr>
        <w:t>适用范围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t>本招标文件仅适用于本次招标公告中所涉及的项目和内容。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heme="minorEastAsia" w:hAnsiTheme="minorEastAsia" w:eastAsiaTheme="minorEastAsia"/>
          <w:b/>
          <w:sz w:val="24"/>
        </w:rPr>
      </w:pPr>
      <w:r>
        <w:rPr>
          <w:rFonts w:hint="eastAsia" w:asciiTheme="minorEastAsia" w:hAnsiTheme="minorEastAsia" w:eastAsiaTheme="minorEastAsia"/>
          <w:b/>
          <w:sz w:val="24"/>
        </w:rPr>
        <w:t>（三）当事人</w:t>
      </w:r>
    </w:p>
    <w:p>
      <w:pPr>
        <w:pStyle w:val="6"/>
        <w:keepNext w:val="0"/>
        <w:keepLines w:val="0"/>
        <w:pageBreakBefore w:val="0"/>
        <w:widowControl w:val="0"/>
        <w:tabs>
          <w:tab w:val="left" w:pos="0"/>
          <w:tab w:val="left" w:pos="851"/>
        </w:tabs>
        <w:kinsoku/>
        <w:wordWrap/>
        <w:overflowPunct/>
        <w:topLinePunct w:val="0"/>
        <w:autoSpaceDE/>
        <w:autoSpaceDN/>
        <w:bidi w:val="0"/>
        <w:adjustRightInd/>
        <w:snapToGrid/>
        <w:spacing w:before="0" w:after="0" w:line="360" w:lineRule="auto"/>
        <w:ind w:firstLine="480" w:firstLineChars="200"/>
        <w:textAlignment w:val="auto"/>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asciiTheme="minorEastAsia" w:hAnsiTheme="minorEastAsia" w:eastAsiaTheme="minorEastAsia"/>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lang w:eastAsia="zh-CN"/>
        </w:rPr>
      </w:pPr>
      <w:r>
        <w:rPr>
          <w:rFonts w:hint="eastAsia" w:asciiTheme="minorEastAsia" w:hAnsiTheme="minorEastAsia" w:eastAsiaTheme="minorEastAsia"/>
          <w:sz w:val="24"/>
        </w:rPr>
        <w:t>2.采购人：是指依法进行政府采购的国家机关、事业单位和团体组织</w:t>
      </w:r>
      <w:r>
        <w:rPr>
          <w:rFonts w:hint="eastAsia" w:asciiTheme="minorEastAsia" w:hAnsiTheme="minorEastAsia" w:eastAsiaTheme="minorEastAsia"/>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lang w:eastAsia="zh-CN"/>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r>
        <w:rPr>
          <w:rFonts w:hint="eastAsia" w:asciiTheme="minorEastAsia" w:hAnsiTheme="minorEastAsia" w:eastAsiaTheme="minorEastAsia"/>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lang w:val="zh-CN" w:eastAsia="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eastAsia="zh-CN"/>
        </w:rPr>
        <w:t>；</w:t>
      </w:r>
    </w:p>
    <w:p>
      <w:pPr>
        <w:keepNext w:val="0"/>
        <w:keepLines w:val="0"/>
        <w:pageBreakBefore w:val="0"/>
        <w:kinsoku/>
        <w:wordWrap/>
        <w:overflowPunct/>
        <w:topLinePunct w:val="0"/>
        <w:bidi w:val="0"/>
        <w:adjustRightInd/>
        <w:snapToGrid/>
        <w:spacing w:line="360" w:lineRule="auto"/>
        <w:ind w:firstLine="480" w:firstLineChars="200"/>
        <w:textAlignment w:val="auto"/>
        <w:rPr>
          <w:sz w:val="24"/>
        </w:rPr>
      </w:pPr>
      <w:r>
        <w:rPr>
          <w:rFonts w:hint="eastAsia" w:ascii="宋体" w:hAnsi="宋体"/>
          <w:sz w:val="24"/>
        </w:rPr>
        <w:t>5</w:t>
      </w:r>
      <w:r>
        <w:rPr>
          <w:rFonts w:hint="eastAsia" w:ascii="宋体" w:hAnsi="宋体"/>
          <w:sz w:val="24"/>
          <w:lang w:val="zh-CN"/>
        </w:rPr>
        <w:t>.</w:t>
      </w:r>
      <w:r>
        <w:rPr>
          <w:rFonts w:hint="eastAsia" w:ascii="宋体" w:hAnsi="宋体"/>
          <w:sz w:val="24"/>
        </w:rPr>
        <w:t>联合体：</w:t>
      </w:r>
      <w:r>
        <w:rPr>
          <w:rFonts w:hint="eastAsia"/>
          <w:sz w:val="24"/>
        </w:rPr>
        <w:t>两个或两个以上法人或者其他组织可以组成一个联合体，以一个投标人的身份共同投标。</w:t>
      </w:r>
    </w:p>
    <w:p>
      <w:pPr>
        <w:keepNext w:val="0"/>
        <w:keepLines w:val="0"/>
        <w:pageBreakBefore w:val="0"/>
        <w:kinsoku/>
        <w:wordWrap/>
        <w:overflowPunct/>
        <w:topLinePunct w:val="0"/>
        <w:bidi w:val="0"/>
        <w:adjustRightInd/>
        <w:snapToGrid/>
        <w:spacing w:line="360" w:lineRule="auto"/>
        <w:ind w:firstLine="482" w:firstLineChars="200"/>
        <w:textAlignment w:val="auto"/>
        <w:rPr>
          <w:b/>
          <w:bCs/>
          <w:sz w:val="24"/>
        </w:rPr>
      </w:pPr>
      <w:r>
        <w:rPr>
          <w:rFonts w:hint="eastAsia"/>
          <w:b/>
          <w:bCs/>
          <w:sz w:val="24"/>
        </w:rPr>
        <w:t>（</w:t>
      </w:r>
      <w:r>
        <w:rPr>
          <w:rFonts w:hint="eastAsia"/>
          <w:b/>
          <w:bCs/>
          <w:sz w:val="24"/>
          <w:lang w:val="en-US" w:eastAsia="zh-CN"/>
        </w:rPr>
        <w:t>四</w:t>
      </w:r>
      <w:r>
        <w:rPr>
          <w:rFonts w:hint="eastAsia"/>
          <w:b/>
          <w:bCs/>
          <w:sz w:val="24"/>
        </w:rPr>
        <w:t>）</w:t>
      </w:r>
      <w:r>
        <w:rPr>
          <w:b/>
          <w:bCs/>
          <w:sz w:val="24"/>
        </w:rPr>
        <w:t>语言文字以及度量衡单位</w:t>
      </w:r>
    </w:p>
    <w:p>
      <w:pPr>
        <w:keepNext w:val="0"/>
        <w:keepLines w:val="0"/>
        <w:pageBreakBefore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1.投标文件以及投标人与</w:t>
      </w:r>
      <w:r>
        <w:rPr>
          <w:rFonts w:hint="eastAsia" w:ascii="宋体" w:hAnsi="宋体" w:cs="宋体" w:eastAsiaTheme="minorEastAsia"/>
          <w:kern w:val="0"/>
          <w:sz w:val="24"/>
          <w:lang w:val="en-US" w:eastAsia="zh-CN"/>
        </w:rPr>
        <w:t>采购组织机构</w:t>
      </w:r>
      <w:r>
        <w:rPr>
          <w:rFonts w:hint="eastAsia" w:asciiTheme="minorEastAsia" w:hAnsiTheme="minorEastAsia" w:eastAsiaTheme="minor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keepNext w:val="0"/>
        <w:keepLines w:val="0"/>
        <w:pageBreakBefore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2.所有计量均采用中国法定的计量单位。</w:t>
      </w:r>
    </w:p>
    <w:p>
      <w:pPr>
        <w:keepNext w:val="0"/>
        <w:keepLines w:val="0"/>
        <w:pageBreakBefore w:val="0"/>
        <w:kinsoku/>
        <w:wordWrap/>
        <w:overflowPunct/>
        <w:topLinePunct w:val="0"/>
        <w:bidi w:val="0"/>
        <w:adjustRightInd/>
        <w:snapToGrid/>
        <w:spacing w:line="360" w:lineRule="auto"/>
        <w:ind w:firstLine="480" w:firstLineChars="200"/>
        <w:textAlignment w:val="auto"/>
        <w:rPr>
          <w:sz w:val="24"/>
        </w:rPr>
      </w:pPr>
      <w:r>
        <w:rPr>
          <w:rFonts w:hint="eastAsia" w:asciiTheme="minorEastAsia" w:hAnsiTheme="minorEastAsia" w:eastAsiaTheme="minorEastAsia"/>
          <w:sz w:val="24"/>
        </w:rPr>
        <w:t>3.所有</w:t>
      </w:r>
      <w:r>
        <w:rPr>
          <w:sz w:val="24"/>
        </w:rPr>
        <w:t>报价一律使用人民币，货币单位：元。</w:t>
      </w:r>
    </w:p>
    <w:p>
      <w:pPr>
        <w:pStyle w:val="12"/>
        <w:keepNext w:val="0"/>
        <w:keepLines w:val="0"/>
        <w:pageBreakBefore w:val="0"/>
        <w:kinsoku/>
        <w:wordWrap/>
        <w:overflowPunct/>
        <w:topLinePunct w:val="0"/>
        <w:bidi w:val="0"/>
        <w:adjustRightInd/>
        <w:snapToGrid/>
        <w:spacing w:line="360" w:lineRule="auto"/>
        <w:ind w:left="2" w:leftChars="1" w:firstLine="482" w:firstLineChars="200"/>
        <w:textAlignment w:val="auto"/>
        <w:rPr>
          <w:rFonts w:hAnsi="宋体"/>
          <w:b/>
          <w:sz w:val="24"/>
        </w:rPr>
      </w:pPr>
      <w:r>
        <w:rPr>
          <w:rFonts w:hint="eastAsia" w:hAnsi="宋体"/>
          <w:b/>
          <w:sz w:val="24"/>
        </w:rPr>
        <w:t>（</w:t>
      </w:r>
      <w:r>
        <w:rPr>
          <w:rFonts w:hint="eastAsia" w:hAnsi="宋体"/>
          <w:b/>
          <w:sz w:val="24"/>
          <w:lang w:val="en-US" w:eastAsia="zh-CN"/>
        </w:rPr>
        <w:t>五</w:t>
      </w:r>
      <w:r>
        <w:rPr>
          <w:rFonts w:hint="eastAsia" w:hAnsi="宋体"/>
          <w:b/>
          <w:sz w:val="24"/>
        </w:rPr>
        <w:t>）特别说明</w:t>
      </w:r>
    </w:p>
    <w:p>
      <w:pPr>
        <w:pStyle w:val="12"/>
        <w:keepNext w:val="0"/>
        <w:keepLines w:val="0"/>
        <w:pageBreakBefore w:val="0"/>
        <w:kinsoku/>
        <w:wordWrap/>
        <w:overflowPunct/>
        <w:topLinePunct w:val="0"/>
        <w:bidi w:val="0"/>
        <w:adjustRightInd/>
        <w:snapToGrid/>
        <w:spacing w:line="360" w:lineRule="auto"/>
        <w:ind w:left="2" w:leftChars="1"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投标人投标所使用的资格、信誉、荣誉、业绩与企业认证必须为本法人所拥有</w:t>
      </w:r>
      <w:r>
        <w:rPr>
          <w:rFonts w:hint="eastAsia" w:asciiTheme="minorEastAsia" w:hAnsiTheme="minorEastAsia" w:eastAsiaTheme="minorEastAsia"/>
          <w:sz w:val="24"/>
        </w:rPr>
        <w:t>且所提供的资料都是真实有效的</w:t>
      </w:r>
      <w:r>
        <w:rPr>
          <w:rFonts w:asciiTheme="minorEastAsia" w:hAnsiTheme="minorEastAsia" w:eastAsiaTheme="minorEastAsia"/>
          <w:sz w:val="24"/>
        </w:rPr>
        <w:t>。投标人投标所使用的采购项目实施人员必须为本法人员工。</w:t>
      </w:r>
    </w:p>
    <w:p>
      <w:pPr>
        <w:pStyle w:val="27"/>
        <w:keepNext w:val="0"/>
        <w:keepLines w:val="0"/>
        <w:pageBreakBefore w:val="0"/>
        <w:kinsoku/>
        <w:wordWrap/>
        <w:overflowPunct/>
        <w:topLinePunct w:val="0"/>
        <w:bidi w:val="0"/>
        <w:adjustRightInd/>
        <w:snapToGrid/>
        <w:spacing w:line="360" w:lineRule="auto"/>
        <w:ind w:firstLine="480" w:firstLineChars="200"/>
        <w:textAlignment w:val="auto"/>
        <w:rPr>
          <w:rFonts w:ascii="宋体" w:hAnsi="宋体" w:cs="宋体"/>
          <w:sz w:val="24"/>
          <w:szCs w:val="24"/>
        </w:rPr>
      </w:pPr>
      <w:r>
        <w:rPr>
          <w:rFonts w:hint="eastAsia" w:asciiTheme="minorEastAsia" w:hAnsiTheme="minorEastAsia" w:eastAsiaTheme="minorEastAsia" w:cstheme="minorBidi"/>
          <w:sz w:val="24"/>
          <w:szCs w:val="24"/>
        </w:rPr>
        <w:t>2.</w:t>
      </w:r>
      <w:r>
        <w:rPr>
          <w:rFonts w:hint="eastAsia" w:ascii="宋体" w:hAnsi="宋体" w:cs="宋体"/>
          <w:sz w:val="24"/>
          <w:szCs w:val="24"/>
        </w:rPr>
        <w:t>本招标文件中关于电子招投标</w:t>
      </w:r>
      <w:r>
        <w:rPr>
          <w:rFonts w:hint="eastAsia" w:ascii="宋体" w:hAnsi="宋体" w:cs="宋体"/>
          <w:sz w:val="24"/>
          <w:szCs w:val="24"/>
          <w:lang w:eastAsia="zh-CN"/>
        </w:rPr>
        <w:t>的</w:t>
      </w:r>
      <w:r>
        <w:rPr>
          <w:rFonts w:hint="eastAsia" w:ascii="宋体" w:hAnsi="宋体" w:cs="宋体"/>
          <w:sz w:val="24"/>
          <w:szCs w:val="24"/>
        </w:rPr>
        <w:t>内容、流程</w:t>
      </w:r>
      <w:r>
        <w:rPr>
          <w:rFonts w:hint="eastAsia" w:ascii="宋体" w:hAnsi="宋体" w:cs="宋体"/>
          <w:sz w:val="24"/>
          <w:szCs w:val="24"/>
          <w:lang w:eastAsia="zh-CN"/>
        </w:rPr>
        <w:t>，</w:t>
      </w:r>
      <w:r>
        <w:rPr>
          <w:rFonts w:hint="eastAsia" w:ascii="宋体" w:hAnsi="宋体" w:cs="宋体"/>
          <w:sz w:val="24"/>
          <w:szCs w:val="24"/>
        </w:rPr>
        <w:t>如与政采云系统中最新的内容、操作不一致的，以政采云系统中的要求为准。</w:t>
      </w:r>
    </w:p>
    <w:p>
      <w:pPr>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snapToGrid/>
        <w:spacing w:line="360" w:lineRule="auto"/>
        <w:ind w:firstLine="482" w:firstLineChars="200"/>
        <w:textAlignment w:val="auto"/>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pPr>
        <w:pStyle w:val="27"/>
        <w:keepNext w:val="0"/>
        <w:keepLines w:val="0"/>
        <w:pageBreakBefore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pPr>
        <w:pStyle w:val="27"/>
        <w:keepNext w:val="0"/>
        <w:keepLines w:val="0"/>
        <w:pageBreakBefore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pPr>
        <w:pStyle w:val="27"/>
        <w:keepNext w:val="0"/>
        <w:keepLines w:val="0"/>
        <w:pageBreakBefore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pPr>
        <w:keepNext w:val="0"/>
        <w:keepLines w:val="0"/>
        <w:pageBreakBefore w:val="0"/>
        <w:tabs>
          <w:tab w:val="left" w:pos="1418"/>
        </w:tabs>
        <w:kinsoku/>
        <w:wordWrap/>
        <w:overflowPunct/>
        <w:topLinePunct w:val="0"/>
        <w:autoSpaceDE w:val="0"/>
        <w:autoSpaceDN w:val="0"/>
        <w:bidi w:val="0"/>
        <w:adjustRightInd/>
        <w:snapToGrid/>
        <w:spacing w:line="360" w:lineRule="auto"/>
        <w:ind w:firstLine="482" w:firstLineChars="200"/>
        <w:textAlignment w:val="auto"/>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pPr>
        <w:pStyle w:val="9"/>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b/>
          <w:kern w:val="0"/>
          <w:sz w:val="24"/>
        </w:rPr>
      </w:pPr>
      <w:r>
        <w:rPr>
          <w:rFonts w:hint="eastAsia" w:asciiTheme="minorEastAsia" w:hAnsiTheme="minorEastAsia" w:eastAsiaTheme="minorEastAsia"/>
          <w:b/>
          <w:kern w:val="0"/>
          <w:sz w:val="24"/>
        </w:rPr>
        <w:t>（一）投标文件的编制</w:t>
      </w:r>
    </w:p>
    <w:p>
      <w:pPr>
        <w:pStyle w:val="9"/>
        <w:keepNext w:val="0"/>
        <w:keepLines w:val="0"/>
        <w:pageBreakBefore w:val="0"/>
        <w:kinsoku/>
        <w:wordWrap/>
        <w:overflowPunct/>
        <w:topLinePunct w:val="0"/>
        <w:bidi w:val="0"/>
        <w:adjustRightInd/>
        <w:snapToGrid/>
        <w:spacing w:line="360" w:lineRule="auto"/>
        <w:ind w:firstLine="480" w:firstLineChars="200"/>
        <w:textAlignment w:val="auto"/>
        <w:rPr>
          <w:rFonts w:hint="default" w:asciiTheme="minorEastAsia" w:hAnsiTheme="minorEastAsia" w:eastAsiaTheme="minorEastAsia"/>
          <w:b/>
          <w:kern w:val="0"/>
          <w:sz w:val="24"/>
          <w:lang w:val="en-US" w:eastAsia="zh-CN"/>
        </w:rPr>
      </w:pPr>
      <w:r>
        <w:rPr>
          <w:rFonts w:hint="eastAsia" w:asciiTheme="minorEastAsia" w:hAnsiTheme="minorEastAsia" w:eastAsiaTheme="minorEastAsia"/>
          <w:kern w:val="0"/>
          <w:sz w:val="24"/>
        </w:rPr>
        <w:t>投标人获取招标文件后，按照采购组织机构的要求提供</w:t>
      </w:r>
      <w:r>
        <w:rPr>
          <w:rFonts w:hint="eastAsia" w:asciiTheme="minorEastAsia" w:hAnsiTheme="minorEastAsia" w:eastAsiaTheme="minorEastAsia"/>
          <w:kern w:val="0"/>
          <w:sz w:val="24"/>
          <w:lang w:val="en-US" w:eastAsia="zh-CN"/>
        </w:rPr>
        <w:t>以下文件（所有文件须加盖公章，</w:t>
      </w:r>
      <w:r>
        <w:rPr>
          <w:rFonts w:hint="eastAsia" w:asciiTheme="minorEastAsia" w:hAnsiTheme="minorEastAsia" w:eastAsiaTheme="minorEastAsia"/>
          <w:bCs/>
          <w:kern w:val="0"/>
          <w:sz w:val="24"/>
        </w:rPr>
        <w:t>可使用有效安全的电子签章替代</w:t>
      </w:r>
      <w:r>
        <w:rPr>
          <w:rFonts w:hint="eastAsia" w:asciiTheme="minorEastAsia" w:hAnsiTheme="minorEastAsia" w:eastAsiaTheme="minorEastAsia"/>
          <w:kern w:val="0"/>
          <w:sz w:val="24"/>
          <w:lang w:val="en-US" w:eastAsia="zh-CN"/>
        </w:rPr>
        <w:t>）：</w:t>
      </w:r>
    </w:p>
    <w:p>
      <w:pPr>
        <w:pStyle w:val="9"/>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b w:val="0"/>
          <w:bCs/>
          <w:kern w:val="0"/>
          <w:sz w:val="24"/>
        </w:rPr>
      </w:pPr>
      <w:r>
        <w:rPr>
          <w:rFonts w:hint="eastAsia" w:asciiTheme="minorEastAsia" w:hAnsiTheme="minorEastAsia" w:eastAsiaTheme="minorEastAsia"/>
          <w:b w:val="0"/>
          <w:bCs/>
          <w:kern w:val="0"/>
          <w:sz w:val="24"/>
        </w:rPr>
        <w:t>1.人行台州市中心支行财政国库集中支付业务代理资格认证文件复印件；</w:t>
      </w:r>
    </w:p>
    <w:p>
      <w:pPr>
        <w:pStyle w:val="9"/>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b w:val="0"/>
          <w:bCs/>
          <w:kern w:val="0"/>
          <w:sz w:val="24"/>
        </w:rPr>
      </w:pPr>
      <w:r>
        <w:rPr>
          <w:rFonts w:hint="eastAsia" w:asciiTheme="minorEastAsia" w:hAnsiTheme="minorEastAsia" w:eastAsiaTheme="minorEastAsia"/>
          <w:b w:val="0"/>
          <w:bCs/>
          <w:kern w:val="0"/>
          <w:sz w:val="24"/>
          <w:lang w:val="en-US" w:eastAsia="zh-CN"/>
        </w:rPr>
        <w:t>2</w:t>
      </w:r>
      <w:r>
        <w:rPr>
          <w:rFonts w:hint="eastAsia" w:asciiTheme="minorEastAsia" w:hAnsiTheme="minorEastAsia" w:eastAsiaTheme="minorEastAsia"/>
          <w:b w:val="0"/>
          <w:bCs/>
          <w:kern w:val="0"/>
          <w:sz w:val="24"/>
        </w:rPr>
        <w:t>.营业执照副本复印件和总行或分行负责人授权委托书原件；</w:t>
      </w:r>
    </w:p>
    <w:p>
      <w:pPr>
        <w:pStyle w:val="9"/>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b/>
          <w:bCs w:val="0"/>
          <w:kern w:val="0"/>
          <w:sz w:val="24"/>
        </w:rPr>
      </w:pPr>
      <w:r>
        <w:rPr>
          <w:rFonts w:hint="eastAsia" w:asciiTheme="minorEastAsia" w:hAnsiTheme="minorEastAsia" w:eastAsiaTheme="minorEastAsia"/>
          <w:b/>
          <w:bCs w:val="0"/>
          <w:kern w:val="0"/>
          <w:sz w:val="24"/>
          <w:lang w:val="en-US" w:eastAsia="zh-CN"/>
        </w:rPr>
        <w:t>3</w:t>
      </w:r>
      <w:r>
        <w:rPr>
          <w:rFonts w:hint="eastAsia" w:asciiTheme="minorEastAsia" w:hAnsiTheme="minorEastAsia" w:eastAsiaTheme="minorEastAsia"/>
          <w:b/>
          <w:bCs w:val="0"/>
          <w:kern w:val="0"/>
          <w:sz w:val="24"/>
        </w:rPr>
        <w:t>.投标方案简介（投标人代表根据该方案在远程在线演示环节作10分钟陈述），包括但不限于以下内容：</w:t>
      </w:r>
    </w:p>
    <w:p>
      <w:pPr>
        <w:pStyle w:val="9"/>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b/>
          <w:bCs w:val="0"/>
          <w:kern w:val="0"/>
          <w:sz w:val="24"/>
          <w:lang w:eastAsia="zh-CN"/>
        </w:rPr>
      </w:pPr>
      <w:r>
        <w:rPr>
          <w:rFonts w:hint="eastAsia" w:asciiTheme="minorEastAsia" w:hAnsiTheme="minorEastAsia" w:eastAsiaTheme="minorEastAsia"/>
          <w:b/>
          <w:bCs w:val="0"/>
          <w:kern w:val="0"/>
          <w:sz w:val="24"/>
          <w:lang w:eastAsia="zh-CN"/>
        </w:rPr>
        <w:t>（</w:t>
      </w:r>
      <w:r>
        <w:rPr>
          <w:rFonts w:hint="eastAsia" w:asciiTheme="minorEastAsia" w:hAnsiTheme="minorEastAsia" w:eastAsiaTheme="minorEastAsia"/>
          <w:b/>
          <w:bCs w:val="0"/>
          <w:kern w:val="0"/>
          <w:sz w:val="24"/>
        </w:rPr>
        <w:t>1</w:t>
      </w:r>
      <w:r>
        <w:rPr>
          <w:rFonts w:hint="eastAsia" w:asciiTheme="minorEastAsia" w:hAnsiTheme="minorEastAsia" w:eastAsiaTheme="minorEastAsia"/>
          <w:b/>
          <w:bCs w:val="0"/>
          <w:kern w:val="0"/>
          <w:sz w:val="24"/>
          <w:lang w:eastAsia="zh-CN"/>
        </w:rPr>
        <w:t>）</w:t>
      </w:r>
      <w:r>
        <w:rPr>
          <w:rFonts w:hint="eastAsia" w:asciiTheme="minorEastAsia" w:hAnsiTheme="minorEastAsia" w:eastAsiaTheme="minorEastAsia"/>
          <w:b/>
          <w:bCs w:val="0"/>
          <w:kern w:val="0"/>
          <w:sz w:val="24"/>
        </w:rPr>
        <w:t>系统建设方案</w:t>
      </w:r>
      <w:r>
        <w:rPr>
          <w:rFonts w:hint="eastAsia" w:asciiTheme="minorEastAsia" w:hAnsiTheme="minorEastAsia" w:eastAsiaTheme="minorEastAsia"/>
          <w:b/>
          <w:bCs w:val="0"/>
          <w:kern w:val="0"/>
          <w:sz w:val="24"/>
          <w:lang w:eastAsia="zh-CN"/>
        </w:rPr>
        <w:t>；</w:t>
      </w:r>
    </w:p>
    <w:p>
      <w:pPr>
        <w:pStyle w:val="9"/>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b/>
          <w:bCs w:val="0"/>
          <w:kern w:val="0"/>
          <w:sz w:val="24"/>
        </w:rPr>
      </w:pPr>
      <w:r>
        <w:rPr>
          <w:rFonts w:hint="eastAsia" w:asciiTheme="minorEastAsia" w:hAnsiTheme="minorEastAsia" w:eastAsiaTheme="minorEastAsia"/>
          <w:b/>
          <w:bCs w:val="0"/>
          <w:kern w:val="0"/>
          <w:sz w:val="24"/>
          <w:lang w:eastAsia="zh-CN"/>
        </w:rPr>
        <w:t>（</w:t>
      </w:r>
      <w:r>
        <w:rPr>
          <w:rFonts w:hint="eastAsia" w:asciiTheme="minorEastAsia" w:hAnsiTheme="minorEastAsia" w:eastAsiaTheme="minorEastAsia"/>
          <w:b/>
          <w:bCs w:val="0"/>
          <w:kern w:val="0"/>
          <w:sz w:val="24"/>
        </w:rPr>
        <w:t>2</w:t>
      </w:r>
      <w:r>
        <w:rPr>
          <w:rFonts w:hint="eastAsia" w:asciiTheme="minorEastAsia" w:hAnsiTheme="minorEastAsia" w:eastAsiaTheme="minorEastAsia"/>
          <w:b/>
          <w:bCs w:val="0"/>
          <w:kern w:val="0"/>
          <w:sz w:val="24"/>
          <w:lang w:eastAsia="zh-CN"/>
        </w:rPr>
        <w:t>）</w:t>
      </w:r>
      <w:r>
        <w:rPr>
          <w:rFonts w:hint="eastAsia" w:asciiTheme="minorEastAsia" w:hAnsiTheme="minorEastAsia" w:eastAsiaTheme="minorEastAsia"/>
          <w:b/>
          <w:bCs w:val="0"/>
          <w:kern w:val="0"/>
          <w:sz w:val="24"/>
        </w:rPr>
        <w:t>业务团队建设；</w:t>
      </w:r>
    </w:p>
    <w:p>
      <w:pPr>
        <w:pStyle w:val="9"/>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b/>
          <w:bCs w:val="0"/>
          <w:kern w:val="0"/>
          <w:sz w:val="24"/>
        </w:rPr>
      </w:pPr>
      <w:r>
        <w:rPr>
          <w:rFonts w:hint="eastAsia" w:asciiTheme="minorEastAsia" w:hAnsiTheme="minorEastAsia" w:eastAsiaTheme="minorEastAsia"/>
          <w:b/>
          <w:bCs w:val="0"/>
          <w:kern w:val="0"/>
          <w:sz w:val="24"/>
          <w:lang w:eastAsia="zh-CN"/>
        </w:rPr>
        <w:t>（</w:t>
      </w:r>
      <w:r>
        <w:rPr>
          <w:rFonts w:hint="eastAsia" w:asciiTheme="minorEastAsia" w:hAnsiTheme="minorEastAsia" w:eastAsiaTheme="minorEastAsia"/>
          <w:b/>
          <w:bCs w:val="0"/>
          <w:kern w:val="0"/>
          <w:sz w:val="24"/>
        </w:rPr>
        <w:t>3</w:t>
      </w:r>
      <w:r>
        <w:rPr>
          <w:rFonts w:hint="eastAsia" w:asciiTheme="minorEastAsia" w:hAnsiTheme="minorEastAsia" w:eastAsiaTheme="minorEastAsia"/>
          <w:b/>
          <w:bCs w:val="0"/>
          <w:kern w:val="0"/>
          <w:sz w:val="24"/>
          <w:lang w:eastAsia="zh-CN"/>
        </w:rPr>
        <w:t>）</w:t>
      </w:r>
      <w:r>
        <w:rPr>
          <w:rFonts w:hint="eastAsia" w:asciiTheme="minorEastAsia" w:hAnsiTheme="minorEastAsia" w:eastAsiaTheme="minorEastAsia"/>
          <w:b/>
          <w:bCs w:val="0"/>
          <w:kern w:val="0"/>
          <w:sz w:val="24"/>
        </w:rPr>
        <w:t>常规业务服务；</w:t>
      </w:r>
    </w:p>
    <w:p>
      <w:pPr>
        <w:pStyle w:val="9"/>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b/>
          <w:bCs w:val="0"/>
          <w:kern w:val="0"/>
          <w:sz w:val="24"/>
        </w:rPr>
      </w:pPr>
      <w:r>
        <w:rPr>
          <w:rFonts w:hint="eastAsia" w:asciiTheme="minorEastAsia" w:hAnsiTheme="minorEastAsia" w:eastAsiaTheme="minorEastAsia"/>
          <w:b/>
          <w:bCs w:val="0"/>
          <w:kern w:val="0"/>
          <w:sz w:val="24"/>
          <w:lang w:eastAsia="zh-CN"/>
        </w:rPr>
        <w:t>（</w:t>
      </w:r>
      <w:r>
        <w:rPr>
          <w:rFonts w:hint="eastAsia" w:asciiTheme="minorEastAsia" w:hAnsiTheme="minorEastAsia" w:eastAsiaTheme="minorEastAsia"/>
          <w:b/>
          <w:bCs w:val="0"/>
          <w:kern w:val="0"/>
          <w:sz w:val="24"/>
        </w:rPr>
        <w:t>4</w:t>
      </w:r>
      <w:r>
        <w:rPr>
          <w:rFonts w:hint="eastAsia" w:asciiTheme="minorEastAsia" w:hAnsiTheme="minorEastAsia" w:eastAsiaTheme="minorEastAsia"/>
          <w:b/>
          <w:bCs w:val="0"/>
          <w:kern w:val="0"/>
          <w:sz w:val="24"/>
          <w:lang w:eastAsia="zh-CN"/>
        </w:rPr>
        <w:t>）</w:t>
      </w:r>
      <w:r>
        <w:rPr>
          <w:rFonts w:hint="eastAsia" w:asciiTheme="minorEastAsia" w:hAnsiTheme="minorEastAsia" w:eastAsiaTheme="minorEastAsia"/>
          <w:b/>
          <w:bCs w:val="0"/>
          <w:kern w:val="0"/>
          <w:sz w:val="24"/>
        </w:rPr>
        <w:t>紧急业务处理；</w:t>
      </w:r>
    </w:p>
    <w:p>
      <w:pPr>
        <w:pStyle w:val="9"/>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b/>
          <w:bCs w:val="0"/>
          <w:kern w:val="0"/>
          <w:sz w:val="24"/>
          <w:lang w:eastAsia="zh-CN"/>
        </w:rPr>
      </w:pPr>
      <w:r>
        <w:rPr>
          <w:rFonts w:hint="eastAsia" w:asciiTheme="minorEastAsia" w:hAnsiTheme="minorEastAsia" w:eastAsiaTheme="minorEastAsia"/>
          <w:b/>
          <w:bCs w:val="0"/>
          <w:kern w:val="0"/>
          <w:sz w:val="24"/>
          <w:lang w:eastAsia="zh-CN"/>
        </w:rPr>
        <w:t>（</w:t>
      </w:r>
      <w:r>
        <w:rPr>
          <w:rFonts w:hint="eastAsia" w:asciiTheme="minorEastAsia" w:hAnsiTheme="minorEastAsia" w:eastAsiaTheme="minorEastAsia"/>
          <w:b/>
          <w:bCs w:val="0"/>
          <w:kern w:val="0"/>
          <w:sz w:val="24"/>
        </w:rPr>
        <w:t>5</w:t>
      </w:r>
      <w:r>
        <w:rPr>
          <w:rFonts w:hint="eastAsia" w:asciiTheme="minorEastAsia" w:hAnsiTheme="minorEastAsia" w:eastAsiaTheme="minorEastAsia"/>
          <w:b/>
          <w:bCs w:val="0"/>
          <w:kern w:val="0"/>
          <w:sz w:val="24"/>
          <w:lang w:eastAsia="zh-CN"/>
        </w:rPr>
        <w:t>）</w:t>
      </w:r>
      <w:r>
        <w:rPr>
          <w:rFonts w:hint="eastAsia" w:asciiTheme="minorEastAsia" w:hAnsiTheme="minorEastAsia" w:eastAsiaTheme="minorEastAsia"/>
          <w:b/>
          <w:bCs w:val="0"/>
          <w:kern w:val="0"/>
          <w:sz w:val="24"/>
        </w:rPr>
        <w:t>内控建设及风险管理情况</w:t>
      </w:r>
      <w:r>
        <w:rPr>
          <w:rFonts w:hint="eastAsia" w:asciiTheme="minorEastAsia" w:hAnsiTheme="minorEastAsia" w:eastAsiaTheme="minorEastAsia"/>
          <w:b/>
          <w:bCs w:val="0"/>
          <w:kern w:val="0"/>
          <w:sz w:val="24"/>
          <w:lang w:eastAsia="zh-CN"/>
        </w:rPr>
        <w:t>；</w:t>
      </w:r>
    </w:p>
    <w:p>
      <w:pPr>
        <w:pStyle w:val="9"/>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b/>
          <w:bCs w:val="0"/>
          <w:kern w:val="0"/>
          <w:sz w:val="24"/>
        </w:rPr>
      </w:pPr>
      <w:r>
        <w:rPr>
          <w:rFonts w:hint="eastAsia" w:asciiTheme="minorEastAsia" w:hAnsiTheme="minorEastAsia" w:eastAsiaTheme="minorEastAsia"/>
          <w:b/>
          <w:bCs w:val="0"/>
          <w:kern w:val="0"/>
          <w:sz w:val="24"/>
          <w:lang w:eastAsia="zh-CN"/>
        </w:rPr>
        <w:t>（</w:t>
      </w:r>
      <w:r>
        <w:rPr>
          <w:rFonts w:hint="eastAsia" w:asciiTheme="minorEastAsia" w:hAnsiTheme="minorEastAsia" w:eastAsiaTheme="minorEastAsia"/>
          <w:b/>
          <w:bCs w:val="0"/>
          <w:kern w:val="0"/>
          <w:sz w:val="24"/>
        </w:rPr>
        <w:t>6</w:t>
      </w:r>
      <w:r>
        <w:rPr>
          <w:rFonts w:hint="eastAsia" w:asciiTheme="minorEastAsia" w:hAnsiTheme="minorEastAsia" w:eastAsiaTheme="minorEastAsia"/>
          <w:b/>
          <w:bCs w:val="0"/>
          <w:kern w:val="0"/>
          <w:sz w:val="24"/>
          <w:lang w:eastAsia="zh-CN"/>
        </w:rPr>
        <w:t>）</w:t>
      </w:r>
      <w:r>
        <w:rPr>
          <w:rFonts w:hint="eastAsia" w:asciiTheme="minorEastAsia" w:hAnsiTheme="minorEastAsia" w:eastAsiaTheme="minorEastAsia"/>
          <w:b/>
          <w:bCs w:val="0"/>
          <w:kern w:val="0"/>
          <w:sz w:val="24"/>
        </w:rPr>
        <w:t>技术团队建设；</w:t>
      </w:r>
    </w:p>
    <w:p>
      <w:pPr>
        <w:pStyle w:val="9"/>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b/>
          <w:bCs w:val="0"/>
          <w:kern w:val="0"/>
          <w:sz w:val="24"/>
        </w:rPr>
      </w:pPr>
      <w:r>
        <w:rPr>
          <w:rFonts w:hint="eastAsia" w:asciiTheme="minorEastAsia" w:hAnsiTheme="minorEastAsia" w:eastAsiaTheme="minorEastAsia"/>
          <w:b/>
          <w:bCs w:val="0"/>
          <w:kern w:val="0"/>
          <w:sz w:val="24"/>
          <w:lang w:eastAsia="zh-CN"/>
        </w:rPr>
        <w:t>（</w:t>
      </w:r>
      <w:r>
        <w:rPr>
          <w:rFonts w:hint="eastAsia" w:asciiTheme="minorEastAsia" w:hAnsiTheme="minorEastAsia" w:eastAsiaTheme="minorEastAsia"/>
          <w:b/>
          <w:bCs w:val="0"/>
          <w:kern w:val="0"/>
          <w:sz w:val="24"/>
        </w:rPr>
        <w:t>7</w:t>
      </w:r>
      <w:r>
        <w:rPr>
          <w:rFonts w:hint="eastAsia" w:asciiTheme="minorEastAsia" w:hAnsiTheme="minorEastAsia" w:eastAsiaTheme="minorEastAsia"/>
          <w:b/>
          <w:bCs w:val="0"/>
          <w:kern w:val="0"/>
          <w:sz w:val="24"/>
          <w:lang w:eastAsia="zh-CN"/>
        </w:rPr>
        <w:t>）</w:t>
      </w:r>
      <w:r>
        <w:rPr>
          <w:rFonts w:hint="eastAsia" w:asciiTheme="minorEastAsia" w:hAnsiTheme="minorEastAsia" w:eastAsiaTheme="minorEastAsia"/>
          <w:b/>
          <w:bCs w:val="0"/>
          <w:kern w:val="0"/>
          <w:sz w:val="24"/>
        </w:rPr>
        <w:t>其它需要说明的内容。</w:t>
      </w:r>
    </w:p>
    <w:p>
      <w:pPr>
        <w:pStyle w:val="9"/>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b w:val="0"/>
          <w:bCs/>
          <w:kern w:val="0"/>
          <w:sz w:val="24"/>
        </w:rPr>
      </w:pPr>
      <w:r>
        <w:rPr>
          <w:rFonts w:hint="eastAsia" w:asciiTheme="minorEastAsia" w:hAnsiTheme="minorEastAsia" w:eastAsiaTheme="minorEastAsia"/>
          <w:b w:val="0"/>
          <w:bCs/>
          <w:kern w:val="0"/>
          <w:sz w:val="24"/>
          <w:lang w:val="en-US" w:eastAsia="zh-CN"/>
        </w:rPr>
        <w:t>4</w:t>
      </w:r>
      <w:r>
        <w:rPr>
          <w:rFonts w:hint="eastAsia" w:asciiTheme="minorEastAsia" w:hAnsiTheme="minorEastAsia" w:eastAsiaTheme="minorEastAsia"/>
          <w:b w:val="0"/>
          <w:bCs/>
          <w:kern w:val="0"/>
          <w:sz w:val="24"/>
        </w:rPr>
        <w:t>.投标书附件，包括但不限于以下内容：</w:t>
      </w:r>
    </w:p>
    <w:p>
      <w:pPr>
        <w:pStyle w:val="9"/>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b w:val="0"/>
          <w:bCs/>
          <w:kern w:val="0"/>
          <w:sz w:val="24"/>
        </w:rPr>
      </w:pPr>
      <w:r>
        <w:rPr>
          <w:rFonts w:hint="eastAsia" w:asciiTheme="minorEastAsia" w:hAnsiTheme="minorEastAsia" w:eastAsiaTheme="minorEastAsia"/>
          <w:b w:val="0"/>
          <w:bCs/>
          <w:kern w:val="0"/>
          <w:sz w:val="24"/>
        </w:rPr>
        <w:t>（1）投标人设立的时间；</w:t>
      </w:r>
    </w:p>
    <w:p>
      <w:pPr>
        <w:pStyle w:val="9"/>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b w:val="0"/>
          <w:bCs/>
          <w:kern w:val="0"/>
          <w:sz w:val="24"/>
        </w:rPr>
      </w:pPr>
      <w:r>
        <w:rPr>
          <w:rFonts w:hint="eastAsia" w:asciiTheme="minorEastAsia" w:hAnsiTheme="minorEastAsia" w:eastAsiaTheme="minorEastAsia"/>
          <w:b w:val="0"/>
          <w:bCs/>
          <w:kern w:val="0"/>
          <w:sz w:val="24"/>
        </w:rPr>
        <w:t>（2）组织形式和管理体制；</w:t>
      </w:r>
    </w:p>
    <w:p>
      <w:pPr>
        <w:pStyle w:val="9"/>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b w:val="0"/>
          <w:bCs/>
          <w:kern w:val="0"/>
          <w:sz w:val="24"/>
        </w:rPr>
      </w:pPr>
      <w:r>
        <w:rPr>
          <w:rFonts w:hint="eastAsia" w:asciiTheme="minorEastAsia" w:hAnsiTheme="minorEastAsia" w:eastAsiaTheme="minorEastAsia"/>
          <w:b w:val="0"/>
          <w:bCs/>
          <w:kern w:val="0"/>
          <w:sz w:val="24"/>
        </w:rPr>
        <w:t>（3）投标人资金实力和业务规模；</w:t>
      </w:r>
    </w:p>
    <w:p>
      <w:pPr>
        <w:pStyle w:val="9"/>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b w:val="0"/>
          <w:bCs/>
          <w:kern w:val="0"/>
          <w:sz w:val="24"/>
        </w:rPr>
      </w:pPr>
      <w:r>
        <w:rPr>
          <w:rFonts w:hint="eastAsia" w:asciiTheme="minorEastAsia" w:hAnsiTheme="minorEastAsia" w:eastAsiaTheme="minorEastAsia"/>
          <w:b w:val="0"/>
          <w:bCs/>
          <w:kern w:val="0"/>
          <w:sz w:val="24"/>
        </w:rPr>
        <w:t>（4）客观指标中标明数据来源为竞标银行的各项评分指标数据或证明材料；</w:t>
      </w:r>
    </w:p>
    <w:p>
      <w:pPr>
        <w:pStyle w:val="9"/>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b w:val="0"/>
          <w:bCs/>
          <w:kern w:val="0"/>
          <w:sz w:val="24"/>
        </w:rPr>
      </w:pPr>
      <w:r>
        <w:rPr>
          <w:rFonts w:hint="eastAsia" w:asciiTheme="minorEastAsia" w:hAnsiTheme="minorEastAsia" w:eastAsiaTheme="minorEastAsia"/>
          <w:b w:val="0"/>
          <w:bCs/>
          <w:kern w:val="0"/>
          <w:sz w:val="24"/>
        </w:rPr>
        <w:t>（5）投标人认为其他需提供并有助于评标委员会对其投标作出有利评价的其他内容。</w:t>
      </w:r>
    </w:p>
    <w:p>
      <w:pPr>
        <w:pStyle w:val="9"/>
        <w:keepNext w:val="0"/>
        <w:keepLines w:val="0"/>
        <w:pageBreakBefore w:val="0"/>
        <w:kinsoku/>
        <w:wordWrap/>
        <w:overflowPunct/>
        <w:topLinePunct w:val="0"/>
        <w:bidi w:val="0"/>
        <w:adjustRightInd/>
        <w:snapToGrid/>
        <w:spacing w:line="360" w:lineRule="auto"/>
        <w:ind w:firstLine="482" w:firstLineChars="200"/>
        <w:textAlignment w:val="auto"/>
        <w:rPr>
          <w:rFonts w:asciiTheme="minorEastAsia" w:hAnsiTheme="minorEastAsia" w:eastAsiaTheme="minorEastAsia"/>
          <w:b/>
          <w:kern w:val="0"/>
          <w:sz w:val="24"/>
        </w:rPr>
      </w:pPr>
      <w:r>
        <w:rPr>
          <w:rFonts w:hint="eastAsia" w:asciiTheme="minorEastAsia" w:hAnsiTheme="minorEastAsia" w:eastAsiaTheme="minorEastAsia"/>
          <w:b/>
          <w:kern w:val="0"/>
          <w:sz w:val="24"/>
        </w:rPr>
        <w:t>（</w:t>
      </w:r>
      <w:r>
        <w:rPr>
          <w:rFonts w:hint="eastAsia" w:asciiTheme="minorEastAsia" w:hAnsiTheme="minorEastAsia" w:eastAsiaTheme="minorEastAsia"/>
          <w:b/>
          <w:kern w:val="0"/>
          <w:sz w:val="24"/>
          <w:lang w:val="en-US" w:eastAsia="zh-CN"/>
        </w:rPr>
        <w:t>二</w:t>
      </w:r>
      <w:r>
        <w:rPr>
          <w:rFonts w:hint="eastAsia" w:asciiTheme="minorEastAsia" w:hAnsiTheme="minorEastAsia" w:eastAsiaTheme="minorEastAsia"/>
          <w:b/>
          <w:kern w:val="0"/>
          <w:sz w:val="24"/>
        </w:rPr>
        <w:t>）投标文件的有效期</w:t>
      </w:r>
    </w:p>
    <w:p>
      <w:pPr>
        <w:pStyle w:val="9"/>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1.投标文件有效期为</w:t>
      </w:r>
      <w:r>
        <w:rPr>
          <w:rFonts w:hint="eastAsia" w:asciiTheme="minorEastAsia" w:hAnsiTheme="minorEastAsia" w:eastAsiaTheme="minorEastAsia" w:cstheme="minorEastAsia"/>
          <w:sz w:val="24"/>
          <w:lang w:val="en-GB"/>
        </w:rPr>
        <w:t>投标截止日起90天。</w:t>
      </w:r>
    </w:p>
    <w:p>
      <w:pPr>
        <w:pStyle w:val="9"/>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GB"/>
        </w:rPr>
        <w:t>在特殊情况下，采购人可与投标人协商延长投标文件的有效期。</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3.中标人的投标文件自开标之日起至合同履行完毕均应保持有效。</w:t>
      </w:r>
    </w:p>
    <w:p>
      <w:pPr>
        <w:keepNext w:val="0"/>
        <w:keepLines w:val="0"/>
        <w:pageBreakBefore w:val="0"/>
        <w:kinsoku/>
        <w:wordWrap/>
        <w:overflowPunct/>
        <w:topLinePunct w:val="0"/>
        <w:bidi w:val="0"/>
        <w:adjustRightInd/>
        <w:snapToGrid/>
        <w:spacing w:line="360" w:lineRule="auto"/>
        <w:ind w:firstLine="482" w:firstLineChars="200"/>
        <w:textAlignment w:val="auto"/>
        <w:rPr>
          <w:rFonts w:asciiTheme="minorEastAsia" w:hAnsiTheme="minorEastAsia" w:eastAsiaTheme="minorEastAsia"/>
          <w:b/>
          <w:kern w:val="0"/>
          <w:sz w:val="24"/>
        </w:rPr>
      </w:pPr>
      <w:r>
        <w:rPr>
          <w:rFonts w:hint="eastAsia" w:asciiTheme="minorEastAsia" w:hAnsiTheme="minorEastAsia" w:eastAsiaTheme="minorEastAsia"/>
          <w:b/>
          <w:kern w:val="0"/>
          <w:sz w:val="24"/>
        </w:rPr>
        <w:t>（</w:t>
      </w:r>
      <w:r>
        <w:rPr>
          <w:rFonts w:hint="eastAsia" w:asciiTheme="minorEastAsia" w:hAnsiTheme="minorEastAsia" w:eastAsiaTheme="minorEastAsia"/>
          <w:b/>
          <w:kern w:val="0"/>
          <w:sz w:val="24"/>
          <w:lang w:val="en-US" w:eastAsia="zh-CN"/>
        </w:rPr>
        <w:t>三</w:t>
      </w:r>
      <w:r>
        <w:rPr>
          <w:rFonts w:hint="eastAsia" w:asciiTheme="minorEastAsia" w:hAnsiTheme="minorEastAsia" w:eastAsiaTheme="minorEastAsia"/>
          <w:b/>
          <w:kern w:val="0"/>
          <w:sz w:val="24"/>
        </w:rPr>
        <w:t>）投标文件的签署</w:t>
      </w:r>
    </w:p>
    <w:p>
      <w:pPr>
        <w:pStyle w:val="9"/>
        <w:keepNext w:val="0"/>
        <w:keepLines w:val="0"/>
        <w:pageBreakBefore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w:t>
      </w:r>
      <w:r>
        <w:rPr>
          <w:rFonts w:hint="eastAsia" w:asciiTheme="minorEastAsia" w:hAnsiTheme="minorEastAsia" w:eastAsiaTheme="minorEastAsia"/>
          <w:bCs/>
          <w:color w:val="auto"/>
          <w:kern w:val="0"/>
          <w:sz w:val="24"/>
        </w:rPr>
        <w:t>盖章。授权</w:t>
      </w:r>
      <w:r>
        <w:rPr>
          <w:rFonts w:hint="eastAsia" w:asciiTheme="minorEastAsia" w:hAnsiTheme="minorEastAsia" w:eastAsiaTheme="minorEastAsia"/>
          <w:bCs/>
          <w:kern w:val="0"/>
          <w:sz w:val="24"/>
        </w:rPr>
        <w:t>代表须出具书面授权证明，其《法定代表人授权书》应附在投标文件中。</w:t>
      </w:r>
    </w:p>
    <w:p>
      <w:pPr>
        <w:pStyle w:val="9"/>
        <w:keepNext w:val="0"/>
        <w:keepLines w:val="0"/>
        <w:pageBreakBefore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pPr>
        <w:pStyle w:val="9"/>
        <w:keepNext w:val="0"/>
        <w:keepLines w:val="0"/>
        <w:pageBreakBefore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pPr>
        <w:keepNext w:val="0"/>
        <w:keepLines w:val="0"/>
        <w:pageBreakBefore w:val="0"/>
        <w:kinsoku/>
        <w:wordWrap/>
        <w:overflowPunct/>
        <w:topLinePunct w:val="0"/>
        <w:autoSpaceDE w:val="0"/>
        <w:autoSpaceDN w:val="0"/>
        <w:bidi w:val="0"/>
        <w:adjustRightInd/>
        <w:snapToGrid/>
        <w:spacing w:line="360" w:lineRule="auto"/>
        <w:ind w:firstLine="482" w:firstLineChars="200"/>
        <w:textAlignment w:val="auto"/>
        <w:rPr>
          <w:rFonts w:asciiTheme="minorEastAsia" w:hAnsiTheme="minorEastAsia"/>
          <w:b/>
          <w:bCs/>
          <w:sz w:val="24"/>
        </w:rPr>
      </w:pPr>
      <w:r>
        <w:rPr>
          <w:rFonts w:hint="eastAsia" w:asciiTheme="minorEastAsia" w:hAnsiTheme="minorEastAsia"/>
          <w:b/>
          <w:bCs/>
          <w:sz w:val="24"/>
        </w:rPr>
        <w:t>（</w:t>
      </w:r>
      <w:r>
        <w:rPr>
          <w:rFonts w:hint="eastAsia" w:asciiTheme="minorEastAsia" w:hAnsiTheme="minorEastAsia"/>
          <w:b/>
          <w:bCs/>
          <w:sz w:val="24"/>
          <w:lang w:val="en-US" w:eastAsia="zh-CN"/>
        </w:rPr>
        <w:t>四</w:t>
      </w:r>
      <w:r>
        <w:rPr>
          <w:rFonts w:hint="eastAsia" w:asciiTheme="minorEastAsia" w:hAnsiTheme="minorEastAsia"/>
          <w:b/>
          <w:bCs/>
          <w:sz w:val="24"/>
        </w:rPr>
        <w:t>）</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pPr>
        <w:keepNext w:val="0"/>
        <w:keepLines w:val="0"/>
        <w:pageBreakBefore w:val="0"/>
        <w:tabs>
          <w:tab w:val="left" w:pos="1418"/>
        </w:tabs>
        <w:kinsoku/>
        <w:wordWrap/>
        <w:overflowPunct/>
        <w:topLinePunct w:val="0"/>
        <w:autoSpaceDE w:val="0"/>
        <w:autoSpaceDN w:val="0"/>
        <w:bidi w:val="0"/>
        <w:adjustRightInd/>
        <w:snapToGrid/>
        <w:spacing w:line="360" w:lineRule="auto"/>
        <w:ind w:firstLine="480" w:firstLineChars="200"/>
        <w:textAlignment w:val="auto"/>
        <w:rPr>
          <w:rFonts w:asciiTheme="minorEastAsia" w:hAnsiTheme="minorEastAsia" w:eastAsiaTheme="minorEastAsia"/>
          <w:kern w:val="0"/>
          <w:sz w:val="24"/>
        </w:rPr>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如采购组织机构延长截止时间和开标时间，采购组织机构和投标人的权利和义务将受到新的截止时间和开标时间的约束。</w:t>
      </w:r>
    </w:p>
    <w:p>
      <w:pPr>
        <w:keepNext w:val="0"/>
        <w:keepLines w:val="0"/>
        <w:pageBreakBefore w:val="0"/>
        <w:kinsoku/>
        <w:wordWrap/>
        <w:overflowPunct/>
        <w:topLinePunct w:val="0"/>
        <w:bidi w:val="0"/>
        <w:adjustRightInd/>
        <w:snapToGrid/>
        <w:spacing w:line="360" w:lineRule="auto"/>
        <w:ind w:firstLine="482" w:firstLineChars="200"/>
        <w:textAlignment w:val="auto"/>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pPr>
        <w:keepNext w:val="0"/>
        <w:keepLines w:val="0"/>
        <w:pageBreakBefore w:val="0"/>
        <w:kinsoku/>
        <w:wordWrap/>
        <w:overflowPunct/>
        <w:topLinePunct w:val="0"/>
        <w:autoSpaceDE w:val="0"/>
        <w:autoSpaceDN w:val="0"/>
        <w:bidi w:val="0"/>
        <w:adjustRightInd/>
        <w:snapToGrid/>
        <w:spacing w:line="360" w:lineRule="auto"/>
        <w:ind w:firstLine="482" w:firstLineChars="200"/>
        <w:textAlignment w:val="auto"/>
        <w:rPr>
          <w:rFonts w:asciiTheme="minorEastAsia" w:hAnsiTheme="minorEastAsia" w:eastAsiaTheme="minorEastAsia"/>
          <w:b/>
          <w:sz w:val="24"/>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pPr>
        <w:pStyle w:val="9"/>
        <w:keepNext w:val="0"/>
        <w:keepLines w:val="0"/>
        <w:pageBreakBefore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pPr>
        <w:pStyle w:val="9"/>
        <w:keepNext w:val="0"/>
        <w:keepLines w:val="0"/>
        <w:pageBreakBefore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pPr>
        <w:pStyle w:val="9"/>
        <w:keepNext w:val="0"/>
        <w:keepLines w:val="0"/>
        <w:pageBreakBefore w:val="0"/>
        <w:kinsoku/>
        <w:wordWrap/>
        <w:overflowPunct/>
        <w:topLinePunct w:val="0"/>
        <w:bidi w:val="0"/>
        <w:adjustRightInd/>
        <w:snapToGrid/>
        <w:spacing w:line="360" w:lineRule="auto"/>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w:t>
      </w:r>
      <w:r>
        <w:rPr>
          <w:rFonts w:hint="eastAsia" w:cs="宋体" w:asciiTheme="minorEastAsia" w:hAnsiTheme="minorEastAsia" w:eastAsiaTheme="minorEastAsia"/>
          <w:sz w:val="24"/>
          <w:szCs w:val="24"/>
          <w:lang w:val="en-US" w:eastAsia="zh-CN"/>
        </w:rPr>
        <w:t>系统</w:t>
      </w:r>
      <w:r>
        <w:rPr>
          <w:rFonts w:hint="eastAsia" w:cs="宋体" w:asciiTheme="minorEastAsia" w:hAnsiTheme="minorEastAsia" w:eastAsiaTheme="minorEastAsia"/>
          <w:sz w:val="24"/>
          <w:szCs w:val="24"/>
        </w:rPr>
        <w:t>对投标文件进行</w:t>
      </w:r>
      <w:r>
        <w:rPr>
          <w:rFonts w:hint="eastAsia" w:cs="宋体" w:asciiTheme="minorEastAsia" w:hAnsiTheme="minorEastAsia" w:eastAsiaTheme="minorEastAsia"/>
          <w:sz w:val="24"/>
          <w:szCs w:val="24"/>
          <w:lang w:val="en-US" w:eastAsia="zh-CN"/>
        </w:rPr>
        <w:t>自动</w:t>
      </w:r>
      <w:r>
        <w:rPr>
          <w:rFonts w:hint="eastAsia" w:cs="宋体" w:asciiTheme="minorEastAsia" w:hAnsiTheme="minorEastAsia" w:eastAsiaTheme="minorEastAsia"/>
          <w:sz w:val="24"/>
          <w:szCs w:val="24"/>
        </w:rPr>
        <w:t>在线解密；</w:t>
      </w:r>
    </w:p>
    <w:p>
      <w:pPr>
        <w:pStyle w:val="9"/>
        <w:keepNext w:val="0"/>
        <w:keepLines w:val="0"/>
        <w:pageBreakBefore w:val="0"/>
        <w:kinsoku/>
        <w:wordWrap/>
        <w:overflowPunct/>
        <w:topLinePunct w:val="0"/>
        <w:bidi w:val="0"/>
        <w:adjustRightInd/>
        <w:snapToGrid/>
        <w:spacing w:line="360" w:lineRule="auto"/>
        <w:ind w:firstLine="480" w:firstLineChars="200"/>
        <w:textAlignment w:val="auto"/>
        <w:rPr>
          <w:sz w:val="24"/>
          <w:szCs w:val="22"/>
        </w:rPr>
      </w:pPr>
      <w:r>
        <w:rPr>
          <w:rFonts w:hint="eastAsia" w:cs="宋体" w:asciiTheme="minorEastAsia" w:hAnsiTheme="minorEastAsia" w:eastAsiaTheme="minorEastAsia"/>
          <w:sz w:val="24"/>
          <w:szCs w:val="24"/>
        </w:rPr>
        <w:t>4.</w:t>
      </w:r>
      <w:r>
        <w:rPr>
          <w:rFonts w:hint="eastAsia" w:asciiTheme="minorEastAsia" w:hAnsiTheme="minorEastAsia" w:eastAsiaTheme="minorEastAsia"/>
          <w:sz w:val="24"/>
          <w:szCs w:val="24"/>
        </w:rPr>
        <w:t>采购组织机构</w:t>
      </w:r>
      <w:r>
        <w:rPr>
          <w:rFonts w:hint="eastAsia"/>
          <w:sz w:val="24"/>
          <w:szCs w:val="22"/>
        </w:rPr>
        <w:t>工作人员宣布投标人名称和招标文件规定的需要宣布的其他内容（以开标一览表要求为准）；</w:t>
      </w:r>
    </w:p>
    <w:p>
      <w:pPr>
        <w:pStyle w:val="9"/>
        <w:keepNext w:val="0"/>
        <w:keepLines w:val="0"/>
        <w:pageBreakBefore w:val="0"/>
        <w:kinsoku/>
        <w:wordWrap/>
        <w:overflowPunct/>
        <w:topLinePunct w:val="0"/>
        <w:bidi w:val="0"/>
        <w:adjustRightInd/>
        <w:snapToGrid/>
        <w:spacing w:line="360" w:lineRule="auto"/>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pPr>
        <w:pStyle w:val="9"/>
        <w:keepNext w:val="0"/>
        <w:keepLines w:val="0"/>
        <w:pageBreakBefore w:val="0"/>
        <w:kinsoku/>
        <w:wordWrap/>
        <w:overflowPunct/>
        <w:topLinePunct w:val="0"/>
        <w:bidi w:val="0"/>
        <w:adjustRightInd/>
        <w:snapToGrid/>
        <w:spacing w:line="360" w:lineRule="auto"/>
        <w:ind w:firstLine="482" w:firstLineChars="200"/>
        <w:textAlignment w:val="auto"/>
        <w:rPr>
          <w:b/>
          <w:bCs/>
          <w:sz w:val="24"/>
          <w:szCs w:val="22"/>
        </w:rPr>
      </w:pPr>
      <w:r>
        <w:rPr>
          <w:rFonts w:hint="eastAsia"/>
          <w:b/>
          <w:bCs/>
          <w:sz w:val="24"/>
          <w:szCs w:val="22"/>
        </w:rPr>
        <w:t>（二）开标异议</w:t>
      </w:r>
    </w:p>
    <w:p>
      <w:pPr>
        <w:pStyle w:val="9"/>
        <w:keepNext w:val="0"/>
        <w:keepLines w:val="0"/>
        <w:pageBreakBefore w:val="0"/>
        <w:kinsoku/>
        <w:wordWrap/>
        <w:overflowPunct/>
        <w:topLinePunct w:val="0"/>
        <w:bidi w:val="0"/>
        <w:adjustRightInd/>
        <w:snapToGrid/>
        <w:spacing w:line="360" w:lineRule="auto"/>
        <w:ind w:firstLine="480" w:firstLineChars="200"/>
        <w:textAlignment w:val="auto"/>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9"/>
        <w:keepNext w:val="0"/>
        <w:keepLines w:val="0"/>
        <w:pageBreakBefore w:val="0"/>
        <w:kinsoku/>
        <w:wordWrap/>
        <w:overflowPunct/>
        <w:topLinePunct w:val="0"/>
        <w:bidi w:val="0"/>
        <w:adjustRightInd/>
        <w:snapToGrid/>
        <w:spacing w:line="360" w:lineRule="auto"/>
        <w:ind w:firstLine="482" w:firstLineChars="200"/>
        <w:textAlignment w:val="auto"/>
        <w:rPr>
          <w:sz w:val="24"/>
          <w:szCs w:val="22"/>
        </w:rPr>
      </w:pPr>
      <w:r>
        <w:rPr>
          <w:rFonts w:hint="eastAsia"/>
          <w:b/>
          <w:bCs/>
          <w:sz w:val="24"/>
          <w:szCs w:val="22"/>
        </w:rPr>
        <w:t>（三）</w:t>
      </w:r>
      <w:r>
        <w:rPr>
          <w:rFonts w:hint="eastAsia"/>
          <w:sz w:val="24"/>
          <w:szCs w:val="22"/>
        </w:rPr>
        <w:t>投标人不足三家，不得开标。</w:t>
      </w:r>
    </w:p>
    <w:p>
      <w:pPr>
        <w:pStyle w:val="12"/>
        <w:keepNext w:val="0"/>
        <w:keepLines w:val="0"/>
        <w:pageBreakBefore w:val="0"/>
        <w:kinsoku/>
        <w:wordWrap/>
        <w:overflowPunct/>
        <w:topLinePunct w:val="0"/>
        <w:bidi w:val="0"/>
        <w:adjustRightInd/>
        <w:snapToGrid/>
        <w:spacing w:line="360" w:lineRule="auto"/>
        <w:ind w:firstLine="482" w:firstLineChars="200"/>
        <w:textAlignment w:val="auto"/>
        <w:rPr>
          <w:rFonts w:asciiTheme="minorEastAsia" w:hAnsiTheme="minorEastAsia"/>
          <w:b/>
          <w:sz w:val="24"/>
        </w:rPr>
      </w:pPr>
      <w:r>
        <w:rPr>
          <w:rFonts w:hint="eastAsia" w:asciiTheme="minorEastAsia" w:hAnsiTheme="minorEastAsia" w:eastAsiaTheme="minorEastAsia"/>
          <w:b/>
          <w:sz w:val="24"/>
          <w:lang w:val="en-US" w:eastAsia="zh-CN"/>
        </w:rPr>
        <w:t>六</w:t>
      </w:r>
      <w:r>
        <w:rPr>
          <w:rFonts w:hint="eastAsia" w:asciiTheme="minorEastAsia" w:hAnsiTheme="minorEastAsia" w:eastAsiaTheme="minorEastAsia"/>
          <w:b/>
          <w:sz w:val="24"/>
        </w:rPr>
        <w:t>、评标（详见第四章）</w:t>
      </w:r>
    </w:p>
    <w:p>
      <w:pPr>
        <w:pStyle w:val="18"/>
        <w:keepNext w:val="0"/>
        <w:keepLines w:val="0"/>
        <w:pageBreakBefore w:val="0"/>
        <w:kinsoku/>
        <w:wordWrap/>
        <w:overflowPunct/>
        <w:topLinePunct w:val="0"/>
        <w:bidi w:val="0"/>
        <w:adjustRightInd/>
        <w:snapToGrid/>
        <w:spacing w:before="0" w:beforeAutospacing="0" w:after="0" w:afterAutospacing="0" w:line="360" w:lineRule="auto"/>
        <w:ind w:firstLine="482" w:firstLineChars="200"/>
        <w:jc w:val="both"/>
        <w:textAlignment w:val="auto"/>
        <w:rPr>
          <w:rFonts w:hint="default" w:asciiTheme="minorEastAsia" w:hAnsiTheme="minorEastAsia" w:eastAsiaTheme="minorEastAsia"/>
          <w:b/>
        </w:rPr>
      </w:pPr>
      <w:r>
        <w:rPr>
          <w:rFonts w:hint="eastAsia" w:asciiTheme="minorEastAsia" w:hAnsiTheme="minorEastAsia" w:eastAsiaTheme="minorEastAsia"/>
          <w:b/>
          <w:lang w:val="en-US" w:eastAsia="zh-CN"/>
        </w:rPr>
        <w:t>七</w:t>
      </w:r>
      <w:r>
        <w:rPr>
          <w:rFonts w:asciiTheme="minorEastAsia" w:hAnsiTheme="minorEastAsia" w:eastAsiaTheme="minorEastAsia"/>
          <w:b/>
        </w:rPr>
        <w:t>、定标</w:t>
      </w:r>
    </w:p>
    <w:p>
      <w:pPr>
        <w:pStyle w:val="18"/>
        <w:keepNext w:val="0"/>
        <w:keepLines w:val="0"/>
        <w:pageBreakBefore w:val="0"/>
        <w:kinsoku/>
        <w:wordWrap/>
        <w:overflowPunct/>
        <w:topLinePunct w:val="0"/>
        <w:bidi w:val="0"/>
        <w:adjustRightInd/>
        <w:snapToGrid/>
        <w:spacing w:before="0" w:beforeAutospacing="0" w:after="0" w:afterAutospacing="0" w:line="360" w:lineRule="auto"/>
        <w:ind w:firstLine="482" w:firstLineChars="200"/>
        <w:jc w:val="both"/>
        <w:textAlignment w:val="auto"/>
        <w:rPr>
          <w:b/>
          <w:bCs/>
        </w:rPr>
      </w:pPr>
      <w:r>
        <w:rPr>
          <w:rFonts w:asciiTheme="minorEastAsia" w:hAnsiTheme="minorEastAsia" w:eastAsiaTheme="minorEastAsia"/>
          <w:b/>
          <w:bCs/>
        </w:rPr>
        <w:t>（一）</w:t>
      </w:r>
      <w:r>
        <w:rPr>
          <w:b/>
          <w:bCs/>
        </w:rPr>
        <w:t>确定中标人</w:t>
      </w:r>
    </w:p>
    <w:p>
      <w:pPr>
        <w:pStyle w:val="18"/>
        <w:keepNext w:val="0"/>
        <w:keepLines w:val="0"/>
        <w:pageBreakBefore w:val="0"/>
        <w:kinsoku/>
        <w:wordWrap/>
        <w:overflowPunct/>
        <w:topLinePunct w:val="0"/>
        <w:bidi w:val="0"/>
        <w:adjustRightInd/>
        <w:snapToGrid/>
        <w:spacing w:before="0" w:beforeAutospacing="0" w:after="0" w:afterAutospacing="0" w:line="360" w:lineRule="auto"/>
        <w:ind w:firstLine="480" w:firstLineChars="200"/>
        <w:jc w:val="both"/>
        <w:textAlignment w:val="auto"/>
        <w:rPr>
          <w:rFonts w:hint="default" w:asciiTheme="minorEastAsia" w:hAnsiTheme="minorEastAsia" w:eastAsiaTheme="minorEastAsia"/>
        </w:rPr>
      </w:pP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宋体" w:hAnsi="宋体"/>
          <w:b/>
          <w:bCs/>
          <w:kern w:val="0"/>
          <w:sz w:val="24"/>
        </w:rPr>
      </w:pPr>
      <w:r>
        <w:rPr>
          <w:rFonts w:hint="eastAsia" w:asciiTheme="minorEastAsia" w:hAnsiTheme="minorEastAsia" w:eastAsiaTheme="minorEastAsia"/>
          <w:b/>
          <w:bCs/>
          <w:sz w:val="24"/>
        </w:rPr>
        <w:t>（二）</w:t>
      </w:r>
      <w:r>
        <w:rPr>
          <w:rFonts w:hint="eastAsia" w:ascii="宋体" w:hAnsi="宋体"/>
          <w:b/>
          <w:bCs/>
          <w:kern w:val="0"/>
          <w:sz w:val="24"/>
        </w:rPr>
        <w:t>发布</w:t>
      </w:r>
      <w:r>
        <w:rPr>
          <w:b/>
          <w:bCs/>
          <w:sz w:val="24"/>
        </w:rPr>
        <w:t>中标</w:t>
      </w:r>
      <w:r>
        <w:rPr>
          <w:rFonts w:hint="eastAsia" w:ascii="宋体" w:hAnsi="宋体"/>
          <w:b/>
          <w:bCs/>
          <w:kern w:val="0"/>
          <w:sz w:val="24"/>
        </w:rPr>
        <w:t>结果公告</w:t>
      </w:r>
    </w:p>
    <w:p>
      <w:pPr>
        <w:keepNext w:val="0"/>
        <w:keepLines w:val="0"/>
        <w:pageBreakBefore w:val="0"/>
        <w:kinsoku/>
        <w:wordWrap/>
        <w:overflowPunct/>
        <w:topLinePunct w:val="0"/>
        <w:bidi w:val="0"/>
        <w:adjustRightInd/>
        <w:snapToGrid/>
        <w:spacing w:line="360" w:lineRule="auto"/>
        <w:ind w:firstLine="480" w:firstLineChars="200"/>
        <w:textAlignment w:val="auto"/>
        <w:rPr>
          <w:rFonts w:ascii="宋体" w:hAnsi="宋体"/>
          <w:color w:val="FF0000"/>
          <w:kern w:val="0"/>
          <w:sz w:val="24"/>
        </w:rPr>
      </w:pPr>
      <w:r>
        <w:rPr>
          <w:rFonts w:hint="eastAsia" w:ascii="宋体" w:hAnsi="宋体"/>
          <w:kern w:val="0"/>
          <w:sz w:val="24"/>
        </w:rPr>
        <w:t>采购组织机构自中标人</w:t>
      </w:r>
      <w:r>
        <w:rPr>
          <w:rFonts w:ascii="宋体" w:hAnsi="宋体"/>
          <w:kern w:val="0"/>
          <w:sz w:val="24"/>
        </w:rPr>
        <w:t>确定</w:t>
      </w:r>
      <w:r>
        <w:rPr>
          <w:rFonts w:hint="eastAsia" w:ascii="宋体" w:hAnsi="宋体"/>
          <w:kern w:val="0"/>
          <w:sz w:val="24"/>
        </w:rPr>
        <w:t>之日起</w:t>
      </w:r>
      <w:r>
        <w:rPr>
          <w:rFonts w:hint="eastAsia" w:ascii="宋体" w:hAnsi="宋体"/>
          <w:kern w:val="0"/>
          <w:sz w:val="24"/>
          <w:lang w:val="en-US" w:eastAsia="zh-CN"/>
        </w:rPr>
        <w:t>3</w:t>
      </w:r>
      <w:r>
        <w:rPr>
          <w:rFonts w:ascii="宋体" w:hAnsi="宋体"/>
          <w:kern w:val="0"/>
          <w:sz w:val="24"/>
        </w:rPr>
        <w:t>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color w:val="auto"/>
          <w:sz w:val="24"/>
        </w:rPr>
        <w:t>中标结</w:t>
      </w:r>
      <w:r>
        <w:rPr>
          <w:rFonts w:hint="eastAsia" w:ascii="宋体" w:hAnsi="宋体"/>
          <w:color w:val="auto"/>
          <w:kern w:val="0"/>
          <w:sz w:val="24"/>
        </w:rPr>
        <w:t>果公告期为</w:t>
      </w:r>
      <w:r>
        <w:rPr>
          <w:rFonts w:hint="eastAsia" w:ascii="宋体" w:hAnsi="宋体"/>
          <w:color w:val="auto"/>
          <w:kern w:val="0"/>
          <w:sz w:val="24"/>
          <w:lang w:val="en-US" w:eastAsia="zh-CN"/>
        </w:rPr>
        <w:t>3</w:t>
      </w:r>
      <w:r>
        <w:rPr>
          <w:rFonts w:hint="eastAsia" w:ascii="宋体" w:hAnsi="宋体"/>
          <w:color w:val="auto"/>
          <w:kern w:val="0"/>
          <w:sz w:val="24"/>
        </w:rPr>
        <w:t>个工</w:t>
      </w:r>
      <w:r>
        <w:rPr>
          <w:color w:val="auto"/>
          <w:sz w:val="24"/>
        </w:rPr>
        <w:t>作日</w:t>
      </w:r>
      <w:r>
        <w:rPr>
          <w:rFonts w:hint="eastAsia" w:ascii="宋体" w:hAnsi="宋体"/>
          <w:color w:val="auto"/>
          <w:kern w:val="0"/>
          <w:sz w:val="24"/>
        </w:rPr>
        <w:t>。</w:t>
      </w:r>
    </w:p>
    <w:p>
      <w:pPr>
        <w:pStyle w:val="10"/>
        <w:keepNext w:val="0"/>
        <w:keepLines w:val="0"/>
        <w:pageBreakBefore w:val="0"/>
        <w:numPr>
          <w:ilvl w:val="0"/>
          <w:numId w:val="6"/>
        </w:numPr>
        <w:kinsoku/>
        <w:wordWrap/>
        <w:overflowPunct/>
        <w:topLinePunct w:val="0"/>
        <w:bidi w:val="0"/>
        <w:adjustRightInd/>
        <w:snapToGrid/>
        <w:spacing w:line="360" w:lineRule="auto"/>
        <w:ind w:left="0" w:leftChars="0" w:firstLine="482" w:firstLineChars="200"/>
        <w:jc w:val="both"/>
        <w:textAlignment w:val="auto"/>
        <w:rPr>
          <w:rFonts w:hint="eastAsia"/>
          <w:b/>
          <w:bCs/>
          <w:sz w:val="24"/>
        </w:rPr>
      </w:pPr>
      <w:r>
        <w:rPr>
          <w:rFonts w:hint="eastAsia"/>
          <w:b/>
          <w:bCs/>
          <w:sz w:val="24"/>
        </w:rPr>
        <w:t>发放中标通知书</w:t>
      </w:r>
    </w:p>
    <w:p>
      <w:pPr>
        <w:pStyle w:val="10"/>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jc w:val="both"/>
        <w:textAlignment w:val="auto"/>
      </w:pP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向中标人发出中标通知书。</w:t>
      </w:r>
    </w:p>
    <w:p>
      <w:pPr>
        <w:pStyle w:val="10"/>
        <w:keepNext w:val="0"/>
        <w:keepLines w:val="0"/>
        <w:pageBreakBefore w:val="0"/>
        <w:kinsoku/>
        <w:wordWrap/>
        <w:overflowPunct/>
        <w:topLinePunct w:val="0"/>
        <w:bidi w:val="0"/>
        <w:adjustRightInd/>
        <w:snapToGrid/>
        <w:spacing w:line="360" w:lineRule="auto"/>
        <w:ind w:firstLine="482" w:firstLineChars="200"/>
        <w:jc w:val="both"/>
        <w:textAlignment w:val="auto"/>
        <w:rPr>
          <w:rFonts w:ascii="宋体" w:hAnsi="宋体"/>
          <w:b/>
          <w:bCs/>
          <w:sz w:val="24"/>
        </w:rPr>
      </w:pPr>
      <w:r>
        <w:rPr>
          <w:rFonts w:hint="eastAsia" w:ascii="宋体" w:hAnsi="宋体"/>
          <w:b/>
          <w:bCs/>
          <w:sz w:val="24"/>
        </w:rPr>
        <w:t>八、询问、质疑与投诉</w:t>
      </w:r>
    </w:p>
    <w:p>
      <w:pPr>
        <w:pStyle w:val="10"/>
        <w:keepNext w:val="0"/>
        <w:keepLines w:val="0"/>
        <w:pageBreakBefore w:val="0"/>
        <w:kinsoku/>
        <w:wordWrap/>
        <w:overflowPunct/>
        <w:topLinePunct w:val="0"/>
        <w:bidi w:val="0"/>
        <w:adjustRightInd/>
        <w:snapToGrid/>
        <w:spacing w:line="360" w:lineRule="auto"/>
        <w:ind w:firstLine="482" w:firstLineChars="200"/>
        <w:jc w:val="both"/>
        <w:textAlignment w:val="auto"/>
        <w:rPr>
          <w:rFonts w:ascii="宋体" w:hAnsi="宋体"/>
          <w:b/>
          <w:bCs/>
          <w:sz w:val="24"/>
        </w:rPr>
      </w:pPr>
      <w:r>
        <w:rPr>
          <w:rFonts w:hint="eastAsia" w:ascii="宋体" w:hAnsi="宋体"/>
          <w:b/>
          <w:bCs/>
          <w:sz w:val="24"/>
        </w:rPr>
        <w:t>（一）询问</w:t>
      </w:r>
    </w:p>
    <w:p>
      <w:pPr>
        <w:pStyle w:val="10"/>
        <w:keepNext w:val="0"/>
        <w:keepLines w:val="0"/>
        <w:pageBreakBefore w:val="0"/>
        <w:kinsoku/>
        <w:wordWrap/>
        <w:overflowPunct/>
        <w:topLinePunct w:val="0"/>
        <w:bidi w:val="0"/>
        <w:adjustRightInd/>
        <w:snapToGrid/>
        <w:spacing w:line="360" w:lineRule="auto"/>
        <w:ind w:firstLine="480" w:firstLineChars="200"/>
        <w:jc w:val="both"/>
        <w:textAlignment w:val="auto"/>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pPr>
        <w:pStyle w:val="10"/>
        <w:keepNext w:val="0"/>
        <w:keepLines w:val="0"/>
        <w:pageBreakBefore w:val="0"/>
        <w:kinsoku/>
        <w:wordWrap/>
        <w:overflowPunct/>
        <w:topLinePunct w:val="0"/>
        <w:bidi w:val="0"/>
        <w:adjustRightInd/>
        <w:snapToGrid/>
        <w:spacing w:line="360" w:lineRule="auto"/>
        <w:ind w:firstLine="482" w:firstLineChars="200"/>
        <w:jc w:val="both"/>
        <w:textAlignment w:val="auto"/>
        <w:rPr>
          <w:rFonts w:ascii="宋体" w:hAnsi="宋体"/>
          <w:b/>
          <w:bCs/>
          <w:sz w:val="24"/>
        </w:rPr>
      </w:pPr>
      <w:r>
        <w:rPr>
          <w:rFonts w:hint="eastAsia" w:ascii="宋体" w:hAnsi="宋体"/>
          <w:b/>
          <w:bCs/>
          <w:sz w:val="24"/>
        </w:rPr>
        <w:t>（二）质疑</w:t>
      </w:r>
    </w:p>
    <w:p>
      <w:pPr>
        <w:pStyle w:val="10"/>
        <w:keepNext w:val="0"/>
        <w:keepLines w:val="0"/>
        <w:pageBreakBefore w:val="0"/>
        <w:kinsoku/>
        <w:wordWrap/>
        <w:overflowPunct/>
        <w:topLinePunct w:val="0"/>
        <w:bidi w:val="0"/>
        <w:adjustRightInd/>
        <w:snapToGrid/>
        <w:spacing w:line="360" w:lineRule="auto"/>
        <w:ind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1.报名本项目的投标人认为招标文件、采购过程和中标结果使自己的权益受到损害的，通过政采云平台的质疑系统一次性向采购人或采购组织机构提出质疑：</w:t>
      </w:r>
    </w:p>
    <w:p>
      <w:pPr>
        <w:pStyle w:val="10"/>
        <w:keepNext w:val="0"/>
        <w:keepLines w:val="0"/>
        <w:pageBreakBefore w:val="0"/>
        <w:kinsoku/>
        <w:wordWrap/>
        <w:overflowPunct/>
        <w:topLinePunct w:val="0"/>
        <w:bidi w:val="0"/>
        <w:adjustRightInd/>
        <w:snapToGrid/>
        <w:spacing w:line="360" w:lineRule="auto"/>
        <w:ind w:firstLine="480" w:firstLineChars="200"/>
        <w:jc w:val="both"/>
        <w:textAlignment w:val="auto"/>
        <w:rPr>
          <w:rFonts w:ascii="宋体" w:hAnsi="宋体"/>
          <w:sz w:val="24"/>
        </w:rPr>
      </w:pPr>
      <w:r>
        <w:rPr>
          <w:rFonts w:hint="eastAsia" w:ascii="宋体" w:hAnsi="宋体"/>
          <w:color w:val="000000" w:themeColor="text1"/>
          <w:sz w:val="24"/>
          <w14:textFill>
            <w14:solidFill>
              <w14:schemeClr w14:val="tx1"/>
            </w14:solidFill>
          </w14:textFill>
        </w:rPr>
        <w:t>（1）投标人认为招标文件的内容损害其权益的，应当自获取之日起（获取截止日之后收到招标文件的，以获取截止日为</w:t>
      </w:r>
      <w:r>
        <w:rPr>
          <w:rFonts w:hint="eastAsia" w:ascii="宋体" w:hAnsi="宋体"/>
          <w:sz w:val="24"/>
        </w:rPr>
        <w:t>准）</w:t>
      </w:r>
      <w:r>
        <w:rPr>
          <w:rFonts w:hint="eastAsia" w:ascii="宋体" w:hAnsi="宋体"/>
          <w:sz w:val="24"/>
          <w:lang w:val="en-US" w:eastAsia="zh-CN"/>
        </w:rPr>
        <w:t>3</w:t>
      </w:r>
      <w:r>
        <w:rPr>
          <w:rFonts w:hint="eastAsia" w:ascii="宋体" w:hAnsi="宋体"/>
          <w:sz w:val="24"/>
        </w:rPr>
        <w:t>个工作日内提出质疑；</w:t>
      </w:r>
    </w:p>
    <w:p>
      <w:pPr>
        <w:pStyle w:val="10"/>
        <w:keepNext w:val="0"/>
        <w:keepLines w:val="0"/>
        <w:pageBreakBefore w:val="0"/>
        <w:kinsoku/>
        <w:wordWrap/>
        <w:overflowPunct/>
        <w:topLinePunct w:val="0"/>
        <w:bidi w:val="0"/>
        <w:adjustRightInd/>
        <w:snapToGrid/>
        <w:spacing w:line="360" w:lineRule="auto"/>
        <w:ind w:firstLine="480" w:firstLineChars="200"/>
        <w:jc w:val="both"/>
        <w:textAlignment w:val="auto"/>
        <w:rPr>
          <w:rFonts w:ascii="宋体" w:hAnsi="宋体"/>
          <w:sz w:val="24"/>
        </w:rPr>
      </w:pPr>
      <w:r>
        <w:rPr>
          <w:rFonts w:hint="eastAsia" w:ascii="宋体" w:hAnsi="宋体"/>
          <w:sz w:val="24"/>
        </w:rPr>
        <w:t>（2）投标人对采购过程提出质疑的，应当在各采购程序环节结束之日起7个工作日内提出质疑；</w:t>
      </w:r>
    </w:p>
    <w:p>
      <w:pPr>
        <w:pStyle w:val="10"/>
        <w:keepNext w:val="0"/>
        <w:keepLines w:val="0"/>
        <w:pageBreakBefore w:val="0"/>
        <w:kinsoku/>
        <w:wordWrap/>
        <w:overflowPunct/>
        <w:topLinePunct w:val="0"/>
        <w:bidi w:val="0"/>
        <w:adjustRightInd/>
        <w:snapToGrid/>
        <w:spacing w:line="360" w:lineRule="auto"/>
        <w:ind w:firstLine="480" w:firstLineChars="200"/>
        <w:jc w:val="both"/>
        <w:textAlignment w:val="auto"/>
        <w:rPr>
          <w:rFonts w:ascii="宋体" w:hAnsi="宋体"/>
          <w:sz w:val="24"/>
        </w:rPr>
      </w:pPr>
      <w:r>
        <w:rPr>
          <w:rFonts w:hint="eastAsia" w:ascii="宋体" w:hAnsi="宋体"/>
          <w:sz w:val="24"/>
        </w:rPr>
        <w:t>（3）投标人对中标结果提出质疑的，应当在中标结果公告期限届满之日起7个工作日内提出质疑。</w:t>
      </w:r>
    </w:p>
    <w:p>
      <w:pPr>
        <w:pStyle w:val="10"/>
        <w:keepNext w:val="0"/>
        <w:keepLines w:val="0"/>
        <w:pageBreakBefore w:val="0"/>
        <w:kinsoku/>
        <w:wordWrap/>
        <w:overflowPunct/>
        <w:topLinePunct w:val="0"/>
        <w:bidi w:val="0"/>
        <w:adjustRightInd/>
        <w:snapToGrid/>
        <w:spacing w:line="360" w:lineRule="auto"/>
        <w:ind w:firstLine="480" w:firstLineChars="200"/>
        <w:jc w:val="both"/>
        <w:textAlignment w:val="auto"/>
        <w:rPr>
          <w:rFonts w:ascii="宋体" w:hAnsi="宋体"/>
          <w:sz w:val="24"/>
        </w:rPr>
      </w:pPr>
      <w:r>
        <w:rPr>
          <w:rFonts w:hint="eastAsia" w:ascii="宋体" w:hAnsi="宋体"/>
          <w:sz w:val="24"/>
        </w:rPr>
        <w:t>2.采购人或采购组织机构在收到投标人的书面质疑后</w:t>
      </w:r>
      <w:r>
        <w:rPr>
          <w:rFonts w:hint="eastAsia" w:ascii="宋体" w:hAnsi="宋体"/>
          <w:sz w:val="24"/>
          <w:lang w:val="en-US" w:eastAsia="zh-CN"/>
        </w:rPr>
        <w:t>3</w:t>
      </w:r>
      <w:r>
        <w:rPr>
          <w:rFonts w:hint="eastAsia" w:ascii="宋体" w:hAnsi="宋体"/>
          <w:sz w:val="24"/>
        </w:rPr>
        <w:t>个工作日内作出答复，并以书面形式或政采云平台回复质疑投标人和其他有关投标人，但答复内容不涉及商业秘密。</w:t>
      </w:r>
    </w:p>
    <w:p>
      <w:pPr>
        <w:pStyle w:val="10"/>
        <w:keepNext w:val="0"/>
        <w:keepLines w:val="0"/>
        <w:pageBreakBefore w:val="0"/>
        <w:kinsoku/>
        <w:wordWrap/>
        <w:overflowPunct/>
        <w:topLinePunct w:val="0"/>
        <w:bidi w:val="0"/>
        <w:adjustRightInd/>
        <w:snapToGrid/>
        <w:spacing w:line="360" w:lineRule="auto"/>
        <w:ind w:firstLine="480" w:firstLineChars="200"/>
        <w:jc w:val="both"/>
        <w:textAlignment w:val="auto"/>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10"/>
        <w:keepNext w:val="0"/>
        <w:keepLines w:val="0"/>
        <w:pageBreakBefore w:val="0"/>
        <w:kinsoku/>
        <w:wordWrap/>
        <w:overflowPunct/>
        <w:topLinePunct w:val="0"/>
        <w:bidi w:val="0"/>
        <w:adjustRightInd/>
        <w:snapToGrid/>
        <w:spacing w:line="360" w:lineRule="auto"/>
        <w:ind w:firstLine="482" w:firstLineChars="200"/>
        <w:jc w:val="both"/>
        <w:textAlignment w:val="auto"/>
        <w:rPr>
          <w:rFonts w:ascii="宋体" w:hAnsi="宋体"/>
          <w:b/>
          <w:bCs/>
          <w:sz w:val="24"/>
        </w:rPr>
      </w:pPr>
      <w:r>
        <w:rPr>
          <w:rFonts w:hint="eastAsia" w:ascii="宋体" w:hAnsi="宋体"/>
          <w:b/>
          <w:bCs/>
          <w:sz w:val="24"/>
        </w:rPr>
        <w:t>（三）投诉</w:t>
      </w:r>
    </w:p>
    <w:p>
      <w:pPr>
        <w:pStyle w:val="10"/>
        <w:keepNext w:val="0"/>
        <w:keepLines w:val="0"/>
        <w:pageBreakBefore w:val="0"/>
        <w:kinsoku/>
        <w:wordWrap/>
        <w:overflowPunct/>
        <w:topLinePunct w:val="0"/>
        <w:bidi w:val="0"/>
        <w:adjustRightInd/>
        <w:snapToGrid/>
        <w:spacing w:line="360" w:lineRule="auto"/>
        <w:ind w:firstLine="480" w:firstLineChars="200"/>
        <w:jc w:val="both"/>
        <w:textAlignment w:val="auto"/>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pPr>
        <w:pStyle w:val="10"/>
        <w:keepNext w:val="0"/>
        <w:keepLines w:val="0"/>
        <w:pageBreakBefore w:val="0"/>
        <w:kinsoku/>
        <w:wordWrap/>
        <w:overflowPunct/>
        <w:topLinePunct w:val="0"/>
        <w:bidi w:val="0"/>
        <w:adjustRightInd/>
        <w:snapToGrid/>
        <w:spacing w:line="360" w:lineRule="auto"/>
        <w:ind w:firstLine="480" w:firstLineChars="200"/>
        <w:jc w:val="both"/>
        <w:textAlignment w:val="auto"/>
        <w:rPr>
          <w:rFonts w:asciiTheme="minorEastAsia" w:hAnsiTheme="minorEastAsia" w:eastAsiaTheme="minorEastAsia"/>
          <w:b/>
          <w:sz w:val="36"/>
          <w:szCs w:val="36"/>
        </w:rPr>
      </w:pPr>
      <w:r>
        <w:rPr>
          <w:rFonts w:hint="eastAsia" w:ascii="宋体" w:hAnsi="宋体"/>
          <w:sz w:val="24"/>
        </w:rPr>
        <w:br w:type="page"/>
      </w:r>
    </w:p>
    <w:p>
      <w:pPr>
        <w:numPr>
          <w:ilvl w:val="0"/>
          <w:numId w:val="4"/>
        </w:numPr>
        <w:spacing w:line="360" w:lineRule="auto"/>
        <w:jc w:val="center"/>
        <w:rPr>
          <w:rFonts w:asciiTheme="minorEastAsia" w:hAnsiTheme="minorEastAsia" w:eastAsiaTheme="minorEastAsia"/>
          <w:b/>
          <w:sz w:val="36"/>
          <w:szCs w:val="36"/>
        </w:rPr>
      </w:pPr>
      <w:bookmarkStart w:id="35" w:name="_Toc13072_WPSOffice_Level1"/>
      <w:r>
        <w:rPr>
          <w:rFonts w:hint="eastAsia" w:asciiTheme="minorEastAsia" w:hAnsiTheme="minorEastAsia" w:eastAsiaTheme="minorEastAsia"/>
          <w:b/>
          <w:sz w:val="36"/>
          <w:szCs w:val="36"/>
        </w:rPr>
        <w:t>招标需求</w:t>
      </w:r>
      <w:bookmarkEnd w:id="35"/>
    </w:p>
    <w:p>
      <w:pPr>
        <w:tabs>
          <w:tab w:val="left" w:pos="8280"/>
        </w:tabs>
        <w:autoSpaceDE w:val="0"/>
        <w:autoSpaceDN w:val="0"/>
        <w:adjustRightInd w:val="0"/>
        <w:spacing w:line="360" w:lineRule="auto"/>
        <w:ind w:right="25" w:firstLine="482" w:firstLineChars="200"/>
        <w:rPr>
          <w:rFonts w:asciiTheme="minorEastAsia" w:hAnsiTheme="minorEastAsia" w:eastAsiaTheme="minorEastAsia"/>
          <w:sz w:val="24"/>
        </w:rPr>
      </w:pPr>
      <w:r>
        <w:rPr>
          <w:rFonts w:hint="eastAsia" w:asciiTheme="minorEastAsia" w:hAnsiTheme="minorEastAsia" w:eastAsiaTheme="minorEastAsia"/>
          <w:b/>
          <w:sz w:val="24"/>
        </w:rPr>
        <w:t>一、招标项目一览表</w:t>
      </w:r>
    </w:p>
    <w:p>
      <w:pPr>
        <w:tabs>
          <w:tab w:val="left" w:pos="8280"/>
        </w:tabs>
        <w:autoSpaceDE w:val="0"/>
        <w:autoSpaceDN w:val="0"/>
        <w:adjustRightInd w:val="0"/>
        <w:spacing w:line="360" w:lineRule="auto"/>
        <w:ind w:right="25"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本次招标共</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 xml:space="preserve">1 </w:t>
      </w:r>
      <w:r>
        <w:rPr>
          <w:rFonts w:hint="eastAsia" w:asciiTheme="minorEastAsia" w:hAnsiTheme="minorEastAsia" w:eastAsiaTheme="minorEastAsia"/>
          <w:sz w:val="24"/>
        </w:rPr>
        <w:t>个标项，具体内容如下表：</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5115"/>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8" w:type="dxa"/>
            <w:vAlign w:val="center"/>
          </w:tcPr>
          <w:p>
            <w:pPr>
              <w:numPr>
                <w:ilvl w:val="0"/>
                <w:numId w:val="0"/>
              </w:numPr>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标项号</w:t>
            </w:r>
          </w:p>
        </w:tc>
        <w:tc>
          <w:tcPr>
            <w:tcW w:w="5115" w:type="dxa"/>
            <w:vAlign w:val="center"/>
          </w:tcPr>
          <w:p>
            <w:pPr>
              <w:numPr>
                <w:ilvl w:val="0"/>
                <w:numId w:val="0"/>
              </w:numPr>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标项名称</w:t>
            </w:r>
          </w:p>
        </w:tc>
        <w:tc>
          <w:tcPr>
            <w:tcW w:w="1776" w:type="dxa"/>
            <w:vAlign w:val="center"/>
          </w:tcPr>
          <w:p>
            <w:pPr>
              <w:numPr>
                <w:ilvl w:val="0"/>
                <w:numId w:val="0"/>
              </w:numPr>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代理银行数量（家）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8" w:type="dxa"/>
            <w:vAlign w:val="center"/>
          </w:tcPr>
          <w:p>
            <w:pPr>
              <w:numPr>
                <w:ilvl w:val="0"/>
                <w:numId w:val="0"/>
              </w:num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w:t>
            </w:r>
          </w:p>
        </w:tc>
        <w:tc>
          <w:tcPr>
            <w:tcW w:w="5115" w:type="dxa"/>
            <w:vAlign w:val="center"/>
          </w:tcPr>
          <w:p>
            <w:pPr>
              <w:numPr>
                <w:ilvl w:val="0"/>
                <w:numId w:val="0"/>
              </w:num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台州市市本级财政国库集中支付代理银行</w:t>
            </w:r>
          </w:p>
        </w:tc>
        <w:tc>
          <w:tcPr>
            <w:tcW w:w="1776" w:type="dxa"/>
            <w:vAlign w:val="center"/>
          </w:tcPr>
          <w:p>
            <w:pPr>
              <w:numPr>
                <w:ilvl w:val="0"/>
                <w:numId w:val="0"/>
              </w:numPr>
              <w:jc w:val="center"/>
              <w:rPr>
                <w:rFonts w:hint="default"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4</w:t>
            </w:r>
          </w:p>
        </w:tc>
      </w:tr>
    </w:tbl>
    <w:p>
      <w:pPr>
        <w:pStyle w:val="2"/>
      </w:pPr>
    </w:p>
    <w:p>
      <w:pPr>
        <w:numPr>
          <w:ilvl w:val="0"/>
          <w:numId w:val="0"/>
        </w:numPr>
        <w:tabs>
          <w:tab w:val="left" w:pos="8280"/>
        </w:tabs>
        <w:autoSpaceDE w:val="0"/>
        <w:autoSpaceDN w:val="0"/>
        <w:adjustRightInd w:val="0"/>
        <w:spacing w:line="360" w:lineRule="auto"/>
        <w:ind w:right="25" w:rightChars="0" w:firstLine="482" w:firstLineChars="200"/>
        <w:jc w:val="left"/>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lang w:eastAsia="zh-CN"/>
          <w14:textFill>
            <w14:solidFill>
              <w14:schemeClr w14:val="tx1"/>
            </w14:solidFill>
          </w14:textFill>
        </w:rPr>
        <w:t>二、投标代理银行的基本条件</w:t>
      </w:r>
    </w:p>
    <w:p>
      <w:pPr>
        <w:pStyle w:val="9"/>
        <w:spacing w:line="360" w:lineRule="auto"/>
        <w:ind w:left="0" w:leftChars="0" w:firstLine="480" w:firstLineChars="200"/>
        <w:rPr>
          <w:rFonts w:hint="eastAsia" w:asciiTheme="minorEastAsia" w:hAnsiTheme="minorEastAsia" w:eastAsiaTheme="minorEastAsia" w:cstheme="minorBidi"/>
          <w:kern w:val="0"/>
          <w:sz w:val="24"/>
        </w:rPr>
      </w:pPr>
      <w:r>
        <w:rPr>
          <w:rFonts w:hint="eastAsia" w:asciiTheme="minorEastAsia" w:hAnsiTheme="minorEastAsia" w:eastAsiaTheme="minorEastAsia" w:cstheme="minorBidi"/>
          <w:kern w:val="0"/>
          <w:sz w:val="24"/>
        </w:rPr>
        <w:t>参与市本级财政国库集中支付代理银行投标的银行是指在中华人民共和国境内依法设立的国有商业银行、股份制商业银行、邮政储蓄银行、城市商业银行、农村商业银行、农村信用合作社、农村合作银行以及政策性银行。银行参与投标应符合以下条件：</w:t>
      </w:r>
    </w:p>
    <w:p>
      <w:pPr>
        <w:pStyle w:val="9"/>
        <w:spacing w:line="360" w:lineRule="auto"/>
        <w:ind w:left="0" w:leftChars="0" w:firstLine="480" w:firstLineChars="200"/>
        <w:rPr>
          <w:rFonts w:hint="eastAsia" w:asciiTheme="minorEastAsia" w:hAnsiTheme="minorEastAsia" w:eastAsiaTheme="minorEastAsia" w:cstheme="minorBidi"/>
          <w:kern w:val="0"/>
          <w:sz w:val="24"/>
        </w:rPr>
      </w:pPr>
      <w:r>
        <w:rPr>
          <w:rFonts w:hint="eastAsia" w:asciiTheme="minorEastAsia" w:hAnsiTheme="minorEastAsia" w:eastAsiaTheme="minorEastAsia" w:cstheme="minorBidi"/>
          <w:kern w:val="0"/>
          <w:sz w:val="24"/>
        </w:rPr>
        <w:t>（一）在市级行政事业单位所在地设有分支机构；</w:t>
      </w:r>
    </w:p>
    <w:p>
      <w:pPr>
        <w:pStyle w:val="9"/>
        <w:spacing w:line="360" w:lineRule="auto"/>
        <w:ind w:left="0" w:leftChars="0" w:firstLine="480" w:firstLineChars="200"/>
        <w:rPr>
          <w:rFonts w:hint="eastAsia" w:asciiTheme="minorEastAsia" w:hAnsiTheme="minorEastAsia" w:eastAsiaTheme="minorEastAsia" w:cstheme="minorBidi"/>
          <w:kern w:val="0"/>
          <w:sz w:val="24"/>
        </w:rPr>
      </w:pPr>
      <w:r>
        <w:rPr>
          <w:rFonts w:hint="eastAsia" w:asciiTheme="minorEastAsia" w:hAnsiTheme="minorEastAsia" w:eastAsiaTheme="minorEastAsia" w:cstheme="minorBidi"/>
          <w:kern w:val="0"/>
          <w:sz w:val="24"/>
        </w:rPr>
        <w:t>（二）依法开展经营活动，内部管理机制健全，具有较强的风险控制能力，近3年内在经营活动中无重大违法违规记录、未发生金融风险及重大违约事件；</w:t>
      </w:r>
    </w:p>
    <w:p>
      <w:pPr>
        <w:pStyle w:val="9"/>
        <w:spacing w:line="360" w:lineRule="auto"/>
        <w:ind w:left="0" w:leftChars="0" w:firstLine="480" w:firstLineChars="200"/>
        <w:rPr>
          <w:rFonts w:hint="eastAsia" w:asciiTheme="minorEastAsia" w:hAnsiTheme="minorEastAsia" w:eastAsiaTheme="minorEastAsia" w:cstheme="minorBidi"/>
          <w:kern w:val="0"/>
          <w:sz w:val="24"/>
          <w:lang w:val="en-US" w:eastAsia="zh-CN"/>
        </w:rPr>
      </w:pPr>
      <w:r>
        <w:rPr>
          <w:rFonts w:hint="eastAsia" w:asciiTheme="minorEastAsia" w:hAnsiTheme="minorEastAsia" w:eastAsiaTheme="minorEastAsia" w:cstheme="minorBidi"/>
          <w:kern w:val="0"/>
          <w:sz w:val="24"/>
        </w:rPr>
        <w:t>（三）投标人应具有人行台州市中心支行的国库集中支付业务代理资格</w:t>
      </w:r>
      <w:r>
        <w:rPr>
          <w:rFonts w:hint="eastAsia" w:asciiTheme="minorEastAsia" w:hAnsiTheme="minorEastAsia" w:eastAsiaTheme="minorEastAsia" w:cstheme="minorBidi"/>
          <w:kern w:val="0"/>
          <w:sz w:val="24"/>
          <w:lang w:eastAsia="zh-CN"/>
        </w:rPr>
        <w:t>；</w:t>
      </w:r>
    </w:p>
    <w:p>
      <w:pPr>
        <w:pStyle w:val="9"/>
        <w:spacing w:line="360" w:lineRule="auto"/>
        <w:ind w:left="0" w:leftChars="0" w:firstLine="480" w:firstLineChars="200"/>
        <w:rPr>
          <w:rFonts w:hint="eastAsia" w:asciiTheme="minorEastAsia" w:hAnsiTheme="minorEastAsia" w:eastAsiaTheme="minorEastAsia" w:cstheme="minorBidi"/>
          <w:kern w:val="0"/>
          <w:sz w:val="24"/>
        </w:rPr>
      </w:pPr>
      <w:r>
        <w:rPr>
          <w:rFonts w:hint="eastAsia" w:asciiTheme="minorEastAsia" w:hAnsiTheme="minorEastAsia" w:eastAsiaTheme="minorEastAsia" w:cstheme="minorBidi"/>
          <w:kern w:val="0"/>
          <w:sz w:val="24"/>
        </w:rPr>
        <w:t>（四）本次招投标每家银行有且只能有一个主体参与投标允许以市分行或者市分行授权支行为投标主体；</w:t>
      </w:r>
    </w:p>
    <w:p>
      <w:pPr>
        <w:pStyle w:val="9"/>
        <w:spacing w:line="360" w:lineRule="auto"/>
        <w:ind w:left="0" w:leftChars="0" w:firstLine="480" w:firstLineChars="200"/>
        <w:rPr>
          <w:rFonts w:hint="eastAsia" w:asciiTheme="minorEastAsia" w:hAnsiTheme="minorEastAsia" w:eastAsiaTheme="minorEastAsia" w:cstheme="minorBidi"/>
          <w:kern w:val="0"/>
          <w:sz w:val="24"/>
        </w:rPr>
      </w:pPr>
      <w:r>
        <w:rPr>
          <w:rFonts w:hint="eastAsia" w:asciiTheme="minorEastAsia" w:hAnsiTheme="minorEastAsia" w:eastAsiaTheme="minorEastAsia" w:cstheme="minorBidi"/>
          <w:kern w:val="0"/>
          <w:sz w:val="24"/>
        </w:rPr>
        <w:t>（五）投标人应具有先进的资金汇划清算系统,保证财政资金安全、及时、准确支付;</w:t>
      </w:r>
    </w:p>
    <w:p>
      <w:pPr>
        <w:pStyle w:val="9"/>
        <w:spacing w:line="360" w:lineRule="auto"/>
        <w:ind w:left="0" w:leftChars="0" w:firstLine="480" w:firstLineChars="200"/>
        <w:rPr>
          <w:rFonts w:hint="eastAsia" w:asciiTheme="minorEastAsia" w:hAnsiTheme="minorEastAsia" w:eastAsiaTheme="minorEastAsia" w:cstheme="minorBidi"/>
          <w:kern w:val="0"/>
          <w:sz w:val="24"/>
        </w:rPr>
      </w:pPr>
      <w:r>
        <w:rPr>
          <w:rFonts w:hint="eastAsia" w:asciiTheme="minorEastAsia" w:hAnsiTheme="minorEastAsia" w:eastAsiaTheme="minorEastAsia" w:cstheme="minorBidi"/>
          <w:kern w:val="0"/>
          <w:sz w:val="24"/>
        </w:rPr>
        <w:t>（六）具有可靠的技术保障能力，能够按照市本级国库集中支付管理改革要求开发应用与市本级财政国库集中支付相适应的银行端软件系统，并实现与市财政局、人行台州市中心支行的国库集中支付系统信息系统联网运行；</w:t>
      </w:r>
    </w:p>
    <w:p>
      <w:pPr>
        <w:pStyle w:val="9"/>
        <w:spacing w:line="360" w:lineRule="auto"/>
        <w:ind w:left="0" w:leftChars="0" w:firstLine="480" w:firstLineChars="200"/>
        <w:rPr>
          <w:rFonts w:hint="eastAsia" w:asciiTheme="minorEastAsia" w:hAnsiTheme="minorEastAsia" w:eastAsiaTheme="minorEastAsia" w:cstheme="minorBidi"/>
          <w:kern w:val="0"/>
          <w:sz w:val="24"/>
        </w:rPr>
      </w:pPr>
      <w:r>
        <w:rPr>
          <w:rFonts w:hint="eastAsia" w:asciiTheme="minorEastAsia" w:hAnsiTheme="minorEastAsia" w:eastAsiaTheme="minorEastAsia" w:cstheme="minorBidi"/>
          <w:kern w:val="0"/>
          <w:sz w:val="24"/>
        </w:rPr>
        <w:t>（七）内控制度完善，操作管理规范，并确定专门机构、专职人员负责代理支付和清算业务，为相关各方提供优质代理服务。</w:t>
      </w:r>
    </w:p>
    <w:p>
      <w:pPr>
        <w:pStyle w:val="9"/>
        <w:spacing w:line="360" w:lineRule="auto"/>
        <w:ind w:left="0" w:leftChars="0" w:firstLine="480" w:firstLineChars="200"/>
        <w:rPr>
          <w:rFonts w:hint="eastAsia" w:asciiTheme="minorEastAsia" w:hAnsiTheme="minorEastAsia" w:eastAsiaTheme="minorEastAsia" w:cstheme="minorBidi"/>
          <w:kern w:val="0"/>
          <w:sz w:val="24"/>
        </w:rPr>
      </w:pPr>
    </w:p>
    <w:p>
      <w:pPr>
        <w:pStyle w:val="9"/>
        <w:spacing w:line="360" w:lineRule="auto"/>
        <w:ind w:left="0" w:leftChars="0" w:firstLine="482" w:firstLineChars="200"/>
        <w:rPr>
          <w:rFonts w:hint="eastAsia" w:asciiTheme="minorEastAsia" w:hAnsiTheme="minorEastAsia" w:eastAsiaTheme="minorEastAsia" w:cstheme="minorBidi"/>
          <w:kern w:val="0"/>
          <w:sz w:val="24"/>
        </w:rPr>
      </w:pPr>
      <w:r>
        <w:rPr>
          <w:rFonts w:hint="eastAsia" w:asciiTheme="minorEastAsia" w:hAnsiTheme="minorEastAsia" w:eastAsiaTheme="minorEastAsia" w:cstheme="minorBidi"/>
          <w:b/>
          <w:bCs/>
          <w:kern w:val="0"/>
          <w:sz w:val="24"/>
        </w:rPr>
        <w:t>三、代理财政支付业务具体需求</w:t>
      </w:r>
    </w:p>
    <w:p>
      <w:pPr>
        <w:pStyle w:val="9"/>
        <w:spacing w:line="360" w:lineRule="auto"/>
        <w:ind w:left="0" w:leftChars="0" w:firstLine="480" w:firstLineChars="200"/>
        <w:rPr>
          <w:rFonts w:hint="eastAsia" w:asciiTheme="minorEastAsia" w:hAnsiTheme="minorEastAsia" w:eastAsiaTheme="minorEastAsia" w:cstheme="minorBidi"/>
          <w:kern w:val="0"/>
          <w:sz w:val="24"/>
          <w:lang w:eastAsia="zh-CN"/>
        </w:rPr>
      </w:pPr>
      <w:r>
        <w:rPr>
          <w:rFonts w:hint="eastAsia" w:asciiTheme="minorEastAsia" w:hAnsiTheme="minorEastAsia" w:eastAsiaTheme="minorEastAsia" w:cstheme="minorBidi"/>
          <w:kern w:val="0"/>
          <w:sz w:val="24"/>
        </w:rPr>
        <w:t>（一）根据市财政局通知及时办理财政零余额账户、单位零余额账户的开立、变更和撤销事宜，不得违反规定从财政零余额账户或单位零余额账户向预算单位关联账户汇划资金</w:t>
      </w:r>
      <w:r>
        <w:rPr>
          <w:rFonts w:hint="eastAsia" w:asciiTheme="minorEastAsia" w:hAnsiTheme="minorEastAsia" w:eastAsiaTheme="minorEastAsia" w:cstheme="minorBidi"/>
          <w:kern w:val="0"/>
          <w:sz w:val="24"/>
          <w:lang w:eastAsia="zh-CN"/>
        </w:rPr>
        <w:t>；</w:t>
      </w:r>
    </w:p>
    <w:p>
      <w:pPr>
        <w:pStyle w:val="9"/>
        <w:spacing w:line="360" w:lineRule="auto"/>
        <w:ind w:left="0" w:leftChars="0" w:firstLine="480" w:firstLineChars="200"/>
        <w:rPr>
          <w:rFonts w:hint="eastAsia" w:asciiTheme="minorEastAsia" w:hAnsiTheme="minorEastAsia" w:eastAsiaTheme="minorEastAsia" w:cstheme="minorBidi"/>
          <w:kern w:val="0"/>
          <w:sz w:val="24"/>
        </w:rPr>
      </w:pPr>
      <w:r>
        <w:rPr>
          <w:rFonts w:hint="eastAsia" w:asciiTheme="minorEastAsia" w:hAnsiTheme="minorEastAsia" w:eastAsiaTheme="minorEastAsia" w:cstheme="minorBidi"/>
          <w:kern w:val="0"/>
          <w:sz w:val="24"/>
        </w:rPr>
        <w:t>（二）严格按照市级财政国库支付执行机构或预算单位开具的支付指令办理财政资金支付业务,并按规定要求与国库单一账户、专户资金账户进行资金清算。</w:t>
      </w:r>
    </w:p>
    <w:p>
      <w:pPr>
        <w:pStyle w:val="9"/>
        <w:spacing w:line="360" w:lineRule="auto"/>
        <w:ind w:left="0" w:leftChars="0" w:firstLine="480" w:firstLineChars="200"/>
        <w:rPr>
          <w:rFonts w:hint="eastAsia" w:asciiTheme="minorEastAsia" w:hAnsiTheme="minorEastAsia" w:eastAsiaTheme="minorEastAsia" w:cstheme="minorBidi"/>
          <w:kern w:val="0"/>
          <w:sz w:val="24"/>
        </w:rPr>
      </w:pPr>
      <w:r>
        <w:rPr>
          <w:rFonts w:hint="eastAsia" w:asciiTheme="minorEastAsia" w:hAnsiTheme="minorEastAsia" w:eastAsiaTheme="minorEastAsia" w:cstheme="minorBidi"/>
          <w:kern w:val="0"/>
          <w:sz w:val="24"/>
        </w:rPr>
        <w:t>代理银行在营业时间内均应正常办理国库集中支付业务。在营业日15:30（含）之前收到的支付指令，须在当内日将资金汇出</w:t>
      </w:r>
      <w:r>
        <w:rPr>
          <w:rFonts w:hint="eastAsia" w:asciiTheme="minorEastAsia" w:hAnsiTheme="minorEastAsia" w:eastAsiaTheme="minorEastAsia" w:cstheme="minorBidi"/>
          <w:kern w:val="0"/>
          <w:sz w:val="24"/>
          <w:lang w:eastAsia="zh-CN"/>
        </w:rPr>
        <w:t>；</w:t>
      </w:r>
      <w:r>
        <w:rPr>
          <w:rFonts w:hint="eastAsia" w:asciiTheme="minorEastAsia" w:hAnsiTheme="minorEastAsia" w:eastAsiaTheme="minorEastAsia" w:cstheme="minorBidi"/>
          <w:kern w:val="0"/>
          <w:sz w:val="24"/>
        </w:rPr>
        <w:t>在营业日15：30之后收到的支付指令,须在下一营业日15：30前将资金汇出。对于特别紧急事项支出的支付指令，按照加急业务处理程序办理支付。</w:t>
      </w:r>
    </w:p>
    <w:p>
      <w:pPr>
        <w:pStyle w:val="9"/>
        <w:spacing w:line="360" w:lineRule="auto"/>
        <w:ind w:left="0" w:leftChars="0" w:firstLine="480" w:firstLineChars="200"/>
        <w:rPr>
          <w:rFonts w:hint="eastAsia" w:asciiTheme="minorEastAsia" w:hAnsiTheme="minorEastAsia" w:eastAsiaTheme="minorEastAsia" w:cstheme="minorBidi"/>
          <w:kern w:val="0"/>
          <w:sz w:val="24"/>
        </w:rPr>
      </w:pPr>
      <w:r>
        <w:rPr>
          <w:rFonts w:hint="eastAsia" w:asciiTheme="minorEastAsia" w:hAnsiTheme="minorEastAsia" w:eastAsiaTheme="minorEastAsia" w:cstheme="minorBidi"/>
          <w:kern w:val="0"/>
          <w:sz w:val="24"/>
        </w:rPr>
        <w:t>市本级财政以15：30作为当日市本级财政国库集中支付资金的清算截止时间，对营业日清算截止时间前已支付并与财政对账无误的支付业务，代理银行于当日16:00前与国库单一账户、财政资金账户进行清算；对营业日清算截止时间后至下一个营业日清算截止时间之间支付并与财政对账无误的支付业务，代理银行于下一营业日16:00前与国库单一账户、财政资金账户进行清算。</w:t>
      </w:r>
    </w:p>
    <w:p>
      <w:pPr>
        <w:pStyle w:val="9"/>
        <w:spacing w:line="360" w:lineRule="auto"/>
        <w:ind w:left="0" w:leftChars="0" w:firstLine="480" w:firstLineChars="200"/>
        <w:rPr>
          <w:rFonts w:hint="eastAsia" w:asciiTheme="minorEastAsia" w:hAnsiTheme="minorEastAsia" w:eastAsiaTheme="minorEastAsia" w:cstheme="minorBidi"/>
          <w:kern w:val="0"/>
          <w:sz w:val="24"/>
          <w:lang w:eastAsia="zh-CN"/>
        </w:rPr>
      </w:pPr>
      <w:r>
        <w:rPr>
          <w:rFonts w:hint="eastAsia" w:asciiTheme="minorEastAsia" w:hAnsiTheme="minorEastAsia" w:eastAsiaTheme="minorEastAsia" w:cstheme="minorBidi"/>
          <w:kern w:val="0"/>
          <w:sz w:val="24"/>
        </w:rPr>
        <w:t>（三）投标人应具有较强的风险控制能力，在中国人民银行存有市本级财政国库支付业务所需的备付金，确保市本级财政国库集中支付业务的资金垫付</w:t>
      </w:r>
      <w:r>
        <w:rPr>
          <w:rFonts w:hint="eastAsia" w:asciiTheme="minorEastAsia" w:hAnsiTheme="minorEastAsia" w:eastAsiaTheme="minorEastAsia" w:cstheme="minorBidi"/>
          <w:kern w:val="0"/>
          <w:sz w:val="24"/>
          <w:lang w:eastAsia="zh-CN"/>
        </w:rPr>
        <w:t>；</w:t>
      </w:r>
    </w:p>
    <w:p>
      <w:pPr>
        <w:pStyle w:val="9"/>
        <w:spacing w:line="360" w:lineRule="auto"/>
        <w:ind w:left="0" w:leftChars="0" w:firstLine="480" w:firstLineChars="200"/>
        <w:rPr>
          <w:rFonts w:hint="eastAsia" w:asciiTheme="minorEastAsia" w:hAnsiTheme="minorEastAsia" w:eastAsiaTheme="minorEastAsia" w:cstheme="minorBidi"/>
          <w:kern w:val="0"/>
          <w:sz w:val="24"/>
        </w:rPr>
      </w:pPr>
      <w:r>
        <w:rPr>
          <w:rFonts w:hint="eastAsia" w:asciiTheme="minorEastAsia" w:hAnsiTheme="minorEastAsia" w:eastAsiaTheme="minorEastAsia" w:cstheme="minorBidi"/>
          <w:kern w:val="0"/>
          <w:sz w:val="24"/>
        </w:rPr>
        <w:t>（四）投标人应接受市财政局、人行台州市中心支行的监督、检查。妥善保管市本级财政国库集中支付代理业务的各项支付指令和会计凭证等相关资料，并承担保密义务，未经市财政局授权同意，不得对外提供有关市本级财政国库集中支付的信息和资料；</w:t>
      </w:r>
    </w:p>
    <w:p>
      <w:pPr>
        <w:pStyle w:val="9"/>
        <w:spacing w:line="360" w:lineRule="auto"/>
        <w:ind w:left="0" w:leftChars="0" w:firstLine="480" w:firstLineChars="200"/>
        <w:rPr>
          <w:rFonts w:hint="eastAsia" w:asciiTheme="minorEastAsia" w:hAnsiTheme="minorEastAsia" w:eastAsiaTheme="minorEastAsia" w:cstheme="minorBidi"/>
          <w:kern w:val="0"/>
          <w:sz w:val="24"/>
        </w:rPr>
      </w:pPr>
      <w:r>
        <w:rPr>
          <w:rFonts w:hint="eastAsia" w:asciiTheme="minorEastAsia" w:hAnsiTheme="minorEastAsia" w:eastAsiaTheme="minorEastAsia" w:cstheme="minorBidi"/>
          <w:kern w:val="0"/>
          <w:sz w:val="24"/>
        </w:rPr>
        <w:t>（</w:t>
      </w:r>
      <w:r>
        <w:rPr>
          <w:rFonts w:hint="eastAsia" w:asciiTheme="minorEastAsia" w:hAnsiTheme="minorEastAsia" w:eastAsiaTheme="minorEastAsia" w:cstheme="minorBidi"/>
          <w:kern w:val="0"/>
          <w:sz w:val="24"/>
          <w:lang w:val="en-US" w:eastAsia="zh-CN"/>
        </w:rPr>
        <w:t>五</w:t>
      </w:r>
      <w:r>
        <w:rPr>
          <w:rFonts w:hint="eastAsia" w:asciiTheme="minorEastAsia" w:hAnsiTheme="minorEastAsia" w:eastAsiaTheme="minorEastAsia" w:cstheme="minorBidi"/>
          <w:kern w:val="0"/>
          <w:sz w:val="24"/>
        </w:rPr>
        <w:t>）按照公务卡管理有关规定，及时办理公务卡。及时、完整、准确地向预算单位提供单位和个人公务卡支付以及还款信息。</w:t>
      </w:r>
    </w:p>
    <w:p>
      <w:pPr>
        <w:pStyle w:val="9"/>
        <w:spacing w:line="360" w:lineRule="auto"/>
        <w:ind w:left="0" w:leftChars="0" w:firstLine="480" w:firstLineChars="200"/>
        <w:rPr>
          <w:rFonts w:hint="eastAsia" w:asciiTheme="minorEastAsia" w:hAnsiTheme="minorEastAsia" w:eastAsiaTheme="minorEastAsia" w:cstheme="minorBidi"/>
          <w:kern w:val="0"/>
          <w:sz w:val="24"/>
        </w:rPr>
      </w:pPr>
    </w:p>
    <w:p>
      <w:pPr>
        <w:pStyle w:val="9"/>
        <w:spacing w:line="360" w:lineRule="auto"/>
        <w:ind w:firstLine="482" w:firstLineChars="200"/>
        <w:rPr>
          <w:rFonts w:hint="default" w:asciiTheme="minorEastAsia" w:hAnsiTheme="minorEastAsia" w:eastAsiaTheme="minorEastAsia" w:cstheme="minorBidi"/>
          <w:b/>
          <w:bCs/>
          <w:kern w:val="0"/>
          <w:sz w:val="24"/>
          <w:lang w:val="en-US" w:eastAsia="zh-CN"/>
        </w:rPr>
      </w:pPr>
      <w:r>
        <w:rPr>
          <w:rFonts w:hint="eastAsia" w:asciiTheme="minorEastAsia" w:hAnsiTheme="minorEastAsia" w:eastAsiaTheme="minorEastAsia" w:cstheme="minorBidi"/>
          <w:b/>
          <w:bCs/>
          <w:kern w:val="0"/>
          <w:sz w:val="24"/>
          <w:lang w:val="en-US" w:eastAsia="zh-CN"/>
        </w:rPr>
        <w:t>四、远程演示</w:t>
      </w:r>
    </w:p>
    <w:p>
      <w:pPr>
        <w:pStyle w:val="9"/>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bCs/>
          <w:color w:val="000000" w:themeColor="text1"/>
          <w:kern w:val="0"/>
          <w:sz w:val="24"/>
          <w14:textFill>
            <w14:solidFill>
              <w14:schemeClr w14:val="tx1"/>
            </w14:solidFill>
          </w14:textFill>
        </w:rPr>
        <w:t>（一）投标人应提前做好演示准备（包括演示设备）。</w:t>
      </w:r>
    </w:p>
    <w:p>
      <w:pPr>
        <w:pStyle w:val="9"/>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bCs/>
          <w:color w:val="000000" w:themeColor="text1"/>
          <w:kern w:val="0"/>
          <w:sz w:val="24"/>
          <w14:textFill>
            <w14:solidFill>
              <w14:schemeClr w14:val="tx1"/>
            </w14:solidFill>
          </w14:textFill>
        </w:rPr>
        <w:t>（二）投标人需在项目开标前建立钉钉直播群，将群号以邮件的形式发送至项目联系人邮箱，于开标当天，根据评标委员会电话通知进行远程视频直播。</w:t>
      </w:r>
    </w:p>
    <w:p>
      <w:pPr>
        <w:pStyle w:val="9"/>
        <w:spacing w:line="360" w:lineRule="auto"/>
        <w:ind w:left="0" w:leftChars="0" w:firstLine="480" w:firstLineChars="200"/>
        <w:rPr>
          <w:rFonts w:hint="eastAsia" w:asciiTheme="minorEastAsia" w:hAnsiTheme="minorEastAsia" w:eastAsiaTheme="minorEastAsia" w:cstheme="minorBidi"/>
          <w:b/>
          <w:bCs/>
          <w:kern w:val="0"/>
          <w:sz w:val="24"/>
          <w:lang w:val="en-US" w:eastAsia="zh-CN"/>
        </w:rPr>
      </w:pPr>
      <w:r>
        <w:rPr>
          <w:rFonts w:hint="eastAsia" w:asciiTheme="minorEastAsia" w:hAnsiTheme="minorEastAsia" w:eastAsiaTheme="minorEastAsia"/>
          <w:bCs/>
          <w:color w:val="000000" w:themeColor="text1"/>
          <w:kern w:val="0"/>
          <w:sz w:val="24"/>
          <w14:textFill>
            <w14:solidFill>
              <w14:schemeClr w14:val="tx1"/>
            </w14:solidFill>
          </w14:textFill>
        </w:rPr>
        <w:t>（三）投标人代表根据提交的投标方案简介，在接到电话通知后作10分钟陈述，评标委员会根据投标方案简介及陈述进行投标方案评分。</w:t>
      </w:r>
    </w:p>
    <w:p>
      <w:pPr>
        <w:pStyle w:val="9"/>
        <w:spacing w:line="360" w:lineRule="auto"/>
        <w:ind w:left="0" w:leftChars="0" w:firstLine="482" w:firstLineChars="200"/>
        <w:rPr>
          <w:rFonts w:hint="eastAsia" w:asciiTheme="minorEastAsia" w:hAnsiTheme="minorEastAsia" w:eastAsiaTheme="minorEastAsia" w:cstheme="minorBidi"/>
          <w:b/>
          <w:bCs/>
          <w:kern w:val="0"/>
          <w:sz w:val="24"/>
        </w:rPr>
      </w:pPr>
    </w:p>
    <w:p>
      <w:pPr>
        <w:pStyle w:val="9"/>
        <w:spacing w:line="360" w:lineRule="auto"/>
        <w:ind w:left="0" w:leftChars="0" w:firstLine="482" w:firstLineChars="200"/>
        <w:rPr>
          <w:rFonts w:hint="eastAsia" w:asciiTheme="minorEastAsia" w:hAnsiTheme="minorEastAsia" w:eastAsiaTheme="minorEastAsia" w:cstheme="minorBidi"/>
          <w:b/>
          <w:bCs/>
          <w:kern w:val="0"/>
          <w:sz w:val="24"/>
        </w:rPr>
      </w:pPr>
      <w:r>
        <w:rPr>
          <w:rFonts w:hint="eastAsia" w:asciiTheme="minorEastAsia" w:hAnsiTheme="minorEastAsia" w:eastAsiaTheme="minorEastAsia" w:cstheme="minorBidi"/>
          <w:b/>
          <w:bCs/>
          <w:kern w:val="0"/>
          <w:sz w:val="24"/>
          <w:lang w:val="en-US" w:eastAsia="zh-CN"/>
        </w:rPr>
        <w:t>五</w:t>
      </w:r>
      <w:r>
        <w:rPr>
          <w:rFonts w:hint="eastAsia" w:asciiTheme="minorEastAsia" w:hAnsiTheme="minorEastAsia" w:eastAsiaTheme="minorEastAsia" w:cstheme="minorBidi"/>
          <w:b/>
          <w:bCs/>
          <w:kern w:val="0"/>
          <w:sz w:val="24"/>
        </w:rPr>
        <w:t>、签订委托代理协议</w:t>
      </w:r>
    </w:p>
    <w:p>
      <w:pPr>
        <w:pStyle w:val="9"/>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Bidi"/>
          <w:kern w:val="0"/>
          <w:sz w:val="24"/>
        </w:rPr>
        <w:t>根据综合评分最高的4家银行作为市本级国库集中支付代理银行，并签订</w:t>
      </w:r>
      <w:r>
        <w:rPr>
          <w:rFonts w:hint="eastAsia" w:asciiTheme="minorEastAsia" w:hAnsiTheme="minorEastAsia" w:eastAsiaTheme="minorEastAsia" w:cstheme="minorBidi"/>
          <w:color w:val="auto"/>
          <w:kern w:val="0"/>
          <w:sz w:val="24"/>
        </w:rPr>
        <w:t>2024年的</w:t>
      </w:r>
      <w:r>
        <w:rPr>
          <w:rFonts w:hint="eastAsia" w:asciiTheme="minorEastAsia" w:hAnsiTheme="minorEastAsia" w:eastAsiaTheme="minorEastAsia" w:cstheme="minorBidi"/>
          <w:kern w:val="0"/>
          <w:sz w:val="24"/>
        </w:rPr>
        <w:t>委托代理协议，期限为1年。按照《台州市财政局关于印发台州市市本级财政国库集中支付银行代理业务综合考评暂行办法的通知》（台财预执发〔2018〕24号）文件的有关规定执行，市财政局每年对各代理银行的代理业务进行考评，并根据考评结果确定是否续签代理协议。</w:t>
      </w:r>
      <w:r>
        <w:rPr>
          <w:rFonts w:hint="eastAsia" w:asciiTheme="minorEastAsia" w:hAnsiTheme="minorEastAsia" w:eastAsiaTheme="minorEastAsia" w:cstheme="minorBidi"/>
          <w:kern w:val="0"/>
          <w:sz w:val="24"/>
        </w:rPr>
        <w:br w:type="page"/>
      </w:r>
    </w:p>
    <w:p>
      <w:pPr>
        <w:numPr>
          <w:ilvl w:val="0"/>
          <w:numId w:val="4"/>
        </w:numPr>
        <w:spacing w:line="360" w:lineRule="auto"/>
        <w:jc w:val="center"/>
        <w:rPr>
          <w:rFonts w:asciiTheme="minorEastAsia" w:hAnsiTheme="minorEastAsia" w:eastAsiaTheme="minorEastAsia"/>
          <w:b/>
          <w:sz w:val="36"/>
          <w:szCs w:val="36"/>
        </w:rPr>
      </w:pPr>
      <w:bookmarkStart w:id="36" w:name="_Toc31173_WPSOffice_Level1"/>
      <w:r>
        <w:rPr>
          <w:rFonts w:hint="eastAsia" w:asciiTheme="minorEastAsia" w:hAnsiTheme="minorEastAsia" w:eastAsiaTheme="minorEastAsia"/>
          <w:b/>
          <w:sz w:val="36"/>
          <w:szCs w:val="36"/>
        </w:rPr>
        <w:t>评标</w:t>
      </w:r>
      <w:bookmarkEnd w:id="36"/>
    </w:p>
    <w:p>
      <w:pPr>
        <w:spacing w:line="360" w:lineRule="auto"/>
        <w:ind w:firstLine="482" w:firstLineChars="200"/>
        <w:rPr>
          <w:rFonts w:ascii="宋体" w:hAnsi="宋体" w:cs="宋体"/>
          <w:b/>
          <w:bCs/>
          <w:sz w:val="24"/>
        </w:rPr>
      </w:pPr>
      <w:r>
        <w:rPr>
          <w:rFonts w:hint="eastAsia" w:ascii="宋体" w:hAnsi="宋体" w:cs="宋体"/>
          <w:b/>
          <w:bCs/>
          <w:sz w:val="24"/>
        </w:rPr>
        <w:t>一、评标原则</w:t>
      </w:r>
    </w:p>
    <w:p>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sz w:val="24"/>
        </w:rPr>
      </w:pPr>
      <w:r>
        <w:rPr>
          <w:rFonts w:hint="eastAsia" w:ascii="宋体" w:hAnsi="宋体" w:cs="宋体"/>
          <w:b/>
          <w:bCs/>
          <w:sz w:val="24"/>
        </w:rPr>
        <w:t>二、评标方法</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本项目评分标准采用综合评分法，总分为100分。合格投标人的评标得分为各项目汇总得分，中标候选资格评标得分由高到低顺序排列，得分相同的，依次按（1）投标方案指标分值；（2）客观指标得分的顺序由高到低排名。若依然相同，中标候选人资格抽签确定。评分过程采用四舍五入法，并保留小数2位。</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投标人评标综合得分按照评标委员会成员的独立评分结果汇总后的算术平均分计算。</w:t>
      </w:r>
    </w:p>
    <w:p>
      <w:pPr>
        <w:pStyle w:val="2"/>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pPr>
        <w:pStyle w:val="9"/>
        <w:spacing w:line="360" w:lineRule="auto"/>
        <w:ind w:firstLine="480" w:firstLineChars="200"/>
        <w:rPr>
          <w:rFonts w:ascii="宋体" w:hAnsi="宋体" w:cs="宋体"/>
          <w:sz w:val="24"/>
          <w:szCs w:val="24"/>
        </w:rPr>
      </w:pPr>
      <w:r>
        <w:rPr>
          <w:rFonts w:hint="eastAsia" w:ascii="宋体" w:hAnsi="宋体" w:cs="宋体"/>
          <w:sz w:val="24"/>
          <w:szCs w:val="24"/>
        </w:rPr>
        <w:t>（一）本项目评标委员会</w:t>
      </w:r>
      <w:r>
        <w:rPr>
          <w:rFonts w:hint="eastAsia" w:ascii="宋体" w:hAnsi="宋体" w:cs="宋体"/>
          <w:sz w:val="24"/>
          <w:szCs w:val="24"/>
          <w:lang w:val="en-US" w:eastAsia="zh-CN"/>
        </w:rPr>
        <w:t>由7人</w:t>
      </w:r>
      <w:r>
        <w:rPr>
          <w:rFonts w:hint="eastAsia" w:ascii="宋体" w:hAnsi="宋体" w:cs="宋体"/>
          <w:sz w:val="24"/>
          <w:szCs w:val="24"/>
        </w:rPr>
        <w:t>组成</w:t>
      </w:r>
      <w:r>
        <w:rPr>
          <w:rFonts w:hint="eastAsia" w:ascii="宋体" w:hAnsi="宋体" w:cs="宋体"/>
          <w:sz w:val="24"/>
          <w:szCs w:val="24"/>
          <w:lang w:eastAsia="zh-CN"/>
        </w:rPr>
        <w:t>，</w:t>
      </w:r>
      <w:r>
        <w:rPr>
          <w:rFonts w:hint="eastAsia" w:ascii="宋体" w:hAnsi="宋体" w:cs="宋体"/>
          <w:sz w:val="24"/>
          <w:szCs w:val="24"/>
          <w:lang w:val="en-US" w:eastAsia="zh-CN"/>
        </w:rPr>
        <w:t>包含临时专家（台州市财政局1人，中国人民银行台州市中心支行1人）和正式专家组成，正式专家由台州市政府采购中心从市本级公款竞争竞争性存放评审专家库中随机抽取</w:t>
      </w:r>
      <w:r>
        <w:rPr>
          <w:rFonts w:hint="eastAsia" w:ascii="宋体" w:hAnsi="宋体" w:cs="宋体"/>
          <w:sz w:val="24"/>
          <w:szCs w:val="24"/>
        </w:rPr>
        <w:t>。</w:t>
      </w:r>
    </w:p>
    <w:p>
      <w:pPr>
        <w:pStyle w:val="9"/>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pPr>
        <w:pStyle w:val="9"/>
        <w:spacing w:line="360" w:lineRule="auto"/>
        <w:ind w:firstLine="480" w:firstLineChars="200"/>
        <w:rPr>
          <w:rFonts w:asciiTheme="minorEastAsia" w:hAnsiTheme="minorEastAsia" w:eastAsiaTheme="minorEastAsia"/>
          <w:b w:val="0"/>
          <w:bCs w:val="0"/>
          <w:sz w:val="24"/>
        </w:rPr>
      </w:pPr>
      <w:r>
        <w:rPr>
          <w:rFonts w:hint="eastAsia" w:asciiTheme="minorEastAsia" w:hAnsiTheme="minorEastAsia" w:eastAsiaTheme="minorEastAsia"/>
          <w:b w:val="0"/>
          <w:bCs w:val="0"/>
          <w:sz w:val="24"/>
        </w:rPr>
        <w:t>（三）评标委员会负责具体评标事务，并独立履行下列职责：</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6.法律法规规定的其他职责。</w:t>
      </w:r>
    </w:p>
    <w:p>
      <w:pPr>
        <w:pStyle w:val="18"/>
        <w:keepNext w:val="0"/>
        <w:keepLines w:val="0"/>
        <w:pageBreakBefore w:val="0"/>
        <w:kinsoku/>
        <w:wordWrap/>
        <w:overflowPunct/>
        <w:topLinePunct w:val="0"/>
        <w:bidi w:val="0"/>
        <w:adjustRightInd/>
        <w:snapToGrid/>
        <w:spacing w:before="0" w:beforeAutospacing="0" w:after="0" w:afterAutospacing="0" w:line="360" w:lineRule="auto"/>
        <w:ind w:firstLine="482" w:firstLineChars="200"/>
        <w:jc w:val="both"/>
        <w:textAlignment w:val="auto"/>
        <w:rPr>
          <w:rFonts w:hint="default" w:asciiTheme="minorEastAsia" w:hAnsiTheme="minorEastAsia" w:eastAsiaTheme="minorEastAsia"/>
          <w:b/>
        </w:rPr>
      </w:pPr>
      <w:r>
        <w:rPr>
          <w:rFonts w:asciiTheme="minorEastAsia" w:hAnsiTheme="minorEastAsia" w:eastAsiaTheme="minorEastAsia"/>
          <w:b/>
        </w:rPr>
        <w:t>四、无效标情形</w:t>
      </w:r>
    </w:p>
    <w:p>
      <w:pPr>
        <w:pStyle w:val="18"/>
        <w:keepNext w:val="0"/>
        <w:keepLines w:val="0"/>
        <w:pageBreakBefore w:val="0"/>
        <w:tabs>
          <w:tab w:val="left" w:pos="7380"/>
        </w:tabs>
        <w:kinsoku/>
        <w:wordWrap/>
        <w:overflowPunct/>
        <w:topLinePunct w:val="0"/>
        <w:bidi w:val="0"/>
        <w:adjustRightInd/>
        <w:snapToGrid/>
        <w:spacing w:before="0" w:beforeAutospacing="0" w:after="0" w:afterAutospacing="0" w:line="360" w:lineRule="auto"/>
        <w:ind w:firstLine="480" w:firstLineChars="200"/>
        <w:jc w:val="both"/>
        <w:textAlignment w:val="auto"/>
        <w:rPr>
          <w:rFonts w:hint="default"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lang w:val="en-US" w:eastAsia="zh-CN"/>
        </w:rPr>
        <w:t>一</w:t>
      </w:r>
      <w:r>
        <w:rPr>
          <w:rFonts w:asciiTheme="minorEastAsia" w:hAnsiTheme="minorEastAsia" w:eastAsiaTheme="minorEastAsia"/>
        </w:rPr>
        <w:t>）不具备招标文件中规定的资格要求的；</w:t>
      </w:r>
      <w:r>
        <w:rPr>
          <w:rFonts w:hint="default" w:asciiTheme="minorEastAsia" w:hAnsiTheme="minorEastAsia" w:eastAsiaTheme="minorEastAsia"/>
        </w:rPr>
        <w:tab/>
      </w:r>
    </w:p>
    <w:p>
      <w:pPr>
        <w:pStyle w:val="18"/>
        <w:keepNext w:val="0"/>
        <w:keepLines w:val="0"/>
        <w:pageBreakBefore w:val="0"/>
        <w:kinsoku/>
        <w:wordWrap/>
        <w:overflowPunct/>
        <w:topLinePunct w:val="0"/>
        <w:bidi w:val="0"/>
        <w:adjustRightInd/>
        <w:snapToGrid/>
        <w:spacing w:before="0" w:beforeAutospacing="0" w:after="0" w:afterAutospacing="0" w:line="360" w:lineRule="auto"/>
        <w:ind w:firstLine="480" w:firstLineChars="200"/>
        <w:jc w:val="both"/>
        <w:textAlignment w:val="auto"/>
        <w:rPr>
          <w:rFonts w:hint="default"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lang w:val="en-US" w:eastAsia="zh-CN"/>
        </w:rPr>
        <w:t>二</w:t>
      </w:r>
      <w:r>
        <w:rPr>
          <w:rFonts w:asciiTheme="minorEastAsia" w:hAnsiTheme="minorEastAsia" w:eastAsiaTheme="minorEastAsia"/>
        </w:rPr>
        <w:t>）投标文件含有采购人不能接受的附加条件的；</w:t>
      </w:r>
    </w:p>
    <w:p>
      <w:pPr>
        <w:keepNext w:val="0"/>
        <w:keepLines w:val="0"/>
        <w:pageBreakBefore w:val="0"/>
        <w:tabs>
          <w:tab w:val="left" w:pos="1898"/>
        </w:tabs>
        <w:kinsoku/>
        <w:wordWrap/>
        <w:overflowPunct/>
        <w:topLinePunct w:val="0"/>
        <w:autoSpaceDE w:val="0"/>
        <w:autoSpaceDN w:val="0"/>
        <w:bidi w:val="0"/>
        <w:adjustRightInd/>
        <w:snapToGrid/>
        <w:spacing w:line="360" w:lineRule="auto"/>
        <w:ind w:firstLine="480" w:firstLineChars="200"/>
        <w:textAlignment w:val="auto"/>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hint="eastAsia" w:asciiTheme="minorEastAsia" w:hAnsiTheme="minorEastAsia" w:eastAsiaTheme="minorEastAsia"/>
          <w:kern w:val="0"/>
          <w:sz w:val="24"/>
          <w:lang w:val="en-US" w:eastAsia="zh-CN"/>
        </w:rPr>
        <w:t>三</w:t>
      </w:r>
      <w:r>
        <w:rPr>
          <w:rFonts w:hint="eastAsia" w:asciiTheme="minorEastAsia" w:hAnsiTheme="minorEastAsia" w:eastAsiaTheme="minorEastAsia"/>
          <w:kern w:val="0"/>
          <w:sz w:val="24"/>
        </w:rPr>
        <w:t>）投标参数未如实填写，完全复制粘贴招标参数的；</w:t>
      </w:r>
    </w:p>
    <w:p>
      <w:pPr>
        <w:keepNext w:val="0"/>
        <w:keepLines w:val="0"/>
        <w:pageBreakBefore w:val="0"/>
        <w:tabs>
          <w:tab w:val="left" w:pos="1898"/>
        </w:tabs>
        <w:kinsoku/>
        <w:wordWrap/>
        <w:overflowPunct/>
        <w:topLinePunct w:val="0"/>
        <w:autoSpaceDE w:val="0"/>
        <w:autoSpaceDN w:val="0"/>
        <w:bidi w:val="0"/>
        <w:adjustRightInd/>
        <w:snapToGrid/>
        <w:spacing w:line="360" w:lineRule="auto"/>
        <w:ind w:firstLine="480" w:firstLineChars="200"/>
        <w:textAlignment w:val="auto"/>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hint="eastAsia" w:asciiTheme="minorEastAsia" w:hAnsiTheme="minorEastAsia" w:eastAsiaTheme="minorEastAsia"/>
          <w:kern w:val="0"/>
          <w:sz w:val="24"/>
          <w:lang w:val="en-US" w:eastAsia="zh-CN"/>
        </w:rPr>
        <w:t>四</w:t>
      </w:r>
      <w:r>
        <w:rPr>
          <w:rFonts w:hint="eastAsia" w:asciiTheme="minorEastAsia" w:hAnsiTheme="minorEastAsia" w:eastAsiaTheme="minorEastAsia"/>
          <w:kern w:val="0"/>
          <w:sz w:val="24"/>
        </w:rPr>
        <w:t xml:space="preserve">）投标文件存在虚假材料的； </w:t>
      </w:r>
    </w:p>
    <w:p>
      <w:pPr>
        <w:keepNext w:val="0"/>
        <w:keepLines w:val="0"/>
        <w:pageBreakBefore w:val="0"/>
        <w:tabs>
          <w:tab w:val="left" w:pos="1898"/>
        </w:tabs>
        <w:kinsoku/>
        <w:wordWrap/>
        <w:overflowPunct/>
        <w:topLinePunct w:val="0"/>
        <w:autoSpaceDE w:val="0"/>
        <w:autoSpaceDN w:val="0"/>
        <w:bidi w:val="0"/>
        <w:adjustRightInd/>
        <w:snapToGrid/>
        <w:spacing w:line="360" w:lineRule="auto"/>
        <w:ind w:firstLine="480" w:firstLineChars="200"/>
        <w:textAlignment w:val="auto"/>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hint="eastAsia" w:asciiTheme="minorEastAsia" w:hAnsiTheme="minorEastAsia" w:eastAsiaTheme="minorEastAsia"/>
          <w:kern w:val="0"/>
          <w:sz w:val="24"/>
          <w:lang w:val="en-US" w:eastAsia="zh-CN"/>
        </w:rPr>
        <w:t>五</w:t>
      </w:r>
      <w:r>
        <w:rPr>
          <w:rFonts w:hint="eastAsia" w:asciiTheme="minorEastAsia" w:hAnsiTheme="minorEastAsia" w:eastAsiaTheme="minorEastAsia"/>
          <w:kern w:val="0"/>
          <w:sz w:val="24"/>
        </w:rPr>
        <w:t>）有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keepNext w:val="0"/>
        <w:keepLines w:val="0"/>
        <w:pageBreakBefore w:val="0"/>
        <w:tabs>
          <w:tab w:val="left" w:pos="1898"/>
        </w:tabs>
        <w:kinsoku/>
        <w:wordWrap/>
        <w:overflowPunct/>
        <w:topLinePunct w:val="0"/>
        <w:autoSpaceDE w:val="0"/>
        <w:autoSpaceDN w:val="0"/>
        <w:bidi w:val="0"/>
        <w:adjustRightInd/>
        <w:snapToGrid/>
        <w:spacing w:line="360" w:lineRule="auto"/>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pPr>
        <w:pStyle w:val="18"/>
        <w:keepNext w:val="0"/>
        <w:keepLines w:val="0"/>
        <w:pageBreakBefore w:val="0"/>
        <w:kinsoku/>
        <w:wordWrap/>
        <w:overflowPunct/>
        <w:topLinePunct w:val="0"/>
        <w:bidi w:val="0"/>
        <w:adjustRightInd/>
        <w:snapToGrid/>
        <w:spacing w:before="0" w:beforeAutospacing="0" w:after="0" w:afterAutospacing="0" w:line="360" w:lineRule="auto"/>
        <w:ind w:firstLine="480" w:firstLineChars="200"/>
        <w:jc w:val="both"/>
        <w:textAlignment w:val="auto"/>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pPr>
        <w:pStyle w:val="18"/>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pPr>
        <w:pStyle w:val="18"/>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pPr>
        <w:pStyle w:val="18"/>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pPr>
        <w:pStyle w:val="18"/>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w:t>
      </w:r>
      <w:r>
        <w:rPr>
          <w:rFonts w:hint="eastAsia" w:asciiTheme="minorEastAsia" w:hAnsiTheme="minorEastAsia" w:eastAsiaTheme="minorEastAsia"/>
          <w:lang w:val="en-US" w:eastAsia="zh-CN"/>
        </w:rPr>
        <w:t>六</w:t>
      </w:r>
      <w:r>
        <w:rPr>
          <w:rFonts w:asciiTheme="minorEastAsia" w:hAnsiTheme="minorEastAsia" w:eastAsiaTheme="minorEastAsia"/>
        </w:rPr>
        <w:t>）</w:t>
      </w:r>
      <w:r>
        <w:rPr>
          <w:rFonts w:cs="宋体"/>
        </w:rPr>
        <w:t>实质性要求（招标文件中打“▲”内容）不响应的；</w:t>
      </w:r>
    </w:p>
    <w:p>
      <w:pPr>
        <w:pStyle w:val="9"/>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w:t>
      </w:r>
      <w:r>
        <w:rPr>
          <w:rFonts w:hint="eastAsia" w:asciiTheme="minorEastAsia" w:hAnsiTheme="minorEastAsia" w:eastAsiaTheme="minorEastAsia"/>
          <w:kern w:val="0"/>
          <w:sz w:val="24"/>
          <w:szCs w:val="24"/>
          <w:lang w:val="en-US" w:eastAsia="zh-CN"/>
        </w:rPr>
        <w:t>七</w:t>
      </w:r>
      <w:r>
        <w:rPr>
          <w:rFonts w:hint="eastAsia" w:asciiTheme="minorEastAsia" w:hAnsiTheme="minorEastAsia" w:eastAsiaTheme="minorEastAsia"/>
          <w:kern w:val="0"/>
          <w:sz w:val="24"/>
          <w:szCs w:val="24"/>
        </w:rPr>
        <w:t>）商务条款不响应的；</w:t>
      </w:r>
    </w:p>
    <w:p>
      <w:pPr>
        <w:pStyle w:val="9"/>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w:t>
      </w:r>
      <w:r>
        <w:rPr>
          <w:rFonts w:hint="eastAsia" w:asciiTheme="minorEastAsia" w:hAnsiTheme="minorEastAsia" w:eastAsiaTheme="minorEastAsia"/>
          <w:kern w:val="0"/>
          <w:sz w:val="24"/>
          <w:szCs w:val="24"/>
          <w:lang w:val="en-US" w:eastAsia="zh-CN"/>
        </w:rPr>
        <w:t>八</w:t>
      </w:r>
      <w:r>
        <w:rPr>
          <w:rFonts w:hint="eastAsia" w:asciiTheme="minorEastAsia" w:hAnsiTheme="minorEastAsia" w:eastAsiaTheme="minorEastAsia"/>
          <w:kern w:val="0"/>
          <w:sz w:val="24"/>
          <w:szCs w:val="24"/>
        </w:rPr>
        <w:t>）投标文件有效期不足的；</w:t>
      </w:r>
    </w:p>
    <w:p>
      <w:pPr>
        <w:pStyle w:val="9"/>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w:t>
      </w:r>
      <w:r>
        <w:rPr>
          <w:rFonts w:hint="eastAsia" w:asciiTheme="minorEastAsia" w:hAnsiTheme="minorEastAsia" w:eastAsiaTheme="minorEastAsia"/>
          <w:kern w:val="0"/>
          <w:sz w:val="24"/>
          <w:szCs w:val="24"/>
          <w:lang w:val="en-US" w:eastAsia="zh-CN"/>
        </w:rPr>
        <w:t>九</w:t>
      </w:r>
      <w:r>
        <w:rPr>
          <w:rFonts w:hint="eastAsia" w:asciiTheme="minorEastAsia" w:hAnsiTheme="minorEastAsia" w:eastAsiaTheme="minorEastAsia"/>
          <w:kern w:val="0"/>
          <w:sz w:val="24"/>
          <w:szCs w:val="24"/>
        </w:rPr>
        <w:t>）逾期或未按要求提交投标文件的；</w:t>
      </w:r>
    </w:p>
    <w:p>
      <w:pPr>
        <w:pStyle w:val="9"/>
        <w:spacing w:line="360" w:lineRule="auto"/>
        <w:ind w:firstLine="480" w:firstLineChars="200"/>
        <w:rPr>
          <w:rFonts w:asciiTheme="minorEastAsia" w:hAnsiTheme="minorEastAsia"/>
          <w:kern w:val="0"/>
          <w:sz w:val="24"/>
          <w:szCs w:val="24"/>
        </w:rPr>
      </w:pPr>
      <w:r>
        <w:rPr>
          <w:rFonts w:hint="eastAsia" w:asciiTheme="minorEastAsia" w:hAnsiTheme="minorEastAsia" w:eastAsiaTheme="minorEastAsia"/>
          <w:kern w:val="0"/>
          <w:sz w:val="24"/>
          <w:szCs w:val="24"/>
        </w:rPr>
        <w:t>（十）其他</w:t>
      </w:r>
      <w:r>
        <w:rPr>
          <w:rFonts w:ascii="宋体" w:hAnsi="宋体" w:cs="宋体"/>
          <w:sz w:val="24"/>
          <w:szCs w:val="24"/>
        </w:rPr>
        <w:t>不符合法律法规相关规定的</w:t>
      </w:r>
      <w:r>
        <w:rPr>
          <w:rFonts w:hint="eastAsia" w:ascii="宋体" w:hAnsi="宋体" w:cs="宋体"/>
          <w:sz w:val="24"/>
          <w:szCs w:val="24"/>
        </w:rPr>
        <w:t>。</w:t>
      </w:r>
    </w:p>
    <w:p>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pPr>
        <w:pStyle w:val="18"/>
        <w:keepNext w:val="0"/>
        <w:keepLines w:val="0"/>
        <w:pageBreakBefore w:val="0"/>
        <w:kinsoku/>
        <w:wordWrap/>
        <w:overflowPunct/>
        <w:topLinePunct w:val="0"/>
        <w:bidi w:val="0"/>
        <w:snapToGrid/>
        <w:spacing w:before="0" w:beforeAutospacing="0" w:after="0" w:afterAutospacing="0" w:line="360" w:lineRule="auto"/>
        <w:ind w:firstLine="480" w:firstLineChars="200"/>
        <w:jc w:val="both"/>
        <w:textAlignment w:val="auto"/>
        <w:rPr>
          <w:rFonts w:hint="default" w:cs="宋体"/>
        </w:rPr>
      </w:pPr>
      <w:r>
        <w:rPr>
          <w:rFonts w:asciiTheme="minorEastAsia" w:hAnsiTheme="minorEastAsia" w:eastAsiaTheme="minorEastAsia"/>
        </w:rPr>
        <w:t>（一）</w:t>
      </w:r>
      <w:r>
        <w:rPr>
          <w:rFonts w:cs="宋体"/>
        </w:rPr>
        <w:t>出现影响采购公正的违法、违规行为的；</w:t>
      </w:r>
    </w:p>
    <w:p>
      <w:pPr>
        <w:pStyle w:val="18"/>
        <w:keepNext w:val="0"/>
        <w:keepLines w:val="0"/>
        <w:pageBreakBefore w:val="0"/>
        <w:kinsoku/>
        <w:wordWrap/>
        <w:overflowPunct/>
        <w:topLinePunct w:val="0"/>
        <w:bidi w:val="0"/>
        <w:snapToGrid/>
        <w:spacing w:before="0" w:beforeAutospacing="0" w:after="0" w:afterAutospacing="0" w:line="360" w:lineRule="auto"/>
        <w:ind w:firstLine="480" w:firstLineChars="200"/>
        <w:jc w:val="both"/>
        <w:textAlignment w:val="auto"/>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pPr>
        <w:pStyle w:val="18"/>
        <w:keepNext w:val="0"/>
        <w:keepLines w:val="0"/>
        <w:pageBreakBefore w:val="0"/>
        <w:kinsoku/>
        <w:wordWrap/>
        <w:overflowPunct/>
        <w:topLinePunct w:val="0"/>
        <w:bidi w:val="0"/>
        <w:snapToGrid/>
        <w:spacing w:before="0" w:beforeAutospacing="0" w:after="0" w:afterAutospacing="0" w:line="360" w:lineRule="auto"/>
        <w:ind w:firstLine="480" w:firstLineChars="200"/>
        <w:jc w:val="both"/>
        <w:textAlignment w:val="auto"/>
        <w:rPr>
          <w:rFonts w:hint="default" w:cs="宋体"/>
        </w:rPr>
      </w:pPr>
      <w:r>
        <w:rPr>
          <w:rFonts w:asciiTheme="minorEastAsia" w:hAnsiTheme="minorEastAsia" w:eastAsiaTheme="minorEastAsia"/>
        </w:rPr>
        <w:t>（三）</w:t>
      </w:r>
      <w:r>
        <w:rPr>
          <w:rFonts w:cs="宋体"/>
        </w:rPr>
        <w:t>因重大变故，采购任务取消的；</w:t>
      </w:r>
    </w:p>
    <w:p>
      <w:pPr>
        <w:pStyle w:val="18"/>
        <w:keepNext w:val="0"/>
        <w:keepLines w:val="0"/>
        <w:pageBreakBefore w:val="0"/>
        <w:kinsoku/>
        <w:wordWrap/>
        <w:overflowPunct/>
        <w:topLinePunct w:val="0"/>
        <w:bidi w:val="0"/>
        <w:snapToGrid/>
        <w:spacing w:before="0" w:beforeAutospacing="0" w:after="0" w:afterAutospacing="0" w:line="360" w:lineRule="auto"/>
        <w:ind w:firstLine="480" w:firstLineChars="200"/>
        <w:jc w:val="both"/>
        <w:textAlignment w:val="auto"/>
        <w:rPr>
          <w:rFonts w:hint="default" w:cs="宋体"/>
        </w:rPr>
      </w:pPr>
      <w:r>
        <w:rPr>
          <w:rFonts w:asciiTheme="minorEastAsia" w:hAnsiTheme="minorEastAsia" w:eastAsiaTheme="minorEastAsia"/>
        </w:rPr>
        <w:t>（四）</w:t>
      </w:r>
      <w:r>
        <w:rPr>
          <w:rFonts w:cs="宋体"/>
        </w:rPr>
        <w:t>法律、法规和招标文件规定的其他导致评标结果无效的。</w:t>
      </w:r>
    </w:p>
    <w:p>
      <w:pPr>
        <w:pStyle w:val="12"/>
        <w:keepNext w:val="0"/>
        <w:keepLines w:val="0"/>
        <w:pageBreakBefore w:val="0"/>
        <w:kinsoku/>
        <w:wordWrap/>
        <w:overflowPunct/>
        <w:topLinePunct w:val="0"/>
        <w:bidi w:val="0"/>
        <w:snapToGrid/>
        <w:spacing w:line="360" w:lineRule="auto"/>
        <w:ind w:firstLine="482" w:firstLineChars="200"/>
        <w:textAlignment w:val="auto"/>
        <w:rPr>
          <w:rFonts w:hAnsi="宋体" w:cs="宋体"/>
          <w:b/>
          <w:sz w:val="24"/>
        </w:rPr>
      </w:pPr>
      <w:r>
        <w:rPr>
          <w:rFonts w:hint="eastAsia" w:hAnsi="宋体" w:cs="宋体"/>
          <w:b/>
          <w:sz w:val="24"/>
        </w:rPr>
        <w:t>六、评标过程的监控</w:t>
      </w:r>
    </w:p>
    <w:p>
      <w:pPr>
        <w:pStyle w:val="18"/>
        <w:keepNext w:val="0"/>
        <w:keepLines w:val="0"/>
        <w:pageBreakBefore w:val="0"/>
        <w:kinsoku/>
        <w:wordWrap/>
        <w:overflowPunct/>
        <w:topLinePunct w:val="0"/>
        <w:bidi w:val="0"/>
        <w:snapToGrid/>
        <w:spacing w:before="0" w:beforeAutospacing="0" w:after="0" w:afterAutospacing="0" w:line="360" w:lineRule="auto"/>
        <w:ind w:firstLine="480" w:firstLineChars="200"/>
        <w:jc w:val="both"/>
        <w:textAlignment w:val="auto"/>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pPr>
        <w:pStyle w:val="12"/>
        <w:keepNext w:val="0"/>
        <w:keepLines w:val="0"/>
        <w:pageBreakBefore w:val="0"/>
        <w:kinsoku/>
        <w:wordWrap/>
        <w:overflowPunct/>
        <w:topLinePunct w:val="0"/>
        <w:bidi w:val="0"/>
        <w:snapToGrid/>
        <w:spacing w:line="360" w:lineRule="auto"/>
        <w:ind w:firstLine="482" w:firstLineChars="200"/>
        <w:textAlignment w:val="auto"/>
        <w:rPr>
          <w:rFonts w:asciiTheme="minorEastAsia" w:hAnsiTheme="minorEastAsia" w:eastAsiaTheme="minorEastAsia"/>
          <w:b/>
          <w:sz w:val="24"/>
        </w:rPr>
      </w:pPr>
      <w:r>
        <w:rPr>
          <w:rFonts w:hint="eastAsia" w:asciiTheme="minorEastAsia" w:hAnsiTheme="minorEastAsia" w:eastAsiaTheme="minorEastAsia"/>
          <w:b/>
          <w:bCs/>
          <w:sz w:val="24"/>
          <w:lang w:val="en-US" w:eastAsia="zh-CN"/>
        </w:rPr>
        <w:t>七</w:t>
      </w:r>
      <w:r>
        <w:rPr>
          <w:rFonts w:hint="eastAsia" w:asciiTheme="minorEastAsia" w:hAnsiTheme="minorEastAsia" w:eastAsiaTheme="minorEastAsia"/>
          <w:b/>
          <w:bCs/>
          <w:sz w:val="24"/>
        </w:rPr>
        <w:t>、</w:t>
      </w:r>
      <w:r>
        <w:rPr>
          <w:rFonts w:asciiTheme="minorEastAsia" w:hAnsiTheme="minorEastAsia" w:eastAsiaTheme="minorEastAsia"/>
          <w:b/>
          <w:bCs/>
          <w:sz w:val="24"/>
        </w:rPr>
        <w:t>评标程序</w:t>
      </w:r>
    </w:p>
    <w:p>
      <w:pPr>
        <w:pStyle w:val="18"/>
        <w:spacing w:before="0" w:beforeAutospacing="0" w:after="0" w:afterAutospacing="0" w:line="360" w:lineRule="auto"/>
        <w:ind w:firstLine="482" w:firstLineChars="200"/>
        <w:jc w:val="both"/>
        <w:rPr>
          <w:rFonts w:hint="default" w:asciiTheme="minorEastAsia" w:hAnsiTheme="minorEastAsia" w:eastAsiaTheme="minorEastAsia"/>
        </w:rPr>
      </w:pPr>
      <w:r>
        <w:rPr>
          <w:rFonts w:asciiTheme="minorEastAsia" w:hAnsiTheme="minorEastAsia" w:eastAsiaTheme="minorEastAsia"/>
          <w:b/>
          <w:bCs/>
        </w:rPr>
        <w:t>（</w:t>
      </w:r>
      <w:r>
        <w:rPr>
          <w:rFonts w:hint="eastAsia" w:asciiTheme="minorEastAsia" w:hAnsiTheme="minorEastAsia" w:eastAsiaTheme="minorEastAsia"/>
          <w:b/>
          <w:bCs/>
          <w:lang w:val="en-US" w:eastAsia="zh-CN"/>
        </w:rPr>
        <w:t>一</w:t>
      </w:r>
      <w:r>
        <w:rPr>
          <w:rFonts w:asciiTheme="minorEastAsia" w:hAnsiTheme="minorEastAsia" w:eastAsiaTheme="minorEastAsia"/>
          <w:b/>
          <w:bCs/>
        </w:rPr>
        <w:t>）</w:t>
      </w:r>
      <w:r>
        <w:rPr>
          <w:rFonts w:ascii="Arial" w:hAnsi="Arial" w:cs="Arial" w:eastAsiaTheme="minorEastAsia"/>
          <w:b/>
          <w:bCs/>
        </w:rPr>
        <w:t>商务技术评审</w:t>
      </w:r>
    </w:p>
    <w:p>
      <w:pPr>
        <w:autoSpaceDE w:val="0"/>
        <w:autoSpaceDN w:val="0"/>
        <w:spacing w:line="360" w:lineRule="auto"/>
        <w:ind w:firstLine="480" w:firstLineChars="200"/>
        <w:rPr>
          <w:rFonts w:hint="eastAsia" w:asciiTheme="minorEastAsia" w:hAnsiTheme="minorEastAsia" w:eastAsiaTheme="minorEastAsia"/>
          <w:kern w:val="0"/>
          <w:sz w:val="24"/>
        </w:rPr>
      </w:pPr>
      <w:r>
        <w:rPr>
          <w:rFonts w:hint="eastAsia" w:ascii="宋体" w:hAnsi="宋体" w:cs="宋体"/>
          <w:sz w:val="24"/>
          <w:u w:val="single"/>
          <w:lang w:val="en-US" w:eastAsia="zh-CN"/>
        </w:rPr>
        <w:t xml:space="preserve"> 1</w:t>
      </w:r>
      <w:r>
        <w:rPr>
          <w:rFonts w:hint="eastAsia" w:ascii="宋体" w:hAnsi="宋体" w:cs="宋体"/>
          <w:sz w:val="24"/>
          <w:u w:val="single"/>
        </w:rPr>
        <w:t xml:space="preserve"> </w:t>
      </w:r>
      <w:r>
        <w:rPr>
          <w:rFonts w:hint="eastAsia" w:asciiTheme="minorEastAsia" w:hAnsiTheme="minorEastAsia" w:eastAsiaTheme="minorEastAsia"/>
          <w:kern w:val="0"/>
          <w:sz w:val="24"/>
        </w:rPr>
        <w:t>标项项目评标方法为综合评分法，总计100分，评标按以下标准及要求进行：</w:t>
      </w:r>
    </w:p>
    <w:tbl>
      <w:tblPr>
        <w:tblStyle w:val="20"/>
        <w:tblW w:w="89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8"/>
        <w:gridCol w:w="1269"/>
        <w:gridCol w:w="742"/>
        <w:gridCol w:w="4920"/>
        <w:gridCol w:w="11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jc w:val="center"/>
        </w:trPr>
        <w:tc>
          <w:tcPr>
            <w:tcW w:w="938"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项目</w:t>
            </w:r>
          </w:p>
        </w:tc>
        <w:tc>
          <w:tcPr>
            <w:tcW w:w="1269"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评标内容</w:t>
            </w:r>
          </w:p>
        </w:tc>
        <w:tc>
          <w:tcPr>
            <w:tcW w:w="742"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分值</w:t>
            </w:r>
          </w:p>
        </w:tc>
        <w:tc>
          <w:tcPr>
            <w:tcW w:w="4920"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评标标准</w:t>
            </w:r>
          </w:p>
        </w:tc>
        <w:tc>
          <w:tcPr>
            <w:tcW w:w="1121"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数据来源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4" w:hRule="atLeast"/>
          <w:jc w:val="center"/>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投标方案（35分）</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系统建设方案</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承诺：</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（1）2023年6月底前，开发、建设符合省财政厅预算管理一体化业务规范和技术标准的代理国库集中支付业务相关信息系统，9月份完成联调测试。</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（2）资金汇划系统，网银系统和内部网络安全问题方面的有关责任。</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（3）遇系统故障、网络通讯故障等导致财政资金支付流程运行中断时，启动应急处置程序，第一时间通报财政部门和预算单位。</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（4）财政资金管理采用T+0清算，即当天15：30前的支付业务，当天完成清算；15：30后的支付业务，下一个工作日完成清算。</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（5）能否体现投标银行在信息系统建设上安全、规范的其他代理业务的内容承诺。</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根据各竞标银行承诺内容横向综合评定，每项满分3分，最高得15分。每项横向比较打分，第1名得3分，每降低1名相应递减0.15分，扣完为止。</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注：现场演示及讲解不超过10分钟，演示文稿包括但不限于PPT。2023年9月底前无法通过市财政局系统联调测试的，则无法代理2024年市本级国库集中支付业务。</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竞标银行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1"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常规业务服务</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根据市财政局要求安排专人按日、按月及时对账，确保账款一致，及时、完整提供相关资料及数据，并提供实时对账和查询。</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（2）接受市财政局监督检查，对各种信息、凭证等承担保密责任的措施。</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（3）为预算单位提供分账核算、账单、办理单位公务卡、个人公务卡等服务项目。</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每项满分2分，最高得6分。每项横向比较打分，第1名的得2分，每降低1名相应递减0.1分。</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竞标银行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1"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紧急业务处理</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紧急业务的支付指令，须根据加急业务程序支付。根据处理紧急事项业务处理时承诺的处理程序和时间限定打分。</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满分3分，横向排序打分，第1名的得3分，每降低1名相应递减0.15分。</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竞标银行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1"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内控建设及风险管理情况</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竞标银行内控体系建设及风险管控文案，内容包括但不限于内控体系建设、风险防控措施等。</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满分4分，横向排序打分，第1名的得4分，每降低1名相应递减0.2分。</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竞标银行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1"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业务团队建设</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投标人及其分支机构的国库代理业务团队建设文案，内容包括但不限于国库业务政策的掌握、组织管理、沟通协调的机制、问题反馈及时性等内容。</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满分3分，横向排序打分，第1名的得3分，每降低1名相应递减0.15分。</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竞标银行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1"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技术团队建设</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（1）国库代理技术团队建设文案，内容包括但不限于技术团队基本情况、技术保密措施和风险控制等内容；</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（2）资金安全、准确、高效支付和信息反馈的技术层面的措施和手段。</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每项满分2分，最高得4分。每项横向比较打分，第1名的得2分，每降低1名相应递减0.1分。</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竞标银行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客观指标（65分）</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不良贷款率</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按竞标银行2022年12月份不良贷款率由低到高排名，第1名得3分，每递减1名减0.15分。</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银保监分局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资本充足率</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按竞标银行总行2021年度资本充足率由高到低排名，第1名得2分，每递减1名减0.1分。</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竞标银行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拨备覆盖率</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按竞标银行总行2021年度拨备覆盖率由高到低排名，第1名得2分，每递减1名减0.1分。</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竞标银行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流动性比例</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按竞标银行总行2021年度流动性比率由高到低排名，第1名得2分，每递减1名减0.1分。</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竞标银行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利润总额</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按照各竞标银行竞标2022年度的利润总额由高到低进行排名，第1名的得满分，每递减1名扣0.2分。利润总额为负数的，该项不得分。</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银保监分局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利润增长率</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按竞标银行2022年度利润增长率由高到低排名，第1名得2分，每递减1名减0.1分。</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银保监分局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1"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银保监评级</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照监管部门2021年度评级得分，1A为满分4分，每下降一个等级减0.2分。国有大型银行、全国性股份制商业银行在台分支机构以其上一级分支机构评级结果为准，其他地方性中小法人银行机构以其总行评级结果为准。</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竞标银行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金融办考核</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按竞标银行2021年度金融办考核情况得分，第1名得满分，每递减1名扣0.2分。</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市</w:t>
            </w:r>
            <w:r>
              <w:rPr>
                <w:rFonts w:hint="eastAsia" w:ascii="宋体" w:hAnsi="宋体" w:eastAsia="宋体" w:cs="宋体"/>
                <w:i w:val="0"/>
                <w:color w:val="000000"/>
                <w:kern w:val="0"/>
                <w:sz w:val="21"/>
                <w:szCs w:val="21"/>
                <w:u w:val="none"/>
                <w:lang w:val="en-US" w:eastAsia="zh-CN" w:bidi="ar"/>
              </w:rPr>
              <w:t>金融办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贷款总额</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按照各竞标银行2022年12月份在市级贷款余额由高到低进行排名，第1名的得满分，每递减1名扣0.2分。</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人行台州市中心支行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贷款利率横向</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按照各竞标银行2022年12月份的贷款利率由低到高进行排名，第1名得4分，每递减1名减0.2分。</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人行台州市中心支行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贷款利率纵向</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按照各竞标银行2022年12月份的贷款利率与其上年度的贷款利率差由低到高进行排名，第1名得4分，每递减1名减0.2分。</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人行台州市中心支行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小微企业贷款余额</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按照各竞标银行2022年12月份对小微企业的贷款余额由高到低进行排名，第1名的得满分，每递减1名扣0.15分。</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银保监分局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涉农贷款余额</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按照各竞标银行2022年12月份对涉农的贷款余额由高到低进行排名，第1名的得满分，每递减1名扣0.15分。</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人行台州市中心支行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1"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纳税总额</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按照各竞标银行2022年度在台州市级缴纳的纳入一般公共预算收入计算口径的税费(以下简称地方税费）由高到低进行排名，第1名的得满分，每递减1名扣0.3分。</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税收增长率</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按竞标银行2022年度缴纳地方税费增长率由高到低排名，第1名得3分，每递减1名减0.15分，扣完为止。</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总行设立情况</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以公司登记为准，总行设在浙江省范围内的商业银行得4分,总行未设在浙江省范围内的得0分。</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竞标银行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1"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营业网点数量</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按竞标银行</w:t>
            </w:r>
            <w:r>
              <w:rPr>
                <w:rFonts w:hint="eastAsia" w:ascii="宋体" w:hAnsi="宋体" w:cs="宋体"/>
                <w:i w:val="0"/>
                <w:color w:val="000000"/>
                <w:kern w:val="0"/>
                <w:sz w:val="21"/>
                <w:szCs w:val="21"/>
                <w:u w:val="none"/>
                <w:lang w:val="en-US" w:eastAsia="zh-CN" w:bidi="ar"/>
              </w:rPr>
              <w:t>截止</w:t>
            </w:r>
            <w:r>
              <w:rPr>
                <w:rFonts w:hint="eastAsia" w:ascii="宋体" w:hAnsi="宋体" w:eastAsia="宋体" w:cs="宋体"/>
                <w:i w:val="0"/>
                <w:color w:val="000000"/>
                <w:kern w:val="0"/>
                <w:sz w:val="21"/>
                <w:szCs w:val="21"/>
                <w:u w:val="none"/>
                <w:lang w:val="en-US" w:eastAsia="zh-CN" w:bidi="ar"/>
              </w:rPr>
              <w:t>2022年</w:t>
            </w:r>
            <w:r>
              <w:rPr>
                <w:rStyle w:val="43"/>
                <w:rFonts w:hint="eastAsia" w:ascii="宋体" w:hAnsi="宋体" w:eastAsia="宋体" w:cs="宋体"/>
                <w:sz w:val="21"/>
                <w:szCs w:val="21"/>
                <w:lang w:val="en-US" w:eastAsia="zh-CN" w:bidi="ar"/>
              </w:rPr>
              <w:t>12月底</w:t>
            </w:r>
            <w:r>
              <w:rPr>
                <w:rStyle w:val="42"/>
                <w:rFonts w:hint="eastAsia" w:ascii="宋体" w:hAnsi="宋体" w:eastAsia="宋体" w:cs="宋体"/>
                <w:sz w:val="21"/>
                <w:szCs w:val="21"/>
                <w:lang w:val="en-US" w:eastAsia="zh-CN" w:bidi="ar"/>
              </w:rPr>
              <w:t>在台州市范围内开办营业网点（以市场监管部门登记为准）数量高到低排名，第1名的得3分，每递减1名减0.15分，扣完为止。</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地市级代理国库业务情况</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按竞标银行2022年末在浙江省内纳入国库集中支付代理银行范围的地市级及以上数量高到低排名，第1名的得4分，每递减1名减0.2分，扣完为止。</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竞标银行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代理国库业务考核情况</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投标银行（含各分支机构）202</w:t>
            </w:r>
            <w:r>
              <w:rPr>
                <w:rFonts w:hint="eastAsia" w:ascii="宋体" w:hAnsi="宋体" w:cs="宋体"/>
                <w:i w:val="0"/>
                <w:color w:val="000000"/>
                <w:kern w:val="0"/>
                <w:sz w:val="21"/>
                <w:szCs w:val="21"/>
                <w:u w:val="none"/>
                <w:lang w:val="en-US" w:eastAsia="zh-CN" w:bidi="ar"/>
              </w:rPr>
              <w:t>1</w:t>
            </w:r>
            <w:bookmarkStart w:id="43" w:name="_GoBack"/>
            <w:bookmarkEnd w:id="43"/>
            <w:r>
              <w:rPr>
                <w:rFonts w:hint="eastAsia" w:ascii="宋体" w:hAnsi="宋体" w:eastAsia="宋体" w:cs="宋体"/>
                <w:i w:val="0"/>
                <w:color w:val="000000"/>
                <w:kern w:val="0"/>
                <w:sz w:val="21"/>
                <w:szCs w:val="21"/>
                <w:u w:val="none"/>
                <w:lang w:val="en-US" w:eastAsia="zh-CN" w:bidi="ar"/>
              </w:rPr>
              <w:t>年度获得浙江省内地市级及以上财政部门代理国库业务综合考核优秀的，得4分；其余的，得0分。</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竞标银行</w:t>
            </w:r>
          </w:p>
        </w:tc>
      </w:tr>
    </w:tbl>
    <w:p>
      <w:pPr>
        <w:spacing w:line="360" w:lineRule="auto"/>
        <w:ind w:firstLine="482" w:firstLineChars="200"/>
        <w:rPr>
          <w:rFonts w:hint="eastAsia" w:ascii="宋体" w:hAnsi="宋体" w:cs="宋体"/>
          <w:b/>
          <w:bCs/>
          <w:sz w:val="24"/>
        </w:rPr>
      </w:pPr>
      <w:r>
        <w:rPr>
          <w:rFonts w:hint="eastAsia" w:ascii="宋体" w:hAnsi="宋体" w:cs="宋体"/>
          <w:b/>
          <w:bCs/>
          <w:sz w:val="24"/>
        </w:rPr>
        <w:t>注：</w:t>
      </w:r>
      <w:r>
        <w:rPr>
          <w:rFonts w:hint="eastAsia" w:ascii="宋体" w:hAnsi="宋体" w:cs="宋体"/>
          <w:b/>
          <w:bCs/>
          <w:sz w:val="24"/>
          <w:lang w:val="en-US" w:eastAsia="zh-CN"/>
        </w:rPr>
        <w:t>客观指标中标明数据来源为竞标银行的由投标人提供，保证</w:t>
      </w:r>
      <w:r>
        <w:rPr>
          <w:rFonts w:hint="eastAsia" w:ascii="宋体" w:hAnsi="宋体" w:cs="宋体"/>
          <w:b/>
          <w:bCs/>
          <w:sz w:val="24"/>
        </w:rPr>
        <w:t>真实</w:t>
      </w:r>
      <w:r>
        <w:rPr>
          <w:rFonts w:hint="eastAsia" w:ascii="宋体" w:hAnsi="宋体" w:cs="宋体"/>
          <w:b/>
          <w:bCs/>
          <w:sz w:val="24"/>
          <w:lang w:eastAsia="zh-CN"/>
        </w:rPr>
        <w:t>、准确。投标人无法提供的，该项得分为</w:t>
      </w:r>
      <w:r>
        <w:rPr>
          <w:rFonts w:hint="eastAsia" w:ascii="宋体" w:hAnsi="宋体" w:cs="宋体"/>
          <w:b/>
          <w:bCs/>
          <w:sz w:val="24"/>
          <w:lang w:val="en-US" w:eastAsia="zh-CN"/>
        </w:rPr>
        <w:t>0。</w:t>
      </w:r>
      <w:r>
        <w:rPr>
          <w:rFonts w:hint="eastAsia" w:ascii="宋体" w:hAnsi="宋体" w:cs="宋体"/>
          <w:b/>
          <w:bCs/>
          <w:sz w:val="24"/>
          <w:lang w:eastAsia="zh-CN"/>
        </w:rPr>
        <w:t>其余客观性指标由市财政局</w:t>
      </w:r>
      <w:r>
        <w:rPr>
          <w:rFonts w:hint="eastAsia" w:ascii="宋体" w:hAnsi="宋体" w:cs="宋体"/>
          <w:b/>
          <w:bCs/>
          <w:sz w:val="24"/>
        </w:rPr>
        <w:t>向人民银行、税务、银保监</w:t>
      </w:r>
      <w:r>
        <w:rPr>
          <w:rFonts w:hint="eastAsia" w:ascii="宋体" w:hAnsi="宋体" w:cs="宋体"/>
          <w:b/>
          <w:bCs/>
          <w:sz w:val="24"/>
          <w:lang w:eastAsia="zh-CN"/>
        </w:rPr>
        <w:t>、金融办</w:t>
      </w:r>
      <w:r>
        <w:rPr>
          <w:rFonts w:hint="eastAsia" w:ascii="宋体" w:hAnsi="宋体" w:cs="宋体"/>
          <w:b/>
          <w:bCs/>
          <w:sz w:val="24"/>
        </w:rPr>
        <w:t>等相关部门获取后统一提供。</w:t>
      </w:r>
    </w:p>
    <w:p>
      <w:pPr>
        <w:spacing w:line="360" w:lineRule="auto"/>
        <w:ind w:firstLine="482" w:firstLineChars="200"/>
        <w:rPr>
          <w:rFonts w:ascii="宋体" w:hAnsi="宋体" w:cs="宋体"/>
          <w:b/>
          <w:bCs/>
          <w:sz w:val="24"/>
        </w:rPr>
      </w:pPr>
      <w:r>
        <w:rPr>
          <w:rFonts w:hint="eastAsia" w:ascii="宋体" w:hAnsi="宋体" w:cs="宋体"/>
          <w:b/>
          <w:bCs/>
          <w:sz w:val="24"/>
        </w:rPr>
        <w:t>（</w:t>
      </w:r>
      <w:r>
        <w:rPr>
          <w:rFonts w:hint="eastAsia" w:ascii="宋体" w:hAnsi="宋体" w:cs="宋体"/>
          <w:b/>
          <w:bCs/>
          <w:sz w:val="24"/>
          <w:lang w:val="en-US" w:eastAsia="zh-CN"/>
        </w:rPr>
        <w:t>二</w:t>
      </w:r>
      <w:r>
        <w:rPr>
          <w:rFonts w:hint="eastAsia" w:ascii="宋体" w:hAnsi="宋体" w:cs="宋体"/>
          <w:b/>
          <w:bCs/>
          <w:sz w:val="24"/>
        </w:rPr>
        <w:t>）评标报告撰写</w:t>
      </w:r>
    </w:p>
    <w:p>
      <w:pPr>
        <w:spacing w:line="360" w:lineRule="auto"/>
        <w:ind w:firstLine="480" w:firstLineChars="200"/>
        <w:rPr>
          <w:rFonts w:ascii="宋体" w:hAnsi="宋体" w:cs="宋体"/>
          <w:sz w:val="24"/>
        </w:rPr>
      </w:pPr>
      <w:r>
        <w:rPr>
          <w:rFonts w:hint="eastAsia" w:ascii="宋体" w:hAnsi="宋体" w:cs="宋体"/>
          <w:sz w:val="24"/>
        </w:rPr>
        <w:t>评标委员会根据全体评标成员签字的原始评标记录和评标结果编写评标报告。</w:t>
      </w:r>
    </w:p>
    <w:p>
      <w:pPr>
        <w:pStyle w:val="26"/>
      </w:pPr>
    </w:p>
    <w:p>
      <w:pPr>
        <w:pStyle w:val="26"/>
      </w:pPr>
    </w:p>
    <w:p>
      <w:pPr>
        <w:pStyle w:val="26"/>
      </w:pPr>
    </w:p>
    <w:p>
      <w:pPr>
        <w:rPr>
          <w:rFonts w:asciiTheme="minorEastAsia" w:hAnsiTheme="minorEastAsia" w:eastAsiaTheme="minorEastAsia"/>
          <w:b/>
          <w:sz w:val="36"/>
          <w:szCs w:val="36"/>
        </w:rPr>
      </w:pPr>
      <w:r>
        <w:rPr>
          <w:rFonts w:asciiTheme="minorEastAsia" w:hAnsiTheme="minorEastAsia" w:eastAsiaTheme="minorEastAsia"/>
          <w:b/>
          <w:sz w:val="36"/>
          <w:szCs w:val="36"/>
        </w:rPr>
        <w:br w:type="page"/>
      </w:r>
    </w:p>
    <w:p>
      <w:pPr>
        <w:pStyle w:val="2"/>
      </w:pPr>
    </w:p>
    <w:p>
      <w:pPr>
        <w:spacing w:line="360" w:lineRule="auto"/>
        <w:jc w:val="center"/>
        <w:rPr>
          <w:rFonts w:asciiTheme="minorEastAsia" w:hAnsiTheme="minorEastAsia" w:eastAsiaTheme="minorEastAsia"/>
          <w:b/>
          <w:sz w:val="30"/>
          <w:szCs w:val="30"/>
        </w:rPr>
      </w:pPr>
      <w:bookmarkStart w:id="37" w:name="_Toc5481_WPSOffice_Level1"/>
      <w:r>
        <w:rPr>
          <w:rFonts w:hint="eastAsia" w:asciiTheme="minorEastAsia" w:hAnsiTheme="minorEastAsia" w:eastAsiaTheme="minorEastAsia"/>
          <w:b/>
          <w:sz w:val="36"/>
          <w:szCs w:val="36"/>
        </w:rPr>
        <w:t>第</w:t>
      </w:r>
      <w:r>
        <w:rPr>
          <w:rFonts w:hint="eastAsia" w:asciiTheme="minorEastAsia" w:hAnsiTheme="minorEastAsia" w:eastAsiaTheme="minorEastAsia"/>
          <w:b/>
          <w:sz w:val="36"/>
          <w:szCs w:val="36"/>
          <w:lang w:val="en-US" w:eastAsia="zh-CN"/>
        </w:rPr>
        <w:t>五</w:t>
      </w:r>
      <w:r>
        <w:rPr>
          <w:rFonts w:hint="eastAsia" w:asciiTheme="minorEastAsia" w:hAnsiTheme="minorEastAsia" w:eastAsiaTheme="minorEastAsia"/>
          <w:b/>
          <w:sz w:val="36"/>
          <w:szCs w:val="36"/>
        </w:rPr>
        <w:t>章 投标文件格式</w:t>
      </w:r>
      <w:bookmarkEnd w:id="37"/>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jc w:val="center"/>
        <w:rPr>
          <w:sz w:val="52"/>
          <w:szCs w:val="52"/>
        </w:rPr>
      </w:pPr>
      <w:bookmarkStart w:id="38" w:name="_Toc4956_WPSOffice_Level1"/>
      <w:bookmarkStart w:id="39" w:name="_Toc32372_WPSOffice_Level1"/>
      <w:bookmarkStart w:id="40" w:name="_Toc19093_WPSOffice_Level1"/>
      <w:r>
        <w:rPr>
          <w:rFonts w:hint="eastAsia"/>
          <w:sz w:val="52"/>
          <w:szCs w:val="52"/>
        </w:rPr>
        <w:t>项目名称</w:t>
      </w:r>
      <w:bookmarkEnd w:id="38"/>
      <w:bookmarkEnd w:id="39"/>
      <w:bookmarkEnd w:id="40"/>
    </w:p>
    <w:p>
      <w:pPr>
        <w:spacing w:beforeLines="100" w:line="360" w:lineRule="auto"/>
        <w:ind w:right="-108"/>
        <w:jc w:val="center"/>
        <w:rPr>
          <w:rFonts w:ascii="宋体" w:hAnsi="宋体"/>
          <w:sz w:val="36"/>
          <w:szCs w:val="36"/>
        </w:rPr>
      </w:pPr>
      <w:r>
        <w:rPr>
          <w:rFonts w:hint="eastAsia" w:ascii="宋体" w:hAnsi="宋体"/>
          <w:sz w:val="36"/>
          <w:szCs w:val="36"/>
        </w:rPr>
        <w:t>项目编号：（标项</w:t>
      </w:r>
      <w:r>
        <w:rPr>
          <w:rFonts w:hint="eastAsia" w:ascii="宋体" w:hAnsi="宋体"/>
          <w:sz w:val="36"/>
          <w:szCs w:val="36"/>
          <w:lang w:val="en-US" w:eastAsia="zh-CN"/>
        </w:rPr>
        <w:t>1</w:t>
      </w:r>
      <w:r>
        <w:rPr>
          <w:rFonts w:hint="eastAsia" w:ascii="宋体" w:hAnsi="宋体"/>
          <w:sz w:val="36"/>
          <w:szCs w:val="36"/>
        </w:rPr>
        <w:t>）</w:t>
      </w:r>
    </w:p>
    <w:p>
      <w:pPr>
        <w:pStyle w:val="2"/>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pStyle w:val="2"/>
      </w:pPr>
    </w:p>
    <w:p>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Pr>
        <w:pStyle w:val="9"/>
        <w:rPr>
          <w:rFonts w:ascii="仿宋_GB2312" w:hAnsi="宋体" w:eastAsia="仿宋_GB2312"/>
          <w:b/>
          <w:sz w:val="36"/>
          <w:szCs w:val="36"/>
        </w:rPr>
      </w:pPr>
    </w:p>
    <w:p>
      <w:pPr>
        <w:pStyle w:val="9"/>
        <w:rPr>
          <w:rFonts w:ascii="仿宋_GB2312" w:hAnsi="宋体" w:eastAsia="仿宋_GB2312"/>
          <w:b/>
          <w:sz w:val="36"/>
          <w:szCs w:val="36"/>
        </w:rPr>
      </w:pPr>
    </w:p>
    <w:p>
      <w:pPr>
        <w:pStyle w:val="9"/>
        <w:rPr>
          <w:rFonts w:ascii="仿宋_GB2312" w:hAnsi="宋体" w:eastAsia="仿宋_GB2312"/>
          <w:b/>
          <w:sz w:val="36"/>
          <w:szCs w:val="36"/>
        </w:rPr>
      </w:pPr>
    </w:p>
    <w:p>
      <w:pPr>
        <w:pStyle w:val="9"/>
        <w:rPr>
          <w:rFonts w:ascii="仿宋_GB2312" w:hAnsi="宋体" w:eastAsia="仿宋_GB2312"/>
          <w:b/>
          <w:sz w:val="36"/>
          <w:szCs w:val="36"/>
        </w:rPr>
      </w:pPr>
    </w:p>
    <w:p>
      <w:pPr>
        <w:spacing w:line="360" w:lineRule="auto"/>
        <w:jc w:val="center"/>
        <w:rPr>
          <w:b/>
          <w:bCs/>
          <w:sz w:val="32"/>
          <w:szCs w:val="40"/>
        </w:rPr>
      </w:pPr>
    </w:p>
    <w:p>
      <w:pPr>
        <w:spacing w:line="360" w:lineRule="auto"/>
        <w:jc w:val="center"/>
        <w:rPr>
          <w:sz w:val="28"/>
          <w:szCs w:val="36"/>
        </w:rPr>
      </w:pPr>
      <w:r>
        <w:rPr>
          <w:rFonts w:hint="eastAsia"/>
          <w:b/>
          <w:bCs/>
          <w:sz w:val="36"/>
          <w:szCs w:val="36"/>
          <w:lang w:val="en-US" w:eastAsia="zh-CN"/>
        </w:rPr>
        <w:t>投标</w:t>
      </w:r>
      <w:r>
        <w:rPr>
          <w:rFonts w:hint="eastAsia"/>
          <w:b/>
          <w:bCs/>
          <w:sz w:val="36"/>
          <w:szCs w:val="36"/>
        </w:rPr>
        <w:t>文件目录</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 w:val="0"/>
          <w:bCs/>
          <w:sz w:val="28"/>
        </w:rPr>
      </w:pPr>
      <w:r>
        <w:rPr>
          <w:rFonts w:hint="eastAsia" w:ascii="宋体" w:hAnsi="宋体" w:eastAsia="宋体" w:cs="宋体"/>
          <w:b w:val="0"/>
          <w:bCs/>
          <w:sz w:val="28"/>
        </w:rPr>
        <w:t>（一）人行台州市中心支行财政国库集中支付业务代理资格认证文件复印件；</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 w:val="0"/>
          <w:bCs/>
          <w:sz w:val="28"/>
        </w:rPr>
      </w:pPr>
      <w:r>
        <w:rPr>
          <w:rFonts w:hint="eastAsia" w:ascii="宋体" w:hAnsi="宋体" w:eastAsia="宋体" w:cs="宋体"/>
          <w:b w:val="0"/>
          <w:bCs/>
          <w:sz w:val="28"/>
        </w:rPr>
        <w:t>（</w:t>
      </w:r>
      <w:r>
        <w:rPr>
          <w:rFonts w:hint="eastAsia" w:ascii="宋体" w:hAnsi="宋体" w:cs="宋体"/>
          <w:b w:val="0"/>
          <w:bCs/>
          <w:sz w:val="28"/>
          <w:lang w:val="en-US" w:eastAsia="zh-CN"/>
        </w:rPr>
        <w:t>二</w:t>
      </w:r>
      <w:r>
        <w:rPr>
          <w:rFonts w:hint="eastAsia" w:ascii="宋体" w:hAnsi="宋体" w:eastAsia="宋体" w:cs="宋体"/>
          <w:b w:val="0"/>
          <w:bCs/>
          <w:sz w:val="28"/>
        </w:rPr>
        <w:t>）营业执照副本复印件和总行或分行负责人授权委托书原件；</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 w:val="0"/>
          <w:bCs/>
          <w:sz w:val="28"/>
        </w:rPr>
      </w:pPr>
      <w:r>
        <w:rPr>
          <w:rFonts w:hint="eastAsia" w:ascii="宋体" w:hAnsi="宋体" w:eastAsia="宋体" w:cs="宋体"/>
          <w:b w:val="0"/>
          <w:bCs/>
          <w:sz w:val="28"/>
        </w:rPr>
        <w:t>（</w:t>
      </w:r>
      <w:r>
        <w:rPr>
          <w:rFonts w:hint="eastAsia" w:ascii="宋体" w:hAnsi="宋体" w:cs="宋体"/>
          <w:b w:val="0"/>
          <w:bCs/>
          <w:sz w:val="28"/>
          <w:lang w:val="en-US" w:eastAsia="zh-CN"/>
        </w:rPr>
        <w:t>三</w:t>
      </w:r>
      <w:r>
        <w:rPr>
          <w:rFonts w:hint="eastAsia" w:ascii="宋体" w:hAnsi="宋体" w:eastAsia="宋体" w:cs="宋体"/>
          <w:b w:val="0"/>
          <w:bCs/>
          <w:sz w:val="28"/>
        </w:rPr>
        <w:t>）投标方案简介，由投标人代表在远程在线作10分钟陈述，包括但不限于以下内容：</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 w:val="0"/>
          <w:bCs/>
          <w:sz w:val="28"/>
        </w:rPr>
      </w:pPr>
      <w:r>
        <w:rPr>
          <w:rFonts w:hint="eastAsia" w:ascii="宋体" w:hAnsi="宋体" w:eastAsia="宋体" w:cs="宋体"/>
          <w:b w:val="0"/>
          <w:bCs/>
          <w:sz w:val="28"/>
        </w:rPr>
        <w:t>1.系统建设方案;</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 w:val="0"/>
          <w:bCs/>
          <w:sz w:val="28"/>
        </w:rPr>
      </w:pPr>
      <w:r>
        <w:rPr>
          <w:rFonts w:hint="eastAsia" w:ascii="宋体" w:hAnsi="宋体" w:eastAsia="宋体" w:cs="宋体"/>
          <w:b w:val="0"/>
          <w:bCs/>
          <w:sz w:val="28"/>
        </w:rPr>
        <w:t>2.业务团队建设；</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 w:val="0"/>
          <w:bCs/>
          <w:sz w:val="28"/>
        </w:rPr>
      </w:pPr>
      <w:r>
        <w:rPr>
          <w:rFonts w:hint="eastAsia" w:ascii="宋体" w:hAnsi="宋体" w:eastAsia="宋体" w:cs="宋体"/>
          <w:b w:val="0"/>
          <w:bCs/>
          <w:sz w:val="28"/>
        </w:rPr>
        <w:t>3.常规业务服务；</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 w:val="0"/>
          <w:bCs/>
          <w:sz w:val="28"/>
        </w:rPr>
      </w:pPr>
      <w:r>
        <w:rPr>
          <w:rFonts w:hint="eastAsia" w:ascii="宋体" w:hAnsi="宋体" w:eastAsia="宋体" w:cs="宋体"/>
          <w:b w:val="0"/>
          <w:bCs/>
          <w:sz w:val="28"/>
        </w:rPr>
        <w:t>4.紧急业务处理；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 w:val="0"/>
          <w:bCs/>
          <w:sz w:val="28"/>
        </w:rPr>
      </w:pPr>
      <w:r>
        <w:rPr>
          <w:rFonts w:hint="eastAsia" w:ascii="宋体" w:hAnsi="宋体" w:eastAsia="宋体" w:cs="宋体"/>
          <w:b w:val="0"/>
          <w:bCs/>
          <w:sz w:val="28"/>
        </w:rPr>
        <w:t>5.内控建设及风险管理情况；</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 w:val="0"/>
          <w:bCs/>
          <w:sz w:val="28"/>
        </w:rPr>
      </w:pPr>
      <w:r>
        <w:rPr>
          <w:rFonts w:hint="eastAsia" w:ascii="宋体" w:hAnsi="宋体" w:eastAsia="宋体" w:cs="宋体"/>
          <w:b w:val="0"/>
          <w:bCs/>
          <w:sz w:val="28"/>
        </w:rPr>
        <w:t>6.技术团队建设；</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 w:val="0"/>
          <w:bCs/>
          <w:sz w:val="28"/>
        </w:rPr>
      </w:pPr>
      <w:r>
        <w:rPr>
          <w:rFonts w:hint="eastAsia" w:ascii="宋体" w:hAnsi="宋体" w:eastAsia="宋体" w:cs="宋体"/>
          <w:b w:val="0"/>
          <w:bCs/>
          <w:sz w:val="28"/>
        </w:rPr>
        <w:t>7.其它需要说明的内容。</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 w:val="0"/>
          <w:bCs/>
          <w:sz w:val="28"/>
        </w:rPr>
      </w:pPr>
      <w:r>
        <w:rPr>
          <w:rFonts w:hint="eastAsia" w:ascii="宋体" w:hAnsi="宋体" w:eastAsia="宋体" w:cs="宋体"/>
          <w:b w:val="0"/>
          <w:bCs/>
          <w:sz w:val="28"/>
        </w:rPr>
        <w:t>（</w:t>
      </w:r>
      <w:r>
        <w:rPr>
          <w:rFonts w:hint="eastAsia" w:ascii="宋体" w:hAnsi="宋体" w:cs="宋体"/>
          <w:b w:val="0"/>
          <w:bCs/>
          <w:sz w:val="28"/>
          <w:lang w:val="en-US" w:eastAsia="zh-CN"/>
        </w:rPr>
        <w:t>四</w:t>
      </w:r>
      <w:r>
        <w:rPr>
          <w:rFonts w:hint="eastAsia" w:ascii="宋体" w:hAnsi="宋体" w:eastAsia="宋体" w:cs="宋体"/>
          <w:b w:val="0"/>
          <w:bCs/>
          <w:sz w:val="28"/>
        </w:rPr>
        <w:t>）投标书附件，包括但不限于以下内容：</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 w:val="0"/>
          <w:bCs/>
          <w:sz w:val="28"/>
        </w:rPr>
      </w:pPr>
      <w:r>
        <w:rPr>
          <w:rFonts w:hint="eastAsia" w:ascii="宋体" w:hAnsi="宋体" w:eastAsia="宋体" w:cs="宋体"/>
          <w:b w:val="0"/>
          <w:bCs/>
          <w:sz w:val="28"/>
        </w:rPr>
        <w:t>1.投标人设立的时间；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 w:val="0"/>
          <w:bCs/>
          <w:sz w:val="28"/>
        </w:rPr>
      </w:pPr>
      <w:r>
        <w:rPr>
          <w:rFonts w:hint="eastAsia" w:ascii="宋体" w:hAnsi="宋体" w:eastAsia="宋体" w:cs="宋体"/>
          <w:b w:val="0"/>
          <w:bCs/>
          <w:sz w:val="28"/>
        </w:rPr>
        <w:t>2.组织形式和管理体制；</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 w:val="0"/>
          <w:bCs/>
          <w:sz w:val="28"/>
        </w:rPr>
      </w:pPr>
      <w:r>
        <w:rPr>
          <w:rFonts w:hint="eastAsia" w:ascii="宋体" w:hAnsi="宋体" w:eastAsia="宋体" w:cs="宋体"/>
          <w:b w:val="0"/>
          <w:bCs/>
          <w:sz w:val="28"/>
        </w:rPr>
        <w:t>3.投标人资金实力和业务规模；</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 w:val="0"/>
          <w:bCs/>
          <w:sz w:val="28"/>
        </w:rPr>
      </w:pPr>
      <w:r>
        <w:rPr>
          <w:rFonts w:hint="eastAsia" w:ascii="宋体" w:hAnsi="宋体" w:eastAsia="宋体" w:cs="宋体"/>
          <w:b w:val="0"/>
          <w:bCs/>
          <w:sz w:val="28"/>
        </w:rPr>
        <w:t>4.客观指标中标明数据来源为竞标银行的各项评分指标数据或证明材料；</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 w:val="0"/>
          <w:bCs/>
          <w:sz w:val="28"/>
        </w:rPr>
      </w:pPr>
      <w:r>
        <w:rPr>
          <w:rFonts w:hint="eastAsia" w:ascii="宋体" w:hAnsi="宋体" w:eastAsia="宋体" w:cs="宋体"/>
          <w:b w:val="0"/>
          <w:bCs/>
          <w:sz w:val="28"/>
        </w:rPr>
        <w:t>5.投标人认为其他需提供并有助于评标委员会对其投标作出有利评价的其他内容。</w:t>
      </w:r>
    </w:p>
    <w:p>
      <w:pPr>
        <w:rPr>
          <w:rFonts w:hint="eastAsia" w:ascii="宋体" w:hAnsi="宋体" w:eastAsia="宋体" w:cs="宋体"/>
          <w:b w:val="0"/>
          <w:bCs/>
          <w:sz w:val="28"/>
        </w:rPr>
      </w:pPr>
      <w:r>
        <w:rPr>
          <w:rFonts w:hint="eastAsia" w:ascii="宋体" w:hAnsi="宋体" w:eastAsia="宋体" w:cs="宋体"/>
          <w:b w:val="0"/>
          <w:bCs/>
          <w:sz w:val="28"/>
        </w:rPr>
        <w:br w:type="page"/>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宋体" w:eastAsia="宋体"/>
          <w:b/>
          <w:sz w:val="30"/>
          <w:szCs w:val="30"/>
          <w:lang w:val="en-US" w:eastAsia="zh-CN"/>
        </w:rPr>
      </w:pPr>
      <w:r>
        <w:rPr>
          <w:rFonts w:hint="eastAsia" w:ascii="宋体" w:hAnsi="宋体"/>
          <w:b/>
          <w:sz w:val="28"/>
        </w:rPr>
        <w:t>附件</w:t>
      </w:r>
      <w:r>
        <w:rPr>
          <w:rFonts w:hint="eastAsia" w:ascii="宋体" w:hAnsi="宋体"/>
          <w:b/>
          <w:sz w:val="28"/>
          <w:lang w:val="en-US" w:eastAsia="zh-CN"/>
        </w:rPr>
        <w:t>1</w:t>
      </w:r>
    </w:p>
    <w:p>
      <w:pPr>
        <w:spacing w:line="360" w:lineRule="auto"/>
        <w:ind w:firstLine="321" w:firstLineChars="100"/>
        <w:jc w:val="center"/>
        <w:rPr>
          <w:rFonts w:hAnsi="宋体"/>
          <w:b/>
          <w:sz w:val="32"/>
          <w:szCs w:val="32"/>
          <w:u w:val="single"/>
        </w:rPr>
      </w:pPr>
      <w:bookmarkStart w:id="41" w:name="_Toc24373_WPSOffice_Level1"/>
      <w:bookmarkStart w:id="42" w:name="_Toc6870_WPSOffice_Level1"/>
      <w:r>
        <w:rPr>
          <w:b/>
          <w:sz w:val="32"/>
          <w:szCs w:val="32"/>
        </w:rPr>
        <w:t>授权</w:t>
      </w:r>
      <w:r>
        <w:rPr>
          <w:rFonts w:hint="eastAsia"/>
          <w:b/>
          <w:sz w:val="32"/>
          <w:szCs w:val="32"/>
        </w:rPr>
        <w:t>委托</w:t>
      </w:r>
      <w:r>
        <w:rPr>
          <w:b/>
          <w:sz w:val="32"/>
          <w:szCs w:val="32"/>
        </w:rPr>
        <w:t>书</w:t>
      </w:r>
      <w:bookmarkEnd w:id="41"/>
      <w:bookmarkEnd w:id="42"/>
    </w:p>
    <w:p>
      <w:pPr>
        <w:snapToGrid w:val="0"/>
        <w:spacing w:beforeLines="50" w:after="50" w:line="360" w:lineRule="auto"/>
        <w:rPr>
          <w:rFonts w:ascii="宋体" w:hAnsi="宋体" w:cs="宋体"/>
          <w:kern w:val="0"/>
          <w:sz w:val="24"/>
        </w:rPr>
      </w:pPr>
      <w:r>
        <w:rPr>
          <w:rFonts w:hint="eastAsia" w:ascii="宋体" w:hAnsi="宋体" w:cstheme="minorBidi"/>
          <w:sz w:val="24"/>
          <w:u w:val="single"/>
        </w:rPr>
        <w:t>××</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采购机构/采购代理机构名称）：</w:t>
      </w:r>
    </w:p>
    <w:p>
      <w:pPr>
        <w:pStyle w:val="12"/>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12"/>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2"/>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sectPr>
      <w:headerReference r:id="rId3" w:type="default"/>
      <w:footerReference r:id="rId4"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方正小标宋简体"/>
    <w:panose1 w:val="03000509000000000000"/>
    <w:charset w:val="86"/>
    <w:family w:val="script"/>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台州市政府采购招标文件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48CB86"/>
    <w:multiLevelType w:val="singleLevel"/>
    <w:tmpl w:val="DF48CB86"/>
    <w:lvl w:ilvl="0" w:tentative="0">
      <w:start w:val="1"/>
      <w:numFmt w:val="chineseCounting"/>
      <w:suff w:val="nothing"/>
      <w:lvlText w:val="（%1）"/>
      <w:lvlJc w:val="left"/>
      <w:rPr>
        <w:rFonts w:hint="eastAsia"/>
      </w:rPr>
    </w:lvl>
  </w:abstractNum>
  <w:abstractNum w:abstractNumId="1">
    <w:nsid w:val="0ED2C79B"/>
    <w:multiLevelType w:val="singleLevel"/>
    <w:tmpl w:val="0ED2C79B"/>
    <w:lvl w:ilvl="0" w:tentative="0">
      <w:start w:val="1"/>
      <w:numFmt w:val="decimal"/>
      <w:pStyle w:val="8"/>
      <w:lvlText w:val="%1."/>
      <w:lvlJc w:val="left"/>
      <w:pPr>
        <w:tabs>
          <w:tab w:val="left" w:pos="360"/>
        </w:tabs>
        <w:ind w:left="360" w:hanging="360"/>
      </w:pPr>
    </w:lvl>
  </w:abstractNum>
  <w:abstractNum w:abstractNumId="2">
    <w:nsid w:val="461E5E94"/>
    <w:multiLevelType w:val="singleLevel"/>
    <w:tmpl w:val="461E5E94"/>
    <w:lvl w:ilvl="0" w:tentative="0">
      <w:start w:val="2"/>
      <w:numFmt w:val="chineseCounting"/>
      <w:suff w:val="space"/>
      <w:lvlText w:val="第%1章"/>
      <w:lvlJc w:val="left"/>
      <w:rPr>
        <w:rFonts w:hint="eastAsia"/>
      </w:rPr>
    </w:lvl>
  </w:abstractNum>
  <w:abstractNum w:abstractNumId="3">
    <w:nsid w:val="636567A2"/>
    <w:multiLevelType w:val="multilevel"/>
    <w:tmpl w:val="636567A2"/>
    <w:lvl w:ilvl="0" w:tentative="0">
      <w:start w:val="1"/>
      <w:numFmt w:val="decimal"/>
      <w:pStyle w:val="4"/>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4">
    <w:nsid w:val="66DDD653"/>
    <w:multiLevelType w:val="singleLevel"/>
    <w:tmpl w:val="66DDD653"/>
    <w:lvl w:ilvl="0" w:tentative="0">
      <w:start w:val="1"/>
      <w:numFmt w:val="chineseCounting"/>
      <w:suff w:val="space"/>
      <w:lvlText w:val="第%1章"/>
      <w:lvlJc w:val="left"/>
      <w:rPr>
        <w:rFonts w:hint="eastAsia"/>
      </w:rPr>
    </w:lvl>
  </w:abstractNum>
  <w:abstractNum w:abstractNumId="5">
    <w:nsid w:val="678CFB24"/>
    <w:multiLevelType w:val="singleLevel"/>
    <w:tmpl w:val="678CFB24"/>
    <w:lvl w:ilvl="0" w:tentative="0">
      <w:start w:val="1"/>
      <w:numFmt w:val="chineseCounting"/>
      <w:suff w:val="nothing"/>
      <w:lvlText w:val="%1、"/>
      <w:lvlJc w:val="left"/>
      <w:rPr>
        <w:rFonts w:hint="eastAsia"/>
      </w:r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kNzUyMWQ0MmFiMTRmMjRhZDk1NTc2MWJlMWI1MWMifQ=="/>
  </w:docVars>
  <w:rsids>
    <w:rsidRoot w:val="685F2B0C"/>
    <w:rsid w:val="00030D77"/>
    <w:rsid w:val="00071BA1"/>
    <w:rsid w:val="000A2B60"/>
    <w:rsid w:val="001146EF"/>
    <w:rsid w:val="00165EE9"/>
    <w:rsid w:val="00186236"/>
    <w:rsid w:val="00291503"/>
    <w:rsid w:val="00315916"/>
    <w:rsid w:val="0049548B"/>
    <w:rsid w:val="005D0DD1"/>
    <w:rsid w:val="00667357"/>
    <w:rsid w:val="006D5C96"/>
    <w:rsid w:val="007477AD"/>
    <w:rsid w:val="008248FA"/>
    <w:rsid w:val="00905DA1"/>
    <w:rsid w:val="00987EDA"/>
    <w:rsid w:val="009D46C4"/>
    <w:rsid w:val="009D6A9E"/>
    <w:rsid w:val="00A85AC9"/>
    <w:rsid w:val="00A921FD"/>
    <w:rsid w:val="00AB072A"/>
    <w:rsid w:val="00AB49B7"/>
    <w:rsid w:val="00C061A0"/>
    <w:rsid w:val="00C50B60"/>
    <w:rsid w:val="00C52A0D"/>
    <w:rsid w:val="00CA2C6C"/>
    <w:rsid w:val="00D0009A"/>
    <w:rsid w:val="00D14AD5"/>
    <w:rsid w:val="00D325EC"/>
    <w:rsid w:val="00D40771"/>
    <w:rsid w:val="00D81728"/>
    <w:rsid w:val="00DB1553"/>
    <w:rsid w:val="00E42018"/>
    <w:rsid w:val="00FC1E7F"/>
    <w:rsid w:val="00FF7A94"/>
    <w:rsid w:val="010742D5"/>
    <w:rsid w:val="010F7B98"/>
    <w:rsid w:val="01270A4D"/>
    <w:rsid w:val="01851778"/>
    <w:rsid w:val="01A729ED"/>
    <w:rsid w:val="01AE11E6"/>
    <w:rsid w:val="01B729F0"/>
    <w:rsid w:val="01E96BCD"/>
    <w:rsid w:val="01F53A09"/>
    <w:rsid w:val="02222883"/>
    <w:rsid w:val="025B31E2"/>
    <w:rsid w:val="02A01370"/>
    <w:rsid w:val="02C62BA9"/>
    <w:rsid w:val="02EA7AB7"/>
    <w:rsid w:val="030A7540"/>
    <w:rsid w:val="034C79A8"/>
    <w:rsid w:val="035E327D"/>
    <w:rsid w:val="03624C71"/>
    <w:rsid w:val="037171B2"/>
    <w:rsid w:val="03723D7D"/>
    <w:rsid w:val="03A55E37"/>
    <w:rsid w:val="04071573"/>
    <w:rsid w:val="04357EE7"/>
    <w:rsid w:val="043E0AAC"/>
    <w:rsid w:val="044F2C90"/>
    <w:rsid w:val="04604D98"/>
    <w:rsid w:val="04762FE4"/>
    <w:rsid w:val="048361AE"/>
    <w:rsid w:val="048962DE"/>
    <w:rsid w:val="04C403D8"/>
    <w:rsid w:val="04DA625A"/>
    <w:rsid w:val="04EF476C"/>
    <w:rsid w:val="0528054A"/>
    <w:rsid w:val="05287815"/>
    <w:rsid w:val="052D2D41"/>
    <w:rsid w:val="0538232A"/>
    <w:rsid w:val="0552233D"/>
    <w:rsid w:val="05782C43"/>
    <w:rsid w:val="05903056"/>
    <w:rsid w:val="05B01B1D"/>
    <w:rsid w:val="05E17C80"/>
    <w:rsid w:val="05E55725"/>
    <w:rsid w:val="05E5760D"/>
    <w:rsid w:val="06066F04"/>
    <w:rsid w:val="0639353C"/>
    <w:rsid w:val="06474E34"/>
    <w:rsid w:val="06484055"/>
    <w:rsid w:val="065949DD"/>
    <w:rsid w:val="06653EC4"/>
    <w:rsid w:val="0699402C"/>
    <w:rsid w:val="069C64C8"/>
    <w:rsid w:val="06A0112C"/>
    <w:rsid w:val="06A81BEC"/>
    <w:rsid w:val="06BF0E79"/>
    <w:rsid w:val="06DC60DB"/>
    <w:rsid w:val="06F44F8B"/>
    <w:rsid w:val="06F84851"/>
    <w:rsid w:val="06FB0045"/>
    <w:rsid w:val="077B362D"/>
    <w:rsid w:val="079A6E72"/>
    <w:rsid w:val="079F3EE7"/>
    <w:rsid w:val="07AA1AB7"/>
    <w:rsid w:val="07DF5164"/>
    <w:rsid w:val="07E50580"/>
    <w:rsid w:val="07EE133F"/>
    <w:rsid w:val="08065B86"/>
    <w:rsid w:val="08274ACF"/>
    <w:rsid w:val="08310251"/>
    <w:rsid w:val="084703F0"/>
    <w:rsid w:val="08696EDC"/>
    <w:rsid w:val="08705B4A"/>
    <w:rsid w:val="087A7753"/>
    <w:rsid w:val="08814CE3"/>
    <w:rsid w:val="08884C10"/>
    <w:rsid w:val="08986544"/>
    <w:rsid w:val="08A63C68"/>
    <w:rsid w:val="08BB6846"/>
    <w:rsid w:val="08D55A74"/>
    <w:rsid w:val="08DC3175"/>
    <w:rsid w:val="08E052CE"/>
    <w:rsid w:val="08FD3C48"/>
    <w:rsid w:val="09161D47"/>
    <w:rsid w:val="09356747"/>
    <w:rsid w:val="093D3ABC"/>
    <w:rsid w:val="09CE19BC"/>
    <w:rsid w:val="09E70A54"/>
    <w:rsid w:val="09E84CCD"/>
    <w:rsid w:val="0A051115"/>
    <w:rsid w:val="0A3A5C5D"/>
    <w:rsid w:val="0A75344B"/>
    <w:rsid w:val="0A8528D5"/>
    <w:rsid w:val="0A8A0A3A"/>
    <w:rsid w:val="0AB52BD8"/>
    <w:rsid w:val="0AD56F1F"/>
    <w:rsid w:val="0AEA3C8C"/>
    <w:rsid w:val="0B1E0CF0"/>
    <w:rsid w:val="0B1E2894"/>
    <w:rsid w:val="0B3A637F"/>
    <w:rsid w:val="0B8E22F8"/>
    <w:rsid w:val="0BCE1370"/>
    <w:rsid w:val="0BCF240A"/>
    <w:rsid w:val="0BD84E5C"/>
    <w:rsid w:val="0BE34CD8"/>
    <w:rsid w:val="0BE83010"/>
    <w:rsid w:val="0BF47D4E"/>
    <w:rsid w:val="0BF86799"/>
    <w:rsid w:val="0C377F1F"/>
    <w:rsid w:val="0C516743"/>
    <w:rsid w:val="0C5D1BDB"/>
    <w:rsid w:val="0C7E2237"/>
    <w:rsid w:val="0CA34118"/>
    <w:rsid w:val="0CA758F8"/>
    <w:rsid w:val="0CCD457A"/>
    <w:rsid w:val="0CED2959"/>
    <w:rsid w:val="0CEF3BF8"/>
    <w:rsid w:val="0D000761"/>
    <w:rsid w:val="0D3F7F2E"/>
    <w:rsid w:val="0D6344EC"/>
    <w:rsid w:val="0D705EC6"/>
    <w:rsid w:val="0D7446FA"/>
    <w:rsid w:val="0D870C14"/>
    <w:rsid w:val="0DAF1ED7"/>
    <w:rsid w:val="0DB14507"/>
    <w:rsid w:val="0DB757B9"/>
    <w:rsid w:val="0DE545F3"/>
    <w:rsid w:val="0DE7555E"/>
    <w:rsid w:val="0E0316BF"/>
    <w:rsid w:val="0E072513"/>
    <w:rsid w:val="0E3E2C68"/>
    <w:rsid w:val="0F0D0D2C"/>
    <w:rsid w:val="0F385060"/>
    <w:rsid w:val="0F58781F"/>
    <w:rsid w:val="0F5D7625"/>
    <w:rsid w:val="0F6147A2"/>
    <w:rsid w:val="0F86061B"/>
    <w:rsid w:val="0FC27645"/>
    <w:rsid w:val="0FD4645C"/>
    <w:rsid w:val="1007199F"/>
    <w:rsid w:val="101A3630"/>
    <w:rsid w:val="102C199B"/>
    <w:rsid w:val="105576A8"/>
    <w:rsid w:val="10BE1B05"/>
    <w:rsid w:val="10C64B9C"/>
    <w:rsid w:val="10CB7C05"/>
    <w:rsid w:val="10CF3933"/>
    <w:rsid w:val="10D02934"/>
    <w:rsid w:val="10FD1FE7"/>
    <w:rsid w:val="11344EBE"/>
    <w:rsid w:val="115B5C4F"/>
    <w:rsid w:val="117C20D6"/>
    <w:rsid w:val="117E779A"/>
    <w:rsid w:val="118A244C"/>
    <w:rsid w:val="11A2124C"/>
    <w:rsid w:val="11C20C82"/>
    <w:rsid w:val="11C8536C"/>
    <w:rsid w:val="11D0460B"/>
    <w:rsid w:val="11DE5C79"/>
    <w:rsid w:val="12101447"/>
    <w:rsid w:val="12215961"/>
    <w:rsid w:val="125F1817"/>
    <w:rsid w:val="128D04EC"/>
    <w:rsid w:val="12AA2320"/>
    <w:rsid w:val="12DB53B1"/>
    <w:rsid w:val="12E81B94"/>
    <w:rsid w:val="13257C63"/>
    <w:rsid w:val="133707C2"/>
    <w:rsid w:val="13441C72"/>
    <w:rsid w:val="134C77A5"/>
    <w:rsid w:val="13731B39"/>
    <w:rsid w:val="13732205"/>
    <w:rsid w:val="137F0CE3"/>
    <w:rsid w:val="13C30E6E"/>
    <w:rsid w:val="141A243B"/>
    <w:rsid w:val="141B13D5"/>
    <w:rsid w:val="141C741E"/>
    <w:rsid w:val="14234B06"/>
    <w:rsid w:val="14357B63"/>
    <w:rsid w:val="149D3DC9"/>
    <w:rsid w:val="149E1778"/>
    <w:rsid w:val="14AD4839"/>
    <w:rsid w:val="14EA3450"/>
    <w:rsid w:val="14F767B6"/>
    <w:rsid w:val="14F905C9"/>
    <w:rsid w:val="150F22F6"/>
    <w:rsid w:val="15287486"/>
    <w:rsid w:val="15840A84"/>
    <w:rsid w:val="15AF033B"/>
    <w:rsid w:val="15C012BB"/>
    <w:rsid w:val="16031113"/>
    <w:rsid w:val="160C1329"/>
    <w:rsid w:val="16332D75"/>
    <w:rsid w:val="16502A53"/>
    <w:rsid w:val="165E2C59"/>
    <w:rsid w:val="16725D01"/>
    <w:rsid w:val="16777B9F"/>
    <w:rsid w:val="168F227C"/>
    <w:rsid w:val="169970AE"/>
    <w:rsid w:val="169A575C"/>
    <w:rsid w:val="16AD5C51"/>
    <w:rsid w:val="16C11894"/>
    <w:rsid w:val="16C377D3"/>
    <w:rsid w:val="171F0861"/>
    <w:rsid w:val="1731374B"/>
    <w:rsid w:val="17362D17"/>
    <w:rsid w:val="173B1F0E"/>
    <w:rsid w:val="173D243C"/>
    <w:rsid w:val="17534ECF"/>
    <w:rsid w:val="17DC7BF0"/>
    <w:rsid w:val="180053F0"/>
    <w:rsid w:val="181011F1"/>
    <w:rsid w:val="185F5F75"/>
    <w:rsid w:val="188227EF"/>
    <w:rsid w:val="189220EE"/>
    <w:rsid w:val="189E4B47"/>
    <w:rsid w:val="18E36CFC"/>
    <w:rsid w:val="19000C71"/>
    <w:rsid w:val="192A06DB"/>
    <w:rsid w:val="193028F8"/>
    <w:rsid w:val="19800DAF"/>
    <w:rsid w:val="198218DD"/>
    <w:rsid w:val="198D1B84"/>
    <w:rsid w:val="198E4D52"/>
    <w:rsid w:val="19923F06"/>
    <w:rsid w:val="19AF2729"/>
    <w:rsid w:val="19D63D8A"/>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A478A7"/>
    <w:rsid w:val="1ACE692C"/>
    <w:rsid w:val="1AE33064"/>
    <w:rsid w:val="1AF357C2"/>
    <w:rsid w:val="1B3B15AA"/>
    <w:rsid w:val="1B6A3FBF"/>
    <w:rsid w:val="1B7463B3"/>
    <w:rsid w:val="1B8C6B7B"/>
    <w:rsid w:val="1B8E24A7"/>
    <w:rsid w:val="1B9A7611"/>
    <w:rsid w:val="1B9E29B4"/>
    <w:rsid w:val="1BBF65FB"/>
    <w:rsid w:val="1BC2281C"/>
    <w:rsid w:val="1BD92703"/>
    <w:rsid w:val="1BF657FB"/>
    <w:rsid w:val="1C374515"/>
    <w:rsid w:val="1C4235A6"/>
    <w:rsid w:val="1C4F222F"/>
    <w:rsid w:val="1CA86A15"/>
    <w:rsid w:val="1CBB4247"/>
    <w:rsid w:val="1CFA7EEF"/>
    <w:rsid w:val="1CFB1146"/>
    <w:rsid w:val="1D1338EC"/>
    <w:rsid w:val="1D37062D"/>
    <w:rsid w:val="1D3B199E"/>
    <w:rsid w:val="1D5B6D2E"/>
    <w:rsid w:val="1DC84F72"/>
    <w:rsid w:val="1DEC270F"/>
    <w:rsid w:val="1DF10281"/>
    <w:rsid w:val="1E0672A1"/>
    <w:rsid w:val="1E0D3D46"/>
    <w:rsid w:val="1E331E3B"/>
    <w:rsid w:val="1E370C0B"/>
    <w:rsid w:val="1E4E212D"/>
    <w:rsid w:val="1E561B49"/>
    <w:rsid w:val="1E5A2895"/>
    <w:rsid w:val="1E5B5B74"/>
    <w:rsid w:val="1E847B39"/>
    <w:rsid w:val="1E860C88"/>
    <w:rsid w:val="1EAD27E8"/>
    <w:rsid w:val="1ECC1DF5"/>
    <w:rsid w:val="1ED462A6"/>
    <w:rsid w:val="1ED734FA"/>
    <w:rsid w:val="1EDB21B2"/>
    <w:rsid w:val="1EE21D29"/>
    <w:rsid w:val="1EE72005"/>
    <w:rsid w:val="1F2F246F"/>
    <w:rsid w:val="1F3E1D5D"/>
    <w:rsid w:val="1F6E3177"/>
    <w:rsid w:val="1F6F04BA"/>
    <w:rsid w:val="1F8129BD"/>
    <w:rsid w:val="1FE12CAC"/>
    <w:rsid w:val="20027E74"/>
    <w:rsid w:val="2024650C"/>
    <w:rsid w:val="204663FA"/>
    <w:rsid w:val="20624FA2"/>
    <w:rsid w:val="206A1137"/>
    <w:rsid w:val="20835E3C"/>
    <w:rsid w:val="20AA1825"/>
    <w:rsid w:val="20BB1EB1"/>
    <w:rsid w:val="21144C23"/>
    <w:rsid w:val="212A75E7"/>
    <w:rsid w:val="21593740"/>
    <w:rsid w:val="215C6880"/>
    <w:rsid w:val="2163612C"/>
    <w:rsid w:val="217039C6"/>
    <w:rsid w:val="21754AF5"/>
    <w:rsid w:val="217E7700"/>
    <w:rsid w:val="218158E0"/>
    <w:rsid w:val="218F0080"/>
    <w:rsid w:val="21A85652"/>
    <w:rsid w:val="21BA53F5"/>
    <w:rsid w:val="220B781D"/>
    <w:rsid w:val="2220525E"/>
    <w:rsid w:val="224449F5"/>
    <w:rsid w:val="225D16C1"/>
    <w:rsid w:val="2266010D"/>
    <w:rsid w:val="226E674C"/>
    <w:rsid w:val="22712A0D"/>
    <w:rsid w:val="22734646"/>
    <w:rsid w:val="22B609EC"/>
    <w:rsid w:val="22C23296"/>
    <w:rsid w:val="22CF4727"/>
    <w:rsid w:val="22E35CB6"/>
    <w:rsid w:val="23280561"/>
    <w:rsid w:val="2330019D"/>
    <w:rsid w:val="235E2799"/>
    <w:rsid w:val="23666663"/>
    <w:rsid w:val="23693289"/>
    <w:rsid w:val="23795972"/>
    <w:rsid w:val="239147E1"/>
    <w:rsid w:val="23BB34F7"/>
    <w:rsid w:val="23CB333E"/>
    <w:rsid w:val="23F91B39"/>
    <w:rsid w:val="242E5E97"/>
    <w:rsid w:val="243A5F83"/>
    <w:rsid w:val="244702BD"/>
    <w:rsid w:val="247E0687"/>
    <w:rsid w:val="24A20628"/>
    <w:rsid w:val="24B45D14"/>
    <w:rsid w:val="24E137D5"/>
    <w:rsid w:val="24FE0E05"/>
    <w:rsid w:val="25171BA0"/>
    <w:rsid w:val="251B18C1"/>
    <w:rsid w:val="25222461"/>
    <w:rsid w:val="25501E67"/>
    <w:rsid w:val="25524FA6"/>
    <w:rsid w:val="25532EC3"/>
    <w:rsid w:val="25925077"/>
    <w:rsid w:val="25AF3989"/>
    <w:rsid w:val="25B24E51"/>
    <w:rsid w:val="25C73339"/>
    <w:rsid w:val="25C86149"/>
    <w:rsid w:val="25D62822"/>
    <w:rsid w:val="25F16B68"/>
    <w:rsid w:val="260663DB"/>
    <w:rsid w:val="26546373"/>
    <w:rsid w:val="26841C6E"/>
    <w:rsid w:val="26934343"/>
    <w:rsid w:val="26B424FB"/>
    <w:rsid w:val="26B73D93"/>
    <w:rsid w:val="26E62133"/>
    <w:rsid w:val="27782B78"/>
    <w:rsid w:val="277F68D2"/>
    <w:rsid w:val="27870FB2"/>
    <w:rsid w:val="278F0AAA"/>
    <w:rsid w:val="27B84345"/>
    <w:rsid w:val="27CB7A47"/>
    <w:rsid w:val="27CF31D6"/>
    <w:rsid w:val="27E53B63"/>
    <w:rsid w:val="27F52A10"/>
    <w:rsid w:val="280E4470"/>
    <w:rsid w:val="283E405F"/>
    <w:rsid w:val="28D9203E"/>
    <w:rsid w:val="295E1181"/>
    <w:rsid w:val="298330BD"/>
    <w:rsid w:val="29B00B02"/>
    <w:rsid w:val="29B661A7"/>
    <w:rsid w:val="29DB1483"/>
    <w:rsid w:val="29DC3277"/>
    <w:rsid w:val="29FA460F"/>
    <w:rsid w:val="2A0B6D48"/>
    <w:rsid w:val="2A397DF9"/>
    <w:rsid w:val="2A7C5019"/>
    <w:rsid w:val="2A8E3410"/>
    <w:rsid w:val="2AC017A8"/>
    <w:rsid w:val="2B127E2F"/>
    <w:rsid w:val="2B3677A4"/>
    <w:rsid w:val="2B7F5D7B"/>
    <w:rsid w:val="2B8359FF"/>
    <w:rsid w:val="2B9073EB"/>
    <w:rsid w:val="2BAD682D"/>
    <w:rsid w:val="2BC41873"/>
    <w:rsid w:val="2BEE5A9C"/>
    <w:rsid w:val="2C6B41B7"/>
    <w:rsid w:val="2CAF7AE9"/>
    <w:rsid w:val="2CB550EC"/>
    <w:rsid w:val="2CF947D9"/>
    <w:rsid w:val="2CFA06CC"/>
    <w:rsid w:val="2D3F090C"/>
    <w:rsid w:val="2D473273"/>
    <w:rsid w:val="2D8167C0"/>
    <w:rsid w:val="2D9C1D44"/>
    <w:rsid w:val="2DAB174B"/>
    <w:rsid w:val="2DAC3053"/>
    <w:rsid w:val="2DB40F04"/>
    <w:rsid w:val="2DB55317"/>
    <w:rsid w:val="2DD04A2C"/>
    <w:rsid w:val="2E073EDF"/>
    <w:rsid w:val="2E1A2D69"/>
    <w:rsid w:val="2E1C2312"/>
    <w:rsid w:val="2E617376"/>
    <w:rsid w:val="2ED13170"/>
    <w:rsid w:val="2F011E82"/>
    <w:rsid w:val="2F415E64"/>
    <w:rsid w:val="2F60404A"/>
    <w:rsid w:val="2F6858EF"/>
    <w:rsid w:val="2F7674B4"/>
    <w:rsid w:val="2FC51659"/>
    <w:rsid w:val="2FCB2DE8"/>
    <w:rsid w:val="30082C17"/>
    <w:rsid w:val="30157551"/>
    <w:rsid w:val="301A6B35"/>
    <w:rsid w:val="30385048"/>
    <w:rsid w:val="30400DE6"/>
    <w:rsid w:val="3046030C"/>
    <w:rsid w:val="30577166"/>
    <w:rsid w:val="30A8450A"/>
    <w:rsid w:val="30B147B2"/>
    <w:rsid w:val="30C96DE4"/>
    <w:rsid w:val="30FE64F4"/>
    <w:rsid w:val="310D00D7"/>
    <w:rsid w:val="314A5A0E"/>
    <w:rsid w:val="31682139"/>
    <w:rsid w:val="319957F6"/>
    <w:rsid w:val="31C036D0"/>
    <w:rsid w:val="31C90302"/>
    <w:rsid w:val="31D953B1"/>
    <w:rsid w:val="31EB72EA"/>
    <w:rsid w:val="31EC1741"/>
    <w:rsid w:val="31EF6CF0"/>
    <w:rsid w:val="31F7619B"/>
    <w:rsid w:val="321F0CAE"/>
    <w:rsid w:val="321F3505"/>
    <w:rsid w:val="322B0318"/>
    <w:rsid w:val="32494369"/>
    <w:rsid w:val="324C0B81"/>
    <w:rsid w:val="32517D1E"/>
    <w:rsid w:val="329B0438"/>
    <w:rsid w:val="32B63AAA"/>
    <w:rsid w:val="33091096"/>
    <w:rsid w:val="33232830"/>
    <w:rsid w:val="332A781B"/>
    <w:rsid w:val="3341533E"/>
    <w:rsid w:val="33843CA1"/>
    <w:rsid w:val="344D764F"/>
    <w:rsid w:val="34690455"/>
    <w:rsid w:val="34AA1765"/>
    <w:rsid w:val="34D7618A"/>
    <w:rsid w:val="34FE589B"/>
    <w:rsid w:val="3529493E"/>
    <w:rsid w:val="35330B48"/>
    <w:rsid w:val="353B29E7"/>
    <w:rsid w:val="354D2DD9"/>
    <w:rsid w:val="355D4407"/>
    <w:rsid w:val="3562042D"/>
    <w:rsid w:val="35850AE6"/>
    <w:rsid w:val="35A74497"/>
    <w:rsid w:val="35A74E2B"/>
    <w:rsid w:val="35A94199"/>
    <w:rsid w:val="35B05630"/>
    <w:rsid w:val="35C33EC5"/>
    <w:rsid w:val="35C81BD5"/>
    <w:rsid w:val="35CF6801"/>
    <w:rsid w:val="35DE1818"/>
    <w:rsid w:val="35ED404E"/>
    <w:rsid w:val="36243C2B"/>
    <w:rsid w:val="36475152"/>
    <w:rsid w:val="365674EF"/>
    <w:rsid w:val="366E5884"/>
    <w:rsid w:val="367134DE"/>
    <w:rsid w:val="36787E34"/>
    <w:rsid w:val="3692435D"/>
    <w:rsid w:val="36FC06E4"/>
    <w:rsid w:val="370B0055"/>
    <w:rsid w:val="374976F8"/>
    <w:rsid w:val="37533A9C"/>
    <w:rsid w:val="37821544"/>
    <w:rsid w:val="3787676D"/>
    <w:rsid w:val="37953793"/>
    <w:rsid w:val="37A3701E"/>
    <w:rsid w:val="37A53093"/>
    <w:rsid w:val="37E702EC"/>
    <w:rsid w:val="384B7C9B"/>
    <w:rsid w:val="38727414"/>
    <w:rsid w:val="38AF4648"/>
    <w:rsid w:val="38B3392D"/>
    <w:rsid w:val="38B37C06"/>
    <w:rsid w:val="38E50A97"/>
    <w:rsid w:val="391E370A"/>
    <w:rsid w:val="392F5095"/>
    <w:rsid w:val="393C7ED6"/>
    <w:rsid w:val="39465433"/>
    <w:rsid w:val="39581B4E"/>
    <w:rsid w:val="395B6912"/>
    <w:rsid w:val="396271DB"/>
    <w:rsid w:val="39A56F77"/>
    <w:rsid w:val="39BE4A11"/>
    <w:rsid w:val="3A27520A"/>
    <w:rsid w:val="3A3F6C87"/>
    <w:rsid w:val="3A465FD4"/>
    <w:rsid w:val="3A956A72"/>
    <w:rsid w:val="3AD70862"/>
    <w:rsid w:val="3AE76311"/>
    <w:rsid w:val="3B1109C9"/>
    <w:rsid w:val="3B2552D7"/>
    <w:rsid w:val="3B3F7D03"/>
    <w:rsid w:val="3B970D6B"/>
    <w:rsid w:val="3BE51125"/>
    <w:rsid w:val="3BE90506"/>
    <w:rsid w:val="3BEB6832"/>
    <w:rsid w:val="3BF178CC"/>
    <w:rsid w:val="3BFA2E9E"/>
    <w:rsid w:val="3C40766B"/>
    <w:rsid w:val="3C476B61"/>
    <w:rsid w:val="3C583A62"/>
    <w:rsid w:val="3C813EBD"/>
    <w:rsid w:val="3C925C0E"/>
    <w:rsid w:val="3C9B371A"/>
    <w:rsid w:val="3CA24375"/>
    <w:rsid w:val="3CB702EA"/>
    <w:rsid w:val="3CBD35C8"/>
    <w:rsid w:val="3CC24029"/>
    <w:rsid w:val="3CCF0F73"/>
    <w:rsid w:val="3CE437F4"/>
    <w:rsid w:val="3D386985"/>
    <w:rsid w:val="3D3906B1"/>
    <w:rsid w:val="3D4E063C"/>
    <w:rsid w:val="3D584E9B"/>
    <w:rsid w:val="3D880E45"/>
    <w:rsid w:val="3D9C69C1"/>
    <w:rsid w:val="3DA0424A"/>
    <w:rsid w:val="3DA419D7"/>
    <w:rsid w:val="3DDA6370"/>
    <w:rsid w:val="3DDD2C1B"/>
    <w:rsid w:val="3DFF5060"/>
    <w:rsid w:val="3E136870"/>
    <w:rsid w:val="3E5D5F3B"/>
    <w:rsid w:val="3E615282"/>
    <w:rsid w:val="3E8429B9"/>
    <w:rsid w:val="3E886F46"/>
    <w:rsid w:val="3EBE7D18"/>
    <w:rsid w:val="3ECC547A"/>
    <w:rsid w:val="3EE01AD6"/>
    <w:rsid w:val="3F1A1718"/>
    <w:rsid w:val="3F3D6284"/>
    <w:rsid w:val="3F4E5041"/>
    <w:rsid w:val="3F506818"/>
    <w:rsid w:val="3FA26972"/>
    <w:rsid w:val="3FE36C1C"/>
    <w:rsid w:val="3FEB19D5"/>
    <w:rsid w:val="3FF15ABF"/>
    <w:rsid w:val="40340044"/>
    <w:rsid w:val="40661E5E"/>
    <w:rsid w:val="406E45AD"/>
    <w:rsid w:val="407C0CAD"/>
    <w:rsid w:val="40924D64"/>
    <w:rsid w:val="40963A57"/>
    <w:rsid w:val="40C51892"/>
    <w:rsid w:val="40D16C5D"/>
    <w:rsid w:val="410A3110"/>
    <w:rsid w:val="41310CA2"/>
    <w:rsid w:val="4148771D"/>
    <w:rsid w:val="417E2272"/>
    <w:rsid w:val="41893506"/>
    <w:rsid w:val="419915A4"/>
    <w:rsid w:val="41A82FD1"/>
    <w:rsid w:val="41C35995"/>
    <w:rsid w:val="41CF7D38"/>
    <w:rsid w:val="41FC4A89"/>
    <w:rsid w:val="420F1D94"/>
    <w:rsid w:val="422C362E"/>
    <w:rsid w:val="423E5ED2"/>
    <w:rsid w:val="424441F1"/>
    <w:rsid w:val="425E0F00"/>
    <w:rsid w:val="426D5149"/>
    <w:rsid w:val="427E3E3A"/>
    <w:rsid w:val="428917B7"/>
    <w:rsid w:val="42F1595A"/>
    <w:rsid w:val="430B7DA4"/>
    <w:rsid w:val="430D4AC0"/>
    <w:rsid w:val="431E047F"/>
    <w:rsid w:val="431E65EF"/>
    <w:rsid w:val="435A4BBF"/>
    <w:rsid w:val="436A6565"/>
    <w:rsid w:val="437A019F"/>
    <w:rsid w:val="43891F34"/>
    <w:rsid w:val="43B21221"/>
    <w:rsid w:val="43C63987"/>
    <w:rsid w:val="43FB7AE7"/>
    <w:rsid w:val="4400649E"/>
    <w:rsid w:val="441426C6"/>
    <w:rsid w:val="441466E5"/>
    <w:rsid w:val="441E3A5B"/>
    <w:rsid w:val="4421734C"/>
    <w:rsid w:val="44437D45"/>
    <w:rsid w:val="44460A9F"/>
    <w:rsid w:val="4478624B"/>
    <w:rsid w:val="4493367B"/>
    <w:rsid w:val="44A72843"/>
    <w:rsid w:val="44AB74B4"/>
    <w:rsid w:val="44B2771E"/>
    <w:rsid w:val="44B8368E"/>
    <w:rsid w:val="452905F3"/>
    <w:rsid w:val="4531085A"/>
    <w:rsid w:val="456A35B3"/>
    <w:rsid w:val="45A45439"/>
    <w:rsid w:val="45CA7348"/>
    <w:rsid w:val="45CB72CE"/>
    <w:rsid w:val="461F4864"/>
    <w:rsid w:val="462B6DAB"/>
    <w:rsid w:val="463C600F"/>
    <w:rsid w:val="46977D08"/>
    <w:rsid w:val="469B5592"/>
    <w:rsid w:val="46A5400A"/>
    <w:rsid w:val="46C67C71"/>
    <w:rsid w:val="46DB6342"/>
    <w:rsid w:val="46F207EA"/>
    <w:rsid w:val="46F40267"/>
    <w:rsid w:val="46F87058"/>
    <w:rsid w:val="47283388"/>
    <w:rsid w:val="4750618B"/>
    <w:rsid w:val="477A20CD"/>
    <w:rsid w:val="47C35102"/>
    <w:rsid w:val="47C90408"/>
    <w:rsid w:val="47CA3491"/>
    <w:rsid w:val="47DE0285"/>
    <w:rsid w:val="47EA0372"/>
    <w:rsid w:val="47F14EBE"/>
    <w:rsid w:val="47F77566"/>
    <w:rsid w:val="48131737"/>
    <w:rsid w:val="481C1F20"/>
    <w:rsid w:val="482932B2"/>
    <w:rsid w:val="48353471"/>
    <w:rsid w:val="48452D6C"/>
    <w:rsid w:val="48490177"/>
    <w:rsid w:val="48734131"/>
    <w:rsid w:val="48801F0A"/>
    <w:rsid w:val="489C4879"/>
    <w:rsid w:val="489C7EA5"/>
    <w:rsid w:val="48C90878"/>
    <w:rsid w:val="49276E58"/>
    <w:rsid w:val="494B4338"/>
    <w:rsid w:val="497C5511"/>
    <w:rsid w:val="49B65DC9"/>
    <w:rsid w:val="4A131AB1"/>
    <w:rsid w:val="4A34760C"/>
    <w:rsid w:val="4A64259A"/>
    <w:rsid w:val="4AA4128B"/>
    <w:rsid w:val="4AAA7028"/>
    <w:rsid w:val="4AD50D4A"/>
    <w:rsid w:val="4ADC75C4"/>
    <w:rsid w:val="4B2977E3"/>
    <w:rsid w:val="4B3A3263"/>
    <w:rsid w:val="4B404F96"/>
    <w:rsid w:val="4B5F395F"/>
    <w:rsid w:val="4BB73A13"/>
    <w:rsid w:val="4BE22955"/>
    <w:rsid w:val="4C491FB6"/>
    <w:rsid w:val="4C60411D"/>
    <w:rsid w:val="4C9743B6"/>
    <w:rsid w:val="4CA56DBD"/>
    <w:rsid w:val="4CCD70EB"/>
    <w:rsid w:val="4CD15334"/>
    <w:rsid w:val="4CDC2AC2"/>
    <w:rsid w:val="4CEF194A"/>
    <w:rsid w:val="4D123D13"/>
    <w:rsid w:val="4D4473CA"/>
    <w:rsid w:val="4D594184"/>
    <w:rsid w:val="4D670A85"/>
    <w:rsid w:val="4D80617B"/>
    <w:rsid w:val="4D806473"/>
    <w:rsid w:val="4DB87F6B"/>
    <w:rsid w:val="4DC608A6"/>
    <w:rsid w:val="4DF85FC0"/>
    <w:rsid w:val="4E1074C8"/>
    <w:rsid w:val="4E2B1D2E"/>
    <w:rsid w:val="4E527CB0"/>
    <w:rsid w:val="4E6F1EF6"/>
    <w:rsid w:val="4E7B029B"/>
    <w:rsid w:val="4E9C2A45"/>
    <w:rsid w:val="4ECB07EA"/>
    <w:rsid w:val="4EDA18B9"/>
    <w:rsid w:val="4F216F20"/>
    <w:rsid w:val="4F573543"/>
    <w:rsid w:val="4F6D467A"/>
    <w:rsid w:val="4FED507D"/>
    <w:rsid w:val="4FFB62E9"/>
    <w:rsid w:val="501C4E89"/>
    <w:rsid w:val="502B325D"/>
    <w:rsid w:val="505A2797"/>
    <w:rsid w:val="505D795E"/>
    <w:rsid w:val="50630959"/>
    <w:rsid w:val="50DD3BA3"/>
    <w:rsid w:val="50E61CAB"/>
    <w:rsid w:val="50E8074E"/>
    <w:rsid w:val="5132754D"/>
    <w:rsid w:val="513564CC"/>
    <w:rsid w:val="51400391"/>
    <w:rsid w:val="514E3A09"/>
    <w:rsid w:val="517C3AF1"/>
    <w:rsid w:val="51915B3D"/>
    <w:rsid w:val="519F5121"/>
    <w:rsid w:val="51C02CE6"/>
    <w:rsid w:val="5229273F"/>
    <w:rsid w:val="52547228"/>
    <w:rsid w:val="529432E6"/>
    <w:rsid w:val="52A8026E"/>
    <w:rsid w:val="52EC7710"/>
    <w:rsid w:val="53024A44"/>
    <w:rsid w:val="532C197B"/>
    <w:rsid w:val="534C6115"/>
    <w:rsid w:val="53561F88"/>
    <w:rsid w:val="536B5C40"/>
    <w:rsid w:val="53BC34C4"/>
    <w:rsid w:val="53CE29B7"/>
    <w:rsid w:val="53E93F16"/>
    <w:rsid w:val="53F04BF7"/>
    <w:rsid w:val="540337E7"/>
    <w:rsid w:val="54142032"/>
    <w:rsid w:val="54143B82"/>
    <w:rsid w:val="54451376"/>
    <w:rsid w:val="54776BE8"/>
    <w:rsid w:val="547B2C44"/>
    <w:rsid w:val="547F7066"/>
    <w:rsid w:val="548C0083"/>
    <w:rsid w:val="548C2119"/>
    <w:rsid w:val="54BC10AE"/>
    <w:rsid w:val="54DE257B"/>
    <w:rsid w:val="54F82DE2"/>
    <w:rsid w:val="55091415"/>
    <w:rsid w:val="5533415E"/>
    <w:rsid w:val="553D5A1E"/>
    <w:rsid w:val="555B4C1C"/>
    <w:rsid w:val="55665E4B"/>
    <w:rsid w:val="557564F8"/>
    <w:rsid w:val="557C6AE7"/>
    <w:rsid w:val="55923320"/>
    <w:rsid w:val="55A0704C"/>
    <w:rsid w:val="55A923B9"/>
    <w:rsid w:val="55D37E92"/>
    <w:rsid w:val="55DD38ED"/>
    <w:rsid w:val="55E72D6A"/>
    <w:rsid w:val="561A3EA2"/>
    <w:rsid w:val="56434C8D"/>
    <w:rsid w:val="565F6E19"/>
    <w:rsid w:val="568A68D9"/>
    <w:rsid w:val="56A438D4"/>
    <w:rsid w:val="56BA5C7F"/>
    <w:rsid w:val="56D50ABF"/>
    <w:rsid w:val="56EA1F97"/>
    <w:rsid w:val="570F0FFB"/>
    <w:rsid w:val="574E065D"/>
    <w:rsid w:val="575B7C13"/>
    <w:rsid w:val="576E7E03"/>
    <w:rsid w:val="578A5B09"/>
    <w:rsid w:val="57AA49F3"/>
    <w:rsid w:val="57AA5D1A"/>
    <w:rsid w:val="57BE32DB"/>
    <w:rsid w:val="57D631F8"/>
    <w:rsid w:val="58082218"/>
    <w:rsid w:val="581028EA"/>
    <w:rsid w:val="58344161"/>
    <w:rsid w:val="585D0DF7"/>
    <w:rsid w:val="587316C8"/>
    <w:rsid w:val="58AD641D"/>
    <w:rsid w:val="58B420E4"/>
    <w:rsid w:val="58CB74D0"/>
    <w:rsid w:val="58F92391"/>
    <w:rsid w:val="59135C67"/>
    <w:rsid w:val="593C1329"/>
    <w:rsid w:val="595A34E9"/>
    <w:rsid w:val="595B7937"/>
    <w:rsid w:val="597C7365"/>
    <w:rsid w:val="597F7369"/>
    <w:rsid w:val="59997155"/>
    <w:rsid w:val="59A2414B"/>
    <w:rsid w:val="59DA45A1"/>
    <w:rsid w:val="59FE08FA"/>
    <w:rsid w:val="5A060D86"/>
    <w:rsid w:val="5A886394"/>
    <w:rsid w:val="5A9F6060"/>
    <w:rsid w:val="5ABC1175"/>
    <w:rsid w:val="5ACF7403"/>
    <w:rsid w:val="5B46719F"/>
    <w:rsid w:val="5B737DCF"/>
    <w:rsid w:val="5BA33B46"/>
    <w:rsid w:val="5BA42A14"/>
    <w:rsid w:val="5BB47CCC"/>
    <w:rsid w:val="5BD05B9D"/>
    <w:rsid w:val="5BD343E6"/>
    <w:rsid w:val="5BE00F61"/>
    <w:rsid w:val="5BFB5206"/>
    <w:rsid w:val="5CB65A64"/>
    <w:rsid w:val="5CBB6CED"/>
    <w:rsid w:val="5CD26BB3"/>
    <w:rsid w:val="5CEB063E"/>
    <w:rsid w:val="5D0B0214"/>
    <w:rsid w:val="5D1A0A42"/>
    <w:rsid w:val="5D4F1710"/>
    <w:rsid w:val="5D71045F"/>
    <w:rsid w:val="5D740167"/>
    <w:rsid w:val="5D7B7702"/>
    <w:rsid w:val="5DA55EAC"/>
    <w:rsid w:val="5DAC626B"/>
    <w:rsid w:val="5DC133FE"/>
    <w:rsid w:val="5E146811"/>
    <w:rsid w:val="5E3F1ED0"/>
    <w:rsid w:val="5E4A015A"/>
    <w:rsid w:val="5E4E1E2F"/>
    <w:rsid w:val="5E5934D1"/>
    <w:rsid w:val="5E7E280E"/>
    <w:rsid w:val="5E926EEC"/>
    <w:rsid w:val="5EA343F9"/>
    <w:rsid w:val="5EFB3610"/>
    <w:rsid w:val="5F164D5E"/>
    <w:rsid w:val="5F2D2E3D"/>
    <w:rsid w:val="5F511649"/>
    <w:rsid w:val="5F741C71"/>
    <w:rsid w:val="5F884475"/>
    <w:rsid w:val="5F940261"/>
    <w:rsid w:val="5FAC17B4"/>
    <w:rsid w:val="5FBE713C"/>
    <w:rsid w:val="5FDA399F"/>
    <w:rsid w:val="5FFA79ED"/>
    <w:rsid w:val="60350249"/>
    <w:rsid w:val="606D0EF6"/>
    <w:rsid w:val="60806A99"/>
    <w:rsid w:val="60B442A8"/>
    <w:rsid w:val="60FD7810"/>
    <w:rsid w:val="61013040"/>
    <w:rsid w:val="610E310A"/>
    <w:rsid w:val="611C35B8"/>
    <w:rsid w:val="611D1C0E"/>
    <w:rsid w:val="61A25580"/>
    <w:rsid w:val="61AE7556"/>
    <w:rsid w:val="61C55F7F"/>
    <w:rsid w:val="61CA3612"/>
    <w:rsid w:val="61D41854"/>
    <w:rsid w:val="61F46458"/>
    <w:rsid w:val="62282B27"/>
    <w:rsid w:val="625A6442"/>
    <w:rsid w:val="62C31135"/>
    <w:rsid w:val="62C76106"/>
    <w:rsid w:val="62CC474C"/>
    <w:rsid w:val="62F365C5"/>
    <w:rsid w:val="637B0B27"/>
    <w:rsid w:val="63874046"/>
    <w:rsid w:val="638B4892"/>
    <w:rsid w:val="63BB45AD"/>
    <w:rsid w:val="63C73E6D"/>
    <w:rsid w:val="63DD4529"/>
    <w:rsid w:val="63FC0611"/>
    <w:rsid w:val="64010633"/>
    <w:rsid w:val="641222ED"/>
    <w:rsid w:val="642B5582"/>
    <w:rsid w:val="644878A5"/>
    <w:rsid w:val="64516BFF"/>
    <w:rsid w:val="64643953"/>
    <w:rsid w:val="64963CFA"/>
    <w:rsid w:val="64B31A3E"/>
    <w:rsid w:val="64BB7086"/>
    <w:rsid w:val="64D270BE"/>
    <w:rsid w:val="64DF720B"/>
    <w:rsid w:val="64FB2F8F"/>
    <w:rsid w:val="6502750F"/>
    <w:rsid w:val="655769D7"/>
    <w:rsid w:val="658C66C4"/>
    <w:rsid w:val="65B76CC0"/>
    <w:rsid w:val="65C86337"/>
    <w:rsid w:val="65DC6542"/>
    <w:rsid w:val="65FE3124"/>
    <w:rsid w:val="66475BEE"/>
    <w:rsid w:val="66921396"/>
    <w:rsid w:val="669A00A1"/>
    <w:rsid w:val="669A0A1D"/>
    <w:rsid w:val="66AD5F94"/>
    <w:rsid w:val="66C77EC3"/>
    <w:rsid w:val="66CD32EE"/>
    <w:rsid w:val="66EF31C1"/>
    <w:rsid w:val="67286643"/>
    <w:rsid w:val="67340A1D"/>
    <w:rsid w:val="67415D12"/>
    <w:rsid w:val="67645CC5"/>
    <w:rsid w:val="67787CAA"/>
    <w:rsid w:val="679D0438"/>
    <w:rsid w:val="679F14A6"/>
    <w:rsid w:val="67A7594A"/>
    <w:rsid w:val="67F71CAA"/>
    <w:rsid w:val="6833136E"/>
    <w:rsid w:val="68374646"/>
    <w:rsid w:val="683B1FA6"/>
    <w:rsid w:val="68494727"/>
    <w:rsid w:val="6851003F"/>
    <w:rsid w:val="68532F31"/>
    <w:rsid w:val="685F2B0C"/>
    <w:rsid w:val="686A5890"/>
    <w:rsid w:val="686E4CA0"/>
    <w:rsid w:val="6870598D"/>
    <w:rsid w:val="68CD56D6"/>
    <w:rsid w:val="68CE0878"/>
    <w:rsid w:val="68DF3F07"/>
    <w:rsid w:val="68E14DD2"/>
    <w:rsid w:val="68FF17F8"/>
    <w:rsid w:val="691F6273"/>
    <w:rsid w:val="6938799E"/>
    <w:rsid w:val="697221B5"/>
    <w:rsid w:val="69875626"/>
    <w:rsid w:val="69A773FE"/>
    <w:rsid w:val="69AC4EE2"/>
    <w:rsid w:val="69B15060"/>
    <w:rsid w:val="69B72806"/>
    <w:rsid w:val="69C21FC2"/>
    <w:rsid w:val="69CB7528"/>
    <w:rsid w:val="69CC031D"/>
    <w:rsid w:val="69CC5602"/>
    <w:rsid w:val="69DE1C53"/>
    <w:rsid w:val="69DF0F70"/>
    <w:rsid w:val="69F431E5"/>
    <w:rsid w:val="69FB05D9"/>
    <w:rsid w:val="6A21429B"/>
    <w:rsid w:val="6A317FEC"/>
    <w:rsid w:val="6A395739"/>
    <w:rsid w:val="6A5D1615"/>
    <w:rsid w:val="6A667351"/>
    <w:rsid w:val="6A690452"/>
    <w:rsid w:val="6AC86B5F"/>
    <w:rsid w:val="6AD5470C"/>
    <w:rsid w:val="6AEE6DE8"/>
    <w:rsid w:val="6AF1512E"/>
    <w:rsid w:val="6B372870"/>
    <w:rsid w:val="6B4C78DC"/>
    <w:rsid w:val="6B5F10CD"/>
    <w:rsid w:val="6B6D4BD4"/>
    <w:rsid w:val="6B736C65"/>
    <w:rsid w:val="6B884223"/>
    <w:rsid w:val="6BCC6A33"/>
    <w:rsid w:val="6BE94680"/>
    <w:rsid w:val="6C1648A2"/>
    <w:rsid w:val="6C2B5B56"/>
    <w:rsid w:val="6C405A24"/>
    <w:rsid w:val="6C4C1DDE"/>
    <w:rsid w:val="6C59363B"/>
    <w:rsid w:val="6C7360A2"/>
    <w:rsid w:val="6C98271E"/>
    <w:rsid w:val="6CB357D4"/>
    <w:rsid w:val="6CD6095A"/>
    <w:rsid w:val="6D09664F"/>
    <w:rsid w:val="6D1A3ED2"/>
    <w:rsid w:val="6D1C5D45"/>
    <w:rsid w:val="6D2052F1"/>
    <w:rsid w:val="6D2A1AE4"/>
    <w:rsid w:val="6D2C0363"/>
    <w:rsid w:val="6D420584"/>
    <w:rsid w:val="6D4556BC"/>
    <w:rsid w:val="6D7C6B86"/>
    <w:rsid w:val="6D886D51"/>
    <w:rsid w:val="6D910966"/>
    <w:rsid w:val="6D98425A"/>
    <w:rsid w:val="6D9C4CB2"/>
    <w:rsid w:val="6DAC52D8"/>
    <w:rsid w:val="6DCC4C0D"/>
    <w:rsid w:val="6DE52F24"/>
    <w:rsid w:val="6E0D5193"/>
    <w:rsid w:val="6E2B38B7"/>
    <w:rsid w:val="6E42100A"/>
    <w:rsid w:val="6E4341AC"/>
    <w:rsid w:val="6E9D5BDB"/>
    <w:rsid w:val="6F436F8F"/>
    <w:rsid w:val="6F4D5562"/>
    <w:rsid w:val="6F663712"/>
    <w:rsid w:val="6F6D69E8"/>
    <w:rsid w:val="6F8B29B5"/>
    <w:rsid w:val="6F9B0752"/>
    <w:rsid w:val="6FD156E3"/>
    <w:rsid w:val="6FED75FB"/>
    <w:rsid w:val="70041560"/>
    <w:rsid w:val="70201979"/>
    <w:rsid w:val="703467FC"/>
    <w:rsid w:val="7040732E"/>
    <w:rsid w:val="708141AA"/>
    <w:rsid w:val="7086364B"/>
    <w:rsid w:val="70A42103"/>
    <w:rsid w:val="710B27AB"/>
    <w:rsid w:val="712C6F85"/>
    <w:rsid w:val="71320E55"/>
    <w:rsid w:val="71321C7C"/>
    <w:rsid w:val="71340B64"/>
    <w:rsid w:val="714D7437"/>
    <w:rsid w:val="71546F0E"/>
    <w:rsid w:val="7170146E"/>
    <w:rsid w:val="717268C8"/>
    <w:rsid w:val="71802D0E"/>
    <w:rsid w:val="718F5890"/>
    <w:rsid w:val="719323BF"/>
    <w:rsid w:val="71956431"/>
    <w:rsid w:val="71BF5087"/>
    <w:rsid w:val="71C23C59"/>
    <w:rsid w:val="71C57971"/>
    <w:rsid w:val="71EC11CD"/>
    <w:rsid w:val="720506A4"/>
    <w:rsid w:val="72143E26"/>
    <w:rsid w:val="722B6EAC"/>
    <w:rsid w:val="722D1039"/>
    <w:rsid w:val="7235573F"/>
    <w:rsid w:val="723629FF"/>
    <w:rsid w:val="726C56B8"/>
    <w:rsid w:val="7288771C"/>
    <w:rsid w:val="728D4961"/>
    <w:rsid w:val="72911F34"/>
    <w:rsid w:val="729D380E"/>
    <w:rsid w:val="72A458E1"/>
    <w:rsid w:val="72CE592F"/>
    <w:rsid w:val="72F838AA"/>
    <w:rsid w:val="73134385"/>
    <w:rsid w:val="731726EC"/>
    <w:rsid w:val="73184FC6"/>
    <w:rsid w:val="73197AE0"/>
    <w:rsid w:val="73221860"/>
    <w:rsid w:val="7338174B"/>
    <w:rsid w:val="733A4EF6"/>
    <w:rsid w:val="733D0234"/>
    <w:rsid w:val="733E33D3"/>
    <w:rsid w:val="733F0360"/>
    <w:rsid w:val="73773239"/>
    <w:rsid w:val="73835DC4"/>
    <w:rsid w:val="73C761B5"/>
    <w:rsid w:val="73C97C37"/>
    <w:rsid w:val="73D872D7"/>
    <w:rsid w:val="73FA14E3"/>
    <w:rsid w:val="740A7F35"/>
    <w:rsid w:val="742D4CA1"/>
    <w:rsid w:val="74336AF3"/>
    <w:rsid w:val="74613585"/>
    <w:rsid w:val="747D3462"/>
    <w:rsid w:val="74812030"/>
    <w:rsid w:val="74886161"/>
    <w:rsid w:val="74A039B1"/>
    <w:rsid w:val="74E66F49"/>
    <w:rsid w:val="74EB245C"/>
    <w:rsid w:val="74FA7C7D"/>
    <w:rsid w:val="753C15BB"/>
    <w:rsid w:val="75585493"/>
    <w:rsid w:val="755E6626"/>
    <w:rsid w:val="75841DF5"/>
    <w:rsid w:val="7587088C"/>
    <w:rsid w:val="758C4CA2"/>
    <w:rsid w:val="75D40046"/>
    <w:rsid w:val="75D96E3B"/>
    <w:rsid w:val="75DC1EDD"/>
    <w:rsid w:val="762F29E5"/>
    <w:rsid w:val="764374F1"/>
    <w:rsid w:val="76944E76"/>
    <w:rsid w:val="769A26CA"/>
    <w:rsid w:val="76C34928"/>
    <w:rsid w:val="76D17FE1"/>
    <w:rsid w:val="76DF15B8"/>
    <w:rsid w:val="76EC1A4F"/>
    <w:rsid w:val="76FB601C"/>
    <w:rsid w:val="7708778F"/>
    <w:rsid w:val="770B7BD2"/>
    <w:rsid w:val="771075EC"/>
    <w:rsid w:val="778364BE"/>
    <w:rsid w:val="7799548D"/>
    <w:rsid w:val="77ED1FBE"/>
    <w:rsid w:val="781206F5"/>
    <w:rsid w:val="787764A6"/>
    <w:rsid w:val="78867CFB"/>
    <w:rsid w:val="78AE1EE3"/>
    <w:rsid w:val="78D06FA5"/>
    <w:rsid w:val="78F044C0"/>
    <w:rsid w:val="793D3D59"/>
    <w:rsid w:val="795F47C4"/>
    <w:rsid w:val="795F4B87"/>
    <w:rsid w:val="7964594B"/>
    <w:rsid w:val="799447B2"/>
    <w:rsid w:val="79993DEC"/>
    <w:rsid w:val="79CD1CC3"/>
    <w:rsid w:val="79D33A4B"/>
    <w:rsid w:val="79E02F00"/>
    <w:rsid w:val="79EA1578"/>
    <w:rsid w:val="79F9227E"/>
    <w:rsid w:val="7A03141B"/>
    <w:rsid w:val="7A1D4E07"/>
    <w:rsid w:val="7A2F68CB"/>
    <w:rsid w:val="7A532F6D"/>
    <w:rsid w:val="7A9E603E"/>
    <w:rsid w:val="7AA163B3"/>
    <w:rsid w:val="7AB01F3D"/>
    <w:rsid w:val="7ACE4950"/>
    <w:rsid w:val="7ADB04CF"/>
    <w:rsid w:val="7ADD1DF2"/>
    <w:rsid w:val="7AE7594A"/>
    <w:rsid w:val="7AFE0D18"/>
    <w:rsid w:val="7B2A08CC"/>
    <w:rsid w:val="7B392C1B"/>
    <w:rsid w:val="7B4B5341"/>
    <w:rsid w:val="7B5B1A0B"/>
    <w:rsid w:val="7B70050C"/>
    <w:rsid w:val="7B856E03"/>
    <w:rsid w:val="7BB31608"/>
    <w:rsid w:val="7BD95DD9"/>
    <w:rsid w:val="7BE50BC8"/>
    <w:rsid w:val="7BF9716D"/>
    <w:rsid w:val="7C077508"/>
    <w:rsid w:val="7C1F4334"/>
    <w:rsid w:val="7C42078B"/>
    <w:rsid w:val="7C5713BA"/>
    <w:rsid w:val="7C695398"/>
    <w:rsid w:val="7C6D2C5C"/>
    <w:rsid w:val="7C867073"/>
    <w:rsid w:val="7C8D2D58"/>
    <w:rsid w:val="7CA503F5"/>
    <w:rsid w:val="7CB302CB"/>
    <w:rsid w:val="7CCA1F6A"/>
    <w:rsid w:val="7D1948FD"/>
    <w:rsid w:val="7D2C6F9F"/>
    <w:rsid w:val="7D543264"/>
    <w:rsid w:val="7D544865"/>
    <w:rsid w:val="7D6D7156"/>
    <w:rsid w:val="7D7115AD"/>
    <w:rsid w:val="7DAE4568"/>
    <w:rsid w:val="7DC85A4E"/>
    <w:rsid w:val="7DF550BA"/>
    <w:rsid w:val="7E531FFF"/>
    <w:rsid w:val="7E5E764B"/>
    <w:rsid w:val="7ECB55B8"/>
    <w:rsid w:val="7EE626A2"/>
    <w:rsid w:val="7EEC63E7"/>
    <w:rsid w:val="7EF54C4F"/>
    <w:rsid w:val="7EFB3937"/>
    <w:rsid w:val="7F020EC4"/>
    <w:rsid w:val="7F381A2F"/>
    <w:rsid w:val="7F5957B0"/>
    <w:rsid w:val="7F9846AE"/>
    <w:rsid w:val="7F9A7F46"/>
    <w:rsid w:val="7FAD0277"/>
    <w:rsid w:val="7FB1127F"/>
    <w:rsid w:val="7FBD28C5"/>
    <w:rsid w:val="7FC50214"/>
    <w:rsid w:val="7FEF71EF"/>
    <w:rsid w:val="CEF67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5">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1"/>
    <w:qFormat/>
    <w:uiPriority w:val="0"/>
    <w:pPr>
      <w:spacing w:after="120"/>
      <w:ind w:left="420" w:leftChars="200"/>
    </w:pPr>
  </w:style>
  <w:style w:type="paragraph" w:styleId="7">
    <w:name w:val="List 3"/>
    <w:basedOn w:val="1"/>
    <w:qFormat/>
    <w:uiPriority w:val="0"/>
    <w:pPr>
      <w:ind w:left="100" w:leftChars="400" w:hanging="200" w:hangingChars="200"/>
    </w:pPr>
    <w:rPr>
      <w:rFonts w:ascii="Times New Roman" w:hAnsi="Times New Roman"/>
      <w:szCs w:val="20"/>
    </w:rPr>
  </w:style>
  <w:style w:type="paragraph" w:styleId="8">
    <w:name w:val="List Number"/>
    <w:basedOn w:val="1"/>
    <w:qFormat/>
    <w:uiPriority w:val="0"/>
    <w:pPr>
      <w:numPr>
        <w:ilvl w:val="0"/>
        <w:numId w:val="2"/>
      </w:numPr>
    </w:pPr>
  </w:style>
  <w:style w:type="paragraph" w:styleId="9">
    <w:name w:val="Normal Indent"/>
    <w:basedOn w:val="1"/>
    <w:qFormat/>
    <w:uiPriority w:val="0"/>
    <w:pPr>
      <w:ind w:firstLine="420"/>
    </w:pPr>
    <w:rPr>
      <w:szCs w:val="20"/>
    </w:rPr>
  </w:style>
  <w:style w:type="paragraph" w:styleId="10">
    <w:name w:val="annotation text"/>
    <w:basedOn w:val="1"/>
    <w:qFormat/>
    <w:uiPriority w:val="0"/>
    <w:pPr>
      <w:jc w:val="left"/>
    </w:pPr>
  </w:style>
  <w:style w:type="paragraph" w:styleId="11">
    <w:name w:val="Body Text"/>
    <w:basedOn w:val="1"/>
    <w:qFormat/>
    <w:uiPriority w:val="0"/>
    <w:pPr>
      <w:spacing w:line="360" w:lineRule="exact"/>
    </w:pPr>
    <w:rPr>
      <w:sz w:val="24"/>
    </w:rPr>
  </w:style>
  <w:style w:type="paragraph" w:styleId="12">
    <w:name w:val="Plain Text"/>
    <w:basedOn w:val="1"/>
    <w:next w:val="13"/>
    <w:qFormat/>
    <w:uiPriority w:val="0"/>
    <w:rPr>
      <w:rFonts w:ascii="宋体" w:hAnsi="Courier New" w:cstheme="minorBidi"/>
    </w:rPr>
  </w:style>
  <w:style w:type="paragraph" w:styleId="13">
    <w:name w:val="Date"/>
    <w:basedOn w:val="1"/>
    <w:next w:val="1"/>
    <w:qFormat/>
    <w:uiPriority w:val="0"/>
    <w:pPr>
      <w:ind w:left="2500" w:leftChars="2500"/>
    </w:pPr>
    <w:rPr>
      <w:rFonts w:eastAsia="楷体_GB2312" w:asciiTheme="minorHAnsi" w:hAnsiTheme="minorHAnsi" w:cstheme="minorBidi"/>
      <w:sz w:val="32"/>
      <w:szCs w:val="22"/>
    </w:rPr>
  </w:style>
  <w:style w:type="paragraph" w:styleId="14">
    <w:name w:val="Balloon Text"/>
    <w:basedOn w:val="1"/>
    <w:link w:val="49"/>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8">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9">
    <w:name w:val="Body Text First Indent"/>
    <w:basedOn w:val="1"/>
    <w:qFormat/>
    <w:uiPriority w:val="0"/>
    <w:pPr>
      <w:ind w:firstLine="200" w:firstLineChars="200"/>
    </w:pPr>
  </w:style>
  <w:style w:type="table" w:styleId="21">
    <w:name w:val="Table Grid"/>
    <w:basedOn w:val="20"/>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Hyperlink"/>
    <w:qFormat/>
    <w:uiPriority w:val="0"/>
    <w:rPr>
      <w:color w:val="0000FF"/>
      <w:u w:val="single"/>
    </w:rPr>
  </w:style>
  <w:style w:type="character" w:styleId="25">
    <w:name w:val="annotation reference"/>
    <w:basedOn w:val="22"/>
    <w:qFormat/>
    <w:uiPriority w:val="0"/>
    <w:rPr>
      <w:sz w:val="21"/>
      <w:szCs w:val="21"/>
    </w:rPr>
  </w:style>
  <w:style w:type="paragraph" w:customStyle="1" w:styleId="26">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27">
    <w:name w:val="List Paragraph"/>
    <w:basedOn w:val="1"/>
    <w:qFormat/>
    <w:uiPriority w:val="34"/>
    <w:pPr>
      <w:ind w:firstLine="420" w:firstLineChars="200"/>
    </w:pPr>
    <w:rPr>
      <w:rFonts w:ascii="Calibri" w:hAnsi="Calibri"/>
      <w:szCs w:val="22"/>
    </w:rPr>
  </w:style>
  <w:style w:type="paragraph" w:customStyle="1" w:styleId="28">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29">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1">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_14"/>
    <w:qFormat/>
    <w:uiPriority w:val="0"/>
    <w:rPr>
      <w:rFonts w:ascii="Times New Roman" w:hAnsi="Times New Roman" w:eastAsia="宋体" w:cs="Times New Roman"/>
      <w:sz w:val="21"/>
      <w:szCs w:val="22"/>
      <w:lang w:val="en-US" w:eastAsia="zh-CN" w:bidi="ar-SA"/>
    </w:rPr>
  </w:style>
  <w:style w:type="paragraph" w:customStyle="1" w:styleId="3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纯文本_3"/>
    <w:basedOn w:val="35"/>
    <w:qFormat/>
    <w:uiPriority w:val="0"/>
    <w:pPr>
      <w:widowControl/>
      <w:jc w:val="left"/>
    </w:pPr>
    <w:rPr>
      <w:rFonts w:ascii="宋体" w:hAnsi="Courier New" w:eastAsiaTheme="minorEastAsia" w:cstheme="minorBidi"/>
      <w:szCs w:val="21"/>
    </w:rPr>
  </w:style>
  <w:style w:type="paragraph" w:customStyle="1" w:styleId="37">
    <w:name w:val="纯文本_0_1"/>
    <w:basedOn w:val="1"/>
    <w:qFormat/>
    <w:uiPriority w:val="0"/>
    <w:pPr>
      <w:widowControl/>
      <w:jc w:val="left"/>
    </w:pPr>
    <w:rPr>
      <w:rFonts w:ascii="宋体" w:hAnsi="Courier New" w:eastAsiaTheme="minorEastAsia" w:cstheme="minorBidi"/>
      <w:szCs w:val="21"/>
    </w:rPr>
  </w:style>
  <w:style w:type="paragraph" w:customStyle="1" w:styleId="3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2">
    <w:name w:val="font21"/>
    <w:basedOn w:val="22"/>
    <w:qFormat/>
    <w:uiPriority w:val="0"/>
    <w:rPr>
      <w:rFonts w:hint="default" w:ascii="Arial" w:hAnsi="Arial" w:cs="Arial"/>
      <w:color w:val="000000"/>
      <w:sz w:val="20"/>
      <w:szCs w:val="20"/>
      <w:u w:val="none"/>
    </w:rPr>
  </w:style>
  <w:style w:type="character" w:customStyle="1" w:styleId="43">
    <w:name w:val="font01"/>
    <w:basedOn w:val="22"/>
    <w:qFormat/>
    <w:uiPriority w:val="0"/>
    <w:rPr>
      <w:rFonts w:hint="eastAsia" w:ascii="宋体" w:hAnsi="宋体" w:eastAsia="宋体" w:cs="宋体"/>
      <w:color w:val="000000"/>
      <w:sz w:val="20"/>
      <w:szCs w:val="20"/>
      <w:u w:val="none"/>
    </w:rPr>
  </w:style>
  <w:style w:type="paragraph" w:customStyle="1" w:styleId="44">
    <w:name w:val="纯文本1"/>
    <w:basedOn w:val="45"/>
    <w:qFormat/>
    <w:uiPriority w:val="0"/>
    <w:pPr>
      <w:widowControl/>
      <w:jc w:val="left"/>
    </w:pPr>
    <w:rPr>
      <w:rFonts w:ascii="宋体" w:hAnsi="Courier New"/>
    </w:rPr>
  </w:style>
  <w:style w:type="paragraph" w:customStyle="1" w:styleId="45">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6">
    <w:name w:val="Table Paragraph"/>
    <w:basedOn w:val="1"/>
    <w:qFormat/>
    <w:uiPriority w:val="1"/>
    <w:rPr>
      <w:rFonts w:ascii="宋体" w:hAnsi="宋体" w:cs="宋体"/>
    </w:rPr>
  </w:style>
  <w:style w:type="paragraph" w:customStyle="1" w:styleId="47">
    <w:name w:val="WPSOffice手动目录 1"/>
    <w:qFormat/>
    <w:uiPriority w:val="0"/>
    <w:rPr>
      <w:rFonts w:ascii="Times New Roman" w:hAnsi="Times New Roman" w:eastAsia="宋体" w:cs="Times New Roman"/>
      <w:lang w:val="en-US" w:eastAsia="zh-CN" w:bidi="ar-SA"/>
    </w:rPr>
  </w:style>
  <w:style w:type="paragraph" w:customStyle="1" w:styleId="48">
    <w:name w:val="默认段落字体 Para Char Char Char Char Char Char Char Char Char1 Char Char Char Char"/>
    <w:basedOn w:val="1"/>
    <w:qFormat/>
    <w:uiPriority w:val="0"/>
    <w:rPr>
      <w:rFonts w:ascii="Tahoma" w:hAnsi="Tahoma"/>
      <w:sz w:val="24"/>
      <w:szCs w:val="20"/>
    </w:rPr>
  </w:style>
  <w:style w:type="character" w:customStyle="1" w:styleId="49">
    <w:name w:val="批注框文本 Char"/>
    <w:basedOn w:val="22"/>
    <w:link w:val="14"/>
    <w:qFormat/>
    <w:uiPriority w:val="0"/>
    <w:rPr>
      <w:kern w:val="2"/>
      <w:sz w:val="18"/>
      <w:szCs w:val="18"/>
    </w:rPr>
  </w:style>
  <w:style w:type="paragraph" w:customStyle="1" w:styleId="50">
    <w:name w:val="英文"/>
    <w:basedOn w:val="1"/>
    <w:link w:val="52"/>
    <w:qFormat/>
    <w:uiPriority w:val="0"/>
    <w:pPr>
      <w:adjustRightInd w:val="0"/>
      <w:snapToGrid w:val="0"/>
      <w:spacing w:line="360" w:lineRule="auto"/>
      <w:ind w:firstLine="480" w:firstLineChars="200"/>
    </w:pPr>
    <w:rPr>
      <w:rFonts w:ascii="Arial" w:hAnsi="Arial" w:cs="Arial"/>
      <w:sz w:val="24"/>
    </w:rPr>
  </w:style>
  <w:style w:type="paragraph" w:customStyle="1" w:styleId="51">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52">
    <w:name w:val="英文 Char"/>
    <w:link w:val="50"/>
    <w:qFormat/>
    <w:uiPriority w:val="0"/>
    <w:rPr>
      <w:rFonts w:ascii="Arial" w:hAnsi="Arial" w:cs="Arial"/>
      <w:sz w:val="24"/>
    </w:rPr>
  </w:style>
  <w:style w:type="paragraph" w:customStyle="1" w:styleId="53">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54">
    <w:name w:val="正文段"/>
    <w:basedOn w:val="1"/>
    <w:qFormat/>
    <w:uiPriority w:val="0"/>
    <w:pPr>
      <w:widowControl/>
      <w:snapToGrid w:val="0"/>
      <w:spacing w:afterLines="50"/>
      <w:ind w:firstLine="200" w:firstLineChars="200"/>
    </w:pPr>
    <w:rPr>
      <w:rFonts w:ascii="Times New Roman" w:hAnsi="Times New Roman"/>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11345</Words>
  <Characters>11991</Characters>
  <Lines>154</Lines>
  <Paragraphs>43</Paragraphs>
  <TotalTime>279</TotalTime>
  <ScaleCrop>false</ScaleCrop>
  <LinksUpToDate>false</LinksUpToDate>
  <CharactersWithSpaces>12203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2021-02-05T17:06:00Z</dcterms:created>
  <dc:creator>Thorpe521</dc:creator>
  <cp:lastModifiedBy>阿拉丁</cp:lastModifiedBy>
  <dcterms:modified xsi:type="dcterms:W3CDTF">2023-02-17T07:21:41Z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5C50669EBCEB4D1794270D858CAD8A79</vt:lpwstr>
  </property>
</Properties>
</file>